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A85E3" w14:textId="77777777" w:rsidR="00FF0299" w:rsidRPr="00244534" w:rsidRDefault="00BC09A3" w:rsidP="00100519">
      <w:pPr>
        <w:spacing w:after="1" w:line="276" w:lineRule="auto"/>
        <w:ind w:left="-6" w:right="0" w:firstLine="0"/>
        <w:rPr>
          <w:rFonts w:ascii="ITC Avant Garde" w:hAnsi="ITC Avant Garde"/>
          <w:b/>
        </w:rPr>
      </w:pPr>
      <w:r w:rsidRPr="008104D5">
        <w:rPr>
          <w:rFonts w:ascii="ITC Avant Garde" w:hAnsi="ITC Avant Garde"/>
          <w:b/>
        </w:rPr>
        <w:t>RESPUESTAS GENERALES QUE BRINDA EL INSTITUTO FEDERAL DE TELECOMUNICACIONES A LAS MANIFESTACIONES, OPINIONES, COMENTARIOS Y PROPUESTAS CONCRETAS, PRESENTADAS DURANTE LA CONSULTA PÚBLICA DE</w:t>
      </w:r>
      <w:r w:rsidR="00BB163B" w:rsidRPr="00244534">
        <w:rPr>
          <w:rFonts w:ascii="ITC Avant Garde" w:hAnsi="ITC Avant Garde"/>
          <w:b/>
        </w:rPr>
        <w:t xml:space="preserve"> </w:t>
      </w:r>
      <w:r w:rsidRPr="00244534">
        <w:rPr>
          <w:rFonts w:ascii="ITC Avant Garde" w:hAnsi="ITC Avant Garde"/>
          <w:b/>
        </w:rPr>
        <w:t>L</w:t>
      </w:r>
      <w:r w:rsidR="00EB2BB8" w:rsidRPr="00244534">
        <w:rPr>
          <w:rFonts w:ascii="ITC Avant Garde" w:hAnsi="ITC Avant Garde"/>
          <w:b/>
        </w:rPr>
        <w:t>A</w:t>
      </w:r>
      <w:r w:rsidR="00FF0299" w:rsidRPr="00244534">
        <w:rPr>
          <w:rFonts w:ascii="ITC Avant Garde" w:hAnsi="ITC Avant Garde"/>
        </w:rPr>
        <w:t xml:space="preserve"> “</w:t>
      </w:r>
      <w:r w:rsidR="00DE2962" w:rsidRPr="00244534">
        <w:rPr>
          <w:rFonts w:ascii="ITC Avant Garde" w:hAnsi="ITC Avant Garde" w:cs="Arial"/>
          <w:b/>
          <w:lang w:val="es-ES_tradnl"/>
        </w:rPr>
        <w:t>OFERTA DE REFERENCIA PARA LA PRESTACIÓN DEL SERVICIO MAYORISTA DE USUARIO VISITANTE</w:t>
      </w:r>
      <w:r w:rsidR="00DE2962" w:rsidRPr="00244534">
        <w:rPr>
          <w:rFonts w:ascii="ITC Avant Garde" w:hAnsi="ITC Avant Garde"/>
          <w:b/>
        </w:rPr>
        <w:t xml:space="preserve"> </w:t>
      </w:r>
      <w:r w:rsidR="00442091" w:rsidRPr="00244534">
        <w:rPr>
          <w:rFonts w:ascii="ITC Avant Garde" w:hAnsi="ITC Avant Garde"/>
          <w:b/>
        </w:rPr>
        <w:t>PRESTADO</w:t>
      </w:r>
      <w:r w:rsidR="00FF0299" w:rsidRPr="00244534">
        <w:rPr>
          <w:rFonts w:ascii="ITC Avant Garde" w:hAnsi="ITC Avant Garde"/>
          <w:b/>
        </w:rPr>
        <w:t xml:space="preserve"> POR EL AGENTE ECONÓMICO PREPONDERANTE EN EL SECTOR DE LAS TELECOMUNICACIONES”.</w:t>
      </w:r>
    </w:p>
    <w:p w14:paraId="39CF335A" w14:textId="77777777" w:rsidR="00BC09A3" w:rsidRPr="00244534" w:rsidRDefault="00BC09A3" w:rsidP="00FF0299">
      <w:pPr>
        <w:spacing w:after="1" w:line="276" w:lineRule="auto"/>
        <w:ind w:left="0" w:right="0" w:firstLine="0"/>
        <w:rPr>
          <w:rFonts w:ascii="ITC Avant Garde" w:hAnsi="ITC Avant Garde"/>
        </w:rPr>
      </w:pPr>
    </w:p>
    <w:p w14:paraId="5CF1CE06" w14:textId="77777777" w:rsidR="00BC09A3" w:rsidRPr="00244534" w:rsidRDefault="00BC09A3" w:rsidP="00100519">
      <w:pPr>
        <w:spacing w:line="276" w:lineRule="auto"/>
        <w:ind w:left="-6" w:right="0"/>
        <w:rPr>
          <w:rFonts w:ascii="ITC Avant Garde" w:hAnsi="ITC Avant Garde"/>
        </w:rPr>
      </w:pPr>
      <w:r w:rsidRPr="00244534">
        <w:rPr>
          <w:rFonts w:ascii="ITC Avant Garde" w:hAnsi="ITC Avant Garde"/>
        </w:rPr>
        <w:t xml:space="preserve">Con relación a las manifestaciones, opiniones, comentarios y propuestas concretas </w:t>
      </w:r>
      <w:r w:rsidR="000475CD" w:rsidRPr="00244534">
        <w:rPr>
          <w:rFonts w:ascii="ITC Avant Garde" w:hAnsi="ITC Avant Garde"/>
        </w:rPr>
        <w:t xml:space="preserve">sobre la </w:t>
      </w:r>
      <w:r w:rsidR="00442091" w:rsidRPr="00244534">
        <w:rPr>
          <w:rFonts w:ascii="ITC Avant Garde" w:hAnsi="ITC Avant Garde"/>
        </w:rPr>
        <w:t xml:space="preserve">Propuesta de </w:t>
      </w:r>
      <w:r w:rsidR="00442091" w:rsidRPr="00244534">
        <w:rPr>
          <w:rFonts w:ascii="ITC Avant Garde" w:hAnsi="ITC Avant Garde" w:cs="Arial"/>
          <w:b/>
          <w:lang w:val="es-ES_tradnl"/>
        </w:rPr>
        <w:t>Oferta de Referencia para la Prestación del Servicio Mayorista de Usuario Visitante</w:t>
      </w:r>
      <w:r w:rsidR="00442091" w:rsidRPr="00244534">
        <w:rPr>
          <w:rFonts w:ascii="ITC Avant Garde" w:hAnsi="ITC Avant Garde"/>
          <w:b/>
        </w:rPr>
        <w:t xml:space="preserve"> prestado por el Agente Económico Preponderante en el Sector de las Telecomunicaciones</w:t>
      </w:r>
      <w:r w:rsidR="00442091" w:rsidRPr="00244534">
        <w:rPr>
          <w:rFonts w:ascii="ITC Avant Garde" w:hAnsi="ITC Avant Garde"/>
        </w:rPr>
        <w:t xml:space="preserve"> </w:t>
      </w:r>
      <w:r w:rsidR="00352EEF" w:rsidRPr="00244534">
        <w:rPr>
          <w:rFonts w:ascii="ITC Avant Garde" w:hAnsi="ITC Avant Garde"/>
        </w:rPr>
        <w:t>(</w:t>
      </w:r>
      <w:r w:rsidR="00B1092C" w:rsidRPr="00244534">
        <w:rPr>
          <w:rFonts w:ascii="ITC Avant Garde" w:hAnsi="ITC Avant Garde"/>
        </w:rPr>
        <w:t>en lo</w:t>
      </w:r>
      <w:r w:rsidR="00A9334E" w:rsidRPr="00244534">
        <w:rPr>
          <w:rFonts w:ascii="ITC Avant Garde" w:hAnsi="ITC Avant Garde"/>
        </w:rPr>
        <w:t xml:space="preserve"> sucesivo, la </w:t>
      </w:r>
      <w:r w:rsidR="00352EEF" w:rsidRPr="00244534">
        <w:rPr>
          <w:rFonts w:ascii="ITC Avant Garde" w:hAnsi="ITC Avant Garde"/>
        </w:rPr>
        <w:t xml:space="preserve">“Oferta”) </w:t>
      </w:r>
      <w:r w:rsidR="00A42214" w:rsidRPr="00244534">
        <w:rPr>
          <w:rFonts w:ascii="ITC Avant Garde" w:hAnsi="ITC Avant Garde"/>
        </w:rPr>
        <w:t>prestada por</w:t>
      </w:r>
      <w:r w:rsidR="00442091" w:rsidRPr="00244534">
        <w:rPr>
          <w:rFonts w:ascii="ITC Avant Garde" w:hAnsi="ITC Avant Garde"/>
        </w:rPr>
        <w:t xml:space="preserve"> Radiomóvil Dipsa, S.A. de C.V.</w:t>
      </w:r>
      <w:r w:rsidR="00B1092C" w:rsidRPr="00244534">
        <w:rPr>
          <w:rFonts w:ascii="ITC Avant Garde" w:hAnsi="ITC Avant Garde"/>
        </w:rPr>
        <w:t xml:space="preserve"> (en lo sucesivo, “Telcel”)</w:t>
      </w:r>
      <w:r w:rsidR="00A42214" w:rsidRPr="00244534">
        <w:rPr>
          <w:rFonts w:ascii="ITC Avant Garde" w:hAnsi="ITC Avant Garde"/>
        </w:rPr>
        <w:t>, integrante</w:t>
      </w:r>
      <w:r w:rsidR="00FA73A0" w:rsidRPr="00244534">
        <w:rPr>
          <w:rFonts w:ascii="ITC Avant Garde" w:hAnsi="ITC Avant Garde"/>
        </w:rPr>
        <w:t xml:space="preserve"> </w:t>
      </w:r>
      <w:r w:rsidR="00A42214" w:rsidRPr="00244534">
        <w:rPr>
          <w:rFonts w:ascii="ITC Avant Garde" w:hAnsi="ITC Avant Garde"/>
        </w:rPr>
        <w:t>d</w:t>
      </w:r>
      <w:r w:rsidR="00FA73A0" w:rsidRPr="00244534">
        <w:rPr>
          <w:rFonts w:ascii="ITC Avant Garde" w:hAnsi="ITC Avant Garde"/>
        </w:rPr>
        <w:t>el Agente Económico Preponderante</w:t>
      </w:r>
      <w:r w:rsidR="00EA6BE3" w:rsidRPr="00244534">
        <w:rPr>
          <w:rFonts w:ascii="ITC Avant Garde" w:hAnsi="ITC Avant Garde"/>
        </w:rPr>
        <w:t xml:space="preserve"> (en lo sucesivo, el “AEP”)</w:t>
      </w:r>
      <w:r w:rsidR="00B1092C" w:rsidRPr="00244534">
        <w:rPr>
          <w:rFonts w:ascii="ITC Avant Garde" w:hAnsi="ITC Avant Garde"/>
        </w:rPr>
        <w:t xml:space="preserve"> en el s</w:t>
      </w:r>
      <w:r w:rsidR="00FA73A0" w:rsidRPr="00244534">
        <w:rPr>
          <w:rFonts w:ascii="ITC Avant Garde" w:hAnsi="ITC Avant Garde"/>
        </w:rPr>
        <w:t xml:space="preserve">ector de las Telecomunicaciones, </w:t>
      </w:r>
      <w:r w:rsidR="00E32604" w:rsidRPr="00244534">
        <w:rPr>
          <w:rFonts w:ascii="ITC Avant Garde" w:hAnsi="ITC Avant Garde"/>
        </w:rPr>
        <w:t xml:space="preserve">materia de la consulta pública de mérito, </w:t>
      </w:r>
      <w:r w:rsidRPr="00244534">
        <w:rPr>
          <w:rFonts w:ascii="ITC Avant Garde" w:hAnsi="ITC Avant Garde"/>
        </w:rPr>
        <w:t xml:space="preserve">recibidas durante el </w:t>
      </w:r>
      <w:r w:rsidR="00E32604" w:rsidRPr="00244534">
        <w:rPr>
          <w:rFonts w:ascii="ITC Avant Garde" w:hAnsi="ITC Avant Garde"/>
        </w:rPr>
        <w:t>periodo comprendido</w:t>
      </w:r>
      <w:r w:rsidR="007A2802" w:rsidRPr="00244534">
        <w:rPr>
          <w:rFonts w:ascii="ITC Avant Garde" w:hAnsi="ITC Avant Garde"/>
        </w:rPr>
        <w:t xml:space="preserve"> del </w:t>
      </w:r>
      <w:r w:rsidR="009A62EA" w:rsidRPr="00244534">
        <w:rPr>
          <w:rFonts w:ascii="ITC Avant Garde" w:hAnsi="ITC Avant Garde"/>
        </w:rPr>
        <w:t>24</w:t>
      </w:r>
      <w:r w:rsidR="00BB163B" w:rsidRPr="00244534">
        <w:rPr>
          <w:rFonts w:ascii="ITC Avant Garde" w:hAnsi="ITC Avant Garde"/>
        </w:rPr>
        <w:t xml:space="preserve"> </w:t>
      </w:r>
      <w:r w:rsidR="009A62EA" w:rsidRPr="00244534">
        <w:rPr>
          <w:rFonts w:ascii="ITC Avant Garde" w:hAnsi="ITC Avant Garde"/>
        </w:rPr>
        <w:t>de agosto</w:t>
      </w:r>
      <w:r w:rsidR="00E00218" w:rsidRPr="00244534">
        <w:rPr>
          <w:rFonts w:ascii="ITC Avant Garde" w:hAnsi="ITC Avant Garde"/>
        </w:rPr>
        <w:t xml:space="preserve"> </w:t>
      </w:r>
      <w:r w:rsidR="00BB163B" w:rsidRPr="00244534">
        <w:rPr>
          <w:rFonts w:ascii="ITC Avant Garde" w:hAnsi="ITC Avant Garde"/>
        </w:rPr>
        <w:t xml:space="preserve">al </w:t>
      </w:r>
      <w:r w:rsidR="009A62EA" w:rsidRPr="00244534">
        <w:rPr>
          <w:rFonts w:ascii="ITC Avant Garde" w:hAnsi="ITC Avant Garde"/>
        </w:rPr>
        <w:t xml:space="preserve">25 de septiembre </w:t>
      </w:r>
      <w:r w:rsidR="006751FC" w:rsidRPr="00244534">
        <w:rPr>
          <w:rFonts w:ascii="ITC Avant Garde" w:hAnsi="ITC Avant Garde"/>
        </w:rPr>
        <w:t>de</w:t>
      </w:r>
      <w:r w:rsidR="00BB163B" w:rsidRPr="00244534">
        <w:rPr>
          <w:rFonts w:ascii="ITC Avant Garde" w:hAnsi="ITC Avant Garde"/>
        </w:rPr>
        <w:t xml:space="preserve"> 201</w:t>
      </w:r>
      <w:r w:rsidR="009A62EA" w:rsidRPr="00244534">
        <w:rPr>
          <w:rFonts w:ascii="ITC Avant Garde" w:hAnsi="ITC Avant Garde"/>
        </w:rPr>
        <w:t>7</w:t>
      </w:r>
      <w:r w:rsidRPr="00244534">
        <w:rPr>
          <w:rFonts w:ascii="ITC Avant Garde" w:hAnsi="ITC Avant Garde"/>
        </w:rPr>
        <w:t>, se informa que el Instituto Federal de Telecomunicaciones (</w:t>
      </w:r>
      <w:r w:rsidR="00A9334E" w:rsidRPr="00244534">
        <w:rPr>
          <w:rFonts w:ascii="ITC Avant Garde" w:hAnsi="ITC Avant Garde"/>
        </w:rPr>
        <w:t xml:space="preserve">en lo sucesivo, </w:t>
      </w:r>
      <w:r w:rsidRPr="00244534">
        <w:rPr>
          <w:rFonts w:ascii="ITC Avant Garde" w:hAnsi="ITC Avant Garde"/>
        </w:rPr>
        <w:t xml:space="preserve">el “Instituto”) </w:t>
      </w:r>
      <w:r w:rsidR="00E32604" w:rsidRPr="00244534">
        <w:rPr>
          <w:rFonts w:ascii="ITC Avant Garde" w:hAnsi="ITC Avant Garde"/>
        </w:rPr>
        <w:t>atendió los temas recibidos</w:t>
      </w:r>
      <w:r w:rsidR="005078D4" w:rsidRPr="00244534">
        <w:rPr>
          <w:rFonts w:ascii="ITC Avant Garde" w:hAnsi="ITC Avant Garde"/>
        </w:rPr>
        <w:t xml:space="preserve"> </w:t>
      </w:r>
      <w:r w:rsidR="00764DD4" w:rsidRPr="00244534">
        <w:rPr>
          <w:rFonts w:ascii="ITC Avant Garde" w:hAnsi="ITC Avant Garde"/>
        </w:rPr>
        <w:t>y que</w:t>
      </w:r>
      <w:r w:rsidR="00A62960" w:rsidRPr="00244534">
        <w:rPr>
          <w:rFonts w:ascii="ITC Avant Garde" w:hAnsi="ITC Avant Garde"/>
        </w:rPr>
        <w:t xml:space="preserve"> </w:t>
      </w:r>
      <w:r w:rsidRPr="00244534">
        <w:rPr>
          <w:rFonts w:ascii="ITC Avant Garde" w:hAnsi="ITC Avant Garde"/>
        </w:rPr>
        <w:t>todas las opiniones y pronunciamientos, se encuentran disponibles para su consulta en la pá</w:t>
      </w:r>
      <w:r w:rsidR="00B148CC" w:rsidRPr="00244534">
        <w:rPr>
          <w:rFonts w:ascii="ITC Avant Garde" w:hAnsi="ITC Avant Garde"/>
        </w:rPr>
        <w:t>gina de internet del Instituto.</w:t>
      </w:r>
    </w:p>
    <w:p w14:paraId="43799D36" w14:textId="77777777" w:rsidR="00D44461" w:rsidRPr="00244534" w:rsidRDefault="00BC09A3" w:rsidP="00100519">
      <w:pPr>
        <w:spacing w:after="0" w:line="276" w:lineRule="auto"/>
        <w:ind w:left="0" w:right="0" w:firstLine="0"/>
        <w:jc w:val="left"/>
        <w:rPr>
          <w:rFonts w:ascii="ITC Avant Garde" w:hAnsi="ITC Avant Garde"/>
        </w:rPr>
      </w:pPr>
      <w:r w:rsidRPr="00244534">
        <w:rPr>
          <w:rFonts w:ascii="ITC Avant Garde" w:hAnsi="ITC Avant Garde"/>
        </w:rPr>
        <w:t xml:space="preserve"> </w:t>
      </w:r>
    </w:p>
    <w:p w14:paraId="2B910313" w14:textId="77777777" w:rsidR="00DD421A" w:rsidRPr="00244534" w:rsidRDefault="00A62960" w:rsidP="00100519">
      <w:pPr>
        <w:spacing w:line="276" w:lineRule="auto"/>
        <w:ind w:left="-5" w:right="0"/>
        <w:rPr>
          <w:rFonts w:ascii="ITC Avant Garde" w:hAnsi="ITC Avant Garde"/>
        </w:rPr>
      </w:pPr>
      <w:r w:rsidRPr="00244534">
        <w:rPr>
          <w:rFonts w:ascii="ITC Avant Garde" w:hAnsi="ITC Avant Garde"/>
        </w:rPr>
        <w:t xml:space="preserve">Durante </w:t>
      </w:r>
      <w:r w:rsidR="00BC09A3" w:rsidRPr="00244534">
        <w:rPr>
          <w:rFonts w:ascii="ITC Avant Garde" w:hAnsi="ITC Avant Garde"/>
        </w:rPr>
        <w:t xml:space="preserve">el </w:t>
      </w:r>
      <w:r w:rsidR="001D50AC" w:rsidRPr="00244534">
        <w:rPr>
          <w:rFonts w:ascii="ITC Avant Garde" w:hAnsi="ITC Avant Garde"/>
        </w:rPr>
        <w:t>periodo</w:t>
      </w:r>
      <w:r w:rsidR="00BC09A3" w:rsidRPr="00244534">
        <w:rPr>
          <w:rFonts w:ascii="ITC Avant Garde" w:hAnsi="ITC Avant Garde"/>
        </w:rPr>
        <w:t xml:space="preserve"> de la consulta pú</w:t>
      </w:r>
      <w:r w:rsidR="00D44461" w:rsidRPr="00244534">
        <w:rPr>
          <w:rFonts w:ascii="ITC Avant Garde" w:hAnsi="ITC Avant Garde"/>
        </w:rPr>
        <w:t>bl</w:t>
      </w:r>
      <w:r w:rsidR="007E006A" w:rsidRPr="00244534">
        <w:rPr>
          <w:rFonts w:ascii="ITC Avant Garde" w:hAnsi="ITC Avant Garde"/>
        </w:rPr>
        <w:t xml:space="preserve">ica de mérito, se recibieron </w:t>
      </w:r>
      <w:r w:rsidR="006751FC" w:rsidRPr="00244534">
        <w:rPr>
          <w:rFonts w:ascii="ITC Avant Garde" w:hAnsi="ITC Avant Garde"/>
        </w:rPr>
        <w:t xml:space="preserve">5 </w:t>
      </w:r>
      <w:r w:rsidR="0076085E" w:rsidRPr="00244534">
        <w:rPr>
          <w:rFonts w:ascii="ITC Avant Garde" w:hAnsi="ITC Avant Garde"/>
        </w:rPr>
        <w:t>participaciones</w:t>
      </w:r>
      <w:r w:rsidR="00FF0C54" w:rsidRPr="00244534">
        <w:rPr>
          <w:rFonts w:ascii="ITC Avant Garde" w:hAnsi="ITC Avant Garde"/>
        </w:rPr>
        <w:t xml:space="preserve"> </w:t>
      </w:r>
      <w:r w:rsidR="003146CE" w:rsidRPr="00244534">
        <w:rPr>
          <w:rFonts w:ascii="ITC Avant Garde" w:hAnsi="ITC Avant Garde"/>
        </w:rPr>
        <w:t>por parte de las siguientes personas morales:</w:t>
      </w:r>
    </w:p>
    <w:p w14:paraId="752FBD4D" w14:textId="77777777" w:rsidR="00442091" w:rsidRPr="00244534" w:rsidRDefault="00442091" w:rsidP="00100519">
      <w:pPr>
        <w:spacing w:line="276" w:lineRule="auto"/>
        <w:ind w:left="-5" w:right="0"/>
        <w:rPr>
          <w:rFonts w:ascii="ITC Avant Garde" w:hAnsi="ITC Avant Garde"/>
        </w:rPr>
      </w:pPr>
    </w:p>
    <w:p w14:paraId="437E252A" w14:textId="77777777" w:rsidR="00442091" w:rsidRPr="00244534" w:rsidRDefault="00432B9B"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44534">
        <w:rPr>
          <w:rFonts w:ascii="ITC Avant Garde" w:eastAsiaTheme="minorHAnsi" w:hAnsi="ITC Avant Garde" w:cs="ITC Avant Garde"/>
          <w:lang w:eastAsia="en-US"/>
        </w:rPr>
        <w:t>Altán</w:t>
      </w:r>
      <w:r w:rsidR="00442091" w:rsidRPr="00244534">
        <w:rPr>
          <w:rFonts w:ascii="ITC Avant Garde" w:eastAsiaTheme="minorHAnsi" w:hAnsi="ITC Avant Garde" w:cs="ITC Avant Garde"/>
          <w:lang w:eastAsia="en-US"/>
        </w:rPr>
        <w:t xml:space="preserve"> </w:t>
      </w:r>
      <w:r w:rsidRPr="00244534">
        <w:rPr>
          <w:rFonts w:ascii="ITC Avant Garde" w:eastAsiaTheme="minorHAnsi" w:hAnsi="ITC Avant Garde" w:cs="ITC Avant Garde"/>
          <w:lang w:eastAsia="en-US"/>
        </w:rPr>
        <w:t>Redes</w:t>
      </w:r>
      <w:r w:rsidR="00442091" w:rsidRPr="00244534">
        <w:rPr>
          <w:rFonts w:ascii="ITC Avant Garde" w:eastAsiaTheme="minorHAnsi" w:hAnsi="ITC Avant Garde" w:cs="ITC Avant Garde"/>
          <w:lang w:eastAsia="en-US"/>
        </w:rPr>
        <w:t xml:space="preserve">, S.A.P.I. </w:t>
      </w:r>
      <w:r w:rsidRPr="00244534">
        <w:rPr>
          <w:rFonts w:ascii="ITC Avant Garde" w:eastAsiaTheme="minorHAnsi" w:hAnsi="ITC Avant Garde" w:cs="ITC Avant Garde"/>
          <w:lang w:eastAsia="en-US"/>
        </w:rPr>
        <w:t>de</w:t>
      </w:r>
      <w:r w:rsidR="00442091" w:rsidRPr="00244534">
        <w:rPr>
          <w:rFonts w:ascii="ITC Avant Garde" w:eastAsiaTheme="minorHAnsi" w:hAnsi="ITC Avant Garde" w:cs="ITC Avant Garde"/>
          <w:lang w:eastAsia="en-US"/>
        </w:rPr>
        <w:t xml:space="preserve"> C.V. (</w:t>
      </w:r>
      <w:r w:rsidR="00D87CF7" w:rsidRPr="00244534">
        <w:rPr>
          <w:rFonts w:ascii="ITC Avant Garde" w:eastAsiaTheme="minorHAnsi" w:hAnsi="ITC Avant Garde" w:cs="ITC Avant Garde"/>
          <w:lang w:eastAsia="en-US"/>
        </w:rPr>
        <w:t xml:space="preserve">en lo sucesivo </w:t>
      </w:r>
      <w:r w:rsidR="00442091" w:rsidRPr="00244534">
        <w:rPr>
          <w:rFonts w:ascii="ITC Avant Garde" w:eastAsiaTheme="minorHAnsi" w:hAnsi="ITC Avant Garde" w:cs="ITC Avant Garde"/>
          <w:lang w:eastAsia="en-US"/>
        </w:rPr>
        <w:t>“</w:t>
      </w:r>
      <w:r w:rsidRPr="00244534">
        <w:rPr>
          <w:rFonts w:ascii="ITC Avant Garde" w:eastAsiaTheme="minorHAnsi" w:hAnsi="ITC Avant Garde" w:cs="ITC Avant Garde"/>
          <w:lang w:eastAsia="en-US"/>
        </w:rPr>
        <w:t>Altán</w:t>
      </w:r>
      <w:r w:rsidR="00442091" w:rsidRPr="00244534">
        <w:rPr>
          <w:rFonts w:ascii="ITC Avant Garde" w:eastAsiaTheme="minorHAnsi" w:hAnsi="ITC Avant Garde" w:cs="ITC Avant Garde"/>
          <w:lang w:eastAsia="en-US"/>
        </w:rPr>
        <w:t>”)</w:t>
      </w:r>
    </w:p>
    <w:p w14:paraId="59648F34" w14:textId="77777777" w:rsidR="000B5810" w:rsidRPr="00244534" w:rsidRDefault="00CD7350"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44534">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w:t>
      </w:r>
      <w:r w:rsidR="00FF0299" w:rsidRPr="00244534">
        <w:rPr>
          <w:rFonts w:ascii="ITC Avant Garde" w:eastAsiaTheme="minorHAnsi" w:hAnsi="ITC Avant Garde" w:cs="ITC Avant Garde"/>
          <w:lang w:eastAsia="en-US"/>
        </w:rPr>
        <w:t xml:space="preserve"> (</w:t>
      </w:r>
      <w:r w:rsidR="00D87CF7" w:rsidRPr="00244534">
        <w:rPr>
          <w:rFonts w:ascii="ITC Avant Garde" w:eastAsiaTheme="minorHAnsi" w:hAnsi="ITC Avant Garde" w:cs="ITC Avant Garde"/>
          <w:lang w:eastAsia="en-US"/>
        </w:rPr>
        <w:t xml:space="preserve">en lo sucesivo </w:t>
      </w:r>
      <w:r w:rsidR="00FF0299" w:rsidRPr="00244534">
        <w:rPr>
          <w:rFonts w:ascii="ITC Avant Garde" w:eastAsiaTheme="minorHAnsi" w:hAnsi="ITC Avant Garde" w:cs="ITC Avant Garde"/>
          <w:lang w:eastAsia="en-US"/>
        </w:rPr>
        <w:t>“AT&amp;T”)</w:t>
      </w:r>
    </w:p>
    <w:p w14:paraId="01D69AA8" w14:textId="77777777" w:rsidR="00192F9F" w:rsidRPr="00244534" w:rsidRDefault="00192F9F"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44534">
        <w:rPr>
          <w:rFonts w:ascii="ITC Avant Garde" w:eastAsiaTheme="minorHAnsi" w:hAnsi="ITC Avant Garde" w:cs="ITC Avant Garde"/>
          <w:lang w:eastAsia="en-US"/>
        </w:rPr>
        <w:t>Mega Cable, S.A. de C.V. (</w:t>
      </w:r>
      <w:r w:rsidR="00D87CF7" w:rsidRPr="00244534">
        <w:rPr>
          <w:rFonts w:ascii="ITC Avant Garde" w:eastAsiaTheme="minorHAnsi" w:hAnsi="ITC Avant Garde" w:cs="ITC Avant Garde"/>
          <w:lang w:eastAsia="en-US"/>
        </w:rPr>
        <w:t xml:space="preserve">en lo sucesivo </w:t>
      </w:r>
      <w:r w:rsidRPr="00244534">
        <w:rPr>
          <w:rFonts w:ascii="ITC Avant Garde" w:eastAsiaTheme="minorHAnsi" w:hAnsi="ITC Avant Garde" w:cs="ITC Avant Garde"/>
          <w:lang w:eastAsia="en-US"/>
        </w:rPr>
        <w:t>“Megacable”)</w:t>
      </w:r>
    </w:p>
    <w:p w14:paraId="20F7CD90" w14:textId="77777777" w:rsidR="00A70475" w:rsidRPr="00244534" w:rsidRDefault="00A70475"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44534">
        <w:rPr>
          <w:rFonts w:ascii="ITC Avant Garde" w:eastAsiaTheme="minorHAnsi" w:hAnsi="ITC Avant Garde" w:cs="ITC Avant Garde"/>
          <w:lang w:eastAsia="en-US"/>
        </w:rPr>
        <w:t>Telefónica Movistar México</w:t>
      </w:r>
      <w:r w:rsidR="00BA7435" w:rsidRPr="00244534">
        <w:rPr>
          <w:rFonts w:ascii="ITC Avant Garde" w:eastAsiaTheme="minorHAnsi" w:hAnsi="ITC Avant Garde" w:cs="ITC Avant Garde"/>
          <w:lang w:eastAsia="en-US"/>
        </w:rPr>
        <w:t xml:space="preserve"> </w:t>
      </w:r>
      <w:r w:rsidR="00FF0299" w:rsidRPr="00244534">
        <w:rPr>
          <w:rFonts w:ascii="ITC Avant Garde" w:hAnsi="ITC Avant Garde"/>
        </w:rPr>
        <w:t>(</w:t>
      </w:r>
      <w:r w:rsidR="00D87CF7" w:rsidRPr="00244534">
        <w:rPr>
          <w:rFonts w:ascii="ITC Avant Garde" w:hAnsi="ITC Avant Garde"/>
        </w:rPr>
        <w:t xml:space="preserve">en lo sucesivo </w:t>
      </w:r>
      <w:r w:rsidR="00FF0299" w:rsidRPr="00244534">
        <w:rPr>
          <w:rFonts w:ascii="ITC Avant Garde" w:hAnsi="ITC Avant Garde"/>
        </w:rPr>
        <w:t>“Telefónica”)</w:t>
      </w:r>
    </w:p>
    <w:p w14:paraId="5D95DF6F" w14:textId="77777777" w:rsidR="00A70475" w:rsidRPr="00244534" w:rsidRDefault="00BA7435"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44534">
        <w:rPr>
          <w:rFonts w:ascii="ITC Avant Garde" w:eastAsiaTheme="minorHAnsi" w:hAnsi="ITC Avant Garde" w:cs="ITC Avant Garde"/>
          <w:lang w:eastAsia="en-US"/>
        </w:rPr>
        <w:t>Operbes, S.A. de C.V, Bestphone, S.A. de C.V., Cablevisión, S.A. de C.V., Cablemás Telecomunicaciones, S.A. de C.V., Cable y Comunicación de Campeche, S.A. de C.V., TV Cable de Oriente, S.A. de C.V. y Cablevisión Red, S.A. de C.V.</w:t>
      </w:r>
      <w:r w:rsidR="00FF0299" w:rsidRPr="00244534">
        <w:rPr>
          <w:rFonts w:ascii="ITC Avant Garde" w:eastAsiaTheme="minorHAnsi" w:hAnsi="ITC Avant Garde" w:cs="ITC Avant Garde"/>
          <w:lang w:eastAsia="en-US"/>
        </w:rPr>
        <w:t xml:space="preserve"> (</w:t>
      </w:r>
      <w:r w:rsidR="00D87CF7" w:rsidRPr="00244534">
        <w:rPr>
          <w:rFonts w:ascii="ITC Avant Garde" w:eastAsiaTheme="minorHAnsi" w:hAnsi="ITC Avant Garde" w:cs="ITC Avant Garde"/>
          <w:lang w:eastAsia="en-US"/>
        </w:rPr>
        <w:t xml:space="preserve">en lo sucesivo </w:t>
      </w:r>
      <w:r w:rsidR="00FF0299" w:rsidRPr="00244534">
        <w:rPr>
          <w:rFonts w:ascii="ITC Avant Garde" w:eastAsiaTheme="minorHAnsi" w:hAnsi="ITC Avant Garde" w:cs="ITC Avant Garde"/>
          <w:lang w:eastAsia="en-US"/>
        </w:rPr>
        <w:t>“Grupo Televisa”)</w:t>
      </w:r>
    </w:p>
    <w:p w14:paraId="59A9992A" w14:textId="77777777" w:rsidR="000B5810" w:rsidRPr="00244534"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5A65B30D" w14:textId="77777777" w:rsidR="00352EEF" w:rsidRPr="00244534" w:rsidRDefault="005C2139" w:rsidP="00100519">
      <w:pPr>
        <w:spacing w:line="276" w:lineRule="auto"/>
        <w:ind w:left="-5" w:right="0"/>
        <w:rPr>
          <w:rFonts w:ascii="ITC Avant Garde" w:hAnsi="ITC Avant Garde"/>
        </w:rPr>
      </w:pPr>
      <w:r w:rsidRPr="00244534">
        <w:rPr>
          <w:rFonts w:ascii="ITC Avant Garde" w:hAnsi="ITC Avant Garde"/>
        </w:rPr>
        <w:t xml:space="preserve">En este sentido, se señala que el orden en </w:t>
      </w:r>
      <w:r w:rsidR="005E75EF" w:rsidRPr="00244534">
        <w:rPr>
          <w:rFonts w:ascii="ITC Avant Garde" w:hAnsi="ITC Avant Garde"/>
        </w:rPr>
        <w:t xml:space="preserve">el </w:t>
      </w:r>
      <w:r w:rsidRPr="00244534">
        <w:rPr>
          <w:rFonts w:ascii="ITC Avant Garde" w:hAnsi="ITC Avant Garde"/>
        </w:rPr>
        <w:t>que son abordados cada uno de los temas y numerales genéricos mencionados, obedece primordialmente al orden en que cada uno de éstos aparece</w:t>
      </w:r>
      <w:r w:rsidR="001368EC" w:rsidRPr="00244534">
        <w:rPr>
          <w:rFonts w:ascii="ITC Avant Garde" w:hAnsi="ITC Avant Garde"/>
        </w:rPr>
        <w:t>n</w:t>
      </w:r>
      <w:r w:rsidRPr="00244534">
        <w:rPr>
          <w:rFonts w:ascii="ITC Avant Garde" w:hAnsi="ITC Avant Garde"/>
        </w:rPr>
        <w:t xml:space="preserve"> en</w:t>
      </w:r>
      <w:r w:rsidR="001368EC" w:rsidRPr="00244534">
        <w:rPr>
          <w:rFonts w:ascii="ITC Avant Garde" w:hAnsi="ITC Avant Garde"/>
        </w:rPr>
        <w:t xml:space="preserve"> la </w:t>
      </w:r>
      <w:r w:rsidR="001368EC" w:rsidRPr="00244534">
        <w:rPr>
          <w:rFonts w:ascii="ITC Avant Garde" w:hAnsi="ITC Avant Garde"/>
        </w:rPr>
        <w:lastRenderedPageBreak/>
        <w:t xml:space="preserve">Propuesta de </w:t>
      </w:r>
      <w:r w:rsidR="00E2081A" w:rsidRPr="00244534">
        <w:rPr>
          <w:rFonts w:ascii="ITC Avant Garde" w:hAnsi="ITC Avant Garde"/>
        </w:rPr>
        <w:t>Oferta de Referencia</w:t>
      </w:r>
      <w:r w:rsidR="001368EC" w:rsidRPr="00244534">
        <w:rPr>
          <w:rFonts w:ascii="ITC Avant Garde" w:hAnsi="ITC Avant Garde"/>
        </w:rPr>
        <w:t xml:space="preserve"> presentada por el Agente Económico Preponderante en el Sector de las Telecomunicaciones. </w:t>
      </w:r>
    </w:p>
    <w:p w14:paraId="0A92EEEA" w14:textId="77777777" w:rsidR="00352EEF" w:rsidRPr="00244534" w:rsidRDefault="00352EEF" w:rsidP="00100519">
      <w:pPr>
        <w:spacing w:line="276" w:lineRule="auto"/>
        <w:ind w:left="-5" w:right="0"/>
        <w:rPr>
          <w:rFonts w:ascii="ITC Avant Garde" w:hAnsi="ITC Avant Garde"/>
          <w:color w:val="auto"/>
        </w:rPr>
      </w:pPr>
    </w:p>
    <w:p w14:paraId="41E43DC8" w14:textId="77777777" w:rsidR="00352EEF" w:rsidRPr="00244534" w:rsidRDefault="00A87DB0">
      <w:pPr>
        <w:spacing w:line="276" w:lineRule="auto"/>
        <w:ind w:left="-5" w:right="0"/>
        <w:rPr>
          <w:rFonts w:ascii="ITC Avant Garde" w:hAnsi="ITC Avant Garde" w:cs="Arial"/>
          <w:snapToGrid w:val="0"/>
          <w:color w:val="auto"/>
        </w:rPr>
      </w:pPr>
      <w:r w:rsidRPr="00244534">
        <w:rPr>
          <w:rFonts w:ascii="ITC Avant Garde" w:hAnsi="ITC Avant Garde" w:cs="Arial"/>
          <w:snapToGrid w:val="0"/>
          <w:color w:val="auto"/>
        </w:rPr>
        <w:t>Asimismo, para</w:t>
      </w:r>
      <w:r w:rsidR="00E9460D" w:rsidRPr="00244534">
        <w:rPr>
          <w:rFonts w:ascii="ITC Avant Garde" w:hAnsi="ITC Avant Garde" w:cs="Arial"/>
          <w:snapToGrid w:val="0"/>
          <w:color w:val="auto"/>
        </w:rPr>
        <w:t xml:space="preserve"> efectos del presente documento el</w:t>
      </w:r>
      <w:r w:rsidRPr="00244534">
        <w:rPr>
          <w:rFonts w:ascii="ITC Avant Garde" w:hAnsi="ITC Avant Garde" w:cs="Arial"/>
          <w:snapToGrid w:val="0"/>
          <w:color w:val="auto"/>
        </w:rPr>
        <w:t xml:space="preserve"> </w:t>
      </w:r>
      <w:r w:rsidR="00352EEF" w:rsidRPr="00244534">
        <w:rPr>
          <w:rFonts w:ascii="ITC Avant Garde" w:hAnsi="ITC Avant Garde" w:cs="Arial"/>
          <w:snapToGrid w:val="0"/>
          <w:color w:val="auto"/>
        </w:rPr>
        <w:t xml:space="preserve">Anexo 1 de </w:t>
      </w:r>
      <w:r w:rsidR="00EC0804" w:rsidRPr="00244534">
        <w:rPr>
          <w:rFonts w:ascii="ITC Avant Garde" w:hAnsi="ITC Avant Garde" w:cs="Arial"/>
          <w:snapToGrid w:val="0"/>
          <w:color w:val="auto"/>
        </w:rPr>
        <w:t xml:space="preserve">la </w:t>
      </w:r>
      <w:r w:rsidR="00EC0804" w:rsidRPr="00244534">
        <w:rPr>
          <w:rFonts w:ascii="ITC Avant Garde" w:hAnsi="ITC Avant Garde"/>
        </w:rPr>
        <w:t>“</w:t>
      </w:r>
      <w:r w:rsidR="00EC0804" w:rsidRPr="00244534">
        <w:rPr>
          <w:rFonts w:ascii="ITC Avant Garde" w:hAnsi="ITC Avant Garde"/>
          <w:i/>
        </w:rPr>
        <w:t xml:space="preserve">RESOLUCIÓN MEDIANTE LA CUAL EL PLENO DEL INSTITUTO FEDERAL DE TELECOMUNICACIONES SUPRIME, MODIFICA Y ADICIONA LAS MEDIDAS IMPUESTAS AL AGENTE ECONÓMICO PREPONDERANTE EN EL SECTOR DE TELECOMUNICACIONES MEDIANTE RESOLUCIÓN DE FECHA 6 DE MARZO DE </w:t>
      </w:r>
      <w:r w:rsidR="00B1092C" w:rsidRPr="00244534">
        <w:rPr>
          <w:rFonts w:ascii="ITC Avant Garde" w:hAnsi="ITC Avant Garde"/>
          <w:i/>
        </w:rPr>
        <w:t>2014</w:t>
      </w:r>
      <w:r w:rsidR="00B1092C" w:rsidRPr="00244534">
        <w:rPr>
          <w:rFonts w:ascii="ITC Avant Garde" w:hAnsi="ITC Avant Garde"/>
        </w:rPr>
        <w:t xml:space="preserve">” </w:t>
      </w:r>
      <w:r w:rsidR="00B1092C" w:rsidRPr="00244534">
        <w:rPr>
          <w:rFonts w:ascii="ITC Avant Garde" w:hAnsi="ITC Avant Garde" w:cs="Arial"/>
          <w:snapToGrid w:val="0"/>
          <w:color w:val="auto"/>
        </w:rPr>
        <w:t>se</w:t>
      </w:r>
      <w:r w:rsidR="00E9460D" w:rsidRPr="00244534">
        <w:rPr>
          <w:rFonts w:ascii="ITC Avant Garde" w:hAnsi="ITC Avant Garde" w:cs="Arial"/>
          <w:snapToGrid w:val="0"/>
          <w:color w:val="auto"/>
        </w:rPr>
        <w:t xml:space="preserve"> entenderá como </w:t>
      </w:r>
      <w:r w:rsidR="00352EEF" w:rsidRPr="00244534">
        <w:rPr>
          <w:rFonts w:ascii="ITC Avant Garde" w:hAnsi="ITC Avant Garde" w:cs="Arial"/>
          <w:snapToGrid w:val="0"/>
          <w:color w:val="auto"/>
        </w:rPr>
        <w:t>“Medidas Móviles”.</w:t>
      </w:r>
    </w:p>
    <w:p w14:paraId="6C22F307" w14:textId="77777777" w:rsidR="00352EEF" w:rsidRPr="00244534" w:rsidRDefault="00352EEF">
      <w:pPr>
        <w:spacing w:line="276" w:lineRule="auto"/>
        <w:ind w:left="-5" w:right="0"/>
        <w:rPr>
          <w:rFonts w:ascii="ITC Avant Garde" w:hAnsi="ITC Avant Garde" w:cs="Arial"/>
          <w:snapToGrid w:val="0"/>
          <w:color w:val="auto"/>
        </w:rPr>
      </w:pPr>
    </w:p>
    <w:p w14:paraId="13D2376D" w14:textId="77777777" w:rsidR="00BC09A3" w:rsidRPr="00244534" w:rsidRDefault="00BC09A3" w:rsidP="00100519">
      <w:pPr>
        <w:spacing w:line="276" w:lineRule="auto"/>
        <w:ind w:left="-5" w:right="0"/>
        <w:rPr>
          <w:rFonts w:ascii="ITC Avant Garde" w:hAnsi="ITC Avant Garde"/>
        </w:rPr>
      </w:pPr>
      <w:r w:rsidRPr="00244534">
        <w:rPr>
          <w:rFonts w:ascii="ITC Avant Garde" w:hAnsi="ITC Avant Garde"/>
        </w:rPr>
        <w:t>Por lo anterior, el Instituto emite las siguientes respuestas y con</w:t>
      </w:r>
      <w:r w:rsidR="007B0E47" w:rsidRPr="00244534">
        <w:rPr>
          <w:rFonts w:ascii="ITC Avant Garde" w:hAnsi="ITC Avant Garde"/>
        </w:rPr>
        <w:t>sideraciones para cada una de la</w:t>
      </w:r>
      <w:r w:rsidRPr="00244534">
        <w:rPr>
          <w:rFonts w:ascii="ITC Avant Garde" w:hAnsi="ITC Avant Garde"/>
        </w:rPr>
        <w:t>s</w:t>
      </w:r>
      <w:r w:rsidR="007B0E47" w:rsidRPr="00244534">
        <w:rPr>
          <w:rFonts w:ascii="ITC Avant Garde" w:hAnsi="ITC Avant Garde"/>
        </w:rPr>
        <w:t xml:space="preserve"> participaciones</w:t>
      </w:r>
      <w:r w:rsidR="004B5491" w:rsidRPr="00244534">
        <w:rPr>
          <w:rFonts w:ascii="ITC Avant Garde" w:hAnsi="ITC Avant Garde"/>
        </w:rPr>
        <w:t xml:space="preserve"> recibidas</w:t>
      </w:r>
      <w:r w:rsidRPr="00244534">
        <w:rPr>
          <w:rFonts w:ascii="ITC Avant Garde" w:hAnsi="ITC Avant Garde"/>
        </w:rPr>
        <w:t xml:space="preserve">:  </w:t>
      </w:r>
    </w:p>
    <w:p w14:paraId="02A50906" w14:textId="77777777" w:rsidR="00050518" w:rsidRPr="00244534" w:rsidRDefault="00050518" w:rsidP="00100519">
      <w:pPr>
        <w:spacing w:line="276" w:lineRule="auto"/>
        <w:ind w:left="-5" w:right="0"/>
        <w:rPr>
          <w:rFonts w:ascii="ITC Avant Garde" w:hAnsi="ITC Avant Garde"/>
        </w:rPr>
      </w:pPr>
    </w:p>
    <w:p w14:paraId="1057D60B" w14:textId="77777777" w:rsidR="00AC200A" w:rsidRPr="00244534" w:rsidRDefault="00192F9F" w:rsidP="005E5201">
      <w:pPr>
        <w:spacing w:after="0" w:line="276" w:lineRule="auto"/>
        <w:ind w:left="0" w:right="0" w:firstLine="0"/>
        <w:rPr>
          <w:rFonts w:ascii="ITC Avant Garde" w:hAnsi="ITC Avant Garde"/>
          <w:b/>
        </w:rPr>
      </w:pPr>
      <w:r w:rsidRPr="00244534">
        <w:rPr>
          <w:rFonts w:ascii="ITC Avant Garde" w:hAnsi="ITC Avant Garde"/>
          <w:b/>
        </w:rPr>
        <w:t>OFERTA</w:t>
      </w:r>
    </w:p>
    <w:p w14:paraId="14BB1395" w14:textId="77777777" w:rsidR="00192F9F" w:rsidRPr="00244534" w:rsidRDefault="00192F9F" w:rsidP="005E5201">
      <w:pPr>
        <w:spacing w:after="0" w:line="276" w:lineRule="auto"/>
        <w:ind w:left="-5" w:right="0"/>
        <w:rPr>
          <w:rFonts w:ascii="ITC Avant Garde" w:hAnsi="ITC Avant Garde"/>
        </w:rPr>
      </w:pPr>
    </w:p>
    <w:p w14:paraId="67EAEC5B" w14:textId="77777777" w:rsidR="00192F9F" w:rsidRPr="00244534" w:rsidRDefault="00192F9F">
      <w:pPr>
        <w:spacing w:after="0" w:line="276" w:lineRule="auto"/>
        <w:ind w:left="-5" w:right="49"/>
        <w:rPr>
          <w:rFonts w:ascii="ITC Avant Garde" w:hAnsi="ITC Avant Garde"/>
          <w:b/>
          <w:color w:val="auto"/>
          <w:u w:val="single"/>
        </w:rPr>
      </w:pPr>
      <w:r w:rsidRPr="00244534">
        <w:rPr>
          <w:rFonts w:ascii="ITC Avant Garde" w:hAnsi="ITC Avant Garde"/>
          <w:b/>
          <w:color w:val="auto"/>
          <w:u w:val="single"/>
        </w:rPr>
        <w:t>Comentarios emitidos sobre el Numeral 2.- Definiciones</w:t>
      </w:r>
    </w:p>
    <w:p w14:paraId="3A7A45DC" w14:textId="77777777" w:rsidR="00192F9F" w:rsidRPr="00244534" w:rsidRDefault="00192F9F">
      <w:pPr>
        <w:spacing w:after="0" w:line="276" w:lineRule="auto"/>
        <w:ind w:left="-5" w:right="49"/>
        <w:rPr>
          <w:rFonts w:ascii="ITC Avant Garde" w:hAnsi="ITC Avant Garde"/>
          <w:b/>
          <w:color w:val="auto"/>
        </w:rPr>
      </w:pPr>
    </w:p>
    <w:p w14:paraId="7FD6EAD9"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Telefónica</w:t>
      </w:r>
      <w:r w:rsidR="000B4F36" w:rsidRPr="00244534">
        <w:rPr>
          <w:rFonts w:ascii="ITC Avant Garde" w:hAnsi="ITC Avant Garde"/>
          <w:b/>
          <w:color w:val="auto"/>
        </w:rPr>
        <w:t>:</w:t>
      </w:r>
    </w:p>
    <w:p w14:paraId="72FC968B" w14:textId="77777777" w:rsidR="00BA60A4" w:rsidRPr="00244534" w:rsidRDefault="00BA60A4" w:rsidP="005E5201">
      <w:pPr>
        <w:spacing w:after="0"/>
        <w:rPr>
          <w:rFonts w:ascii="ITC Avant Garde" w:hAnsi="ITC Avant Garde"/>
        </w:rPr>
      </w:pPr>
    </w:p>
    <w:p w14:paraId="5F283B52" w14:textId="4ED38A93" w:rsidR="00BA60A4" w:rsidRPr="00244534" w:rsidRDefault="00CB6359" w:rsidP="005E5201">
      <w:pPr>
        <w:spacing w:after="0" w:line="276" w:lineRule="auto"/>
        <w:ind w:left="-5" w:right="0"/>
        <w:rPr>
          <w:rFonts w:ascii="ITC Avant Garde" w:hAnsi="ITC Avant Garde"/>
          <w:color w:val="auto"/>
        </w:rPr>
      </w:pPr>
      <w:r w:rsidRPr="00244534">
        <w:rPr>
          <w:rFonts w:ascii="ITC Avant Garde" w:hAnsi="ITC Avant Garde"/>
          <w:color w:val="auto"/>
        </w:rPr>
        <w:t>S</w:t>
      </w:r>
      <w:r w:rsidR="00BA60A4" w:rsidRPr="00244534">
        <w:rPr>
          <w:rFonts w:ascii="ITC Avant Garde" w:hAnsi="ITC Avant Garde"/>
          <w:color w:val="auto"/>
        </w:rPr>
        <w:t xml:space="preserve">olicita preservar la definición de “Servicios Adicionales” </w:t>
      </w:r>
      <w:r w:rsidR="00366E31" w:rsidRPr="00244534">
        <w:rPr>
          <w:rFonts w:ascii="ITC Avant Garde" w:hAnsi="ITC Avant Garde"/>
          <w:color w:val="auto"/>
        </w:rPr>
        <w:t xml:space="preserve">considerada en la Oferta vigente </w:t>
      </w:r>
      <w:r w:rsidR="00323F4A" w:rsidRPr="00244534">
        <w:rPr>
          <w:rFonts w:ascii="ITC Avant Garde" w:hAnsi="ITC Avant Garde"/>
          <w:color w:val="auto"/>
        </w:rPr>
        <w:t>para no inc</w:t>
      </w:r>
      <w:r w:rsidR="00BA60A4" w:rsidRPr="00244534">
        <w:rPr>
          <w:rFonts w:ascii="ITC Avant Garde" w:hAnsi="ITC Avant Garde"/>
          <w:color w:val="auto"/>
        </w:rPr>
        <w:t>o</w:t>
      </w:r>
      <w:r w:rsidR="00323F4A" w:rsidRPr="00244534">
        <w:rPr>
          <w:rFonts w:ascii="ITC Avant Garde" w:hAnsi="ITC Avant Garde"/>
          <w:color w:val="auto"/>
        </w:rPr>
        <w:t>r</w:t>
      </w:r>
      <w:r w:rsidR="00BA60A4" w:rsidRPr="00244534">
        <w:rPr>
          <w:rFonts w:ascii="ITC Avant Garde" w:hAnsi="ITC Avant Garde"/>
          <w:color w:val="auto"/>
        </w:rPr>
        <w:t>porar el inciso ii)</w:t>
      </w:r>
      <w:r w:rsidR="00C253FD" w:rsidRPr="00244534">
        <w:rPr>
          <w:rFonts w:ascii="ITC Avant Garde" w:hAnsi="ITC Avant Garde"/>
          <w:color w:val="auto"/>
        </w:rPr>
        <w:t xml:space="preserve"> </w:t>
      </w:r>
      <w:r w:rsidR="00B1092C" w:rsidRPr="00244534">
        <w:rPr>
          <w:rFonts w:ascii="ITC Avant Garde" w:hAnsi="ITC Avant Garde"/>
          <w:color w:val="auto"/>
        </w:rPr>
        <w:t>por considerar</w:t>
      </w:r>
      <w:r w:rsidR="00BA60A4" w:rsidRPr="00244534">
        <w:rPr>
          <w:rFonts w:ascii="ITC Avant Garde" w:hAnsi="ITC Avant Garde"/>
          <w:color w:val="auto"/>
        </w:rPr>
        <w:t xml:space="preserve"> que</w:t>
      </w:r>
      <w:r w:rsidR="00C253FD" w:rsidRPr="00244534">
        <w:rPr>
          <w:rFonts w:ascii="ITC Avant Garde" w:hAnsi="ITC Avant Garde"/>
          <w:color w:val="auto"/>
        </w:rPr>
        <w:t xml:space="preserve"> </w:t>
      </w:r>
      <w:r w:rsidR="00BA60A4" w:rsidRPr="00244534">
        <w:rPr>
          <w:rFonts w:ascii="ITC Avant Garde" w:hAnsi="ITC Avant Garde"/>
          <w:color w:val="auto"/>
        </w:rPr>
        <w:t xml:space="preserve">dicho </w:t>
      </w:r>
      <w:r w:rsidR="00192F9F" w:rsidRPr="00244534">
        <w:rPr>
          <w:rFonts w:ascii="ITC Avant Garde" w:hAnsi="ITC Avant Garde"/>
          <w:color w:val="auto"/>
        </w:rPr>
        <w:t>inciso</w:t>
      </w:r>
      <w:r w:rsidR="00BA60A4" w:rsidRPr="00244534">
        <w:rPr>
          <w:rFonts w:ascii="ITC Avant Garde" w:hAnsi="ITC Avant Garde"/>
          <w:color w:val="auto"/>
        </w:rPr>
        <w:t xml:space="preserve"> otorga discrecionalidad al AEP para realizar cobro</w:t>
      </w:r>
      <w:r w:rsidR="00C253FD" w:rsidRPr="00244534">
        <w:rPr>
          <w:rFonts w:ascii="ITC Avant Garde" w:hAnsi="ITC Avant Garde"/>
          <w:color w:val="auto"/>
        </w:rPr>
        <w:t>s en las zonas que así lo considere,</w:t>
      </w:r>
      <w:r w:rsidR="00BA60A4" w:rsidRPr="00244534">
        <w:rPr>
          <w:rFonts w:ascii="ITC Avant Garde" w:hAnsi="ITC Avant Garde"/>
          <w:color w:val="auto"/>
        </w:rPr>
        <w:t xml:space="preserve"> </w:t>
      </w:r>
      <w:r w:rsidR="00C253FD" w:rsidRPr="00244534">
        <w:rPr>
          <w:rFonts w:ascii="ITC Avant Garde" w:hAnsi="ITC Avant Garde"/>
          <w:color w:val="auto"/>
        </w:rPr>
        <w:t>aun</w:t>
      </w:r>
      <w:r w:rsidR="00BA60A4" w:rsidRPr="00244534">
        <w:rPr>
          <w:rFonts w:ascii="ITC Avant Garde" w:hAnsi="ITC Avant Garde"/>
          <w:color w:val="auto"/>
        </w:rPr>
        <w:t xml:space="preserve"> cuando la cobertura del Concesionario Solicitante no sea suficiente para proveer los servicios materia de la Oferta de referencia. Telefónica argumenta también que el ampliar el uso del término significa condiciones menos favorables a las contenidas en la Oferta </w:t>
      </w:r>
      <w:r w:rsidR="00366E31" w:rsidRPr="00244534">
        <w:rPr>
          <w:rFonts w:ascii="ITC Avant Garde" w:hAnsi="ITC Avant Garde"/>
          <w:color w:val="auto"/>
        </w:rPr>
        <w:t>vigente</w:t>
      </w:r>
      <w:r w:rsidR="00BA60A4" w:rsidRPr="00244534">
        <w:rPr>
          <w:rFonts w:ascii="ITC Avant Garde" w:hAnsi="ITC Avant Garde"/>
          <w:color w:val="auto"/>
        </w:rPr>
        <w:t xml:space="preserve">. </w:t>
      </w:r>
    </w:p>
    <w:p w14:paraId="25789720" w14:textId="77777777" w:rsidR="00BA60A4" w:rsidRPr="00244534" w:rsidRDefault="00BA60A4">
      <w:pPr>
        <w:pStyle w:val="Listaconvietas"/>
        <w:numPr>
          <w:ilvl w:val="0"/>
          <w:numId w:val="0"/>
        </w:numPr>
        <w:rPr>
          <w:color w:val="auto"/>
          <w:lang w:val="es-MX"/>
        </w:rPr>
      </w:pPr>
    </w:p>
    <w:p w14:paraId="1E4A7467" w14:textId="77777777" w:rsidR="001F5A30" w:rsidRPr="00244534" w:rsidRDefault="001F5A30">
      <w:pPr>
        <w:pStyle w:val="Listaconvietas"/>
        <w:numPr>
          <w:ilvl w:val="0"/>
          <w:numId w:val="0"/>
        </w:numPr>
        <w:rPr>
          <w:i/>
          <w:color w:val="auto"/>
          <w:lang w:val="es-MX"/>
        </w:rPr>
      </w:pPr>
      <w:r w:rsidRPr="00244534">
        <w:rPr>
          <w:i/>
          <w:color w:val="auto"/>
          <w:lang w:val="es-MX"/>
        </w:rPr>
        <w:t>Consideraciones del Instituto</w:t>
      </w:r>
    </w:p>
    <w:p w14:paraId="29605BBA" w14:textId="77777777" w:rsidR="001F5A30" w:rsidRPr="00244534" w:rsidRDefault="001F5A30">
      <w:pPr>
        <w:pStyle w:val="Listaconvietas"/>
        <w:numPr>
          <w:ilvl w:val="0"/>
          <w:numId w:val="0"/>
        </w:numPr>
        <w:rPr>
          <w:color w:val="auto"/>
          <w:lang w:val="es-MX"/>
        </w:rPr>
      </w:pPr>
    </w:p>
    <w:p w14:paraId="70ABACE8" w14:textId="77777777" w:rsidR="005F3955" w:rsidRPr="00244534" w:rsidRDefault="00BA60A4" w:rsidP="005E5201">
      <w:pPr>
        <w:spacing w:after="0" w:line="276" w:lineRule="auto"/>
        <w:ind w:left="-5" w:right="0"/>
        <w:rPr>
          <w:rFonts w:ascii="ITC Avant Garde" w:hAnsi="ITC Avant Garde"/>
          <w:color w:val="5B9BD5" w:themeColor="accent1"/>
        </w:rPr>
      </w:pPr>
      <w:r w:rsidRPr="00244534">
        <w:rPr>
          <w:rFonts w:ascii="ITC Avant Garde" w:hAnsi="ITC Avant Garde"/>
          <w:color w:val="5B9BD5" w:themeColor="accent1"/>
        </w:rPr>
        <w:t xml:space="preserve">El Instituto considera que </w:t>
      </w:r>
      <w:r w:rsidR="00E378BD" w:rsidRPr="00244534">
        <w:rPr>
          <w:rFonts w:ascii="ITC Avant Garde" w:hAnsi="ITC Avant Garde"/>
          <w:color w:val="5B9BD5" w:themeColor="accent1"/>
        </w:rPr>
        <w:t xml:space="preserve">la adición del </w:t>
      </w:r>
      <w:r w:rsidRPr="00244534">
        <w:rPr>
          <w:rFonts w:ascii="ITC Avant Garde" w:hAnsi="ITC Avant Garde"/>
          <w:color w:val="5B9BD5" w:themeColor="accent1"/>
        </w:rPr>
        <w:t xml:space="preserve">inciso ii) </w:t>
      </w:r>
      <w:r w:rsidR="00E378BD" w:rsidRPr="00244534">
        <w:rPr>
          <w:rFonts w:ascii="ITC Avant Garde" w:hAnsi="ITC Avant Garde"/>
          <w:color w:val="5B9BD5" w:themeColor="accent1"/>
        </w:rPr>
        <w:t xml:space="preserve">permite </w:t>
      </w:r>
      <w:r w:rsidRPr="00244534">
        <w:rPr>
          <w:rFonts w:ascii="ITC Avant Garde" w:hAnsi="ITC Avant Garde"/>
          <w:color w:val="5B9BD5" w:themeColor="accent1"/>
        </w:rPr>
        <w:t xml:space="preserve">definir </w:t>
      </w:r>
      <w:r w:rsidR="00E378BD" w:rsidRPr="00244534">
        <w:rPr>
          <w:rFonts w:ascii="ITC Avant Garde" w:hAnsi="ITC Avant Garde"/>
          <w:color w:val="5B9BD5" w:themeColor="accent1"/>
        </w:rPr>
        <w:t xml:space="preserve">el </w:t>
      </w:r>
      <w:r w:rsidRPr="00244534">
        <w:rPr>
          <w:rFonts w:ascii="ITC Avant Garde" w:hAnsi="ITC Avant Garde"/>
          <w:color w:val="5B9BD5" w:themeColor="accent1"/>
        </w:rPr>
        <w:t xml:space="preserve">cobro de servicios que pudieran no estar contemplados dentro de los servicios mayoristas regulados. Para dar claridad al </w:t>
      </w:r>
      <w:r w:rsidR="00B57B37" w:rsidRPr="00244534">
        <w:rPr>
          <w:rFonts w:ascii="ITC Avant Garde" w:hAnsi="ITC Avant Garde"/>
          <w:color w:val="5B9BD5" w:themeColor="accent1"/>
        </w:rPr>
        <w:t>término</w:t>
      </w:r>
      <w:r w:rsidRPr="00244534">
        <w:rPr>
          <w:rFonts w:ascii="ITC Avant Garde" w:hAnsi="ITC Avant Garde"/>
          <w:color w:val="5B9BD5" w:themeColor="accent1"/>
        </w:rPr>
        <w:t xml:space="preserve"> “Servicios Adicionales”</w:t>
      </w:r>
      <w:r w:rsidR="00E378BD" w:rsidRPr="00244534">
        <w:rPr>
          <w:rFonts w:ascii="ITC Avant Garde" w:hAnsi="ITC Avant Garde"/>
          <w:color w:val="5B9BD5" w:themeColor="accent1"/>
        </w:rPr>
        <w:t>,</w:t>
      </w:r>
      <w:r w:rsidRPr="00244534">
        <w:rPr>
          <w:rFonts w:ascii="ITC Avant Garde" w:hAnsi="ITC Avant Garde"/>
          <w:color w:val="5B9BD5" w:themeColor="accent1"/>
        </w:rPr>
        <w:t xml:space="preserve"> así como evitar la discrecionalidad en su uso, se ali</w:t>
      </w:r>
      <w:r w:rsidR="00B1092C" w:rsidRPr="00244534">
        <w:rPr>
          <w:rFonts w:ascii="ITC Avant Garde" w:hAnsi="ITC Avant Garde"/>
          <w:color w:val="5B9BD5" w:themeColor="accent1"/>
        </w:rPr>
        <w:t>nea el significado del término con</w:t>
      </w:r>
      <w:r w:rsidRPr="00244534">
        <w:rPr>
          <w:rFonts w:ascii="ITC Avant Garde" w:hAnsi="ITC Avant Garde"/>
          <w:color w:val="5B9BD5" w:themeColor="accent1"/>
        </w:rPr>
        <w:t xml:space="preserve"> la </w:t>
      </w:r>
      <w:r w:rsidR="00366E31" w:rsidRPr="00244534">
        <w:rPr>
          <w:rFonts w:ascii="ITC Avant Garde" w:hAnsi="ITC Avant Garde"/>
          <w:color w:val="5B9BD5" w:themeColor="accent1"/>
        </w:rPr>
        <w:t>M</w:t>
      </w:r>
      <w:r w:rsidRPr="00244534">
        <w:rPr>
          <w:rFonts w:ascii="ITC Avant Garde" w:hAnsi="ITC Avant Garde"/>
          <w:color w:val="5B9BD5" w:themeColor="accent1"/>
        </w:rPr>
        <w:t>edida Vigésima Tercera</w:t>
      </w:r>
      <w:r w:rsidR="00366E31" w:rsidRPr="00244534">
        <w:rPr>
          <w:rFonts w:ascii="ITC Avant Garde" w:hAnsi="ITC Avant Garde"/>
          <w:color w:val="5B9BD5" w:themeColor="accent1"/>
        </w:rPr>
        <w:t xml:space="preserve"> de las Medidas Móviles</w:t>
      </w:r>
      <w:r w:rsidR="005F3955" w:rsidRPr="00244534">
        <w:rPr>
          <w:rFonts w:ascii="ITC Avant Garde" w:hAnsi="ITC Avant Garde"/>
          <w:color w:val="5B9BD5" w:themeColor="accent1"/>
        </w:rPr>
        <w:t>, la cual establece:</w:t>
      </w:r>
    </w:p>
    <w:p w14:paraId="05154548" w14:textId="77777777" w:rsidR="005F3955" w:rsidRPr="00244534" w:rsidRDefault="005F3955" w:rsidP="005E5201">
      <w:pPr>
        <w:spacing w:after="0" w:line="276" w:lineRule="auto"/>
        <w:ind w:left="-5" w:right="0"/>
        <w:rPr>
          <w:rFonts w:ascii="ITC Avant Garde" w:hAnsi="ITC Avant Garde"/>
          <w:color w:val="5B9BD5" w:themeColor="accent1"/>
        </w:rPr>
      </w:pPr>
    </w:p>
    <w:p w14:paraId="1C0F9E85" w14:textId="77777777" w:rsidR="005F3955" w:rsidRPr="00244534" w:rsidRDefault="005F3955" w:rsidP="001377A1">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“VIGÉSIMA </w:t>
      </w:r>
      <w:r w:rsidR="00B1092C" w:rsidRPr="00244534">
        <w:rPr>
          <w:rFonts w:ascii="ITC Avant Garde" w:eastAsia="Calibri" w:hAnsi="ITC Avant Garde" w:cs="Arial"/>
          <w:i/>
          <w:color w:val="5B9BD5" w:themeColor="accent1"/>
          <w:sz w:val="18"/>
          <w:szCs w:val="18"/>
          <w:lang w:eastAsia="en-US"/>
        </w:rPr>
        <w:t>TERCERA. -</w:t>
      </w:r>
      <w:r w:rsidRPr="00244534">
        <w:rPr>
          <w:rFonts w:ascii="ITC Avant Garde" w:eastAsia="Calibri" w:hAnsi="ITC Avant Garde" w:cs="Arial"/>
          <w:i/>
          <w:color w:val="5B9BD5" w:themeColor="accent1"/>
          <w:sz w:val="18"/>
          <w:szCs w:val="18"/>
          <w:lang w:eastAsia="en-US"/>
        </w:rPr>
        <w:t xml:space="preserve"> El Agente Económico Preponderante deberá prestar el Servicio Mayorista de Usuario Visitante a los Concesionarios Solicitantes, de manera temporal por zona de cobertura y exclusivamente en aquéllas en las que el Concesionario Solicitante </w:t>
      </w:r>
      <w:r w:rsidRPr="00244534">
        <w:rPr>
          <w:rFonts w:ascii="ITC Avant Garde" w:eastAsia="Calibri" w:hAnsi="ITC Avant Garde" w:cs="Arial"/>
          <w:i/>
          <w:color w:val="5B9BD5" w:themeColor="accent1"/>
          <w:sz w:val="18"/>
          <w:szCs w:val="18"/>
          <w:u w:val="single"/>
          <w:lang w:eastAsia="en-US"/>
        </w:rPr>
        <w:t>no cuente con infraestructura o no preste el servicio móvil</w:t>
      </w:r>
      <w:r w:rsidRPr="00244534">
        <w:rPr>
          <w:rFonts w:ascii="ITC Avant Garde" w:eastAsia="Calibri" w:hAnsi="ITC Avant Garde" w:cs="Arial"/>
          <w:i/>
          <w:color w:val="5B9BD5" w:themeColor="accent1"/>
          <w:sz w:val="18"/>
          <w:szCs w:val="18"/>
          <w:lang w:eastAsia="en-US"/>
        </w:rPr>
        <w:t>. Para tal efecto, el Agente Económico Preponderante deberá proporcionar las facilidades técnicas que sean necesarias al Concesionario Solicitante.”</w:t>
      </w:r>
    </w:p>
    <w:p w14:paraId="1E41131C" w14:textId="77777777" w:rsidR="00BA6D48" w:rsidRPr="00244534" w:rsidRDefault="00BA6D48" w:rsidP="00BA6D48">
      <w:pPr>
        <w:spacing w:after="0" w:line="276" w:lineRule="auto"/>
        <w:ind w:left="567"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lastRenderedPageBreak/>
        <w:t>(Énfasis añadido)</w:t>
      </w:r>
    </w:p>
    <w:p w14:paraId="4186D4E4" w14:textId="77777777" w:rsidR="005F3955" w:rsidRPr="00244534" w:rsidRDefault="005F3955" w:rsidP="005E5201">
      <w:pPr>
        <w:spacing w:after="0" w:line="276" w:lineRule="auto"/>
        <w:ind w:left="-5" w:right="0"/>
        <w:rPr>
          <w:rFonts w:ascii="ITC Avant Garde" w:hAnsi="ITC Avant Garde"/>
          <w:color w:val="5B9BD5" w:themeColor="accent1"/>
        </w:rPr>
      </w:pPr>
    </w:p>
    <w:p w14:paraId="6CA1FFC0" w14:textId="77777777" w:rsidR="00BA60A4" w:rsidRPr="00244534" w:rsidRDefault="00D74F67" w:rsidP="005E5201">
      <w:pPr>
        <w:spacing w:after="0" w:line="276" w:lineRule="auto"/>
        <w:ind w:left="-5" w:right="0"/>
        <w:rPr>
          <w:rFonts w:ascii="ITC Avant Garde" w:hAnsi="ITC Avant Garde"/>
          <w:color w:val="5B9BD5" w:themeColor="accent1"/>
        </w:rPr>
      </w:pPr>
      <w:r w:rsidRPr="00244534">
        <w:rPr>
          <w:rFonts w:ascii="ITC Avant Garde" w:hAnsi="ITC Avant Garde"/>
          <w:color w:val="5B9BD5" w:themeColor="accent1"/>
        </w:rPr>
        <w:t xml:space="preserve">  </w:t>
      </w:r>
      <w:r w:rsidR="005F3955" w:rsidRPr="00244534">
        <w:rPr>
          <w:rFonts w:ascii="ITC Avant Garde" w:hAnsi="ITC Avant Garde"/>
          <w:color w:val="5B9BD5" w:themeColor="accent1"/>
        </w:rPr>
        <w:t>Por lo cual se modifica la definición de Servicios Adicionales como:</w:t>
      </w:r>
    </w:p>
    <w:p w14:paraId="1DDD492F" w14:textId="77777777" w:rsidR="001E11B3" w:rsidRPr="00244534" w:rsidRDefault="001E11B3" w:rsidP="005E5201">
      <w:pPr>
        <w:spacing w:after="0" w:line="276" w:lineRule="auto"/>
        <w:ind w:left="-5" w:right="0"/>
        <w:rPr>
          <w:rFonts w:ascii="ITC Avant Garde" w:hAnsi="ITC Avant Garde"/>
          <w:color w:val="5B9BD5" w:themeColor="accent1"/>
        </w:rPr>
      </w:pPr>
    </w:p>
    <w:p w14:paraId="4D4D6139" w14:textId="77777777" w:rsidR="001E11B3" w:rsidRPr="00244534" w:rsidRDefault="001E11B3" w:rsidP="001377A1">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“Servicios Adicionales de la Oferta: Servicios que Telcel presta al Concesionario: (i) en la zona donde el </w:t>
      </w:r>
      <w:r w:rsidR="009074D4" w:rsidRPr="00244534">
        <w:rPr>
          <w:rFonts w:ascii="ITC Avant Garde" w:eastAsia="Calibri" w:hAnsi="ITC Avant Garde" w:cs="Arial"/>
          <w:i/>
          <w:color w:val="5B9BD5" w:themeColor="accent1"/>
          <w:sz w:val="18"/>
          <w:szCs w:val="18"/>
          <w:lang w:eastAsia="en-US"/>
        </w:rPr>
        <w:t>Concesionario cuenta con</w:t>
      </w:r>
      <w:r w:rsidRPr="00244534">
        <w:rPr>
          <w:rFonts w:ascii="ITC Avant Garde" w:eastAsia="Calibri" w:hAnsi="ITC Avant Garde" w:cs="Arial"/>
          <w:i/>
          <w:color w:val="5B9BD5" w:themeColor="accent1"/>
          <w:sz w:val="18"/>
          <w:szCs w:val="18"/>
          <w:lang w:eastAsia="en-US"/>
        </w:rPr>
        <w:t xml:space="preserve"> infraestructura o presta el servicio móvil Red; (ii) cualquier otro servicio distinto a los contemplados en la Oferta de Referencia”</w:t>
      </w:r>
    </w:p>
    <w:p w14:paraId="2C9796AF" w14:textId="77777777" w:rsidR="00C13923" w:rsidRPr="00244534" w:rsidRDefault="00C13923" w:rsidP="00B1092C">
      <w:pPr>
        <w:spacing w:after="0" w:line="276" w:lineRule="auto"/>
        <w:ind w:left="0" w:right="49" w:firstLine="0"/>
        <w:rPr>
          <w:rFonts w:ascii="ITC Avant Garde" w:hAnsi="ITC Avant Garde"/>
          <w:b/>
          <w:color w:val="auto"/>
        </w:rPr>
      </w:pPr>
    </w:p>
    <w:p w14:paraId="4E7C7C48" w14:textId="77777777" w:rsidR="00885968" w:rsidRPr="00244534" w:rsidRDefault="00807310" w:rsidP="00885968">
      <w:pPr>
        <w:spacing w:after="0" w:line="276" w:lineRule="auto"/>
        <w:ind w:left="-5" w:right="49"/>
        <w:rPr>
          <w:rFonts w:ascii="ITC Avant Garde" w:hAnsi="ITC Avant Garde"/>
          <w:b/>
          <w:color w:val="auto"/>
        </w:rPr>
      </w:pPr>
      <w:r w:rsidRPr="00244534">
        <w:rPr>
          <w:rFonts w:ascii="ITC Avant Garde" w:hAnsi="ITC Avant Garde"/>
          <w:b/>
          <w:color w:val="auto"/>
        </w:rPr>
        <w:t xml:space="preserve">Grupo </w:t>
      </w:r>
      <w:r w:rsidR="00885968" w:rsidRPr="00244534">
        <w:rPr>
          <w:rFonts w:ascii="ITC Avant Garde" w:hAnsi="ITC Avant Garde"/>
          <w:b/>
          <w:color w:val="auto"/>
        </w:rPr>
        <w:t>Televisa:</w:t>
      </w:r>
    </w:p>
    <w:p w14:paraId="18B8C5A7" w14:textId="77777777" w:rsidR="00885968" w:rsidRPr="00244534" w:rsidRDefault="00885968" w:rsidP="00885968">
      <w:pPr>
        <w:spacing w:after="0" w:line="276" w:lineRule="auto"/>
        <w:ind w:left="-5" w:right="49"/>
        <w:rPr>
          <w:rFonts w:ascii="ITC Avant Garde" w:hAnsi="ITC Avant Garde"/>
          <w:b/>
          <w:color w:val="auto"/>
        </w:rPr>
      </w:pPr>
    </w:p>
    <w:p w14:paraId="038355F0" w14:textId="77777777" w:rsidR="00885968" w:rsidRPr="00244534" w:rsidRDefault="00C21681" w:rsidP="00B14509">
      <w:pPr>
        <w:spacing w:after="0" w:line="276" w:lineRule="auto"/>
        <w:ind w:left="-5" w:right="0"/>
        <w:rPr>
          <w:rFonts w:ascii="ITC Avant Garde" w:hAnsi="ITC Avant Garde"/>
          <w:color w:val="auto"/>
        </w:rPr>
      </w:pPr>
      <w:r w:rsidRPr="00244534">
        <w:rPr>
          <w:rFonts w:ascii="ITC Avant Garde" w:hAnsi="ITC Avant Garde"/>
          <w:color w:val="auto"/>
        </w:rPr>
        <w:t>C</w:t>
      </w:r>
      <w:r w:rsidR="009C31D6" w:rsidRPr="00244534">
        <w:rPr>
          <w:rFonts w:ascii="ITC Avant Garde" w:hAnsi="ITC Avant Garde"/>
          <w:color w:val="auto"/>
        </w:rPr>
        <w:t>omenta</w:t>
      </w:r>
      <w:r w:rsidR="00885968" w:rsidRPr="00244534">
        <w:rPr>
          <w:rFonts w:ascii="ITC Avant Garde" w:hAnsi="ITC Avant Garde"/>
          <w:color w:val="auto"/>
        </w:rPr>
        <w:t xml:space="preserve"> que la Oferta debe contemplar con claridad </w:t>
      </w:r>
      <w:r w:rsidR="00415934" w:rsidRPr="00244534">
        <w:rPr>
          <w:rFonts w:ascii="ITC Avant Garde" w:hAnsi="ITC Avant Garde"/>
          <w:color w:val="auto"/>
        </w:rPr>
        <w:t>el significado de “</w:t>
      </w:r>
      <w:r w:rsidR="00885968" w:rsidRPr="00244534">
        <w:rPr>
          <w:rFonts w:ascii="ITC Avant Garde" w:hAnsi="ITC Avant Garde"/>
          <w:color w:val="auto"/>
        </w:rPr>
        <w:t>Tráfico Irregular</w:t>
      </w:r>
      <w:r w:rsidR="00415934" w:rsidRPr="00244534">
        <w:rPr>
          <w:rFonts w:ascii="ITC Avant Garde" w:hAnsi="ITC Avant Garde"/>
          <w:color w:val="auto"/>
        </w:rPr>
        <w:t>”</w:t>
      </w:r>
      <w:r w:rsidR="0031757D" w:rsidRPr="00244534">
        <w:rPr>
          <w:rFonts w:ascii="ITC Avant Garde" w:hAnsi="ITC Avant Garde"/>
          <w:color w:val="auto"/>
        </w:rPr>
        <w:t xml:space="preserve"> o “Señalización Irregular”</w:t>
      </w:r>
      <w:r w:rsidR="00885968" w:rsidRPr="00244534">
        <w:rPr>
          <w:rFonts w:ascii="ITC Avant Garde" w:hAnsi="ITC Avant Garde"/>
          <w:color w:val="auto"/>
        </w:rPr>
        <w:t xml:space="preserve">. </w:t>
      </w:r>
      <w:r w:rsidR="00635B8C" w:rsidRPr="00244534">
        <w:rPr>
          <w:rFonts w:ascii="ITC Avant Garde" w:hAnsi="ITC Avant Garde"/>
          <w:color w:val="auto"/>
        </w:rPr>
        <w:t>Asimismo, el tratamiento del tráfico irregular debe prever una noti</w:t>
      </w:r>
      <w:r w:rsidR="00834593" w:rsidRPr="00244534">
        <w:rPr>
          <w:rFonts w:ascii="ITC Avant Garde" w:hAnsi="ITC Avant Garde"/>
          <w:color w:val="auto"/>
        </w:rPr>
        <w:t>ficación por parte del AEP al concesionario</w:t>
      </w:r>
      <w:r w:rsidR="00635B8C" w:rsidRPr="00244534">
        <w:rPr>
          <w:rFonts w:ascii="ITC Avant Garde" w:hAnsi="ITC Avant Garde"/>
          <w:color w:val="auto"/>
        </w:rPr>
        <w:t xml:space="preserve"> para determinar si se suspende el servicio del usuario final.</w:t>
      </w:r>
    </w:p>
    <w:p w14:paraId="6084897D" w14:textId="77777777" w:rsidR="00E95242" w:rsidRPr="00244534" w:rsidRDefault="00E95242" w:rsidP="00E95242">
      <w:pPr>
        <w:spacing w:after="0" w:line="276" w:lineRule="auto"/>
        <w:ind w:left="-5" w:right="49"/>
        <w:rPr>
          <w:rFonts w:ascii="ITC Avant Garde" w:hAnsi="ITC Avant Garde"/>
          <w:color w:val="auto"/>
        </w:rPr>
      </w:pPr>
    </w:p>
    <w:p w14:paraId="579B6E2E" w14:textId="77777777" w:rsidR="001F5A30" w:rsidRPr="00244534" w:rsidRDefault="001F5A30" w:rsidP="001F5A30">
      <w:pPr>
        <w:pStyle w:val="Listaconvietas"/>
        <w:numPr>
          <w:ilvl w:val="0"/>
          <w:numId w:val="0"/>
        </w:numPr>
        <w:rPr>
          <w:i/>
          <w:color w:val="auto"/>
          <w:lang w:val="es-MX"/>
        </w:rPr>
      </w:pPr>
      <w:r w:rsidRPr="00244534">
        <w:rPr>
          <w:i/>
          <w:color w:val="auto"/>
          <w:lang w:val="es-MX"/>
        </w:rPr>
        <w:t>Consideraciones del Instituto</w:t>
      </w:r>
    </w:p>
    <w:p w14:paraId="00DEB886" w14:textId="77777777" w:rsidR="001F5A30" w:rsidRPr="00244534" w:rsidRDefault="001F5A30" w:rsidP="00E95242">
      <w:pPr>
        <w:spacing w:after="0" w:line="276" w:lineRule="auto"/>
        <w:ind w:left="-5" w:right="49"/>
        <w:rPr>
          <w:rFonts w:ascii="ITC Avant Garde" w:hAnsi="ITC Avant Garde"/>
          <w:color w:val="auto"/>
        </w:rPr>
      </w:pPr>
    </w:p>
    <w:p w14:paraId="7B59B009" w14:textId="77777777" w:rsidR="00885968" w:rsidRPr="00244534" w:rsidRDefault="001F5A30" w:rsidP="00885968">
      <w:pPr>
        <w:spacing w:after="0" w:line="276" w:lineRule="auto"/>
        <w:ind w:left="-5" w:right="49"/>
        <w:rPr>
          <w:rFonts w:ascii="ITC Avant Garde" w:hAnsi="ITC Avant Garde"/>
          <w:color w:val="5B9BD5" w:themeColor="accent1"/>
        </w:rPr>
      </w:pPr>
      <w:r w:rsidRPr="00244534">
        <w:rPr>
          <w:rFonts w:ascii="ITC Avant Garde" w:hAnsi="ITC Avant Garde"/>
          <w:color w:val="5B9BD5" w:themeColor="accent1"/>
        </w:rPr>
        <w:t>Se modificó la Oferta para</w:t>
      </w:r>
      <w:r w:rsidR="006E3510" w:rsidRPr="00244534">
        <w:rPr>
          <w:rFonts w:ascii="ITC Avant Garde" w:hAnsi="ITC Avant Garde"/>
          <w:color w:val="5B9BD5" w:themeColor="accent1"/>
        </w:rPr>
        <w:t xml:space="preserve"> </w:t>
      </w:r>
      <w:r w:rsidRPr="00244534">
        <w:rPr>
          <w:rFonts w:ascii="ITC Avant Garde" w:hAnsi="ITC Avant Garde"/>
          <w:color w:val="5B9BD5" w:themeColor="accent1"/>
        </w:rPr>
        <w:t>incluir</w:t>
      </w:r>
      <w:r w:rsidR="00E415AE" w:rsidRPr="00244534">
        <w:rPr>
          <w:rFonts w:ascii="ITC Avant Garde" w:hAnsi="ITC Avant Garde"/>
          <w:color w:val="5B9BD5" w:themeColor="accent1"/>
        </w:rPr>
        <w:t xml:space="preserve"> el </w:t>
      </w:r>
      <w:r w:rsidR="006E3510" w:rsidRPr="00244534">
        <w:rPr>
          <w:rFonts w:ascii="ITC Avant Garde" w:hAnsi="ITC Avant Garde"/>
          <w:color w:val="5B9BD5" w:themeColor="accent1"/>
        </w:rPr>
        <w:t>término “</w:t>
      </w:r>
      <w:r w:rsidR="00E415AE" w:rsidRPr="00244534">
        <w:rPr>
          <w:rFonts w:ascii="ITC Avant Garde" w:hAnsi="ITC Avant Garde"/>
          <w:color w:val="5B9BD5" w:themeColor="accent1"/>
        </w:rPr>
        <w:t>tráfico irregular</w:t>
      </w:r>
      <w:r w:rsidR="006E3510" w:rsidRPr="00244534">
        <w:rPr>
          <w:rFonts w:ascii="ITC Avant Garde" w:hAnsi="ITC Avant Garde"/>
          <w:color w:val="5B9BD5" w:themeColor="accent1"/>
        </w:rPr>
        <w:t>”</w:t>
      </w:r>
      <w:r w:rsidR="00E415AE" w:rsidRPr="00244534">
        <w:rPr>
          <w:rFonts w:ascii="ITC Avant Garde" w:hAnsi="ITC Avant Garde"/>
          <w:color w:val="5B9BD5" w:themeColor="accent1"/>
        </w:rPr>
        <w:t xml:space="preserve"> de acuerdo a </w:t>
      </w:r>
      <w:r w:rsidR="00B57B37" w:rsidRPr="00244534">
        <w:rPr>
          <w:rFonts w:ascii="ITC Avant Garde" w:hAnsi="ITC Avant Garde"/>
          <w:color w:val="5B9BD5" w:themeColor="accent1"/>
        </w:rPr>
        <w:t>estándares</w:t>
      </w:r>
      <w:r w:rsidR="00E415AE" w:rsidRPr="00244534">
        <w:rPr>
          <w:rFonts w:ascii="ITC Avant Garde" w:hAnsi="ITC Avant Garde"/>
          <w:color w:val="5B9BD5" w:themeColor="accent1"/>
        </w:rPr>
        <w:t xml:space="preserve"> </w:t>
      </w:r>
      <w:r w:rsidR="00B57B37" w:rsidRPr="00244534">
        <w:rPr>
          <w:rFonts w:ascii="ITC Avant Garde" w:hAnsi="ITC Avant Garde"/>
          <w:color w:val="5B9BD5" w:themeColor="accent1"/>
        </w:rPr>
        <w:t>internacionales</w:t>
      </w:r>
      <w:r w:rsidR="00E415AE" w:rsidRPr="00244534">
        <w:rPr>
          <w:rFonts w:ascii="ITC Avant Garde" w:hAnsi="ITC Avant Garde"/>
          <w:color w:val="5B9BD5" w:themeColor="accent1"/>
        </w:rPr>
        <w:t xml:space="preserve"> </w:t>
      </w:r>
      <w:r w:rsidRPr="00244534">
        <w:rPr>
          <w:rFonts w:ascii="ITC Avant Garde" w:hAnsi="ITC Avant Garde"/>
          <w:color w:val="5B9BD5" w:themeColor="accent1"/>
        </w:rPr>
        <w:t>y</w:t>
      </w:r>
      <w:r w:rsidR="00E415AE" w:rsidRPr="00244534">
        <w:rPr>
          <w:rFonts w:ascii="ITC Avant Garde" w:hAnsi="ITC Avant Garde"/>
          <w:color w:val="5B9BD5" w:themeColor="accent1"/>
        </w:rPr>
        <w:t xml:space="preserve"> dar claridad al mismo</w:t>
      </w:r>
      <w:r w:rsidR="00C21681" w:rsidRPr="00244534">
        <w:rPr>
          <w:rFonts w:ascii="ITC Avant Garde" w:hAnsi="ITC Avant Garde"/>
          <w:color w:val="5B9BD5" w:themeColor="accent1"/>
        </w:rPr>
        <w:t>.</w:t>
      </w:r>
      <w:r w:rsidR="00E415AE" w:rsidRPr="00244534">
        <w:rPr>
          <w:rFonts w:ascii="ITC Avant Garde" w:hAnsi="ITC Avant Garde"/>
          <w:color w:val="5B9BD5" w:themeColor="accent1"/>
        </w:rPr>
        <w:t xml:space="preserve"> Su significado queda de la siguiente manera:</w:t>
      </w:r>
    </w:p>
    <w:p w14:paraId="3AC354CA" w14:textId="77777777" w:rsidR="00E415AE" w:rsidRPr="00244534" w:rsidRDefault="00E415AE" w:rsidP="00885968">
      <w:pPr>
        <w:spacing w:after="0" w:line="276" w:lineRule="auto"/>
        <w:ind w:left="-5" w:right="49"/>
        <w:rPr>
          <w:rFonts w:ascii="ITC Avant Garde" w:hAnsi="ITC Avant Garde"/>
          <w:color w:val="auto"/>
        </w:rPr>
      </w:pPr>
    </w:p>
    <w:p w14:paraId="729890A3" w14:textId="77777777" w:rsidR="00E415AE" w:rsidRPr="00244534" w:rsidRDefault="00E415AE" w:rsidP="00B25FCD">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“Tráfico Irregular: Es aquel tráfico de acuerdo a la sección 10.4 “Fraudulent Traffic” del documento BA.20 de la GSMA.”</w:t>
      </w:r>
    </w:p>
    <w:p w14:paraId="61F1B373" w14:textId="77777777" w:rsidR="00E415AE" w:rsidRPr="00244534" w:rsidRDefault="00E415AE" w:rsidP="005E5201">
      <w:pPr>
        <w:spacing w:after="0" w:line="276" w:lineRule="auto"/>
        <w:ind w:left="-5" w:right="49"/>
        <w:rPr>
          <w:rFonts w:ascii="ITC Avant Garde" w:hAnsi="ITC Avant Garde"/>
          <w:color w:val="auto"/>
        </w:rPr>
      </w:pPr>
    </w:p>
    <w:p w14:paraId="107E34E5" w14:textId="77777777" w:rsidR="00885968" w:rsidRPr="00244534" w:rsidRDefault="006C051A" w:rsidP="00FF6795">
      <w:pPr>
        <w:spacing w:after="0" w:line="276" w:lineRule="auto"/>
        <w:ind w:left="0" w:right="49" w:firstLine="0"/>
        <w:rPr>
          <w:rFonts w:ascii="ITC Avant Garde" w:hAnsi="ITC Avant Garde"/>
          <w:color w:val="5B9BD5" w:themeColor="accent1"/>
        </w:rPr>
      </w:pPr>
      <w:r w:rsidRPr="00244534">
        <w:rPr>
          <w:rFonts w:ascii="ITC Avant Garde" w:hAnsi="ITC Avant Garde"/>
          <w:color w:val="5B9BD5" w:themeColor="accent1"/>
        </w:rPr>
        <w:t>Asimismo, se modificó el numeral 6 del Anexo II para</w:t>
      </w:r>
      <w:r w:rsidR="00FF6795" w:rsidRPr="00244534">
        <w:rPr>
          <w:rFonts w:ascii="ITC Avant Garde" w:hAnsi="ITC Avant Garde"/>
          <w:color w:val="5B9BD5" w:themeColor="accent1"/>
        </w:rPr>
        <w:t xml:space="preserve"> </w:t>
      </w:r>
      <w:r w:rsidRPr="00244534">
        <w:rPr>
          <w:rFonts w:ascii="ITC Avant Garde" w:hAnsi="ITC Avant Garde"/>
          <w:color w:val="5B9BD5" w:themeColor="accent1"/>
        </w:rPr>
        <w:t>señalar que el AEP debe notificar al concesionario previo a la suspensión de los servicios de la oferta</w:t>
      </w:r>
      <w:r w:rsidR="00980170" w:rsidRPr="00244534">
        <w:rPr>
          <w:rFonts w:ascii="ITC Avant Garde" w:hAnsi="ITC Avant Garde"/>
          <w:color w:val="5B9BD5" w:themeColor="accent1"/>
        </w:rPr>
        <w:t xml:space="preserve"> en la zona afectada</w:t>
      </w:r>
      <w:r w:rsidR="002A52F9" w:rsidRPr="00244534">
        <w:rPr>
          <w:rFonts w:ascii="ITC Avant Garde" w:hAnsi="ITC Avant Garde"/>
          <w:color w:val="5B9BD5" w:themeColor="accent1"/>
        </w:rPr>
        <w:t>:</w:t>
      </w:r>
    </w:p>
    <w:p w14:paraId="54C0012B" w14:textId="77777777" w:rsidR="00FF6795" w:rsidRPr="00244534" w:rsidRDefault="00FF6795" w:rsidP="00FF6795">
      <w:pPr>
        <w:spacing w:after="0" w:line="276" w:lineRule="auto"/>
        <w:ind w:left="0" w:right="49" w:firstLine="0"/>
        <w:rPr>
          <w:rFonts w:ascii="ITC Avant Garde" w:hAnsi="ITC Avant Garde"/>
          <w:color w:val="auto"/>
        </w:rPr>
      </w:pPr>
    </w:p>
    <w:p w14:paraId="64F9AF80" w14:textId="77777777" w:rsidR="00FF6795" w:rsidRPr="00244534" w:rsidRDefault="00FF6795" w:rsidP="00FF6795">
      <w:pPr>
        <w:spacing w:after="0" w:line="276" w:lineRule="auto"/>
        <w:ind w:left="567" w:right="615" w:firstLine="0"/>
        <w:rPr>
          <w:rFonts w:ascii="ITC Avant Garde" w:eastAsia="Calibri" w:hAnsi="ITC Avant Garde" w:cs="Arial"/>
          <w:i/>
          <w:color w:val="5B9BD5" w:themeColor="accent1"/>
          <w:sz w:val="18"/>
          <w:szCs w:val="18"/>
          <w:u w:val="single"/>
          <w:lang w:eastAsia="en-US"/>
        </w:rPr>
      </w:pPr>
      <w:r w:rsidRPr="00244534">
        <w:rPr>
          <w:rFonts w:ascii="ITC Avant Garde" w:eastAsia="Calibri" w:hAnsi="ITC Avant Garde" w:cs="Arial"/>
          <w:i/>
          <w:color w:val="5B9BD5" w:themeColor="accent1"/>
          <w:sz w:val="18"/>
          <w:szCs w:val="18"/>
          <w:lang w:eastAsia="en-US"/>
        </w:rPr>
        <w:t>“</w:t>
      </w:r>
      <w:r w:rsidRPr="00244534">
        <w:rPr>
          <w:rFonts w:ascii="ITC Avant Garde" w:eastAsia="Calibri" w:hAnsi="ITC Avant Garde" w:cs="Arial"/>
          <w:i/>
          <w:color w:val="5B9BD5" w:themeColor="accent1"/>
          <w:sz w:val="18"/>
          <w:szCs w:val="18"/>
          <w:u w:val="single"/>
          <w:lang w:eastAsia="en-US"/>
        </w:rPr>
        <w:t>Sin perjuicio de lo anterior, todo incremento de señalización que pusiera en riesgo la calidad de los Servicios que provee Telcel a sus Usuarios finales y a los Usuarios Finales del Concesionario, Telcel notif</w:t>
      </w:r>
      <w:r w:rsidR="00920590" w:rsidRPr="00244534">
        <w:rPr>
          <w:rFonts w:ascii="ITC Avant Garde" w:eastAsia="Calibri" w:hAnsi="ITC Avant Garde" w:cs="Arial"/>
          <w:i/>
          <w:color w:val="5B9BD5" w:themeColor="accent1"/>
          <w:sz w:val="18"/>
          <w:szCs w:val="18"/>
          <w:u w:val="single"/>
          <w:lang w:eastAsia="en-US"/>
        </w:rPr>
        <w:t>icará</w:t>
      </w:r>
      <w:r w:rsidRPr="00244534">
        <w:rPr>
          <w:rFonts w:ascii="ITC Avant Garde" w:eastAsia="Calibri" w:hAnsi="ITC Avant Garde" w:cs="Arial"/>
          <w:i/>
          <w:color w:val="5B9BD5" w:themeColor="accent1"/>
          <w:sz w:val="18"/>
          <w:szCs w:val="18"/>
          <w:u w:val="single"/>
          <w:lang w:eastAsia="en-US"/>
        </w:rPr>
        <w:t xml:space="preserve"> al Concesionario por medio del SEG de dicha situación</w:t>
      </w:r>
      <w:r w:rsidRPr="00244534">
        <w:rPr>
          <w:rFonts w:ascii="ITC Avant Garde" w:eastAsia="Calibri" w:hAnsi="ITC Avant Garde" w:cs="Arial"/>
          <w:i/>
          <w:color w:val="5B9BD5" w:themeColor="accent1"/>
          <w:sz w:val="18"/>
          <w:szCs w:val="18"/>
          <w:lang w:eastAsia="en-US"/>
        </w:rPr>
        <w:t xml:space="preserve">; en el entendido que derivado de esa situación, pudiera presentarse saturación y sin ser una medida y/o modificación de Telcel, los Usuarios de ambas Partes podrían presentar pérdida del Servicio o afectación en la calidad debido a la saturación de enlaces de señalización en la zona afectada. </w:t>
      </w:r>
      <w:r w:rsidRPr="00244534">
        <w:rPr>
          <w:rFonts w:ascii="ITC Avant Garde" w:eastAsia="Calibri" w:hAnsi="ITC Avant Garde" w:cs="Arial"/>
          <w:i/>
          <w:color w:val="5B9BD5" w:themeColor="accent1"/>
          <w:sz w:val="18"/>
          <w:szCs w:val="18"/>
          <w:u w:val="single"/>
          <w:lang w:eastAsia="en-US"/>
        </w:rPr>
        <w:t xml:space="preserve">En el entendido que, Telcel con el conocimiento del Concesionario podrá suspender la prestación de los Servicios de </w:t>
      </w:r>
      <w:r w:rsidR="00920590" w:rsidRPr="00244534">
        <w:rPr>
          <w:rFonts w:ascii="ITC Avant Garde" w:eastAsia="Calibri" w:hAnsi="ITC Avant Garde" w:cs="Arial"/>
          <w:i/>
          <w:color w:val="5B9BD5" w:themeColor="accent1"/>
          <w:sz w:val="18"/>
          <w:szCs w:val="18"/>
          <w:u w:val="single"/>
          <w:lang w:eastAsia="en-US"/>
        </w:rPr>
        <w:t>la Oferta en las zonas afectada.</w:t>
      </w:r>
      <w:r w:rsidRPr="00244534">
        <w:rPr>
          <w:rFonts w:ascii="ITC Avant Garde" w:eastAsia="Calibri" w:hAnsi="ITC Avant Garde" w:cs="Arial"/>
          <w:i/>
          <w:color w:val="5B9BD5" w:themeColor="accent1"/>
          <w:sz w:val="18"/>
          <w:szCs w:val="18"/>
          <w:lang w:eastAsia="en-US"/>
        </w:rPr>
        <w:t>”</w:t>
      </w:r>
    </w:p>
    <w:p w14:paraId="59CEBC62" w14:textId="77777777" w:rsidR="00FF6795" w:rsidRPr="00244534" w:rsidRDefault="00FF6795" w:rsidP="00FF6795">
      <w:pPr>
        <w:spacing w:after="0" w:line="276" w:lineRule="auto"/>
        <w:ind w:left="567" w:right="615" w:firstLine="0"/>
        <w:rPr>
          <w:rFonts w:ascii="ITC Avant Garde" w:eastAsia="Calibri" w:hAnsi="ITC Avant Garde" w:cs="Arial"/>
          <w:i/>
          <w:color w:val="5B9BD5" w:themeColor="accent1"/>
          <w:sz w:val="18"/>
          <w:szCs w:val="18"/>
          <w:u w:val="single"/>
          <w:lang w:eastAsia="en-US"/>
        </w:rPr>
      </w:pPr>
    </w:p>
    <w:p w14:paraId="6B1DD13E" w14:textId="77777777" w:rsidR="00FF6795" w:rsidRPr="00244534" w:rsidRDefault="00FF6795" w:rsidP="00FF6795">
      <w:pPr>
        <w:spacing w:after="0" w:line="276" w:lineRule="auto"/>
        <w:ind w:left="567"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71F128F6" w14:textId="77777777" w:rsidR="00341DBC" w:rsidRPr="00244534" w:rsidRDefault="00341DBC">
      <w:pPr>
        <w:spacing w:after="0" w:line="276" w:lineRule="auto"/>
        <w:ind w:left="-5" w:right="49"/>
        <w:rPr>
          <w:rFonts w:ascii="ITC Avant Garde" w:hAnsi="ITC Avant Garde"/>
          <w:b/>
          <w:color w:val="auto"/>
          <w:u w:val="single"/>
        </w:rPr>
      </w:pPr>
    </w:p>
    <w:p w14:paraId="4BBD65DE" w14:textId="77777777" w:rsidR="002B79B8" w:rsidRPr="00244534" w:rsidRDefault="00807310">
      <w:pPr>
        <w:spacing w:after="0" w:line="276" w:lineRule="auto"/>
        <w:ind w:left="-5" w:right="49"/>
        <w:rPr>
          <w:rFonts w:ascii="ITC Avant Garde" w:hAnsi="ITC Avant Garde"/>
          <w:b/>
          <w:color w:val="auto"/>
          <w:u w:val="single"/>
        </w:rPr>
      </w:pPr>
      <w:r w:rsidRPr="00244534">
        <w:rPr>
          <w:rFonts w:ascii="ITC Avant Garde" w:hAnsi="ITC Avant Garde"/>
          <w:b/>
          <w:color w:val="auto"/>
          <w:u w:val="single"/>
        </w:rPr>
        <w:t xml:space="preserve">Grupo </w:t>
      </w:r>
      <w:r w:rsidR="002B79B8" w:rsidRPr="00244534">
        <w:rPr>
          <w:rFonts w:ascii="ITC Avant Garde" w:hAnsi="ITC Avant Garde"/>
          <w:b/>
          <w:color w:val="auto"/>
          <w:u w:val="single"/>
        </w:rPr>
        <w:t>Televisa:</w:t>
      </w:r>
    </w:p>
    <w:p w14:paraId="3BF9E345" w14:textId="77777777" w:rsidR="002B79B8" w:rsidRPr="00244534" w:rsidRDefault="002B79B8" w:rsidP="002B79B8">
      <w:pPr>
        <w:spacing w:after="0" w:line="276" w:lineRule="auto"/>
        <w:ind w:left="-5" w:right="49"/>
        <w:rPr>
          <w:rFonts w:ascii="ITC Avant Garde" w:hAnsi="ITC Avant Garde"/>
          <w:b/>
          <w:color w:val="auto"/>
        </w:rPr>
      </w:pPr>
    </w:p>
    <w:p w14:paraId="7C909DF0" w14:textId="2CBF2093" w:rsidR="002B79B8" w:rsidRPr="00244534" w:rsidRDefault="0046687C" w:rsidP="00B14509">
      <w:pPr>
        <w:spacing w:after="0" w:line="276" w:lineRule="auto"/>
        <w:ind w:left="-5" w:right="0"/>
        <w:rPr>
          <w:rFonts w:ascii="ITC Avant Garde" w:hAnsi="ITC Avant Garde"/>
          <w:color w:val="auto"/>
        </w:rPr>
      </w:pPr>
      <w:r w:rsidRPr="00244534">
        <w:rPr>
          <w:rFonts w:ascii="ITC Avant Garde" w:hAnsi="ITC Avant Garde"/>
          <w:color w:val="auto"/>
        </w:rPr>
        <w:lastRenderedPageBreak/>
        <w:t>Menciona</w:t>
      </w:r>
      <w:r w:rsidR="002B79B8" w:rsidRPr="00244534">
        <w:rPr>
          <w:rFonts w:ascii="ITC Avant Garde" w:hAnsi="ITC Avant Garde"/>
          <w:color w:val="auto"/>
        </w:rPr>
        <w:t xml:space="preserve"> </w:t>
      </w:r>
      <w:r w:rsidR="00834593" w:rsidRPr="00244534">
        <w:rPr>
          <w:rFonts w:ascii="ITC Avant Garde" w:hAnsi="ITC Avant Garde"/>
          <w:color w:val="auto"/>
        </w:rPr>
        <w:t xml:space="preserve">que existen </w:t>
      </w:r>
      <w:r w:rsidR="002B79B8" w:rsidRPr="00244534">
        <w:rPr>
          <w:rFonts w:ascii="ITC Avant Garde" w:hAnsi="ITC Avant Garde"/>
          <w:color w:val="auto"/>
        </w:rPr>
        <w:t>complicacion</w:t>
      </w:r>
      <w:r w:rsidR="00834593" w:rsidRPr="00244534">
        <w:rPr>
          <w:rFonts w:ascii="ITC Avant Garde" w:hAnsi="ITC Avant Garde"/>
          <w:color w:val="auto"/>
        </w:rPr>
        <w:t>es con</w:t>
      </w:r>
      <w:r w:rsidR="009C31D6" w:rsidRPr="00244534">
        <w:rPr>
          <w:rFonts w:ascii="ITC Avant Garde" w:hAnsi="ITC Avant Garde"/>
          <w:color w:val="auto"/>
        </w:rPr>
        <w:t xml:space="preserve"> el uso y aplicación del té</w:t>
      </w:r>
      <w:r w:rsidR="002B79B8" w:rsidRPr="00244534">
        <w:rPr>
          <w:rFonts w:ascii="ITC Avant Garde" w:hAnsi="ITC Avant Garde"/>
          <w:color w:val="auto"/>
        </w:rPr>
        <w:t>rmino “Nuevos Servicio</w:t>
      </w:r>
      <w:r w:rsidR="007B5D3A" w:rsidRPr="00244534">
        <w:rPr>
          <w:rFonts w:ascii="ITC Avant Garde" w:hAnsi="ITC Avant Garde"/>
          <w:color w:val="auto"/>
        </w:rPr>
        <w:t>s”</w:t>
      </w:r>
      <w:r w:rsidR="00902DF2" w:rsidRPr="00244534">
        <w:rPr>
          <w:rFonts w:ascii="ITC Avant Garde" w:hAnsi="ITC Avant Garde"/>
          <w:color w:val="auto"/>
        </w:rPr>
        <w:t xml:space="preserve"> en la Oferta</w:t>
      </w:r>
      <w:r w:rsidR="007B5D3A" w:rsidRPr="00244534">
        <w:rPr>
          <w:rFonts w:ascii="ITC Avant Garde" w:hAnsi="ITC Avant Garde"/>
          <w:color w:val="auto"/>
        </w:rPr>
        <w:t>, por lo cual sugiere que se incluyan los detalles</w:t>
      </w:r>
      <w:r w:rsidR="00902DF2" w:rsidRPr="00244534">
        <w:rPr>
          <w:rFonts w:ascii="ITC Avant Garde" w:hAnsi="ITC Avant Garde"/>
          <w:color w:val="auto"/>
        </w:rPr>
        <w:t xml:space="preserve"> de estos</w:t>
      </w:r>
      <w:r w:rsidR="007B5D3A" w:rsidRPr="00244534">
        <w:rPr>
          <w:rFonts w:ascii="ITC Avant Garde" w:hAnsi="ITC Avant Garde"/>
          <w:color w:val="auto"/>
        </w:rPr>
        <w:t xml:space="preserve"> en la Oferta y que el Instituto determine las tarifas con un modelo enfocado a costos para los casos en que las partes no lleguen a un acuerdo. </w:t>
      </w:r>
    </w:p>
    <w:p w14:paraId="5307F227" w14:textId="77777777" w:rsidR="001F5A30" w:rsidRPr="00244534" w:rsidRDefault="001F5A30" w:rsidP="001F5A30">
      <w:pPr>
        <w:pStyle w:val="Listaconvietas"/>
        <w:numPr>
          <w:ilvl w:val="0"/>
          <w:numId w:val="0"/>
        </w:numPr>
        <w:rPr>
          <w:i/>
          <w:color w:val="auto"/>
          <w:lang w:val="es-MX"/>
        </w:rPr>
      </w:pPr>
    </w:p>
    <w:p w14:paraId="72E1A6A5" w14:textId="77777777" w:rsidR="001F5A30" w:rsidRPr="00244534" w:rsidRDefault="001F5A30" w:rsidP="001F5A30">
      <w:pPr>
        <w:pStyle w:val="Listaconvietas"/>
        <w:numPr>
          <w:ilvl w:val="0"/>
          <w:numId w:val="0"/>
        </w:numPr>
        <w:rPr>
          <w:i/>
          <w:color w:val="auto"/>
          <w:lang w:val="es-MX"/>
        </w:rPr>
      </w:pPr>
      <w:r w:rsidRPr="00244534">
        <w:rPr>
          <w:i/>
          <w:color w:val="auto"/>
          <w:lang w:val="es-MX"/>
        </w:rPr>
        <w:t>Consideraciones del Instituto</w:t>
      </w:r>
    </w:p>
    <w:p w14:paraId="55C2F808" w14:textId="77777777" w:rsidR="00E95242" w:rsidRPr="00244534" w:rsidRDefault="00E95242" w:rsidP="00B14509">
      <w:pPr>
        <w:spacing w:after="0" w:line="276" w:lineRule="auto"/>
        <w:ind w:left="-5" w:right="0"/>
        <w:rPr>
          <w:rFonts w:ascii="ITC Avant Garde" w:hAnsi="ITC Avant Garde"/>
          <w:color w:val="auto"/>
        </w:rPr>
      </w:pPr>
    </w:p>
    <w:p w14:paraId="33B240EB" w14:textId="77777777" w:rsidR="002B79B8" w:rsidRPr="00244534" w:rsidRDefault="002B79B8" w:rsidP="002B79B8">
      <w:pPr>
        <w:spacing w:after="0" w:line="276" w:lineRule="auto"/>
        <w:ind w:left="-5" w:right="49"/>
        <w:rPr>
          <w:rFonts w:ascii="ITC Avant Garde" w:hAnsi="ITC Avant Garde"/>
          <w:color w:val="5B9BD5" w:themeColor="accent1"/>
        </w:rPr>
      </w:pPr>
      <w:r w:rsidRPr="00244534">
        <w:rPr>
          <w:rFonts w:ascii="ITC Avant Garde" w:hAnsi="ITC Avant Garde"/>
          <w:color w:val="5B9BD5" w:themeColor="accent1"/>
        </w:rPr>
        <w:t xml:space="preserve">El término </w:t>
      </w:r>
      <w:r w:rsidR="009C31D6" w:rsidRPr="00244534">
        <w:rPr>
          <w:rFonts w:ascii="ITC Avant Garde" w:hAnsi="ITC Avant Garde"/>
          <w:color w:val="5B9BD5" w:themeColor="accent1"/>
        </w:rPr>
        <w:t>“</w:t>
      </w:r>
      <w:r w:rsidRPr="00244534">
        <w:rPr>
          <w:rFonts w:ascii="ITC Avant Garde" w:hAnsi="ITC Avant Garde"/>
          <w:color w:val="5B9BD5" w:themeColor="accent1"/>
        </w:rPr>
        <w:t>Nuevos Servicios</w:t>
      </w:r>
      <w:r w:rsidR="009C31D6" w:rsidRPr="00244534">
        <w:rPr>
          <w:rFonts w:ascii="ITC Avant Garde" w:hAnsi="ITC Avant Garde"/>
          <w:color w:val="5B9BD5" w:themeColor="accent1"/>
        </w:rPr>
        <w:t>”</w:t>
      </w:r>
      <w:r w:rsidRPr="00244534">
        <w:rPr>
          <w:rFonts w:ascii="ITC Avant Garde" w:hAnsi="ITC Avant Garde"/>
          <w:color w:val="5B9BD5" w:themeColor="accent1"/>
        </w:rPr>
        <w:t xml:space="preserve"> e</w:t>
      </w:r>
      <w:r w:rsidR="009C31D6" w:rsidRPr="00244534">
        <w:rPr>
          <w:rFonts w:ascii="ITC Avant Garde" w:hAnsi="ITC Avant Garde"/>
          <w:color w:val="5B9BD5" w:themeColor="accent1"/>
        </w:rPr>
        <w:t>s</w:t>
      </w:r>
      <w:r w:rsidRPr="00244534">
        <w:rPr>
          <w:rFonts w:ascii="ITC Avant Garde" w:hAnsi="ITC Avant Garde"/>
          <w:color w:val="5B9BD5" w:themeColor="accent1"/>
        </w:rPr>
        <w:t xml:space="preserve"> </w:t>
      </w:r>
      <w:r w:rsidR="001F5A30" w:rsidRPr="00244534">
        <w:rPr>
          <w:rFonts w:ascii="ITC Avant Garde" w:hAnsi="ITC Avant Garde"/>
          <w:color w:val="5B9BD5" w:themeColor="accent1"/>
        </w:rPr>
        <w:t>reemplazó</w:t>
      </w:r>
      <w:r w:rsidR="00E415AE" w:rsidRPr="00244534">
        <w:rPr>
          <w:rFonts w:ascii="ITC Avant Garde" w:hAnsi="ITC Avant Garde"/>
          <w:color w:val="5B9BD5" w:themeColor="accent1"/>
        </w:rPr>
        <w:t xml:space="preserve"> por el de “Funcionalidades o aplicaciones para servicios de da</w:t>
      </w:r>
      <w:r w:rsidR="007B5D3A" w:rsidRPr="00244534">
        <w:rPr>
          <w:rFonts w:ascii="ITC Avant Garde" w:hAnsi="ITC Avant Garde"/>
          <w:color w:val="5B9BD5" w:themeColor="accent1"/>
        </w:rPr>
        <w:t>tos” para describir aquellos</w:t>
      </w:r>
      <w:r w:rsidR="00E415AE" w:rsidRPr="00244534">
        <w:rPr>
          <w:rFonts w:ascii="ITC Avant Garde" w:hAnsi="ITC Avant Garde"/>
          <w:color w:val="5B9BD5" w:themeColor="accent1"/>
        </w:rPr>
        <w:t xml:space="preserve"> servicios </w:t>
      </w:r>
      <w:r w:rsidR="00B14509" w:rsidRPr="00244534">
        <w:rPr>
          <w:rFonts w:ascii="ITC Avant Garde" w:hAnsi="ITC Avant Garde"/>
          <w:color w:val="5B9BD5" w:themeColor="accent1"/>
        </w:rPr>
        <w:t>de Máquina a Má</w:t>
      </w:r>
      <w:r w:rsidR="007B5D3A" w:rsidRPr="00244534">
        <w:rPr>
          <w:rFonts w:ascii="ITC Avant Garde" w:hAnsi="ITC Avant Garde"/>
          <w:color w:val="5B9BD5" w:themeColor="accent1"/>
        </w:rPr>
        <w:t xml:space="preserve">quina (M2M) </w:t>
      </w:r>
      <w:r w:rsidR="00D636C6" w:rsidRPr="00244534">
        <w:rPr>
          <w:rFonts w:ascii="ITC Avant Garde" w:hAnsi="ITC Avant Garde"/>
          <w:color w:val="5B9BD5" w:themeColor="accent1"/>
        </w:rPr>
        <w:t>e Internet de las Cosas</w:t>
      </w:r>
      <w:r w:rsidRPr="00244534">
        <w:rPr>
          <w:rFonts w:ascii="ITC Avant Garde" w:hAnsi="ITC Avant Garde"/>
          <w:color w:val="5B9BD5" w:themeColor="accent1"/>
        </w:rPr>
        <w:t xml:space="preserve"> (IoT)</w:t>
      </w:r>
      <w:r w:rsidR="008E7CFA" w:rsidRPr="00244534">
        <w:rPr>
          <w:rFonts w:ascii="ITC Avant Garde" w:hAnsi="ITC Avant Garde"/>
          <w:color w:val="5B9BD5" w:themeColor="accent1"/>
        </w:rPr>
        <w:t>.</w:t>
      </w:r>
    </w:p>
    <w:p w14:paraId="5871546E" w14:textId="77777777" w:rsidR="00BE468A" w:rsidRPr="00244534" w:rsidRDefault="00BE468A" w:rsidP="002B79B8">
      <w:pPr>
        <w:spacing w:after="0" w:line="276" w:lineRule="auto"/>
        <w:ind w:left="-5" w:right="49"/>
        <w:rPr>
          <w:rFonts w:ascii="ITC Avant Garde" w:hAnsi="ITC Avant Garde"/>
          <w:color w:val="5B9BD5" w:themeColor="accent1"/>
        </w:rPr>
      </w:pPr>
    </w:p>
    <w:p w14:paraId="0EC0F0BB" w14:textId="77777777" w:rsidR="00BE468A" w:rsidRPr="00244534" w:rsidRDefault="00766603" w:rsidP="002B79B8">
      <w:pPr>
        <w:spacing w:after="0" w:line="276" w:lineRule="auto"/>
        <w:ind w:left="-5" w:right="49"/>
        <w:rPr>
          <w:rFonts w:ascii="ITC Avant Garde" w:hAnsi="ITC Avant Garde"/>
          <w:color w:val="5B9BD5" w:themeColor="accent1"/>
        </w:rPr>
      </w:pPr>
      <w:r w:rsidRPr="00244534">
        <w:rPr>
          <w:rFonts w:ascii="ITC Avant Garde" w:hAnsi="ITC Avant Garde"/>
          <w:color w:val="5B9BD5" w:themeColor="accent1"/>
        </w:rPr>
        <w:t>Asimismo, se adiciona el numeral 10 en el Anexo II</w:t>
      </w:r>
      <w:r w:rsidR="007C013D" w:rsidRPr="00244534">
        <w:rPr>
          <w:rFonts w:ascii="ITC Avant Garde" w:hAnsi="ITC Avant Garde"/>
          <w:color w:val="5B9BD5" w:themeColor="accent1"/>
        </w:rPr>
        <w:t xml:space="preserve"> </w:t>
      </w:r>
      <w:r w:rsidR="003F25A9" w:rsidRPr="00244534">
        <w:rPr>
          <w:rFonts w:ascii="ITC Avant Garde" w:hAnsi="ITC Avant Garde"/>
          <w:color w:val="5B9BD5" w:themeColor="accent1"/>
        </w:rPr>
        <w:t xml:space="preserve">con el fin de otorgar certeza sobre los términos y condiciones que regirán las funcionalidades o aplicaciones </w:t>
      </w:r>
      <w:r w:rsidR="00B14509" w:rsidRPr="00244534">
        <w:rPr>
          <w:rFonts w:ascii="ITC Avant Garde" w:hAnsi="ITC Avant Garde"/>
          <w:color w:val="5B9BD5" w:themeColor="accent1"/>
        </w:rPr>
        <w:t>para</w:t>
      </w:r>
      <w:r w:rsidR="003F25A9" w:rsidRPr="00244534">
        <w:rPr>
          <w:rFonts w:ascii="ITC Avant Garde" w:hAnsi="ITC Avant Garde"/>
          <w:color w:val="5B9BD5" w:themeColor="accent1"/>
        </w:rPr>
        <w:t xml:space="preserve"> servicio</w:t>
      </w:r>
      <w:r w:rsidR="00B14509" w:rsidRPr="00244534">
        <w:rPr>
          <w:rFonts w:ascii="ITC Avant Garde" w:hAnsi="ITC Avant Garde"/>
          <w:color w:val="5B9BD5" w:themeColor="accent1"/>
        </w:rPr>
        <w:t>s</w:t>
      </w:r>
      <w:r w:rsidR="003F25A9" w:rsidRPr="00244534">
        <w:rPr>
          <w:rFonts w:ascii="ITC Avant Garde" w:hAnsi="ITC Avant Garde"/>
          <w:color w:val="5B9BD5" w:themeColor="accent1"/>
        </w:rPr>
        <w:t xml:space="preserve"> de datos. En este</w:t>
      </w:r>
      <w:r w:rsidR="005B27DE" w:rsidRPr="00244534">
        <w:rPr>
          <w:rFonts w:ascii="ITC Avant Garde" w:hAnsi="ITC Avant Garde"/>
          <w:color w:val="5B9BD5" w:themeColor="accent1"/>
        </w:rPr>
        <w:t xml:space="preserve"> </w:t>
      </w:r>
      <w:r w:rsidR="003F25A9" w:rsidRPr="00244534">
        <w:rPr>
          <w:rFonts w:ascii="ITC Avant Garde" w:hAnsi="ITC Avant Garde"/>
          <w:color w:val="5B9BD5" w:themeColor="accent1"/>
        </w:rPr>
        <w:t xml:space="preserve">numeral </w:t>
      </w:r>
      <w:r w:rsidR="005B27DE" w:rsidRPr="00244534">
        <w:rPr>
          <w:rFonts w:ascii="ITC Avant Garde" w:hAnsi="ITC Avant Garde"/>
          <w:color w:val="5B9BD5" w:themeColor="accent1"/>
        </w:rPr>
        <w:t>se establece la competencia del Instituto para resolver los desacuerdos sobre tarifas:</w:t>
      </w:r>
    </w:p>
    <w:p w14:paraId="1ADFF793" w14:textId="77777777" w:rsidR="00BE468A" w:rsidRPr="00244534" w:rsidRDefault="00BE468A" w:rsidP="002B79B8">
      <w:pPr>
        <w:spacing w:after="0" w:line="276" w:lineRule="auto"/>
        <w:ind w:left="-5" w:right="49"/>
        <w:rPr>
          <w:rFonts w:ascii="ITC Avant Garde" w:hAnsi="ITC Avant Garde"/>
          <w:color w:val="5B9BD5" w:themeColor="accent1"/>
        </w:rPr>
      </w:pPr>
    </w:p>
    <w:p w14:paraId="1D297A60" w14:textId="77777777" w:rsidR="00BE468A" w:rsidRPr="00244534" w:rsidRDefault="00BE468A" w:rsidP="00BE468A">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“Las Partes reconocen que las Funcionalidades o aplicaciones para servicios de datos como IoT y M2M deberán apegarse, de manera no limitativa, a los estándares y recomendaciones de la GSMA para el balance de compensar a la red visitada por estos servicios de valor agregado ofrecidos por el Concesionario, por lo que las Partes acordarán las tarifas que el Concesionario deberá pagar a Telcel por: uso de red (señalización), usuario activo, y/o volumen diario/mensual, garantizando cubrir los costos y un margen razonable. En caso de no llegar a algún acuerdo cualquiera de las partes podrá solicitar al Instituto resuelva el desacuerdo de dichas tarifas.”</w:t>
      </w:r>
    </w:p>
    <w:p w14:paraId="5B4882A6" w14:textId="77777777" w:rsidR="00BE468A" w:rsidRPr="00244534" w:rsidRDefault="00BE468A" w:rsidP="00B14509">
      <w:pPr>
        <w:spacing w:after="0" w:line="276" w:lineRule="auto"/>
        <w:ind w:left="0" w:right="49" w:firstLine="0"/>
        <w:rPr>
          <w:rFonts w:ascii="ITC Avant Garde" w:hAnsi="ITC Avant Garde"/>
          <w:color w:val="auto"/>
        </w:rPr>
      </w:pPr>
    </w:p>
    <w:p w14:paraId="07C908FA" w14:textId="77777777" w:rsidR="006E4678" w:rsidRPr="00244534" w:rsidRDefault="006E4678" w:rsidP="005E5201">
      <w:pPr>
        <w:spacing w:after="0" w:line="276" w:lineRule="auto"/>
        <w:ind w:left="-5" w:right="49"/>
        <w:rPr>
          <w:rFonts w:ascii="ITC Avant Garde" w:hAnsi="ITC Avant Garde"/>
          <w:b/>
          <w:color w:val="auto"/>
          <w:u w:val="single"/>
        </w:rPr>
      </w:pPr>
      <w:r w:rsidRPr="00244534">
        <w:rPr>
          <w:rFonts w:ascii="ITC Avant Garde" w:hAnsi="ITC Avant Garde"/>
          <w:b/>
          <w:color w:val="auto"/>
          <w:u w:val="single"/>
        </w:rPr>
        <w:t>Sistema Electrónico de Gestión</w:t>
      </w:r>
    </w:p>
    <w:p w14:paraId="466A1D29" w14:textId="77777777" w:rsidR="006E4678" w:rsidRPr="00244534" w:rsidRDefault="006E4678" w:rsidP="005E5201">
      <w:pPr>
        <w:spacing w:after="0" w:line="276" w:lineRule="auto"/>
        <w:ind w:left="-5" w:right="49"/>
        <w:rPr>
          <w:rFonts w:ascii="ITC Avant Garde" w:hAnsi="ITC Avant Garde"/>
          <w:b/>
          <w:color w:val="auto"/>
        </w:rPr>
      </w:pPr>
    </w:p>
    <w:p w14:paraId="6FED8C87" w14:textId="77777777" w:rsidR="006E4678" w:rsidRPr="00244534" w:rsidRDefault="00807310" w:rsidP="005E5201">
      <w:pPr>
        <w:spacing w:after="0" w:line="276" w:lineRule="auto"/>
        <w:ind w:left="-5" w:right="49"/>
        <w:rPr>
          <w:rFonts w:ascii="ITC Avant Garde" w:hAnsi="ITC Avant Garde"/>
          <w:b/>
          <w:color w:val="auto"/>
        </w:rPr>
      </w:pPr>
      <w:r w:rsidRPr="00244534">
        <w:rPr>
          <w:rFonts w:ascii="ITC Avant Garde" w:hAnsi="ITC Avant Garde"/>
          <w:b/>
          <w:color w:val="auto"/>
        </w:rPr>
        <w:t xml:space="preserve">Grupo </w:t>
      </w:r>
      <w:r w:rsidR="006E4678" w:rsidRPr="00244534">
        <w:rPr>
          <w:rFonts w:ascii="ITC Avant Garde" w:hAnsi="ITC Avant Garde"/>
          <w:b/>
          <w:color w:val="auto"/>
        </w:rPr>
        <w:t>Televisa:</w:t>
      </w:r>
    </w:p>
    <w:p w14:paraId="073500B2" w14:textId="77777777" w:rsidR="006E4678" w:rsidRPr="00244534" w:rsidRDefault="006E4678" w:rsidP="005E5201">
      <w:pPr>
        <w:spacing w:after="0" w:line="276" w:lineRule="auto"/>
        <w:ind w:left="-5" w:right="49"/>
        <w:rPr>
          <w:rFonts w:ascii="ITC Avant Garde" w:hAnsi="ITC Avant Garde"/>
          <w:b/>
          <w:color w:val="auto"/>
        </w:rPr>
      </w:pPr>
    </w:p>
    <w:p w14:paraId="176864A3" w14:textId="40D60B73" w:rsidR="006E4678" w:rsidRPr="00244534" w:rsidRDefault="0046687C" w:rsidP="00E95242">
      <w:pPr>
        <w:pStyle w:val="Prrafodelista"/>
        <w:spacing w:line="276" w:lineRule="auto"/>
        <w:ind w:left="0"/>
        <w:rPr>
          <w:rFonts w:ascii="ITC Avant Garde" w:hAnsi="ITC Avant Garde"/>
          <w:color w:val="auto"/>
        </w:rPr>
      </w:pPr>
      <w:r w:rsidRPr="00244534">
        <w:rPr>
          <w:rFonts w:ascii="ITC Avant Garde" w:hAnsi="ITC Avant Garde"/>
          <w:color w:val="auto"/>
        </w:rPr>
        <w:t>I</w:t>
      </w:r>
      <w:r w:rsidR="009C31D6" w:rsidRPr="00244534">
        <w:rPr>
          <w:rFonts w:ascii="ITC Avant Garde" w:hAnsi="ITC Avant Garde"/>
          <w:color w:val="auto"/>
        </w:rPr>
        <w:t xml:space="preserve">ndica </w:t>
      </w:r>
      <w:r w:rsidR="006E4678" w:rsidRPr="00244534">
        <w:rPr>
          <w:rFonts w:ascii="ITC Avant Garde" w:hAnsi="ITC Avant Garde"/>
          <w:color w:val="auto"/>
        </w:rPr>
        <w:t>que el</w:t>
      </w:r>
      <w:r w:rsidR="0073766E" w:rsidRPr="00244534">
        <w:rPr>
          <w:rFonts w:ascii="ITC Avant Garde" w:hAnsi="ITC Avant Garde"/>
          <w:color w:val="auto"/>
        </w:rPr>
        <w:t xml:space="preserve"> Sistema Electrónico de Gestión (en lo sucesivo, el</w:t>
      </w:r>
      <w:r w:rsidR="006E4678" w:rsidRPr="00244534">
        <w:rPr>
          <w:rFonts w:ascii="ITC Avant Garde" w:hAnsi="ITC Avant Garde"/>
          <w:color w:val="auto"/>
        </w:rPr>
        <w:t xml:space="preserve"> </w:t>
      </w:r>
      <w:r w:rsidR="0073766E" w:rsidRPr="00244534">
        <w:rPr>
          <w:rFonts w:ascii="ITC Avant Garde" w:hAnsi="ITC Avant Garde"/>
          <w:color w:val="auto"/>
        </w:rPr>
        <w:t>“</w:t>
      </w:r>
      <w:r w:rsidR="006E4678" w:rsidRPr="00244534">
        <w:rPr>
          <w:rFonts w:ascii="ITC Avant Garde" w:hAnsi="ITC Avant Garde"/>
          <w:color w:val="auto"/>
        </w:rPr>
        <w:t>SEG</w:t>
      </w:r>
      <w:r w:rsidR="0073766E" w:rsidRPr="00244534">
        <w:rPr>
          <w:rFonts w:ascii="ITC Avant Garde" w:hAnsi="ITC Avant Garde"/>
          <w:color w:val="auto"/>
        </w:rPr>
        <w:t>”)</w:t>
      </w:r>
      <w:r w:rsidR="006E4678" w:rsidRPr="00244534">
        <w:rPr>
          <w:rFonts w:ascii="ITC Avant Garde" w:hAnsi="ITC Avant Garde"/>
          <w:color w:val="auto"/>
        </w:rPr>
        <w:t xml:space="preserve"> debe ser el único sistema </w:t>
      </w:r>
      <w:r w:rsidRPr="00244534">
        <w:rPr>
          <w:rFonts w:ascii="ITC Avant Garde" w:hAnsi="ITC Avant Garde"/>
          <w:color w:val="auto"/>
        </w:rPr>
        <w:t xml:space="preserve">en el cual </w:t>
      </w:r>
      <w:r w:rsidR="006E4678" w:rsidRPr="00244534">
        <w:rPr>
          <w:rFonts w:ascii="ITC Avant Garde" w:hAnsi="ITC Avant Garde"/>
          <w:color w:val="auto"/>
        </w:rPr>
        <w:t>converja toda la información, con el fin de que la Autoridad o terceros autorizados sean capaces de extraer toda la información y los datos relacionados con Ia provi</w:t>
      </w:r>
      <w:r w:rsidR="00F25976" w:rsidRPr="00244534">
        <w:rPr>
          <w:rFonts w:ascii="ITC Avant Garde" w:hAnsi="ITC Avant Garde"/>
          <w:color w:val="auto"/>
        </w:rPr>
        <w:t>sión de</w:t>
      </w:r>
      <w:r w:rsidR="006E4678" w:rsidRPr="00244534">
        <w:rPr>
          <w:rFonts w:ascii="ITC Avant Garde" w:hAnsi="ITC Avant Garde"/>
          <w:color w:val="auto"/>
        </w:rPr>
        <w:t>l</w:t>
      </w:r>
      <w:r w:rsidR="00F25976" w:rsidRPr="00244534">
        <w:rPr>
          <w:rFonts w:ascii="ITC Avant Garde" w:hAnsi="ITC Avant Garde"/>
          <w:color w:val="auto"/>
        </w:rPr>
        <w:t xml:space="preserve"> Servicio Mayorista</w:t>
      </w:r>
      <w:r w:rsidR="006E4678" w:rsidRPr="00244534">
        <w:rPr>
          <w:rFonts w:ascii="ITC Avant Garde" w:hAnsi="ITC Avant Garde"/>
          <w:color w:val="auto"/>
        </w:rPr>
        <w:t xml:space="preserve"> de Usuario Visitante para ser auditados</w:t>
      </w:r>
      <w:r w:rsidR="00E95242" w:rsidRPr="00244534">
        <w:rPr>
          <w:rFonts w:ascii="ITC Avant Garde" w:hAnsi="ITC Avant Garde"/>
          <w:color w:val="auto"/>
        </w:rPr>
        <w:t>.</w:t>
      </w:r>
    </w:p>
    <w:p w14:paraId="1AE98EFE" w14:textId="77777777" w:rsidR="00AF4DA2" w:rsidRPr="00244534" w:rsidRDefault="00AF4DA2" w:rsidP="00E95242">
      <w:pPr>
        <w:pStyle w:val="Prrafodelista"/>
        <w:spacing w:line="276" w:lineRule="auto"/>
        <w:ind w:left="0"/>
        <w:rPr>
          <w:rFonts w:ascii="ITC Avant Garde" w:hAnsi="ITC Avant Garde"/>
          <w:color w:val="auto"/>
        </w:rPr>
      </w:pPr>
    </w:p>
    <w:p w14:paraId="0D1F6E95" w14:textId="77777777" w:rsidR="006C071C" w:rsidRPr="00244534" w:rsidRDefault="006C071C" w:rsidP="006C071C">
      <w:pPr>
        <w:pStyle w:val="Listaconvietas"/>
        <w:numPr>
          <w:ilvl w:val="0"/>
          <w:numId w:val="0"/>
        </w:numPr>
        <w:rPr>
          <w:i/>
          <w:color w:val="auto"/>
          <w:lang w:val="es-MX"/>
        </w:rPr>
      </w:pPr>
      <w:r w:rsidRPr="00244534">
        <w:rPr>
          <w:i/>
          <w:color w:val="auto"/>
          <w:lang w:val="es-MX"/>
        </w:rPr>
        <w:t>Consideraciones del Instituto</w:t>
      </w:r>
    </w:p>
    <w:p w14:paraId="09E20879" w14:textId="77777777" w:rsidR="006C071C" w:rsidRPr="00244534" w:rsidRDefault="006C071C" w:rsidP="00E95242">
      <w:pPr>
        <w:pStyle w:val="Prrafodelista"/>
        <w:spacing w:line="276" w:lineRule="auto"/>
        <w:ind w:left="0"/>
        <w:rPr>
          <w:rFonts w:ascii="ITC Avant Garde" w:hAnsi="ITC Avant Garde"/>
          <w:color w:val="auto"/>
        </w:rPr>
      </w:pPr>
    </w:p>
    <w:p w14:paraId="3F6BC23B" w14:textId="77777777" w:rsidR="00A07557" w:rsidRPr="00244534" w:rsidRDefault="00A07557" w:rsidP="005E5201">
      <w:pPr>
        <w:pStyle w:val="Prrafodelista"/>
        <w:spacing w:line="276" w:lineRule="auto"/>
        <w:ind w:left="0"/>
        <w:rPr>
          <w:rFonts w:ascii="ITC Avant Garde" w:hAnsi="ITC Avant Garde"/>
          <w:color w:val="5B9BD5" w:themeColor="accent1"/>
        </w:rPr>
      </w:pPr>
      <w:r w:rsidRPr="00244534">
        <w:rPr>
          <w:rFonts w:ascii="ITC Avant Garde" w:hAnsi="ITC Avant Garde"/>
          <w:color w:val="5B9BD5" w:themeColor="accent1"/>
        </w:rPr>
        <w:t xml:space="preserve">Con el fin de dar cumplimiento a la Medida Sexagésima Quinta de las Medidas Móviles, se adicionan los numerales 5.1.9 y 5.2.14 para establecer la obligación de Telcel y el concesionario solicitante de realizar la contratación </w:t>
      </w:r>
      <w:r w:rsidRPr="00244534">
        <w:rPr>
          <w:rFonts w:ascii="ITC Avant Garde" w:hAnsi="ITC Avant Garde"/>
          <w:color w:val="5B9BD5" w:themeColor="accent1"/>
        </w:rPr>
        <w:lastRenderedPageBreak/>
        <w:t xml:space="preserve">de servicios, seguimiento a solicitudes y atención a incidencias a través del </w:t>
      </w:r>
      <w:r w:rsidR="00B14509" w:rsidRPr="00244534">
        <w:rPr>
          <w:rFonts w:ascii="ITC Avant Garde" w:hAnsi="ITC Avant Garde"/>
          <w:color w:val="5B9BD5" w:themeColor="accent1"/>
        </w:rPr>
        <w:t>SEG</w:t>
      </w:r>
      <w:r w:rsidR="00395A83" w:rsidRPr="00244534">
        <w:rPr>
          <w:rFonts w:ascii="ITC Avant Garde" w:hAnsi="ITC Avant Garde"/>
          <w:color w:val="5B9BD5" w:themeColor="accent1"/>
        </w:rPr>
        <w:t>:</w:t>
      </w:r>
      <w:r w:rsidRPr="00244534">
        <w:rPr>
          <w:rFonts w:ascii="ITC Avant Garde" w:hAnsi="ITC Avant Garde"/>
          <w:color w:val="5B9BD5" w:themeColor="accent1"/>
        </w:rPr>
        <w:t xml:space="preserve"> </w:t>
      </w:r>
    </w:p>
    <w:p w14:paraId="240714B9" w14:textId="77777777" w:rsidR="00A07557" w:rsidRPr="00244534" w:rsidRDefault="00A07557" w:rsidP="005E5201">
      <w:pPr>
        <w:pStyle w:val="Prrafodelista"/>
        <w:spacing w:line="276" w:lineRule="auto"/>
        <w:ind w:left="0"/>
        <w:rPr>
          <w:rFonts w:ascii="ITC Avant Garde" w:hAnsi="ITC Avant Garde"/>
          <w:color w:val="5B9BD5" w:themeColor="accent1"/>
        </w:rPr>
      </w:pPr>
    </w:p>
    <w:p w14:paraId="3EB2B507" w14:textId="77777777" w:rsidR="00395A83" w:rsidRPr="00244534" w:rsidRDefault="00395A83" w:rsidP="00395A83">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“5.1.9 Telcel se obliga a realizar a través del SEG la gestión de contratación de los servicios mayoristas de telecomunicaciones objeto de ésta Oferta, el seguimiento a solicitudes, la atención a incidencias y todas aquellas actividades que sean parte del procedimiento de contratación y prestación de los Servicios de la Oferta, de conformidad con lo dispuesto en el presente Convenio y en la Oferta, en términos de la Cláusula Vigésima Segunda”</w:t>
      </w:r>
    </w:p>
    <w:p w14:paraId="68D7B3BE" w14:textId="77777777" w:rsidR="009D6F74" w:rsidRPr="00244534" w:rsidRDefault="009D6F74" w:rsidP="005E5201">
      <w:pPr>
        <w:pStyle w:val="Prrafodelista"/>
        <w:spacing w:line="276" w:lineRule="auto"/>
        <w:ind w:left="0"/>
        <w:rPr>
          <w:rFonts w:ascii="ITC Avant Garde" w:hAnsi="ITC Avant Garde"/>
          <w:color w:val="5B9BD5" w:themeColor="accent1"/>
          <w:lang w:val="es-ES_tradnl"/>
        </w:rPr>
      </w:pPr>
    </w:p>
    <w:p w14:paraId="361776F0" w14:textId="77777777" w:rsidR="00395A83" w:rsidRPr="00244534" w:rsidRDefault="00395A83" w:rsidP="00395A83">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“5.2.14 El Concesionario se obliga a realizar a través del SEG la contratación de los servicios mayoristas de telecomunicaciones objeto de esta Oferta, dar seguimiento a solicitudes, atención a incidencias y todas aquellas actividades que sean parte del procedimiento de contratación y prestación de los Servicios de la Oferta</w:t>
      </w:r>
      <w:r w:rsidR="00BA6A9A" w:rsidRPr="00244534">
        <w:rPr>
          <w:rFonts w:ascii="ITC Avant Garde" w:eastAsia="Calibri" w:hAnsi="ITC Avant Garde" w:cs="Arial"/>
          <w:i/>
          <w:color w:val="5B9BD5" w:themeColor="accent1"/>
          <w:sz w:val="18"/>
          <w:szCs w:val="18"/>
          <w:lang w:eastAsia="en-US"/>
        </w:rPr>
        <w:t>, de conformidad con lo dispuesto en el presente Convenio y en la Oferta, en términos de la Cláusula Vigésima Segunda</w:t>
      </w:r>
      <w:r w:rsidRPr="00244534">
        <w:rPr>
          <w:rFonts w:ascii="ITC Avant Garde" w:eastAsia="Calibri" w:hAnsi="ITC Avant Garde" w:cs="Arial"/>
          <w:i/>
          <w:color w:val="5B9BD5" w:themeColor="accent1"/>
          <w:sz w:val="18"/>
          <w:szCs w:val="18"/>
          <w:lang w:eastAsia="en-US"/>
        </w:rPr>
        <w:t>”</w:t>
      </w:r>
    </w:p>
    <w:p w14:paraId="3D3A92C7" w14:textId="77777777" w:rsidR="006E4678" w:rsidRPr="00244534" w:rsidRDefault="006E4678">
      <w:pPr>
        <w:spacing w:after="0" w:line="276" w:lineRule="auto"/>
        <w:ind w:left="-5" w:right="49"/>
        <w:rPr>
          <w:rFonts w:ascii="ITC Avant Garde" w:hAnsi="ITC Avant Garde"/>
          <w:b/>
          <w:color w:val="auto"/>
        </w:rPr>
      </w:pPr>
    </w:p>
    <w:p w14:paraId="0B1DC1F9" w14:textId="77777777" w:rsidR="00957203" w:rsidRPr="00244534" w:rsidRDefault="00957203" w:rsidP="00957203">
      <w:pPr>
        <w:spacing w:after="0" w:line="276" w:lineRule="auto"/>
        <w:ind w:left="-5" w:right="49"/>
        <w:rPr>
          <w:rFonts w:ascii="ITC Avant Garde" w:hAnsi="ITC Avant Garde"/>
          <w:b/>
          <w:color w:val="auto"/>
          <w:u w:val="single"/>
        </w:rPr>
      </w:pPr>
      <w:r w:rsidRPr="00244534">
        <w:rPr>
          <w:rFonts w:ascii="ITC Avant Garde" w:hAnsi="ITC Avant Garde"/>
          <w:b/>
          <w:color w:val="auto"/>
          <w:u w:val="single"/>
        </w:rPr>
        <w:t xml:space="preserve">Comentarios emitidos sobre el Numeral 4.- Convenio </w:t>
      </w:r>
    </w:p>
    <w:p w14:paraId="0FA73398" w14:textId="77777777" w:rsidR="00957203" w:rsidRPr="00244534" w:rsidRDefault="00957203" w:rsidP="00957203">
      <w:pPr>
        <w:spacing w:after="0" w:line="276" w:lineRule="auto"/>
        <w:ind w:left="-5" w:right="49"/>
        <w:rPr>
          <w:rFonts w:ascii="ITC Avant Garde" w:hAnsi="ITC Avant Garde"/>
          <w:b/>
          <w:color w:val="auto"/>
          <w:u w:val="single"/>
        </w:rPr>
      </w:pPr>
    </w:p>
    <w:p w14:paraId="1C73024C" w14:textId="77777777" w:rsidR="00957203" w:rsidRPr="00244534" w:rsidRDefault="00957203" w:rsidP="00957203">
      <w:pPr>
        <w:spacing w:line="276" w:lineRule="auto"/>
        <w:ind w:left="-5" w:right="0"/>
        <w:rPr>
          <w:rFonts w:ascii="ITC Avant Garde" w:hAnsi="ITC Avant Garde"/>
          <w:b/>
        </w:rPr>
      </w:pPr>
      <w:r w:rsidRPr="00244534">
        <w:rPr>
          <w:rFonts w:ascii="ITC Avant Garde" w:hAnsi="ITC Avant Garde"/>
          <w:b/>
        </w:rPr>
        <w:t>Grupo Televisa</w:t>
      </w:r>
    </w:p>
    <w:p w14:paraId="032BDA4E" w14:textId="77777777" w:rsidR="00014D42" w:rsidRPr="00244534" w:rsidRDefault="00014D42" w:rsidP="00957203">
      <w:pPr>
        <w:spacing w:line="276" w:lineRule="auto"/>
        <w:ind w:left="-5" w:right="0"/>
        <w:rPr>
          <w:rFonts w:ascii="ITC Avant Garde" w:hAnsi="ITC Avant Garde"/>
          <w:b/>
        </w:rPr>
      </w:pPr>
    </w:p>
    <w:p w14:paraId="44629AC2" w14:textId="77777777" w:rsidR="00352FC2" w:rsidRPr="00244534" w:rsidRDefault="00014D42" w:rsidP="00957203">
      <w:pPr>
        <w:spacing w:line="276" w:lineRule="auto"/>
        <w:ind w:left="-5" w:right="0"/>
        <w:rPr>
          <w:rFonts w:ascii="ITC Avant Garde" w:hAnsi="ITC Avant Garde"/>
        </w:rPr>
      </w:pPr>
      <w:r w:rsidRPr="00244534">
        <w:rPr>
          <w:rFonts w:ascii="ITC Avant Garde" w:hAnsi="ITC Avant Garde"/>
        </w:rPr>
        <w:t>El concesionario indica que la Oferta junto a sus Anexos deben de proveer el manual técnico y tarifario a los concesionarios solicitantes, mientras que el Convenio debe cumplir con las funciones de un contrato mercantil. Señala que</w:t>
      </w:r>
      <w:r w:rsidR="00BF02DC" w:rsidRPr="00244534">
        <w:rPr>
          <w:rFonts w:ascii="ITC Avant Garde" w:hAnsi="ITC Avant Garde"/>
        </w:rPr>
        <w:t xml:space="preserve"> en</w:t>
      </w:r>
      <w:r w:rsidRPr="00244534">
        <w:rPr>
          <w:rFonts w:ascii="ITC Avant Garde" w:hAnsi="ITC Avant Garde"/>
        </w:rPr>
        <w:t xml:space="preserve"> la estructura actual </w:t>
      </w:r>
      <w:r w:rsidR="00BF02DC" w:rsidRPr="00244534">
        <w:rPr>
          <w:rFonts w:ascii="ITC Avant Garde" w:hAnsi="ITC Avant Garde"/>
        </w:rPr>
        <w:t>se presentan a la Oferta y al Convenio como documentos integrales, cuyos términos y condiciones deben ser consider</w:t>
      </w:r>
      <w:r w:rsidR="00EC4F13" w:rsidRPr="00244534">
        <w:rPr>
          <w:rFonts w:ascii="ITC Avant Garde" w:hAnsi="ITC Avant Garde"/>
        </w:rPr>
        <w:t xml:space="preserve">ados en su conjunto y </w:t>
      </w:r>
      <w:r w:rsidR="00087545" w:rsidRPr="00244534">
        <w:rPr>
          <w:rFonts w:ascii="ITC Avant Garde" w:hAnsi="ITC Avant Garde"/>
        </w:rPr>
        <w:t>los cuales no estarán sujetos a cambios o modificaciones.</w:t>
      </w:r>
    </w:p>
    <w:p w14:paraId="15D7D5B4" w14:textId="77777777" w:rsidR="00352FC2" w:rsidRPr="00244534" w:rsidRDefault="00352FC2" w:rsidP="00957203">
      <w:pPr>
        <w:spacing w:line="276" w:lineRule="auto"/>
        <w:ind w:left="-5" w:right="0"/>
        <w:rPr>
          <w:rFonts w:ascii="ITC Avant Garde" w:hAnsi="ITC Avant Garde"/>
        </w:rPr>
      </w:pPr>
    </w:p>
    <w:p w14:paraId="142E20FA" w14:textId="77777777" w:rsidR="00014D42" w:rsidRPr="00244534" w:rsidRDefault="00237428" w:rsidP="00957203">
      <w:pPr>
        <w:spacing w:line="276" w:lineRule="auto"/>
        <w:ind w:left="-5" w:right="0"/>
        <w:rPr>
          <w:rFonts w:ascii="ITC Avant Garde" w:hAnsi="ITC Avant Garde"/>
        </w:rPr>
      </w:pPr>
      <w:r w:rsidRPr="00244534">
        <w:rPr>
          <w:rFonts w:ascii="ITC Avant Garde" w:hAnsi="ITC Avant Garde"/>
        </w:rPr>
        <w:t xml:space="preserve"> El concesionario recomienda la separación de la Oferta de Referencia y del Convenio</w:t>
      </w:r>
      <w:r w:rsidR="00C35FE5" w:rsidRPr="00244534">
        <w:rPr>
          <w:rFonts w:ascii="ITC Avant Garde" w:hAnsi="ITC Avant Garde"/>
        </w:rPr>
        <w:t>, ya</w:t>
      </w:r>
      <w:r w:rsidR="008938A6" w:rsidRPr="00244534">
        <w:rPr>
          <w:rFonts w:ascii="ITC Avant Garde" w:hAnsi="ITC Avant Garde"/>
        </w:rPr>
        <w:t xml:space="preserve"> </w:t>
      </w:r>
      <w:r w:rsidR="00206023" w:rsidRPr="00244534">
        <w:rPr>
          <w:rFonts w:ascii="ITC Avant Garde" w:hAnsi="ITC Avant Garde"/>
        </w:rPr>
        <w:t>que</w:t>
      </w:r>
      <w:r w:rsidR="008938A6" w:rsidRPr="00244534">
        <w:rPr>
          <w:rFonts w:ascii="ITC Avant Garde" w:hAnsi="ITC Avant Garde"/>
        </w:rPr>
        <w:t xml:space="preserve"> en</w:t>
      </w:r>
      <w:r w:rsidR="00206023" w:rsidRPr="00244534">
        <w:rPr>
          <w:rFonts w:ascii="ITC Avant Garde" w:hAnsi="ITC Avant Garde"/>
        </w:rPr>
        <w:t xml:space="preserve"> el primero se </w:t>
      </w:r>
      <w:r w:rsidR="00C35FE5" w:rsidRPr="00244534">
        <w:rPr>
          <w:rFonts w:ascii="ITC Avant Garde" w:hAnsi="ITC Avant Garde"/>
        </w:rPr>
        <w:t>deben plasmar</w:t>
      </w:r>
      <w:r w:rsidR="00206023" w:rsidRPr="00244534">
        <w:rPr>
          <w:rFonts w:ascii="ITC Avant Garde" w:hAnsi="ITC Avant Garde"/>
        </w:rPr>
        <w:t xml:space="preserve"> los términos y condiciones </w:t>
      </w:r>
      <w:r w:rsidR="008938A6" w:rsidRPr="00244534">
        <w:rPr>
          <w:rFonts w:ascii="ITC Avant Garde" w:hAnsi="ITC Avant Garde"/>
        </w:rPr>
        <w:t>acordados con el regulador, mientras que</w:t>
      </w:r>
      <w:r w:rsidR="00F94826" w:rsidRPr="00244534">
        <w:rPr>
          <w:rFonts w:ascii="ITC Avant Garde" w:hAnsi="ITC Avant Garde"/>
        </w:rPr>
        <w:t xml:space="preserve"> el segundo debe contener las condiciones generales de la oferta de referencia y las condiciones específicas acordadas entre el AEP y el concesionario</w:t>
      </w:r>
      <w:r w:rsidR="00F94826" w:rsidRPr="008104D5">
        <w:rPr>
          <w:rFonts w:ascii="ITC Avant Garde" w:hAnsi="ITC Avant Garde"/>
        </w:rPr>
        <w:t>.</w:t>
      </w:r>
    </w:p>
    <w:p w14:paraId="48B3CE58" w14:textId="77777777" w:rsidR="00957203" w:rsidRPr="00244534" w:rsidRDefault="00957203" w:rsidP="00957203">
      <w:pPr>
        <w:spacing w:line="276" w:lineRule="auto"/>
        <w:ind w:left="-5" w:right="0"/>
        <w:rPr>
          <w:rFonts w:ascii="ITC Avant Garde" w:hAnsi="ITC Avant Garde"/>
        </w:rPr>
      </w:pPr>
    </w:p>
    <w:p w14:paraId="34FFD04C" w14:textId="77777777" w:rsidR="006C071C" w:rsidRPr="00244534" w:rsidRDefault="006C071C" w:rsidP="006C071C">
      <w:pPr>
        <w:pStyle w:val="Listaconvietas"/>
        <w:numPr>
          <w:ilvl w:val="0"/>
          <w:numId w:val="0"/>
        </w:numPr>
        <w:rPr>
          <w:i/>
          <w:color w:val="auto"/>
          <w:lang w:val="es-MX"/>
        </w:rPr>
      </w:pPr>
      <w:r w:rsidRPr="00244534">
        <w:rPr>
          <w:i/>
          <w:color w:val="auto"/>
          <w:lang w:val="es-MX"/>
        </w:rPr>
        <w:t>Consideraciones del Instituto</w:t>
      </w:r>
    </w:p>
    <w:p w14:paraId="54E6D4A4" w14:textId="77777777" w:rsidR="006C071C" w:rsidRPr="00244534" w:rsidRDefault="006C071C" w:rsidP="00957203">
      <w:pPr>
        <w:spacing w:line="276" w:lineRule="auto"/>
        <w:ind w:left="-5" w:right="0"/>
        <w:rPr>
          <w:rFonts w:ascii="ITC Avant Garde" w:hAnsi="ITC Avant Garde"/>
        </w:rPr>
      </w:pPr>
    </w:p>
    <w:p w14:paraId="36787A09" w14:textId="77777777" w:rsidR="00957203" w:rsidRPr="00244534" w:rsidRDefault="00957203" w:rsidP="00957203">
      <w:pPr>
        <w:spacing w:line="276" w:lineRule="auto"/>
        <w:ind w:left="0" w:firstLine="0"/>
        <w:rPr>
          <w:rFonts w:ascii="ITC Avant Garde" w:hAnsi="ITC Avant Garde"/>
          <w:color w:val="5B9BD5" w:themeColor="accent1"/>
        </w:rPr>
      </w:pPr>
      <w:r w:rsidRPr="00244534">
        <w:rPr>
          <w:rFonts w:ascii="ITC Avant Garde" w:hAnsi="ITC Avant Garde"/>
          <w:color w:val="5B9BD5" w:themeColor="accent1"/>
        </w:rPr>
        <w:t>Al respecto, este Instituto considera que la estructura es clara porque permite conocer los términos y condiciones de la Oferta junto con el modelo de Convenio</w:t>
      </w:r>
      <w:r w:rsidR="00EF23EE" w:rsidRPr="00244534">
        <w:rPr>
          <w:rFonts w:ascii="ITC Avant Garde" w:hAnsi="ITC Avant Garde"/>
          <w:color w:val="5B9BD5" w:themeColor="accent1"/>
        </w:rPr>
        <w:t>.</w:t>
      </w:r>
      <w:r w:rsidRPr="00244534">
        <w:rPr>
          <w:rFonts w:ascii="ITC Avant Garde" w:hAnsi="ITC Avant Garde"/>
          <w:color w:val="5B9BD5" w:themeColor="accent1"/>
        </w:rPr>
        <w:t xml:space="preserve"> </w:t>
      </w:r>
      <w:r w:rsidR="00A70FC2" w:rsidRPr="00244534">
        <w:rPr>
          <w:rFonts w:ascii="ITC Avant Garde" w:hAnsi="ITC Avant Garde"/>
          <w:color w:val="5B9BD5" w:themeColor="accent1"/>
        </w:rPr>
        <w:t>Además, esto es acorde a lo establecido en la Medida Decimoséptima de las Medidas Móviles, la cual establece:</w:t>
      </w:r>
    </w:p>
    <w:p w14:paraId="46EE78AC" w14:textId="77777777" w:rsidR="00A70FC2" w:rsidRPr="00244534" w:rsidRDefault="00A70FC2" w:rsidP="00957203">
      <w:pPr>
        <w:spacing w:line="276" w:lineRule="auto"/>
        <w:ind w:left="0" w:firstLine="0"/>
        <w:rPr>
          <w:rFonts w:ascii="ITC Avant Garde" w:hAnsi="ITC Avant Garde"/>
          <w:color w:val="5B9BD5" w:themeColor="accent1"/>
        </w:rPr>
      </w:pPr>
    </w:p>
    <w:p w14:paraId="45982A50" w14:textId="77777777" w:rsidR="00A70FC2" w:rsidRPr="00244534" w:rsidRDefault="00A70FC2" w:rsidP="00A70FC2">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“DECIMOSÉPTIMA.- El Agente Económico Preponderante deberá suscribir un Convenio de Servicios Mayoristas de Usuario Visitante, un Convenio de </w:t>
      </w:r>
      <w:r w:rsidRPr="00244534">
        <w:rPr>
          <w:rFonts w:ascii="ITC Avant Garde" w:eastAsia="Calibri" w:hAnsi="ITC Avant Garde" w:cs="Arial"/>
          <w:i/>
          <w:color w:val="5B9BD5" w:themeColor="accent1"/>
          <w:sz w:val="18"/>
          <w:szCs w:val="18"/>
          <w:lang w:eastAsia="en-US"/>
        </w:rPr>
        <w:lastRenderedPageBreak/>
        <w:t xml:space="preserve">comercialización o reventa de servicios, así como un Convenio para el Acceso y Uso Compartido de Infraestructura Pasiva, previamente a la prestación de los servicios, dentro de los quince días siguientes a los que le sea presentada la solicitud. </w:t>
      </w:r>
      <w:r w:rsidRPr="00244534">
        <w:rPr>
          <w:rFonts w:ascii="ITC Avant Garde" w:eastAsia="Calibri" w:hAnsi="ITC Avant Garde" w:cs="Arial"/>
          <w:i/>
          <w:color w:val="5B9BD5" w:themeColor="accent1"/>
          <w:sz w:val="18"/>
          <w:szCs w:val="18"/>
          <w:u w:val="single"/>
          <w:lang w:eastAsia="en-US"/>
        </w:rPr>
        <w:t>Dichos convenios deberán reflejar lo establecido en las presentes medidas y en las Ofertas de Referencia</w:t>
      </w:r>
      <w:r w:rsidRPr="00244534">
        <w:rPr>
          <w:rFonts w:ascii="ITC Avant Garde" w:eastAsia="Calibri" w:hAnsi="ITC Avant Garde" w:cs="Arial"/>
          <w:i/>
          <w:color w:val="5B9BD5" w:themeColor="accent1"/>
          <w:sz w:val="18"/>
          <w:szCs w:val="18"/>
          <w:lang w:eastAsia="en-US"/>
        </w:rPr>
        <w:t xml:space="preserve">, así como, incluir las compensaciones existentes por incumplimientos y todas aquellas condiciones que otorguen certeza en la prestación de los servicios contratados, incluyendo plazos mínimos de permanencia. Un ejemplar de los mismos deberá remitirse al Instituto. </w:t>
      </w:r>
    </w:p>
    <w:p w14:paraId="799C1201" w14:textId="77777777" w:rsidR="00474E85" w:rsidRPr="00244534" w:rsidRDefault="00474E85" w:rsidP="00A70FC2">
      <w:pPr>
        <w:spacing w:after="0" w:line="276" w:lineRule="auto"/>
        <w:ind w:left="567" w:right="615" w:firstLine="0"/>
        <w:rPr>
          <w:rFonts w:ascii="ITC Avant Garde" w:eastAsia="Calibri" w:hAnsi="ITC Avant Garde" w:cs="Arial"/>
          <w:i/>
          <w:color w:val="5B9BD5" w:themeColor="accent1"/>
          <w:sz w:val="18"/>
          <w:szCs w:val="18"/>
          <w:lang w:eastAsia="en-US"/>
        </w:rPr>
      </w:pPr>
    </w:p>
    <w:p w14:paraId="736BB37C" w14:textId="77777777" w:rsidR="00A70FC2" w:rsidRPr="00244534" w:rsidRDefault="00A70FC2" w:rsidP="00A70FC2">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u w:val="single"/>
          <w:lang w:eastAsia="en-US"/>
        </w:rPr>
        <w:t>Los modelos de Convenio deberán ser presentados como parte de las Ofertas de Referencia por lo que quedarán sujetos al tratamiento previsto en la Medida Decimosexta</w:t>
      </w:r>
      <w:r w:rsidRPr="00244534">
        <w:rPr>
          <w:rFonts w:ascii="ITC Avant Garde" w:eastAsia="Calibri" w:hAnsi="ITC Avant Garde" w:cs="Arial"/>
          <w:i/>
          <w:color w:val="5B9BD5" w:themeColor="accent1"/>
          <w:sz w:val="18"/>
          <w:szCs w:val="18"/>
          <w:lang w:eastAsia="en-US"/>
        </w:rPr>
        <w:t>.”</w:t>
      </w:r>
    </w:p>
    <w:p w14:paraId="05D19775" w14:textId="77777777" w:rsidR="00474E85" w:rsidRPr="00244534" w:rsidRDefault="00474E85" w:rsidP="00A70FC2">
      <w:pPr>
        <w:spacing w:after="0" w:line="276" w:lineRule="auto"/>
        <w:ind w:left="567" w:right="615" w:firstLine="0"/>
        <w:rPr>
          <w:rFonts w:ascii="ITC Avant Garde" w:eastAsia="Calibri" w:hAnsi="ITC Avant Garde" w:cs="Arial"/>
          <w:i/>
          <w:color w:val="5B9BD5" w:themeColor="accent1"/>
          <w:sz w:val="18"/>
          <w:szCs w:val="18"/>
          <w:lang w:eastAsia="en-US"/>
        </w:rPr>
      </w:pPr>
    </w:p>
    <w:p w14:paraId="54AC1D46" w14:textId="77777777" w:rsidR="00474E85" w:rsidRPr="00244534" w:rsidRDefault="00474E85" w:rsidP="00474E85">
      <w:pPr>
        <w:spacing w:after="0" w:line="276" w:lineRule="auto"/>
        <w:ind w:left="567"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69EBE1FD" w14:textId="77777777" w:rsidR="00957203" w:rsidRPr="00244534" w:rsidRDefault="00957203" w:rsidP="00957203">
      <w:pPr>
        <w:spacing w:after="0" w:line="276" w:lineRule="auto"/>
        <w:ind w:left="-5" w:right="49"/>
        <w:rPr>
          <w:rFonts w:ascii="ITC Avant Garde" w:hAnsi="ITC Avant Garde"/>
          <w:b/>
          <w:color w:val="auto"/>
          <w:u w:val="single"/>
        </w:rPr>
      </w:pPr>
    </w:p>
    <w:p w14:paraId="1949A5C4" w14:textId="77777777" w:rsidR="00A82836" w:rsidRPr="00244534" w:rsidRDefault="00A82836" w:rsidP="00A82836">
      <w:pPr>
        <w:spacing w:after="0" w:line="276" w:lineRule="auto"/>
        <w:ind w:left="-5" w:right="49"/>
        <w:rPr>
          <w:rFonts w:ascii="ITC Avant Garde" w:hAnsi="ITC Avant Garde"/>
          <w:color w:val="5B9BD5" w:themeColor="accent1"/>
        </w:rPr>
      </w:pPr>
      <w:r w:rsidRPr="00244534">
        <w:rPr>
          <w:rFonts w:ascii="ITC Avant Garde" w:hAnsi="ITC Avant Garde"/>
          <w:color w:val="5B9BD5" w:themeColor="accent1"/>
        </w:rPr>
        <w:t>Por lo cual no es procedente la solicitud de separación del Convenio y de la Oferta.</w:t>
      </w:r>
    </w:p>
    <w:p w14:paraId="39691789" w14:textId="77777777" w:rsidR="00A82836" w:rsidRPr="00244534" w:rsidRDefault="00A82836" w:rsidP="00A82836">
      <w:pPr>
        <w:spacing w:after="0" w:line="276" w:lineRule="auto"/>
        <w:ind w:left="-5" w:right="49"/>
        <w:rPr>
          <w:rFonts w:ascii="ITC Avant Garde" w:hAnsi="ITC Avant Garde"/>
          <w:b/>
          <w:color w:val="auto"/>
          <w:u w:val="single"/>
        </w:rPr>
      </w:pPr>
    </w:p>
    <w:p w14:paraId="0FB8B99D" w14:textId="77777777" w:rsidR="00957203" w:rsidRPr="00244534" w:rsidRDefault="00957203" w:rsidP="00957203">
      <w:pPr>
        <w:spacing w:after="0" w:line="276" w:lineRule="auto"/>
        <w:ind w:left="0" w:right="49" w:firstLine="0"/>
        <w:rPr>
          <w:rFonts w:ascii="ITC Avant Garde" w:hAnsi="ITC Avant Garde"/>
          <w:b/>
          <w:color w:val="auto"/>
          <w:u w:val="single"/>
          <w:lang w:val="es-ES_tradnl"/>
        </w:rPr>
      </w:pPr>
      <w:r w:rsidRPr="00244534">
        <w:rPr>
          <w:rFonts w:ascii="ITC Avant Garde" w:hAnsi="ITC Avant Garde"/>
          <w:b/>
          <w:color w:val="auto"/>
          <w:u w:val="single"/>
          <w:lang w:val="es-ES_tradnl"/>
        </w:rPr>
        <w:t>Comentarios emitidos sobre el Numeral 5.- Reserva de Derechos relacionado con la Declaración I inciso g) del Convenio Marco</w:t>
      </w:r>
    </w:p>
    <w:p w14:paraId="3CB58384" w14:textId="77777777" w:rsidR="00957203" w:rsidRPr="00244534" w:rsidRDefault="00957203" w:rsidP="00957203">
      <w:pPr>
        <w:spacing w:after="0" w:line="276" w:lineRule="auto"/>
        <w:ind w:left="0" w:right="49" w:firstLine="0"/>
        <w:rPr>
          <w:rFonts w:ascii="ITC Avant Garde" w:hAnsi="ITC Avant Garde"/>
          <w:b/>
          <w:color w:val="auto"/>
          <w:u w:val="single"/>
          <w:lang w:val="es-ES_tradnl"/>
        </w:rPr>
      </w:pPr>
    </w:p>
    <w:p w14:paraId="1A8343BC" w14:textId="77777777" w:rsidR="005E4C95" w:rsidRPr="00244534" w:rsidRDefault="005E4C95" w:rsidP="005E5201">
      <w:pPr>
        <w:spacing w:after="0" w:line="276" w:lineRule="auto"/>
        <w:ind w:left="0" w:right="49" w:firstLine="0"/>
        <w:rPr>
          <w:rFonts w:ascii="ITC Avant Garde" w:hAnsi="ITC Avant Garde"/>
        </w:rPr>
      </w:pPr>
      <w:r w:rsidRPr="00244534">
        <w:rPr>
          <w:rFonts w:ascii="ITC Avant Garde" w:hAnsi="ITC Avant Garde"/>
        </w:rPr>
        <w:t>Grupo Televisa sugiere la eliminación sobre la reserva de derechos ya que el reconocimiento o el consentimiento de las Medidas Móviles no debe formar parte de las consideraciones de la Oferta de Referencia.</w:t>
      </w:r>
    </w:p>
    <w:p w14:paraId="38CA428A" w14:textId="77777777" w:rsidR="005E4C95" w:rsidRPr="00244534" w:rsidRDefault="005E4C95" w:rsidP="005E5201">
      <w:pPr>
        <w:spacing w:after="0" w:line="276" w:lineRule="auto"/>
        <w:ind w:left="0" w:right="49" w:firstLine="0"/>
        <w:rPr>
          <w:rFonts w:ascii="ITC Avant Garde" w:hAnsi="ITC Avant Garde"/>
        </w:rPr>
      </w:pPr>
    </w:p>
    <w:p w14:paraId="4267674C" w14:textId="77777777" w:rsidR="006C071C" w:rsidRPr="00244534" w:rsidRDefault="006C071C" w:rsidP="006C071C">
      <w:pPr>
        <w:pStyle w:val="Listaconvietas"/>
        <w:numPr>
          <w:ilvl w:val="0"/>
          <w:numId w:val="0"/>
        </w:numPr>
        <w:rPr>
          <w:i/>
          <w:color w:val="auto"/>
          <w:lang w:val="es-MX"/>
        </w:rPr>
      </w:pPr>
      <w:r w:rsidRPr="00244534">
        <w:rPr>
          <w:i/>
          <w:color w:val="auto"/>
          <w:lang w:val="es-MX"/>
        </w:rPr>
        <w:t>Consideraciones del Instituto</w:t>
      </w:r>
    </w:p>
    <w:p w14:paraId="13F2AD2C" w14:textId="77777777" w:rsidR="006C071C" w:rsidRPr="00244534" w:rsidRDefault="006C071C" w:rsidP="005E5201">
      <w:pPr>
        <w:spacing w:after="0" w:line="276" w:lineRule="auto"/>
        <w:ind w:left="0" w:right="49" w:firstLine="0"/>
        <w:rPr>
          <w:rFonts w:ascii="ITC Avant Garde" w:hAnsi="ITC Avant Garde"/>
        </w:rPr>
      </w:pPr>
    </w:p>
    <w:p w14:paraId="5FEA2D4D" w14:textId="6E821FEE" w:rsidR="00957203" w:rsidRPr="00244534" w:rsidRDefault="006C071C" w:rsidP="00957203">
      <w:pPr>
        <w:spacing w:after="0" w:line="276" w:lineRule="auto"/>
        <w:ind w:left="0" w:right="49" w:firstLine="0"/>
        <w:rPr>
          <w:rFonts w:ascii="ITC Avant Garde" w:hAnsi="ITC Avant Garde"/>
          <w:color w:val="5B9BD5" w:themeColor="accent1"/>
          <w:lang w:val="es-ES_tradnl"/>
        </w:rPr>
      </w:pPr>
      <w:r w:rsidRPr="00244534">
        <w:rPr>
          <w:rFonts w:ascii="ITC Avant Garde" w:hAnsi="ITC Avant Garde"/>
          <w:color w:val="5B9BD5" w:themeColor="accent1"/>
          <w:lang w:val="es-ES_tradnl"/>
        </w:rPr>
        <w:t>Se señala que los textos referidos</w:t>
      </w:r>
      <w:r w:rsidR="00EF23EE" w:rsidRPr="00244534">
        <w:rPr>
          <w:rFonts w:ascii="ITC Avant Garde" w:hAnsi="ITC Avant Garde"/>
          <w:color w:val="5B9BD5" w:themeColor="accent1"/>
          <w:lang w:val="es-ES_tradnl"/>
        </w:rPr>
        <w:t xml:space="preserve"> constituyen declaraci</w:t>
      </w:r>
      <w:r w:rsidR="00EA3C99" w:rsidRPr="00244534">
        <w:rPr>
          <w:rFonts w:ascii="ITC Avant Garde" w:hAnsi="ITC Avant Garde"/>
          <w:color w:val="5B9BD5" w:themeColor="accent1"/>
          <w:lang w:val="es-ES_tradnl"/>
        </w:rPr>
        <w:t>ones unilaterales del AEP</w:t>
      </w:r>
      <w:r w:rsidRPr="00244534">
        <w:rPr>
          <w:rFonts w:ascii="ITC Avant Garde" w:hAnsi="ITC Avant Garde"/>
          <w:color w:val="5B9BD5" w:themeColor="accent1"/>
          <w:lang w:val="es-ES_tradnl"/>
        </w:rPr>
        <w:t xml:space="preserve">, mismos que no crean obligaciones </w:t>
      </w:r>
      <w:r w:rsidR="00717471" w:rsidRPr="00244534">
        <w:rPr>
          <w:rFonts w:ascii="ITC Avant Garde" w:hAnsi="ITC Avant Garde"/>
          <w:color w:val="5B9BD5" w:themeColor="accent1"/>
          <w:lang w:val="es-ES_tradnl"/>
        </w:rPr>
        <w:t>o</w:t>
      </w:r>
      <w:r w:rsidRPr="00244534">
        <w:rPr>
          <w:rFonts w:ascii="ITC Avant Garde" w:hAnsi="ITC Avant Garde"/>
          <w:color w:val="5B9BD5" w:themeColor="accent1"/>
          <w:lang w:val="es-ES_tradnl"/>
        </w:rPr>
        <w:t xml:space="preserve"> responsabilidades al OMV o al propio AEP</w:t>
      </w:r>
      <w:r w:rsidR="00EA3C99" w:rsidRPr="00244534">
        <w:rPr>
          <w:rFonts w:ascii="ITC Avant Garde" w:hAnsi="ITC Avant Garde"/>
          <w:color w:val="5B9BD5" w:themeColor="accent1"/>
          <w:lang w:val="es-ES_tradnl"/>
        </w:rPr>
        <w:t>.</w:t>
      </w:r>
    </w:p>
    <w:p w14:paraId="35D8C548" w14:textId="77777777" w:rsidR="00957203" w:rsidRPr="00244534" w:rsidRDefault="00957203" w:rsidP="005E5201">
      <w:pPr>
        <w:spacing w:after="0" w:line="276" w:lineRule="auto"/>
        <w:ind w:left="-5" w:right="49"/>
        <w:rPr>
          <w:rFonts w:ascii="ITC Avant Garde" w:hAnsi="ITC Avant Garde"/>
          <w:b/>
          <w:color w:val="auto"/>
          <w:lang w:val="es-ES_tradnl"/>
        </w:rPr>
      </w:pPr>
    </w:p>
    <w:p w14:paraId="58151A9F" w14:textId="77777777" w:rsidR="00B16F42" w:rsidRPr="00244534" w:rsidRDefault="00B16F42" w:rsidP="00B16F42">
      <w:pPr>
        <w:spacing w:after="0" w:line="276" w:lineRule="auto"/>
        <w:ind w:left="-5" w:right="49"/>
        <w:rPr>
          <w:rFonts w:ascii="ITC Avant Garde" w:hAnsi="ITC Avant Garde"/>
          <w:b/>
          <w:color w:val="auto"/>
          <w:u w:val="single"/>
        </w:rPr>
      </w:pPr>
      <w:r w:rsidRPr="00244534">
        <w:rPr>
          <w:rFonts w:ascii="ITC Avant Garde" w:hAnsi="ITC Avant Garde"/>
          <w:b/>
          <w:color w:val="auto"/>
        </w:rPr>
        <w:t>ANEXO I Oferta de Servicios</w:t>
      </w:r>
    </w:p>
    <w:p w14:paraId="3CAB19D5" w14:textId="77777777" w:rsidR="00B16F42" w:rsidRPr="00244534" w:rsidRDefault="00B16F42" w:rsidP="00B16F42">
      <w:pPr>
        <w:spacing w:after="0" w:line="276" w:lineRule="auto"/>
        <w:ind w:left="0" w:right="0" w:firstLine="0"/>
        <w:rPr>
          <w:rFonts w:ascii="ITC Avant Garde" w:hAnsi="ITC Avant Garde"/>
          <w:b/>
          <w:color w:val="auto"/>
        </w:rPr>
      </w:pPr>
    </w:p>
    <w:p w14:paraId="0B0AD294" w14:textId="77777777" w:rsidR="00B16F42" w:rsidRPr="00244534" w:rsidRDefault="00B16F42" w:rsidP="00B16F42">
      <w:pPr>
        <w:spacing w:after="0" w:line="276" w:lineRule="auto"/>
        <w:ind w:right="0"/>
        <w:rPr>
          <w:rFonts w:ascii="ITC Avant Garde" w:hAnsi="ITC Avant Garde"/>
          <w:b/>
          <w:color w:val="auto"/>
          <w:u w:val="single"/>
        </w:rPr>
      </w:pPr>
      <w:r w:rsidRPr="00244534">
        <w:rPr>
          <w:rFonts w:ascii="ITC Avant Garde" w:hAnsi="ITC Avant Garde"/>
          <w:b/>
          <w:color w:val="auto"/>
          <w:u w:val="single"/>
        </w:rPr>
        <w:t>Sub-Anexo A</w:t>
      </w:r>
    </w:p>
    <w:p w14:paraId="393D3535" w14:textId="77777777" w:rsidR="00B16F42" w:rsidRPr="00244534" w:rsidRDefault="00B16F42" w:rsidP="00B16F42">
      <w:pPr>
        <w:spacing w:after="0" w:line="276" w:lineRule="auto"/>
        <w:ind w:right="0"/>
        <w:rPr>
          <w:rFonts w:ascii="ITC Avant Garde" w:hAnsi="ITC Avant Garde"/>
          <w:b/>
          <w:color w:val="auto"/>
          <w:u w:val="single"/>
        </w:rPr>
      </w:pPr>
    </w:p>
    <w:p w14:paraId="7C2F09FE" w14:textId="77777777" w:rsidR="00B16F42" w:rsidRPr="00244534" w:rsidRDefault="00807310" w:rsidP="00B16F42">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B16F42" w:rsidRPr="00244534">
        <w:rPr>
          <w:rFonts w:ascii="ITC Avant Garde" w:hAnsi="ITC Avant Garde"/>
          <w:b/>
          <w:color w:val="auto"/>
        </w:rPr>
        <w:t>Televisa:</w:t>
      </w:r>
    </w:p>
    <w:p w14:paraId="339F4A03" w14:textId="77777777" w:rsidR="00B16F42" w:rsidRPr="00244534" w:rsidRDefault="00B16F42" w:rsidP="00B16F42">
      <w:pPr>
        <w:spacing w:after="0" w:line="276" w:lineRule="auto"/>
        <w:ind w:right="0"/>
        <w:rPr>
          <w:rFonts w:ascii="ITC Avant Garde" w:hAnsi="ITC Avant Garde"/>
          <w:b/>
          <w:color w:val="auto"/>
          <w:u w:val="single"/>
        </w:rPr>
      </w:pPr>
    </w:p>
    <w:p w14:paraId="00E72EEF" w14:textId="77777777" w:rsidR="00854332" w:rsidRPr="00244534" w:rsidRDefault="00854332" w:rsidP="00854332">
      <w:pPr>
        <w:spacing w:after="0" w:line="276" w:lineRule="auto"/>
        <w:ind w:right="0"/>
        <w:rPr>
          <w:rFonts w:ascii="ITC Avant Garde" w:hAnsi="ITC Avant Garde"/>
          <w:color w:val="auto"/>
        </w:rPr>
      </w:pPr>
      <w:r w:rsidRPr="00244534">
        <w:rPr>
          <w:rFonts w:ascii="ITC Avant Garde" w:hAnsi="ITC Avant Garde"/>
          <w:color w:val="auto"/>
        </w:rPr>
        <w:t xml:space="preserve">El concesionario solicita que no se generen costos adicionales a la terminación y el tránsito por parte de Telcel cuando éste sea el encargado de intercambiar el tráfico con la Red Pública de Telecomunicaciones de destino, como si se tratase de tráfico originado por un usuario de Telcel. Asimismo, solicita que el AEP encamine el tráfico por la ruta de menor costo para el concesionario solicitante. </w:t>
      </w:r>
    </w:p>
    <w:p w14:paraId="40003222" w14:textId="77777777" w:rsidR="00F04FB4" w:rsidRPr="00244534" w:rsidRDefault="00F04FB4" w:rsidP="00F04FB4">
      <w:pPr>
        <w:pStyle w:val="Listaconvietas"/>
        <w:numPr>
          <w:ilvl w:val="0"/>
          <w:numId w:val="0"/>
        </w:numPr>
        <w:rPr>
          <w:i/>
          <w:color w:val="auto"/>
          <w:lang w:val="es-MX"/>
        </w:rPr>
      </w:pPr>
    </w:p>
    <w:p w14:paraId="62901BBE" w14:textId="77777777" w:rsidR="00F04FB4" w:rsidRPr="00244534" w:rsidRDefault="00F04FB4" w:rsidP="00F04FB4">
      <w:pPr>
        <w:pStyle w:val="Listaconvietas"/>
        <w:numPr>
          <w:ilvl w:val="0"/>
          <w:numId w:val="0"/>
        </w:numPr>
        <w:rPr>
          <w:i/>
          <w:color w:val="auto"/>
          <w:lang w:val="es-MX"/>
        </w:rPr>
      </w:pPr>
      <w:r w:rsidRPr="00244534">
        <w:rPr>
          <w:i/>
          <w:color w:val="auto"/>
          <w:lang w:val="es-MX"/>
        </w:rPr>
        <w:lastRenderedPageBreak/>
        <w:t>Consideraciones del Instituto</w:t>
      </w:r>
    </w:p>
    <w:p w14:paraId="4D8521B6" w14:textId="77777777" w:rsidR="00F04FB4" w:rsidRPr="00244534" w:rsidRDefault="00F04FB4" w:rsidP="00854332">
      <w:pPr>
        <w:spacing w:after="0" w:line="276" w:lineRule="auto"/>
        <w:ind w:right="0"/>
        <w:rPr>
          <w:rFonts w:ascii="ITC Avant Garde" w:hAnsi="ITC Avant Garde"/>
          <w:color w:val="auto"/>
        </w:rPr>
      </w:pPr>
    </w:p>
    <w:p w14:paraId="076B2D38" w14:textId="77777777" w:rsidR="00F25B2D" w:rsidRPr="00244534" w:rsidRDefault="000203D6" w:rsidP="000203D6">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717471" w:rsidRPr="00244534">
        <w:rPr>
          <w:rFonts w:ascii="ITC Avant Garde" w:hAnsi="ITC Avant Garde"/>
          <w:color w:val="5B9BD5" w:themeColor="accent1"/>
        </w:rPr>
        <w:t>,</w:t>
      </w:r>
      <w:r w:rsidRPr="00244534">
        <w:rPr>
          <w:rFonts w:ascii="ITC Avant Garde" w:hAnsi="ITC Avant Garde"/>
          <w:color w:val="5B9BD5" w:themeColor="accent1"/>
        </w:rPr>
        <w:t xml:space="preserve"> se señala que la Oferta </w:t>
      </w:r>
      <w:r w:rsidR="00F25B2D" w:rsidRPr="00244534">
        <w:rPr>
          <w:rFonts w:ascii="ITC Avant Garde" w:hAnsi="ITC Avant Garde"/>
          <w:color w:val="5B9BD5" w:themeColor="accent1"/>
        </w:rPr>
        <w:t>no contempla ningún pago adicional a</w:t>
      </w:r>
      <w:r w:rsidR="00716B63" w:rsidRPr="00244534">
        <w:rPr>
          <w:rFonts w:ascii="ITC Avant Garde" w:hAnsi="ITC Avant Garde"/>
          <w:color w:val="5B9BD5" w:themeColor="accent1"/>
        </w:rPr>
        <w:t xml:space="preserve"> las</w:t>
      </w:r>
      <w:r w:rsidR="00F25B2D" w:rsidRPr="00244534">
        <w:rPr>
          <w:rFonts w:ascii="ITC Avant Garde" w:hAnsi="ITC Avant Garde"/>
          <w:color w:val="5B9BD5" w:themeColor="accent1"/>
        </w:rPr>
        <w:t xml:space="preserve"> tarifas de tránsito y/o terminación (CPP) cuando Telcel sea el encargado de intercambiar el tráfico con la Red Pública de Telecomunicaciones de destino, como si se tratase de tráfico ori</w:t>
      </w:r>
      <w:r w:rsidRPr="00244534">
        <w:rPr>
          <w:rFonts w:ascii="ITC Avant Garde" w:hAnsi="ITC Avant Garde"/>
          <w:color w:val="5B9BD5" w:themeColor="accent1"/>
        </w:rPr>
        <w:t xml:space="preserve">ginado por un usuario de Telcel, sino únicamente corresponden a las tarifas que el operador que recibe el tráfico cobrará a Telcel por el intercambio de </w:t>
      </w:r>
      <w:r w:rsidR="00473064" w:rsidRPr="00244534">
        <w:rPr>
          <w:rFonts w:ascii="ITC Avant Garde" w:hAnsi="ITC Avant Garde"/>
          <w:color w:val="5B9BD5" w:themeColor="accent1"/>
        </w:rPr>
        <w:t xml:space="preserve">dicho </w:t>
      </w:r>
      <w:r w:rsidRPr="00244534">
        <w:rPr>
          <w:rFonts w:ascii="ITC Avant Garde" w:hAnsi="ITC Avant Garde"/>
          <w:color w:val="5B9BD5" w:themeColor="accent1"/>
        </w:rPr>
        <w:t>tráfico.</w:t>
      </w:r>
      <w:r w:rsidR="0009533F" w:rsidRPr="00244534">
        <w:rPr>
          <w:rFonts w:ascii="ITC Avant Garde" w:hAnsi="ITC Avant Garde"/>
          <w:color w:val="5B9BD5" w:themeColor="accent1"/>
        </w:rPr>
        <w:t xml:space="preserve"> </w:t>
      </w:r>
    </w:p>
    <w:p w14:paraId="35B2789D" w14:textId="77777777" w:rsidR="0009533F" w:rsidRPr="00244534" w:rsidRDefault="0009533F" w:rsidP="00B16F42">
      <w:pPr>
        <w:spacing w:after="0" w:line="276" w:lineRule="auto"/>
        <w:ind w:right="0"/>
        <w:rPr>
          <w:rFonts w:ascii="ITC Avant Garde" w:hAnsi="ITC Avant Garde"/>
          <w:color w:val="5B9BD5" w:themeColor="accent1"/>
        </w:rPr>
      </w:pPr>
    </w:p>
    <w:p w14:paraId="1AC9EC83" w14:textId="2699D87F" w:rsidR="0058531C" w:rsidRPr="00244534" w:rsidRDefault="00784BFD" w:rsidP="000203D6">
      <w:pPr>
        <w:spacing w:after="0" w:line="276" w:lineRule="auto"/>
        <w:ind w:right="0"/>
        <w:rPr>
          <w:rFonts w:ascii="ITC Avant Garde" w:hAnsi="ITC Avant Garde"/>
          <w:color w:val="5B9BD5" w:themeColor="accent1"/>
        </w:rPr>
      </w:pPr>
      <w:r w:rsidRPr="00244534">
        <w:rPr>
          <w:rFonts w:ascii="ITC Avant Garde" w:hAnsi="ITC Avant Garde"/>
          <w:color w:val="5B9BD5" w:themeColor="accent1"/>
        </w:rPr>
        <w:t xml:space="preserve">Asimismo, </w:t>
      </w:r>
      <w:r w:rsidR="000203D6" w:rsidRPr="00244534">
        <w:rPr>
          <w:rFonts w:ascii="ITC Avant Garde" w:hAnsi="ITC Avant Garde"/>
          <w:color w:val="5B9BD5" w:themeColor="accent1"/>
        </w:rPr>
        <w:t xml:space="preserve">el </w:t>
      </w:r>
      <w:r w:rsidR="00717471" w:rsidRPr="00244534">
        <w:rPr>
          <w:rFonts w:ascii="ITC Avant Garde" w:hAnsi="ITC Avant Garde"/>
          <w:color w:val="5B9BD5" w:themeColor="accent1"/>
        </w:rPr>
        <w:t xml:space="preserve">enrutamiento </w:t>
      </w:r>
      <w:r w:rsidR="000203D6" w:rsidRPr="00244534">
        <w:rPr>
          <w:rFonts w:ascii="ITC Avant Garde" w:hAnsi="ITC Avant Garde"/>
          <w:color w:val="5B9BD5" w:themeColor="accent1"/>
        </w:rPr>
        <w:t xml:space="preserve">de tráfico se </w:t>
      </w:r>
      <w:r w:rsidR="00717471" w:rsidRPr="00244534">
        <w:rPr>
          <w:rFonts w:ascii="ITC Avant Garde" w:hAnsi="ITC Avant Garde"/>
          <w:color w:val="5B9BD5" w:themeColor="accent1"/>
        </w:rPr>
        <w:t>lleva a cabo conforme a</w:t>
      </w:r>
      <w:r w:rsidR="000203D6" w:rsidRPr="00244534">
        <w:rPr>
          <w:rFonts w:ascii="ITC Avant Garde" w:hAnsi="ITC Avant Garde"/>
          <w:color w:val="5B9BD5" w:themeColor="accent1"/>
        </w:rPr>
        <w:t xml:space="preserve"> la arquitectura de la red, la interconexión con otros operadores,</w:t>
      </w:r>
      <w:r w:rsidR="00717471" w:rsidRPr="00244534">
        <w:rPr>
          <w:rFonts w:ascii="ITC Avant Garde" w:hAnsi="ITC Avant Garde"/>
          <w:color w:val="5B9BD5" w:themeColor="accent1"/>
        </w:rPr>
        <w:t xml:space="preserve"> entre otros aspectos técnicos,</w:t>
      </w:r>
      <w:r w:rsidR="000203D6" w:rsidRPr="00244534">
        <w:rPr>
          <w:rFonts w:ascii="ITC Avant Garde" w:hAnsi="ITC Avant Garde"/>
          <w:color w:val="5B9BD5" w:themeColor="accent1"/>
        </w:rPr>
        <w:t xml:space="preserve"> no por aspectos económicos. </w:t>
      </w:r>
    </w:p>
    <w:p w14:paraId="4F833063" w14:textId="77777777" w:rsidR="0065093A" w:rsidRPr="00244534" w:rsidRDefault="0065093A" w:rsidP="005E5201">
      <w:pPr>
        <w:spacing w:after="0" w:line="276" w:lineRule="auto"/>
        <w:ind w:left="-5" w:right="49"/>
        <w:rPr>
          <w:rFonts w:ascii="ITC Avant Garde" w:hAnsi="ITC Avant Garde"/>
          <w:b/>
          <w:color w:val="auto"/>
        </w:rPr>
      </w:pPr>
    </w:p>
    <w:p w14:paraId="76E414C9" w14:textId="77777777" w:rsidR="00BA60A4" w:rsidRPr="00244534" w:rsidRDefault="00BA60A4" w:rsidP="005E5201">
      <w:pPr>
        <w:spacing w:after="0" w:line="276" w:lineRule="auto"/>
        <w:ind w:left="-5" w:right="49"/>
        <w:rPr>
          <w:rFonts w:ascii="ITC Avant Garde" w:hAnsi="ITC Avant Garde"/>
          <w:b/>
          <w:color w:val="auto"/>
          <w:u w:val="single"/>
        </w:rPr>
      </w:pPr>
      <w:r w:rsidRPr="00244534">
        <w:rPr>
          <w:rFonts w:ascii="ITC Avant Garde" w:hAnsi="ITC Avant Garde"/>
          <w:b/>
          <w:color w:val="auto"/>
        </w:rPr>
        <w:t xml:space="preserve">ANEXO II </w:t>
      </w:r>
      <w:r w:rsidR="00DF533B" w:rsidRPr="00244534">
        <w:rPr>
          <w:rFonts w:ascii="ITC Avant Garde" w:hAnsi="ITC Avant Garde"/>
          <w:b/>
          <w:color w:val="auto"/>
        </w:rPr>
        <w:t xml:space="preserve">Acuerdo </w:t>
      </w:r>
      <w:r w:rsidRPr="00244534">
        <w:rPr>
          <w:rFonts w:ascii="ITC Avant Garde" w:hAnsi="ITC Avant Garde"/>
          <w:b/>
          <w:color w:val="auto"/>
        </w:rPr>
        <w:t>T</w:t>
      </w:r>
      <w:r w:rsidR="00DF533B" w:rsidRPr="00244534">
        <w:rPr>
          <w:rFonts w:ascii="ITC Avant Garde" w:hAnsi="ITC Avant Garde"/>
          <w:b/>
          <w:color w:val="auto"/>
        </w:rPr>
        <w:t>écnicos</w:t>
      </w:r>
    </w:p>
    <w:p w14:paraId="26FE6685" w14:textId="77777777" w:rsidR="00B16F42" w:rsidRPr="00244534" w:rsidRDefault="00B16F42" w:rsidP="005E5201">
      <w:pPr>
        <w:spacing w:after="0" w:line="276" w:lineRule="auto"/>
        <w:ind w:left="0" w:right="0" w:firstLine="0"/>
        <w:rPr>
          <w:rFonts w:ascii="ITC Avant Garde" w:hAnsi="ITC Avant Garde"/>
          <w:b/>
          <w:color w:val="auto"/>
          <w:u w:val="single"/>
        </w:rPr>
      </w:pPr>
    </w:p>
    <w:p w14:paraId="08AFCDC4" w14:textId="77777777" w:rsidR="00BA60A4" w:rsidRPr="00244534" w:rsidRDefault="00BA60A4"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Comentarios </w:t>
      </w:r>
      <w:r w:rsidR="00237B45" w:rsidRPr="00244534">
        <w:rPr>
          <w:rFonts w:ascii="ITC Avant Garde" w:hAnsi="ITC Avant Garde"/>
          <w:b/>
          <w:color w:val="auto"/>
          <w:u w:val="single"/>
        </w:rPr>
        <w:t>emitidos al ANEXO II A</w:t>
      </w:r>
      <w:r w:rsidR="00B343AF" w:rsidRPr="00244534">
        <w:rPr>
          <w:rFonts w:ascii="ITC Avant Garde" w:hAnsi="ITC Avant Garde"/>
          <w:b/>
          <w:color w:val="auto"/>
          <w:u w:val="single"/>
        </w:rPr>
        <w:t>cuerdos</w:t>
      </w:r>
      <w:r w:rsidR="00237B45" w:rsidRPr="00244534">
        <w:rPr>
          <w:rFonts w:ascii="ITC Avant Garde" w:hAnsi="ITC Avant Garde"/>
          <w:b/>
          <w:color w:val="auto"/>
          <w:u w:val="single"/>
        </w:rPr>
        <w:t xml:space="preserve"> T</w:t>
      </w:r>
      <w:r w:rsidR="00B343AF" w:rsidRPr="00244534">
        <w:rPr>
          <w:rFonts w:ascii="ITC Avant Garde" w:hAnsi="ITC Avant Garde"/>
          <w:b/>
          <w:color w:val="auto"/>
          <w:u w:val="single"/>
        </w:rPr>
        <w:t>écnicos</w:t>
      </w:r>
    </w:p>
    <w:p w14:paraId="5B759CB0" w14:textId="77777777" w:rsidR="00BA60A4" w:rsidRPr="00244534" w:rsidRDefault="00BA60A4" w:rsidP="005E5201">
      <w:pPr>
        <w:spacing w:after="0" w:line="276" w:lineRule="auto"/>
        <w:ind w:right="0"/>
        <w:rPr>
          <w:rFonts w:ascii="ITC Avant Garde" w:hAnsi="ITC Avant Garde"/>
          <w:b/>
          <w:color w:val="auto"/>
          <w:u w:val="single"/>
        </w:rPr>
      </w:pPr>
    </w:p>
    <w:p w14:paraId="4A08E687" w14:textId="77777777" w:rsidR="00BA60A4" w:rsidRPr="00244534" w:rsidRDefault="00432B9B"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Altán</w:t>
      </w:r>
      <w:r w:rsidR="000B4F36" w:rsidRPr="00244534">
        <w:rPr>
          <w:rFonts w:ascii="ITC Avant Garde" w:hAnsi="ITC Avant Garde"/>
          <w:b/>
          <w:color w:val="auto"/>
        </w:rPr>
        <w:t>:</w:t>
      </w:r>
    </w:p>
    <w:p w14:paraId="528093AC" w14:textId="77777777" w:rsidR="00BA60A4" w:rsidRPr="00244534" w:rsidRDefault="00BA60A4" w:rsidP="005E5201">
      <w:pPr>
        <w:spacing w:after="0" w:line="276" w:lineRule="auto"/>
        <w:ind w:right="0"/>
        <w:rPr>
          <w:rFonts w:ascii="ITC Avant Garde" w:hAnsi="ITC Avant Garde"/>
          <w:b/>
          <w:color w:val="auto"/>
          <w:u w:val="single"/>
        </w:rPr>
      </w:pPr>
    </w:p>
    <w:p w14:paraId="29AE0407" w14:textId="7713412C" w:rsidR="0020457B" w:rsidRPr="00244534" w:rsidRDefault="00717471" w:rsidP="00F74D41">
      <w:pPr>
        <w:spacing w:after="0" w:line="276" w:lineRule="auto"/>
        <w:ind w:right="0"/>
        <w:rPr>
          <w:rFonts w:ascii="ITC Avant Garde" w:hAnsi="ITC Avant Garde"/>
          <w:color w:val="auto"/>
        </w:rPr>
      </w:pPr>
      <w:r w:rsidRPr="00244534">
        <w:rPr>
          <w:rFonts w:ascii="ITC Avant Garde" w:hAnsi="ITC Avant Garde"/>
          <w:color w:val="auto"/>
        </w:rPr>
        <w:t>S</w:t>
      </w:r>
      <w:r w:rsidR="005F320B" w:rsidRPr="00244534">
        <w:rPr>
          <w:rFonts w:ascii="ITC Avant Garde" w:hAnsi="ITC Avant Garde"/>
          <w:color w:val="auto"/>
        </w:rPr>
        <w:t>olicita que se actualicen los diagramas técnicos para considerar a los concesionarios que cuenten con una red IMS (IP Multimedia Subsystem) ya que no se contemplan los elementos de una red VoLTE.</w:t>
      </w:r>
      <w:r w:rsidR="006C1F2D" w:rsidRPr="00244534">
        <w:rPr>
          <w:rFonts w:ascii="ITC Avant Garde" w:hAnsi="ITC Avant Garde"/>
          <w:color w:val="auto"/>
        </w:rPr>
        <w:t xml:space="preserve"> Asimismo, solicita una cláusula que garantice la revisión y actualización de los anexos técnicos para asegurar la introducción de los servicios que requieran los operadores minoristas clientes de Altán, adem</w:t>
      </w:r>
      <w:r w:rsidR="009928D9" w:rsidRPr="00244534">
        <w:rPr>
          <w:rFonts w:ascii="ITC Avant Garde" w:hAnsi="ITC Avant Garde"/>
          <w:color w:val="auto"/>
        </w:rPr>
        <w:t>ás de asegurar el acceso desagregado a la infraestructura y servicios de Telcel en cada localidad.</w:t>
      </w:r>
    </w:p>
    <w:p w14:paraId="13DD5284" w14:textId="77777777" w:rsidR="0020457B" w:rsidRPr="00244534" w:rsidRDefault="0020457B" w:rsidP="00F74D41">
      <w:pPr>
        <w:spacing w:after="0" w:line="276" w:lineRule="auto"/>
        <w:ind w:right="0"/>
        <w:rPr>
          <w:rFonts w:ascii="ITC Avant Garde" w:hAnsi="ITC Avant Garde"/>
          <w:color w:val="auto"/>
        </w:rPr>
      </w:pPr>
    </w:p>
    <w:p w14:paraId="2CB360DB"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78976F4C" w14:textId="77777777" w:rsidR="00F04FB4" w:rsidRPr="00244534" w:rsidRDefault="00F04FB4" w:rsidP="00F74D41">
      <w:pPr>
        <w:spacing w:after="0" w:line="276" w:lineRule="auto"/>
        <w:ind w:right="0"/>
        <w:rPr>
          <w:rFonts w:ascii="ITC Avant Garde" w:hAnsi="ITC Avant Garde"/>
          <w:color w:val="auto"/>
        </w:rPr>
      </w:pPr>
    </w:p>
    <w:p w14:paraId="6495AA39" w14:textId="77777777" w:rsidR="00D45631" w:rsidRPr="00244534" w:rsidRDefault="00D45631" w:rsidP="00DA0F6F">
      <w:pPr>
        <w:pStyle w:val="Prrafodelista"/>
        <w:numPr>
          <w:ilvl w:val="0"/>
          <w:numId w:val="3"/>
        </w:num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El proveer el servicio de usuario visitante a una red mayorista implica modificaciones técnicas de mayor complejidad a las consideradas en la Oferta de Referencia, por lo que a efecto de no introducir ambigüedades en una oferta que tiene propósitos generales aplicables a cualquier </w:t>
      </w:r>
      <w:r w:rsidR="00D1421B" w:rsidRPr="00244534">
        <w:rPr>
          <w:rFonts w:ascii="ITC Avant Garde" w:hAnsi="ITC Avant Garde"/>
          <w:color w:val="5B9BD5" w:themeColor="accent1"/>
        </w:rPr>
        <w:t>concesionario, se modifica la cláusula segunda para que Telcel y la red mayorista definan de común acuerdo los Acuerdos Técnicos que resulten más apropiados entre las partes:</w:t>
      </w:r>
    </w:p>
    <w:p w14:paraId="5CB03109" w14:textId="77777777" w:rsidR="00D1421B" w:rsidRPr="00244534" w:rsidRDefault="00D1421B" w:rsidP="00DA0F6F">
      <w:pPr>
        <w:pStyle w:val="Prrafodelista"/>
        <w:numPr>
          <w:ilvl w:val="0"/>
          <w:numId w:val="3"/>
        </w:numPr>
        <w:spacing w:after="0" w:line="276" w:lineRule="auto"/>
        <w:ind w:left="0" w:right="0" w:firstLine="0"/>
        <w:rPr>
          <w:rFonts w:ascii="ITC Avant Garde" w:hAnsi="ITC Avant Garde"/>
          <w:color w:val="5B9BD5" w:themeColor="accent1"/>
        </w:rPr>
      </w:pPr>
    </w:p>
    <w:p w14:paraId="6E56086C" w14:textId="77777777" w:rsidR="00D1421B" w:rsidRPr="00244534" w:rsidRDefault="00D1421B" w:rsidP="00D1421B">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“2.1 OBJETO.</w:t>
      </w:r>
    </w:p>
    <w:p w14:paraId="758E157C" w14:textId="77777777" w:rsidR="00D1421B" w:rsidRPr="00244534" w:rsidRDefault="00D1421B" w:rsidP="00D1421B">
      <w:pPr>
        <w:spacing w:after="0" w:line="276" w:lineRule="auto"/>
        <w:ind w:left="567" w:right="615" w:firstLine="0"/>
        <w:rPr>
          <w:rFonts w:ascii="ITC Avant Garde" w:eastAsia="Calibri" w:hAnsi="ITC Avant Garde" w:cs="Arial"/>
          <w:i/>
          <w:color w:val="5B9BD5" w:themeColor="accent1"/>
          <w:sz w:val="18"/>
          <w:szCs w:val="18"/>
          <w:lang w:eastAsia="en-US"/>
        </w:rPr>
      </w:pPr>
    </w:p>
    <w:p w14:paraId="66DB38CB" w14:textId="77777777" w:rsidR="00D1421B" w:rsidRPr="00244534" w:rsidRDefault="00D1421B" w:rsidP="00D1421B">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Por conducto del presente Convenio, Telcel otorgará, a cambio de las contraprestaciones a que se refiere la Cláusula Cuarta Contraprestaciones del presente Convenio, los Servicios de la Oferta, así como los Servicios Adicionales </w:t>
      </w:r>
      <w:r w:rsidRPr="00244534">
        <w:rPr>
          <w:rFonts w:ascii="ITC Avant Garde" w:eastAsia="Calibri" w:hAnsi="ITC Avant Garde" w:cs="Arial"/>
          <w:i/>
          <w:color w:val="5B9BD5" w:themeColor="accent1"/>
          <w:sz w:val="18"/>
          <w:szCs w:val="18"/>
          <w:lang w:eastAsia="en-US"/>
        </w:rPr>
        <w:lastRenderedPageBreak/>
        <w:t>a la Oferta al Concesionario para uso exclusivo de sus Usuarios Finales, de conformidad con el Anexo I Oferta de Servicios.</w:t>
      </w:r>
    </w:p>
    <w:p w14:paraId="031EC29B" w14:textId="77777777" w:rsidR="00D1421B" w:rsidRPr="00244534" w:rsidRDefault="00D1421B" w:rsidP="00D1421B">
      <w:pPr>
        <w:spacing w:after="0" w:line="276" w:lineRule="auto"/>
        <w:ind w:left="567" w:right="615" w:firstLine="0"/>
        <w:rPr>
          <w:rFonts w:ascii="ITC Avant Garde" w:eastAsia="Calibri" w:hAnsi="ITC Avant Garde" w:cs="Arial"/>
          <w:i/>
          <w:color w:val="5B9BD5" w:themeColor="accent1"/>
          <w:sz w:val="18"/>
          <w:szCs w:val="18"/>
          <w:lang w:eastAsia="en-US"/>
        </w:rPr>
      </w:pPr>
    </w:p>
    <w:p w14:paraId="4E1C5547" w14:textId="77777777" w:rsidR="00D1421B" w:rsidRPr="00244534" w:rsidRDefault="00D1421B" w:rsidP="00D1421B">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u w:val="single"/>
          <w:lang w:eastAsia="en-US"/>
        </w:rPr>
        <w:t>Lo anterior sin perjuicio de las adecuaciones técnicas particulares que deban realizarse a efecto de que Telcel preste el servicio de la Oferta de Referencia a redes mayoristas</w:t>
      </w:r>
      <w:r w:rsidRPr="00244534">
        <w:rPr>
          <w:rFonts w:ascii="ITC Avant Garde" w:eastAsia="Calibri" w:hAnsi="ITC Avant Garde" w:cs="Arial"/>
          <w:i/>
          <w:color w:val="5B9BD5" w:themeColor="accent1"/>
          <w:sz w:val="18"/>
          <w:szCs w:val="18"/>
          <w:lang w:eastAsia="en-US"/>
        </w:rPr>
        <w:t>.”</w:t>
      </w:r>
    </w:p>
    <w:p w14:paraId="30005BA3" w14:textId="77777777" w:rsidR="00D1421B" w:rsidRPr="00244534" w:rsidRDefault="00D1421B" w:rsidP="00D1421B">
      <w:pPr>
        <w:spacing w:after="0" w:line="276" w:lineRule="auto"/>
        <w:ind w:left="567" w:right="615" w:firstLine="0"/>
        <w:rPr>
          <w:rFonts w:ascii="ITC Avant Garde" w:eastAsia="Calibri" w:hAnsi="ITC Avant Garde" w:cs="Arial"/>
          <w:i/>
          <w:color w:val="5B9BD5" w:themeColor="accent1"/>
          <w:sz w:val="18"/>
          <w:szCs w:val="18"/>
          <w:lang w:eastAsia="en-US"/>
        </w:rPr>
      </w:pPr>
    </w:p>
    <w:p w14:paraId="18C85AB4" w14:textId="77777777" w:rsidR="00D1421B" w:rsidRPr="00244534" w:rsidRDefault="00D1421B" w:rsidP="00D1421B">
      <w:pPr>
        <w:spacing w:after="0" w:line="276" w:lineRule="auto"/>
        <w:ind w:left="567"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594C60BD" w14:textId="77777777" w:rsidR="00D1421B" w:rsidRPr="00244534" w:rsidRDefault="00D1421B" w:rsidP="00D1421B">
      <w:pPr>
        <w:spacing w:after="0" w:line="276" w:lineRule="auto"/>
        <w:ind w:right="0"/>
        <w:rPr>
          <w:rFonts w:ascii="ITC Avant Garde" w:hAnsi="ITC Avant Garde"/>
          <w:color w:val="5B9BD5" w:themeColor="accent1"/>
          <w:lang w:val="es-ES_tradnl"/>
        </w:rPr>
      </w:pPr>
    </w:p>
    <w:p w14:paraId="62281916" w14:textId="77777777" w:rsidR="006C654A" w:rsidRPr="00244534" w:rsidRDefault="006C654A" w:rsidP="006C654A">
      <w:pPr>
        <w:spacing w:after="0" w:line="276" w:lineRule="auto"/>
        <w:ind w:right="0"/>
        <w:rPr>
          <w:rFonts w:ascii="ITC Avant Garde" w:hAnsi="ITC Avant Garde"/>
          <w:b/>
          <w:color w:val="auto"/>
          <w:u w:val="single"/>
        </w:rPr>
      </w:pPr>
      <w:r w:rsidRPr="00244534">
        <w:rPr>
          <w:rFonts w:ascii="ITC Avant Garde" w:hAnsi="ITC Avant Garde"/>
          <w:b/>
          <w:color w:val="auto"/>
          <w:u w:val="single"/>
        </w:rPr>
        <w:t>Comentarios emitidos en relación a los plazos</w:t>
      </w:r>
    </w:p>
    <w:p w14:paraId="37574672" w14:textId="77777777" w:rsidR="006C654A" w:rsidRPr="00244534" w:rsidRDefault="006C654A" w:rsidP="006C654A">
      <w:pPr>
        <w:spacing w:after="0" w:line="276" w:lineRule="auto"/>
        <w:ind w:right="0"/>
        <w:rPr>
          <w:rFonts w:ascii="ITC Avant Garde" w:hAnsi="ITC Avant Garde"/>
          <w:b/>
          <w:color w:val="auto"/>
        </w:rPr>
      </w:pPr>
    </w:p>
    <w:p w14:paraId="2A365B02" w14:textId="77777777" w:rsidR="006C654A" w:rsidRPr="00244534" w:rsidRDefault="00807310" w:rsidP="006C654A">
      <w:pPr>
        <w:spacing w:after="0" w:line="276" w:lineRule="auto"/>
        <w:ind w:right="0"/>
        <w:rPr>
          <w:rFonts w:ascii="ITC Avant Garde" w:hAnsi="ITC Avant Garde"/>
          <w:b/>
          <w:color w:val="auto"/>
        </w:rPr>
      </w:pPr>
      <w:r w:rsidRPr="00244534">
        <w:rPr>
          <w:rFonts w:ascii="ITC Avant Garde" w:hAnsi="ITC Avant Garde"/>
          <w:b/>
          <w:color w:val="auto"/>
        </w:rPr>
        <w:t xml:space="preserve">Grupo </w:t>
      </w:r>
      <w:r w:rsidR="006C654A" w:rsidRPr="00244534">
        <w:rPr>
          <w:rFonts w:ascii="ITC Avant Garde" w:hAnsi="ITC Avant Garde"/>
          <w:b/>
          <w:color w:val="auto"/>
        </w:rPr>
        <w:t>Televisa:</w:t>
      </w:r>
    </w:p>
    <w:p w14:paraId="024E1C2B" w14:textId="77777777" w:rsidR="006C654A" w:rsidRPr="00244534" w:rsidRDefault="006C654A" w:rsidP="006C654A">
      <w:pPr>
        <w:spacing w:after="0" w:line="276" w:lineRule="auto"/>
        <w:ind w:right="0"/>
        <w:rPr>
          <w:rFonts w:ascii="ITC Avant Garde" w:hAnsi="ITC Avant Garde"/>
          <w:b/>
          <w:color w:val="auto"/>
          <w:u w:val="single"/>
        </w:rPr>
      </w:pPr>
    </w:p>
    <w:p w14:paraId="099B5931" w14:textId="38B8284D" w:rsidR="006C654A" w:rsidRPr="00244534" w:rsidRDefault="00E66D1E" w:rsidP="006C654A">
      <w:pPr>
        <w:spacing w:after="0" w:line="276" w:lineRule="auto"/>
        <w:ind w:right="0"/>
        <w:rPr>
          <w:rFonts w:ascii="ITC Avant Garde" w:hAnsi="ITC Avant Garde"/>
          <w:color w:val="auto"/>
        </w:rPr>
      </w:pPr>
      <w:r w:rsidRPr="00244534">
        <w:rPr>
          <w:rFonts w:ascii="ITC Avant Garde" w:hAnsi="ITC Avant Garde"/>
          <w:color w:val="auto"/>
        </w:rPr>
        <w:t>Menciona</w:t>
      </w:r>
      <w:r w:rsidR="007D3FC8" w:rsidRPr="00244534">
        <w:rPr>
          <w:rFonts w:ascii="ITC Avant Garde" w:hAnsi="ITC Avant Garde"/>
          <w:color w:val="auto"/>
        </w:rPr>
        <w:t xml:space="preserve"> que se carece de un proceso formal de implementación</w:t>
      </w:r>
      <w:r w:rsidR="003D004D" w:rsidRPr="00244534">
        <w:rPr>
          <w:rFonts w:ascii="ITC Avant Garde" w:hAnsi="ITC Avant Garde"/>
          <w:color w:val="auto"/>
        </w:rPr>
        <w:t xml:space="preserve"> de los Servicios de la Oferta</w:t>
      </w:r>
      <w:r w:rsidR="007D3FC8" w:rsidRPr="00244534">
        <w:rPr>
          <w:rFonts w:ascii="ITC Avant Garde" w:hAnsi="ITC Avant Garde"/>
          <w:color w:val="auto"/>
        </w:rPr>
        <w:t>, por lo cual sugiere el desarrollo de un anexo que describa los términos y condiciones de cada uno de los procesos relacionados con el aprovisionamien</w:t>
      </w:r>
      <w:r w:rsidR="00DF69C5" w:rsidRPr="00244534">
        <w:rPr>
          <w:rFonts w:ascii="ITC Avant Garde" w:hAnsi="ITC Avant Garde"/>
          <w:color w:val="auto"/>
        </w:rPr>
        <w:t xml:space="preserve">to, </w:t>
      </w:r>
      <w:r w:rsidR="003D004D" w:rsidRPr="00244534">
        <w:rPr>
          <w:rFonts w:ascii="ITC Avant Garde" w:hAnsi="ITC Avant Garde"/>
          <w:color w:val="auto"/>
        </w:rPr>
        <w:t>mantenimiento e incidencias de los Servicios de la Oferta.</w:t>
      </w:r>
    </w:p>
    <w:p w14:paraId="27B96FCA" w14:textId="77777777" w:rsidR="007E2A9E" w:rsidRPr="00244534" w:rsidRDefault="007E2A9E" w:rsidP="006C654A">
      <w:pPr>
        <w:spacing w:after="0" w:line="276" w:lineRule="auto"/>
        <w:ind w:right="0"/>
        <w:rPr>
          <w:rFonts w:ascii="ITC Avant Garde" w:hAnsi="ITC Avant Garde"/>
          <w:color w:val="auto"/>
        </w:rPr>
      </w:pPr>
    </w:p>
    <w:p w14:paraId="100271B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8D04B4F" w14:textId="77777777" w:rsidR="00F04FB4" w:rsidRPr="00244534" w:rsidRDefault="00F04FB4" w:rsidP="006C654A">
      <w:pPr>
        <w:spacing w:after="0" w:line="276" w:lineRule="auto"/>
        <w:ind w:right="0"/>
        <w:rPr>
          <w:rFonts w:ascii="ITC Avant Garde" w:hAnsi="ITC Avant Garde"/>
          <w:color w:val="auto"/>
        </w:rPr>
      </w:pPr>
    </w:p>
    <w:p w14:paraId="79E5FA23" w14:textId="77777777" w:rsidR="006C654A" w:rsidRPr="00244534" w:rsidRDefault="004270C6" w:rsidP="004270C6">
      <w:pPr>
        <w:spacing w:after="0" w:line="276" w:lineRule="auto"/>
        <w:ind w:right="0"/>
        <w:rPr>
          <w:rFonts w:ascii="ITC Avant Garde" w:hAnsi="ITC Avant Garde"/>
          <w:color w:val="5B9BD5" w:themeColor="accent1"/>
        </w:rPr>
      </w:pPr>
      <w:r w:rsidRPr="00244534">
        <w:rPr>
          <w:rFonts w:ascii="ITC Avant Garde" w:hAnsi="ITC Avant Garde"/>
          <w:color w:val="5B9BD5" w:themeColor="accent1"/>
        </w:rPr>
        <w:t>De acuerdo a lo establecido en l</w:t>
      </w:r>
      <w:r w:rsidR="00CB6FD5" w:rsidRPr="00244534">
        <w:rPr>
          <w:rFonts w:ascii="ITC Avant Garde" w:hAnsi="ITC Avant Garde"/>
          <w:color w:val="5B9BD5" w:themeColor="accent1"/>
        </w:rPr>
        <w:t>a Medida Decimosexta de las Medidas Móviles</w:t>
      </w:r>
      <w:r w:rsidR="00B95BB7" w:rsidRPr="00244534">
        <w:rPr>
          <w:rFonts w:ascii="ITC Avant Garde" w:hAnsi="ITC Avant Garde"/>
          <w:color w:val="5B9BD5" w:themeColor="accent1"/>
        </w:rPr>
        <w:t xml:space="preserve"> </w:t>
      </w:r>
      <w:r w:rsidRPr="00244534">
        <w:rPr>
          <w:rFonts w:ascii="ITC Avant Garde" w:hAnsi="ITC Avant Garde"/>
          <w:color w:val="5B9BD5" w:themeColor="accent1"/>
        </w:rPr>
        <w:t>respecto a incluir los plazos para ejecución de cada una de las etapas de los procedimientos relacionados a la prestación del servicio de Usuario Visitante</w:t>
      </w:r>
      <w:r w:rsidR="00B95BB7" w:rsidRPr="00244534">
        <w:rPr>
          <w:rFonts w:ascii="ITC Avant Garde" w:hAnsi="ITC Avant Garde"/>
          <w:color w:val="5B9BD5" w:themeColor="accent1"/>
        </w:rPr>
        <w:t>,</w:t>
      </w:r>
      <w:r w:rsidR="00661271" w:rsidRPr="00244534">
        <w:rPr>
          <w:rFonts w:ascii="ITC Avant Garde" w:hAnsi="ITC Avant Garde"/>
          <w:color w:val="5B9BD5" w:themeColor="accent1"/>
        </w:rPr>
        <w:t xml:space="preserve"> se modifica el numeral 3 del Anexo IX para </w:t>
      </w:r>
      <w:r w:rsidR="000F5C94" w:rsidRPr="00244534">
        <w:rPr>
          <w:rFonts w:ascii="ITC Avant Garde" w:hAnsi="ITC Avant Garde"/>
          <w:color w:val="5B9BD5" w:themeColor="accent1"/>
        </w:rPr>
        <w:t xml:space="preserve">agregar más detalle al procedimiento de solicitud de servicios, así como </w:t>
      </w:r>
      <w:r w:rsidR="00661271" w:rsidRPr="00244534">
        <w:rPr>
          <w:rFonts w:ascii="ITC Avant Garde" w:hAnsi="ITC Avant Garde"/>
          <w:color w:val="5B9BD5" w:themeColor="accent1"/>
        </w:rPr>
        <w:t>los plazos de entrega de los servicios de la oferta.</w:t>
      </w:r>
    </w:p>
    <w:p w14:paraId="06BA108C" w14:textId="77777777" w:rsidR="000F5C94" w:rsidRPr="00244534" w:rsidRDefault="000F5C94" w:rsidP="004270C6">
      <w:pPr>
        <w:spacing w:after="0" w:line="276" w:lineRule="auto"/>
        <w:ind w:right="0"/>
        <w:rPr>
          <w:rFonts w:ascii="ITC Avant Garde" w:hAnsi="ITC Avant Garde"/>
          <w:color w:val="5B9BD5" w:themeColor="accent1"/>
        </w:rPr>
      </w:pPr>
    </w:p>
    <w:p w14:paraId="2B1979D7" w14:textId="77777777" w:rsidR="000F5C94" w:rsidRPr="00244534" w:rsidRDefault="000F5C94" w:rsidP="004270C6">
      <w:pPr>
        <w:spacing w:after="0" w:line="276" w:lineRule="auto"/>
        <w:ind w:right="0"/>
        <w:rPr>
          <w:rFonts w:ascii="ITC Avant Garde" w:eastAsia="Calibri" w:hAnsi="ITC Avant Garde" w:cs="Arial"/>
          <w:i/>
          <w:color w:val="5B9BD5" w:themeColor="accent1"/>
          <w:sz w:val="18"/>
          <w:szCs w:val="18"/>
          <w:lang w:eastAsia="en-US"/>
        </w:rPr>
      </w:pPr>
      <w:r w:rsidRPr="00244534">
        <w:rPr>
          <w:rFonts w:ascii="ITC Avant Garde" w:hAnsi="ITC Avant Garde"/>
          <w:color w:val="5B9BD5" w:themeColor="accent1"/>
        </w:rPr>
        <w:t>Respecto a los términos y condiciones del proceso de aprovisionamiento, el mismo se encuentra contenido en el Anexo VII Procedimientos de la atención de incidencias.</w:t>
      </w:r>
    </w:p>
    <w:p w14:paraId="0B6402AD" w14:textId="77777777" w:rsidR="00B343AF" w:rsidRPr="00244534" w:rsidRDefault="00B343AF" w:rsidP="005E5201">
      <w:pPr>
        <w:spacing w:after="0" w:line="276" w:lineRule="auto"/>
        <w:ind w:right="0"/>
        <w:rPr>
          <w:rFonts w:ascii="ITC Avant Garde" w:hAnsi="ITC Avant Garde"/>
          <w:b/>
          <w:color w:val="auto"/>
          <w:u w:val="single"/>
        </w:rPr>
      </w:pPr>
    </w:p>
    <w:p w14:paraId="16C76AF6" w14:textId="77777777" w:rsidR="00BA60A4" w:rsidRPr="00244534" w:rsidRDefault="00BA60A4"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Numeral 3. Proceso de Pruebas</w:t>
      </w:r>
    </w:p>
    <w:p w14:paraId="7B5F171C" w14:textId="77777777" w:rsidR="00BA60A4" w:rsidRPr="00244534" w:rsidRDefault="00BA60A4" w:rsidP="005E5201">
      <w:pPr>
        <w:spacing w:after="0" w:line="276" w:lineRule="auto"/>
        <w:ind w:right="0"/>
        <w:rPr>
          <w:rFonts w:ascii="ITC Avant Garde" w:hAnsi="ITC Avant Garde"/>
          <w:b/>
          <w:color w:val="auto"/>
          <w:u w:val="single"/>
        </w:rPr>
      </w:pPr>
    </w:p>
    <w:p w14:paraId="0A0692C6"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Telefónica</w:t>
      </w:r>
      <w:r w:rsidR="000B4F36" w:rsidRPr="00244534">
        <w:rPr>
          <w:rFonts w:ascii="ITC Avant Garde" w:hAnsi="ITC Avant Garde"/>
          <w:b/>
          <w:color w:val="auto"/>
        </w:rPr>
        <w:t>:</w:t>
      </w:r>
    </w:p>
    <w:p w14:paraId="39396450" w14:textId="77777777" w:rsidR="005843E9" w:rsidRPr="00244534" w:rsidRDefault="005843E9" w:rsidP="00DA0F6F">
      <w:pPr>
        <w:widowControl w:val="0"/>
        <w:numPr>
          <w:ilvl w:val="0"/>
          <w:numId w:val="3"/>
        </w:numPr>
        <w:tabs>
          <w:tab w:val="left" w:pos="0"/>
        </w:tabs>
        <w:autoSpaceDE w:val="0"/>
        <w:autoSpaceDN w:val="0"/>
        <w:adjustRightInd w:val="0"/>
        <w:spacing w:after="0" w:line="240" w:lineRule="auto"/>
        <w:ind w:left="0" w:right="0" w:firstLine="0"/>
        <w:rPr>
          <w:rFonts w:ascii="ITC Avant Garde" w:hAnsi="ITC Avant Garde"/>
          <w:color w:val="auto"/>
        </w:rPr>
      </w:pPr>
    </w:p>
    <w:p w14:paraId="69CA153F" w14:textId="653E7A3C" w:rsidR="00BA60A4" w:rsidRPr="00244534" w:rsidRDefault="00E66D1E" w:rsidP="0072389C">
      <w:pPr>
        <w:spacing w:after="0" w:line="276" w:lineRule="auto"/>
        <w:ind w:right="0"/>
        <w:rPr>
          <w:rFonts w:ascii="ITC Avant Garde" w:hAnsi="ITC Avant Garde"/>
          <w:color w:val="auto"/>
        </w:rPr>
      </w:pPr>
      <w:r w:rsidRPr="00244534">
        <w:rPr>
          <w:rFonts w:ascii="ITC Avant Garde" w:hAnsi="ITC Avant Garde"/>
          <w:color w:val="auto"/>
        </w:rPr>
        <w:t>S</w:t>
      </w:r>
      <w:r w:rsidR="005843E9" w:rsidRPr="00244534">
        <w:rPr>
          <w:rFonts w:ascii="ITC Avant Garde" w:hAnsi="ITC Avant Garde"/>
          <w:color w:val="auto"/>
        </w:rPr>
        <w:t>olicita</w:t>
      </w:r>
      <w:r w:rsidR="00BA60A4" w:rsidRPr="00244534">
        <w:rPr>
          <w:rFonts w:ascii="ITC Avant Garde" w:hAnsi="ITC Avant Garde"/>
          <w:color w:val="auto"/>
        </w:rPr>
        <w:t xml:space="preserve"> la </w:t>
      </w:r>
      <w:r w:rsidR="00160F50" w:rsidRPr="00244534">
        <w:rPr>
          <w:rFonts w:ascii="ITC Avant Garde" w:hAnsi="ITC Avant Garde"/>
          <w:color w:val="auto"/>
        </w:rPr>
        <w:t>incorporación de las siguientes</w:t>
      </w:r>
      <w:r w:rsidR="00BA60A4" w:rsidRPr="00244534">
        <w:rPr>
          <w:rFonts w:ascii="ITC Avant Garde" w:hAnsi="ITC Avant Garde"/>
          <w:color w:val="auto"/>
        </w:rPr>
        <w:t xml:space="preserve"> pruebas a fin de considerar válido el la</w:t>
      </w:r>
      <w:r w:rsidR="00160F50" w:rsidRPr="00244534">
        <w:rPr>
          <w:rFonts w:ascii="ITC Avant Garde" w:hAnsi="ITC Avant Garde"/>
          <w:color w:val="auto"/>
        </w:rPr>
        <w:t>nzamiento comercial:</w:t>
      </w:r>
      <w:r w:rsidR="00BA60A4" w:rsidRPr="00244534">
        <w:rPr>
          <w:rFonts w:ascii="ITC Avant Garde" w:hAnsi="ITC Avant Garde"/>
          <w:color w:val="auto"/>
        </w:rPr>
        <w:t xml:space="preserve"> i) la pro</w:t>
      </w:r>
      <w:r w:rsidR="005843E9" w:rsidRPr="00244534">
        <w:rPr>
          <w:rFonts w:ascii="ITC Avant Garde" w:hAnsi="ITC Avant Garde"/>
          <w:color w:val="auto"/>
        </w:rPr>
        <w:t>visión del servicio en la localidad</w:t>
      </w:r>
      <w:r w:rsidR="00BA60A4" w:rsidRPr="00244534">
        <w:rPr>
          <w:rFonts w:ascii="ITC Avant Garde" w:hAnsi="ITC Avant Garde"/>
          <w:color w:val="auto"/>
        </w:rPr>
        <w:t xml:space="preserve"> donde el concesionario </w:t>
      </w:r>
      <w:r w:rsidR="005843E9" w:rsidRPr="00244534">
        <w:rPr>
          <w:rFonts w:ascii="ITC Avant Garde" w:hAnsi="ITC Avant Garde"/>
          <w:color w:val="auto"/>
        </w:rPr>
        <w:t>cuente con un NOC</w:t>
      </w:r>
      <w:r w:rsidR="00160F50" w:rsidRPr="00244534">
        <w:rPr>
          <w:rFonts w:ascii="ITC Avant Garde" w:hAnsi="ITC Avant Garde"/>
          <w:color w:val="auto"/>
        </w:rPr>
        <w:t xml:space="preserve"> (Network Operation Center)</w:t>
      </w:r>
      <w:r w:rsidR="005843E9" w:rsidRPr="00244534">
        <w:rPr>
          <w:rFonts w:ascii="ITC Avant Garde" w:hAnsi="ITC Avant Garde"/>
          <w:color w:val="auto"/>
        </w:rPr>
        <w:t xml:space="preserve"> para monitorear el servicio</w:t>
      </w:r>
      <w:r w:rsidR="00BA60A4" w:rsidRPr="00244534">
        <w:rPr>
          <w:rFonts w:ascii="ITC Avant Garde" w:hAnsi="ITC Avant Garde"/>
          <w:color w:val="auto"/>
        </w:rPr>
        <w:t xml:space="preserve"> y ii) </w:t>
      </w:r>
      <w:r w:rsidR="005843E9" w:rsidRPr="00244534">
        <w:rPr>
          <w:rFonts w:ascii="ITC Avant Garde" w:hAnsi="ITC Avant Garde"/>
          <w:color w:val="auto"/>
        </w:rPr>
        <w:t>proveer la numeración necesaria durante el proceso de pruebas para el correcto monitoreo y/o verificación de la calidad del s</w:t>
      </w:r>
      <w:r w:rsidR="00081DCB" w:rsidRPr="00244534">
        <w:rPr>
          <w:rFonts w:ascii="ITC Avant Garde" w:hAnsi="ITC Avant Garde"/>
          <w:color w:val="auto"/>
        </w:rPr>
        <w:t>ervicio.</w:t>
      </w:r>
    </w:p>
    <w:p w14:paraId="089DF6F8" w14:textId="77777777" w:rsidR="00F04FB4" w:rsidRPr="00244534" w:rsidRDefault="00F04FB4" w:rsidP="00F04FB4">
      <w:pPr>
        <w:pStyle w:val="Listaconvietas"/>
        <w:numPr>
          <w:ilvl w:val="0"/>
          <w:numId w:val="0"/>
        </w:numPr>
        <w:ind w:left="360" w:hanging="360"/>
        <w:rPr>
          <w:i/>
          <w:color w:val="auto"/>
          <w:lang w:val="es-MX"/>
        </w:rPr>
      </w:pPr>
    </w:p>
    <w:p w14:paraId="2F183CD8" w14:textId="77777777" w:rsidR="00F04FB4" w:rsidRPr="00244534" w:rsidRDefault="00F04FB4" w:rsidP="00F04FB4">
      <w:pPr>
        <w:pStyle w:val="Listaconvietas"/>
        <w:numPr>
          <w:ilvl w:val="0"/>
          <w:numId w:val="0"/>
        </w:numPr>
        <w:ind w:left="360" w:hanging="360"/>
        <w:rPr>
          <w:i/>
          <w:color w:val="auto"/>
          <w:lang w:val="es-MX"/>
        </w:rPr>
      </w:pPr>
      <w:r w:rsidRPr="00244534">
        <w:rPr>
          <w:i/>
          <w:color w:val="auto"/>
          <w:lang w:val="es-MX"/>
        </w:rPr>
        <w:lastRenderedPageBreak/>
        <w:t>Consideraciones del Instituto</w:t>
      </w:r>
    </w:p>
    <w:p w14:paraId="4FE2FF83" w14:textId="77777777" w:rsidR="00DC1BFB" w:rsidRPr="00244534" w:rsidRDefault="00DC1BFB" w:rsidP="00DA0F6F">
      <w:pPr>
        <w:widowControl w:val="0"/>
        <w:numPr>
          <w:ilvl w:val="0"/>
          <w:numId w:val="3"/>
        </w:numPr>
        <w:tabs>
          <w:tab w:val="left" w:pos="0"/>
        </w:tabs>
        <w:autoSpaceDE w:val="0"/>
        <w:autoSpaceDN w:val="0"/>
        <w:adjustRightInd w:val="0"/>
        <w:spacing w:after="0" w:line="240" w:lineRule="auto"/>
        <w:ind w:left="0" w:right="0" w:firstLine="0"/>
        <w:rPr>
          <w:rFonts w:ascii="ITC Avant Garde" w:hAnsi="ITC Avant Garde"/>
          <w:color w:val="auto"/>
        </w:rPr>
      </w:pPr>
    </w:p>
    <w:p w14:paraId="527124A6" w14:textId="77777777" w:rsidR="00BA60A4" w:rsidRPr="00244534" w:rsidRDefault="00BA60A4" w:rsidP="00DA0F6F">
      <w:pPr>
        <w:pStyle w:val="Prrafodelista"/>
        <w:numPr>
          <w:ilvl w:val="0"/>
          <w:numId w:val="3"/>
        </w:numPr>
        <w:spacing w:after="0" w:line="276" w:lineRule="auto"/>
        <w:ind w:left="0" w:right="0" w:firstLine="0"/>
        <w:rPr>
          <w:rFonts w:ascii="ITC Avant Garde" w:hAnsi="ITC Avant Garde"/>
          <w:b/>
          <w:color w:val="auto"/>
        </w:rPr>
      </w:pPr>
      <w:r w:rsidRPr="00244534">
        <w:rPr>
          <w:rFonts w:ascii="ITC Avant Garde" w:hAnsi="ITC Avant Garde"/>
          <w:color w:val="5B9BD5" w:themeColor="accent1"/>
        </w:rPr>
        <w:t xml:space="preserve">En relación a la apertura de los servicios de la </w:t>
      </w:r>
      <w:r w:rsidR="004D021A" w:rsidRPr="00244534">
        <w:rPr>
          <w:rFonts w:ascii="ITC Avant Garde" w:hAnsi="ITC Avant Garde"/>
          <w:color w:val="5B9BD5" w:themeColor="accent1"/>
        </w:rPr>
        <w:t>O</w:t>
      </w:r>
      <w:r w:rsidRPr="00244534">
        <w:rPr>
          <w:rFonts w:ascii="ITC Avant Garde" w:hAnsi="ITC Avant Garde"/>
          <w:color w:val="5B9BD5" w:themeColor="accent1"/>
        </w:rPr>
        <w:t xml:space="preserve">ferta para pruebas en localidades donde el concesionario cuente con un NOC, el Instituto considera que dicha solicitud no aporta relevancia para la comprobación de la calidad y funcionalidad de los servicios de la </w:t>
      </w:r>
      <w:r w:rsidR="005D1171" w:rsidRPr="00244534">
        <w:rPr>
          <w:rFonts w:ascii="ITC Avant Garde" w:hAnsi="ITC Avant Garde"/>
          <w:color w:val="5B9BD5" w:themeColor="accent1"/>
        </w:rPr>
        <w:t>Oferta</w:t>
      </w:r>
      <w:r w:rsidRPr="00244534">
        <w:rPr>
          <w:rFonts w:ascii="ITC Avant Garde" w:hAnsi="ITC Avant Garde"/>
          <w:color w:val="5B9BD5" w:themeColor="accent1"/>
        </w:rPr>
        <w:t>, toda vez que bajo este escenario no se estarían probando ni la calidad</w:t>
      </w:r>
      <w:r w:rsidR="00E66D1E" w:rsidRPr="00244534">
        <w:rPr>
          <w:rFonts w:ascii="ITC Avant Garde" w:hAnsi="ITC Avant Garde"/>
          <w:color w:val="5B9BD5" w:themeColor="accent1"/>
        </w:rPr>
        <w:t>,</w:t>
      </w:r>
      <w:r w:rsidRPr="00244534">
        <w:rPr>
          <w:rFonts w:ascii="ITC Avant Garde" w:hAnsi="ITC Avant Garde"/>
          <w:color w:val="5B9BD5" w:themeColor="accent1"/>
        </w:rPr>
        <w:t xml:space="preserve"> ni la funcionalidad del servicio en las localidades donde se prestan los servicios de la </w:t>
      </w:r>
      <w:r w:rsidR="00F84FA1" w:rsidRPr="00244534">
        <w:rPr>
          <w:rFonts w:ascii="ITC Avant Garde" w:hAnsi="ITC Avant Garde"/>
          <w:color w:val="5B9BD5" w:themeColor="accent1"/>
        </w:rPr>
        <w:t>O</w:t>
      </w:r>
      <w:r w:rsidRPr="00244534">
        <w:rPr>
          <w:rFonts w:ascii="ITC Avant Garde" w:hAnsi="ITC Avant Garde"/>
          <w:color w:val="5B9BD5" w:themeColor="accent1"/>
        </w:rPr>
        <w:t xml:space="preserve">ferta. </w:t>
      </w:r>
    </w:p>
    <w:p w14:paraId="5997C8E6" w14:textId="77777777" w:rsidR="00BA60A4" w:rsidRPr="00244534" w:rsidRDefault="00BA60A4" w:rsidP="00DA0F6F">
      <w:pPr>
        <w:pStyle w:val="Prrafodelista"/>
        <w:numPr>
          <w:ilvl w:val="0"/>
          <w:numId w:val="3"/>
        </w:numPr>
        <w:spacing w:after="0" w:line="276" w:lineRule="auto"/>
        <w:ind w:left="0" w:right="0" w:firstLine="0"/>
        <w:rPr>
          <w:rFonts w:ascii="ITC Avant Garde" w:hAnsi="ITC Avant Garde"/>
          <w:b/>
          <w:color w:val="auto"/>
        </w:rPr>
      </w:pPr>
    </w:p>
    <w:p w14:paraId="2F02FC2B" w14:textId="77777777" w:rsidR="00E27AFE" w:rsidRPr="00244534" w:rsidRDefault="00BA60A4" w:rsidP="00DA0F6F">
      <w:pPr>
        <w:pStyle w:val="Prrafodelista"/>
        <w:numPr>
          <w:ilvl w:val="0"/>
          <w:numId w:val="3"/>
        </w:numPr>
        <w:spacing w:after="0" w:line="276" w:lineRule="auto"/>
        <w:ind w:left="0" w:right="0" w:firstLine="0"/>
        <w:rPr>
          <w:rFonts w:ascii="ITC Avant Garde" w:hAnsi="ITC Avant Garde"/>
          <w:b/>
          <w:color w:val="auto"/>
        </w:rPr>
      </w:pPr>
      <w:r w:rsidRPr="00244534">
        <w:rPr>
          <w:rFonts w:ascii="ITC Avant Garde" w:hAnsi="ITC Avant Garde"/>
          <w:color w:val="5B9BD5" w:themeColor="accent1"/>
        </w:rPr>
        <w:t xml:space="preserve">En cuanto a la segunda solicitud, el </w:t>
      </w:r>
      <w:r w:rsidR="00352EEF" w:rsidRPr="00244534">
        <w:rPr>
          <w:rFonts w:ascii="ITC Avant Garde" w:hAnsi="ITC Avant Garde"/>
          <w:color w:val="5B9BD5" w:themeColor="accent1"/>
        </w:rPr>
        <w:t>I</w:t>
      </w:r>
      <w:r w:rsidRPr="00244534">
        <w:rPr>
          <w:rFonts w:ascii="ITC Avant Garde" w:hAnsi="ITC Avant Garde"/>
          <w:color w:val="5B9BD5" w:themeColor="accent1"/>
        </w:rPr>
        <w:t xml:space="preserve">nstituto </w:t>
      </w:r>
      <w:r w:rsidR="00CA28FA" w:rsidRPr="00244534">
        <w:rPr>
          <w:rFonts w:ascii="ITC Avant Garde" w:hAnsi="ITC Avant Garde"/>
          <w:color w:val="5B9BD5" w:themeColor="accent1"/>
        </w:rPr>
        <w:t>modifica el numeral 3 del Anexo II para permitir al concesionario solicitante</w:t>
      </w:r>
      <w:r w:rsidR="00DB2F0A" w:rsidRPr="00244534">
        <w:rPr>
          <w:rFonts w:ascii="ITC Avant Garde" w:hAnsi="ITC Avant Garde"/>
          <w:color w:val="5B9BD5" w:themeColor="accent1"/>
        </w:rPr>
        <w:t>: i) realizar pruebas independientes, y en caso de encontrar alguna falla, reportarla al AEP para el análisis y solución de la misma; o ii) solicitar al AEP la realización de pruebas adicionales con cargo al concesionario, tal como se muestra a continuación:</w:t>
      </w:r>
    </w:p>
    <w:p w14:paraId="2090C495" w14:textId="77777777" w:rsidR="00E27AFE" w:rsidRPr="00244534" w:rsidRDefault="00E27AFE" w:rsidP="00DA0F6F">
      <w:pPr>
        <w:pStyle w:val="Prrafodelista"/>
        <w:numPr>
          <w:ilvl w:val="0"/>
          <w:numId w:val="3"/>
        </w:numPr>
        <w:spacing w:after="0" w:line="276" w:lineRule="auto"/>
        <w:ind w:left="0" w:right="0" w:firstLine="0"/>
        <w:rPr>
          <w:rFonts w:ascii="ITC Avant Garde" w:hAnsi="ITC Avant Garde"/>
          <w:b/>
          <w:color w:val="auto"/>
        </w:rPr>
      </w:pPr>
    </w:p>
    <w:p w14:paraId="6CD23C20" w14:textId="77777777" w:rsidR="00E27AFE" w:rsidRPr="00244534" w:rsidRDefault="00E27AFE" w:rsidP="00E27AFE">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“El Concesionario podrá realizar pruebas adicionales previas al lanzamiento comercial, y en su caso reportar a Telcel los casos de falla previo al análisis que realice, en el entendido que deberá acompañar la información y soportes necesarios (LOG, trazados, etc.) a efecto de realizar el análisis y solucionar la falla en conjunto.</w:t>
      </w:r>
    </w:p>
    <w:p w14:paraId="58599A13" w14:textId="77777777" w:rsidR="00E27AFE" w:rsidRPr="00244534" w:rsidRDefault="00E27AFE" w:rsidP="00E27AFE">
      <w:pPr>
        <w:spacing w:after="0" w:line="276" w:lineRule="auto"/>
        <w:ind w:left="567" w:right="615" w:firstLine="0"/>
        <w:rPr>
          <w:rFonts w:ascii="ITC Avant Garde" w:eastAsia="Calibri" w:hAnsi="ITC Avant Garde" w:cs="Arial"/>
          <w:i/>
          <w:color w:val="5B9BD5" w:themeColor="accent1"/>
          <w:sz w:val="18"/>
          <w:szCs w:val="18"/>
          <w:lang w:eastAsia="en-US"/>
        </w:rPr>
      </w:pPr>
    </w:p>
    <w:p w14:paraId="0078ADE3" w14:textId="77777777" w:rsidR="00E27AFE" w:rsidRPr="00244534" w:rsidRDefault="00E27AFE" w:rsidP="00E27AFE">
      <w:pPr>
        <w:spacing w:after="0" w:line="276" w:lineRule="auto"/>
        <w:ind w:left="567"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En caso de que el Concesionario Solicitante requiera pruebas adicionales Telcel, establecerá los plazos y costos para la ejecución de las mismas los cuales estarán a cargo del Concesionario Solicitante. “</w:t>
      </w:r>
    </w:p>
    <w:p w14:paraId="30B38EEB" w14:textId="77777777" w:rsidR="000F5C94" w:rsidRPr="00244534" w:rsidRDefault="000F5C94" w:rsidP="005E5201">
      <w:pPr>
        <w:spacing w:after="0" w:line="276" w:lineRule="auto"/>
        <w:ind w:left="0" w:right="0" w:firstLine="0"/>
        <w:rPr>
          <w:rFonts w:ascii="ITC Avant Garde" w:hAnsi="ITC Avant Garde"/>
          <w:b/>
          <w:color w:val="auto"/>
        </w:rPr>
      </w:pPr>
    </w:p>
    <w:p w14:paraId="737EA2B6" w14:textId="77777777" w:rsidR="000F5C94" w:rsidRPr="00244534" w:rsidRDefault="000F5C94" w:rsidP="005E5201">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Asimismo, se agrega el Subanexo E Pruebas de certificación, que contiene las pruebas</w:t>
      </w:r>
      <w:r w:rsidRPr="00244534">
        <w:t xml:space="preserve"> </w:t>
      </w:r>
      <w:r w:rsidRPr="00244534">
        <w:rPr>
          <w:rFonts w:ascii="ITC Avant Garde" w:hAnsi="ITC Avant Garde"/>
          <w:color w:val="5B9BD5" w:themeColor="accent1"/>
        </w:rPr>
        <w:t>a fin de validar la correcta prestación del servicio y con ello considerar válido el lanzamiento comercial.</w:t>
      </w:r>
    </w:p>
    <w:p w14:paraId="5C35278C" w14:textId="77777777" w:rsidR="000F5C94" w:rsidRPr="00244534" w:rsidRDefault="000F5C94" w:rsidP="005E5201">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  </w:t>
      </w:r>
    </w:p>
    <w:p w14:paraId="7E3B1F04" w14:textId="77777777" w:rsidR="00B2129A" w:rsidRPr="00244534" w:rsidRDefault="00807310"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655EF8" w:rsidRPr="00244534">
        <w:rPr>
          <w:rFonts w:ascii="ITC Avant Garde" w:hAnsi="ITC Avant Garde"/>
          <w:b/>
          <w:color w:val="auto"/>
        </w:rPr>
        <w:t>Televisa:</w:t>
      </w:r>
    </w:p>
    <w:p w14:paraId="3D21D1A4" w14:textId="77777777" w:rsidR="00655EF8" w:rsidRPr="00244534" w:rsidRDefault="00655EF8" w:rsidP="005E5201">
      <w:pPr>
        <w:spacing w:after="0" w:line="276" w:lineRule="auto"/>
        <w:ind w:left="0" w:right="0" w:firstLine="0"/>
        <w:rPr>
          <w:rFonts w:ascii="ITC Avant Garde" w:hAnsi="ITC Avant Garde"/>
          <w:color w:val="auto"/>
        </w:rPr>
      </w:pPr>
    </w:p>
    <w:p w14:paraId="55745DB7" w14:textId="5F8055E7" w:rsidR="00655EF8" w:rsidRPr="00244534" w:rsidRDefault="00E66D1E" w:rsidP="00776DD1">
      <w:pPr>
        <w:spacing w:after="0" w:line="276" w:lineRule="auto"/>
        <w:ind w:right="0"/>
        <w:rPr>
          <w:rFonts w:ascii="ITC Avant Garde" w:hAnsi="ITC Avant Garde"/>
          <w:color w:val="auto"/>
        </w:rPr>
      </w:pPr>
      <w:r w:rsidRPr="00244534">
        <w:rPr>
          <w:rFonts w:ascii="ITC Avant Garde" w:hAnsi="ITC Avant Garde"/>
          <w:color w:val="auto"/>
        </w:rPr>
        <w:t>Menciona</w:t>
      </w:r>
      <w:r w:rsidR="00655EF8" w:rsidRPr="00244534">
        <w:rPr>
          <w:rFonts w:ascii="ITC Avant Garde" w:hAnsi="ITC Avant Garde"/>
          <w:color w:val="auto"/>
        </w:rPr>
        <w:t xml:space="preserve"> que n</w:t>
      </w:r>
      <w:r w:rsidR="00776DD1" w:rsidRPr="00244534">
        <w:rPr>
          <w:rFonts w:ascii="ITC Avant Garde" w:hAnsi="ITC Avant Garde"/>
          <w:color w:val="auto"/>
        </w:rPr>
        <w:t>o es</w:t>
      </w:r>
      <w:r w:rsidR="00655EF8" w:rsidRPr="00244534">
        <w:rPr>
          <w:rFonts w:ascii="ITC Avant Garde" w:hAnsi="ITC Avant Garde"/>
          <w:color w:val="auto"/>
        </w:rPr>
        <w:t xml:space="preserve"> razonable contar con una sola prueba para garan</w:t>
      </w:r>
      <w:r w:rsidR="003A17EA" w:rsidRPr="00244534">
        <w:rPr>
          <w:rFonts w:ascii="ITC Avant Garde" w:hAnsi="ITC Avant Garde"/>
          <w:color w:val="auto"/>
        </w:rPr>
        <w:t>t</w:t>
      </w:r>
      <w:r w:rsidR="00655EF8" w:rsidRPr="00244534">
        <w:rPr>
          <w:rFonts w:ascii="ITC Avant Garde" w:hAnsi="ITC Avant Garde"/>
          <w:color w:val="auto"/>
        </w:rPr>
        <w:t xml:space="preserve">izar el funcionamiento </w:t>
      </w:r>
      <w:r w:rsidRPr="00244534">
        <w:rPr>
          <w:rFonts w:ascii="ITC Avant Garde" w:hAnsi="ITC Avant Garde"/>
          <w:color w:val="auto"/>
        </w:rPr>
        <w:t xml:space="preserve">adecuado </w:t>
      </w:r>
      <w:r w:rsidR="00655EF8" w:rsidRPr="00244534">
        <w:rPr>
          <w:rFonts w:ascii="ITC Avant Garde" w:hAnsi="ITC Avant Garde"/>
          <w:color w:val="auto"/>
        </w:rPr>
        <w:t>de la operación</w:t>
      </w:r>
      <w:r w:rsidR="00EE6FCF" w:rsidRPr="00244534">
        <w:rPr>
          <w:rFonts w:ascii="ITC Avant Garde" w:hAnsi="ITC Avant Garde"/>
          <w:color w:val="auto"/>
        </w:rPr>
        <w:t>,</w:t>
      </w:r>
      <w:r w:rsidR="00655EF8" w:rsidRPr="00244534">
        <w:rPr>
          <w:rFonts w:ascii="ITC Avant Garde" w:hAnsi="ITC Avant Garde"/>
          <w:color w:val="auto"/>
        </w:rPr>
        <w:t xml:space="preserve"> </w:t>
      </w:r>
      <w:r w:rsidR="00EE6FCF" w:rsidRPr="00244534">
        <w:rPr>
          <w:rFonts w:ascii="ITC Avant Garde" w:hAnsi="ITC Avant Garde"/>
          <w:color w:val="auto"/>
        </w:rPr>
        <w:t xml:space="preserve">además de que el </w:t>
      </w:r>
      <w:r w:rsidR="00655EF8" w:rsidRPr="00244534">
        <w:rPr>
          <w:rFonts w:ascii="ITC Avant Garde" w:hAnsi="ITC Avant Garde"/>
          <w:color w:val="auto"/>
        </w:rPr>
        <w:t>AEP</w:t>
      </w:r>
      <w:r w:rsidR="00776DD1" w:rsidRPr="00244534">
        <w:rPr>
          <w:rFonts w:ascii="ITC Avant Garde" w:hAnsi="ITC Avant Garde"/>
          <w:color w:val="auto"/>
        </w:rPr>
        <w:t xml:space="preserve"> </w:t>
      </w:r>
      <w:r w:rsidR="00EE6FCF" w:rsidRPr="00244534">
        <w:rPr>
          <w:rFonts w:ascii="ITC Avant Garde" w:hAnsi="ITC Avant Garde"/>
          <w:color w:val="auto"/>
        </w:rPr>
        <w:t xml:space="preserve">realice cobros </w:t>
      </w:r>
      <w:r w:rsidR="00776DD1" w:rsidRPr="00244534">
        <w:rPr>
          <w:rFonts w:ascii="ITC Avant Garde" w:hAnsi="ITC Avant Garde"/>
          <w:color w:val="auto"/>
        </w:rPr>
        <w:t>en caso de requerir pruebas adicionales posteriores a la entrega de los servicios de la Oferta</w:t>
      </w:r>
      <w:r w:rsidR="00655EF8" w:rsidRPr="00244534">
        <w:rPr>
          <w:rFonts w:ascii="ITC Avant Garde" w:hAnsi="ITC Avant Garde"/>
          <w:color w:val="auto"/>
        </w:rPr>
        <w:t xml:space="preserve">. </w:t>
      </w:r>
      <w:r w:rsidR="00335E1A" w:rsidRPr="00244534">
        <w:rPr>
          <w:rFonts w:ascii="ITC Avant Garde" w:hAnsi="ITC Avant Garde"/>
          <w:color w:val="auto"/>
        </w:rPr>
        <w:t xml:space="preserve">Grupo </w:t>
      </w:r>
      <w:r w:rsidR="00655EF8" w:rsidRPr="00244534">
        <w:rPr>
          <w:rFonts w:ascii="ITC Avant Garde" w:hAnsi="ITC Avant Garde"/>
          <w:color w:val="auto"/>
        </w:rPr>
        <w:t xml:space="preserve">Televisa sugiere </w:t>
      </w:r>
      <w:r w:rsidR="00335E1A" w:rsidRPr="00244534">
        <w:rPr>
          <w:rFonts w:ascii="ITC Avant Garde" w:hAnsi="ITC Avant Garde"/>
          <w:color w:val="auto"/>
        </w:rPr>
        <w:t xml:space="preserve">que </w:t>
      </w:r>
      <w:r w:rsidR="00655EF8" w:rsidRPr="00244534">
        <w:rPr>
          <w:rFonts w:ascii="ITC Avant Garde" w:hAnsi="ITC Avant Garde"/>
          <w:color w:val="auto"/>
        </w:rPr>
        <w:t>se def</w:t>
      </w:r>
      <w:r w:rsidR="00335E1A" w:rsidRPr="00244534">
        <w:rPr>
          <w:rFonts w:ascii="ITC Avant Garde" w:hAnsi="ITC Avant Garde"/>
          <w:color w:val="auto"/>
        </w:rPr>
        <w:t>ina un procedimiento claro, en el cual se detalle</w:t>
      </w:r>
      <w:r w:rsidR="00655EF8" w:rsidRPr="00244534">
        <w:rPr>
          <w:rFonts w:ascii="ITC Avant Garde" w:hAnsi="ITC Avant Garde"/>
          <w:color w:val="auto"/>
        </w:rPr>
        <w:t>n todas las pruebas técnicas y</w:t>
      </w:r>
      <w:r w:rsidR="00335E1A" w:rsidRPr="00244534">
        <w:rPr>
          <w:rFonts w:ascii="ITC Avant Garde" w:hAnsi="ITC Avant Garde"/>
          <w:color w:val="auto"/>
        </w:rPr>
        <w:t xml:space="preserve"> administrativas, así como un</w:t>
      </w:r>
      <w:r w:rsidR="00655EF8" w:rsidRPr="00244534">
        <w:rPr>
          <w:rFonts w:ascii="ITC Avant Garde" w:hAnsi="ITC Avant Garde"/>
          <w:color w:val="auto"/>
        </w:rPr>
        <w:t xml:space="preserve"> plazo razonable para garantizar el correcto funcionamiento de la </w:t>
      </w:r>
      <w:r w:rsidR="00335E1A" w:rsidRPr="00244534">
        <w:rPr>
          <w:rFonts w:ascii="ITC Avant Garde" w:hAnsi="ITC Avant Garde"/>
          <w:color w:val="auto"/>
        </w:rPr>
        <w:t>operación y garantizar la interacción entre los equipos del concesionario y del AEP.</w:t>
      </w:r>
      <w:r w:rsidR="00655EF8" w:rsidRPr="00244534">
        <w:rPr>
          <w:rFonts w:ascii="ITC Avant Garde" w:hAnsi="ITC Avant Garde"/>
          <w:color w:val="auto"/>
        </w:rPr>
        <w:t xml:space="preserve"> </w:t>
      </w:r>
    </w:p>
    <w:p w14:paraId="6C3C06DA" w14:textId="77777777" w:rsidR="000660A0" w:rsidRPr="00244534" w:rsidRDefault="000660A0" w:rsidP="005E5201">
      <w:pPr>
        <w:widowControl w:val="0"/>
        <w:autoSpaceDE w:val="0"/>
        <w:autoSpaceDN w:val="0"/>
        <w:adjustRightInd w:val="0"/>
        <w:spacing w:after="0" w:line="240" w:lineRule="auto"/>
        <w:ind w:left="0" w:right="0" w:firstLine="0"/>
        <w:rPr>
          <w:rFonts w:ascii="ITC Avant Garde" w:hAnsi="ITC Avant Garde"/>
          <w:color w:val="auto"/>
        </w:rPr>
      </w:pPr>
    </w:p>
    <w:p w14:paraId="55DFBD13"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036560B1" w14:textId="77777777" w:rsidR="00F04FB4" w:rsidRPr="00244534" w:rsidRDefault="00F04FB4" w:rsidP="005E5201">
      <w:pPr>
        <w:widowControl w:val="0"/>
        <w:autoSpaceDE w:val="0"/>
        <w:autoSpaceDN w:val="0"/>
        <w:adjustRightInd w:val="0"/>
        <w:spacing w:after="0" w:line="240" w:lineRule="auto"/>
        <w:ind w:left="0" w:right="0" w:firstLine="0"/>
        <w:rPr>
          <w:rFonts w:ascii="ITC Avant Garde" w:hAnsi="ITC Avant Garde"/>
          <w:color w:val="auto"/>
        </w:rPr>
      </w:pPr>
    </w:p>
    <w:p w14:paraId="633B1128" w14:textId="77777777" w:rsidR="00CF2F08" w:rsidRPr="00244534" w:rsidRDefault="006B7994" w:rsidP="00DA0F6F">
      <w:pPr>
        <w:pStyle w:val="Prrafodelista"/>
        <w:numPr>
          <w:ilvl w:val="0"/>
          <w:numId w:val="3"/>
        </w:num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lastRenderedPageBreak/>
        <w:t>El</w:t>
      </w:r>
      <w:r w:rsidR="00CF2F08" w:rsidRPr="00244534">
        <w:rPr>
          <w:rFonts w:ascii="ITC Avant Garde" w:hAnsi="ITC Avant Garde"/>
          <w:color w:val="5B9BD5" w:themeColor="accent1"/>
        </w:rPr>
        <w:t xml:space="preserve"> Instituto incorpora el Subanexo</w:t>
      </w:r>
      <w:r w:rsidRPr="00244534">
        <w:rPr>
          <w:rFonts w:ascii="ITC Avant Garde" w:hAnsi="ITC Avant Garde"/>
          <w:color w:val="5B9BD5" w:themeColor="accent1"/>
        </w:rPr>
        <w:t xml:space="preserve"> E</w:t>
      </w:r>
      <w:r w:rsidR="00CF2F08" w:rsidRPr="00244534">
        <w:rPr>
          <w:rFonts w:ascii="ITC Avant Garde" w:hAnsi="ITC Avant Garde"/>
          <w:color w:val="5B9BD5" w:themeColor="accent1"/>
        </w:rPr>
        <w:t xml:space="preserve"> “Proceso de Pruebas” al Anexo II “Acuerdo Técnicos”, en el cual se detallan</w:t>
      </w:r>
      <w:r w:rsidRPr="00244534">
        <w:rPr>
          <w:rFonts w:ascii="ITC Avant Garde" w:hAnsi="ITC Avant Garde"/>
          <w:color w:val="5B9BD5" w:themeColor="accent1"/>
        </w:rPr>
        <w:t xml:space="preserve"> la</w:t>
      </w:r>
      <w:r w:rsidR="00CF2F08" w:rsidRPr="00244534">
        <w:rPr>
          <w:rFonts w:ascii="ITC Avant Garde" w:hAnsi="ITC Avant Garde"/>
          <w:color w:val="5B9BD5" w:themeColor="accent1"/>
        </w:rPr>
        <w:t>s</w:t>
      </w:r>
      <w:r w:rsidRPr="00244534">
        <w:rPr>
          <w:rFonts w:ascii="ITC Avant Garde" w:hAnsi="ITC Avant Garde"/>
          <w:color w:val="5B9BD5" w:themeColor="accent1"/>
        </w:rPr>
        <w:t xml:space="preserve"> pruebas a realizar</w:t>
      </w:r>
      <w:r w:rsidR="00CF2F08" w:rsidRPr="00244534">
        <w:rPr>
          <w:rFonts w:ascii="ITC Avant Garde" w:hAnsi="ITC Avant Garde"/>
          <w:color w:val="5B9BD5" w:themeColor="accent1"/>
        </w:rPr>
        <w:t xml:space="preserve"> de forma previa al lanzamiento comercial de los Servicios de la Oferta. </w:t>
      </w:r>
    </w:p>
    <w:p w14:paraId="6C0E27D6" w14:textId="77777777" w:rsidR="00CF2F08" w:rsidRPr="00244534" w:rsidRDefault="00CF2F08" w:rsidP="00DA0F6F">
      <w:pPr>
        <w:pStyle w:val="Prrafodelista"/>
        <w:numPr>
          <w:ilvl w:val="0"/>
          <w:numId w:val="3"/>
        </w:numPr>
        <w:spacing w:after="0" w:line="276" w:lineRule="auto"/>
        <w:ind w:left="0" w:right="0" w:firstLine="0"/>
        <w:rPr>
          <w:rFonts w:ascii="ITC Avant Garde" w:hAnsi="ITC Avant Garde"/>
          <w:color w:val="5B9BD5" w:themeColor="accent1"/>
        </w:rPr>
      </w:pPr>
    </w:p>
    <w:p w14:paraId="761B23B1" w14:textId="77777777" w:rsidR="00655EF8" w:rsidRPr="00244534" w:rsidRDefault="00CF2F08" w:rsidP="00DA0F6F">
      <w:pPr>
        <w:pStyle w:val="Prrafodelista"/>
        <w:numPr>
          <w:ilvl w:val="0"/>
          <w:numId w:val="3"/>
        </w:num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Además, como se mencionó anteriormente, se</w:t>
      </w:r>
      <w:r w:rsidR="006B7994" w:rsidRPr="00244534">
        <w:rPr>
          <w:rFonts w:ascii="ITC Avant Garde" w:hAnsi="ITC Avant Garde"/>
          <w:color w:val="5B9BD5" w:themeColor="accent1"/>
        </w:rPr>
        <w:t xml:space="preserve"> </w:t>
      </w:r>
      <w:r w:rsidRPr="00244534">
        <w:rPr>
          <w:rFonts w:ascii="ITC Avant Garde" w:hAnsi="ITC Avant Garde"/>
          <w:color w:val="5B9BD5" w:themeColor="accent1"/>
        </w:rPr>
        <w:t>establece la opción al concesionario solicitante de: i) realizar pruebas independientes, y en caso de encontrar alguna falla, reportarla al AEP para el análisis y solución de la misma; o ii) solicitar al AEP la realización de pruebas adicionales con cargo al concesionario.</w:t>
      </w:r>
    </w:p>
    <w:p w14:paraId="0A352D52" w14:textId="77777777" w:rsidR="00655EF8" w:rsidRPr="00244534" w:rsidRDefault="00655EF8" w:rsidP="005E5201">
      <w:pPr>
        <w:spacing w:after="0" w:line="276" w:lineRule="auto"/>
        <w:ind w:left="0" w:right="0" w:firstLine="0"/>
        <w:rPr>
          <w:rFonts w:ascii="ITC Avant Garde" w:hAnsi="ITC Avant Garde"/>
          <w:b/>
          <w:color w:val="auto"/>
          <w:u w:val="single"/>
        </w:rPr>
      </w:pPr>
    </w:p>
    <w:p w14:paraId="35186B8C" w14:textId="77777777" w:rsidR="002B79B8" w:rsidRPr="00244534" w:rsidRDefault="002B79B8" w:rsidP="002B79B8">
      <w:pPr>
        <w:spacing w:after="0" w:line="276" w:lineRule="auto"/>
        <w:ind w:right="0"/>
        <w:rPr>
          <w:rFonts w:ascii="ITC Avant Garde" w:hAnsi="ITC Avant Garde" w:cs="Arial"/>
          <w:b/>
          <w:u w:val="single"/>
          <w:lang w:val="es-ES_tradnl"/>
        </w:rPr>
      </w:pPr>
      <w:r w:rsidRPr="00244534">
        <w:rPr>
          <w:rFonts w:ascii="ITC Avant Garde" w:hAnsi="ITC Avant Garde"/>
          <w:b/>
          <w:color w:val="auto"/>
          <w:u w:val="single"/>
        </w:rPr>
        <w:t xml:space="preserve">Numeral 6. Reglas </w:t>
      </w:r>
      <w:r w:rsidRPr="00244534">
        <w:rPr>
          <w:rFonts w:ascii="ITC Avant Garde" w:hAnsi="ITC Avant Garde" w:cs="Arial"/>
          <w:b/>
          <w:u w:val="single"/>
          <w:lang w:val="es-ES_tradnl"/>
        </w:rPr>
        <w:t xml:space="preserve">de Redireccionamiento </w:t>
      </w:r>
      <w:r w:rsidR="00334E75" w:rsidRPr="00244534">
        <w:rPr>
          <w:rFonts w:ascii="ITC Avant Garde" w:hAnsi="ITC Avant Garde" w:cs="Arial"/>
          <w:b/>
          <w:u w:val="single"/>
          <w:lang w:val="es-ES_tradnl"/>
        </w:rPr>
        <w:t>de</w:t>
      </w:r>
      <w:r w:rsidRPr="00244534">
        <w:rPr>
          <w:rFonts w:ascii="ITC Avant Garde" w:hAnsi="ITC Avant Garde" w:cs="Arial"/>
          <w:b/>
          <w:u w:val="single"/>
          <w:lang w:val="es-ES_tradnl"/>
        </w:rPr>
        <w:t xml:space="preserve"> T</w:t>
      </w:r>
      <w:r w:rsidR="00334E75" w:rsidRPr="00244534">
        <w:rPr>
          <w:rFonts w:ascii="ITC Avant Garde" w:hAnsi="ITC Avant Garde" w:cs="Arial"/>
          <w:b/>
          <w:u w:val="single"/>
          <w:lang w:val="es-ES_tradnl"/>
        </w:rPr>
        <w:t>ráfico</w:t>
      </w:r>
      <w:r w:rsidRPr="00244534">
        <w:rPr>
          <w:rFonts w:ascii="ITC Avant Garde" w:hAnsi="ITC Avant Garde" w:cs="Arial"/>
          <w:b/>
          <w:u w:val="single"/>
          <w:lang w:val="es-ES_tradnl"/>
        </w:rPr>
        <w:t xml:space="preserve"> </w:t>
      </w:r>
      <w:r w:rsidR="00334E75" w:rsidRPr="00244534">
        <w:rPr>
          <w:rFonts w:ascii="ITC Avant Garde" w:hAnsi="ITC Avant Garde" w:cs="Arial"/>
          <w:b/>
          <w:u w:val="single"/>
          <w:lang w:val="es-ES_tradnl"/>
        </w:rPr>
        <w:t>a</w:t>
      </w:r>
      <w:r w:rsidRPr="00244534">
        <w:rPr>
          <w:rFonts w:ascii="ITC Avant Garde" w:hAnsi="ITC Avant Garde" w:cs="Arial"/>
          <w:b/>
          <w:u w:val="single"/>
          <w:lang w:val="es-ES_tradnl"/>
        </w:rPr>
        <w:t xml:space="preserve"> </w:t>
      </w:r>
      <w:r w:rsidR="00334E75" w:rsidRPr="00244534">
        <w:rPr>
          <w:rFonts w:ascii="ITC Avant Garde" w:hAnsi="ITC Avant Garde" w:cs="Arial"/>
          <w:b/>
          <w:u w:val="single"/>
          <w:lang w:val="es-ES_tradnl"/>
        </w:rPr>
        <w:t>la</w:t>
      </w:r>
      <w:r w:rsidRPr="00244534">
        <w:rPr>
          <w:rFonts w:ascii="ITC Avant Garde" w:hAnsi="ITC Avant Garde" w:cs="Arial"/>
          <w:b/>
          <w:u w:val="single"/>
          <w:lang w:val="es-ES_tradnl"/>
        </w:rPr>
        <w:t xml:space="preserve"> R</w:t>
      </w:r>
      <w:r w:rsidR="00334E75" w:rsidRPr="00244534">
        <w:rPr>
          <w:rFonts w:ascii="ITC Avant Garde" w:hAnsi="ITC Avant Garde" w:cs="Arial"/>
          <w:b/>
          <w:u w:val="single"/>
          <w:lang w:val="es-ES_tradnl"/>
        </w:rPr>
        <w:t>ed</w:t>
      </w:r>
      <w:r w:rsidRPr="00244534">
        <w:rPr>
          <w:rFonts w:ascii="ITC Avant Garde" w:hAnsi="ITC Avant Garde" w:cs="Arial"/>
          <w:b/>
          <w:u w:val="single"/>
          <w:lang w:val="es-ES_tradnl"/>
        </w:rPr>
        <w:t xml:space="preserve"> </w:t>
      </w:r>
      <w:r w:rsidR="00334E75" w:rsidRPr="00244534">
        <w:rPr>
          <w:rFonts w:ascii="ITC Avant Garde" w:hAnsi="ITC Avant Garde" w:cs="Arial"/>
          <w:b/>
          <w:u w:val="single"/>
          <w:lang w:val="es-ES_tradnl"/>
        </w:rPr>
        <w:t>del</w:t>
      </w:r>
      <w:r w:rsidRPr="00244534">
        <w:rPr>
          <w:rFonts w:ascii="ITC Avant Garde" w:hAnsi="ITC Avant Garde" w:cs="Arial"/>
          <w:b/>
          <w:u w:val="single"/>
          <w:lang w:val="es-ES_tradnl"/>
        </w:rPr>
        <w:t xml:space="preserve"> C</w:t>
      </w:r>
      <w:r w:rsidR="00334E75" w:rsidRPr="00244534">
        <w:rPr>
          <w:rFonts w:ascii="ITC Avant Garde" w:hAnsi="ITC Avant Garde" w:cs="Arial"/>
          <w:b/>
          <w:u w:val="single"/>
          <w:lang w:val="es-ES_tradnl"/>
        </w:rPr>
        <w:t>oncesionario.</w:t>
      </w:r>
    </w:p>
    <w:p w14:paraId="04E29BA6" w14:textId="77777777" w:rsidR="00334E75" w:rsidRPr="00244534" w:rsidRDefault="00334E75" w:rsidP="002B79B8">
      <w:pPr>
        <w:spacing w:after="0" w:line="276" w:lineRule="auto"/>
        <w:ind w:right="0"/>
        <w:rPr>
          <w:rFonts w:ascii="ITC Avant Garde" w:hAnsi="ITC Avant Garde"/>
          <w:b/>
          <w:color w:val="auto"/>
          <w:u w:val="single"/>
        </w:rPr>
      </w:pPr>
    </w:p>
    <w:p w14:paraId="0479F537" w14:textId="77777777" w:rsidR="002B79B8" w:rsidRPr="00244534" w:rsidRDefault="00807310" w:rsidP="002B79B8">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2B79B8" w:rsidRPr="00244534">
        <w:rPr>
          <w:rFonts w:ascii="ITC Avant Garde" w:hAnsi="ITC Avant Garde"/>
          <w:b/>
          <w:color w:val="auto"/>
        </w:rPr>
        <w:t>Televisa:</w:t>
      </w:r>
    </w:p>
    <w:p w14:paraId="55C10483" w14:textId="77777777" w:rsidR="002B79B8" w:rsidRPr="00244534" w:rsidRDefault="002B79B8" w:rsidP="002B79B8">
      <w:pPr>
        <w:spacing w:after="0" w:line="276" w:lineRule="auto"/>
        <w:ind w:right="0"/>
        <w:rPr>
          <w:rFonts w:ascii="ITC Avant Garde" w:hAnsi="ITC Avant Garde"/>
          <w:b/>
          <w:color w:val="auto"/>
          <w:u w:val="single"/>
        </w:rPr>
      </w:pPr>
    </w:p>
    <w:p w14:paraId="68D70502" w14:textId="596C6246" w:rsidR="00DE794E" w:rsidRPr="00244534" w:rsidRDefault="00E66D1E" w:rsidP="00DE794E">
      <w:pPr>
        <w:spacing w:after="0" w:line="276" w:lineRule="auto"/>
        <w:ind w:right="0"/>
        <w:rPr>
          <w:rFonts w:ascii="ITC Avant Garde" w:hAnsi="ITC Avant Garde"/>
          <w:color w:val="auto"/>
        </w:rPr>
      </w:pPr>
      <w:r w:rsidRPr="00244534">
        <w:rPr>
          <w:rFonts w:ascii="ITC Avant Garde" w:hAnsi="ITC Avant Garde"/>
          <w:color w:val="auto"/>
        </w:rPr>
        <w:t>C</w:t>
      </w:r>
      <w:r w:rsidR="00DE794E" w:rsidRPr="00244534">
        <w:rPr>
          <w:rFonts w:ascii="ITC Avant Garde" w:hAnsi="ITC Avant Garde"/>
          <w:color w:val="auto"/>
        </w:rPr>
        <w:t xml:space="preserve">onsidera que el AEP se debe comprometer para que el usuario sea redireccionado efectivamente al salir de las zonas de Usuario Visitante. Además, propone incluir una definición clara de “técnicamente factible” para evitar que el AEP demore o no entregue </w:t>
      </w:r>
      <w:r w:rsidR="00365566" w:rsidRPr="00244534">
        <w:rPr>
          <w:rFonts w:ascii="ITC Avant Garde" w:hAnsi="ITC Avant Garde"/>
          <w:color w:val="auto"/>
        </w:rPr>
        <w:t>los servicios a los concesionarios</w:t>
      </w:r>
      <w:r w:rsidR="00ED412B" w:rsidRPr="00244534">
        <w:rPr>
          <w:rFonts w:ascii="ITC Avant Garde" w:hAnsi="ITC Avant Garde"/>
          <w:color w:val="auto"/>
        </w:rPr>
        <w:t>.</w:t>
      </w:r>
    </w:p>
    <w:p w14:paraId="1BE7FB64" w14:textId="77777777" w:rsidR="00DE794E" w:rsidRPr="00244534" w:rsidRDefault="00DE794E" w:rsidP="00DE794E">
      <w:pPr>
        <w:spacing w:after="0" w:line="276" w:lineRule="auto"/>
        <w:ind w:right="0"/>
        <w:rPr>
          <w:rFonts w:ascii="ITC Avant Garde" w:hAnsi="ITC Avant Garde"/>
          <w:color w:val="auto"/>
        </w:rPr>
      </w:pPr>
    </w:p>
    <w:p w14:paraId="2DA3E0C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02F21326" w14:textId="77777777" w:rsidR="00F04FB4" w:rsidRPr="00244534" w:rsidRDefault="00F04FB4" w:rsidP="00DE794E">
      <w:pPr>
        <w:spacing w:after="0" w:line="276" w:lineRule="auto"/>
        <w:ind w:right="0"/>
        <w:rPr>
          <w:rFonts w:ascii="ITC Avant Garde" w:hAnsi="ITC Avant Garde"/>
          <w:color w:val="auto"/>
        </w:rPr>
      </w:pPr>
    </w:p>
    <w:p w14:paraId="1BD553C7" w14:textId="2E02EBBA" w:rsidR="009E7536" w:rsidRPr="00244534" w:rsidRDefault="009E7536" w:rsidP="009E7536">
      <w:pPr>
        <w:widowControl w:val="0"/>
        <w:numPr>
          <w:ilvl w:val="0"/>
          <w:numId w:val="3"/>
        </w:numPr>
        <w:tabs>
          <w:tab w:val="left" w:pos="0"/>
        </w:tabs>
        <w:autoSpaceDE w:val="0"/>
        <w:autoSpaceDN w:val="0"/>
        <w:adjustRightInd w:val="0"/>
        <w:spacing w:after="0" w:line="276" w:lineRule="auto"/>
        <w:ind w:left="0" w:right="0" w:firstLine="0"/>
        <w:rPr>
          <w:rFonts w:ascii="ITC Avant Garde" w:eastAsia="Calibri" w:hAnsi="ITC Avant Garde" w:cs="Arial"/>
          <w:i/>
          <w:color w:val="5B9BD5" w:themeColor="accent1"/>
          <w:sz w:val="18"/>
          <w:szCs w:val="18"/>
          <w:u w:val="single"/>
          <w:lang w:eastAsia="en-US"/>
        </w:rPr>
      </w:pPr>
      <w:r w:rsidRPr="00244534">
        <w:rPr>
          <w:rFonts w:ascii="ITC Avant Garde" w:hAnsi="ITC Avant Garde"/>
          <w:color w:val="5B9BD5" w:themeColor="accent1"/>
        </w:rPr>
        <w:t>Al respecto</w:t>
      </w:r>
      <w:r w:rsidR="00E66D1E" w:rsidRPr="00244534">
        <w:rPr>
          <w:rFonts w:ascii="ITC Avant Garde" w:hAnsi="ITC Avant Garde"/>
          <w:color w:val="5B9BD5" w:themeColor="accent1"/>
        </w:rPr>
        <w:t>,</w:t>
      </w:r>
      <w:r w:rsidRPr="00244534">
        <w:rPr>
          <w:rFonts w:ascii="ITC Avant Garde" w:hAnsi="ITC Avant Garde"/>
          <w:color w:val="5B9BD5" w:themeColor="accent1"/>
        </w:rPr>
        <w:t xml:space="preserve"> </w:t>
      </w:r>
      <w:r w:rsidR="00E66D1E" w:rsidRPr="00244534">
        <w:rPr>
          <w:rFonts w:ascii="ITC Avant Garde" w:hAnsi="ITC Avant Garde"/>
          <w:color w:val="5B9BD5" w:themeColor="accent1"/>
        </w:rPr>
        <w:t xml:space="preserve">de conformidad con </w:t>
      </w:r>
      <w:r w:rsidRPr="00244534">
        <w:rPr>
          <w:rFonts w:ascii="ITC Avant Garde" w:hAnsi="ITC Avant Garde"/>
          <w:color w:val="5B9BD5" w:themeColor="accent1"/>
        </w:rPr>
        <w:t>lo establecido en la medida Vigésima Segunda</w:t>
      </w:r>
      <w:r w:rsidR="00A21C97" w:rsidRPr="00244534">
        <w:rPr>
          <w:rFonts w:ascii="ITC Avant Garde" w:hAnsi="ITC Avant Garde"/>
          <w:color w:val="5B9BD5" w:themeColor="accent1"/>
        </w:rPr>
        <w:t xml:space="preserve"> de las Medidas Móviles</w:t>
      </w:r>
      <w:r w:rsidR="00E66D1E" w:rsidRPr="00244534">
        <w:rPr>
          <w:rFonts w:ascii="ITC Avant Garde" w:hAnsi="ITC Avant Garde"/>
          <w:color w:val="5B9BD5" w:themeColor="accent1"/>
        </w:rPr>
        <w:t>,</w:t>
      </w:r>
      <w:r w:rsidRPr="00244534">
        <w:rPr>
          <w:rFonts w:ascii="ITC Avant Garde" w:hAnsi="ITC Avant Garde"/>
          <w:color w:val="5B9BD5" w:themeColor="accent1"/>
        </w:rPr>
        <w:t xml:space="preserve"> el</w:t>
      </w:r>
      <w:r w:rsidR="00560B50" w:rsidRPr="00244534">
        <w:rPr>
          <w:rFonts w:ascii="ITC Avant Garde" w:hAnsi="ITC Avant Garde"/>
          <w:color w:val="5B9BD5" w:themeColor="accent1"/>
        </w:rPr>
        <w:t xml:space="preserve"> AEP </w:t>
      </w:r>
      <w:r w:rsidRPr="00244534">
        <w:rPr>
          <w:rFonts w:ascii="ITC Avant Garde" w:hAnsi="ITC Avant Garde"/>
          <w:color w:val="5B9BD5" w:themeColor="accent1"/>
        </w:rPr>
        <w:t xml:space="preserve">deberá permitir el traspaso de los usuarios al Concesionario Solicitante cuando dejen de hacer uso del servicio de usuario visitante. </w:t>
      </w:r>
    </w:p>
    <w:p w14:paraId="61FBAAE5" w14:textId="77777777" w:rsidR="00560B50" w:rsidRPr="00244534" w:rsidRDefault="00560B50" w:rsidP="00DA0F6F">
      <w:pPr>
        <w:widowControl w:val="0"/>
        <w:numPr>
          <w:ilvl w:val="0"/>
          <w:numId w:val="3"/>
        </w:numPr>
        <w:tabs>
          <w:tab w:val="left" w:pos="0"/>
        </w:tabs>
        <w:autoSpaceDE w:val="0"/>
        <w:autoSpaceDN w:val="0"/>
        <w:adjustRightInd w:val="0"/>
        <w:spacing w:after="0" w:line="276" w:lineRule="auto"/>
        <w:ind w:left="0" w:right="0" w:firstLine="0"/>
        <w:rPr>
          <w:rFonts w:ascii="ITC Avant Garde" w:hAnsi="ITC Avant Garde"/>
          <w:color w:val="5B9BD5" w:themeColor="accent1"/>
        </w:rPr>
      </w:pPr>
    </w:p>
    <w:p w14:paraId="0ED80D7A" w14:textId="77777777" w:rsidR="002B79B8" w:rsidRPr="00244534" w:rsidRDefault="00A21C97" w:rsidP="00DA0F6F">
      <w:pPr>
        <w:widowControl w:val="0"/>
        <w:numPr>
          <w:ilvl w:val="0"/>
          <w:numId w:val="3"/>
        </w:numPr>
        <w:tabs>
          <w:tab w:val="left" w:pos="0"/>
        </w:tabs>
        <w:autoSpaceDE w:val="0"/>
        <w:autoSpaceDN w:val="0"/>
        <w:adjustRightInd w:val="0"/>
        <w:spacing w:after="0" w:line="276" w:lineRule="auto"/>
        <w:ind w:left="0" w:right="0" w:firstLine="0"/>
        <w:rPr>
          <w:rFonts w:ascii="ITC Avant Garde" w:hAnsi="ITC Avant Garde"/>
          <w:b/>
          <w:color w:val="auto"/>
          <w:u w:val="single"/>
        </w:rPr>
      </w:pPr>
      <w:r w:rsidRPr="00244534">
        <w:rPr>
          <w:rFonts w:ascii="ITC Avant Garde" w:hAnsi="ITC Avant Garde"/>
          <w:color w:val="5B9BD5" w:themeColor="accent1"/>
        </w:rPr>
        <w:t>Con base en</w:t>
      </w:r>
      <w:r w:rsidR="00194FC8" w:rsidRPr="00244534">
        <w:rPr>
          <w:rFonts w:ascii="ITC Avant Garde" w:hAnsi="ITC Avant Garde"/>
          <w:color w:val="5B9BD5" w:themeColor="accent1"/>
        </w:rPr>
        <w:t xml:space="preserve"> lo anterior, </w:t>
      </w:r>
      <w:r w:rsidR="009E7536" w:rsidRPr="00244534">
        <w:rPr>
          <w:rFonts w:ascii="ITC Avant Garde" w:hAnsi="ITC Avant Garde"/>
          <w:color w:val="5B9BD5" w:themeColor="accent1"/>
        </w:rPr>
        <w:t>l</w:t>
      </w:r>
      <w:r w:rsidR="003310CC" w:rsidRPr="00244534">
        <w:rPr>
          <w:rFonts w:ascii="ITC Avant Garde" w:hAnsi="ITC Avant Garde"/>
          <w:color w:val="5B9BD5" w:themeColor="accent1"/>
        </w:rPr>
        <w:t xml:space="preserve">a Oferta de Referencia es congruente </w:t>
      </w:r>
      <w:r w:rsidR="00717369" w:rsidRPr="00244534">
        <w:rPr>
          <w:rFonts w:ascii="ITC Avant Garde" w:hAnsi="ITC Avant Garde"/>
          <w:color w:val="5B9BD5" w:themeColor="accent1"/>
        </w:rPr>
        <w:t>con esta medida ya que en el Subanexo C del Anexo II se establece</w:t>
      </w:r>
      <w:r w:rsidR="003310CC" w:rsidRPr="00244534">
        <w:rPr>
          <w:rFonts w:ascii="ITC Avant Garde" w:hAnsi="ITC Avant Garde"/>
          <w:color w:val="5B9BD5" w:themeColor="accent1"/>
        </w:rPr>
        <w:t>:</w:t>
      </w:r>
    </w:p>
    <w:p w14:paraId="1189C595" w14:textId="77777777" w:rsidR="003310CC" w:rsidRPr="00244534" w:rsidRDefault="003310CC" w:rsidP="003310CC">
      <w:pPr>
        <w:widowControl w:val="0"/>
        <w:tabs>
          <w:tab w:val="left" w:pos="0"/>
        </w:tabs>
        <w:autoSpaceDE w:val="0"/>
        <w:autoSpaceDN w:val="0"/>
        <w:adjustRightInd w:val="0"/>
        <w:spacing w:after="0" w:line="276" w:lineRule="auto"/>
        <w:ind w:right="0"/>
        <w:rPr>
          <w:rFonts w:ascii="ITC Avant Garde" w:hAnsi="ITC Avant Garde"/>
          <w:b/>
          <w:color w:val="auto"/>
          <w:u w:val="single"/>
        </w:rPr>
      </w:pPr>
    </w:p>
    <w:p w14:paraId="6D6DAACF" w14:textId="77777777" w:rsidR="00CF275A" w:rsidRPr="00244534" w:rsidRDefault="00CF275A" w:rsidP="00CF275A">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u w:val="single"/>
          <w:lang w:eastAsia="en-US"/>
        </w:rPr>
        <w:t>“Telcel permitirá el uso de herramientas de steering conforme a los estándares internacionales para que el Concesionario redireccione su tráfico a su Red origen</w:t>
      </w:r>
      <w:r w:rsidRPr="00244534">
        <w:rPr>
          <w:rFonts w:ascii="ITC Avant Garde" w:eastAsia="Calibri" w:hAnsi="ITC Avant Garde" w:cs="Arial"/>
          <w:i/>
          <w:color w:val="5B9BD5" w:themeColor="accent1"/>
          <w:sz w:val="18"/>
          <w:szCs w:val="18"/>
          <w:lang w:eastAsia="en-US"/>
        </w:rPr>
        <w:t>, por lo cual, el Concesionario tomará las medidas necesarias para evitar el uso excesivo en la señalización. Debido a la naturaleza de la restricción del servicio por LAC, el Concesionario reconoce, que cualquier direccionamiento de tráfico y/o cambio a cobertura a la propia, involucra la terminación o caída de la sesión de voz y/o datos, por lo cual, Telcel no garantiza la continuidad del servicio en los supuestos mencionados.”</w:t>
      </w:r>
    </w:p>
    <w:p w14:paraId="233EC48E" w14:textId="77777777" w:rsidR="00CF275A" w:rsidRPr="00244534" w:rsidRDefault="00CF275A" w:rsidP="00CF275A">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3A075114" w14:textId="77777777" w:rsidR="00CF275A" w:rsidRPr="00244534" w:rsidRDefault="00CF275A" w:rsidP="00CF275A">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45BE4FC5" w14:textId="77777777" w:rsidR="00717369" w:rsidRPr="00244534" w:rsidRDefault="00717369" w:rsidP="00CF275A">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p>
    <w:p w14:paraId="31071ACC" w14:textId="77777777" w:rsidR="00717369" w:rsidRPr="00244534" w:rsidRDefault="00717369" w:rsidP="009E7536">
      <w:pPr>
        <w:widowControl w:val="0"/>
        <w:numPr>
          <w:ilvl w:val="0"/>
          <w:numId w:val="3"/>
        </w:numPr>
        <w:tabs>
          <w:tab w:val="left" w:pos="0"/>
        </w:tabs>
        <w:autoSpaceDE w:val="0"/>
        <w:autoSpaceDN w:val="0"/>
        <w:adjustRightInd w:val="0"/>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Por lo cual </w:t>
      </w:r>
      <w:r w:rsidR="009E7536" w:rsidRPr="00244534">
        <w:rPr>
          <w:rFonts w:ascii="ITC Avant Garde" w:hAnsi="ITC Avant Garde"/>
          <w:color w:val="5B9BD5" w:themeColor="accent1"/>
        </w:rPr>
        <w:t xml:space="preserve">el redireccionamiento del usuario al salir de las zonas de Usuario </w:t>
      </w:r>
      <w:r w:rsidR="009E7536" w:rsidRPr="00244534">
        <w:rPr>
          <w:rFonts w:ascii="ITC Avant Garde" w:hAnsi="ITC Avant Garde"/>
          <w:color w:val="5B9BD5" w:themeColor="accent1"/>
        </w:rPr>
        <w:lastRenderedPageBreak/>
        <w:t>Visitante será a través de las herramientas señaladas</w:t>
      </w:r>
      <w:r w:rsidRPr="00244534">
        <w:rPr>
          <w:rFonts w:ascii="ITC Avant Garde" w:hAnsi="ITC Avant Garde"/>
          <w:color w:val="5B9BD5" w:themeColor="accent1"/>
        </w:rPr>
        <w:t>.</w:t>
      </w:r>
    </w:p>
    <w:p w14:paraId="789BE2F7" w14:textId="77777777" w:rsidR="00194FC8" w:rsidRPr="00244534" w:rsidRDefault="00194FC8" w:rsidP="00DA0F6F">
      <w:pPr>
        <w:widowControl w:val="0"/>
        <w:numPr>
          <w:ilvl w:val="0"/>
          <w:numId w:val="3"/>
        </w:numPr>
        <w:tabs>
          <w:tab w:val="left" w:pos="0"/>
        </w:tabs>
        <w:autoSpaceDE w:val="0"/>
        <w:autoSpaceDN w:val="0"/>
        <w:adjustRightInd w:val="0"/>
        <w:spacing w:after="0" w:line="276" w:lineRule="auto"/>
        <w:ind w:left="0" w:right="0" w:firstLine="0"/>
        <w:rPr>
          <w:rFonts w:ascii="ITC Avant Garde" w:hAnsi="ITC Avant Garde"/>
          <w:b/>
          <w:color w:val="auto"/>
          <w:u w:val="single"/>
        </w:rPr>
      </w:pPr>
    </w:p>
    <w:p w14:paraId="0F5F1C4A" w14:textId="77777777" w:rsidR="00056381" w:rsidRPr="00244534" w:rsidRDefault="00056381" w:rsidP="00056381">
      <w:pPr>
        <w:spacing w:after="0" w:line="276" w:lineRule="auto"/>
        <w:ind w:right="0"/>
        <w:rPr>
          <w:rFonts w:ascii="ITC Avant Garde" w:hAnsi="ITC Avant Garde"/>
          <w:b/>
          <w:color w:val="auto"/>
          <w:u w:val="single"/>
        </w:rPr>
      </w:pPr>
      <w:r w:rsidRPr="00244534">
        <w:rPr>
          <w:rFonts w:ascii="ITC Avant Garde" w:hAnsi="ITC Avant Garde"/>
          <w:b/>
          <w:color w:val="auto"/>
          <w:u w:val="single"/>
        </w:rPr>
        <w:t>Numeral 9. Mapas de Cobertura</w:t>
      </w:r>
    </w:p>
    <w:p w14:paraId="4ECCEE6A" w14:textId="77777777" w:rsidR="00056381" w:rsidRPr="00244534" w:rsidRDefault="00056381" w:rsidP="00056381">
      <w:pPr>
        <w:spacing w:after="0" w:line="276" w:lineRule="auto"/>
        <w:ind w:right="0"/>
        <w:rPr>
          <w:rFonts w:ascii="ITC Avant Garde" w:hAnsi="ITC Avant Garde"/>
          <w:b/>
          <w:color w:val="auto"/>
          <w:u w:val="single"/>
        </w:rPr>
      </w:pPr>
    </w:p>
    <w:p w14:paraId="26E346CE" w14:textId="77777777" w:rsidR="00056381" w:rsidRPr="00244534" w:rsidRDefault="00807310" w:rsidP="00056381">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056381" w:rsidRPr="00244534">
        <w:rPr>
          <w:rFonts w:ascii="ITC Avant Garde" w:hAnsi="ITC Avant Garde"/>
          <w:b/>
          <w:color w:val="auto"/>
        </w:rPr>
        <w:t>Televisa:</w:t>
      </w:r>
    </w:p>
    <w:p w14:paraId="78200EB2" w14:textId="77777777" w:rsidR="00056381" w:rsidRPr="00244534" w:rsidRDefault="00056381" w:rsidP="00056381">
      <w:pPr>
        <w:spacing w:after="0" w:line="276" w:lineRule="auto"/>
        <w:ind w:right="0"/>
        <w:rPr>
          <w:rFonts w:ascii="ITC Avant Garde" w:hAnsi="ITC Avant Garde"/>
          <w:b/>
          <w:color w:val="auto"/>
          <w:u w:val="single"/>
        </w:rPr>
      </w:pPr>
    </w:p>
    <w:p w14:paraId="00E0B5E8" w14:textId="339AA6CF" w:rsidR="00056381" w:rsidRPr="00244534" w:rsidRDefault="00E66D1E" w:rsidP="003C678D">
      <w:pPr>
        <w:spacing w:after="0" w:line="276" w:lineRule="auto"/>
        <w:ind w:right="0"/>
        <w:rPr>
          <w:rFonts w:ascii="ITC Avant Garde" w:hAnsi="ITC Avant Garde"/>
          <w:color w:val="auto"/>
        </w:rPr>
      </w:pPr>
      <w:r w:rsidRPr="00244534">
        <w:rPr>
          <w:rFonts w:ascii="ITC Avant Garde" w:hAnsi="ITC Avant Garde"/>
          <w:color w:val="auto"/>
        </w:rPr>
        <w:t>Menciona</w:t>
      </w:r>
      <w:r w:rsidR="003C678D" w:rsidRPr="00244534">
        <w:rPr>
          <w:rFonts w:ascii="ITC Avant Garde" w:hAnsi="ITC Avant Garde"/>
          <w:color w:val="auto"/>
        </w:rPr>
        <w:t xml:space="preserve"> que </w:t>
      </w:r>
      <w:r w:rsidRPr="00244534">
        <w:rPr>
          <w:rFonts w:ascii="ITC Avant Garde" w:hAnsi="ITC Avant Garde"/>
          <w:color w:val="auto"/>
        </w:rPr>
        <w:t>no es claro</w:t>
      </w:r>
      <w:r w:rsidR="00056381" w:rsidRPr="00244534">
        <w:rPr>
          <w:rFonts w:ascii="ITC Avant Garde" w:hAnsi="ITC Avant Garde"/>
          <w:color w:val="auto"/>
        </w:rPr>
        <w:t xml:space="preserve"> el proceso que el AEP seguirá para poner a disposición </w:t>
      </w:r>
      <w:r w:rsidR="003C678D" w:rsidRPr="00244534">
        <w:rPr>
          <w:rFonts w:ascii="ITC Avant Garde" w:hAnsi="ITC Avant Garde"/>
          <w:color w:val="auto"/>
        </w:rPr>
        <w:t>la información sobre su</w:t>
      </w:r>
      <w:r w:rsidR="00056381" w:rsidRPr="00244534">
        <w:rPr>
          <w:rFonts w:ascii="ITC Avant Garde" w:hAnsi="ITC Avant Garde"/>
          <w:color w:val="auto"/>
        </w:rPr>
        <w:t xml:space="preserve"> cobertura</w:t>
      </w:r>
      <w:r w:rsidR="003C678D" w:rsidRPr="00244534">
        <w:rPr>
          <w:rFonts w:ascii="ITC Avant Garde" w:hAnsi="ITC Avant Garde"/>
          <w:color w:val="auto"/>
        </w:rPr>
        <w:t xml:space="preserve">, además de no establecer el detalle por tecnología y servicio. </w:t>
      </w:r>
      <w:r w:rsidR="00D2221E" w:rsidRPr="00244534">
        <w:rPr>
          <w:rFonts w:ascii="ITC Avant Garde" w:hAnsi="ITC Avant Garde"/>
          <w:color w:val="auto"/>
        </w:rPr>
        <w:t xml:space="preserve">Solicita que se establezca </w:t>
      </w:r>
      <w:r w:rsidR="005577EF" w:rsidRPr="00244534">
        <w:rPr>
          <w:rFonts w:ascii="ITC Avant Garde" w:hAnsi="ITC Avant Garde"/>
          <w:color w:val="auto"/>
        </w:rPr>
        <w:t>de forma clara la información que el AEP debe poner a disposición respecto a su cobertura actual y planes de expansión</w:t>
      </w:r>
      <w:r w:rsidR="006F5FBB" w:rsidRPr="00244534">
        <w:rPr>
          <w:rFonts w:ascii="ITC Avant Garde" w:hAnsi="ITC Avant Garde"/>
          <w:color w:val="auto"/>
        </w:rPr>
        <w:t>, los plazos para actualizar los datos y la herramienta que utiliza.</w:t>
      </w:r>
      <w:r w:rsidR="003C678D" w:rsidRPr="00244534">
        <w:rPr>
          <w:rFonts w:ascii="ITC Avant Garde" w:hAnsi="ITC Avant Garde"/>
          <w:color w:val="auto"/>
        </w:rPr>
        <w:t xml:space="preserve"> </w:t>
      </w:r>
    </w:p>
    <w:p w14:paraId="47AF46D8" w14:textId="77777777" w:rsidR="00F71B22" w:rsidRPr="00244534" w:rsidRDefault="00F71B22" w:rsidP="009E7536">
      <w:pPr>
        <w:widowControl w:val="0"/>
        <w:tabs>
          <w:tab w:val="left" w:pos="0"/>
        </w:tabs>
        <w:autoSpaceDE w:val="0"/>
        <w:autoSpaceDN w:val="0"/>
        <w:adjustRightInd w:val="0"/>
        <w:spacing w:after="0" w:line="276" w:lineRule="auto"/>
        <w:ind w:left="0" w:right="0" w:firstLine="0"/>
        <w:rPr>
          <w:rFonts w:ascii="ITC Avant Garde" w:hAnsi="ITC Avant Garde"/>
          <w:color w:val="5B9BD5" w:themeColor="accent1"/>
        </w:rPr>
      </w:pPr>
    </w:p>
    <w:p w14:paraId="2A3DA3D7"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19C3261B" w14:textId="77777777" w:rsidR="00F04FB4" w:rsidRPr="00244534" w:rsidRDefault="00F04FB4" w:rsidP="009E7536">
      <w:pPr>
        <w:widowControl w:val="0"/>
        <w:tabs>
          <w:tab w:val="left" w:pos="0"/>
        </w:tabs>
        <w:autoSpaceDE w:val="0"/>
        <w:autoSpaceDN w:val="0"/>
        <w:adjustRightInd w:val="0"/>
        <w:spacing w:after="0" w:line="276" w:lineRule="auto"/>
        <w:ind w:left="0" w:right="0" w:firstLine="0"/>
        <w:rPr>
          <w:rFonts w:ascii="ITC Avant Garde" w:hAnsi="ITC Avant Garde"/>
          <w:color w:val="5B9BD5" w:themeColor="accent1"/>
        </w:rPr>
      </w:pPr>
    </w:p>
    <w:p w14:paraId="6E9999B8" w14:textId="77777777" w:rsidR="00056381" w:rsidRPr="00244534" w:rsidRDefault="00F71B22" w:rsidP="00DA0F6F">
      <w:pPr>
        <w:widowControl w:val="0"/>
        <w:numPr>
          <w:ilvl w:val="0"/>
          <w:numId w:val="3"/>
        </w:numPr>
        <w:tabs>
          <w:tab w:val="left" w:pos="0"/>
        </w:tabs>
        <w:autoSpaceDE w:val="0"/>
        <w:autoSpaceDN w:val="0"/>
        <w:adjustRightInd w:val="0"/>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En congruencia con la medida </w:t>
      </w:r>
      <w:r w:rsidR="009E7536" w:rsidRPr="00244534">
        <w:rPr>
          <w:rFonts w:ascii="ITC Avant Garde" w:hAnsi="ITC Avant Garde"/>
          <w:color w:val="5B9BD5" w:themeColor="accent1"/>
        </w:rPr>
        <w:t>Vigésima Séptima de las Medidas Móviles</w:t>
      </w:r>
      <w:r w:rsidRPr="00244534">
        <w:rPr>
          <w:rFonts w:ascii="ITC Avant Garde" w:hAnsi="ITC Avant Garde"/>
          <w:color w:val="5B9BD5" w:themeColor="accent1"/>
        </w:rPr>
        <w:t xml:space="preserve">, se modifica el numeral 9 del Anexo II y el numeral 1 del Subanexo C a fin de señalar la información </w:t>
      </w:r>
      <w:r w:rsidR="009E7536" w:rsidRPr="00244534">
        <w:rPr>
          <w:rFonts w:ascii="ITC Avant Garde" w:hAnsi="ITC Avant Garde"/>
          <w:color w:val="5B9BD5" w:themeColor="accent1"/>
        </w:rPr>
        <w:t xml:space="preserve">que </w:t>
      </w:r>
      <w:r w:rsidRPr="00244534">
        <w:rPr>
          <w:rFonts w:ascii="ITC Avant Garde" w:hAnsi="ITC Avant Garde"/>
          <w:color w:val="5B9BD5" w:themeColor="accent1"/>
        </w:rPr>
        <w:t>deberá</w:t>
      </w:r>
      <w:r w:rsidR="009E7536" w:rsidRPr="00244534">
        <w:rPr>
          <w:rFonts w:ascii="ITC Avant Garde" w:hAnsi="ITC Avant Garde"/>
          <w:color w:val="5B9BD5" w:themeColor="accent1"/>
        </w:rPr>
        <w:t>n</w:t>
      </w:r>
      <w:r w:rsidRPr="00244534">
        <w:rPr>
          <w:rFonts w:ascii="ITC Avant Garde" w:hAnsi="ITC Avant Garde"/>
          <w:color w:val="5B9BD5" w:themeColor="accent1"/>
        </w:rPr>
        <w:t xml:space="preserve"> incluir los mapas de cobertura por tecnología (LAC, RAC y TAC)</w:t>
      </w:r>
      <w:r w:rsidR="00936A93" w:rsidRPr="00244534">
        <w:rPr>
          <w:rFonts w:ascii="ITC Avant Garde" w:hAnsi="ITC Avant Garde"/>
          <w:color w:val="5B9BD5" w:themeColor="accent1"/>
        </w:rPr>
        <w:t xml:space="preserve"> así como el procedimiento de actualización de los mismos.</w:t>
      </w:r>
    </w:p>
    <w:p w14:paraId="15AB25BA" w14:textId="77777777" w:rsidR="00056381" w:rsidRPr="00244534" w:rsidRDefault="00056381" w:rsidP="009E7536">
      <w:pPr>
        <w:spacing w:after="0" w:line="276" w:lineRule="auto"/>
        <w:ind w:left="0" w:right="0" w:firstLine="0"/>
        <w:rPr>
          <w:rFonts w:ascii="ITC Avant Garde" w:hAnsi="ITC Avant Garde"/>
          <w:b/>
          <w:color w:val="auto"/>
          <w:u w:val="single"/>
        </w:rPr>
      </w:pPr>
    </w:p>
    <w:p w14:paraId="61D30A0A" w14:textId="77777777" w:rsidR="00BA60A4" w:rsidRPr="00244534" w:rsidRDefault="00BA60A4"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Sub-Anexo A. Intercambio de Información en Conexión Directa </w:t>
      </w:r>
    </w:p>
    <w:p w14:paraId="783507AF" w14:textId="77777777" w:rsidR="00BA60A4" w:rsidRPr="00244534" w:rsidRDefault="00BA60A4" w:rsidP="005E5201">
      <w:pPr>
        <w:spacing w:after="0" w:line="276" w:lineRule="auto"/>
        <w:ind w:right="0"/>
        <w:rPr>
          <w:rFonts w:ascii="ITC Avant Garde" w:hAnsi="ITC Avant Garde"/>
          <w:b/>
          <w:color w:val="auto"/>
          <w:u w:val="single"/>
        </w:rPr>
      </w:pPr>
    </w:p>
    <w:p w14:paraId="2574AD8D"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AT&amp;T</w:t>
      </w:r>
      <w:r w:rsidR="000B4F36" w:rsidRPr="00244534">
        <w:rPr>
          <w:rFonts w:ascii="ITC Avant Garde" w:hAnsi="ITC Avant Garde"/>
          <w:b/>
          <w:color w:val="auto"/>
        </w:rPr>
        <w:t>:</w:t>
      </w:r>
    </w:p>
    <w:p w14:paraId="0832C022" w14:textId="77777777" w:rsidR="00BA60A4" w:rsidRPr="00244534" w:rsidRDefault="00BA60A4" w:rsidP="005E5201">
      <w:pPr>
        <w:spacing w:after="0" w:line="276" w:lineRule="auto"/>
        <w:ind w:right="0"/>
        <w:rPr>
          <w:rFonts w:ascii="ITC Avant Garde" w:hAnsi="ITC Avant Garde"/>
          <w:b/>
          <w:color w:val="auto"/>
          <w:u w:val="single"/>
        </w:rPr>
      </w:pPr>
    </w:p>
    <w:p w14:paraId="1E019DE3" w14:textId="77777777" w:rsidR="00BA60A4" w:rsidRPr="00244534" w:rsidRDefault="00BA60A4" w:rsidP="00B73608">
      <w:pPr>
        <w:spacing w:after="0" w:line="276" w:lineRule="auto"/>
        <w:ind w:right="0"/>
        <w:rPr>
          <w:rFonts w:ascii="ITC Avant Garde" w:hAnsi="ITC Avant Garde"/>
          <w:color w:val="auto"/>
        </w:rPr>
      </w:pPr>
      <w:r w:rsidRPr="00244534">
        <w:rPr>
          <w:rFonts w:ascii="ITC Avant Garde" w:hAnsi="ITC Avant Garde"/>
          <w:color w:val="auto"/>
        </w:rPr>
        <w:t>El concesionari</w:t>
      </w:r>
      <w:r w:rsidR="00936A93" w:rsidRPr="00244534">
        <w:rPr>
          <w:rFonts w:ascii="ITC Avant Garde" w:hAnsi="ITC Avant Garde"/>
          <w:color w:val="auto"/>
        </w:rPr>
        <w:t>o observa la falta del escenario</w:t>
      </w:r>
      <w:r w:rsidRPr="00244534">
        <w:rPr>
          <w:rFonts w:ascii="ITC Avant Garde" w:hAnsi="ITC Avant Garde"/>
          <w:color w:val="auto"/>
        </w:rPr>
        <w:t xml:space="preserve"> para el “SMS MO</w:t>
      </w:r>
      <w:r w:rsidR="00E125CE" w:rsidRPr="00244534">
        <w:rPr>
          <w:rFonts w:ascii="ITC Avant Garde" w:hAnsi="ITC Avant Garde"/>
          <w:color w:val="auto"/>
        </w:rPr>
        <w:t>” (Originado)</w:t>
      </w:r>
      <w:r w:rsidRPr="00244534">
        <w:rPr>
          <w:rFonts w:ascii="ITC Avant Garde" w:hAnsi="ITC Avant Garde"/>
          <w:color w:val="auto"/>
        </w:rPr>
        <w:t>.</w:t>
      </w:r>
    </w:p>
    <w:p w14:paraId="3F12D685" w14:textId="77777777" w:rsidR="00F04FB4" w:rsidRPr="00244534" w:rsidRDefault="00F04FB4" w:rsidP="00F04FB4">
      <w:pPr>
        <w:pStyle w:val="Listaconvietas"/>
        <w:numPr>
          <w:ilvl w:val="0"/>
          <w:numId w:val="0"/>
        </w:numPr>
        <w:rPr>
          <w:i/>
          <w:color w:val="auto"/>
          <w:lang w:val="es-MX"/>
        </w:rPr>
      </w:pPr>
    </w:p>
    <w:p w14:paraId="50BC89FA"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C06179B" w14:textId="77777777" w:rsidR="00DC1BFB" w:rsidRPr="00244534" w:rsidRDefault="00DC1BFB" w:rsidP="00F04FB4">
      <w:pPr>
        <w:widowControl w:val="0"/>
        <w:tabs>
          <w:tab w:val="left" w:pos="0"/>
        </w:tabs>
        <w:autoSpaceDE w:val="0"/>
        <w:autoSpaceDN w:val="0"/>
        <w:adjustRightInd w:val="0"/>
        <w:spacing w:after="0" w:line="240" w:lineRule="auto"/>
        <w:ind w:right="0"/>
        <w:rPr>
          <w:rFonts w:ascii="ITC Avant Garde" w:hAnsi="ITC Avant Garde"/>
          <w:color w:val="auto"/>
        </w:rPr>
      </w:pPr>
    </w:p>
    <w:p w14:paraId="40C482B4" w14:textId="77777777" w:rsidR="00BA60A4" w:rsidRPr="00244534" w:rsidRDefault="00BA60A4" w:rsidP="005E5201">
      <w:pPr>
        <w:spacing w:after="0" w:line="276" w:lineRule="auto"/>
        <w:ind w:right="0"/>
        <w:rPr>
          <w:rFonts w:ascii="ITC Avant Garde" w:hAnsi="ITC Avant Garde"/>
          <w:color w:val="5B9BD5" w:themeColor="accent1"/>
        </w:rPr>
      </w:pPr>
      <w:r w:rsidRPr="00244534">
        <w:rPr>
          <w:rFonts w:ascii="ITC Avant Garde" w:hAnsi="ITC Avant Garde"/>
          <w:color w:val="5B9BD5" w:themeColor="accent1"/>
        </w:rPr>
        <w:t xml:space="preserve">Se </w:t>
      </w:r>
      <w:r w:rsidR="00E125CE" w:rsidRPr="00244534">
        <w:rPr>
          <w:rFonts w:ascii="ITC Avant Garde" w:hAnsi="ITC Avant Garde"/>
          <w:color w:val="5B9BD5" w:themeColor="accent1"/>
        </w:rPr>
        <w:t>adiciona el escenario de “SMS MO” al Subanexo A del Anexo II afecto de otorgar certeza sobre el procedimiento de envío de mensajes cortos</w:t>
      </w:r>
      <w:r w:rsidR="00435BD5" w:rsidRPr="00244534">
        <w:rPr>
          <w:rFonts w:ascii="ITC Avant Garde" w:hAnsi="ITC Avant Garde"/>
          <w:color w:val="5B9BD5" w:themeColor="accent1"/>
        </w:rPr>
        <w:t xml:space="preserve"> en el contexto de los servicios de la Oferta.</w:t>
      </w:r>
      <w:r w:rsidR="00E125CE" w:rsidRPr="00244534">
        <w:rPr>
          <w:rFonts w:ascii="ITC Avant Garde" w:hAnsi="ITC Avant Garde"/>
          <w:color w:val="5B9BD5" w:themeColor="accent1"/>
        </w:rPr>
        <w:t xml:space="preserve"> </w:t>
      </w:r>
    </w:p>
    <w:p w14:paraId="4DD714B9" w14:textId="77777777" w:rsidR="00BA60A4" w:rsidRPr="00244534" w:rsidRDefault="00BA60A4" w:rsidP="005E5201">
      <w:pPr>
        <w:spacing w:after="0" w:line="276" w:lineRule="auto"/>
        <w:ind w:left="0" w:right="0" w:firstLine="0"/>
        <w:rPr>
          <w:rFonts w:ascii="ITC Avant Garde" w:hAnsi="ITC Avant Garde"/>
          <w:b/>
          <w:color w:val="auto"/>
          <w:u w:val="single"/>
        </w:rPr>
      </w:pPr>
    </w:p>
    <w:p w14:paraId="4F42D52C" w14:textId="77777777" w:rsidR="00BA60A4" w:rsidRPr="00244534" w:rsidRDefault="00BA60A4"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Sub-Anexo C. Alta y baja de cobertura</w:t>
      </w:r>
    </w:p>
    <w:p w14:paraId="51F8DC43" w14:textId="77777777" w:rsidR="00BA60A4" w:rsidRPr="00244534" w:rsidRDefault="001417E1"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Numeral 1</w:t>
      </w:r>
    </w:p>
    <w:p w14:paraId="5326EA07" w14:textId="77777777" w:rsidR="00BA60A4" w:rsidRPr="00244534" w:rsidRDefault="00BA60A4" w:rsidP="005E5201">
      <w:pPr>
        <w:spacing w:after="0" w:line="276" w:lineRule="auto"/>
        <w:ind w:left="0" w:right="0" w:firstLine="0"/>
        <w:rPr>
          <w:rFonts w:ascii="ITC Avant Garde" w:hAnsi="ITC Avant Garde"/>
          <w:b/>
          <w:color w:val="auto"/>
          <w:u w:val="single"/>
        </w:rPr>
      </w:pPr>
    </w:p>
    <w:p w14:paraId="16ECF9C5" w14:textId="77777777" w:rsidR="00BA60A4" w:rsidRPr="00244534" w:rsidRDefault="00435BD5"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AT&amp;T</w:t>
      </w:r>
      <w:r w:rsidR="000B4F36" w:rsidRPr="00244534">
        <w:rPr>
          <w:rFonts w:ascii="ITC Avant Garde" w:hAnsi="ITC Avant Garde"/>
          <w:b/>
          <w:color w:val="auto"/>
        </w:rPr>
        <w:t>:</w:t>
      </w:r>
    </w:p>
    <w:p w14:paraId="1C36AB46" w14:textId="77777777" w:rsidR="00F72413" w:rsidRPr="00244534" w:rsidRDefault="00F72413" w:rsidP="00DA0F6F">
      <w:pPr>
        <w:widowControl w:val="0"/>
        <w:numPr>
          <w:ilvl w:val="0"/>
          <w:numId w:val="3"/>
        </w:numPr>
        <w:tabs>
          <w:tab w:val="left" w:pos="0"/>
        </w:tabs>
        <w:autoSpaceDE w:val="0"/>
        <w:autoSpaceDN w:val="0"/>
        <w:adjustRightInd w:val="0"/>
        <w:spacing w:after="0" w:line="240" w:lineRule="auto"/>
        <w:ind w:left="0" w:right="0" w:firstLine="0"/>
        <w:rPr>
          <w:rFonts w:ascii="ITC Avant Garde" w:hAnsi="ITC Avant Garde"/>
          <w:color w:val="auto"/>
        </w:rPr>
      </w:pPr>
    </w:p>
    <w:p w14:paraId="78555273" w14:textId="4EFE1C8E" w:rsidR="00F72413" w:rsidRPr="00244534" w:rsidRDefault="00E66D1E" w:rsidP="00B73608">
      <w:pPr>
        <w:spacing w:after="0" w:line="276" w:lineRule="auto"/>
        <w:ind w:right="0"/>
        <w:rPr>
          <w:rFonts w:ascii="ITC Avant Garde" w:hAnsi="ITC Avant Garde"/>
          <w:color w:val="auto"/>
        </w:rPr>
      </w:pPr>
      <w:r w:rsidRPr="00244534">
        <w:rPr>
          <w:rFonts w:ascii="ITC Avant Garde" w:hAnsi="ITC Avant Garde"/>
          <w:color w:val="auto"/>
        </w:rPr>
        <w:t>S</w:t>
      </w:r>
      <w:r w:rsidR="00F72413" w:rsidRPr="00244534">
        <w:rPr>
          <w:rFonts w:ascii="ITC Avant Garde" w:hAnsi="ITC Avant Garde"/>
          <w:color w:val="auto"/>
        </w:rPr>
        <w:t>ugiere incluir la obligaci</w:t>
      </w:r>
      <w:r w:rsidR="00B73608" w:rsidRPr="00244534">
        <w:rPr>
          <w:rFonts w:ascii="ITC Avant Garde" w:hAnsi="ITC Avant Garde"/>
          <w:color w:val="auto"/>
        </w:rPr>
        <w:t>ón expresa por</w:t>
      </w:r>
      <w:r w:rsidR="001860E7" w:rsidRPr="00244534">
        <w:rPr>
          <w:rFonts w:ascii="ITC Avant Garde" w:hAnsi="ITC Avant Garde"/>
          <w:color w:val="auto"/>
        </w:rPr>
        <w:t xml:space="preserve"> parte de Telcel</w:t>
      </w:r>
      <w:r w:rsidR="00F72413" w:rsidRPr="00244534">
        <w:rPr>
          <w:rFonts w:ascii="ITC Avant Garde" w:hAnsi="ITC Avant Garde"/>
          <w:color w:val="auto"/>
        </w:rPr>
        <w:t xml:space="preserve"> de mantener actualizado</w:t>
      </w:r>
      <w:r w:rsidR="0056244A" w:rsidRPr="00244534">
        <w:rPr>
          <w:rFonts w:ascii="ITC Avant Garde" w:hAnsi="ITC Avant Garde"/>
          <w:color w:val="auto"/>
        </w:rPr>
        <w:t xml:space="preserve"> </w:t>
      </w:r>
      <w:r w:rsidR="00B73608" w:rsidRPr="00244534">
        <w:rPr>
          <w:rFonts w:ascii="ITC Avant Garde" w:hAnsi="ITC Avant Garde"/>
          <w:color w:val="auto"/>
        </w:rPr>
        <w:t>y disponible el listado de LAC, RAC y TAC</w:t>
      </w:r>
      <w:r w:rsidR="00F72413" w:rsidRPr="00244534">
        <w:rPr>
          <w:rFonts w:ascii="ITC Avant Garde" w:hAnsi="ITC Avant Garde"/>
          <w:color w:val="auto"/>
        </w:rPr>
        <w:t xml:space="preserve"> de su Red.</w:t>
      </w:r>
    </w:p>
    <w:p w14:paraId="7C49048D" w14:textId="77777777" w:rsidR="00301EA8" w:rsidRPr="00244534" w:rsidRDefault="00301EA8" w:rsidP="005E5201">
      <w:pPr>
        <w:spacing w:after="0" w:line="276" w:lineRule="auto"/>
        <w:ind w:right="0"/>
        <w:rPr>
          <w:rFonts w:ascii="ITC Avant Garde" w:hAnsi="ITC Avant Garde"/>
          <w:b/>
          <w:color w:val="auto"/>
        </w:rPr>
      </w:pPr>
    </w:p>
    <w:p w14:paraId="1840A251" w14:textId="77777777" w:rsidR="00BA60A4" w:rsidRPr="00244534" w:rsidRDefault="00301EA8" w:rsidP="005E5201">
      <w:pPr>
        <w:spacing w:after="0" w:line="276" w:lineRule="auto"/>
        <w:ind w:right="0"/>
        <w:rPr>
          <w:rFonts w:ascii="ITC Avant Garde" w:hAnsi="ITC Avant Garde"/>
          <w:b/>
          <w:color w:val="auto"/>
          <w:u w:val="single"/>
        </w:rPr>
      </w:pPr>
      <w:r w:rsidRPr="00244534">
        <w:rPr>
          <w:rFonts w:ascii="ITC Avant Garde" w:hAnsi="ITC Avant Garde"/>
          <w:b/>
          <w:color w:val="auto"/>
        </w:rPr>
        <w:t>Telefónica</w:t>
      </w:r>
      <w:r w:rsidR="000B4F36" w:rsidRPr="00244534">
        <w:rPr>
          <w:rFonts w:ascii="ITC Avant Garde" w:hAnsi="ITC Avant Garde"/>
          <w:b/>
          <w:color w:val="auto"/>
        </w:rPr>
        <w:t>:</w:t>
      </w:r>
    </w:p>
    <w:p w14:paraId="029FB21B" w14:textId="77777777" w:rsidR="00F72413" w:rsidRPr="00244534" w:rsidRDefault="00F72413" w:rsidP="005E5201">
      <w:pPr>
        <w:spacing w:after="0" w:line="276" w:lineRule="auto"/>
        <w:ind w:right="0"/>
        <w:rPr>
          <w:rFonts w:ascii="ITC Avant Garde" w:hAnsi="ITC Avant Garde"/>
          <w:b/>
          <w:color w:val="auto"/>
          <w:u w:val="single"/>
        </w:rPr>
      </w:pPr>
    </w:p>
    <w:p w14:paraId="43805D85" w14:textId="059A46C3" w:rsidR="00B73608" w:rsidRPr="00244534" w:rsidRDefault="00E66D1E" w:rsidP="00B73608">
      <w:pPr>
        <w:spacing w:after="0" w:line="276" w:lineRule="auto"/>
        <w:ind w:right="0"/>
        <w:rPr>
          <w:rFonts w:ascii="ITC Avant Garde" w:hAnsi="ITC Avant Garde"/>
          <w:color w:val="auto"/>
        </w:rPr>
      </w:pPr>
      <w:r w:rsidRPr="00244534">
        <w:rPr>
          <w:rFonts w:ascii="ITC Avant Garde" w:hAnsi="ITC Avant Garde"/>
          <w:color w:val="auto"/>
        </w:rPr>
        <w:t>Indica</w:t>
      </w:r>
      <w:r w:rsidR="00B73608" w:rsidRPr="00244534">
        <w:rPr>
          <w:rFonts w:ascii="ITC Avant Garde" w:hAnsi="ITC Avant Garde"/>
          <w:color w:val="auto"/>
        </w:rPr>
        <w:t xml:space="preserve"> que se debe contar con la información necesaria para realizar el análisis de LAC, RAC y TAC para evitar empalmes en las zonas de cobertura y, en su caso, solicitar la partición de un Área de Servicio</w:t>
      </w:r>
      <w:r w:rsidR="00160E90" w:rsidRPr="00244534">
        <w:rPr>
          <w:rFonts w:ascii="ITC Avant Garde" w:hAnsi="ITC Avant Garde"/>
          <w:color w:val="auto"/>
        </w:rPr>
        <w:t>.</w:t>
      </w:r>
    </w:p>
    <w:p w14:paraId="2E909B80" w14:textId="77777777" w:rsidR="00B73608" w:rsidRPr="00244534" w:rsidRDefault="00B73608" w:rsidP="00B73608">
      <w:pPr>
        <w:spacing w:after="0" w:line="276" w:lineRule="auto"/>
        <w:ind w:right="0"/>
        <w:rPr>
          <w:rFonts w:ascii="ITC Avant Garde" w:hAnsi="ITC Avant Garde"/>
          <w:color w:val="auto"/>
        </w:rPr>
      </w:pPr>
    </w:p>
    <w:p w14:paraId="7CAA425B"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AC09A7D" w14:textId="77777777" w:rsidR="00F04FB4" w:rsidRPr="00244534" w:rsidRDefault="00F04FB4" w:rsidP="00B73608">
      <w:pPr>
        <w:spacing w:after="0" w:line="276" w:lineRule="auto"/>
        <w:ind w:right="0"/>
        <w:rPr>
          <w:rFonts w:ascii="ITC Avant Garde" w:hAnsi="ITC Avant Garde"/>
          <w:color w:val="auto"/>
        </w:rPr>
      </w:pPr>
    </w:p>
    <w:p w14:paraId="39F389F3" w14:textId="77777777" w:rsidR="00A9403F" w:rsidRPr="00244534" w:rsidRDefault="00A9403F" w:rsidP="00DA0F6F">
      <w:pPr>
        <w:widowControl w:val="0"/>
        <w:numPr>
          <w:ilvl w:val="0"/>
          <w:numId w:val="3"/>
        </w:numPr>
        <w:tabs>
          <w:tab w:val="left" w:pos="0"/>
        </w:tabs>
        <w:autoSpaceDE w:val="0"/>
        <w:autoSpaceDN w:val="0"/>
        <w:adjustRightInd w:val="0"/>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Tal como se mencionó anteriormente y en congruencia con la medida Vigésima Séptima de las Medidas Móviles, se modifica el numeral 9 del Anexo II y el numeral 1 del Subanexo C a fin de señalar que la información deberá incluir los mapas de cobertura por tecnología (LAC, RAC y TAC)</w:t>
      </w:r>
      <w:r w:rsidR="00E66D1E" w:rsidRPr="00244534">
        <w:rPr>
          <w:rFonts w:ascii="ITC Avant Garde" w:hAnsi="ITC Avant Garde"/>
          <w:color w:val="5B9BD5" w:themeColor="accent1"/>
        </w:rPr>
        <w:t>,</w:t>
      </w:r>
      <w:r w:rsidRPr="00244534">
        <w:rPr>
          <w:rFonts w:ascii="ITC Avant Garde" w:hAnsi="ITC Avant Garde"/>
          <w:color w:val="5B9BD5" w:themeColor="accent1"/>
        </w:rPr>
        <w:t xml:space="preserve"> así como el procedimiento de actualización de los mismos.</w:t>
      </w:r>
    </w:p>
    <w:p w14:paraId="4EFFEF44" w14:textId="77777777" w:rsidR="00BA60A4" w:rsidRPr="00244534" w:rsidRDefault="00BA60A4" w:rsidP="005E5201">
      <w:pPr>
        <w:spacing w:after="0" w:line="276" w:lineRule="auto"/>
        <w:ind w:right="0"/>
        <w:rPr>
          <w:rFonts w:ascii="ITC Avant Garde" w:hAnsi="ITC Avant Garde"/>
          <w:color w:val="5B9BD5" w:themeColor="accent1"/>
        </w:rPr>
      </w:pPr>
    </w:p>
    <w:p w14:paraId="4B8AE230" w14:textId="77777777" w:rsidR="00380C08" w:rsidRPr="00244534" w:rsidRDefault="00380C08" w:rsidP="00380C08">
      <w:pPr>
        <w:spacing w:after="0" w:line="276" w:lineRule="auto"/>
        <w:ind w:right="0"/>
        <w:rPr>
          <w:rFonts w:ascii="ITC Avant Garde" w:hAnsi="ITC Avant Garde"/>
          <w:b/>
          <w:color w:val="auto"/>
          <w:u w:val="single"/>
        </w:rPr>
      </w:pPr>
      <w:r w:rsidRPr="00244534">
        <w:rPr>
          <w:rFonts w:ascii="ITC Avant Garde" w:hAnsi="ITC Avant Garde"/>
          <w:b/>
          <w:color w:val="auto"/>
          <w:u w:val="single"/>
        </w:rPr>
        <w:t>Sub-Anexo C. Alta y baja de cobertura</w:t>
      </w:r>
    </w:p>
    <w:p w14:paraId="2A142727" w14:textId="77777777" w:rsidR="00380C08" w:rsidRPr="00244534" w:rsidRDefault="00380C08" w:rsidP="00380C08">
      <w:pPr>
        <w:spacing w:after="0" w:line="276" w:lineRule="auto"/>
        <w:ind w:right="0"/>
        <w:rPr>
          <w:rFonts w:ascii="ITC Avant Garde" w:hAnsi="ITC Avant Garde"/>
          <w:b/>
          <w:color w:val="auto"/>
          <w:u w:val="single"/>
        </w:rPr>
      </w:pPr>
      <w:r w:rsidRPr="00244534">
        <w:rPr>
          <w:rFonts w:ascii="ITC Avant Garde" w:hAnsi="ITC Avant Garde"/>
          <w:b/>
          <w:color w:val="auto"/>
          <w:u w:val="single"/>
        </w:rPr>
        <w:t>Numeral 1b.</w:t>
      </w:r>
    </w:p>
    <w:p w14:paraId="622EC33B" w14:textId="77777777" w:rsidR="00380C08" w:rsidRPr="00244534" w:rsidRDefault="00380C08" w:rsidP="00380C08">
      <w:pPr>
        <w:spacing w:after="0" w:line="276" w:lineRule="auto"/>
        <w:ind w:left="0" w:right="0" w:firstLine="0"/>
        <w:rPr>
          <w:rFonts w:ascii="ITC Avant Garde" w:hAnsi="ITC Avant Garde"/>
          <w:b/>
          <w:color w:val="auto"/>
          <w:u w:val="single"/>
        </w:rPr>
      </w:pPr>
    </w:p>
    <w:p w14:paraId="370493E3" w14:textId="77777777" w:rsidR="00380C08" w:rsidRPr="00244534" w:rsidRDefault="00807310" w:rsidP="00380C08">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380C08" w:rsidRPr="00244534">
        <w:rPr>
          <w:rFonts w:ascii="ITC Avant Garde" w:hAnsi="ITC Avant Garde"/>
          <w:b/>
          <w:color w:val="auto"/>
        </w:rPr>
        <w:t>Televisa:</w:t>
      </w:r>
    </w:p>
    <w:p w14:paraId="45AA430E" w14:textId="77777777" w:rsidR="00380C08" w:rsidRPr="00244534" w:rsidRDefault="00380C08" w:rsidP="00DA0F6F">
      <w:pPr>
        <w:widowControl w:val="0"/>
        <w:numPr>
          <w:ilvl w:val="0"/>
          <w:numId w:val="3"/>
        </w:numPr>
        <w:tabs>
          <w:tab w:val="left" w:pos="0"/>
        </w:tabs>
        <w:autoSpaceDE w:val="0"/>
        <w:autoSpaceDN w:val="0"/>
        <w:adjustRightInd w:val="0"/>
        <w:spacing w:after="0" w:line="240" w:lineRule="auto"/>
        <w:ind w:left="0" w:right="0" w:firstLine="0"/>
        <w:rPr>
          <w:rFonts w:ascii="ITC Avant Garde" w:hAnsi="ITC Avant Garde"/>
          <w:color w:val="auto"/>
        </w:rPr>
      </w:pPr>
    </w:p>
    <w:p w14:paraId="2FDB56E4" w14:textId="35FD0030" w:rsidR="00380C08" w:rsidRPr="00244534" w:rsidRDefault="00E66D1E" w:rsidP="00D3742A">
      <w:pPr>
        <w:spacing w:after="0" w:line="276" w:lineRule="auto"/>
        <w:ind w:right="0"/>
        <w:rPr>
          <w:rFonts w:ascii="ITC Avant Garde" w:hAnsi="ITC Avant Garde"/>
          <w:color w:val="auto"/>
        </w:rPr>
      </w:pPr>
      <w:r w:rsidRPr="00244534">
        <w:rPr>
          <w:rFonts w:ascii="ITC Avant Garde" w:hAnsi="ITC Avant Garde"/>
          <w:color w:val="auto"/>
        </w:rPr>
        <w:t>S</w:t>
      </w:r>
      <w:r w:rsidR="00336A1C" w:rsidRPr="00244534">
        <w:rPr>
          <w:rFonts w:ascii="ITC Avant Garde" w:hAnsi="ITC Avant Garde"/>
          <w:color w:val="auto"/>
        </w:rPr>
        <w:t>ugiere</w:t>
      </w:r>
      <w:r w:rsidR="00D3742A" w:rsidRPr="00244534">
        <w:rPr>
          <w:rFonts w:ascii="ITC Avant Garde" w:hAnsi="ITC Avant Garde"/>
          <w:color w:val="auto"/>
        </w:rPr>
        <w:t xml:space="preserve"> garantizar la continuidad del servicio independientemente de la zona de cobe</w:t>
      </w:r>
      <w:r w:rsidR="00336A1C" w:rsidRPr="00244534">
        <w:rPr>
          <w:rFonts w:ascii="ITC Avant Garde" w:hAnsi="ITC Avant Garde"/>
          <w:color w:val="auto"/>
        </w:rPr>
        <w:t xml:space="preserve">rtura, ya que considera inaceptable que el cambio de área de cobertura implique una caída de la sesión de voz. </w:t>
      </w:r>
    </w:p>
    <w:p w14:paraId="0CA12466" w14:textId="77777777" w:rsidR="00336A1C" w:rsidRPr="00244534" w:rsidRDefault="00336A1C" w:rsidP="00D3742A">
      <w:pPr>
        <w:spacing w:after="0" w:line="276" w:lineRule="auto"/>
        <w:ind w:right="0"/>
        <w:rPr>
          <w:rFonts w:ascii="ITC Avant Garde" w:hAnsi="ITC Avant Garde"/>
          <w:color w:val="auto"/>
        </w:rPr>
      </w:pPr>
    </w:p>
    <w:p w14:paraId="1CFE200B"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5C20084E" w14:textId="77777777" w:rsidR="00F04FB4" w:rsidRPr="00244534" w:rsidRDefault="00F04FB4" w:rsidP="00D3742A">
      <w:pPr>
        <w:spacing w:after="0" w:line="276" w:lineRule="auto"/>
        <w:ind w:right="0"/>
        <w:rPr>
          <w:rFonts w:ascii="ITC Avant Garde" w:hAnsi="ITC Avant Garde"/>
          <w:color w:val="auto"/>
        </w:rPr>
      </w:pPr>
    </w:p>
    <w:p w14:paraId="53EB8F05" w14:textId="45FD04AF" w:rsidR="00336A1C" w:rsidRPr="00244534" w:rsidRDefault="001860E7" w:rsidP="001860E7">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E66D1E" w:rsidRPr="00244534">
        <w:rPr>
          <w:rFonts w:ascii="ITC Avant Garde" w:hAnsi="ITC Avant Garde"/>
          <w:color w:val="5B9BD5" w:themeColor="accent1"/>
        </w:rPr>
        <w:t>,</w:t>
      </w:r>
      <w:r w:rsidRPr="00244534">
        <w:rPr>
          <w:rFonts w:ascii="ITC Avant Garde" w:hAnsi="ITC Avant Garde"/>
          <w:color w:val="5B9BD5" w:themeColor="accent1"/>
        </w:rPr>
        <w:t xml:space="preserve"> l</w:t>
      </w:r>
      <w:r w:rsidR="00336A1C" w:rsidRPr="00244534">
        <w:rPr>
          <w:rFonts w:ascii="ITC Avant Garde" w:hAnsi="ITC Avant Garde"/>
          <w:color w:val="5B9BD5" w:themeColor="accent1"/>
        </w:rPr>
        <w:t xml:space="preserve">a medida Vigésima Segunda de las Medidas Móviles establece </w:t>
      </w:r>
      <w:r w:rsidRPr="00244534">
        <w:rPr>
          <w:rFonts w:ascii="ITC Avant Garde" w:hAnsi="ITC Avant Garde"/>
          <w:color w:val="5B9BD5" w:themeColor="accent1"/>
        </w:rPr>
        <w:t xml:space="preserve">que la activación </w:t>
      </w:r>
      <w:r w:rsidR="00336A1C" w:rsidRPr="00244534">
        <w:rPr>
          <w:rFonts w:ascii="ITC Avant Garde" w:hAnsi="ITC Avant Garde"/>
          <w:color w:val="5B9BD5" w:themeColor="accent1"/>
        </w:rPr>
        <w:t xml:space="preserve">de los Servicios de Usuario Visitante o Itinerancia en la red del </w:t>
      </w:r>
      <w:r w:rsidRPr="00244534">
        <w:rPr>
          <w:rFonts w:ascii="ITC Avant Garde" w:hAnsi="ITC Avant Garde"/>
          <w:color w:val="5B9BD5" w:themeColor="accent1"/>
        </w:rPr>
        <w:t>AEP</w:t>
      </w:r>
      <w:r w:rsidR="00336A1C" w:rsidRPr="00244534">
        <w:rPr>
          <w:rFonts w:ascii="ITC Avant Garde" w:hAnsi="ITC Avant Garde"/>
          <w:color w:val="5B9BD5" w:themeColor="accent1"/>
        </w:rPr>
        <w:t xml:space="preserve"> y/o el retorno a la red del Concesionario Solicitante no implicará la continuidad en las comunicaciones que se encuentren activas al momento del cambio de red pública de telecomunicaciones.</w:t>
      </w:r>
    </w:p>
    <w:p w14:paraId="0EDAA83B" w14:textId="77777777" w:rsidR="001860E7" w:rsidRPr="00244534" w:rsidRDefault="001860E7" w:rsidP="005E5201">
      <w:pPr>
        <w:spacing w:after="0" w:line="276" w:lineRule="auto"/>
        <w:ind w:left="0" w:right="0" w:firstLine="0"/>
        <w:rPr>
          <w:rFonts w:ascii="ITC Avant Garde" w:hAnsi="ITC Avant Garde"/>
          <w:color w:val="5B9BD5" w:themeColor="accent1"/>
        </w:rPr>
      </w:pPr>
    </w:p>
    <w:p w14:paraId="7574AB1C" w14:textId="77777777" w:rsidR="00336A1C" w:rsidRPr="00244534" w:rsidRDefault="00336A1C" w:rsidP="005E5201">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Asimismo, el redireccionamiento de t</w:t>
      </w:r>
      <w:r w:rsidR="001860E7" w:rsidRPr="00244534">
        <w:rPr>
          <w:rFonts w:ascii="ITC Avant Garde" w:hAnsi="ITC Avant Garde"/>
          <w:color w:val="5B9BD5" w:themeColor="accent1"/>
        </w:rPr>
        <w:t>ráfico implica un cambio en la r</w:t>
      </w:r>
      <w:r w:rsidRPr="00244534">
        <w:rPr>
          <w:rFonts w:ascii="ITC Avant Garde" w:hAnsi="ITC Avant Garde"/>
          <w:color w:val="5B9BD5" w:themeColor="accent1"/>
        </w:rPr>
        <w:t xml:space="preserve">ed que </w:t>
      </w:r>
      <w:r w:rsidR="001860E7" w:rsidRPr="00244534">
        <w:rPr>
          <w:rFonts w:ascii="ITC Avant Garde" w:hAnsi="ITC Avant Garde"/>
          <w:color w:val="5B9BD5" w:themeColor="accent1"/>
        </w:rPr>
        <w:t>proporciona</w:t>
      </w:r>
      <w:r w:rsidRPr="00244534">
        <w:rPr>
          <w:rFonts w:ascii="ITC Avant Garde" w:hAnsi="ITC Avant Garde"/>
          <w:color w:val="5B9BD5" w:themeColor="accent1"/>
        </w:rPr>
        <w:t xml:space="preserve"> el servicio, ya sea del concesionario o el AEP, por lo cual no es técnicamente factible la continuidad de los servicios en uso al momento del cambio de red. Derivado de lo anterior, no es procedente la solicitud de garantizar la continuidad de los servicios. </w:t>
      </w:r>
    </w:p>
    <w:p w14:paraId="17D53C8C" w14:textId="77777777" w:rsidR="00380C08" w:rsidRPr="00244534" w:rsidRDefault="00380C08" w:rsidP="005E5201">
      <w:pPr>
        <w:spacing w:after="0" w:line="276" w:lineRule="auto"/>
        <w:ind w:left="0" w:right="0" w:firstLine="0"/>
        <w:rPr>
          <w:rFonts w:ascii="ITC Avant Garde" w:hAnsi="ITC Avant Garde"/>
          <w:color w:val="5B9BD5" w:themeColor="accent1"/>
        </w:rPr>
      </w:pPr>
    </w:p>
    <w:p w14:paraId="6A808592" w14:textId="77777777" w:rsidR="00BA60A4" w:rsidRPr="00244534" w:rsidRDefault="00BA60A4"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Sub-Anexo C. Alta y baja de cobertura</w:t>
      </w:r>
    </w:p>
    <w:p w14:paraId="5F913383" w14:textId="77777777" w:rsidR="00BA60A4" w:rsidRPr="00244534" w:rsidRDefault="001417E1"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Numeral 2</w:t>
      </w:r>
    </w:p>
    <w:p w14:paraId="607223FF" w14:textId="77777777" w:rsidR="00BA60A4" w:rsidRPr="00244534" w:rsidRDefault="00BA60A4" w:rsidP="005E5201">
      <w:pPr>
        <w:spacing w:after="0" w:line="276" w:lineRule="auto"/>
        <w:ind w:left="0" w:right="0" w:firstLine="0"/>
        <w:rPr>
          <w:rFonts w:ascii="ITC Avant Garde" w:hAnsi="ITC Avant Garde"/>
          <w:b/>
          <w:color w:val="auto"/>
          <w:u w:val="single"/>
        </w:rPr>
      </w:pPr>
    </w:p>
    <w:p w14:paraId="15DBCDB3"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lastRenderedPageBreak/>
        <w:t>AT&amp;T y Telefónica</w:t>
      </w:r>
    </w:p>
    <w:p w14:paraId="2C6EFA42" w14:textId="77777777" w:rsidR="00BA60A4" w:rsidRPr="00244534" w:rsidRDefault="00BA60A4" w:rsidP="005E5201">
      <w:pPr>
        <w:spacing w:after="0" w:line="276" w:lineRule="auto"/>
        <w:ind w:right="0"/>
        <w:rPr>
          <w:rFonts w:ascii="ITC Avant Garde" w:hAnsi="ITC Avant Garde"/>
          <w:b/>
          <w:color w:val="auto"/>
          <w:u w:val="single"/>
        </w:rPr>
      </w:pPr>
    </w:p>
    <w:p w14:paraId="38839297" w14:textId="16A97FD9" w:rsidR="00BA60A4" w:rsidRPr="00244534" w:rsidRDefault="00543C15" w:rsidP="00B82C37">
      <w:pPr>
        <w:spacing w:after="0" w:line="276" w:lineRule="auto"/>
        <w:ind w:right="0"/>
        <w:rPr>
          <w:rFonts w:ascii="ITC Avant Garde" w:hAnsi="ITC Avant Garde"/>
          <w:color w:val="auto"/>
        </w:rPr>
      </w:pPr>
      <w:r w:rsidRPr="00244534">
        <w:rPr>
          <w:rFonts w:ascii="ITC Avant Garde" w:hAnsi="ITC Avant Garde"/>
          <w:color w:val="auto"/>
        </w:rPr>
        <w:t>Manifestaron</w:t>
      </w:r>
      <w:r w:rsidR="00BA60A4" w:rsidRPr="00244534">
        <w:rPr>
          <w:rFonts w:ascii="ITC Avant Garde" w:hAnsi="ITC Avant Garde"/>
          <w:color w:val="auto"/>
        </w:rPr>
        <w:t xml:space="preserve"> comentarios y/o preocupaciones en relación a</w:t>
      </w:r>
      <w:r w:rsidR="00CB47D8" w:rsidRPr="00244534">
        <w:rPr>
          <w:rFonts w:ascii="ITC Avant Garde" w:hAnsi="ITC Avant Garde"/>
          <w:color w:val="auto"/>
        </w:rPr>
        <w:t>:</w:t>
      </w:r>
      <w:r w:rsidR="00BA60A4" w:rsidRPr="00244534">
        <w:rPr>
          <w:rFonts w:ascii="ITC Avant Garde" w:hAnsi="ITC Avant Garde"/>
          <w:color w:val="auto"/>
        </w:rPr>
        <w:t xml:space="preserve"> i) la falta de plazos definidos para el aprovisionamiento de los servicios de la oferta; ii) la posible discrecionalidad para la negación de la factibilidad técnica </w:t>
      </w:r>
      <w:r w:rsidR="009C6451" w:rsidRPr="00244534">
        <w:rPr>
          <w:rFonts w:ascii="ITC Avant Garde" w:hAnsi="ITC Avant Garde"/>
          <w:color w:val="auto"/>
        </w:rPr>
        <w:t>al</w:t>
      </w:r>
      <w:r w:rsidR="00BA60A4" w:rsidRPr="00244534">
        <w:rPr>
          <w:rFonts w:ascii="ITC Avant Garde" w:hAnsi="ITC Avant Garde"/>
          <w:color w:val="auto"/>
        </w:rPr>
        <w:t xml:space="preserve"> reordenamiento de </w:t>
      </w:r>
      <w:r w:rsidR="00E167F2" w:rsidRPr="00244534">
        <w:rPr>
          <w:rFonts w:ascii="ITC Avant Garde" w:hAnsi="ITC Avant Garde"/>
          <w:color w:val="auto"/>
        </w:rPr>
        <w:t>las LAC, RAC, y TAC</w:t>
      </w:r>
      <w:r w:rsidR="00BA60A4" w:rsidRPr="00244534">
        <w:rPr>
          <w:rFonts w:ascii="ITC Avant Garde" w:hAnsi="ITC Avant Garde"/>
          <w:color w:val="auto"/>
        </w:rPr>
        <w:t>; iii) el cobro de Servicios Adicionales cuando no exista factibilidad técnica para el reordenamiento; y iv) la discrecionali</w:t>
      </w:r>
      <w:r w:rsidR="00B82C37" w:rsidRPr="00244534">
        <w:rPr>
          <w:rFonts w:ascii="ITC Avant Garde" w:hAnsi="ITC Avant Garde"/>
          <w:color w:val="auto"/>
        </w:rPr>
        <w:t>dad del AEP para modificar LAC, RAC y TAC</w:t>
      </w:r>
      <w:r w:rsidR="00BA60A4" w:rsidRPr="00244534">
        <w:rPr>
          <w:rFonts w:ascii="ITC Avant Garde" w:hAnsi="ITC Avant Garde"/>
          <w:color w:val="auto"/>
        </w:rPr>
        <w:t xml:space="preserve"> en uso por el concesionario.</w:t>
      </w:r>
    </w:p>
    <w:p w14:paraId="2A9B71D0" w14:textId="77777777" w:rsidR="00EE22A0" w:rsidRPr="00244534" w:rsidRDefault="00EE22A0" w:rsidP="00F04FB4">
      <w:pPr>
        <w:spacing w:after="0" w:line="276" w:lineRule="auto"/>
        <w:ind w:right="615"/>
        <w:rPr>
          <w:rFonts w:ascii="ITC Avant Garde" w:eastAsia="Calibri" w:hAnsi="ITC Avant Garde" w:cs="Arial"/>
          <w:i/>
          <w:color w:val="5B9BD5" w:themeColor="accent1"/>
          <w:sz w:val="18"/>
          <w:szCs w:val="18"/>
          <w:lang w:eastAsia="en-US"/>
        </w:rPr>
      </w:pPr>
    </w:p>
    <w:p w14:paraId="286A12EE"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0864EA30" w14:textId="77777777" w:rsidR="00F04FB4" w:rsidRPr="00244534" w:rsidRDefault="00F04FB4" w:rsidP="00F04FB4">
      <w:pPr>
        <w:spacing w:after="0" w:line="276" w:lineRule="auto"/>
        <w:ind w:right="615"/>
        <w:rPr>
          <w:rFonts w:ascii="ITC Avant Garde" w:eastAsia="Calibri" w:hAnsi="ITC Avant Garde" w:cs="Arial"/>
          <w:i/>
          <w:color w:val="5B9BD5" w:themeColor="accent1"/>
          <w:sz w:val="18"/>
          <w:szCs w:val="18"/>
          <w:lang w:eastAsia="en-US"/>
        </w:rPr>
      </w:pPr>
    </w:p>
    <w:p w14:paraId="2278EFFB" w14:textId="77777777" w:rsidR="00EE22A0" w:rsidRPr="00244534" w:rsidRDefault="00EE22A0" w:rsidP="00EE22A0">
      <w:pPr>
        <w:spacing w:after="0" w:line="276" w:lineRule="auto"/>
        <w:ind w:right="0"/>
        <w:rPr>
          <w:rFonts w:ascii="ITC Avant Garde" w:hAnsi="ITC Avant Garde"/>
          <w:color w:val="5B9BD5" w:themeColor="accent1"/>
        </w:rPr>
      </w:pPr>
      <w:r w:rsidRPr="00244534">
        <w:rPr>
          <w:rFonts w:ascii="ITC Avant Garde" w:hAnsi="ITC Avant Garde"/>
          <w:color w:val="5B9BD5" w:themeColor="accent1"/>
        </w:rPr>
        <w:t>Como ya se mencionó anteriormente y en congruencia con la Medida Decimosexta de las Medidas Móviles, se modifica el numeral 3 del Anexo IX para definir los plazos de entrega de los servicios de la oferta.</w:t>
      </w:r>
    </w:p>
    <w:p w14:paraId="149B4109" w14:textId="77777777" w:rsidR="001A0A83" w:rsidRPr="00244534" w:rsidRDefault="001A0A83" w:rsidP="005E5201">
      <w:pPr>
        <w:spacing w:after="0" w:line="276" w:lineRule="auto"/>
        <w:ind w:left="0" w:right="0" w:firstLine="0"/>
        <w:rPr>
          <w:rFonts w:ascii="ITC Avant Garde" w:hAnsi="ITC Avant Garde"/>
          <w:color w:val="5B9BD5" w:themeColor="accent1"/>
        </w:rPr>
      </w:pPr>
    </w:p>
    <w:p w14:paraId="231AA95F" w14:textId="77777777" w:rsidR="0050625F" w:rsidRPr="00244534" w:rsidRDefault="00EE22A0" w:rsidP="005E5201">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Asimismo, con el propósito de que el AEP no utilice la falta de factibilidad técnica para desincentivar los servicios de la Oferta, se modifica el numeral 2 del Subanexo C </w:t>
      </w:r>
      <w:r w:rsidR="0092552A" w:rsidRPr="00244534">
        <w:rPr>
          <w:rFonts w:ascii="ITC Avant Garde" w:hAnsi="ITC Avant Garde"/>
          <w:color w:val="5B9BD5" w:themeColor="accent1"/>
        </w:rPr>
        <w:t>para que el AEP justifique</w:t>
      </w:r>
      <w:r w:rsidRPr="00244534">
        <w:rPr>
          <w:rFonts w:ascii="ITC Avant Garde" w:hAnsi="ITC Avant Garde"/>
          <w:color w:val="5B9BD5" w:themeColor="accent1"/>
        </w:rPr>
        <w:t xml:space="preserve"> al concesionario las razones por las cuales no es factible</w:t>
      </w:r>
      <w:r w:rsidR="0092552A" w:rsidRPr="00244534">
        <w:rPr>
          <w:rFonts w:ascii="ITC Avant Garde" w:hAnsi="ITC Avant Garde"/>
          <w:color w:val="5B9BD5" w:themeColor="accent1"/>
        </w:rPr>
        <w:t xml:space="preserve"> técnicamente modificar un Área</w:t>
      </w:r>
      <w:r w:rsidRPr="00244534">
        <w:rPr>
          <w:rFonts w:ascii="ITC Avant Garde" w:hAnsi="ITC Avant Garde"/>
          <w:color w:val="5B9BD5" w:themeColor="accent1"/>
        </w:rPr>
        <w:t xml:space="preserve"> de Servicio</w:t>
      </w:r>
      <w:r w:rsidR="0092552A" w:rsidRPr="00244534">
        <w:rPr>
          <w:rFonts w:ascii="ITC Avant Garde" w:hAnsi="ITC Avant Garde"/>
          <w:color w:val="5B9BD5" w:themeColor="accent1"/>
        </w:rPr>
        <w:t>.</w:t>
      </w:r>
    </w:p>
    <w:p w14:paraId="50E076B4" w14:textId="77777777" w:rsidR="00D20E2A" w:rsidRPr="00244534" w:rsidRDefault="00D20E2A" w:rsidP="005E5201">
      <w:pPr>
        <w:spacing w:after="0" w:line="276" w:lineRule="auto"/>
        <w:ind w:right="0"/>
        <w:rPr>
          <w:rFonts w:ascii="ITC Avant Garde" w:hAnsi="ITC Avant Garde"/>
          <w:color w:val="5B9BD5" w:themeColor="accent1"/>
        </w:rPr>
      </w:pPr>
    </w:p>
    <w:p w14:paraId="4E36C563" w14:textId="77777777" w:rsidR="00380C08" w:rsidRPr="00244534" w:rsidRDefault="00380C08" w:rsidP="00380C08">
      <w:pPr>
        <w:spacing w:after="0" w:line="276" w:lineRule="auto"/>
        <w:ind w:left="0" w:right="0" w:firstLine="0"/>
        <w:rPr>
          <w:rFonts w:ascii="ITC Avant Garde" w:hAnsi="ITC Avant Garde"/>
          <w:b/>
          <w:color w:val="auto"/>
        </w:rPr>
      </w:pPr>
      <w:r w:rsidRPr="00244534">
        <w:rPr>
          <w:rFonts w:ascii="ITC Avant Garde" w:hAnsi="ITC Avant Garde"/>
          <w:b/>
          <w:color w:val="auto"/>
        </w:rPr>
        <w:t>ANEXO III Dimensionamiento</w:t>
      </w:r>
    </w:p>
    <w:p w14:paraId="263F3352" w14:textId="77777777" w:rsidR="00380C08" w:rsidRPr="00244534" w:rsidRDefault="00380C08" w:rsidP="00380C08">
      <w:pPr>
        <w:spacing w:after="0" w:line="276" w:lineRule="auto"/>
        <w:ind w:left="0" w:right="0" w:firstLine="0"/>
        <w:rPr>
          <w:rFonts w:ascii="ITC Avant Garde" w:hAnsi="ITC Avant Garde"/>
          <w:b/>
          <w:color w:val="auto"/>
          <w:u w:val="single"/>
        </w:rPr>
      </w:pPr>
    </w:p>
    <w:p w14:paraId="61A087C9" w14:textId="77777777" w:rsidR="00380C08" w:rsidRPr="00244534" w:rsidRDefault="00807310" w:rsidP="00380C08">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380C08" w:rsidRPr="00244534">
        <w:rPr>
          <w:rFonts w:ascii="ITC Avant Garde" w:hAnsi="ITC Avant Garde"/>
          <w:b/>
          <w:color w:val="auto"/>
        </w:rPr>
        <w:t>Televisa:</w:t>
      </w:r>
    </w:p>
    <w:p w14:paraId="6686104B" w14:textId="77777777" w:rsidR="00380C08" w:rsidRPr="00244534" w:rsidRDefault="00380C08" w:rsidP="00380C08">
      <w:pPr>
        <w:spacing w:after="0" w:line="276" w:lineRule="auto"/>
        <w:ind w:right="0"/>
        <w:rPr>
          <w:rFonts w:ascii="ITC Avant Garde" w:hAnsi="ITC Avant Garde"/>
          <w:b/>
          <w:color w:val="auto"/>
          <w:u w:val="single"/>
        </w:rPr>
      </w:pPr>
    </w:p>
    <w:p w14:paraId="402C0B20" w14:textId="7F9A6C3D" w:rsidR="00380C08" w:rsidRPr="00244534" w:rsidRDefault="00CB47D8" w:rsidP="00637E93">
      <w:pPr>
        <w:spacing w:after="0" w:line="276" w:lineRule="auto"/>
        <w:ind w:right="0"/>
        <w:rPr>
          <w:rFonts w:ascii="ITC Avant Garde" w:hAnsi="ITC Avant Garde"/>
          <w:color w:val="auto"/>
        </w:rPr>
      </w:pPr>
      <w:r w:rsidRPr="00244534">
        <w:rPr>
          <w:rFonts w:ascii="ITC Avant Garde" w:hAnsi="ITC Avant Garde"/>
          <w:color w:val="auto"/>
        </w:rPr>
        <w:t>S</w:t>
      </w:r>
      <w:r w:rsidR="00637E93" w:rsidRPr="00244534">
        <w:rPr>
          <w:rFonts w:ascii="ITC Avant Garde" w:hAnsi="ITC Avant Garde"/>
          <w:color w:val="auto"/>
        </w:rPr>
        <w:t>olicita ampliar la capacidad del dimensionamiento del polígono ya que considera que 3 Erlangs no es suficiente.</w:t>
      </w:r>
    </w:p>
    <w:p w14:paraId="74B3AA75" w14:textId="77777777" w:rsidR="00380C08" w:rsidRPr="00244534" w:rsidRDefault="00380C08" w:rsidP="00380C08">
      <w:pPr>
        <w:widowControl w:val="0"/>
        <w:autoSpaceDE w:val="0"/>
        <w:autoSpaceDN w:val="0"/>
        <w:adjustRightInd w:val="0"/>
        <w:spacing w:after="0" w:line="240" w:lineRule="auto"/>
        <w:ind w:left="0" w:right="0" w:firstLine="0"/>
        <w:rPr>
          <w:rFonts w:ascii="ITC Avant Garde" w:hAnsi="ITC Avant Garde"/>
          <w:color w:val="auto"/>
        </w:rPr>
      </w:pPr>
    </w:p>
    <w:p w14:paraId="2B9F308F"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1516A0B7" w14:textId="77777777" w:rsidR="00F04FB4" w:rsidRPr="00244534" w:rsidRDefault="00F04FB4" w:rsidP="00380C08">
      <w:pPr>
        <w:widowControl w:val="0"/>
        <w:autoSpaceDE w:val="0"/>
        <w:autoSpaceDN w:val="0"/>
        <w:adjustRightInd w:val="0"/>
        <w:spacing w:after="0" w:line="240" w:lineRule="auto"/>
        <w:ind w:left="0" w:right="0" w:firstLine="0"/>
        <w:rPr>
          <w:rFonts w:ascii="ITC Avant Garde" w:hAnsi="ITC Avant Garde"/>
          <w:color w:val="auto"/>
        </w:rPr>
      </w:pPr>
    </w:p>
    <w:p w14:paraId="202039E4" w14:textId="008A0C32" w:rsidR="00E27C64" w:rsidRPr="00244534" w:rsidRDefault="00E27C64" w:rsidP="00E27C64">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En caso de que 3 Erlangs no </w:t>
      </w:r>
      <w:r w:rsidR="00CB47D8" w:rsidRPr="00244534">
        <w:rPr>
          <w:rFonts w:ascii="ITC Avant Garde" w:hAnsi="ITC Avant Garde"/>
          <w:color w:val="5B9BD5" w:themeColor="accent1"/>
        </w:rPr>
        <w:t>sea</w:t>
      </w:r>
      <w:r w:rsidRPr="00244534">
        <w:rPr>
          <w:rFonts w:ascii="ITC Avant Garde" w:hAnsi="ITC Avant Garde"/>
          <w:color w:val="5B9BD5" w:themeColor="accent1"/>
        </w:rPr>
        <w:t xml:space="preserve"> suficiente se pu</w:t>
      </w:r>
      <w:r w:rsidR="00CB47D8" w:rsidRPr="00244534">
        <w:rPr>
          <w:rFonts w:ascii="ITC Avant Garde" w:hAnsi="ITC Avant Garde"/>
          <w:color w:val="5B9BD5" w:themeColor="accent1"/>
        </w:rPr>
        <w:t>e</w:t>
      </w:r>
      <w:r w:rsidRPr="00244534">
        <w:rPr>
          <w:rFonts w:ascii="ITC Avant Garde" w:hAnsi="ITC Avant Garde"/>
          <w:color w:val="5B9BD5" w:themeColor="accent1"/>
        </w:rPr>
        <w:t xml:space="preserve">de agregar y/o reducir el polígono </w:t>
      </w:r>
      <w:r w:rsidR="00CB47D8" w:rsidRPr="00244534">
        <w:rPr>
          <w:rFonts w:ascii="ITC Avant Garde" w:hAnsi="ITC Avant Garde"/>
          <w:color w:val="5B9BD5" w:themeColor="accent1"/>
        </w:rPr>
        <w:t xml:space="preserve">en el cual </w:t>
      </w:r>
      <w:r w:rsidRPr="00244534">
        <w:rPr>
          <w:rFonts w:ascii="ITC Avant Garde" w:hAnsi="ITC Avant Garde"/>
          <w:color w:val="5B9BD5" w:themeColor="accent1"/>
        </w:rPr>
        <w:t>se requiere el servicio. En este sentido, la interpretación que Grupo Televisa está realizando de este criterio para la presentación de pronósticos del servicio es incorrecta pues no se establece una limitante al servicio</w:t>
      </w:r>
      <w:r w:rsidR="00CB47D8" w:rsidRPr="00244534">
        <w:rPr>
          <w:rFonts w:ascii="ITC Avant Garde" w:hAnsi="ITC Avant Garde"/>
          <w:color w:val="5B9BD5" w:themeColor="accent1"/>
        </w:rPr>
        <w:t>,</w:t>
      </w:r>
      <w:r w:rsidRPr="00244534">
        <w:rPr>
          <w:rFonts w:ascii="ITC Avant Garde" w:hAnsi="ITC Avant Garde"/>
          <w:color w:val="5B9BD5" w:themeColor="accent1"/>
        </w:rPr>
        <w:t xml:space="preserve"> sino únicamente se especifica que la capacidad del polígono deberá estar acotada a un máximo de 3 Erlangs para voz, 3 Erlangs para datos y 1000 SMS.</w:t>
      </w:r>
    </w:p>
    <w:p w14:paraId="0F599628" w14:textId="77777777" w:rsidR="00380C08" w:rsidRPr="00244534" w:rsidRDefault="00380C08" w:rsidP="00B16F42">
      <w:pPr>
        <w:spacing w:after="0" w:line="276" w:lineRule="auto"/>
        <w:ind w:left="0" w:right="0" w:firstLine="0"/>
        <w:rPr>
          <w:rFonts w:ascii="ITC Avant Garde" w:hAnsi="ITC Avant Garde"/>
          <w:b/>
          <w:color w:val="auto"/>
        </w:rPr>
      </w:pPr>
    </w:p>
    <w:p w14:paraId="7AE22417" w14:textId="77777777" w:rsidR="00B16F42" w:rsidRPr="00244534" w:rsidRDefault="00B16F42" w:rsidP="00B16F42">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ANEXO </w:t>
      </w:r>
      <w:r w:rsidR="00655EF8" w:rsidRPr="00244534">
        <w:rPr>
          <w:rFonts w:ascii="ITC Avant Garde" w:hAnsi="ITC Avant Garde"/>
          <w:b/>
          <w:color w:val="auto"/>
        </w:rPr>
        <w:t>I</w:t>
      </w:r>
      <w:r w:rsidRPr="00244534">
        <w:rPr>
          <w:rFonts w:ascii="ITC Avant Garde" w:hAnsi="ITC Avant Garde"/>
          <w:b/>
          <w:color w:val="auto"/>
        </w:rPr>
        <w:t>V Acuerdos de Sistemas para la Facturación</w:t>
      </w:r>
    </w:p>
    <w:p w14:paraId="508F82F6" w14:textId="77777777" w:rsidR="00B16F42" w:rsidRPr="00244534" w:rsidRDefault="00B16F42" w:rsidP="00B16F42">
      <w:pPr>
        <w:spacing w:after="0" w:line="276" w:lineRule="auto"/>
        <w:ind w:left="0" w:right="0" w:firstLine="0"/>
        <w:rPr>
          <w:rFonts w:ascii="ITC Avant Garde" w:hAnsi="ITC Avant Garde"/>
          <w:b/>
          <w:color w:val="auto"/>
          <w:u w:val="single"/>
        </w:rPr>
      </w:pPr>
    </w:p>
    <w:p w14:paraId="2C9FF3E8" w14:textId="77777777" w:rsidR="00B16F42" w:rsidRPr="00244534" w:rsidRDefault="00807310" w:rsidP="00B16F42">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B16F42" w:rsidRPr="00244534">
        <w:rPr>
          <w:rFonts w:ascii="ITC Avant Garde" w:hAnsi="ITC Avant Garde"/>
          <w:b/>
          <w:color w:val="auto"/>
        </w:rPr>
        <w:t>Televisa:</w:t>
      </w:r>
    </w:p>
    <w:p w14:paraId="0F5CCB46" w14:textId="77777777" w:rsidR="00B16F42" w:rsidRPr="00244534" w:rsidRDefault="00B16F42" w:rsidP="00B16F42">
      <w:pPr>
        <w:spacing w:after="0" w:line="276" w:lineRule="auto"/>
        <w:ind w:right="0"/>
        <w:rPr>
          <w:rFonts w:ascii="ITC Avant Garde" w:hAnsi="ITC Avant Garde"/>
          <w:b/>
          <w:color w:val="auto"/>
          <w:u w:val="single"/>
        </w:rPr>
      </w:pPr>
    </w:p>
    <w:p w14:paraId="75EEF48C" w14:textId="1A2A9215" w:rsidR="00B16F42" w:rsidRPr="00244534" w:rsidRDefault="00CB47D8" w:rsidP="00387FC3">
      <w:pPr>
        <w:spacing w:after="0" w:line="276" w:lineRule="auto"/>
        <w:ind w:right="0"/>
        <w:rPr>
          <w:rFonts w:ascii="ITC Avant Garde" w:hAnsi="ITC Avant Garde"/>
          <w:color w:val="auto"/>
        </w:rPr>
      </w:pPr>
      <w:r w:rsidRPr="00244534">
        <w:rPr>
          <w:rFonts w:ascii="ITC Avant Garde" w:hAnsi="ITC Avant Garde"/>
          <w:color w:val="auto"/>
        </w:rPr>
        <w:lastRenderedPageBreak/>
        <w:t>Hace notar</w:t>
      </w:r>
      <w:r w:rsidR="00EC49AE" w:rsidRPr="00244534">
        <w:rPr>
          <w:rFonts w:ascii="ITC Avant Garde" w:hAnsi="ITC Avant Garde"/>
          <w:color w:val="auto"/>
        </w:rPr>
        <w:t xml:space="preserve"> la ausencia de </w:t>
      </w:r>
      <w:r w:rsidR="00EC49AE" w:rsidRPr="00244534">
        <w:rPr>
          <w:rFonts w:ascii="ITC Avant Garde" w:hAnsi="ITC Avant Garde"/>
          <w:i/>
          <w:color w:val="auto"/>
        </w:rPr>
        <w:t>l</w:t>
      </w:r>
      <w:r w:rsidR="00B16F42" w:rsidRPr="00244534">
        <w:rPr>
          <w:rFonts w:ascii="ITC Avant Garde" w:hAnsi="ITC Avant Garde"/>
          <w:i/>
          <w:color w:val="auto"/>
        </w:rPr>
        <w:t>ayouts</w:t>
      </w:r>
      <w:r w:rsidR="00B16F42" w:rsidRPr="00244534">
        <w:rPr>
          <w:rFonts w:ascii="ITC Avant Garde" w:hAnsi="ITC Avant Garde"/>
          <w:color w:val="auto"/>
        </w:rPr>
        <w:t xml:space="preserve"> de facturación y de objeción, </w:t>
      </w:r>
      <w:r w:rsidRPr="00244534">
        <w:rPr>
          <w:rFonts w:ascii="ITC Avant Garde" w:hAnsi="ITC Avant Garde"/>
          <w:color w:val="auto"/>
        </w:rPr>
        <w:t>por lo que</w:t>
      </w:r>
      <w:r w:rsidR="00B16F42" w:rsidRPr="00244534">
        <w:rPr>
          <w:rFonts w:ascii="ITC Avant Garde" w:hAnsi="ITC Avant Garde"/>
          <w:color w:val="auto"/>
        </w:rPr>
        <w:t xml:space="preserve"> solicita la restauración de los mismos de acuerdo a lo presentado en la Oferta Vigente.</w:t>
      </w:r>
    </w:p>
    <w:p w14:paraId="6B28A0EF" w14:textId="77777777" w:rsidR="000F25B0" w:rsidRPr="00244534" w:rsidRDefault="000F25B0" w:rsidP="00387FC3">
      <w:pPr>
        <w:spacing w:after="0" w:line="276" w:lineRule="auto"/>
        <w:ind w:right="0"/>
        <w:rPr>
          <w:rFonts w:ascii="ITC Avant Garde" w:hAnsi="ITC Avant Garde"/>
          <w:color w:val="auto"/>
        </w:rPr>
      </w:pPr>
    </w:p>
    <w:p w14:paraId="10B2D74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7F897C7" w14:textId="77777777" w:rsidR="00F04FB4" w:rsidRPr="00244534" w:rsidRDefault="00F04FB4" w:rsidP="00387FC3">
      <w:pPr>
        <w:spacing w:after="0" w:line="276" w:lineRule="auto"/>
        <w:ind w:right="0"/>
        <w:rPr>
          <w:rFonts w:ascii="ITC Avant Garde" w:hAnsi="ITC Avant Garde"/>
          <w:color w:val="auto"/>
        </w:rPr>
      </w:pPr>
    </w:p>
    <w:p w14:paraId="56E38BDA" w14:textId="77777777" w:rsidR="00EC49AE" w:rsidRPr="00244534" w:rsidRDefault="00EC49AE" w:rsidP="00EC49AE">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La Oferta incluye el </w:t>
      </w:r>
      <w:r w:rsidRPr="00244534">
        <w:rPr>
          <w:rFonts w:ascii="ITC Avant Garde" w:hAnsi="ITC Avant Garde"/>
          <w:i/>
          <w:color w:val="5B9BD5" w:themeColor="accent1"/>
        </w:rPr>
        <w:t>layout</w:t>
      </w:r>
      <w:r w:rsidRPr="00244534">
        <w:rPr>
          <w:rFonts w:ascii="ITC Avant Garde" w:hAnsi="ITC Avant Garde"/>
          <w:color w:val="5B9BD5" w:themeColor="accent1"/>
        </w:rPr>
        <w:t xml:space="preserve"> correspondiente a los CDR y EDR del servicio que se proporcionarán al concesionario solicitante, así mismo incluye los datos que contendrán la factura, así como el </w:t>
      </w:r>
      <w:r w:rsidRPr="00244534">
        <w:rPr>
          <w:rFonts w:ascii="ITC Avant Garde" w:hAnsi="ITC Avant Garde"/>
          <w:i/>
          <w:color w:val="5B9BD5" w:themeColor="accent1"/>
        </w:rPr>
        <w:t>layout</w:t>
      </w:r>
      <w:r w:rsidRPr="00244534">
        <w:rPr>
          <w:rFonts w:ascii="ITC Avant Garde" w:hAnsi="ITC Avant Garde"/>
          <w:color w:val="5B9BD5" w:themeColor="accent1"/>
        </w:rPr>
        <w:t xml:space="preserve"> para la presentación de una objeción. En este sentido, la información contenida en la Oferta coincide con la información disponible en la Oferta de Referencia vigente por lo que el comentario de Grupo Televisa </w:t>
      </w:r>
      <w:r w:rsidR="008C6E45" w:rsidRPr="00244534">
        <w:rPr>
          <w:rFonts w:ascii="ITC Avant Garde" w:hAnsi="ITC Avant Garde"/>
          <w:color w:val="5B9BD5" w:themeColor="accent1"/>
        </w:rPr>
        <w:t>está atendido</w:t>
      </w:r>
      <w:r w:rsidRPr="00244534">
        <w:rPr>
          <w:rFonts w:ascii="ITC Avant Garde" w:hAnsi="ITC Avant Garde"/>
          <w:color w:val="5B9BD5" w:themeColor="accent1"/>
        </w:rPr>
        <w:t xml:space="preserve">.   </w:t>
      </w:r>
    </w:p>
    <w:p w14:paraId="72790CE0" w14:textId="77777777" w:rsidR="00BA60A4" w:rsidRPr="00244534" w:rsidRDefault="00BA60A4" w:rsidP="005E5201">
      <w:pPr>
        <w:spacing w:after="0" w:line="276" w:lineRule="auto"/>
        <w:ind w:left="0" w:right="0" w:firstLine="0"/>
        <w:rPr>
          <w:rFonts w:ascii="ITC Avant Garde" w:hAnsi="ITC Avant Garde"/>
          <w:color w:val="5B9BD5" w:themeColor="accent1"/>
        </w:rPr>
      </w:pPr>
    </w:p>
    <w:p w14:paraId="28EFCFAF"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ANEXO V-A Alta y baja en LAC´s, RAC´s y TAC´s para el servicio de la Oferta </w:t>
      </w:r>
    </w:p>
    <w:p w14:paraId="12FF2C0B" w14:textId="77777777" w:rsidR="00BA60A4" w:rsidRPr="00244534" w:rsidRDefault="00BA60A4" w:rsidP="005E5201">
      <w:pPr>
        <w:spacing w:after="0" w:line="276" w:lineRule="auto"/>
        <w:ind w:left="0" w:right="0" w:firstLine="0"/>
        <w:rPr>
          <w:rFonts w:ascii="ITC Avant Garde" w:hAnsi="ITC Avant Garde"/>
          <w:b/>
          <w:color w:val="auto"/>
          <w:u w:val="single"/>
        </w:rPr>
      </w:pPr>
    </w:p>
    <w:p w14:paraId="62494FB3"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Telefónica</w:t>
      </w:r>
      <w:r w:rsidR="000B4F36" w:rsidRPr="00244534">
        <w:rPr>
          <w:rFonts w:ascii="ITC Avant Garde" w:hAnsi="ITC Avant Garde"/>
          <w:b/>
          <w:color w:val="auto"/>
        </w:rPr>
        <w:t>:</w:t>
      </w:r>
    </w:p>
    <w:p w14:paraId="31837E97" w14:textId="77777777" w:rsidR="00BA60A4" w:rsidRPr="00244534" w:rsidRDefault="00BA60A4" w:rsidP="005E5201">
      <w:pPr>
        <w:spacing w:after="0" w:line="276" w:lineRule="auto"/>
        <w:ind w:right="0"/>
        <w:rPr>
          <w:rFonts w:ascii="ITC Avant Garde" w:hAnsi="ITC Avant Garde"/>
          <w:b/>
          <w:color w:val="auto"/>
          <w:u w:val="single"/>
        </w:rPr>
      </w:pPr>
    </w:p>
    <w:p w14:paraId="1C9C244D" w14:textId="353EA671" w:rsidR="00684056" w:rsidRPr="00244534" w:rsidRDefault="00CB47D8" w:rsidP="00387FC3">
      <w:pPr>
        <w:spacing w:after="0" w:line="276" w:lineRule="auto"/>
        <w:ind w:right="0"/>
        <w:rPr>
          <w:rFonts w:ascii="ITC Avant Garde" w:hAnsi="ITC Avant Garde"/>
          <w:color w:val="auto"/>
        </w:rPr>
      </w:pPr>
      <w:r w:rsidRPr="00244534">
        <w:rPr>
          <w:rFonts w:ascii="ITC Avant Garde" w:hAnsi="ITC Avant Garde"/>
          <w:color w:val="auto"/>
        </w:rPr>
        <w:t>Menciona</w:t>
      </w:r>
      <w:r w:rsidR="00684056" w:rsidRPr="00244534">
        <w:rPr>
          <w:rFonts w:ascii="ITC Avant Garde" w:hAnsi="ITC Avant Garde"/>
          <w:color w:val="auto"/>
        </w:rPr>
        <w:t xml:space="preserve"> que la información</w:t>
      </w:r>
      <w:r w:rsidR="00325E77" w:rsidRPr="00244534">
        <w:rPr>
          <w:rFonts w:ascii="ITC Avant Garde" w:hAnsi="ITC Avant Garde"/>
          <w:color w:val="auto"/>
        </w:rPr>
        <w:t xml:space="preserve"> que actualmente brinda el AEP no es lo suficientemente específica para </w:t>
      </w:r>
      <w:r w:rsidR="001D476E" w:rsidRPr="00244534">
        <w:rPr>
          <w:rFonts w:ascii="ITC Avant Garde" w:hAnsi="ITC Avant Garde"/>
          <w:color w:val="auto"/>
        </w:rPr>
        <w:t xml:space="preserve">determinar si la configuración de las </w:t>
      </w:r>
      <w:r w:rsidR="00E167F4" w:rsidRPr="00244534">
        <w:rPr>
          <w:rFonts w:ascii="ITC Avant Garde" w:hAnsi="ITC Avant Garde"/>
          <w:color w:val="auto"/>
        </w:rPr>
        <w:t>Áreas de Servicio</w:t>
      </w:r>
      <w:r w:rsidR="00387FC3" w:rsidRPr="00244534">
        <w:rPr>
          <w:rFonts w:ascii="ITC Avant Garde" w:hAnsi="ITC Avant Garde"/>
          <w:color w:val="auto"/>
        </w:rPr>
        <w:t xml:space="preserve"> provee cobertura en las zonas en que se requiere el servicio</w:t>
      </w:r>
      <w:r w:rsidR="001D476E" w:rsidRPr="00244534">
        <w:rPr>
          <w:rFonts w:ascii="ITC Avant Garde" w:hAnsi="ITC Avant Garde"/>
          <w:color w:val="auto"/>
        </w:rPr>
        <w:t>.</w:t>
      </w:r>
      <w:r w:rsidR="00387FC3" w:rsidRPr="00244534">
        <w:rPr>
          <w:rFonts w:ascii="ITC Avant Garde" w:hAnsi="ITC Avant Garde"/>
          <w:color w:val="auto"/>
        </w:rPr>
        <w:t xml:space="preserve"> Por lo tanto, s</w:t>
      </w:r>
      <w:r w:rsidR="001D476E" w:rsidRPr="00244534">
        <w:rPr>
          <w:rFonts w:ascii="ITC Avant Garde" w:hAnsi="ITC Avant Garde"/>
          <w:color w:val="auto"/>
        </w:rPr>
        <w:t xml:space="preserve">olicita </w:t>
      </w:r>
      <w:r w:rsidR="00E167F4" w:rsidRPr="00244534">
        <w:rPr>
          <w:rFonts w:ascii="ITC Avant Garde" w:hAnsi="ITC Avant Garde"/>
          <w:color w:val="auto"/>
        </w:rPr>
        <w:t xml:space="preserve">que el AEP proporcione la siguiente información: </w:t>
      </w:r>
    </w:p>
    <w:p w14:paraId="2D294F5A" w14:textId="77777777" w:rsidR="00E167F4" w:rsidRPr="00244534" w:rsidRDefault="00E167F4" w:rsidP="005E5201">
      <w:pPr>
        <w:widowControl w:val="0"/>
        <w:autoSpaceDE w:val="0"/>
        <w:autoSpaceDN w:val="0"/>
        <w:adjustRightInd w:val="0"/>
        <w:spacing w:after="0" w:line="240" w:lineRule="auto"/>
        <w:ind w:left="0" w:right="0" w:firstLine="0"/>
        <w:rPr>
          <w:rFonts w:ascii="ITC Avant Garde" w:hAnsi="ITC Avant Garde"/>
          <w:color w:val="auto"/>
        </w:rPr>
      </w:pPr>
    </w:p>
    <w:p w14:paraId="24D5FE13" w14:textId="77777777" w:rsidR="00684056" w:rsidRPr="00244534" w:rsidRDefault="00E167F4" w:rsidP="00DA0F6F">
      <w:pPr>
        <w:pStyle w:val="Prrafodelista"/>
        <w:numPr>
          <w:ilvl w:val="0"/>
          <w:numId w:val="4"/>
        </w:numPr>
        <w:spacing w:after="0" w:line="276" w:lineRule="auto"/>
        <w:ind w:right="0"/>
        <w:rPr>
          <w:rFonts w:ascii="ITC Avant Garde" w:hAnsi="ITC Avant Garde"/>
          <w:i/>
          <w:color w:val="auto"/>
        </w:rPr>
      </w:pPr>
      <w:r w:rsidRPr="00244534">
        <w:rPr>
          <w:rFonts w:ascii="ITC Avant Garde" w:hAnsi="ITC Avant Garde"/>
          <w:color w:val="auto"/>
        </w:rPr>
        <w:t xml:space="preserve">La mancha de cobertura garantizada de conformidad </w:t>
      </w:r>
      <w:r w:rsidR="00A01693" w:rsidRPr="00244534">
        <w:rPr>
          <w:rFonts w:ascii="ITC Avant Garde" w:hAnsi="ITC Avant Garde"/>
          <w:color w:val="auto"/>
        </w:rPr>
        <w:t>con la</w:t>
      </w:r>
      <w:r w:rsidR="009E461F" w:rsidRPr="00244534">
        <w:rPr>
          <w:rFonts w:ascii="ITC Avant Garde" w:hAnsi="ITC Avant Garde"/>
          <w:color w:val="auto"/>
        </w:rPr>
        <w:t xml:space="preserve"> </w:t>
      </w:r>
      <w:r w:rsidR="00A01693" w:rsidRPr="00244534">
        <w:rPr>
          <w:rFonts w:ascii="ITC Avant Garde" w:hAnsi="ITC Avant Garde"/>
          <w:color w:val="auto"/>
        </w:rPr>
        <w:t>“</w:t>
      </w:r>
      <w:r w:rsidR="00A01693" w:rsidRPr="00244534">
        <w:rPr>
          <w:rFonts w:ascii="ITC Avant Garde" w:hAnsi="ITC Avant Garde"/>
          <w:i/>
          <w:color w:val="auto"/>
        </w:rPr>
        <w:t>RESOLUCION MEDIANTE LA CUAL EL PLENO DE LA COMISION FEDERAL DE TELECOMUNICACIONES EXPIDE EL PLAN TECNICO FUNDAMENTAL DE C</w:t>
      </w:r>
      <w:r w:rsidR="00F24D82" w:rsidRPr="00244534">
        <w:rPr>
          <w:rFonts w:ascii="ITC Avant Garde" w:hAnsi="ITC Avant Garde"/>
          <w:i/>
          <w:color w:val="auto"/>
        </w:rPr>
        <w:t>ALIDAD DEL SERVICIO LOCAL MOVIL</w:t>
      </w:r>
      <w:r w:rsidR="00A01693" w:rsidRPr="00244534">
        <w:rPr>
          <w:rFonts w:ascii="ITC Avant Garde" w:hAnsi="ITC Avant Garde"/>
          <w:i/>
          <w:color w:val="auto"/>
        </w:rPr>
        <w:t>”</w:t>
      </w:r>
      <w:r w:rsidR="00F24D82" w:rsidRPr="00244534">
        <w:rPr>
          <w:rFonts w:ascii="ITC Avant Garde" w:hAnsi="ITC Avant Garde"/>
          <w:i/>
          <w:color w:val="auto"/>
        </w:rPr>
        <w:t xml:space="preserve"> </w:t>
      </w:r>
      <w:r w:rsidR="00F24D82" w:rsidRPr="00244534">
        <w:rPr>
          <w:rFonts w:ascii="ITC Avant Garde" w:hAnsi="ITC Avant Garde"/>
          <w:color w:val="auto"/>
        </w:rPr>
        <w:t>(en los sucesivo, el “PTFC”).</w:t>
      </w:r>
    </w:p>
    <w:p w14:paraId="4080D23B" w14:textId="77777777" w:rsidR="00387FC3" w:rsidRPr="00244534" w:rsidRDefault="00387FC3" w:rsidP="00387FC3">
      <w:pPr>
        <w:spacing w:after="0" w:line="276" w:lineRule="auto"/>
        <w:ind w:right="0"/>
        <w:rPr>
          <w:rFonts w:ascii="ITC Avant Garde" w:hAnsi="ITC Avant Garde"/>
          <w:color w:val="auto"/>
        </w:rPr>
      </w:pPr>
    </w:p>
    <w:p w14:paraId="290DE52C" w14:textId="77777777" w:rsidR="009E461F" w:rsidRPr="00244534" w:rsidRDefault="009E461F" w:rsidP="00DA0F6F">
      <w:pPr>
        <w:pStyle w:val="Prrafodelista"/>
        <w:numPr>
          <w:ilvl w:val="0"/>
          <w:numId w:val="4"/>
        </w:numPr>
        <w:spacing w:after="0" w:line="276" w:lineRule="auto"/>
        <w:ind w:right="0"/>
        <w:rPr>
          <w:rFonts w:ascii="ITC Avant Garde" w:hAnsi="ITC Avant Garde"/>
          <w:color w:val="auto"/>
        </w:rPr>
      </w:pPr>
      <w:r w:rsidRPr="00244534">
        <w:rPr>
          <w:rFonts w:ascii="ITC Avant Garde" w:hAnsi="ITC Avant Garde"/>
          <w:color w:val="auto"/>
        </w:rPr>
        <w:t>Información de los emplazamientos involucrados (nombre y coordenadas)</w:t>
      </w:r>
    </w:p>
    <w:p w14:paraId="151D8441" w14:textId="77777777" w:rsidR="00387FC3" w:rsidRPr="00244534" w:rsidRDefault="00387FC3" w:rsidP="00387FC3">
      <w:pPr>
        <w:spacing w:after="0" w:line="276" w:lineRule="auto"/>
        <w:ind w:right="0"/>
        <w:rPr>
          <w:rFonts w:ascii="ITC Avant Garde" w:hAnsi="ITC Avant Garde"/>
          <w:color w:val="auto"/>
        </w:rPr>
      </w:pPr>
    </w:p>
    <w:p w14:paraId="28677F17" w14:textId="77777777" w:rsidR="00F07B6A" w:rsidRPr="00244534" w:rsidRDefault="009E461F" w:rsidP="00DA0F6F">
      <w:pPr>
        <w:pStyle w:val="Prrafodelista"/>
        <w:numPr>
          <w:ilvl w:val="0"/>
          <w:numId w:val="4"/>
        </w:numPr>
        <w:spacing w:after="0" w:line="276" w:lineRule="auto"/>
        <w:ind w:right="0"/>
        <w:rPr>
          <w:rFonts w:ascii="ITC Avant Garde" w:hAnsi="ITC Avant Garde"/>
          <w:color w:val="auto"/>
        </w:rPr>
      </w:pPr>
      <w:r w:rsidRPr="00244534">
        <w:rPr>
          <w:rFonts w:ascii="ITC Avant Garde" w:hAnsi="ITC Avant Garde"/>
          <w:color w:val="auto"/>
        </w:rPr>
        <w:t xml:space="preserve">Asegurar que el AEP </w:t>
      </w:r>
      <w:r w:rsidR="00F07B6A" w:rsidRPr="00244534">
        <w:rPr>
          <w:rFonts w:ascii="ITC Avant Garde" w:hAnsi="ITC Avant Garde"/>
          <w:color w:val="auto"/>
        </w:rPr>
        <w:t>ofrezca áreas específicas en tramos carreteros y/o tramos de vital importancia.</w:t>
      </w:r>
    </w:p>
    <w:p w14:paraId="25836827" w14:textId="77777777" w:rsidR="00387FC3" w:rsidRPr="00244534" w:rsidRDefault="00387FC3" w:rsidP="00387FC3">
      <w:pPr>
        <w:spacing w:after="0" w:line="276" w:lineRule="auto"/>
        <w:ind w:right="0"/>
        <w:rPr>
          <w:rFonts w:ascii="ITC Avant Garde" w:hAnsi="ITC Avant Garde"/>
          <w:color w:val="auto"/>
        </w:rPr>
      </w:pPr>
    </w:p>
    <w:p w14:paraId="3D3F6EFE" w14:textId="77777777" w:rsidR="009E461F" w:rsidRPr="00244534" w:rsidRDefault="00F07B6A" w:rsidP="00DA0F6F">
      <w:pPr>
        <w:pStyle w:val="Prrafodelista"/>
        <w:numPr>
          <w:ilvl w:val="0"/>
          <w:numId w:val="4"/>
        </w:numPr>
        <w:spacing w:after="0" w:line="276" w:lineRule="auto"/>
        <w:ind w:right="0"/>
        <w:rPr>
          <w:rFonts w:ascii="ITC Avant Garde" w:hAnsi="ITC Avant Garde"/>
          <w:color w:val="auto"/>
        </w:rPr>
      </w:pPr>
      <w:r w:rsidRPr="00244534">
        <w:rPr>
          <w:rFonts w:ascii="ITC Avant Garde" w:hAnsi="ITC Avant Garde"/>
          <w:color w:val="auto"/>
        </w:rPr>
        <w:t xml:space="preserve">Dividir la información por tecnología. </w:t>
      </w:r>
    </w:p>
    <w:p w14:paraId="4591E369" w14:textId="77777777" w:rsidR="00A01693" w:rsidRPr="00244534" w:rsidRDefault="00A01693" w:rsidP="005E5201">
      <w:pPr>
        <w:pStyle w:val="Prrafodelista"/>
        <w:spacing w:after="0" w:line="276" w:lineRule="auto"/>
        <w:ind w:left="0" w:right="0" w:firstLine="0"/>
        <w:rPr>
          <w:rFonts w:ascii="ITC Avant Garde" w:hAnsi="ITC Avant Garde"/>
          <w:color w:val="5B9BD5" w:themeColor="accent1"/>
        </w:rPr>
      </w:pPr>
    </w:p>
    <w:p w14:paraId="08CE0485"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2901FD5" w14:textId="77777777" w:rsidR="00F04FB4" w:rsidRPr="00244534" w:rsidRDefault="00F04FB4" w:rsidP="005E5201">
      <w:pPr>
        <w:pStyle w:val="Prrafodelista"/>
        <w:spacing w:after="0" w:line="276" w:lineRule="auto"/>
        <w:ind w:left="0" w:right="0" w:firstLine="0"/>
        <w:rPr>
          <w:rFonts w:ascii="ITC Avant Garde" w:hAnsi="ITC Avant Garde"/>
          <w:color w:val="5B9BD5" w:themeColor="accent1"/>
        </w:rPr>
      </w:pPr>
    </w:p>
    <w:p w14:paraId="4E220D16" w14:textId="3F840D4D" w:rsidR="007F0C5D" w:rsidRPr="00244534" w:rsidRDefault="007F0C5D" w:rsidP="005E5201">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Para que los concesionarios</w:t>
      </w:r>
      <w:r w:rsidR="00D22775" w:rsidRPr="00244534">
        <w:rPr>
          <w:rFonts w:ascii="ITC Avant Garde" w:hAnsi="ITC Avant Garde"/>
          <w:color w:val="5B9BD5" w:themeColor="accent1"/>
        </w:rPr>
        <w:t xml:space="preserve"> conozcan </w:t>
      </w:r>
      <w:r w:rsidR="00CB47D8" w:rsidRPr="00244534">
        <w:rPr>
          <w:rFonts w:ascii="ITC Avant Garde" w:hAnsi="ITC Avant Garde"/>
          <w:color w:val="5B9BD5" w:themeColor="accent1"/>
        </w:rPr>
        <w:t>previamente</w:t>
      </w:r>
      <w:r w:rsidR="00D22775" w:rsidRPr="00244534">
        <w:rPr>
          <w:rFonts w:ascii="ITC Avant Garde" w:hAnsi="ITC Avant Garde"/>
          <w:color w:val="5B9BD5" w:themeColor="accent1"/>
        </w:rPr>
        <w:t xml:space="preserve"> la información de </w:t>
      </w:r>
      <w:r w:rsidRPr="00244534">
        <w:rPr>
          <w:rFonts w:ascii="ITC Avant Garde" w:hAnsi="ITC Avant Garde"/>
          <w:color w:val="5B9BD5" w:themeColor="accent1"/>
        </w:rPr>
        <w:t>los emplazamientos que conforman cada una de las áreas de servicio</w:t>
      </w:r>
      <w:r w:rsidR="00D22775" w:rsidRPr="00244534">
        <w:rPr>
          <w:rFonts w:ascii="ITC Avant Garde" w:hAnsi="ITC Avant Garde"/>
          <w:color w:val="5B9BD5" w:themeColor="accent1"/>
        </w:rPr>
        <w:t xml:space="preserve"> por tecnología</w:t>
      </w:r>
      <w:r w:rsidRPr="00244534">
        <w:rPr>
          <w:rFonts w:ascii="ITC Avant Garde" w:hAnsi="ITC Avant Garde"/>
          <w:color w:val="5B9BD5" w:themeColor="accent1"/>
        </w:rPr>
        <w:t xml:space="preserve"> (LAC, RAC y TAC), se adiciona el numeral 3 “Plazos para la entrega de los Servicios de la Oferta” al Anexo IX, el cual establece:</w:t>
      </w:r>
    </w:p>
    <w:p w14:paraId="0B5CF59D" w14:textId="77777777" w:rsidR="007F0C5D" w:rsidRPr="00244534" w:rsidRDefault="007F0C5D" w:rsidP="005E5201">
      <w:pPr>
        <w:pStyle w:val="Prrafodelista"/>
        <w:spacing w:after="0" w:line="276" w:lineRule="auto"/>
        <w:ind w:left="0" w:right="0" w:firstLine="0"/>
        <w:rPr>
          <w:rFonts w:ascii="ITC Avant Garde" w:hAnsi="ITC Avant Garde"/>
          <w:color w:val="5B9BD5" w:themeColor="accent1"/>
        </w:rPr>
      </w:pPr>
    </w:p>
    <w:p w14:paraId="08473BBD" w14:textId="77777777" w:rsidR="007F0C5D" w:rsidRPr="00244534" w:rsidRDefault="007F0C5D" w:rsidP="007F0C5D">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“Telcel entregará al Concesionario en 10 (diez) días hábiles </w:t>
      </w:r>
      <w:r w:rsidRPr="00244534">
        <w:rPr>
          <w:rFonts w:ascii="ITC Avant Garde" w:eastAsia="Calibri" w:hAnsi="ITC Avant Garde" w:cs="Arial"/>
          <w:i/>
          <w:color w:val="5B9BD5" w:themeColor="accent1"/>
          <w:sz w:val="18"/>
          <w:szCs w:val="18"/>
          <w:u w:val="single"/>
          <w:lang w:eastAsia="en-US"/>
        </w:rPr>
        <w:t>los sitios que corresponden a cada una de las LAC, RAC, TAC solicitadas indicando las coordenadas geográficas de cada uno de los sitios, así como la información técnica necesaria,</w:t>
      </w:r>
      <w:r w:rsidR="004A30A3" w:rsidRPr="00244534">
        <w:rPr>
          <w:rFonts w:ascii="ITC Avant Garde" w:eastAsia="Calibri" w:hAnsi="ITC Avant Garde" w:cs="Arial"/>
          <w:i/>
          <w:color w:val="5B9BD5" w:themeColor="accent1"/>
          <w:sz w:val="18"/>
          <w:szCs w:val="18"/>
          <w:u w:val="single"/>
          <w:lang w:eastAsia="en-US"/>
        </w:rPr>
        <w:t xml:space="preserve"> </w:t>
      </w:r>
      <w:r w:rsidRPr="00244534">
        <w:rPr>
          <w:rFonts w:ascii="ITC Avant Garde" w:eastAsia="Calibri" w:hAnsi="ITC Avant Garde" w:cs="Arial"/>
          <w:i/>
          <w:color w:val="5B9BD5" w:themeColor="accent1"/>
          <w:sz w:val="18"/>
          <w:szCs w:val="18"/>
          <w:u w:val="single"/>
          <w:lang w:eastAsia="en-US"/>
        </w:rPr>
        <w:t>con el fin de que éste pueda realizar su análisis.</w:t>
      </w:r>
      <w:r w:rsidRPr="00244534">
        <w:rPr>
          <w:rFonts w:ascii="ITC Avant Garde" w:eastAsia="Calibri" w:hAnsi="ITC Avant Garde" w:cs="Arial"/>
          <w:i/>
          <w:color w:val="5B9BD5" w:themeColor="accent1"/>
          <w:sz w:val="18"/>
          <w:szCs w:val="18"/>
          <w:lang w:eastAsia="en-US"/>
        </w:rPr>
        <w:t>”</w:t>
      </w:r>
    </w:p>
    <w:p w14:paraId="2FCB81E0" w14:textId="77777777" w:rsidR="004A30A3" w:rsidRPr="00244534" w:rsidRDefault="004A30A3" w:rsidP="007F0C5D">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2D423B67" w14:textId="77777777" w:rsidR="004A30A3" w:rsidRPr="00244534" w:rsidRDefault="004A30A3" w:rsidP="004A30A3">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60EDADC4" w14:textId="77777777" w:rsidR="006A5EC2" w:rsidRPr="00244534" w:rsidRDefault="001417E1" w:rsidP="005E5201">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 </w:t>
      </w:r>
    </w:p>
    <w:p w14:paraId="19301FC2" w14:textId="77777777" w:rsidR="00BA60A4" w:rsidRPr="00244534" w:rsidRDefault="006A5EC2" w:rsidP="005E5201">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R</w:t>
      </w:r>
      <w:r w:rsidR="00B11E3F" w:rsidRPr="00244534">
        <w:rPr>
          <w:rFonts w:ascii="ITC Avant Garde" w:hAnsi="ITC Avant Garde"/>
          <w:color w:val="5B9BD5" w:themeColor="accent1"/>
        </w:rPr>
        <w:t>especto a la provisión del servicio en tramos carreteros y/o de vital importancia</w:t>
      </w:r>
      <w:r w:rsidR="007A4E67" w:rsidRPr="00244534">
        <w:rPr>
          <w:rFonts w:ascii="ITC Avant Garde" w:hAnsi="ITC Avant Garde"/>
          <w:color w:val="5B9BD5" w:themeColor="accent1"/>
        </w:rPr>
        <w:t>, se adiciona e</w:t>
      </w:r>
      <w:r w:rsidR="000427ED" w:rsidRPr="00244534">
        <w:rPr>
          <w:rFonts w:ascii="ITC Avant Garde" w:hAnsi="ITC Avant Garde"/>
          <w:color w:val="5B9BD5" w:themeColor="accent1"/>
        </w:rPr>
        <w:t>l numeral 3 al</w:t>
      </w:r>
      <w:r w:rsidR="00FA020F" w:rsidRPr="00244534">
        <w:rPr>
          <w:rFonts w:ascii="ITC Avant Garde" w:hAnsi="ITC Avant Garde"/>
          <w:color w:val="5B9BD5" w:themeColor="accent1"/>
        </w:rPr>
        <w:t xml:space="preserve"> Subanexo C (</w:t>
      </w:r>
      <w:r w:rsidR="007A4E67" w:rsidRPr="00244534">
        <w:rPr>
          <w:rFonts w:ascii="ITC Avant Garde" w:hAnsi="ITC Avant Garde"/>
          <w:color w:val="5B9BD5" w:themeColor="accent1"/>
        </w:rPr>
        <w:t>Anexo II</w:t>
      </w:r>
      <w:r w:rsidR="00FA020F" w:rsidRPr="00244534">
        <w:rPr>
          <w:rFonts w:ascii="ITC Avant Garde" w:hAnsi="ITC Avant Garde"/>
          <w:color w:val="5B9BD5" w:themeColor="accent1"/>
        </w:rPr>
        <w:t>) para que se privilegie la conformación de LAC, RAC y TAC en zonas rurales y tramos carreteros:</w:t>
      </w:r>
    </w:p>
    <w:p w14:paraId="663F0A00" w14:textId="77777777" w:rsidR="00FA020F" w:rsidRPr="00244534" w:rsidRDefault="00FA020F" w:rsidP="005E5201">
      <w:pPr>
        <w:pStyle w:val="Prrafodelista"/>
        <w:spacing w:after="0" w:line="276" w:lineRule="auto"/>
        <w:ind w:left="0" w:right="0" w:firstLine="0"/>
        <w:rPr>
          <w:rFonts w:ascii="ITC Avant Garde" w:hAnsi="ITC Avant Garde"/>
          <w:color w:val="5B9BD5" w:themeColor="accent1"/>
        </w:rPr>
      </w:pPr>
    </w:p>
    <w:p w14:paraId="1B6F8881" w14:textId="77777777" w:rsidR="00FA020F" w:rsidRPr="00244534" w:rsidRDefault="007E3E5E" w:rsidP="00FA020F">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r w:rsidR="00FA020F" w:rsidRPr="00244534">
        <w:rPr>
          <w:rFonts w:ascii="ITC Avant Garde" w:eastAsia="Calibri" w:hAnsi="ITC Avant Garde" w:cs="Arial"/>
          <w:i/>
          <w:color w:val="5B9BD5" w:themeColor="accent1"/>
          <w:sz w:val="18"/>
          <w:szCs w:val="18"/>
          <w:lang w:eastAsia="en-US"/>
        </w:rPr>
        <w:t>Modificación de las Áreas de Servicio.</w:t>
      </w:r>
    </w:p>
    <w:p w14:paraId="20D482EC" w14:textId="77777777" w:rsidR="00FA020F" w:rsidRPr="00244534" w:rsidRDefault="00FA020F" w:rsidP="00FA020F">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13AF6B35" w14:textId="77777777" w:rsidR="00FA020F" w:rsidRPr="00244534" w:rsidRDefault="00FA020F" w:rsidP="00FA020F">
      <w:pPr>
        <w:pStyle w:val="Prrafodelista"/>
        <w:spacing w:after="0" w:line="276" w:lineRule="auto"/>
        <w:ind w:right="615" w:firstLine="0"/>
        <w:rPr>
          <w:rFonts w:ascii="ITC Avant Garde" w:eastAsia="Calibri" w:hAnsi="ITC Avant Garde" w:cs="Arial"/>
          <w:i/>
          <w:color w:val="5B9BD5" w:themeColor="accent1"/>
          <w:sz w:val="18"/>
          <w:szCs w:val="18"/>
          <w:u w:val="single"/>
          <w:lang w:eastAsia="en-US"/>
        </w:rPr>
      </w:pPr>
      <w:r w:rsidRPr="00244534">
        <w:rPr>
          <w:rFonts w:ascii="ITC Avant Garde" w:eastAsia="Calibri" w:hAnsi="ITC Avant Garde" w:cs="Arial"/>
          <w:i/>
          <w:color w:val="5B9BD5" w:themeColor="accent1"/>
          <w:sz w:val="18"/>
          <w:szCs w:val="18"/>
          <w:lang w:eastAsia="en-US"/>
        </w:rPr>
        <w:t>Telcel</w:t>
      </w:r>
      <w:r w:rsidR="007E3E5E" w:rsidRPr="00244534">
        <w:rPr>
          <w:rFonts w:ascii="ITC Avant Garde" w:eastAsia="Calibri" w:hAnsi="ITC Avant Garde" w:cs="Arial"/>
          <w:i/>
          <w:color w:val="5B9BD5" w:themeColor="accent1"/>
          <w:sz w:val="18"/>
          <w:szCs w:val="18"/>
          <w:lang w:eastAsia="en-US"/>
        </w:rPr>
        <w:t xml:space="preserve"> realizará la modificación de</w:t>
      </w:r>
      <w:r w:rsidRPr="00244534">
        <w:rPr>
          <w:rFonts w:ascii="ITC Avant Garde" w:eastAsia="Calibri" w:hAnsi="ITC Avant Garde" w:cs="Arial"/>
          <w:i/>
          <w:color w:val="5B9BD5" w:themeColor="accent1"/>
          <w:sz w:val="18"/>
          <w:szCs w:val="18"/>
          <w:lang w:eastAsia="en-US"/>
        </w:rPr>
        <w:t xml:space="preserve"> la configuración de sus LAC, RAC y TAC </w:t>
      </w:r>
      <w:r w:rsidR="007E3E5E" w:rsidRPr="00244534">
        <w:rPr>
          <w:rFonts w:ascii="ITC Avant Garde" w:eastAsia="Calibri" w:hAnsi="ITC Avant Garde" w:cs="Arial"/>
          <w:i/>
          <w:color w:val="5B9BD5" w:themeColor="accent1"/>
          <w:sz w:val="18"/>
          <w:szCs w:val="18"/>
          <w:lang w:eastAsia="en-US"/>
        </w:rPr>
        <w:t xml:space="preserve">en donde sea técnicamente factible </w:t>
      </w:r>
      <w:r w:rsidRPr="00244534">
        <w:rPr>
          <w:rFonts w:ascii="ITC Avant Garde" w:eastAsia="Calibri" w:hAnsi="ITC Avant Garde" w:cs="Arial"/>
          <w:i/>
          <w:color w:val="5B9BD5" w:themeColor="accent1"/>
          <w:sz w:val="18"/>
          <w:szCs w:val="18"/>
          <w:lang w:eastAsia="en-US"/>
        </w:rPr>
        <w:t>para atender las necesidades de los Concesionarios Solicitantes a fin de reducir traslapes de cobertura entre las redes de los Concesionarios y la Red de Telcel</w:t>
      </w:r>
      <w:r w:rsidRPr="00244534">
        <w:rPr>
          <w:rFonts w:ascii="ITC Avant Garde" w:eastAsia="Calibri" w:hAnsi="ITC Avant Garde" w:cs="Arial"/>
          <w:i/>
          <w:color w:val="5B9BD5" w:themeColor="accent1"/>
          <w:sz w:val="18"/>
          <w:szCs w:val="18"/>
          <w:u w:val="single"/>
          <w:lang w:eastAsia="en-US"/>
        </w:rPr>
        <w:t>. En particular se otorgará preferencia a la definición de LAC, RAC y TAC para la cobertura específica de tramos carreteros y zonas rurales.</w:t>
      </w:r>
      <w:r w:rsidR="007E3E5E" w:rsidRPr="00244534">
        <w:rPr>
          <w:rFonts w:ascii="ITC Avant Garde" w:eastAsia="Calibri" w:hAnsi="ITC Avant Garde" w:cs="Arial"/>
          <w:i/>
          <w:color w:val="5B9BD5" w:themeColor="accent1"/>
          <w:sz w:val="18"/>
          <w:szCs w:val="18"/>
          <w:u w:val="single"/>
          <w:lang w:eastAsia="en-US"/>
        </w:rPr>
        <w:t>”</w:t>
      </w:r>
    </w:p>
    <w:p w14:paraId="4BB09111" w14:textId="77777777" w:rsidR="007E3E5E" w:rsidRPr="00244534" w:rsidRDefault="007E3E5E" w:rsidP="00FA020F">
      <w:pPr>
        <w:pStyle w:val="Prrafodelista"/>
        <w:spacing w:after="0" w:line="276" w:lineRule="auto"/>
        <w:ind w:right="615" w:firstLine="0"/>
        <w:rPr>
          <w:rFonts w:ascii="ITC Avant Garde" w:eastAsia="Calibri" w:hAnsi="ITC Avant Garde" w:cs="Arial"/>
          <w:i/>
          <w:color w:val="5B9BD5" w:themeColor="accent1"/>
          <w:sz w:val="18"/>
          <w:szCs w:val="18"/>
          <w:u w:val="single"/>
          <w:lang w:eastAsia="en-US"/>
        </w:rPr>
      </w:pPr>
    </w:p>
    <w:p w14:paraId="4FBA1796" w14:textId="77777777" w:rsidR="007E3E5E" w:rsidRPr="00244534" w:rsidRDefault="007E3E5E" w:rsidP="007E3E5E">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3127AA3D" w14:textId="77777777" w:rsidR="00BA60A4" w:rsidRPr="00244534" w:rsidRDefault="00BA60A4" w:rsidP="005E5201">
      <w:pPr>
        <w:pStyle w:val="Prrafodelista"/>
        <w:spacing w:after="0" w:line="276" w:lineRule="auto"/>
        <w:ind w:left="0" w:right="0" w:firstLine="0"/>
        <w:rPr>
          <w:rFonts w:ascii="ITC Avant Garde" w:hAnsi="ITC Avant Garde"/>
          <w:color w:val="5B9BD5" w:themeColor="accent1"/>
        </w:rPr>
      </w:pPr>
    </w:p>
    <w:p w14:paraId="59BAAA58" w14:textId="77777777" w:rsidR="00BA60A4" w:rsidRPr="00244534" w:rsidRDefault="00CA65EE"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ANEXO VI Calidad del servicio</w:t>
      </w:r>
    </w:p>
    <w:p w14:paraId="6925D70B" w14:textId="77777777" w:rsidR="00BA60A4" w:rsidRPr="00244534" w:rsidRDefault="00BA60A4" w:rsidP="005E5201">
      <w:pPr>
        <w:spacing w:after="0" w:line="276" w:lineRule="auto"/>
        <w:ind w:left="0" w:right="0" w:firstLine="0"/>
        <w:rPr>
          <w:rFonts w:ascii="ITC Avant Garde" w:hAnsi="ITC Avant Garde"/>
          <w:b/>
          <w:color w:val="auto"/>
        </w:rPr>
      </w:pPr>
    </w:p>
    <w:p w14:paraId="6BB7C278" w14:textId="77777777" w:rsidR="00C0496B" w:rsidRPr="00244534" w:rsidRDefault="00807310"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C0496B" w:rsidRPr="00244534">
        <w:rPr>
          <w:rFonts w:ascii="ITC Avant Garde" w:hAnsi="ITC Avant Garde"/>
          <w:b/>
          <w:color w:val="auto"/>
        </w:rPr>
        <w:t>Televisa:</w:t>
      </w:r>
    </w:p>
    <w:p w14:paraId="03AC7101" w14:textId="77777777" w:rsidR="00C0496B" w:rsidRPr="00244534" w:rsidRDefault="00C0496B" w:rsidP="005E5201">
      <w:pPr>
        <w:spacing w:after="0" w:line="276" w:lineRule="auto"/>
        <w:ind w:left="0" w:right="0" w:firstLine="0"/>
        <w:rPr>
          <w:rFonts w:ascii="ITC Avant Garde" w:hAnsi="ITC Avant Garde"/>
          <w:b/>
          <w:color w:val="auto"/>
        </w:rPr>
      </w:pPr>
    </w:p>
    <w:p w14:paraId="0977ED23" w14:textId="77777777" w:rsidR="0002034F" w:rsidRPr="00244534" w:rsidRDefault="00CA65EE" w:rsidP="005E5201">
      <w:pPr>
        <w:spacing w:after="0" w:line="276" w:lineRule="auto"/>
        <w:ind w:left="0" w:right="0" w:firstLine="0"/>
        <w:rPr>
          <w:rFonts w:ascii="ITC Avant Garde" w:hAnsi="ITC Avant Garde"/>
          <w:color w:val="auto"/>
        </w:rPr>
      </w:pPr>
      <w:r w:rsidRPr="00244534">
        <w:rPr>
          <w:rFonts w:ascii="ITC Avant Garde" w:hAnsi="ITC Avant Garde"/>
          <w:color w:val="auto"/>
        </w:rPr>
        <w:t>S</w:t>
      </w:r>
      <w:r w:rsidR="0002034F" w:rsidRPr="00244534">
        <w:rPr>
          <w:rFonts w:ascii="ITC Avant Garde" w:hAnsi="ITC Avant Garde"/>
          <w:color w:val="auto"/>
        </w:rPr>
        <w:t>olicita un procedimiento de medición para monitorear y analizar</w:t>
      </w:r>
      <w:r w:rsidR="003D1EB1" w:rsidRPr="00244534">
        <w:rPr>
          <w:rFonts w:ascii="ITC Avant Garde" w:hAnsi="ITC Avant Garde"/>
          <w:color w:val="auto"/>
        </w:rPr>
        <w:t xml:space="preserve"> los niveles de </w:t>
      </w:r>
      <w:r w:rsidR="0002034F" w:rsidRPr="00244534">
        <w:rPr>
          <w:rFonts w:ascii="ITC Avant Garde" w:hAnsi="ITC Avant Garde"/>
          <w:color w:val="auto"/>
        </w:rPr>
        <w:t>calidad de los usuarios finales del concesionario</w:t>
      </w:r>
      <w:r w:rsidR="003D1EB1" w:rsidRPr="00244534">
        <w:rPr>
          <w:rFonts w:ascii="ITC Avant Garde" w:hAnsi="ITC Avant Garde"/>
          <w:color w:val="auto"/>
        </w:rPr>
        <w:t xml:space="preserve">, </w:t>
      </w:r>
      <w:r w:rsidR="00AA70C4" w:rsidRPr="00244534">
        <w:rPr>
          <w:rFonts w:ascii="ITC Avant Garde" w:hAnsi="ITC Avant Garde"/>
          <w:color w:val="auto"/>
        </w:rPr>
        <w:t xml:space="preserve">también solicita comparar estos resultados con los factores de desempeño ofrecidos a los propios clientes del AEP. </w:t>
      </w:r>
      <w:r w:rsidR="005405ED" w:rsidRPr="00244534">
        <w:rPr>
          <w:rFonts w:ascii="ITC Avant Garde" w:hAnsi="ITC Avant Garde"/>
          <w:color w:val="auto"/>
        </w:rPr>
        <w:t>Comenta que estos parámetros deben estar contenidos en un anexo sobre el acuerdo de nivel de servicio</w:t>
      </w:r>
      <w:r w:rsidR="007E7C1F" w:rsidRPr="00244534">
        <w:rPr>
          <w:rFonts w:ascii="ITC Avant Garde" w:hAnsi="ITC Avant Garde"/>
          <w:color w:val="auto"/>
        </w:rPr>
        <w:t xml:space="preserve"> y los cuales deben estar atados a penalidades predefinidas en caso de incumplimiento.</w:t>
      </w:r>
    </w:p>
    <w:p w14:paraId="58D10CEA" w14:textId="77777777" w:rsidR="0002034F" w:rsidRPr="00244534" w:rsidRDefault="0002034F" w:rsidP="005E5201">
      <w:pPr>
        <w:spacing w:after="0" w:line="276" w:lineRule="auto"/>
        <w:ind w:left="0" w:right="0" w:firstLine="0"/>
        <w:rPr>
          <w:rFonts w:ascii="ITC Avant Garde" w:hAnsi="ITC Avant Garde"/>
          <w:color w:val="auto"/>
        </w:rPr>
      </w:pPr>
    </w:p>
    <w:p w14:paraId="66E9457F"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1E1C06D6" w14:textId="77777777" w:rsidR="00F04FB4" w:rsidRPr="00244534" w:rsidRDefault="00F04FB4" w:rsidP="005E5201">
      <w:pPr>
        <w:spacing w:after="0" w:line="276" w:lineRule="auto"/>
        <w:ind w:left="0" w:right="0" w:firstLine="0"/>
        <w:rPr>
          <w:rFonts w:ascii="ITC Avant Garde" w:hAnsi="ITC Avant Garde"/>
          <w:color w:val="auto"/>
        </w:rPr>
      </w:pPr>
    </w:p>
    <w:p w14:paraId="343EF039" w14:textId="47FF0B0E" w:rsidR="00C0496B" w:rsidRPr="00244534" w:rsidRDefault="00CA65EE" w:rsidP="005E5201">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CB47D8" w:rsidRPr="00244534">
        <w:rPr>
          <w:rFonts w:ascii="ITC Avant Garde" w:hAnsi="ITC Avant Garde"/>
          <w:color w:val="5B9BD5" w:themeColor="accent1"/>
        </w:rPr>
        <w:t>,</w:t>
      </w:r>
      <w:r w:rsidRPr="00244534">
        <w:rPr>
          <w:rFonts w:ascii="ITC Avant Garde" w:hAnsi="ITC Avant Garde"/>
          <w:color w:val="5B9BD5" w:themeColor="accent1"/>
        </w:rPr>
        <w:t xml:space="preserve"> los lineamientos para el monitoreo y análisis de la calidad del servicio se encuentran contenidos en el</w:t>
      </w:r>
      <w:r w:rsidR="00A0760D" w:rsidRPr="00244534">
        <w:rPr>
          <w:rFonts w:ascii="ITC Avant Garde" w:hAnsi="ITC Avant Garde"/>
          <w:i/>
          <w:color w:val="5B9BD5" w:themeColor="accent1"/>
        </w:rPr>
        <w:t xml:space="preserve">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w:t>
      </w:r>
      <w:r w:rsidR="00A0760D" w:rsidRPr="00244534">
        <w:rPr>
          <w:rFonts w:ascii="ITC Avant Garde" w:hAnsi="ITC Avant Garde"/>
          <w:i/>
          <w:color w:val="5B9BD5" w:themeColor="accent1"/>
        </w:rPr>
        <w:lastRenderedPageBreak/>
        <w:t>AGOSTO DE 2011, ASÍ COMO LA METODOLOGÍA DE MEDICIONES DEL PLAN TÉCNICO FUNDAMENTAL DE CALIDAD DEL SERVICIO LOCAL MÓVIL PUBLICADA EN EL DIARIO OFICIAL DE LA FEDERACIÓN EL 27 DE JUNIO DE 2012”</w:t>
      </w:r>
      <w:r w:rsidR="00420047" w:rsidRPr="00244534">
        <w:rPr>
          <w:rFonts w:ascii="ITC Avant Garde" w:hAnsi="ITC Avant Garde"/>
          <w:color w:val="5B9BD5" w:themeColor="accent1"/>
        </w:rPr>
        <w:t>(en los sucesivo, los “Lineamientos Móviles”).</w:t>
      </w:r>
      <w:r w:rsidR="00BF2CD1" w:rsidRPr="00244534">
        <w:rPr>
          <w:rFonts w:ascii="ITC Avant Garde" w:hAnsi="ITC Avant Garde"/>
          <w:i/>
          <w:color w:val="5B9BD5" w:themeColor="accent1"/>
        </w:rPr>
        <w:t xml:space="preserve"> </w:t>
      </w:r>
      <w:r w:rsidR="00BF2CD1" w:rsidRPr="00244534">
        <w:rPr>
          <w:rFonts w:ascii="ITC Avant Garde" w:hAnsi="ITC Avant Garde"/>
          <w:color w:val="5B9BD5" w:themeColor="accent1"/>
        </w:rPr>
        <w:t>En este documento se establecen los parámetros de calidad que deben cumplir los concesionarios m</w:t>
      </w:r>
      <w:r w:rsidR="00794527" w:rsidRPr="00244534">
        <w:rPr>
          <w:rFonts w:ascii="ITC Avant Garde" w:hAnsi="ITC Avant Garde"/>
          <w:color w:val="5B9BD5" w:themeColor="accent1"/>
        </w:rPr>
        <w:t>óviles y las sanciones a las cuales serán acreedores por su in</w:t>
      </w:r>
      <w:r w:rsidR="005C5DB7" w:rsidRPr="00244534">
        <w:rPr>
          <w:rFonts w:ascii="ITC Avant Garde" w:hAnsi="ITC Avant Garde"/>
          <w:color w:val="5B9BD5" w:themeColor="accent1"/>
        </w:rPr>
        <w:t>cumplimiento, por lo cual no es necesario agregar el procedimiento de medición y monitoreo solicitado por el concesionario.</w:t>
      </w:r>
    </w:p>
    <w:p w14:paraId="6D928230" w14:textId="77777777" w:rsidR="00C0496B" w:rsidRPr="00244534" w:rsidRDefault="00C0496B" w:rsidP="005E5201">
      <w:pPr>
        <w:spacing w:after="0" w:line="276" w:lineRule="auto"/>
        <w:ind w:left="0" w:right="0" w:firstLine="0"/>
        <w:rPr>
          <w:rFonts w:ascii="ITC Avant Garde" w:hAnsi="ITC Avant Garde"/>
          <w:b/>
          <w:color w:val="auto"/>
        </w:rPr>
      </w:pPr>
    </w:p>
    <w:p w14:paraId="28995038" w14:textId="77777777" w:rsidR="00BA60A4" w:rsidRPr="00244534" w:rsidRDefault="00BA60A4" w:rsidP="005E5201">
      <w:pPr>
        <w:spacing w:after="0" w:line="276" w:lineRule="auto"/>
        <w:ind w:left="0" w:right="0" w:firstLine="0"/>
        <w:rPr>
          <w:rFonts w:ascii="ITC Avant Garde" w:hAnsi="ITC Avant Garde"/>
          <w:b/>
          <w:color w:val="auto"/>
        </w:rPr>
      </w:pPr>
      <w:r w:rsidRPr="00244534">
        <w:rPr>
          <w:rFonts w:ascii="ITC Avant Garde" w:hAnsi="ITC Avant Garde"/>
          <w:b/>
          <w:color w:val="auto"/>
        </w:rPr>
        <w:t>Telefónica</w:t>
      </w:r>
      <w:r w:rsidR="000B4F36" w:rsidRPr="00244534">
        <w:rPr>
          <w:rFonts w:ascii="ITC Avant Garde" w:hAnsi="ITC Avant Garde"/>
          <w:b/>
          <w:color w:val="auto"/>
        </w:rPr>
        <w:t>:</w:t>
      </w:r>
    </w:p>
    <w:p w14:paraId="1CA733A9" w14:textId="77777777" w:rsidR="00BA60A4" w:rsidRPr="00244534" w:rsidRDefault="00BA60A4" w:rsidP="005E5201">
      <w:pPr>
        <w:spacing w:after="0" w:line="276" w:lineRule="auto"/>
        <w:ind w:right="0"/>
        <w:rPr>
          <w:rFonts w:ascii="ITC Avant Garde" w:hAnsi="ITC Avant Garde"/>
          <w:b/>
          <w:color w:val="auto"/>
          <w:u w:val="single"/>
        </w:rPr>
      </w:pPr>
    </w:p>
    <w:p w14:paraId="5575A087" w14:textId="1E57E7E3" w:rsidR="00846CAB" w:rsidRPr="00244534" w:rsidRDefault="001D540C" w:rsidP="00846CAB">
      <w:pPr>
        <w:spacing w:after="0" w:line="276" w:lineRule="auto"/>
        <w:ind w:left="0" w:right="0" w:firstLine="0"/>
        <w:rPr>
          <w:rFonts w:ascii="ITC Avant Garde" w:hAnsi="ITC Avant Garde"/>
          <w:color w:val="auto"/>
        </w:rPr>
      </w:pPr>
      <w:r w:rsidRPr="00244534">
        <w:rPr>
          <w:rFonts w:ascii="ITC Avant Garde" w:hAnsi="ITC Avant Garde"/>
          <w:color w:val="auto"/>
        </w:rPr>
        <w:t>Indica</w:t>
      </w:r>
      <w:r w:rsidR="00846CAB" w:rsidRPr="00244534">
        <w:rPr>
          <w:rFonts w:ascii="ITC Avant Garde" w:hAnsi="ITC Avant Garde"/>
          <w:color w:val="auto"/>
        </w:rPr>
        <w:t xml:space="preserve"> que los factores que pueden afectar la calidad del servicio </w:t>
      </w:r>
      <w:r w:rsidR="00EA0B7F" w:rsidRPr="00244534">
        <w:rPr>
          <w:rFonts w:ascii="ITC Avant Garde" w:hAnsi="ITC Avant Garde"/>
          <w:color w:val="auto"/>
        </w:rPr>
        <w:t>no pueden ser abiertos y discrecionales y, por el contrario, debe tratarse de un catálogo restrictivo de errores. Señala que se han emitido códigos de rechazo erróneos en áreas ya en servicio, los cuales afectan el registro automático futuro de un usuario en un área permitida.</w:t>
      </w:r>
      <w:r w:rsidR="00F410C8" w:rsidRPr="00244534">
        <w:rPr>
          <w:rFonts w:ascii="ITC Avant Garde" w:hAnsi="ITC Avant Garde"/>
          <w:color w:val="auto"/>
        </w:rPr>
        <w:t xml:space="preserve"> Propone la adición del siguiente texto:</w:t>
      </w:r>
    </w:p>
    <w:p w14:paraId="1C9C357C" w14:textId="77777777" w:rsidR="00846CAB" w:rsidRPr="00244534" w:rsidRDefault="00846CAB" w:rsidP="005E5201">
      <w:pPr>
        <w:widowControl w:val="0"/>
        <w:autoSpaceDE w:val="0"/>
        <w:autoSpaceDN w:val="0"/>
        <w:adjustRightInd w:val="0"/>
        <w:spacing w:after="0" w:line="240" w:lineRule="auto"/>
        <w:ind w:left="0" w:right="0" w:firstLine="0"/>
        <w:rPr>
          <w:rFonts w:ascii="ITC Avant Garde" w:hAnsi="ITC Avant Garde"/>
          <w:color w:val="auto"/>
        </w:rPr>
      </w:pPr>
    </w:p>
    <w:p w14:paraId="2FBC92BD" w14:textId="77777777" w:rsidR="00BA60A4" w:rsidRPr="00244534" w:rsidRDefault="00D7075F" w:rsidP="00CA65EE">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 xml:space="preserve"> “...Para efectos de intentos de registro en una LAC o Localidad no permitida, Telcel propagará la causa de rechazo “Roaming not allowed in this LA” Reject Cause #XX para 2G y 3G y “Tracking Area No Allowed” Reject Cause Code #12 para 4G, esto para garantizar que al cambiar de LAC/TAC o Región haga reintentos de registro de manera automática y se registre a una LAC o Región permitida de Telcel o a la red del Concesionario Solicitante y sea posible que el Us</w:t>
      </w:r>
      <w:r w:rsidR="00CA65EE" w:rsidRPr="00244534">
        <w:rPr>
          <w:rFonts w:ascii="ITC Avant Garde" w:eastAsia="Calibri" w:hAnsi="ITC Avant Garde" w:cs="Arial"/>
          <w:i/>
          <w:color w:val="auto"/>
          <w:sz w:val="18"/>
          <w:szCs w:val="18"/>
          <w:lang w:eastAsia="en-US"/>
        </w:rPr>
        <w:t xml:space="preserve">uario final tenga servicio...” </w:t>
      </w:r>
    </w:p>
    <w:p w14:paraId="70563B71" w14:textId="77777777" w:rsidR="00F84A4E" w:rsidRPr="00244534" w:rsidRDefault="00F84A4E" w:rsidP="005E5201">
      <w:pPr>
        <w:pStyle w:val="Prrafodelista"/>
        <w:spacing w:after="0" w:line="276" w:lineRule="auto"/>
        <w:ind w:left="0" w:right="0" w:firstLine="0"/>
        <w:rPr>
          <w:rFonts w:ascii="ITC Avant Garde" w:hAnsi="ITC Avant Garde"/>
          <w:color w:val="5B9BD5" w:themeColor="accent1"/>
        </w:rPr>
      </w:pPr>
    </w:p>
    <w:p w14:paraId="373355A3"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7692428" w14:textId="77777777" w:rsidR="00F04FB4" w:rsidRPr="00244534" w:rsidRDefault="00F04FB4" w:rsidP="005E5201">
      <w:pPr>
        <w:pStyle w:val="Prrafodelista"/>
        <w:spacing w:after="0" w:line="276" w:lineRule="auto"/>
        <w:ind w:left="0" w:right="0" w:firstLine="0"/>
        <w:rPr>
          <w:rFonts w:ascii="ITC Avant Garde" w:hAnsi="ITC Avant Garde"/>
          <w:color w:val="5B9BD5" w:themeColor="accent1"/>
        </w:rPr>
      </w:pPr>
    </w:p>
    <w:p w14:paraId="279CF97C" w14:textId="77777777" w:rsidR="00F84A4E" w:rsidRPr="00244534" w:rsidRDefault="00432C0D" w:rsidP="00DA0F6F">
      <w:pPr>
        <w:pStyle w:val="Prrafodelista"/>
        <w:numPr>
          <w:ilvl w:val="0"/>
          <w:numId w:val="3"/>
        </w:num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El Instituto incorpora el Subanexo E “Proceso de Pruebas” al Anexo II “Acuerdo Técnicos”, en el cual se detallan las pruebas a realizar de forma previa al lanzamiento comercial de los Servicios de la Oferta. En este se</w:t>
      </w:r>
      <w:r w:rsidR="00AA04C9" w:rsidRPr="00244534">
        <w:rPr>
          <w:rFonts w:ascii="ITC Avant Garde" w:hAnsi="ITC Avant Garde"/>
          <w:color w:val="5B9BD5" w:themeColor="accent1"/>
        </w:rPr>
        <w:t xml:space="preserve"> incluye la prueba de rechazo de servicio</w:t>
      </w:r>
      <w:r w:rsidR="00CA65EE" w:rsidRPr="00244534">
        <w:rPr>
          <w:rFonts w:ascii="ITC Avant Garde" w:hAnsi="ITC Avant Garde"/>
          <w:color w:val="5B9BD5" w:themeColor="accent1"/>
        </w:rPr>
        <w:t>, que tiene por objetivo confirmar el correcto funcionamiento del servicio de tal forma que la Terminal de CONCESIONARIO no pierda servicio o se comporte de manera irregular al ser rechazado en el intento de Registro hacia la red de TELCEL</w:t>
      </w:r>
      <w:r w:rsidR="00AA04C9" w:rsidRPr="00244534">
        <w:rPr>
          <w:rFonts w:ascii="ITC Avant Garde" w:hAnsi="ITC Avant Garde"/>
          <w:color w:val="5B9BD5" w:themeColor="accent1"/>
        </w:rPr>
        <w:t>:</w:t>
      </w:r>
    </w:p>
    <w:p w14:paraId="4C1BD38D" w14:textId="77777777" w:rsidR="00AA04C9" w:rsidRPr="00244534" w:rsidRDefault="00AA04C9" w:rsidP="005E5201">
      <w:pPr>
        <w:pStyle w:val="Prrafodelista"/>
        <w:spacing w:after="0" w:line="276" w:lineRule="auto"/>
        <w:ind w:left="0" w:right="0" w:firstLine="0"/>
        <w:rPr>
          <w:rFonts w:ascii="ITC Avant Garde" w:hAnsi="ITC Avant Garde"/>
          <w:color w:val="5B9BD5" w:themeColor="accent1"/>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390"/>
        <w:gridCol w:w="4445"/>
      </w:tblGrid>
      <w:tr w:rsidR="00AA04C9" w:rsidRPr="00244534" w14:paraId="45DEBAD5" w14:textId="77777777" w:rsidTr="00FF72BF">
        <w:trPr>
          <w:jc w:val="center"/>
        </w:trPr>
        <w:tc>
          <w:tcPr>
            <w:tcW w:w="2055" w:type="dxa"/>
          </w:tcPr>
          <w:p w14:paraId="628FA954"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Objetivo</w:t>
            </w:r>
          </w:p>
        </w:tc>
        <w:tc>
          <w:tcPr>
            <w:tcW w:w="6835" w:type="dxa"/>
            <w:gridSpan w:val="2"/>
          </w:tcPr>
          <w:p w14:paraId="3C5FE4F1" w14:textId="77777777" w:rsidR="00AA04C9" w:rsidRPr="00244534" w:rsidRDefault="00AA04C9" w:rsidP="00F90C6D">
            <w:pPr>
              <w:rPr>
                <w:rFonts w:ascii="ITC Avant Garde" w:hAnsi="ITC Avant Garde"/>
                <w:color w:val="5B9BD5" w:themeColor="accent1"/>
                <w:sz w:val="18"/>
                <w:szCs w:val="18"/>
                <w:u w:val="single"/>
              </w:rPr>
            </w:pPr>
            <w:r w:rsidRPr="00244534">
              <w:rPr>
                <w:rFonts w:ascii="ITC Avant Garde" w:hAnsi="ITC Avant Garde"/>
                <w:color w:val="5B9BD5" w:themeColor="accent1"/>
                <w:sz w:val="18"/>
                <w:szCs w:val="18"/>
                <w:u w:val="single"/>
              </w:rPr>
              <w:t>Confirmar que la Terminal de CONCESIONARIO no pierda servicio o se comporte de manera irregular al ser rechazado en el intento de Registro hacia la red de TELCEL.</w:t>
            </w:r>
          </w:p>
        </w:tc>
      </w:tr>
      <w:tr w:rsidR="00AA04C9" w:rsidRPr="00244534" w14:paraId="3CF817BE" w14:textId="77777777" w:rsidTr="00FF72BF">
        <w:trPr>
          <w:jc w:val="center"/>
        </w:trPr>
        <w:tc>
          <w:tcPr>
            <w:tcW w:w="2055" w:type="dxa"/>
          </w:tcPr>
          <w:p w14:paraId="0CB24996"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Preparación</w:t>
            </w:r>
          </w:p>
        </w:tc>
        <w:tc>
          <w:tcPr>
            <w:tcW w:w="6835" w:type="dxa"/>
            <w:gridSpan w:val="2"/>
          </w:tcPr>
          <w:p w14:paraId="2EBDA88E"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Instalar la SIM de CONCESIONARIO en terminal de pruebas e intentar el Registro en una Zona con rechazo número #13 configurado en la Central de Telcel</w:t>
            </w:r>
          </w:p>
        </w:tc>
      </w:tr>
      <w:tr w:rsidR="00AA04C9" w:rsidRPr="00244534" w14:paraId="2456ACFF" w14:textId="77777777" w:rsidTr="00FF72BF">
        <w:trPr>
          <w:jc w:val="center"/>
        </w:trPr>
        <w:tc>
          <w:tcPr>
            <w:tcW w:w="2055" w:type="dxa"/>
          </w:tcPr>
          <w:p w14:paraId="14B3AACB"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Procedimiento</w:t>
            </w:r>
          </w:p>
        </w:tc>
        <w:tc>
          <w:tcPr>
            <w:tcW w:w="6835" w:type="dxa"/>
            <w:gridSpan w:val="2"/>
          </w:tcPr>
          <w:p w14:paraId="4BABEE42"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 xml:space="preserve">Encender el terminal de pruebas con la SIM de CONCESIONARIO instalada y esperar un registro automático en la red de TELCEL </w:t>
            </w:r>
            <w:r w:rsidRPr="00244534">
              <w:rPr>
                <w:rFonts w:ascii="ITC Avant Garde" w:hAnsi="ITC Avant Garde"/>
                <w:i/>
                <w:color w:val="5B9BD5" w:themeColor="accent1"/>
                <w:sz w:val="18"/>
                <w:szCs w:val="18"/>
              </w:rPr>
              <w:t>(No se espera registro automático)</w:t>
            </w:r>
          </w:p>
          <w:p w14:paraId="1DE042E1"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lastRenderedPageBreak/>
              <w:t>Si no se logra un registro de manera automática en la red de TELCEL confirmar que se registre en la Red de CONCESIONARIO.</w:t>
            </w:r>
          </w:p>
          <w:p w14:paraId="3F72709A"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Realizar un intento de registro manual desde el terminal CONCESIONARIO hacia la red de TELCEL y confirmar que se revive el Código de Rechazo #13</w:t>
            </w:r>
          </w:p>
        </w:tc>
      </w:tr>
      <w:tr w:rsidR="00AA04C9" w:rsidRPr="00244534" w14:paraId="334D37CF" w14:textId="77777777" w:rsidTr="00FF72BF">
        <w:trPr>
          <w:cantSplit/>
          <w:trHeight w:val="215"/>
          <w:jc w:val="center"/>
        </w:trPr>
        <w:tc>
          <w:tcPr>
            <w:tcW w:w="2055" w:type="dxa"/>
            <w:tcBorders>
              <w:bottom w:val="single" w:sz="4" w:space="0" w:color="auto"/>
            </w:tcBorders>
          </w:tcPr>
          <w:p w14:paraId="2C377F71"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lastRenderedPageBreak/>
              <w:t>Resultado Esperado</w:t>
            </w:r>
          </w:p>
        </w:tc>
        <w:tc>
          <w:tcPr>
            <w:tcW w:w="6835" w:type="dxa"/>
            <w:gridSpan w:val="2"/>
            <w:tcBorders>
              <w:bottom w:val="single" w:sz="4" w:space="0" w:color="auto"/>
            </w:tcBorders>
          </w:tcPr>
          <w:p w14:paraId="6820CC7E" w14:textId="77777777" w:rsidR="00AA04C9" w:rsidRPr="00244534" w:rsidRDefault="00AA04C9" w:rsidP="00F90C6D">
            <w:pPr>
              <w:pStyle w:val="Encabezado"/>
              <w:rPr>
                <w:rFonts w:ascii="ITC Avant Garde" w:hAnsi="ITC Avant Garde"/>
                <w:color w:val="5B9BD5" w:themeColor="accent1"/>
                <w:sz w:val="18"/>
                <w:szCs w:val="18"/>
              </w:rPr>
            </w:pPr>
            <w:r w:rsidRPr="00244534">
              <w:rPr>
                <w:rFonts w:ascii="ITC Avant Garde" w:hAnsi="ITC Avant Garde"/>
                <w:color w:val="5B9BD5" w:themeColor="accent1"/>
                <w:sz w:val="18"/>
                <w:szCs w:val="18"/>
              </w:rPr>
              <w:t>No se espera un Registro Exitoso bajo la Red de Telcel</w:t>
            </w:r>
          </w:p>
          <w:p w14:paraId="4D51F1B0" w14:textId="77777777" w:rsidR="00AA04C9" w:rsidRPr="00244534" w:rsidRDefault="00AA04C9" w:rsidP="00F90C6D">
            <w:pPr>
              <w:pStyle w:val="Encabezado"/>
              <w:rPr>
                <w:rFonts w:ascii="ITC Avant Garde" w:hAnsi="ITC Avant Garde"/>
                <w:color w:val="5B9BD5" w:themeColor="accent1"/>
                <w:sz w:val="18"/>
                <w:szCs w:val="18"/>
              </w:rPr>
            </w:pPr>
          </w:p>
          <w:p w14:paraId="5BB1C6B3" w14:textId="77777777" w:rsidR="00AA04C9" w:rsidRPr="00244534" w:rsidRDefault="00AA04C9" w:rsidP="00F90C6D">
            <w:pPr>
              <w:pStyle w:val="Encabezado"/>
              <w:rPr>
                <w:rFonts w:ascii="ITC Avant Garde" w:hAnsi="ITC Avant Garde"/>
                <w:color w:val="5B9BD5" w:themeColor="accent1"/>
                <w:sz w:val="18"/>
                <w:szCs w:val="18"/>
              </w:rPr>
            </w:pPr>
            <w:r w:rsidRPr="00244534">
              <w:rPr>
                <w:rFonts w:ascii="ITC Avant Garde" w:hAnsi="ITC Avant Garde"/>
                <w:color w:val="5B9BD5" w:themeColor="accent1"/>
                <w:sz w:val="18"/>
                <w:szCs w:val="18"/>
              </w:rPr>
              <w:t>Confirmar que se recibe el Código de Rechazo #13 (Reject Cause Code #13 - Roaming not allowed in this Location Area)</w:t>
            </w:r>
          </w:p>
          <w:p w14:paraId="4E20B218" w14:textId="77777777" w:rsidR="00AA04C9" w:rsidRPr="00244534" w:rsidRDefault="00AA04C9" w:rsidP="00F90C6D">
            <w:pPr>
              <w:pStyle w:val="Encabezado"/>
              <w:rPr>
                <w:rFonts w:ascii="ITC Avant Garde" w:hAnsi="ITC Avant Garde"/>
                <w:color w:val="5B9BD5" w:themeColor="accent1"/>
                <w:sz w:val="18"/>
                <w:szCs w:val="18"/>
              </w:rPr>
            </w:pPr>
          </w:p>
          <w:p w14:paraId="575D203A" w14:textId="77777777" w:rsidR="00AA04C9" w:rsidRPr="00244534" w:rsidRDefault="00AA04C9" w:rsidP="00F90C6D">
            <w:pPr>
              <w:pStyle w:val="Encabezado"/>
              <w:rPr>
                <w:rFonts w:ascii="ITC Avant Garde" w:hAnsi="ITC Avant Garde"/>
                <w:color w:val="5B9BD5" w:themeColor="accent1"/>
                <w:sz w:val="18"/>
                <w:szCs w:val="18"/>
              </w:rPr>
            </w:pPr>
            <w:r w:rsidRPr="00244534">
              <w:rPr>
                <w:rFonts w:ascii="ITC Avant Garde" w:hAnsi="ITC Avant Garde"/>
                <w:color w:val="5B9BD5" w:themeColor="accent1"/>
                <w:sz w:val="18"/>
                <w:szCs w:val="18"/>
              </w:rPr>
              <w:t>Que la lista de Redes Prohibidas no se vea afectada la PLMN de Telcel (Un código de rechazo diferente podría afectar esta lista añadiendo a la PLMN de Telcel imposibilitando el Roaming)</w:t>
            </w:r>
          </w:p>
          <w:p w14:paraId="2AAA4549" w14:textId="77777777" w:rsidR="00AA04C9" w:rsidRPr="00244534" w:rsidRDefault="00AA04C9" w:rsidP="00F90C6D">
            <w:pPr>
              <w:pStyle w:val="Encabezado"/>
              <w:rPr>
                <w:rFonts w:ascii="ITC Avant Garde" w:hAnsi="ITC Avant Garde"/>
                <w:color w:val="5B9BD5" w:themeColor="accent1"/>
                <w:sz w:val="18"/>
                <w:szCs w:val="18"/>
              </w:rPr>
            </w:pPr>
          </w:p>
          <w:p w14:paraId="6130D0CB" w14:textId="77777777" w:rsidR="00AA04C9" w:rsidRPr="00244534" w:rsidRDefault="00AA04C9" w:rsidP="00F90C6D">
            <w:pPr>
              <w:pStyle w:val="Encabezado"/>
              <w:rPr>
                <w:rFonts w:ascii="ITC Avant Garde" w:hAnsi="ITC Avant Garde"/>
                <w:color w:val="5B9BD5" w:themeColor="accent1"/>
                <w:sz w:val="18"/>
                <w:szCs w:val="18"/>
              </w:rPr>
            </w:pPr>
            <w:r w:rsidRPr="00244534">
              <w:rPr>
                <w:rFonts w:ascii="ITC Avant Garde" w:hAnsi="ITC Avant Garde"/>
                <w:color w:val="5B9BD5" w:themeColor="accent1"/>
                <w:sz w:val="18"/>
                <w:szCs w:val="18"/>
              </w:rPr>
              <w:t>Que el terminal pueda registrarse en la red Home (CONCESIONARIO) después de recibir el Código de Rechazo #13</w:t>
            </w:r>
          </w:p>
          <w:p w14:paraId="28C6DC55" w14:textId="77777777" w:rsidR="00AA04C9" w:rsidRPr="00244534" w:rsidRDefault="00AA04C9" w:rsidP="00F90C6D">
            <w:pPr>
              <w:pStyle w:val="Encabezado"/>
              <w:rPr>
                <w:rFonts w:ascii="ITC Avant Garde" w:hAnsi="ITC Avant Garde"/>
                <w:color w:val="5B9BD5" w:themeColor="accent1"/>
                <w:sz w:val="18"/>
                <w:szCs w:val="18"/>
              </w:rPr>
            </w:pPr>
          </w:p>
          <w:p w14:paraId="6FFF6186" w14:textId="77777777" w:rsidR="00AA04C9" w:rsidRPr="00244534" w:rsidRDefault="00AA04C9" w:rsidP="00F90C6D">
            <w:pPr>
              <w:pStyle w:val="Encabezado"/>
              <w:rPr>
                <w:rFonts w:ascii="ITC Avant Garde" w:hAnsi="ITC Avant Garde"/>
                <w:color w:val="5B9BD5" w:themeColor="accent1"/>
                <w:sz w:val="18"/>
                <w:szCs w:val="18"/>
              </w:rPr>
            </w:pPr>
            <w:r w:rsidRPr="00244534">
              <w:rPr>
                <w:rFonts w:ascii="ITC Avant Garde" w:hAnsi="ITC Avant Garde"/>
                <w:color w:val="5B9BD5" w:themeColor="accent1"/>
                <w:sz w:val="18"/>
                <w:szCs w:val="18"/>
              </w:rPr>
              <w:t>Que el terminal no se vea afectado con este código de rechazo</w:t>
            </w:r>
          </w:p>
        </w:tc>
      </w:tr>
      <w:tr w:rsidR="00AA04C9" w:rsidRPr="00244534" w14:paraId="4677C858" w14:textId="77777777" w:rsidTr="00FF72BF">
        <w:trPr>
          <w:trHeight w:val="287"/>
          <w:jc w:val="center"/>
        </w:trPr>
        <w:tc>
          <w:tcPr>
            <w:tcW w:w="2055" w:type="dxa"/>
          </w:tcPr>
          <w:p w14:paraId="3462C9DB"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Resultado Obtenido</w:t>
            </w:r>
          </w:p>
        </w:tc>
        <w:tc>
          <w:tcPr>
            <w:tcW w:w="6835" w:type="dxa"/>
            <w:gridSpan w:val="2"/>
          </w:tcPr>
          <w:p w14:paraId="4CE69F3D" w14:textId="77777777" w:rsidR="00AA04C9" w:rsidRPr="00244534" w:rsidRDefault="00AA04C9" w:rsidP="00F90C6D">
            <w:pPr>
              <w:rPr>
                <w:rFonts w:ascii="ITC Avant Garde" w:hAnsi="ITC Avant Garde"/>
                <w:color w:val="5B9BD5" w:themeColor="accent1"/>
                <w:sz w:val="18"/>
                <w:szCs w:val="18"/>
              </w:rPr>
            </w:pPr>
          </w:p>
        </w:tc>
      </w:tr>
      <w:tr w:rsidR="00AA04C9" w:rsidRPr="00244534" w14:paraId="1B82B48C" w14:textId="77777777" w:rsidTr="00FF72BF">
        <w:trPr>
          <w:jc w:val="center"/>
        </w:trPr>
        <w:tc>
          <w:tcPr>
            <w:tcW w:w="2055" w:type="dxa"/>
          </w:tcPr>
          <w:p w14:paraId="7C4DA1FF"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color w:val="5B9BD5" w:themeColor="accent1"/>
                <w:sz w:val="18"/>
                <w:szCs w:val="18"/>
              </w:rPr>
              <w:t>Comentarios</w:t>
            </w:r>
          </w:p>
        </w:tc>
        <w:tc>
          <w:tcPr>
            <w:tcW w:w="6835" w:type="dxa"/>
            <w:gridSpan w:val="2"/>
          </w:tcPr>
          <w:p w14:paraId="494C9F29" w14:textId="77777777" w:rsidR="00AA04C9" w:rsidRPr="00244534" w:rsidRDefault="00AA04C9" w:rsidP="00F90C6D">
            <w:pPr>
              <w:rPr>
                <w:rFonts w:ascii="ITC Avant Garde" w:hAnsi="ITC Avant Garde"/>
                <w:color w:val="5B9BD5" w:themeColor="accent1"/>
                <w:sz w:val="18"/>
                <w:szCs w:val="18"/>
              </w:rPr>
            </w:pPr>
          </w:p>
        </w:tc>
      </w:tr>
      <w:tr w:rsidR="00AA04C9" w:rsidRPr="00244534" w14:paraId="4092C096" w14:textId="77777777" w:rsidTr="00FF72BF">
        <w:trPr>
          <w:jc w:val="center"/>
        </w:trPr>
        <w:tc>
          <w:tcPr>
            <w:tcW w:w="4445" w:type="dxa"/>
            <w:gridSpan w:val="2"/>
          </w:tcPr>
          <w:p w14:paraId="005531BC" w14:textId="77777777" w:rsidR="00AA04C9" w:rsidRPr="00244534" w:rsidRDefault="00AA04C9" w:rsidP="00F90C6D">
            <w:pPr>
              <w:rPr>
                <w:rFonts w:ascii="ITC Avant Garde" w:hAnsi="ITC Avant Garde"/>
                <w:bCs/>
                <w:color w:val="5B9BD5" w:themeColor="accent1"/>
                <w:sz w:val="18"/>
                <w:szCs w:val="18"/>
              </w:rPr>
            </w:pPr>
            <w:r w:rsidRPr="00244534">
              <w:rPr>
                <w:rFonts w:ascii="ITC Avant Garde" w:hAnsi="ITC Avant Garde"/>
                <w:bCs/>
                <w:color w:val="5B9BD5" w:themeColor="accent1"/>
                <w:sz w:val="18"/>
                <w:szCs w:val="18"/>
              </w:rPr>
              <w:t>Realizado por:</w:t>
            </w:r>
          </w:p>
        </w:tc>
        <w:tc>
          <w:tcPr>
            <w:tcW w:w="4445" w:type="dxa"/>
          </w:tcPr>
          <w:p w14:paraId="5F61A8BA"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bCs/>
                <w:color w:val="5B9BD5" w:themeColor="accent1"/>
                <w:sz w:val="18"/>
                <w:szCs w:val="18"/>
              </w:rPr>
              <w:t>Fecha:</w:t>
            </w:r>
          </w:p>
        </w:tc>
      </w:tr>
      <w:tr w:rsidR="00AA04C9" w:rsidRPr="00244534" w14:paraId="2638036E" w14:textId="77777777" w:rsidTr="00FF72BF">
        <w:trPr>
          <w:jc w:val="center"/>
        </w:trPr>
        <w:tc>
          <w:tcPr>
            <w:tcW w:w="4445" w:type="dxa"/>
            <w:gridSpan w:val="2"/>
            <w:tcBorders>
              <w:top w:val="single" w:sz="4" w:space="0" w:color="auto"/>
              <w:left w:val="single" w:sz="4" w:space="0" w:color="auto"/>
              <w:bottom w:val="single" w:sz="4" w:space="0" w:color="auto"/>
              <w:right w:val="single" w:sz="4" w:space="0" w:color="auto"/>
            </w:tcBorders>
          </w:tcPr>
          <w:p w14:paraId="58F31AA0" w14:textId="77777777" w:rsidR="00AA04C9" w:rsidRPr="00244534" w:rsidRDefault="00AA04C9" w:rsidP="00F90C6D">
            <w:pPr>
              <w:rPr>
                <w:rFonts w:ascii="ITC Avant Garde" w:hAnsi="ITC Avant Garde"/>
                <w:bCs/>
                <w:color w:val="5B9BD5" w:themeColor="accent1"/>
                <w:sz w:val="18"/>
                <w:szCs w:val="18"/>
              </w:rPr>
            </w:pPr>
            <w:r w:rsidRPr="00244534">
              <w:rPr>
                <w:rFonts w:ascii="ITC Avant Garde" w:hAnsi="ITC Avant Garde"/>
                <w:bCs/>
                <w:color w:val="5B9BD5" w:themeColor="accent1"/>
                <w:sz w:val="18"/>
                <w:szCs w:val="18"/>
              </w:rPr>
              <w:t>Probado por::</w:t>
            </w:r>
          </w:p>
        </w:tc>
        <w:tc>
          <w:tcPr>
            <w:tcW w:w="4445" w:type="dxa"/>
            <w:tcBorders>
              <w:top w:val="single" w:sz="4" w:space="0" w:color="auto"/>
              <w:left w:val="single" w:sz="4" w:space="0" w:color="auto"/>
              <w:bottom w:val="single" w:sz="4" w:space="0" w:color="auto"/>
              <w:right w:val="single" w:sz="4" w:space="0" w:color="auto"/>
            </w:tcBorders>
          </w:tcPr>
          <w:p w14:paraId="015147B1" w14:textId="77777777" w:rsidR="00AA04C9" w:rsidRPr="00244534" w:rsidRDefault="00AA04C9" w:rsidP="00F90C6D">
            <w:pPr>
              <w:rPr>
                <w:rFonts w:ascii="ITC Avant Garde" w:hAnsi="ITC Avant Garde"/>
                <w:color w:val="5B9BD5" w:themeColor="accent1"/>
                <w:sz w:val="18"/>
                <w:szCs w:val="18"/>
              </w:rPr>
            </w:pPr>
            <w:r w:rsidRPr="00244534">
              <w:rPr>
                <w:rFonts w:ascii="ITC Avant Garde" w:hAnsi="ITC Avant Garde"/>
                <w:bCs/>
                <w:color w:val="5B9BD5" w:themeColor="accent1"/>
                <w:sz w:val="18"/>
                <w:szCs w:val="18"/>
              </w:rPr>
              <w:t>Verificado por:</w:t>
            </w:r>
          </w:p>
        </w:tc>
      </w:tr>
    </w:tbl>
    <w:p w14:paraId="4DE85A4B" w14:textId="77777777" w:rsidR="00AA04C9" w:rsidRPr="00244534" w:rsidRDefault="00AA04C9" w:rsidP="005E5201">
      <w:pPr>
        <w:pStyle w:val="Prrafodelista"/>
        <w:spacing w:after="0" w:line="276" w:lineRule="auto"/>
        <w:ind w:left="0" w:right="0" w:firstLine="0"/>
        <w:rPr>
          <w:rFonts w:ascii="ITC Avant Garde" w:hAnsi="ITC Avant Garde"/>
          <w:color w:val="5B9BD5" w:themeColor="accent1"/>
        </w:rPr>
      </w:pPr>
    </w:p>
    <w:p w14:paraId="65DCD196" w14:textId="77777777" w:rsidR="00BB3CE5" w:rsidRPr="00244534" w:rsidRDefault="00BB3CE5" w:rsidP="00C0496B">
      <w:pPr>
        <w:pStyle w:val="Prrafodelista"/>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 xml:space="preserve">Numeral 7. </w:t>
      </w:r>
      <w:r w:rsidRPr="00244534">
        <w:rPr>
          <w:rFonts w:ascii="ITC Avant Garde" w:hAnsi="ITC Avant Garde" w:cs="Arial"/>
          <w:b/>
          <w:u w:val="single"/>
        </w:rPr>
        <w:t>Proyecciones de Demanda y sus implicaciones en la Calidad del Servicio.</w:t>
      </w:r>
    </w:p>
    <w:p w14:paraId="63616405" w14:textId="77777777" w:rsidR="00BB3CE5" w:rsidRPr="00244534" w:rsidRDefault="00BB3CE5" w:rsidP="00BB3CE5">
      <w:pPr>
        <w:spacing w:after="0" w:line="276" w:lineRule="auto"/>
        <w:ind w:left="0" w:right="0" w:firstLine="0"/>
        <w:rPr>
          <w:rFonts w:ascii="ITC Avant Garde" w:hAnsi="ITC Avant Garde"/>
          <w:b/>
          <w:color w:val="auto"/>
        </w:rPr>
      </w:pPr>
    </w:p>
    <w:p w14:paraId="2A470FAD" w14:textId="77777777" w:rsidR="00BB3CE5" w:rsidRPr="00244534" w:rsidRDefault="00807310" w:rsidP="00BB3CE5">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BB3CE5" w:rsidRPr="00244534">
        <w:rPr>
          <w:rFonts w:ascii="ITC Avant Garde" w:hAnsi="ITC Avant Garde"/>
          <w:b/>
          <w:color w:val="auto"/>
        </w:rPr>
        <w:t>Televisa:</w:t>
      </w:r>
    </w:p>
    <w:p w14:paraId="03311CFE" w14:textId="77777777" w:rsidR="00BB3CE5" w:rsidRPr="00244534" w:rsidRDefault="00BB3CE5" w:rsidP="00BB3CE5">
      <w:pPr>
        <w:spacing w:after="0" w:line="276" w:lineRule="auto"/>
        <w:ind w:right="0"/>
        <w:rPr>
          <w:rFonts w:ascii="ITC Avant Garde" w:hAnsi="ITC Avant Garde"/>
          <w:color w:val="auto"/>
        </w:rPr>
      </w:pPr>
    </w:p>
    <w:p w14:paraId="0E31F825" w14:textId="7E750B9A" w:rsidR="00586279" w:rsidRPr="00244534" w:rsidRDefault="001D540C" w:rsidP="005E5201">
      <w:pPr>
        <w:spacing w:after="0" w:line="276" w:lineRule="auto"/>
        <w:ind w:right="0"/>
        <w:rPr>
          <w:rFonts w:ascii="ITC Avant Garde" w:hAnsi="ITC Avant Garde"/>
          <w:color w:val="auto"/>
        </w:rPr>
      </w:pPr>
      <w:r w:rsidRPr="00244534">
        <w:rPr>
          <w:rFonts w:ascii="ITC Avant Garde" w:hAnsi="ITC Avant Garde"/>
          <w:color w:val="auto"/>
        </w:rPr>
        <w:t xml:space="preserve">Menciona </w:t>
      </w:r>
      <w:r w:rsidR="00586279" w:rsidRPr="00244534">
        <w:rPr>
          <w:rFonts w:ascii="ITC Avant Garde" w:hAnsi="ITC Avant Garde"/>
          <w:color w:val="auto"/>
        </w:rPr>
        <w:t>que la suspensión parcial o total de los servicios de la oferta</w:t>
      </w:r>
      <w:r w:rsidR="001035CC" w:rsidRPr="00244534">
        <w:rPr>
          <w:rFonts w:ascii="ITC Avant Garde" w:hAnsi="ITC Avant Garde"/>
          <w:color w:val="auto"/>
        </w:rPr>
        <w:t xml:space="preserve"> en caso de que el tráfico exceda las proyecciones de demanda</w:t>
      </w:r>
      <w:r w:rsidR="00586279" w:rsidRPr="00244534">
        <w:rPr>
          <w:rFonts w:ascii="ITC Avant Garde" w:hAnsi="ITC Avant Garde"/>
          <w:color w:val="auto"/>
        </w:rPr>
        <w:t xml:space="preserve"> va en contra de los principios de no discriminación y trato equitativo establecidos en la Ley Federal de Telecomunicaciones (LFTR).</w:t>
      </w:r>
      <w:r w:rsidR="001035CC" w:rsidRPr="00244534">
        <w:rPr>
          <w:rFonts w:ascii="ITC Avant Garde" w:hAnsi="ITC Avant Garde"/>
          <w:color w:val="auto"/>
        </w:rPr>
        <w:t xml:space="preserve"> Solicita que se elimine la suspensión parcial o total de los servicios de la oferta </w:t>
      </w:r>
      <w:r w:rsidR="00780182" w:rsidRPr="00244534">
        <w:rPr>
          <w:rFonts w:ascii="ITC Avant Garde" w:hAnsi="ITC Avant Garde"/>
          <w:color w:val="auto"/>
        </w:rPr>
        <w:t>y</w:t>
      </w:r>
      <w:r w:rsidR="00040829" w:rsidRPr="00244534">
        <w:rPr>
          <w:rFonts w:ascii="ITC Avant Garde" w:hAnsi="ITC Avant Garde"/>
          <w:color w:val="auto"/>
        </w:rPr>
        <w:t xml:space="preserve"> se incluya un procedimiento conjunto de gestión de usuarios y tráfico.</w:t>
      </w:r>
    </w:p>
    <w:p w14:paraId="2E095BF1" w14:textId="77777777" w:rsidR="004B2AFF" w:rsidRPr="00244534" w:rsidRDefault="004B2AFF" w:rsidP="00BB3CE5">
      <w:pPr>
        <w:pStyle w:val="Prrafodelista"/>
        <w:spacing w:after="0" w:line="276" w:lineRule="auto"/>
        <w:ind w:left="0" w:right="0" w:firstLine="0"/>
        <w:rPr>
          <w:rFonts w:ascii="ITC Avant Garde" w:hAnsi="ITC Avant Garde"/>
          <w:color w:val="5B9BD5" w:themeColor="accent1"/>
        </w:rPr>
      </w:pPr>
    </w:p>
    <w:p w14:paraId="3818F562"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08A795C" w14:textId="77777777" w:rsidR="00F04FB4" w:rsidRPr="00244534" w:rsidRDefault="00F04FB4" w:rsidP="00BB3CE5">
      <w:pPr>
        <w:pStyle w:val="Prrafodelista"/>
        <w:spacing w:after="0" w:line="276" w:lineRule="auto"/>
        <w:ind w:left="0" w:right="0" w:firstLine="0"/>
        <w:rPr>
          <w:rFonts w:ascii="ITC Avant Garde" w:hAnsi="ITC Avant Garde"/>
          <w:color w:val="5B9BD5" w:themeColor="accent1"/>
        </w:rPr>
      </w:pPr>
    </w:p>
    <w:p w14:paraId="4B5E8035" w14:textId="77777777" w:rsidR="001D1FAF" w:rsidRPr="00244534" w:rsidRDefault="00CA65EE" w:rsidP="00BB3CE5">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S</w:t>
      </w:r>
      <w:r w:rsidR="001D1FAF" w:rsidRPr="00244534">
        <w:rPr>
          <w:rFonts w:ascii="ITC Avant Garde" w:hAnsi="ITC Avant Garde"/>
          <w:color w:val="5B9BD5" w:themeColor="accent1"/>
        </w:rPr>
        <w:t>e modifica el numeral 3 del Anexo VI</w:t>
      </w:r>
      <w:r w:rsidR="00B1663C" w:rsidRPr="00244534">
        <w:rPr>
          <w:rFonts w:ascii="ITC Avant Garde" w:hAnsi="ITC Avant Garde"/>
          <w:color w:val="5B9BD5" w:themeColor="accent1"/>
        </w:rPr>
        <w:t xml:space="preserve"> para asegurar los mismos niveles de calidad para los usuarios del concesionario y del AEP en caso de requerirse la suspensión parcial o total de los servicios de la oferta:</w:t>
      </w:r>
    </w:p>
    <w:p w14:paraId="03695D88" w14:textId="77777777" w:rsidR="001D1FAF" w:rsidRPr="00244534" w:rsidRDefault="001D1FAF" w:rsidP="00BB3CE5">
      <w:pPr>
        <w:pStyle w:val="Prrafodelista"/>
        <w:spacing w:after="0" w:line="276" w:lineRule="auto"/>
        <w:ind w:left="0" w:right="0" w:firstLine="0"/>
        <w:rPr>
          <w:rFonts w:ascii="ITC Avant Garde" w:hAnsi="ITC Avant Garde"/>
          <w:color w:val="5B9BD5" w:themeColor="accent1"/>
        </w:rPr>
      </w:pPr>
    </w:p>
    <w:p w14:paraId="7C35C993" w14:textId="77777777" w:rsidR="004B2AFF" w:rsidRPr="00244534" w:rsidRDefault="0002377D" w:rsidP="004B2AFF">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r w:rsidR="004B2AFF" w:rsidRPr="00244534">
        <w:rPr>
          <w:rFonts w:ascii="ITC Avant Garde" w:eastAsia="Calibri" w:hAnsi="ITC Avant Garde" w:cs="Arial"/>
          <w:i/>
          <w:color w:val="5B9BD5" w:themeColor="accent1"/>
          <w:sz w:val="18"/>
          <w:szCs w:val="18"/>
          <w:lang w:eastAsia="en-US"/>
        </w:rPr>
        <w:t xml:space="preserve">Si con motivo del exceso del consumo de los Servicios de la Oferta por parte del Concesionario respecto de la proyección de demanda a que se refiere el párrafo inmediato anterior, se llegare a ocasionar cualquier daño y/o perjuicio a la Red Pública de Telecomunicaciones de Telcel, a la continuidad de la prestación de los Servicios de la Oferta o a la calidad con la que son prestados los servicios a sus propios Usuarios, Telcel tendrá la potestad de tomar las medidas técnicas necesarias para asegurar la prestación de los servicios, así como los parámetros de calidad, por lo que podrá suspender de manera parcial o total la prestación de los Servicios de la Oferta, situación que se </w:t>
      </w:r>
      <w:r w:rsidR="004B2AFF" w:rsidRPr="00244534">
        <w:rPr>
          <w:rFonts w:ascii="ITC Avant Garde" w:eastAsia="Calibri" w:hAnsi="ITC Avant Garde" w:cs="Arial"/>
          <w:i/>
          <w:color w:val="5B9BD5" w:themeColor="accent1"/>
          <w:sz w:val="18"/>
          <w:szCs w:val="18"/>
          <w:lang w:eastAsia="en-US"/>
        </w:rPr>
        <w:lastRenderedPageBreak/>
        <w:t xml:space="preserve">notificará al Concesionario a través del SEG, </w:t>
      </w:r>
      <w:r w:rsidR="004B2AFF" w:rsidRPr="00244534">
        <w:rPr>
          <w:rFonts w:ascii="ITC Avant Garde" w:eastAsia="Calibri" w:hAnsi="ITC Avant Garde" w:cs="Arial"/>
          <w:i/>
          <w:color w:val="5B9BD5" w:themeColor="accent1"/>
          <w:sz w:val="18"/>
          <w:szCs w:val="18"/>
          <w:u w:val="single"/>
          <w:lang w:eastAsia="en-US"/>
        </w:rPr>
        <w:t>siempre y cuando dichas medidas no afecten de manera negativa la calidad del servicio de los Usuarios Finales del Concesionario en relación con los Usuarios finales de Telcel</w:t>
      </w:r>
      <w:r w:rsidR="004B2AFF" w:rsidRPr="00244534">
        <w:rPr>
          <w:rFonts w:ascii="ITC Avant Garde" w:eastAsia="Calibri" w:hAnsi="ITC Avant Garde" w:cs="Arial"/>
          <w:i/>
          <w:color w:val="5B9BD5" w:themeColor="accent1"/>
          <w:sz w:val="18"/>
          <w:szCs w:val="18"/>
          <w:lang w:eastAsia="en-US"/>
        </w:rPr>
        <w:t>.</w:t>
      </w:r>
      <w:r w:rsidRPr="00244534">
        <w:rPr>
          <w:rFonts w:ascii="ITC Avant Garde" w:eastAsia="Calibri" w:hAnsi="ITC Avant Garde" w:cs="Arial"/>
          <w:i/>
          <w:color w:val="5B9BD5" w:themeColor="accent1"/>
          <w:sz w:val="18"/>
          <w:szCs w:val="18"/>
          <w:lang w:eastAsia="en-US"/>
        </w:rPr>
        <w:t>”</w:t>
      </w:r>
    </w:p>
    <w:p w14:paraId="3682FBD2" w14:textId="77777777" w:rsidR="0002377D" w:rsidRPr="00244534" w:rsidRDefault="0002377D" w:rsidP="004B2AFF">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5A038506" w14:textId="77777777" w:rsidR="0002377D" w:rsidRPr="00244534" w:rsidRDefault="0002377D" w:rsidP="0002377D">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541319EF" w14:textId="77777777" w:rsidR="00CA65EE" w:rsidRPr="00244534" w:rsidRDefault="00CA65EE" w:rsidP="00CA65EE">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De esta forma se asegura que la suspensión del servicio se realizará en igualdad de circunstancias al usuario final del concesionario solicitante y al usuario final del AEP. </w:t>
      </w:r>
    </w:p>
    <w:p w14:paraId="7BD6CF18" w14:textId="77777777" w:rsidR="00BB3CE5" w:rsidRPr="00244534" w:rsidRDefault="00BB3CE5" w:rsidP="005E5201">
      <w:pPr>
        <w:spacing w:after="0" w:line="276" w:lineRule="auto"/>
        <w:ind w:right="0"/>
        <w:rPr>
          <w:rFonts w:ascii="ITC Avant Garde" w:hAnsi="ITC Avant Garde"/>
          <w:b/>
          <w:color w:val="auto"/>
        </w:rPr>
      </w:pPr>
    </w:p>
    <w:p w14:paraId="7AD3D3C9" w14:textId="77777777" w:rsidR="00885968" w:rsidRPr="00244534" w:rsidRDefault="00885968" w:rsidP="00885968">
      <w:pPr>
        <w:spacing w:after="0" w:line="276" w:lineRule="auto"/>
        <w:ind w:left="0" w:right="0" w:firstLine="0"/>
        <w:rPr>
          <w:rFonts w:ascii="ITC Avant Garde" w:hAnsi="ITC Avant Garde"/>
          <w:b/>
          <w:color w:val="auto"/>
        </w:rPr>
      </w:pPr>
      <w:r w:rsidRPr="00244534">
        <w:rPr>
          <w:rFonts w:ascii="ITC Avant Garde" w:hAnsi="ITC Avant Garde"/>
          <w:b/>
          <w:color w:val="auto"/>
        </w:rPr>
        <w:t>ANEXO VII Procedimiento de Atención de Incidencias.</w:t>
      </w:r>
    </w:p>
    <w:p w14:paraId="2B70C0D4" w14:textId="77777777" w:rsidR="00885968" w:rsidRPr="00244534" w:rsidRDefault="00885968" w:rsidP="00885968">
      <w:pPr>
        <w:spacing w:after="0" w:line="276" w:lineRule="auto"/>
        <w:ind w:left="0" w:right="0" w:firstLine="0"/>
        <w:rPr>
          <w:rFonts w:ascii="ITC Avant Garde" w:hAnsi="ITC Avant Garde"/>
          <w:b/>
          <w:color w:val="auto"/>
        </w:rPr>
      </w:pPr>
    </w:p>
    <w:p w14:paraId="1FA253C4" w14:textId="77777777" w:rsidR="008039B6" w:rsidRPr="00244534" w:rsidRDefault="008039B6" w:rsidP="00885968">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 xml:space="preserve">Numeral 7. Notificación y Atención de </w:t>
      </w:r>
      <w:r w:rsidR="002B79B8" w:rsidRPr="00244534">
        <w:rPr>
          <w:rFonts w:ascii="ITC Avant Garde" w:hAnsi="ITC Avant Garde"/>
          <w:b/>
          <w:color w:val="auto"/>
          <w:u w:val="single"/>
        </w:rPr>
        <w:t>Emergencias</w:t>
      </w:r>
    </w:p>
    <w:p w14:paraId="31745C5F" w14:textId="77777777" w:rsidR="008039B6" w:rsidRPr="00244534" w:rsidRDefault="008039B6" w:rsidP="00885968">
      <w:pPr>
        <w:spacing w:after="0" w:line="276" w:lineRule="auto"/>
        <w:ind w:left="0" w:right="0" w:firstLine="0"/>
        <w:rPr>
          <w:rFonts w:ascii="ITC Avant Garde" w:hAnsi="ITC Avant Garde"/>
          <w:b/>
          <w:color w:val="auto"/>
        </w:rPr>
      </w:pPr>
    </w:p>
    <w:p w14:paraId="58087E01" w14:textId="77777777" w:rsidR="00885968" w:rsidRPr="00244534" w:rsidRDefault="00885968" w:rsidP="00885968">
      <w:pPr>
        <w:spacing w:after="0" w:line="276" w:lineRule="auto"/>
        <w:ind w:left="0" w:right="0" w:firstLine="0"/>
        <w:rPr>
          <w:rFonts w:ascii="ITC Avant Garde" w:hAnsi="ITC Avant Garde"/>
          <w:b/>
          <w:color w:val="auto"/>
        </w:rPr>
      </w:pPr>
      <w:r w:rsidRPr="00244534">
        <w:rPr>
          <w:rFonts w:ascii="ITC Avant Garde" w:hAnsi="ITC Avant Garde"/>
          <w:b/>
          <w:color w:val="auto"/>
        </w:rPr>
        <w:t>Televisa:</w:t>
      </w:r>
    </w:p>
    <w:p w14:paraId="58D6CFDE" w14:textId="77777777" w:rsidR="00885968" w:rsidRPr="00244534" w:rsidRDefault="00885968" w:rsidP="00885968">
      <w:pPr>
        <w:spacing w:after="0" w:line="276" w:lineRule="auto"/>
        <w:ind w:right="0"/>
        <w:rPr>
          <w:rFonts w:ascii="ITC Avant Garde" w:hAnsi="ITC Avant Garde"/>
          <w:color w:val="auto"/>
        </w:rPr>
      </w:pPr>
    </w:p>
    <w:p w14:paraId="43F159E1" w14:textId="77777777" w:rsidR="008039B6" w:rsidRPr="00244534" w:rsidRDefault="00E10D93" w:rsidP="00E10D93">
      <w:pPr>
        <w:spacing w:after="0" w:line="276" w:lineRule="auto"/>
        <w:ind w:right="0"/>
        <w:rPr>
          <w:rFonts w:ascii="ITC Avant Garde" w:hAnsi="ITC Avant Garde"/>
          <w:color w:val="auto"/>
        </w:rPr>
      </w:pPr>
      <w:r w:rsidRPr="00244534">
        <w:rPr>
          <w:rFonts w:ascii="ITC Avant Garde" w:hAnsi="ITC Avant Garde"/>
          <w:color w:val="auto"/>
        </w:rPr>
        <w:t xml:space="preserve">El concesionario </w:t>
      </w:r>
      <w:r w:rsidR="008039B6" w:rsidRPr="00244534">
        <w:rPr>
          <w:rFonts w:ascii="ITC Avant Garde" w:hAnsi="ITC Avant Garde"/>
          <w:color w:val="auto"/>
        </w:rPr>
        <w:t>observa la eliminación del reporte por “Problemas de aprovisionamiento hacia algún elemento de la Red Pública de Telecomunicaciones de Telcel</w:t>
      </w:r>
      <w:r w:rsidRPr="00244534">
        <w:rPr>
          <w:rFonts w:ascii="ITC Avant Garde" w:hAnsi="ITC Avant Garde"/>
          <w:color w:val="auto"/>
        </w:rPr>
        <w:t>”</w:t>
      </w:r>
      <w:r w:rsidR="008039B6" w:rsidRPr="00244534">
        <w:rPr>
          <w:rFonts w:ascii="ITC Avant Garde" w:hAnsi="ITC Avant Garde"/>
          <w:color w:val="auto"/>
        </w:rPr>
        <w:t xml:space="preserve">. Sugiere la </w:t>
      </w:r>
      <w:bookmarkStart w:id="0" w:name="_Hlk504060600"/>
      <w:r w:rsidR="008039B6" w:rsidRPr="00244534">
        <w:rPr>
          <w:rFonts w:ascii="ITC Avant Garde" w:hAnsi="ITC Avant Garde"/>
          <w:color w:val="auto"/>
        </w:rPr>
        <w:t>rein</w:t>
      </w:r>
      <w:r w:rsidR="00854B67" w:rsidRPr="00244534">
        <w:rPr>
          <w:rFonts w:ascii="ITC Avant Garde" w:hAnsi="ITC Avant Garde"/>
          <w:color w:val="auto"/>
        </w:rPr>
        <w:t>s</w:t>
      </w:r>
      <w:r w:rsidR="008039B6" w:rsidRPr="00244534">
        <w:rPr>
          <w:rFonts w:ascii="ITC Avant Garde" w:hAnsi="ITC Avant Garde"/>
          <w:color w:val="auto"/>
        </w:rPr>
        <w:t>er</w:t>
      </w:r>
      <w:r w:rsidR="00854B67" w:rsidRPr="00244534">
        <w:rPr>
          <w:rFonts w:ascii="ITC Avant Garde" w:hAnsi="ITC Avant Garde"/>
          <w:color w:val="auto"/>
        </w:rPr>
        <w:t>c</w:t>
      </w:r>
      <w:r w:rsidR="008039B6" w:rsidRPr="00244534">
        <w:rPr>
          <w:rFonts w:ascii="ITC Avant Garde" w:hAnsi="ITC Avant Garde"/>
          <w:color w:val="auto"/>
        </w:rPr>
        <w:t>ión</w:t>
      </w:r>
      <w:bookmarkEnd w:id="0"/>
      <w:r w:rsidRPr="00244534">
        <w:rPr>
          <w:rFonts w:ascii="ITC Avant Garde" w:hAnsi="ITC Avant Garde"/>
          <w:color w:val="auto"/>
        </w:rPr>
        <w:t xml:space="preserve"> del reporte dentro de la Oferta.</w:t>
      </w:r>
    </w:p>
    <w:p w14:paraId="1D11EB9A" w14:textId="77777777" w:rsidR="00DA6EBA" w:rsidRPr="00244534" w:rsidRDefault="00DA6EBA" w:rsidP="00E10D93">
      <w:pPr>
        <w:spacing w:after="0" w:line="276" w:lineRule="auto"/>
        <w:ind w:right="0"/>
        <w:rPr>
          <w:rFonts w:ascii="ITC Avant Garde" w:hAnsi="ITC Avant Garde"/>
          <w:color w:val="auto"/>
        </w:rPr>
      </w:pPr>
    </w:p>
    <w:p w14:paraId="538824C6"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8F791C1" w14:textId="77777777" w:rsidR="00F04FB4" w:rsidRPr="00244534" w:rsidRDefault="00F04FB4" w:rsidP="00E10D93">
      <w:pPr>
        <w:spacing w:after="0" w:line="276" w:lineRule="auto"/>
        <w:ind w:right="0"/>
        <w:rPr>
          <w:rFonts w:ascii="ITC Avant Garde" w:hAnsi="ITC Avant Garde"/>
          <w:color w:val="auto"/>
        </w:rPr>
      </w:pPr>
    </w:p>
    <w:p w14:paraId="3C9F5A14" w14:textId="77777777" w:rsidR="002B79B8" w:rsidRPr="00244534" w:rsidRDefault="00CA65EE" w:rsidP="005E5201">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El numeral 7 Reporte y Atención de Emergencias contiene los supuestos bajo los cuales Telcel notificará al concesionario solicitante sobre una posible afectación del servicio, esto es, que los usuarios finales del concesionario solicitante no pueden acceder al servicio de usuario visitante, en este sentido los problemas de aprovisionamiento no representan un</w:t>
      </w:r>
      <w:r w:rsidR="00CD6A45" w:rsidRPr="00244534">
        <w:rPr>
          <w:rFonts w:ascii="ITC Avant Garde" w:hAnsi="ITC Avant Garde"/>
          <w:color w:val="5B9BD5" w:themeColor="accent1"/>
        </w:rPr>
        <w:t xml:space="preserve">a falla en la prestación del servicio a un usuario final por lo que no se considera que se deba realizar un seguimiento puntual de dicha falla. </w:t>
      </w:r>
    </w:p>
    <w:p w14:paraId="484F7740" w14:textId="77777777" w:rsidR="00CA65EE" w:rsidRPr="00244534" w:rsidRDefault="00CA65EE" w:rsidP="005E5201">
      <w:pPr>
        <w:pStyle w:val="Prrafodelista"/>
        <w:spacing w:after="0" w:line="276" w:lineRule="auto"/>
        <w:ind w:left="0" w:right="0" w:firstLine="0"/>
        <w:rPr>
          <w:rFonts w:ascii="ITC Avant Garde" w:hAnsi="ITC Avant Garde"/>
          <w:color w:val="5B9BD5" w:themeColor="accent1"/>
        </w:rPr>
      </w:pPr>
    </w:p>
    <w:p w14:paraId="2B9E9EC1" w14:textId="77777777" w:rsidR="000A4462" w:rsidRPr="00244534" w:rsidRDefault="000A4462" w:rsidP="000A4462">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Numeral 8. Notificación y Atención de Afectaciones Masivas</w:t>
      </w:r>
    </w:p>
    <w:p w14:paraId="7F3D170B" w14:textId="77777777" w:rsidR="000A4462" w:rsidRPr="00244534" w:rsidRDefault="000A4462" w:rsidP="000A4462">
      <w:pPr>
        <w:spacing w:after="0" w:line="276" w:lineRule="auto"/>
        <w:ind w:left="0" w:right="0" w:firstLine="0"/>
        <w:rPr>
          <w:rFonts w:ascii="ITC Avant Garde" w:hAnsi="ITC Avant Garde"/>
          <w:b/>
          <w:color w:val="auto"/>
        </w:rPr>
      </w:pPr>
    </w:p>
    <w:p w14:paraId="65AA0564" w14:textId="77777777" w:rsidR="000A4462" w:rsidRPr="00244534" w:rsidRDefault="00807310" w:rsidP="000A4462">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0A4462" w:rsidRPr="00244534">
        <w:rPr>
          <w:rFonts w:ascii="ITC Avant Garde" w:hAnsi="ITC Avant Garde"/>
          <w:b/>
          <w:color w:val="auto"/>
        </w:rPr>
        <w:t>Televisa:</w:t>
      </w:r>
    </w:p>
    <w:p w14:paraId="469DCC08" w14:textId="77777777" w:rsidR="000A4462" w:rsidRPr="00244534" w:rsidRDefault="000A4462" w:rsidP="000A4462">
      <w:pPr>
        <w:spacing w:after="0" w:line="276" w:lineRule="auto"/>
        <w:ind w:right="0"/>
        <w:rPr>
          <w:rFonts w:ascii="ITC Avant Garde" w:hAnsi="ITC Avant Garde"/>
          <w:b/>
          <w:color w:val="auto"/>
          <w:u w:val="single"/>
        </w:rPr>
      </w:pPr>
    </w:p>
    <w:p w14:paraId="2EA92EAA" w14:textId="77777777" w:rsidR="006948D6" w:rsidRPr="00244534" w:rsidRDefault="00E57262" w:rsidP="00CD6A45">
      <w:pPr>
        <w:widowControl w:val="0"/>
        <w:autoSpaceDE w:val="0"/>
        <w:autoSpaceDN w:val="0"/>
        <w:adjustRightInd w:val="0"/>
        <w:spacing w:after="0" w:line="240" w:lineRule="auto"/>
        <w:ind w:left="0" w:right="0" w:firstLine="0"/>
        <w:rPr>
          <w:rFonts w:ascii="ITC Avant Garde" w:hAnsi="ITC Avant Garde"/>
          <w:color w:val="auto"/>
        </w:rPr>
      </w:pPr>
      <w:r w:rsidRPr="00244534">
        <w:rPr>
          <w:rFonts w:ascii="ITC Avant Garde" w:hAnsi="ITC Avant Garde"/>
          <w:color w:val="auto"/>
        </w:rPr>
        <w:t>El concesionario solicita que se vuelva a incluir la periodicidad para la notificación y atención de afectaciones masivas por parte del AEP</w:t>
      </w:r>
      <w:r w:rsidR="00CF0855" w:rsidRPr="00244534">
        <w:rPr>
          <w:rFonts w:ascii="ITC Avant Garde" w:hAnsi="ITC Avant Garde"/>
          <w:color w:val="auto"/>
        </w:rPr>
        <w:t>, ya que una afectación masiva podría perjudicar gravemente su reputación y generar inconformidades</w:t>
      </w:r>
      <w:r w:rsidR="00D43FB4" w:rsidRPr="00244534">
        <w:rPr>
          <w:rFonts w:ascii="ITC Avant Garde" w:hAnsi="ITC Avant Garde"/>
          <w:color w:val="auto"/>
        </w:rPr>
        <w:t xml:space="preserve"> por parte de los usuarios finales.</w:t>
      </w:r>
    </w:p>
    <w:p w14:paraId="2B700ED8" w14:textId="77777777" w:rsidR="00CD6A45" w:rsidRPr="00244534" w:rsidRDefault="00CD6A45" w:rsidP="000A4462">
      <w:pPr>
        <w:pStyle w:val="Prrafodelista"/>
        <w:spacing w:after="0" w:line="276" w:lineRule="auto"/>
        <w:ind w:left="0" w:right="0" w:firstLine="0"/>
        <w:rPr>
          <w:rFonts w:ascii="ITC Avant Garde" w:hAnsi="ITC Avant Garde"/>
          <w:color w:val="5B9BD5" w:themeColor="accent1"/>
        </w:rPr>
      </w:pPr>
    </w:p>
    <w:p w14:paraId="04F63B34"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7549FF59" w14:textId="77777777" w:rsidR="00F04FB4" w:rsidRPr="00244534" w:rsidRDefault="00F04FB4" w:rsidP="000A4462">
      <w:pPr>
        <w:pStyle w:val="Prrafodelista"/>
        <w:spacing w:after="0" w:line="276" w:lineRule="auto"/>
        <w:ind w:left="0" w:right="0" w:firstLine="0"/>
        <w:rPr>
          <w:rFonts w:ascii="ITC Avant Garde" w:hAnsi="ITC Avant Garde"/>
          <w:color w:val="5B9BD5" w:themeColor="accent1"/>
        </w:rPr>
      </w:pPr>
    </w:p>
    <w:p w14:paraId="32D5E1C9" w14:textId="77777777" w:rsidR="000A4462" w:rsidRPr="00244534" w:rsidRDefault="00994065" w:rsidP="000A4462">
      <w:pPr>
        <w:pStyle w:val="Prrafodelista"/>
        <w:spacing w:after="0" w:line="276" w:lineRule="auto"/>
        <w:ind w:left="0" w:right="0" w:firstLine="0"/>
        <w:rPr>
          <w:rFonts w:ascii="ITC Avant Garde" w:hAnsi="ITC Avant Garde"/>
          <w:i/>
          <w:color w:val="5B9BD5" w:themeColor="accent1"/>
        </w:rPr>
      </w:pPr>
      <w:r w:rsidRPr="00244534">
        <w:rPr>
          <w:rFonts w:ascii="ITC Avant Garde" w:hAnsi="ITC Avant Garde"/>
          <w:color w:val="5B9BD5" w:themeColor="accent1"/>
        </w:rPr>
        <w:t xml:space="preserve">En congruencia con </w:t>
      </w:r>
      <w:r w:rsidR="00CD6A45" w:rsidRPr="00244534">
        <w:rPr>
          <w:rFonts w:ascii="ITC Avant Garde" w:hAnsi="ITC Avant Garde"/>
          <w:color w:val="5B9BD5" w:themeColor="accent1"/>
        </w:rPr>
        <w:t>la Medida Decimosexta de las Medidas Móviles,</w:t>
      </w:r>
      <w:r w:rsidRPr="00244534">
        <w:rPr>
          <w:rFonts w:ascii="ITC Avant Garde" w:hAnsi="ITC Avant Garde"/>
          <w:color w:val="5B9BD5" w:themeColor="accent1"/>
        </w:rPr>
        <w:t xml:space="preserve"> e</w:t>
      </w:r>
      <w:r w:rsidR="000A4462" w:rsidRPr="00244534">
        <w:rPr>
          <w:rFonts w:ascii="ITC Avant Garde" w:hAnsi="ITC Avant Garde"/>
          <w:color w:val="5B9BD5" w:themeColor="accent1"/>
        </w:rPr>
        <w:t>l In</w:t>
      </w:r>
      <w:r w:rsidR="00EA0261" w:rsidRPr="00244534">
        <w:rPr>
          <w:rFonts w:ascii="ITC Avant Garde" w:hAnsi="ITC Avant Garde"/>
          <w:color w:val="5B9BD5" w:themeColor="accent1"/>
        </w:rPr>
        <w:t xml:space="preserve">stituto </w:t>
      </w:r>
      <w:r w:rsidR="00CD6A45" w:rsidRPr="00244534">
        <w:rPr>
          <w:rFonts w:ascii="ITC Avant Garde" w:hAnsi="ITC Avant Garde"/>
          <w:color w:val="5B9BD5" w:themeColor="accent1"/>
        </w:rPr>
        <w:t>modifica la Oferta a efecto de incluir</w:t>
      </w:r>
      <w:r w:rsidR="000A4462" w:rsidRPr="00244534">
        <w:rPr>
          <w:rFonts w:ascii="ITC Avant Garde" w:hAnsi="ITC Avant Garde"/>
          <w:color w:val="5B9BD5" w:themeColor="accent1"/>
        </w:rPr>
        <w:t xml:space="preserve"> las notificaciones cada </w:t>
      </w:r>
      <w:r w:rsidR="00DA4E40" w:rsidRPr="00244534">
        <w:rPr>
          <w:rFonts w:ascii="ITC Avant Garde" w:hAnsi="ITC Avant Garde"/>
          <w:color w:val="5B9BD5" w:themeColor="accent1"/>
        </w:rPr>
        <w:t>24</w:t>
      </w:r>
      <w:r w:rsidR="006948D6" w:rsidRPr="00244534">
        <w:rPr>
          <w:rFonts w:ascii="ITC Avant Garde" w:hAnsi="ITC Avant Garde"/>
          <w:color w:val="5B9BD5" w:themeColor="accent1"/>
        </w:rPr>
        <w:t xml:space="preserve"> </w:t>
      </w:r>
      <w:r w:rsidR="006948D6" w:rsidRPr="00244534">
        <w:rPr>
          <w:rFonts w:ascii="ITC Avant Garde" w:hAnsi="ITC Avant Garde"/>
          <w:color w:val="5B9BD5" w:themeColor="accent1"/>
        </w:rPr>
        <w:lastRenderedPageBreak/>
        <w:t>horas</w:t>
      </w:r>
      <w:r w:rsidR="00EA51A1" w:rsidRPr="00244534">
        <w:rPr>
          <w:rFonts w:ascii="ITC Avant Garde" w:hAnsi="ITC Avant Garde"/>
          <w:color w:val="5B9BD5" w:themeColor="accent1"/>
        </w:rPr>
        <w:t xml:space="preserve"> </w:t>
      </w:r>
      <w:r w:rsidR="006948D6" w:rsidRPr="00244534">
        <w:rPr>
          <w:rFonts w:ascii="ITC Avant Garde" w:hAnsi="ITC Avant Garde"/>
          <w:color w:val="5B9BD5" w:themeColor="accent1"/>
        </w:rPr>
        <w:t xml:space="preserve">en tanto la afectación sea solucionada </w:t>
      </w:r>
      <w:r w:rsidR="00EA51A1" w:rsidRPr="00244534">
        <w:rPr>
          <w:rFonts w:ascii="ITC Avant Garde" w:hAnsi="ITC Avant Garde"/>
          <w:color w:val="5B9BD5" w:themeColor="accent1"/>
        </w:rPr>
        <w:t>tal como est</w:t>
      </w:r>
      <w:r w:rsidRPr="00244534">
        <w:rPr>
          <w:rFonts w:ascii="ITC Avant Garde" w:hAnsi="ITC Avant Garde"/>
          <w:color w:val="5B9BD5" w:themeColor="accent1"/>
        </w:rPr>
        <w:t>á plasmado</w:t>
      </w:r>
      <w:r w:rsidR="006948D6" w:rsidRPr="00244534">
        <w:rPr>
          <w:rFonts w:ascii="ITC Avant Garde" w:hAnsi="ITC Avant Garde"/>
          <w:color w:val="5B9BD5" w:themeColor="accent1"/>
        </w:rPr>
        <w:t xml:space="preserve"> en la </w:t>
      </w:r>
      <w:r w:rsidR="006948D6" w:rsidRPr="00244534">
        <w:rPr>
          <w:rFonts w:ascii="ITC Avant Garde" w:hAnsi="ITC Avant Garde"/>
          <w:i/>
          <w:color w:val="5B9BD5" w:themeColor="accent1"/>
        </w:rPr>
        <w:t>“RESOLUCIÓN MEDIANTE LA CUAL EL PLENO DEL INSTITUTO FEDERAL DE TELECOMUNICACIONES MODIFICA Y AUTORIZA AL AGENTE ECONÓMICO PREPONDERANTE LOS TÉRMINOS Y CONDICIONES DE LA OFERTA DE REFERENCIA PARA LA PRESTACIÓN DEL SERVICIO MAYORISTA DE USUARIO VISITANTE PRESENTADA POR RADIOMÓVIL DIPSA, S.A. DE C.V. APLICABLE DEL 1 DE ENERO DE 2016 AL 31 DE DICIEMBRE DE 2017”</w:t>
      </w:r>
      <w:r w:rsidR="006948D6" w:rsidRPr="00244534">
        <w:rPr>
          <w:rFonts w:ascii="ITC Avant Garde" w:hAnsi="ITC Avant Garde"/>
          <w:color w:val="5B9BD5" w:themeColor="accent1"/>
        </w:rPr>
        <w:t xml:space="preserve">  (en los sucesivo, la “</w:t>
      </w:r>
      <w:r w:rsidR="00EA51A1" w:rsidRPr="00244534">
        <w:rPr>
          <w:rFonts w:ascii="ITC Avant Garde" w:hAnsi="ITC Avant Garde"/>
          <w:color w:val="5B9BD5" w:themeColor="accent1"/>
        </w:rPr>
        <w:t>Oferta de Referencia 2016-2017</w:t>
      </w:r>
      <w:r w:rsidR="006948D6" w:rsidRPr="00244534">
        <w:rPr>
          <w:rFonts w:ascii="ITC Avant Garde" w:hAnsi="ITC Avant Garde"/>
          <w:i/>
          <w:color w:val="5B9BD5" w:themeColor="accent1"/>
        </w:rPr>
        <w:t>”</w:t>
      </w:r>
      <w:r w:rsidRPr="00244534">
        <w:rPr>
          <w:rFonts w:ascii="ITC Avant Garde" w:hAnsi="ITC Avant Garde"/>
          <w:i/>
          <w:color w:val="5B9BD5" w:themeColor="accent1"/>
        </w:rPr>
        <w:t>).</w:t>
      </w:r>
    </w:p>
    <w:p w14:paraId="52439796" w14:textId="77777777" w:rsidR="000A4462" w:rsidRPr="00244534" w:rsidRDefault="000A4462" w:rsidP="000A4462">
      <w:pPr>
        <w:pStyle w:val="Prrafodelista"/>
        <w:spacing w:after="0" w:line="276" w:lineRule="auto"/>
        <w:ind w:left="0" w:right="0" w:firstLine="0"/>
        <w:rPr>
          <w:rFonts w:ascii="ITC Avant Garde" w:hAnsi="ITC Avant Garde"/>
          <w:b/>
          <w:color w:val="auto"/>
        </w:rPr>
      </w:pPr>
    </w:p>
    <w:p w14:paraId="061B3ED8" w14:textId="77777777" w:rsidR="005514E2" w:rsidRPr="00244534" w:rsidRDefault="005514E2" w:rsidP="005514E2">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Numeral 11. Matriz de Escalamiento</w:t>
      </w:r>
    </w:p>
    <w:p w14:paraId="5E46A6C7" w14:textId="77777777" w:rsidR="005514E2" w:rsidRPr="00244534" w:rsidRDefault="005514E2" w:rsidP="005514E2">
      <w:pPr>
        <w:spacing w:after="0" w:line="276" w:lineRule="auto"/>
        <w:ind w:left="0" w:right="0" w:firstLine="0"/>
        <w:rPr>
          <w:rFonts w:ascii="ITC Avant Garde" w:hAnsi="ITC Avant Garde"/>
          <w:b/>
          <w:color w:val="auto"/>
        </w:rPr>
      </w:pPr>
    </w:p>
    <w:p w14:paraId="577916FA" w14:textId="77777777" w:rsidR="005514E2" w:rsidRPr="00244534" w:rsidRDefault="00807310" w:rsidP="005514E2">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w:t>
      </w:r>
      <w:r w:rsidR="005514E2" w:rsidRPr="00244534">
        <w:rPr>
          <w:rFonts w:ascii="ITC Avant Garde" w:hAnsi="ITC Avant Garde"/>
          <w:b/>
          <w:color w:val="auto"/>
        </w:rPr>
        <w:t>Televisa:</w:t>
      </w:r>
    </w:p>
    <w:p w14:paraId="5B736A3B" w14:textId="77777777" w:rsidR="005514E2" w:rsidRPr="00244534" w:rsidRDefault="005514E2" w:rsidP="005514E2">
      <w:pPr>
        <w:spacing w:after="0" w:line="276" w:lineRule="auto"/>
        <w:ind w:right="0"/>
        <w:rPr>
          <w:rFonts w:ascii="ITC Avant Garde" w:hAnsi="ITC Avant Garde"/>
          <w:b/>
          <w:color w:val="auto"/>
          <w:u w:val="single"/>
        </w:rPr>
      </w:pPr>
    </w:p>
    <w:p w14:paraId="75BF4B79" w14:textId="77777777" w:rsidR="00C2297F" w:rsidRPr="00244534" w:rsidRDefault="00C2297F" w:rsidP="005514E2">
      <w:pPr>
        <w:widowControl w:val="0"/>
        <w:autoSpaceDE w:val="0"/>
        <w:autoSpaceDN w:val="0"/>
        <w:adjustRightInd w:val="0"/>
        <w:spacing w:after="240" w:line="240" w:lineRule="auto"/>
        <w:ind w:left="0" w:right="0" w:firstLine="0"/>
        <w:rPr>
          <w:rFonts w:ascii="ITC Avant Garde" w:hAnsi="ITC Avant Garde"/>
          <w:color w:val="auto"/>
        </w:rPr>
      </w:pPr>
      <w:r w:rsidRPr="00244534">
        <w:rPr>
          <w:rFonts w:ascii="ITC Avant Garde" w:hAnsi="ITC Avant Garde"/>
          <w:color w:val="auto"/>
        </w:rPr>
        <w:t>El concesionario solicita incluir nuevamente los tiempos de respuesta en la matriz de escalamiento de incidencias, ya que manifiesta que se debe establecer claramente</w:t>
      </w:r>
      <w:r w:rsidR="00CF0855" w:rsidRPr="00244534">
        <w:rPr>
          <w:rFonts w:ascii="ITC Avant Garde" w:hAnsi="ITC Avant Garde"/>
          <w:color w:val="auto"/>
        </w:rPr>
        <w:t xml:space="preserve"> el tiempo que debe de pasar para que el incidente se escale al siguiente nivel. </w:t>
      </w:r>
      <w:r w:rsidRPr="00244534">
        <w:rPr>
          <w:rFonts w:ascii="ITC Avant Garde" w:hAnsi="ITC Avant Garde"/>
          <w:color w:val="auto"/>
        </w:rPr>
        <w:t xml:space="preserve"> </w:t>
      </w:r>
    </w:p>
    <w:p w14:paraId="46BF4C54"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3E01798" w14:textId="77777777" w:rsidR="00F04FB4" w:rsidRPr="00244534" w:rsidRDefault="00F04FB4" w:rsidP="005E5201">
      <w:pPr>
        <w:pStyle w:val="Prrafodelista"/>
        <w:spacing w:after="0" w:line="276" w:lineRule="auto"/>
        <w:ind w:left="0" w:right="0" w:firstLine="0"/>
        <w:rPr>
          <w:rFonts w:ascii="ITC Avant Garde" w:hAnsi="ITC Avant Garde"/>
          <w:color w:val="5B9BD5" w:themeColor="accent1"/>
        </w:rPr>
      </w:pPr>
    </w:p>
    <w:p w14:paraId="36F5FD55" w14:textId="77777777" w:rsidR="00CD6A45" w:rsidRPr="00244534" w:rsidRDefault="00CD6A45" w:rsidP="005E5201">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La matriz de escalamiento considerada en la Oferta proporciona flexibilidad respecto al plazo que debe de transcurrir antes de escalar una falla, por lo </w:t>
      </w:r>
      <w:r w:rsidR="00C02FC5" w:rsidRPr="00244534">
        <w:rPr>
          <w:rFonts w:ascii="ITC Avant Garde" w:hAnsi="ITC Avant Garde"/>
          <w:color w:val="5B9BD5" w:themeColor="accent1"/>
        </w:rPr>
        <w:t>tanto,</w:t>
      </w:r>
      <w:r w:rsidRPr="00244534">
        <w:rPr>
          <w:rFonts w:ascii="ITC Avant Garde" w:hAnsi="ITC Avant Garde"/>
          <w:color w:val="5B9BD5" w:themeColor="accent1"/>
        </w:rPr>
        <w:t xml:space="preserve"> se considera que se debe mantener en los términos presentados en la Oferta.</w:t>
      </w:r>
    </w:p>
    <w:p w14:paraId="16047AED" w14:textId="77777777" w:rsidR="00CD6A45" w:rsidRPr="00244534" w:rsidRDefault="00CD6A45" w:rsidP="005E5201">
      <w:pPr>
        <w:pStyle w:val="Prrafodelista"/>
        <w:spacing w:after="0" w:line="276" w:lineRule="auto"/>
        <w:ind w:left="0" w:right="0" w:firstLine="0"/>
        <w:rPr>
          <w:rFonts w:ascii="ITC Avant Garde" w:hAnsi="ITC Avant Garde"/>
          <w:color w:val="auto"/>
        </w:rPr>
      </w:pPr>
    </w:p>
    <w:p w14:paraId="44EC8FCB" w14:textId="77777777" w:rsidR="005B36F9" w:rsidRPr="00244534" w:rsidRDefault="005B36F9" w:rsidP="005B36F9">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b/>
          <w:color w:val="auto"/>
        </w:rPr>
        <w:t>ANEXO XI Modelo De Convenio Marco</w:t>
      </w:r>
    </w:p>
    <w:p w14:paraId="42553357" w14:textId="77777777" w:rsidR="005B36F9" w:rsidRPr="00244534" w:rsidRDefault="005B36F9" w:rsidP="005B36F9">
      <w:pPr>
        <w:spacing w:after="0" w:line="276" w:lineRule="auto"/>
        <w:ind w:left="0" w:right="0" w:firstLine="0"/>
        <w:rPr>
          <w:rFonts w:ascii="ITC Avant Garde" w:hAnsi="ITC Avant Garde"/>
          <w:b/>
          <w:color w:val="auto"/>
        </w:rPr>
      </w:pPr>
    </w:p>
    <w:p w14:paraId="599F6D37"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Primera – Definiciones</w:t>
      </w:r>
    </w:p>
    <w:p w14:paraId="542DC44D"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1.3 Glosario</w:t>
      </w:r>
    </w:p>
    <w:p w14:paraId="7AD09855"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Subapartado 1.3.1</w:t>
      </w:r>
    </w:p>
    <w:p w14:paraId="2F70F755" w14:textId="77777777" w:rsidR="005B36F9" w:rsidRPr="00244534" w:rsidRDefault="005B36F9" w:rsidP="005B36F9">
      <w:pPr>
        <w:spacing w:after="0" w:line="276" w:lineRule="auto"/>
        <w:ind w:left="0" w:right="0" w:firstLine="0"/>
        <w:rPr>
          <w:rFonts w:ascii="ITC Avant Garde" w:hAnsi="ITC Avant Garde"/>
          <w:b/>
          <w:color w:val="auto"/>
        </w:rPr>
      </w:pPr>
    </w:p>
    <w:p w14:paraId="1BCD3480"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Altán:</w:t>
      </w:r>
    </w:p>
    <w:p w14:paraId="2A63C3F4" w14:textId="77777777" w:rsidR="005B36F9" w:rsidRPr="00244534" w:rsidRDefault="005B36F9" w:rsidP="005B36F9">
      <w:pPr>
        <w:spacing w:after="0" w:line="276" w:lineRule="auto"/>
        <w:ind w:left="0" w:right="0" w:firstLine="0"/>
        <w:rPr>
          <w:rFonts w:ascii="ITC Avant Garde" w:hAnsi="ITC Avant Garde"/>
          <w:b/>
          <w:color w:val="auto"/>
        </w:rPr>
      </w:pPr>
    </w:p>
    <w:p w14:paraId="50613CFC" w14:textId="77777777" w:rsidR="00BB7669" w:rsidRPr="00244534" w:rsidRDefault="00BB7669" w:rsidP="00CD6A45">
      <w:pPr>
        <w:spacing w:after="0" w:line="276" w:lineRule="auto"/>
        <w:ind w:left="0" w:right="0" w:firstLine="0"/>
        <w:rPr>
          <w:rFonts w:ascii="ITC Avant Garde" w:hAnsi="ITC Avant Garde"/>
          <w:color w:val="auto"/>
        </w:rPr>
      </w:pPr>
      <w:r w:rsidRPr="00244534">
        <w:rPr>
          <w:rFonts w:ascii="ITC Avant Garde" w:hAnsi="ITC Avant Garde"/>
          <w:color w:val="auto"/>
        </w:rPr>
        <w:t>El concesionario solicita la inclusión de las siguientes definiciones en la Oferta de Referencia para que se consideren las particularidades de Altán Redes:</w:t>
      </w:r>
      <w:r w:rsidR="00CD6A45" w:rsidRPr="00244534">
        <w:rPr>
          <w:rFonts w:ascii="ITC Avant Garde" w:hAnsi="ITC Avant Garde"/>
          <w:color w:val="auto"/>
        </w:rPr>
        <w:t xml:space="preserve"> Red Compartida Mayorista, </w:t>
      </w:r>
      <w:r w:rsidRPr="00244534">
        <w:rPr>
          <w:rFonts w:ascii="ITC Avant Garde" w:hAnsi="ITC Avant Garde"/>
          <w:color w:val="auto"/>
        </w:rPr>
        <w:t>Clien</w:t>
      </w:r>
      <w:r w:rsidR="00CD6A45" w:rsidRPr="00244534">
        <w:rPr>
          <w:rFonts w:ascii="ITC Avant Garde" w:hAnsi="ITC Avant Garde"/>
          <w:color w:val="auto"/>
        </w:rPr>
        <w:t xml:space="preserve">te de Red Compartida Mayorista, </w:t>
      </w:r>
      <w:r w:rsidRPr="00244534">
        <w:rPr>
          <w:rFonts w:ascii="ITC Avant Garde" w:hAnsi="ITC Avant Garde"/>
          <w:color w:val="auto"/>
        </w:rPr>
        <w:t>Usuario Final y/o Usuarios del Concesionario</w:t>
      </w:r>
      <w:r w:rsidR="00CD6A45" w:rsidRPr="00244534">
        <w:rPr>
          <w:rFonts w:ascii="ITC Avant Garde" w:hAnsi="ITC Avant Garde"/>
          <w:color w:val="auto"/>
        </w:rPr>
        <w:t>.</w:t>
      </w:r>
    </w:p>
    <w:p w14:paraId="3D6D651E" w14:textId="77777777" w:rsidR="00BB7669" w:rsidRPr="00244534" w:rsidRDefault="00BB7669" w:rsidP="005B36F9">
      <w:pPr>
        <w:spacing w:after="0" w:line="276" w:lineRule="auto"/>
        <w:ind w:left="0" w:right="0" w:firstLine="0"/>
        <w:rPr>
          <w:rFonts w:ascii="ITC Avant Garde" w:hAnsi="ITC Avant Garde"/>
          <w:color w:val="auto"/>
        </w:rPr>
      </w:pPr>
    </w:p>
    <w:p w14:paraId="28CCF403"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59B9CED6" w14:textId="77777777" w:rsidR="00F04FB4" w:rsidRPr="00244534" w:rsidRDefault="00F04FB4" w:rsidP="005B36F9">
      <w:pPr>
        <w:spacing w:after="0" w:line="276" w:lineRule="auto"/>
        <w:ind w:left="0" w:right="0" w:firstLine="0"/>
        <w:rPr>
          <w:rFonts w:ascii="ITC Avant Garde" w:hAnsi="ITC Avant Garde"/>
          <w:color w:val="auto"/>
        </w:rPr>
      </w:pPr>
    </w:p>
    <w:p w14:paraId="4840C6FA" w14:textId="77777777" w:rsidR="005B36F9" w:rsidRPr="00244534" w:rsidRDefault="00315E81" w:rsidP="00DA0F6F">
      <w:pPr>
        <w:pStyle w:val="Prrafodelista"/>
        <w:numPr>
          <w:ilvl w:val="0"/>
          <w:numId w:val="3"/>
        </w:num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Como se mencionó anteriormente, el proveer el servicio de usuario visitante a una red mayorista implica modificaciones técnicas de mayor complejidad </w:t>
      </w:r>
      <w:r w:rsidRPr="00244534">
        <w:rPr>
          <w:rFonts w:ascii="ITC Avant Garde" w:hAnsi="ITC Avant Garde"/>
          <w:color w:val="5B9BD5" w:themeColor="accent1"/>
        </w:rPr>
        <w:lastRenderedPageBreak/>
        <w:t xml:space="preserve">a las consideradas en la Oferta de Referencia, por lo que </w:t>
      </w:r>
      <w:r w:rsidR="003F031C" w:rsidRPr="00244534">
        <w:rPr>
          <w:rFonts w:ascii="ITC Avant Garde" w:hAnsi="ITC Avant Garde"/>
          <w:color w:val="5B9BD5" w:themeColor="accent1"/>
        </w:rPr>
        <w:t xml:space="preserve">no es procedente la adición de las definiciones solicitadas </w:t>
      </w:r>
      <w:r w:rsidRPr="00244534">
        <w:rPr>
          <w:rFonts w:ascii="ITC Avant Garde" w:hAnsi="ITC Avant Garde"/>
          <w:color w:val="5B9BD5" w:themeColor="accent1"/>
        </w:rPr>
        <w:t xml:space="preserve">a efecto de no introducir ambigüedades en una oferta que tiene propósitos generales aplicables a cualquier </w:t>
      </w:r>
      <w:r w:rsidR="003F031C" w:rsidRPr="00244534">
        <w:rPr>
          <w:rFonts w:ascii="ITC Avant Garde" w:hAnsi="ITC Avant Garde"/>
          <w:color w:val="5B9BD5" w:themeColor="accent1"/>
        </w:rPr>
        <w:t xml:space="preserve">concesionario. </w:t>
      </w:r>
      <w:r w:rsidR="00CD6A45" w:rsidRPr="00244534">
        <w:rPr>
          <w:rFonts w:ascii="ITC Avant Garde" w:hAnsi="ITC Avant Garde"/>
          <w:color w:val="5B9BD5" w:themeColor="accent1"/>
        </w:rPr>
        <w:t>Por lo que las particularidades de la prestación del servicio de Usuario Visitante a Altán deberán reflejarse en el convenio que al efecto suscriban l</w:t>
      </w:r>
      <w:r w:rsidR="00C02FC5" w:rsidRPr="00244534">
        <w:rPr>
          <w:rFonts w:ascii="ITC Avant Garde" w:hAnsi="ITC Avant Garde"/>
          <w:color w:val="5B9BD5" w:themeColor="accent1"/>
        </w:rPr>
        <w:t>as partes, no obstante lo anterior, se modificó el Objeto del Convenio con el fin de que el servicio de usuario visitante se proporcione a redes mayoristas en el siguiente sentido:</w:t>
      </w:r>
    </w:p>
    <w:p w14:paraId="781E397C" w14:textId="77777777" w:rsidR="00C02FC5" w:rsidRPr="00244534" w:rsidRDefault="00C02FC5" w:rsidP="00DA0F6F">
      <w:pPr>
        <w:pStyle w:val="Prrafodelista"/>
        <w:numPr>
          <w:ilvl w:val="0"/>
          <w:numId w:val="3"/>
        </w:numPr>
        <w:spacing w:after="0" w:line="276" w:lineRule="auto"/>
        <w:ind w:left="0" w:right="0" w:firstLine="0"/>
        <w:rPr>
          <w:rFonts w:ascii="ITC Avant Garde" w:hAnsi="ITC Avant Garde"/>
          <w:color w:val="5B9BD5" w:themeColor="accent1"/>
        </w:rPr>
      </w:pPr>
    </w:p>
    <w:p w14:paraId="3A9053FE" w14:textId="77777777" w:rsidR="00C02FC5" w:rsidRPr="00244534" w:rsidRDefault="00C02FC5" w:rsidP="00C02FC5">
      <w:pPr>
        <w:pStyle w:val="Prrafodelista"/>
        <w:numPr>
          <w:ilvl w:val="0"/>
          <w:numId w:val="3"/>
        </w:numPr>
        <w:ind w:left="567" w:right="474" w:firstLine="0"/>
        <w:outlineLvl w:val="0"/>
        <w:rPr>
          <w:rFonts w:ascii="ITC Avant Garde" w:hAnsi="ITC Avant Garde" w:cs="Arial"/>
          <w:b/>
          <w:i/>
          <w:spacing w:val="4"/>
          <w:sz w:val="18"/>
          <w:szCs w:val="18"/>
          <w:lang w:val="es-ES_tradnl"/>
        </w:rPr>
      </w:pPr>
      <w:r w:rsidRPr="00244534">
        <w:rPr>
          <w:rFonts w:ascii="ITC Avant Garde" w:hAnsi="ITC Avant Garde" w:cs="Arial"/>
          <w:b/>
          <w:i/>
          <w:spacing w:val="4"/>
          <w:sz w:val="18"/>
          <w:szCs w:val="18"/>
          <w:lang w:val="es-ES_tradnl"/>
        </w:rPr>
        <w:t>“CLÁUSULA SEGUNDA.</w:t>
      </w:r>
      <w:r w:rsidRPr="00244534">
        <w:rPr>
          <w:rFonts w:ascii="ITC Avant Garde" w:hAnsi="ITC Avant Garde" w:cs="Arial"/>
          <w:b/>
          <w:i/>
          <w:sz w:val="18"/>
          <w:szCs w:val="18"/>
          <w:lang w:val="es-ES_tradnl"/>
        </w:rPr>
        <w:t xml:space="preserve"> </w:t>
      </w:r>
      <w:r w:rsidRPr="00244534">
        <w:rPr>
          <w:rFonts w:ascii="ITC Avant Garde" w:hAnsi="ITC Avant Garde" w:cs="Arial"/>
          <w:b/>
          <w:i/>
          <w:sz w:val="18"/>
          <w:szCs w:val="18"/>
          <w:u w:val="single"/>
          <w:lang w:val="es-ES_tradnl"/>
        </w:rPr>
        <w:t>OBJETO DEL CONVENIO.</w:t>
      </w:r>
    </w:p>
    <w:p w14:paraId="4DF2FA2F" w14:textId="77777777" w:rsidR="00C02FC5" w:rsidRPr="00244534" w:rsidRDefault="00C02FC5" w:rsidP="00C02FC5">
      <w:pPr>
        <w:pStyle w:val="Prrafodelista"/>
        <w:numPr>
          <w:ilvl w:val="0"/>
          <w:numId w:val="3"/>
        </w:numPr>
        <w:ind w:left="567" w:right="474" w:firstLine="0"/>
        <w:rPr>
          <w:rFonts w:ascii="ITC Avant Garde" w:hAnsi="ITC Avant Garde" w:cs="Arial"/>
          <w:i/>
          <w:sz w:val="18"/>
          <w:szCs w:val="18"/>
          <w:lang w:val="es-ES_tradnl"/>
        </w:rPr>
      </w:pPr>
    </w:p>
    <w:p w14:paraId="7D74BEC7" w14:textId="77777777" w:rsidR="00C02FC5" w:rsidRPr="00244534" w:rsidRDefault="00C02FC5" w:rsidP="00C02FC5">
      <w:pPr>
        <w:pStyle w:val="Prrafodelista"/>
        <w:numPr>
          <w:ilvl w:val="0"/>
          <w:numId w:val="3"/>
        </w:numPr>
        <w:ind w:left="567" w:right="474" w:firstLine="0"/>
        <w:rPr>
          <w:rFonts w:ascii="ITC Avant Garde" w:hAnsi="ITC Avant Garde" w:cs="Arial"/>
          <w:b/>
          <w:i/>
          <w:sz w:val="18"/>
          <w:szCs w:val="18"/>
          <w:lang w:val="es-ES_tradnl"/>
        </w:rPr>
      </w:pPr>
      <w:r w:rsidRPr="00244534">
        <w:rPr>
          <w:rFonts w:ascii="ITC Avant Garde" w:hAnsi="ITC Avant Garde" w:cs="Arial"/>
          <w:b/>
          <w:i/>
          <w:sz w:val="18"/>
          <w:szCs w:val="18"/>
          <w:lang w:val="es-ES_tradnl"/>
        </w:rPr>
        <w:t>2.1 OBJETO.</w:t>
      </w:r>
    </w:p>
    <w:p w14:paraId="02C7D31B" w14:textId="77777777" w:rsidR="00C02FC5" w:rsidRPr="00244534" w:rsidRDefault="00C02FC5" w:rsidP="00C02FC5">
      <w:pPr>
        <w:pStyle w:val="Prrafodelista"/>
        <w:numPr>
          <w:ilvl w:val="0"/>
          <w:numId w:val="3"/>
        </w:numPr>
        <w:ind w:left="567" w:right="474" w:firstLine="0"/>
        <w:rPr>
          <w:rFonts w:ascii="ITC Avant Garde" w:hAnsi="ITC Avant Garde" w:cs="Arial"/>
          <w:i/>
          <w:sz w:val="18"/>
          <w:szCs w:val="18"/>
          <w:lang w:val="es-ES_tradnl"/>
        </w:rPr>
      </w:pPr>
    </w:p>
    <w:p w14:paraId="46FA5B32" w14:textId="77777777" w:rsidR="00C02FC5" w:rsidRPr="00244534" w:rsidRDefault="00C02FC5" w:rsidP="00C02FC5">
      <w:pPr>
        <w:pStyle w:val="Prrafodelista"/>
        <w:numPr>
          <w:ilvl w:val="0"/>
          <w:numId w:val="3"/>
        </w:numPr>
        <w:ind w:left="567" w:right="474" w:firstLine="0"/>
        <w:rPr>
          <w:rFonts w:ascii="ITC Avant Garde" w:hAnsi="ITC Avant Garde" w:cs="Arial"/>
          <w:b/>
          <w:i/>
          <w:sz w:val="18"/>
          <w:szCs w:val="18"/>
          <w:lang w:val="es-ES_tradnl"/>
        </w:rPr>
      </w:pPr>
      <w:r w:rsidRPr="00244534">
        <w:rPr>
          <w:rFonts w:ascii="ITC Avant Garde" w:hAnsi="ITC Avant Garde" w:cs="Arial"/>
          <w:i/>
          <w:sz w:val="18"/>
          <w:szCs w:val="18"/>
          <w:lang w:val="es-ES_tradnl"/>
        </w:rPr>
        <w:t xml:space="preserve">Por conducto del presente Convenio, Telcel otorgará, a cambio de las contraprestaciones a que se refiere la Cláusula Cuarta Contraprestaciones del presente Convenio, los Servicios de la Oferta, así como los Servicios Adicionales a la Oferta al Concesionario para uso exclusivo de sus Usuarios Finales, de conformidad con el </w:t>
      </w:r>
      <w:r w:rsidRPr="00244534">
        <w:rPr>
          <w:rFonts w:ascii="ITC Avant Garde" w:hAnsi="ITC Avant Garde" w:cs="Arial"/>
          <w:b/>
          <w:i/>
          <w:sz w:val="18"/>
          <w:szCs w:val="18"/>
          <w:lang w:val="es-ES_tradnl"/>
        </w:rPr>
        <w:t>Anexo I</w:t>
      </w:r>
      <w:r w:rsidRPr="00244534">
        <w:rPr>
          <w:rFonts w:ascii="ITC Avant Garde" w:hAnsi="ITC Avant Garde" w:cs="Arial"/>
          <w:i/>
          <w:sz w:val="18"/>
          <w:szCs w:val="18"/>
          <w:lang w:val="es-ES_tradnl"/>
        </w:rPr>
        <w:t xml:space="preserve"> </w:t>
      </w:r>
      <w:r w:rsidRPr="00244534">
        <w:rPr>
          <w:rFonts w:ascii="ITC Avant Garde" w:hAnsi="ITC Avant Garde" w:cs="Arial"/>
          <w:b/>
          <w:i/>
          <w:sz w:val="18"/>
          <w:szCs w:val="18"/>
          <w:lang w:val="es-ES_tradnl"/>
        </w:rPr>
        <w:t>Oferta de Servicios.</w:t>
      </w:r>
    </w:p>
    <w:p w14:paraId="0D896356" w14:textId="77777777" w:rsidR="00C02FC5" w:rsidRPr="00244534" w:rsidRDefault="00C02FC5" w:rsidP="00C02FC5">
      <w:pPr>
        <w:pStyle w:val="Prrafodelista"/>
        <w:numPr>
          <w:ilvl w:val="0"/>
          <w:numId w:val="3"/>
        </w:numPr>
        <w:ind w:left="567" w:right="474" w:firstLine="0"/>
        <w:rPr>
          <w:rFonts w:ascii="ITC Avant Garde" w:hAnsi="ITC Avant Garde" w:cs="Arial"/>
          <w:b/>
          <w:i/>
          <w:sz w:val="18"/>
          <w:szCs w:val="18"/>
          <w:lang w:val="es-ES_tradnl"/>
        </w:rPr>
      </w:pPr>
    </w:p>
    <w:p w14:paraId="6AB4A05F" w14:textId="77777777" w:rsidR="00C02FC5" w:rsidRPr="00244534" w:rsidRDefault="00C02FC5" w:rsidP="00C02FC5">
      <w:pPr>
        <w:pStyle w:val="Prrafodelista"/>
        <w:numPr>
          <w:ilvl w:val="0"/>
          <w:numId w:val="3"/>
        </w:numPr>
        <w:ind w:left="567" w:right="474" w:firstLine="0"/>
        <w:rPr>
          <w:rFonts w:ascii="ITC Avant Garde" w:hAnsi="ITC Avant Garde" w:cs="Arial"/>
          <w:i/>
          <w:sz w:val="18"/>
          <w:szCs w:val="18"/>
          <w:lang w:val="es-ES_tradnl"/>
        </w:rPr>
      </w:pPr>
      <w:r w:rsidRPr="00244534">
        <w:rPr>
          <w:rFonts w:ascii="ITC Avant Garde" w:hAnsi="ITC Avant Garde" w:cs="Arial"/>
          <w:i/>
          <w:sz w:val="18"/>
          <w:szCs w:val="18"/>
          <w:u w:val="single"/>
          <w:lang w:val="es-ES_tradnl"/>
        </w:rPr>
        <w:t>Lo anterior sin perjuicio de las adecuaciones técnicas particulares que deban realizarse a efecto de que Telcel preste el servicio de la Oferta de Referencia a redes mayoristas</w:t>
      </w:r>
      <w:r w:rsidRPr="00244534">
        <w:rPr>
          <w:rFonts w:ascii="ITC Avant Garde" w:hAnsi="ITC Avant Garde" w:cs="Arial"/>
          <w:i/>
          <w:sz w:val="18"/>
          <w:szCs w:val="18"/>
          <w:lang w:val="es-ES_tradnl"/>
        </w:rPr>
        <w:t>.”</w:t>
      </w:r>
    </w:p>
    <w:p w14:paraId="2E795D51" w14:textId="77777777" w:rsidR="003F031C" w:rsidRPr="00244534" w:rsidRDefault="003F031C" w:rsidP="00CD6A45">
      <w:pPr>
        <w:spacing w:after="0" w:line="276" w:lineRule="auto"/>
        <w:ind w:left="0" w:right="0" w:firstLine="0"/>
        <w:rPr>
          <w:rFonts w:ascii="ITC Avant Garde" w:hAnsi="ITC Avant Garde"/>
          <w:color w:val="5B9BD5" w:themeColor="accent1"/>
        </w:rPr>
      </w:pPr>
    </w:p>
    <w:p w14:paraId="00FDA91F"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Cláusula Cuarta – Contraprestaciones </w:t>
      </w:r>
    </w:p>
    <w:p w14:paraId="1E4DC2AF"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 4.1.1 – Tarifas</w:t>
      </w:r>
    </w:p>
    <w:p w14:paraId="283284CD" w14:textId="77777777" w:rsidR="005B36F9" w:rsidRPr="00244534" w:rsidRDefault="005B36F9" w:rsidP="005B36F9">
      <w:pPr>
        <w:spacing w:after="0" w:line="276" w:lineRule="auto"/>
        <w:ind w:right="0"/>
        <w:rPr>
          <w:rFonts w:ascii="ITC Avant Garde" w:hAnsi="ITC Avant Garde"/>
          <w:color w:val="5B9BD5" w:themeColor="accent1"/>
        </w:rPr>
      </w:pPr>
    </w:p>
    <w:p w14:paraId="351D678E"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441A81D3" w14:textId="77777777" w:rsidR="005B36F9" w:rsidRPr="00244534" w:rsidRDefault="005B36F9" w:rsidP="005B36F9">
      <w:pPr>
        <w:spacing w:after="0" w:line="276" w:lineRule="auto"/>
        <w:ind w:left="0" w:right="0" w:firstLine="0"/>
        <w:rPr>
          <w:rFonts w:ascii="ITC Avant Garde" w:hAnsi="ITC Avant Garde"/>
          <w:color w:val="auto"/>
        </w:rPr>
      </w:pPr>
    </w:p>
    <w:p w14:paraId="47F34592" w14:textId="77777777" w:rsidR="00025D0F" w:rsidRPr="00244534" w:rsidRDefault="00025D0F" w:rsidP="005B36F9">
      <w:pPr>
        <w:spacing w:after="0" w:line="276" w:lineRule="auto"/>
        <w:ind w:left="0" w:right="0" w:firstLine="0"/>
        <w:rPr>
          <w:rFonts w:ascii="ITC Avant Garde" w:hAnsi="ITC Avant Garde"/>
          <w:color w:val="auto"/>
        </w:rPr>
      </w:pPr>
      <w:r w:rsidRPr="00244534">
        <w:rPr>
          <w:rFonts w:ascii="ITC Avant Garde" w:hAnsi="ITC Avant Garde"/>
          <w:color w:val="auto"/>
        </w:rPr>
        <w:t>El concesionario solicita la inclusión de una definición clara</w:t>
      </w:r>
      <w:r w:rsidR="00D40FDA" w:rsidRPr="00244534">
        <w:rPr>
          <w:rFonts w:ascii="ITC Avant Garde" w:hAnsi="ITC Avant Garde"/>
          <w:color w:val="auto"/>
        </w:rPr>
        <w:t xml:space="preserve"> de “Servicios Adicionales”</w:t>
      </w:r>
      <w:r w:rsidR="00412AEF" w:rsidRPr="00244534">
        <w:rPr>
          <w:rFonts w:ascii="ITC Avant Garde" w:hAnsi="ITC Avant Garde"/>
          <w:color w:val="auto"/>
        </w:rPr>
        <w:t xml:space="preserve">, así como una lista de los servicios considerados como tal. </w:t>
      </w:r>
    </w:p>
    <w:p w14:paraId="5AC0BFF7" w14:textId="77777777" w:rsidR="00025D0F" w:rsidRPr="00244534" w:rsidRDefault="00025D0F" w:rsidP="005B36F9">
      <w:pPr>
        <w:spacing w:after="0" w:line="276" w:lineRule="auto"/>
        <w:ind w:left="0" w:right="0" w:firstLine="0"/>
        <w:rPr>
          <w:rFonts w:ascii="ITC Avant Garde" w:hAnsi="ITC Avant Garde"/>
          <w:color w:val="auto"/>
        </w:rPr>
      </w:pPr>
    </w:p>
    <w:p w14:paraId="2F913CF9"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71DCF8EA" w14:textId="77777777" w:rsidR="00F04FB4" w:rsidRPr="00244534" w:rsidRDefault="00F04FB4" w:rsidP="005B36F9">
      <w:pPr>
        <w:spacing w:after="0" w:line="276" w:lineRule="auto"/>
        <w:ind w:left="0" w:right="0" w:firstLine="0"/>
        <w:rPr>
          <w:rFonts w:ascii="ITC Avant Garde" w:hAnsi="ITC Avant Garde"/>
          <w:color w:val="auto"/>
        </w:rPr>
      </w:pPr>
    </w:p>
    <w:p w14:paraId="45462EC1" w14:textId="77777777" w:rsidR="005B36F9" w:rsidRPr="00244534" w:rsidRDefault="008B77C5" w:rsidP="005B36F9">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Se incorpora esta definición a</w:t>
      </w:r>
      <w:r w:rsidR="00654894" w:rsidRPr="00244534">
        <w:rPr>
          <w:rFonts w:ascii="ITC Avant Garde" w:hAnsi="ITC Avant Garde"/>
          <w:color w:val="5B9BD5" w:themeColor="accent1"/>
        </w:rPr>
        <w:t xml:space="preserve"> efecto</w:t>
      </w:r>
      <w:r w:rsidR="00635474" w:rsidRPr="00244534">
        <w:rPr>
          <w:rFonts w:ascii="ITC Avant Garde" w:hAnsi="ITC Avant Garde"/>
          <w:color w:val="5B9BD5" w:themeColor="accent1"/>
        </w:rPr>
        <w:t xml:space="preserve"> de mantener</w:t>
      </w:r>
      <w:r w:rsidR="00654894" w:rsidRPr="00244534">
        <w:rPr>
          <w:rFonts w:ascii="ITC Avant Garde" w:hAnsi="ITC Avant Garde"/>
          <w:color w:val="5B9BD5" w:themeColor="accent1"/>
        </w:rPr>
        <w:t xml:space="preserve"> la congruencia en el uso del término “Servicios Adicionales” tanto en la Oferta como en el Convenio</w:t>
      </w:r>
      <w:r w:rsidRPr="00244534">
        <w:rPr>
          <w:rFonts w:ascii="ITC Avant Garde" w:hAnsi="ITC Avant Garde"/>
          <w:color w:val="5B9BD5" w:themeColor="accent1"/>
        </w:rPr>
        <w:t xml:space="preserve">. </w:t>
      </w:r>
      <w:r w:rsidR="00635474" w:rsidRPr="00244534">
        <w:rPr>
          <w:rFonts w:ascii="ITC Avant Garde" w:hAnsi="ITC Avant Garde"/>
          <w:color w:val="5B9BD5" w:themeColor="accent1"/>
        </w:rPr>
        <w:t xml:space="preserve"> </w:t>
      </w:r>
    </w:p>
    <w:p w14:paraId="307C84CC" w14:textId="77777777" w:rsidR="005B36F9" w:rsidRPr="00244534" w:rsidRDefault="005B36F9" w:rsidP="005B36F9">
      <w:pPr>
        <w:spacing w:after="0" w:line="276" w:lineRule="auto"/>
        <w:ind w:left="0" w:right="0" w:firstLine="0"/>
        <w:rPr>
          <w:rFonts w:ascii="ITC Avant Garde" w:hAnsi="ITC Avant Garde"/>
          <w:color w:val="auto"/>
        </w:rPr>
      </w:pPr>
    </w:p>
    <w:p w14:paraId="33FF420E"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Cláusula Cuarta – Contraprestaciones.</w:t>
      </w:r>
    </w:p>
    <w:p w14:paraId="6295D28C"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 4.1.2 – Vigencia de Tarifas</w:t>
      </w:r>
    </w:p>
    <w:p w14:paraId="28BB3F4B" w14:textId="77777777" w:rsidR="005B36F9" w:rsidRPr="00244534" w:rsidRDefault="005B36F9" w:rsidP="005B36F9">
      <w:pPr>
        <w:spacing w:after="0" w:line="276" w:lineRule="auto"/>
        <w:ind w:right="0"/>
        <w:rPr>
          <w:rFonts w:ascii="ITC Avant Garde" w:hAnsi="ITC Avant Garde"/>
          <w:b/>
          <w:color w:val="auto"/>
          <w:u w:val="single"/>
        </w:rPr>
      </w:pPr>
    </w:p>
    <w:p w14:paraId="3277F272" w14:textId="77777777" w:rsidR="005B36F9" w:rsidRPr="00244534" w:rsidRDefault="005B36F9" w:rsidP="005B36F9">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3E9CBCDB" w14:textId="77777777" w:rsidR="005B36F9" w:rsidRPr="00244534" w:rsidRDefault="005B36F9" w:rsidP="005B36F9">
      <w:pPr>
        <w:spacing w:after="0" w:line="276" w:lineRule="auto"/>
        <w:ind w:right="0"/>
        <w:rPr>
          <w:rFonts w:ascii="ITC Avant Garde" w:hAnsi="ITC Avant Garde"/>
          <w:b/>
          <w:color w:val="auto"/>
        </w:rPr>
      </w:pPr>
    </w:p>
    <w:p w14:paraId="1E05F54D" w14:textId="77777777" w:rsidR="005B36F9" w:rsidRPr="00244534" w:rsidRDefault="006F1B07" w:rsidP="005B36F9">
      <w:pPr>
        <w:spacing w:after="0" w:line="276" w:lineRule="auto"/>
        <w:ind w:right="0"/>
        <w:rPr>
          <w:rFonts w:ascii="ITC Avant Garde" w:hAnsi="ITC Avant Garde"/>
          <w:color w:val="auto"/>
        </w:rPr>
      </w:pPr>
      <w:r w:rsidRPr="00244534">
        <w:rPr>
          <w:rFonts w:ascii="ITC Avant Garde" w:hAnsi="ITC Avant Garde"/>
          <w:color w:val="auto"/>
        </w:rPr>
        <w:t>O</w:t>
      </w:r>
      <w:r w:rsidR="005B36F9" w:rsidRPr="00244534">
        <w:rPr>
          <w:rFonts w:ascii="ITC Avant Garde" w:hAnsi="ITC Avant Garde"/>
          <w:color w:val="auto"/>
        </w:rPr>
        <w:t>pina que el Instituto debe fijar las tarifas</w:t>
      </w:r>
      <w:r w:rsidR="00C720DA" w:rsidRPr="00244534">
        <w:rPr>
          <w:rFonts w:ascii="ITC Avant Garde" w:hAnsi="ITC Avant Garde"/>
          <w:color w:val="auto"/>
        </w:rPr>
        <w:t xml:space="preserve"> sin que exista un proceso</w:t>
      </w:r>
      <w:r w:rsidR="005B36F9" w:rsidRPr="00244534">
        <w:rPr>
          <w:rFonts w:ascii="ITC Avant Garde" w:hAnsi="ITC Avant Garde"/>
          <w:color w:val="auto"/>
        </w:rPr>
        <w:t xml:space="preserve"> de negocia</w:t>
      </w:r>
      <w:r w:rsidR="00A317EF" w:rsidRPr="00244534">
        <w:rPr>
          <w:rFonts w:ascii="ITC Avant Garde" w:hAnsi="ITC Avant Garde"/>
          <w:color w:val="auto"/>
        </w:rPr>
        <w:t>ción entre el AEP y el concesionario</w:t>
      </w:r>
      <w:r w:rsidR="00C720DA" w:rsidRPr="00244534">
        <w:rPr>
          <w:rFonts w:ascii="ITC Avant Garde" w:hAnsi="ITC Avant Garde"/>
          <w:color w:val="auto"/>
        </w:rPr>
        <w:t>, a no ser que Telcel</w:t>
      </w:r>
      <w:r w:rsidR="005B36F9" w:rsidRPr="00244534">
        <w:rPr>
          <w:rFonts w:ascii="ITC Avant Garde" w:hAnsi="ITC Avant Garde"/>
          <w:color w:val="auto"/>
        </w:rPr>
        <w:t xml:space="preserve"> ofrezca a</w:t>
      </w:r>
      <w:r w:rsidR="00C720DA" w:rsidRPr="00244534">
        <w:rPr>
          <w:rFonts w:ascii="ITC Avant Garde" w:hAnsi="ITC Avant Garde"/>
          <w:color w:val="auto"/>
        </w:rPr>
        <w:t>l Concesionario Solicitantes</w:t>
      </w:r>
      <w:r w:rsidR="005B36F9" w:rsidRPr="00244534">
        <w:rPr>
          <w:rFonts w:ascii="ITC Avant Garde" w:hAnsi="ITC Avant Garde"/>
          <w:color w:val="auto"/>
        </w:rPr>
        <w:t xml:space="preserve"> tarifas más bajas</w:t>
      </w:r>
      <w:r w:rsidR="00C720DA" w:rsidRPr="00244534">
        <w:rPr>
          <w:rFonts w:ascii="ITC Avant Garde" w:hAnsi="ITC Avant Garde"/>
          <w:color w:val="auto"/>
        </w:rPr>
        <w:t xml:space="preserve"> que las vigentes</w:t>
      </w:r>
      <w:r w:rsidR="005B36F9" w:rsidRPr="00244534">
        <w:rPr>
          <w:rFonts w:ascii="ITC Avant Garde" w:hAnsi="ITC Avant Garde"/>
          <w:color w:val="auto"/>
        </w:rPr>
        <w:t xml:space="preserve"> en el mercado. </w:t>
      </w:r>
      <w:r w:rsidR="00C720DA" w:rsidRPr="00244534">
        <w:rPr>
          <w:rFonts w:ascii="ITC Avant Garde" w:hAnsi="ITC Avant Garde"/>
          <w:color w:val="auto"/>
        </w:rPr>
        <w:t>Manifiesta que los descuentos deben ser trasparentes</w:t>
      </w:r>
      <w:r w:rsidR="00B175EE" w:rsidRPr="00244534">
        <w:rPr>
          <w:rFonts w:ascii="ITC Avant Garde" w:hAnsi="ITC Avant Garde"/>
          <w:color w:val="auto"/>
        </w:rPr>
        <w:t xml:space="preserve"> y no discriminatorios.</w:t>
      </w:r>
      <w:r w:rsidR="00C720DA" w:rsidRPr="00244534">
        <w:rPr>
          <w:rFonts w:ascii="ITC Avant Garde" w:hAnsi="ITC Avant Garde"/>
          <w:color w:val="auto"/>
        </w:rPr>
        <w:t xml:space="preserve"> </w:t>
      </w:r>
    </w:p>
    <w:p w14:paraId="65A05958" w14:textId="77777777" w:rsidR="005B36F9" w:rsidRPr="00244534" w:rsidRDefault="005B36F9" w:rsidP="005B36F9">
      <w:pPr>
        <w:spacing w:after="0" w:line="276" w:lineRule="auto"/>
        <w:ind w:right="0"/>
        <w:rPr>
          <w:rFonts w:ascii="ITC Avant Garde" w:hAnsi="ITC Avant Garde"/>
          <w:color w:val="auto"/>
        </w:rPr>
      </w:pPr>
    </w:p>
    <w:p w14:paraId="53908505" w14:textId="77777777" w:rsidR="00F04FB4" w:rsidRPr="00244534" w:rsidRDefault="00F04FB4" w:rsidP="00F04FB4">
      <w:pPr>
        <w:pStyle w:val="Listaconvietas"/>
        <w:numPr>
          <w:ilvl w:val="0"/>
          <w:numId w:val="0"/>
        </w:numPr>
        <w:rPr>
          <w:i/>
          <w:color w:val="auto"/>
          <w:lang w:val="es-MX"/>
        </w:rPr>
      </w:pPr>
      <w:r w:rsidRPr="00244534">
        <w:rPr>
          <w:i/>
          <w:color w:val="auto"/>
          <w:lang w:val="es-MX"/>
        </w:rPr>
        <w:lastRenderedPageBreak/>
        <w:t>Consideraciones del Instituto</w:t>
      </w:r>
    </w:p>
    <w:p w14:paraId="6A4BFAEA" w14:textId="77777777" w:rsidR="00F04FB4" w:rsidRPr="00244534" w:rsidRDefault="00F04FB4" w:rsidP="005B36F9">
      <w:pPr>
        <w:spacing w:after="0" w:line="276" w:lineRule="auto"/>
        <w:ind w:right="0"/>
        <w:rPr>
          <w:rFonts w:ascii="ITC Avant Garde" w:hAnsi="ITC Avant Garde"/>
          <w:color w:val="auto"/>
        </w:rPr>
      </w:pPr>
    </w:p>
    <w:p w14:paraId="7FE5C4A3" w14:textId="77777777" w:rsidR="005B36F9" w:rsidRPr="00244534" w:rsidRDefault="004C04DA" w:rsidP="005B36F9">
      <w:pPr>
        <w:spacing w:after="0" w:line="276" w:lineRule="auto"/>
        <w:ind w:right="0"/>
        <w:rPr>
          <w:rFonts w:ascii="ITC Avant Garde" w:hAnsi="ITC Avant Garde"/>
          <w:color w:val="5B9BD5" w:themeColor="accent1"/>
        </w:rPr>
      </w:pPr>
      <w:r w:rsidRPr="00244534">
        <w:rPr>
          <w:rFonts w:ascii="ITC Avant Garde" w:hAnsi="ITC Avant Garde"/>
          <w:color w:val="5B9BD5" w:themeColor="accent1"/>
        </w:rPr>
        <w:t>El numeral en cuestión se mantiene</w:t>
      </w:r>
      <w:r w:rsidR="00832401" w:rsidRPr="00244534">
        <w:rPr>
          <w:rFonts w:ascii="ITC Avant Garde" w:hAnsi="ITC Avant Garde"/>
          <w:color w:val="5B9BD5" w:themeColor="accent1"/>
        </w:rPr>
        <w:t xml:space="preserve"> en los</w:t>
      </w:r>
      <w:r w:rsidR="008C515C" w:rsidRPr="00244534">
        <w:rPr>
          <w:rFonts w:ascii="ITC Avant Garde" w:hAnsi="ITC Avant Garde"/>
          <w:color w:val="5B9BD5" w:themeColor="accent1"/>
        </w:rPr>
        <w:t xml:space="preserve"> términos</w:t>
      </w:r>
      <w:r w:rsidR="00832401" w:rsidRPr="00244534">
        <w:rPr>
          <w:rFonts w:ascii="ITC Avant Garde" w:hAnsi="ITC Avant Garde"/>
          <w:color w:val="5B9BD5" w:themeColor="accent1"/>
        </w:rPr>
        <w:t xml:space="preserve"> presentados en la Oferta de Referencia</w:t>
      </w:r>
      <w:r w:rsidR="008C515C" w:rsidRPr="00244534">
        <w:rPr>
          <w:rFonts w:ascii="ITC Avant Garde" w:hAnsi="ITC Avant Garde"/>
          <w:color w:val="5B9BD5" w:themeColor="accent1"/>
        </w:rPr>
        <w:t xml:space="preserve"> ya que es congruente con lo establecido en</w:t>
      </w:r>
      <w:r w:rsidRPr="00244534">
        <w:rPr>
          <w:rFonts w:ascii="ITC Avant Garde" w:hAnsi="ITC Avant Garde"/>
          <w:color w:val="5B9BD5" w:themeColor="accent1"/>
        </w:rPr>
        <w:t xml:space="preserve"> </w:t>
      </w:r>
      <w:r w:rsidR="008C515C" w:rsidRPr="00244534">
        <w:rPr>
          <w:rFonts w:ascii="ITC Avant Garde" w:hAnsi="ITC Avant Garde"/>
          <w:color w:val="5B9BD5" w:themeColor="accent1"/>
        </w:rPr>
        <w:t>l</w:t>
      </w:r>
      <w:r w:rsidRPr="00244534">
        <w:rPr>
          <w:rFonts w:ascii="ITC Avant Garde" w:hAnsi="ITC Avant Garde"/>
          <w:color w:val="5B9BD5" w:themeColor="accent1"/>
        </w:rPr>
        <w:t>a Medida Sexagésima de las Medidas Móviles</w:t>
      </w:r>
      <w:r w:rsidR="00832401" w:rsidRPr="00244534">
        <w:rPr>
          <w:rFonts w:ascii="ITC Avant Garde" w:hAnsi="ITC Avant Garde"/>
          <w:color w:val="5B9BD5" w:themeColor="accent1"/>
        </w:rPr>
        <w:t>, la cual establece:</w:t>
      </w:r>
    </w:p>
    <w:p w14:paraId="2CB5950E" w14:textId="77777777" w:rsidR="008C515C" w:rsidRPr="00244534" w:rsidRDefault="008C515C" w:rsidP="005B36F9">
      <w:pPr>
        <w:spacing w:after="0" w:line="276" w:lineRule="auto"/>
        <w:ind w:right="0"/>
        <w:rPr>
          <w:rFonts w:ascii="ITC Avant Garde" w:hAnsi="ITC Avant Garde"/>
          <w:color w:val="5B9BD5" w:themeColor="accent1"/>
        </w:rPr>
      </w:pPr>
    </w:p>
    <w:p w14:paraId="4D240D08" w14:textId="77777777" w:rsidR="004C04DA" w:rsidRPr="00244534" w:rsidRDefault="00832401" w:rsidP="004C04DA">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r w:rsidR="004C04DA" w:rsidRPr="00244534">
        <w:rPr>
          <w:rFonts w:ascii="ITC Avant Garde" w:eastAsia="Calibri" w:hAnsi="ITC Avant Garde" w:cs="Arial"/>
          <w:i/>
          <w:color w:val="5B9BD5" w:themeColor="accent1"/>
          <w:sz w:val="18"/>
          <w:szCs w:val="18"/>
          <w:lang w:eastAsia="en-US"/>
        </w:rPr>
        <w:t xml:space="preserve">SEXAGÉSIMA.- El Agente Económico Preponderante incluirá las tarifas aplicables al Servicio Mayorista de Usuario Visitante, en la Oferta de Referencia aprobada por el Instituto. </w:t>
      </w:r>
    </w:p>
    <w:p w14:paraId="7B14C8AA" w14:textId="77777777" w:rsidR="00832401" w:rsidRPr="00244534" w:rsidRDefault="00832401" w:rsidP="004C04DA">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67631D03" w14:textId="77777777" w:rsidR="004C04DA" w:rsidRPr="00244534" w:rsidRDefault="004C04DA" w:rsidP="004C04DA">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u w:val="single"/>
          <w:lang w:eastAsia="en-US"/>
        </w:rPr>
        <w:t>Independientemente de las tarifas establecidas en la Oferta de Referencia, el Agente Económico Preponderante y el Concesionario Solicitante podrán negociar entre sí nuevas tarifas</w:t>
      </w:r>
      <w:r w:rsidRPr="00244534">
        <w:rPr>
          <w:rFonts w:ascii="ITC Avant Garde" w:eastAsia="Calibri" w:hAnsi="ITC Avant Garde" w:cs="Arial"/>
          <w:i/>
          <w:color w:val="5B9BD5" w:themeColor="accent1"/>
          <w:sz w:val="18"/>
          <w:szCs w:val="18"/>
          <w:lang w:eastAsia="en-US"/>
        </w:rPr>
        <w:t xml:space="preserve">. </w:t>
      </w:r>
    </w:p>
    <w:p w14:paraId="605CF4A6" w14:textId="77777777" w:rsidR="00832401" w:rsidRPr="00244534" w:rsidRDefault="00832401" w:rsidP="004C04DA">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6922681B" w14:textId="77777777" w:rsidR="004C04DA" w:rsidRPr="00244534" w:rsidRDefault="004C04DA" w:rsidP="004C04DA">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u w:val="single"/>
          <w:lang w:eastAsia="en-US"/>
        </w:rPr>
        <w:t>Si transcurridos 60 (sesenta) días naturales contados a partir del inicio de las negociaciones, las partes no han celebrado un acuerdo, o antes si así lo requieren ambas partes, podrán solicitar la intervención del Instituto para resolver el desacuerdo. En dicho caso, el Instituto determinará las tarifas con base en una metodología de costos incrementales promedio de largo plazo, que al efecto emita</w:t>
      </w:r>
      <w:r w:rsidRPr="00244534">
        <w:rPr>
          <w:rFonts w:ascii="ITC Avant Garde" w:eastAsia="Calibri" w:hAnsi="ITC Avant Garde" w:cs="Arial"/>
          <w:i/>
          <w:color w:val="5B9BD5" w:themeColor="accent1"/>
          <w:sz w:val="18"/>
          <w:szCs w:val="18"/>
          <w:lang w:eastAsia="en-US"/>
        </w:rPr>
        <w:t xml:space="preserve">. </w:t>
      </w:r>
    </w:p>
    <w:p w14:paraId="6800D1E9" w14:textId="77777777" w:rsidR="00832401" w:rsidRPr="00244534" w:rsidRDefault="00832401" w:rsidP="004C04DA">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0281CC63" w14:textId="77777777" w:rsidR="00832401" w:rsidRPr="00244534" w:rsidRDefault="00CD6A45" w:rsidP="00832401">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r w:rsidR="00832401" w:rsidRPr="00244534">
        <w:rPr>
          <w:rFonts w:ascii="ITC Avant Garde" w:eastAsia="Calibri" w:hAnsi="ITC Avant Garde" w:cs="Arial"/>
          <w:i/>
          <w:color w:val="5B9BD5" w:themeColor="accent1"/>
          <w:sz w:val="18"/>
          <w:szCs w:val="18"/>
          <w:lang w:eastAsia="en-US"/>
        </w:rPr>
        <w:t>”</w:t>
      </w:r>
    </w:p>
    <w:p w14:paraId="488AA54A" w14:textId="77777777" w:rsidR="002A7E0A" w:rsidRPr="00244534" w:rsidRDefault="002A7E0A" w:rsidP="00832401">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09F3F1FD" w14:textId="77777777" w:rsidR="002A7E0A" w:rsidRPr="00244534" w:rsidRDefault="002A7E0A" w:rsidP="002A7E0A">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6E9722D1" w14:textId="77777777" w:rsidR="005B36F9" w:rsidRPr="00244534" w:rsidRDefault="005B36F9" w:rsidP="00CD6A45">
      <w:pPr>
        <w:spacing w:after="0" w:line="276" w:lineRule="auto"/>
        <w:ind w:left="0" w:right="0" w:firstLine="0"/>
        <w:rPr>
          <w:rFonts w:ascii="ITC Avant Garde" w:hAnsi="ITC Avant Garde"/>
          <w:color w:val="5B9BD5" w:themeColor="accent1"/>
        </w:rPr>
      </w:pPr>
    </w:p>
    <w:p w14:paraId="371F96B3" w14:textId="77777777" w:rsidR="009A2CF1" w:rsidRPr="00244534" w:rsidRDefault="009A2CF1" w:rsidP="009A2CF1">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51E524B9" w14:textId="77777777" w:rsidR="005B36F9" w:rsidRPr="00244534" w:rsidRDefault="005B36F9" w:rsidP="005B36F9">
      <w:pPr>
        <w:spacing w:after="0" w:line="276" w:lineRule="auto"/>
        <w:ind w:right="0"/>
        <w:rPr>
          <w:rFonts w:ascii="ITC Avant Garde" w:hAnsi="ITC Avant Garde"/>
          <w:color w:val="5B9BD5" w:themeColor="accent1"/>
        </w:rPr>
      </w:pPr>
    </w:p>
    <w:p w14:paraId="5EBEA2EC" w14:textId="6B4B220E" w:rsidR="00AE6827" w:rsidRPr="00244534" w:rsidRDefault="003E695B" w:rsidP="005B36F9">
      <w:pPr>
        <w:spacing w:line="276" w:lineRule="auto"/>
        <w:ind w:left="0" w:firstLine="0"/>
        <w:rPr>
          <w:rFonts w:ascii="ITC Avant Garde" w:hAnsi="ITC Avant Garde" w:cs="Arial"/>
        </w:rPr>
      </w:pPr>
      <w:r w:rsidRPr="00244534">
        <w:rPr>
          <w:rFonts w:ascii="ITC Avant Garde" w:hAnsi="ITC Avant Garde" w:cs="Arial"/>
        </w:rPr>
        <w:t>S</w:t>
      </w:r>
      <w:r w:rsidR="00AE6827" w:rsidRPr="00244534">
        <w:rPr>
          <w:rFonts w:ascii="ITC Avant Garde" w:hAnsi="ITC Avant Garde" w:cs="Arial"/>
        </w:rPr>
        <w:t>olicita que las nuevas condiciones impuestas por el Instituto en la Oferta de Referencia deben reemplazar automáticamente a aquellas consideradas en el Convenio entre operadores. Además, las revisiones de las tarifas se deben realizar cuando el Instituto lo considere oportuno. Asimismo, sugiere la siguiente modificación al penúltimo párrafo del numeral 4.1.2:</w:t>
      </w:r>
    </w:p>
    <w:p w14:paraId="527D3025" w14:textId="77777777" w:rsidR="00AE6827" w:rsidRPr="00244534" w:rsidRDefault="00AE6827" w:rsidP="005B36F9">
      <w:pPr>
        <w:spacing w:line="276" w:lineRule="auto"/>
        <w:ind w:left="0" w:firstLine="0"/>
        <w:rPr>
          <w:rFonts w:ascii="ITC Avant Garde" w:hAnsi="ITC Avant Garde" w:cs="Arial"/>
        </w:rPr>
      </w:pPr>
    </w:p>
    <w:p w14:paraId="27ACD150" w14:textId="77777777" w:rsidR="00AE6827" w:rsidRPr="00244534" w:rsidRDefault="00973212" w:rsidP="00973212">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w:t>
      </w:r>
      <w:r w:rsidR="00AE6827" w:rsidRPr="00244534">
        <w:rPr>
          <w:rFonts w:ascii="ITC Avant Garde" w:eastAsia="Calibri" w:hAnsi="ITC Avant Garde" w:cs="Arial"/>
          <w:i/>
          <w:color w:val="auto"/>
          <w:sz w:val="18"/>
          <w:szCs w:val="18"/>
          <w:lang w:eastAsia="en-US"/>
        </w:rPr>
        <w:t xml:space="preserve">En caso de que el Instituto determine mediante resolución las Nuevas Tarifas </w:t>
      </w:r>
      <w:r w:rsidR="00AE6827" w:rsidRPr="00244534">
        <w:rPr>
          <w:rFonts w:ascii="ITC Avant Garde" w:eastAsia="Calibri" w:hAnsi="ITC Avant Garde" w:cs="Arial"/>
          <w:i/>
          <w:strike/>
          <w:color w:val="auto"/>
          <w:sz w:val="18"/>
          <w:szCs w:val="18"/>
          <w:lang w:eastAsia="en-US"/>
        </w:rPr>
        <w:t>dentro de algún periodo de duración de las prórrogas</w:t>
      </w:r>
      <w:r w:rsidR="00AE6827" w:rsidRPr="00244534">
        <w:rPr>
          <w:rFonts w:ascii="ITC Avant Garde" w:eastAsia="Calibri" w:hAnsi="ITC Avant Garde" w:cs="Arial"/>
          <w:i/>
          <w:color w:val="auto"/>
          <w:sz w:val="18"/>
          <w:szCs w:val="18"/>
          <w:lang w:eastAsia="en-US"/>
        </w:rPr>
        <w:t>, las Partes se regirán por éstas al momento de que surta efectos la resolución.</w:t>
      </w:r>
      <w:r w:rsidRPr="00244534">
        <w:rPr>
          <w:rFonts w:ascii="ITC Avant Garde" w:eastAsia="Calibri" w:hAnsi="ITC Avant Garde" w:cs="Arial"/>
          <w:i/>
          <w:color w:val="auto"/>
          <w:sz w:val="18"/>
          <w:szCs w:val="18"/>
          <w:lang w:eastAsia="en-US"/>
        </w:rPr>
        <w:t>”</w:t>
      </w:r>
    </w:p>
    <w:p w14:paraId="2BE6A3AF" w14:textId="77777777" w:rsidR="00D73060" w:rsidRPr="00244534" w:rsidRDefault="00D73060" w:rsidP="00973212">
      <w:pPr>
        <w:pStyle w:val="Prrafodelista"/>
        <w:spacing w:after="0" w:line="276" w:lineRule="auto"/>
        <w:ind w:right="615" w:firstLine="0"/>
        <w:rPr>
          <w:rFonts w:ascii="ITC Avant Garde" w:eastAsia="Calibri" w:hAnsi="ITC Avant Garde" w:cs="Arial"/>
          <w:i/>
          <w:color w:val="auto"/>
          <w:sz w:val="18"/>
          <w:szCs w:val="18"/>
          <w:lang w:eastAsia="en-US"/>
        </w:rPr>
      </w:pPr>
    </w:p>
    <w:p w14:paraId="4A223E33" w14:textId="77777777" w:rsidR="00D73060" w:rsidRPr="00244534" w:rsidRDefault="00D73060" w:rsidP="00D73060">
      <w:pPr>
        <w:pStyle w:val="Prrafodelista"/>
        <w:spacing w:after="0" w:line="276" w:lineRule="auto"/>
        <w:ind w:right="615" w:firstLine="0"/>
        <w:jc w:val="right"/>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(Énfasis añadido)</w:t>
      </w:r>
    </w:p>
    <w:p w14:paraId="1EB90B43" w14:textId="77777777" w:rsidR="005B36F9" w:rsidRPr="00244534" w:rsidRDefault="005B36F9" w:rsidP="005B36F9">
      <w:pPr>
        <w:spacing w:after="0" w:line="276" w:lineRule="auto"/>
        <w:ind w:left="0" w:right="0" w:firstLine="0"/>
        <w:rPr>
          <w:rFonts w:ascii="ITC Avant Garde" w:hAnsi="ITC Avant Garde" w:cs="Arial"/>
          <w:color w:val="auto"/>
          <w:u w:val="single"/>
        </w:rPr>
      </w:pPr>
    </w:p>
    <w:p w14:paraId="3BF1CFEC"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6C26E9F" w14:textId="77777777" w:rsidR="00F04FB4" w:rsidRPr="00244534" w:rsidRDefault="00F04FB4" w:rsidP="005B36F9">
      <w:pPr>
        <w:spacing w:after="0" w:line="276" w:lineRule="auto"/>
        <w:ind w:left="0" w:right="0" w:firstLine="0"/>
        <w:rPr>
          <w:rFonts w:ascii="ITC Avant Garde" w:hAnsi="ITC Avant Garde" w:cs="Arial"/>
          <w:color w:val="auto"/>
          <w:u w:val="single"/>
        </w:rPr>
      </w:pPr>
    </w:p>
    <w:p w14:paraId="2C1A9418" w14:textId="77777777" w:rsidR="00441918" w:rsidRPr="00244534" w:rsidRDefault="00441918" w:rsidP="005D268B">
      <w:pPr>
        <w:spacing w:after="0" w:line="276" w:lineRule="auto"/>
        <w:ind w:right="0"/>
        <w:rPr>
          <w:rFonts w:ascii="ITC Avant Garde" w:hAnsi="ITC Avant Garde" w:cs="Arial"/>
          <w:color w:val="5B9BD5" w:themeColor="accent1"/>
        </w:rPr>
      </w:pPr>
      <w:r w:rsidRPr="00244534">
        <w:rPr>
          <w:rFonts w:ascii="ITC Avant Garde" w:hAnsi="ITC Avant Garde" w:cs="Arial"/>
          <w:color w:val="5B9BD5" w:themeColor="accent1"/>
        </w:rPr>
        <w:t>Respecto a las tarifas, en la Oferta se establece que en caso de que el Instituto determine mediante resolución las Nuevas Tarifas dentro de algún periodo de duración de las prórrogas, las Partes se regirán por éstas al momento de que surta efectos la resolución.</w:t>
      </w:r>
    </w:p>
    <w:p w14:paraId="12B01764" w14:textId="77777777" w:rsidR="00441918" w:rsidRPr="00244534" w:rsidRDefault="00441918" w:rsidP="005D268B">
      <w:pPr>
        <w:spacing w:after="0" w:line="276" w:lineRule="auto"/>
        <w:ind w:right="0"/>
        <w:rPr>
          <w:rFonts w:ascii="ITC Avant Garde" w:hAnsi="ITC Avant Garde" w:cs="Arial"/>
          <w:color w:val="5B9BD5" w:themeColor="accent1"/>
        </w:rPr>
      </w:pPr>
    </w:p>
    <w:p w14:paraId="087E136D" w14:textId="77777777" w:rsidR="005D268B" w:rsidRPr="00244534" w:rsidRDefault="00441918" w:rsidP="005D268B">
      <w:pPr>
        <w:spacing w:after="0" w:line="276" w:lineRule="auto"/>
        <w:ind w:right="0"/>
        <w:rPr>
          <w:rFonts w:ascii="ITC Avant Garde" w:hAnsi="ITC Avant Garde"/>
          <w:color w:val="5B9BD5" w:themeColor="accent1"/>
        </w:rPr>
      </w:pPr>
      <w:r w:rsidRPr="00244534">
        <w:rPr>
          <w:rFonts w:ascii="ITC Avant Garde" w:hAnsi="ITC Avant Garde" w:cs="Arial"/>
          <w:color w:val="5B9BD5" w:themeColor="accent1"/>
        </w:rPr>
        <w:t xml:space="preserve">Asimismo, respecto a las revisiones de las tarifas por parte del Instituto se señala que </w:t>
      </w:r>
      <w:r w:rsidR="005D268B" w:rsidRPr="00244534">
        <w:rPr>
          <w:rFonts w:ascii="ITC Avant Garde" w:hAnsi="ITC Avant Garde" w:cs="Arial"/>
          <w:color w:val="5B9BD5" w:themeColor="accent1"/>
        </w:rPr>
        <w:t xml:space="preserve">las tarifas </w:t>
      </w:r>
      <w:r w:rsidRPr="00244534">
        <w:rPr>
          <w:rFonts w:ascii="ITC Avant Garde" w:hAnsi="ITC Avant Garde" w:cs="Arial"/>
          <w:color w:val="5B9BD5" w:themeColor="accent1"/>
        </w:rPr>
        <w:t xml:space="preserve">serán </w:t>
      </w:r>
      <w:r w:rsidR="005D268B" w:rsidRPr="00244534">
        <w:rPr>
          <w:rFonts w:ascii="ITC Avant Garde" w:hAnsi="ITC Avant Garde" w:cs="Arial"/>
          <w:color w:val="5B9BD5" w:themeColor="accent1"/>
        </w:rPr>
        <w:t xml:space="preserve">resueltas por el Instituto derivado de un procedimiento de desacuerdo </w:t>
      </w:r>
      <w:r w:rsidRPr="00244534">
        <w:rPr>
          <w:rFonts w:ascii="ITC Avant Garde" w:hAnsi="ITC Avant Garde" w:cs="Arial"/>
          <w:color w:val="5B9BD5" w:themeColor="accent1"/>
        </w:rPr>
        <w:t xml:space="preserve">mismas que </w:t>
      </w:r>
      <w:r w:rsidR="005D268B" w:rsidRPr="00244534">
        <w:rPr>
          <w:rFonts w:ascii="ITC Avant Garde" w:hAnsi="ITC Avant Garde" w:cs="Arial"/>
          <w:color w:val="5B9BD5" w:themeColor="accent1"/>
        </w:rPr>
        <w:t xml:space="preserve">formarán parte del convenio tal como lo establece la </w:t>
      </w:r>
      <w:r w:rsidR="005D268B" w:rsidRPr="00244534">
        <w:rPr>
          <w:rFonts w:ascii="ITC Avant Garde" w:hAnsi="ITC Avant Garde"/>
          <w:color w:val="5B9BD5" w:themeColor="accent1"/>
        </w:rPr>
        <w:t>Medida Sexagésima de las Medidas Móviles, la cual establece:</w:t>
      </w:r>
    </w:p>
    <w:p w14:paraId="67BBE3A2" w14:textId="77777777" w:rsidR="005D268B" w:rsidRPr="00244534" w:rsidRDefault="005D268B" w:rsidP="00F95254">
      <w:pPr>
        <w:spacing w:after="0" w:line="276" w:lineRule="auto"/>
        <w:ind w:left="0" w:right="0" w:firstLine="0"/>
        <w:rPr>
          <w:rFonts w:ascii="ITC Avant Garde" w:hAnsi="ITC Avant Garde"/>
          <w:color w:val="5B9BD5" w:themeColor="accent1"/>
        </w:rPr>
      </w:pPr>
    </w:p>
    <w:p w14:paraId="2E18B00B"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“SEXAGÉSIMA.- El Agente Económico Preponderante incluirá las tarifas aplicables al Servicio Mayorista de Usuario Visitante, en la Oferta de Referencia aprobada por el Instituto. </w:t>
      </w:r>
    </w:p>
    <w:p w14:paraId="042668F2"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5094C250"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Independientemente de las tarifas establecidas en la Oferta de Referencia, el Agente Económico Preponderante y el Concesionario Solicitante podrán negociar entre sí nuevas tarifas. </w:t>
      </w:r>
    </w:p>
    <w:p w14:paraId="75EF4BF4"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7841C81F"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u w:val="single"/>
          <w:lang w:eastAsia="en-US"/>
        </w:rPr>
      </w:pPr>
      <w:r w:rsidRPr="00244534">
        <w:rPr>
          <w:rFonts w:ascii="ITC Avant Garde" w:eastAsia="Calibri" w:hAnsi="ITC Avant Garde" w:cs="Arial"/>
          <w:i/>
          <w:color w:val="5B9BD5" w:themeColor="accent1"/>
          <w:sz w:val="18"/>
          <w:szCs w:val="18"/>
          <w:u w:val="single"/>
          <w:lang w:eastAsia="en-US"/>
        </w:rPr>
        <w:t xml:space="preserve">Si transcurridos 60 (sesenta) días naturales contados a partir del inicio de las negociaciones, las partes no han celebrado un acuerdo, o antes si así lo requieren ambas partes, podrán solicitar la intervención del Instituto para resolver el desacuerdo. En dicho caso, el Instituto determinará las tarifas con base en una metodología de costos incrementales promedio de largo plazo, que al efecto emita. </w:t>
      </w:r>
    </w:p>
    <w:p w14:paraId="0EA75077"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43C69ACE"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Para tal efecto, se considerará como inicio de negociaciones la fecha en que el Concesionario Solicitante así lo notifique al Instituto y al Agente Económico Preponderante.</w:t>
      </w:r>
    </w:p>
    <w:p w14:paraId="352DA5CE"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333EA8ED"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u w:val="single"/>
          <w:lang w:eastAsia="en-US"/>
        </w:rPr>
        <w:t>Las tarifas, resultado de las negociaciones o de lo que en su caso resuelva el Instituto, pasarán a formar parte del Convenio respectivo, mismo que será considerado de carácter público</w:t>
      </w:r>
      <w:r w:rsidRPr="00244534">
        <w:rPr>
          <w:rFonts w:ascii="ITC Avant Garde" w:eastAsia="Calibri" w:hAnsi="ITC Avant Garde" w:cs="Arial"/>
          <w:i/>
          <w:color w:val="5B9BD5" w:themeColor="accent1"/>
          <w:sz w:val="18"/>
          <w:szCs w:val="18"/>
          <w:lang w:eastAsia="en-US"/>
        </w:rPr>
        <w:t>.”</w:t>
      </w:r>
    </w:p>
    <w:p w14:paraId="05E364D1" w14:textId="77777777" w:rsidR="005D268B" w:rsidRPr="00244534" w:rsidRDefault="005D268B" w:rsidP="005D268B">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7F9F5BCC" w14:textId="77777777" w:rsidR="005D268B" w:rsidRPr="00244534" w:rsidRDefault="005D268B" w:rsidP="005D268B">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1F9191F4" w14:textId="77777777" w:rsidR="005D268B" w:rsidRPr="00244534" w:rsidRDefault="005D268B" w:rsidP="005D268B">
      <w:pPr>
        <w:spacing w:after="0" w:line="276" w:lineRule="auto"/>
        <w:ind w:right="0"/>
        <w:rPr>
          <w:rFonts w:ascii="ITC Avant Garde" w:hAnsi="ITC Avant Garde"/>
          <w:color w:val="5B9BD5" w:themeColor="accent1"/>
        </w:rPr>
      </w:pPr>
    </w:p>
    <w:p w14:paraId="2E990666" w14:textId="4105B3C5" w:rsidR="005D268B" w:rsidRPr="00244534" w:rsidRDefault="00655A75" w:rsidP="005B36F9">
      <w:pPr>
        <w:spacing w:after="0" w:line="276" w:lineRule="auto"/>
        <w:ind w:left="0" w:right="0" w:firstLine="0"/>
        <w:rPr>
          <w:rFonts w:ascii="ITC Avant Garde" w:hAnsi="ITC Avant Garde" w:cs="Arial"/>
          <w:color w:val="5B9BD5" w:themeColor="accent1"/>
        </w:rPr>
      </w:pPr>
      <w:r w:rsidRPr="00244534">
        <w:rPr>
          <w:rFonts w:ascii="ITC Avant Garde" w:hAnsi="ITC Avant Garde" w:cs="Arial"/>
          <w:color w:val="5B9BD5" w:themeColor="accent1"/>
        </w:rPr>
        <w:t xml:space="preserve">Derivado de lo anterior, no </w:t>
      </w:r>
      <w:r w:rsidR="0087515C" w:rsidRPr="00244534">
        <w:rPr>
          <w:rFonts w:ascii="ITC Avant Garde" w:hAnsi="ITC Avant Garde" w:cs="Arial"/>
          <w:color w:val="5B9BD5" w:themeColor="accent1"/>
        </w:rPr>
        <w:t>son</w:t>
      </w:r>
      <w:r w:rsidRPr="00244534">
        <w:rPr>
          <w:rFonts w:ascii="ITC Avant Garde" w:hAnsi="ITC Avant Garde" w:cs="Arial"/>
          <w:color w:val="5B9BD5" w:themeColor="accent1"/>
        </w:rPr>
        <w:t xml:space="preserve"> procedente</w:t>
      </w:r>
      <w:r w:rsidR="0087515C" w:rsidRPr="00244534">
        <w:rPr>
          <w:rFonts w:ascii="ITC Avant Garde" w:hAnsi="ITC Avant Garde" w:cs="Arial"/>
          <w:color w:val="5B9BD5" w:themeColor="accent1"/>
        </w:rPr>
        <w:t>s</w:t>
      </w:r>
      <w:r w:rsidRPr="00244534">
        <w:rPr>
          <w:rFonts w:ascii="ITC Avant Garde" w:hAnsi="ITC Avant Garde" w:cs="Arial"/>
          <w:color w:val="5B9BD5" w:themeColor="accent1"/>
        </w:rPr>
        <w:t xml:space="preserve"> los cambios solicitados por </w:t>
      </w:r>
      <w:r w:rsidR="003E695B" w:rsidRPr="00244534">
        <w:rPr>
          <w:rFonts w:ascii="ITC Avant Garde" w:hAnsi="ITC Avant Garde" w:cs="Arial"/>
          <w:color w:val="5B9BD5" w:themeColor="accent1"/>
        </w:rPr>
        <w:t>Grupo Televisa</w:t>
      </w:r>
      <w:r w:rsidRPr="00244534">
        <w:rPr>
          <w:rFonts w:ascii="ITC Avant Garde" w:hAnsi="ITC Avant Garde" w:cs="Arial"/>
          <w:color w:val="5B9BD5" w:themeColor="accent1"/>
        </w:rPr>
        <w:t>.</w:t>
      </w:r>
    </w:p>
    <w:p w14:paraId="3F9738D8" w14:textId="77777777" w:rsidR="005D268B" w:rsidRPr="00244534" w:rsidRDefault="005D268B" w:rsidP="005B36F9">
      <w:pPr>
        <w:spacing w:after="0" w:line="276" w:lineRule="auto"/>
        <w:ind w:left="0" w:right="0" w:firstLine="0"/>
        <w:rPr>
          <w:rFonts w:ascii="ITC Avant Garde" w:hAnsi="ITC Avant Garde" w:cs="Arial"/>
          <w:color w:val="5B9BD5" w:themeColor="accent1"/>
        </w:rPr>
      </w:pPr>
    </w:p>
    <w:p w14:paraId="276C7C61"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Último Párrafo</w:t>
      </w:r>
    </w:p>
    <w:p w14:paraId="07EC5AC7" w14:textId="77777777" w:rsidR="005B36F9" w:rsidRPr="00244534" w:rsidRDefault="005B36F9" w:rsidP="005B36F9">
      <w:pPr>
        <w:rPr>
          <w:rFonts w:ascii="ITC Avant Garde" w:hAnsi="ITC Avant Garde" w:cs="Arial"/>
        </w:rPr>
      </w:pPr>
      <w:bookmarkStart w:id="1" w:name="_Hlk495183147"/>
    </w:p>
    <w:bookmarkEnd w:id="1"/>
    <w:p w14:paraId="116326FD" w14:textId="12CE5759" w:rsidR="005B36F9" w:rsidRPr="00244534" w:rsidRDefault="003E695B" w:rsidP="005E5201">
      <w:pPr>
        <w:spacing w:after="0" w:line="276" w:lineRule="auto"/>
        <w:ind w:left="0" w:firstLine="0"/>
        <w:rPr>
          <w:rFonts w:ascii="ITC Avant Garde" w:hAnsi="ITC Avant Garde" w:cs="Arial"/>
        </w:rPr>
      </w:pPr>
      <w:r w:rsidRPr="00244534">
        <w:rPr>
          <w:rFonts w:ascii="ITC Avant Garde" w:hAnsi="ITC Avant Garde" w:cs="Arial"/>
        </w:rPr>
        <w:t>S</w:t>
      </w:r>
      <w:r w:rsidR="002002F1" w:rsidRPr="00244534">
        <w:rPr>
          <w:rFonts w:ascii="ITC Avant Garde" w:hAnsi="ITC Avant Garde" w:cs="Arial"/>
        </w:rPr>
        <w:t>olicita eliminar el último párrafo del numeral 4.1.2</w:t>
      </w:r>
      <w:r w:rsidRPr="00244534">
        <w:rPr>
          <w:rFonts w:ascii="ITC Avant Garde" w:hAnsi="ITC Avant Garde" w:cs="Arial"/>
        </w:rPr>
        <w:t>.,</w:t>
      </w:r>
      <w:r w:rsidR="002002F1" w:rsidRPr="00244534">
        <w:rPr>
          <w:rFonts w:ascii="ITC Avant Garde" w:hAnsi="ITC Avant Garde" w:cs="Arial"/>
        </w:rPr>
        <w:t xml:space="preserve"> ya que no se debe permitir que las tarifas dejen de estar vigentes </w:t>
      </w:r>
      <w:r w:rsidR="00EF6D14" w:rsidRPr="00244534">
        <w:rPr>
          <w:rFonts w:ascii="ITC Avant Garde" w:hAnsi="ITC Avant Garde" w:cs="Arial"/>
        </w:rPr>
        <w:t>porque el AEP sigue estando obligado a prestar el servicio por su naturaleza de preponderante.</w:t>
      </w:r>
    </w:p>
    <w:p w14:paraId="23DB6F36" w14:textId="77777777" w:rsidR="002002F1" w:rsidRPr="00244534" w:rsidRDefault="002002F1" w:rsidP="005E5201">
      <w:pPr>
        <w:spacing w:after="0" w:line="276" w:lineRule="auto"/>
        <w:ind w:left="0" w:firstLine="0"/>
        <w:rPr>
          <w:rFonts w:ascii="ITC Avant Garde" w:hAnsi="ITC Avant Garde" w:cs="Arial"/>
        </w:rPr>
      </w:pPr>
    </w:p>
    <w:p w14:paraId="3446200B"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01480D08" w14:textId="77777777" w:rsidR="00F04FB4" w:rsidRPr="00244534" w:rsidRDefault="00F04FB4" w:rsidP="005E5201">
      <w:pPr>
        <w:spacing w:after="0" w:line="276" w:lineRule="auto"/>
        <w:ind w:left="0" w:firstLine="0"/>
        <w:rPr>
          <w:rFonts w:ascii="ITC Avant Garde" w:hAnsi="ITC Avant Garde" w:cs="Arial"/>
        </w:rPr>
      </w:pPr>
    </w:p>
    <w:p w14:paraId="4428A6E0" w14:textId="10F9AF73" w:rsidR="005B36F9" w:rsidRPr="00244534" w:rsidRDefault="003E695B" w:rsidP="005B36F9">
      <w:pPr>
        <w:spacing w:after="0" w:line="276" w:lineRule="auto"/>
        <w:rPr>
          <w:rFonts w:ascii="ITC Avant Garde" w:hAnsi="ITC Avant Garde" w:cs="Arial"/>
          <w:color w:val="5B9BD5" w:themeColor="accent1"/>
        </w:rPr>
      </w:pPr>
      <w:r w:rsidRPr="00244534">
        <w:rPr>
          <w:rFonts w:ascii="ITC Avant Garde" w:hAnsi="ITC Avant Garde" w:cs="Arial"/>
          <w:color w:val="5B9BD5" w:themeColor="accent1"/>
        </w:rPr>
        <w:t>Al respecto, n</w:t>
      </w:r>
      <w:r w:rsidR="00B15103" w:rsidRPr="00244534">
        <w:rPr>
          <w:rFonts w:ascii="ITC Avant Garde" w:hAnsi="ITC Avant Garde" w:cs="Arial"/>
          <w:color w:val="5B9BD5" w:themeColor="accent1"/>
        </w:rPr>
        <w:t>o existe la posibilidad de que el AEP deje de prestar los servicios de la Oferta de Referencia derivado del término de la vigencia de ésta, ya que la medida Septuagésima Quinta de las Medidas Móviles establece:</w:t>
      </w:r>
    </w:p>
    <w:p w14:paraId="6696B757" w14:textId="77777777" w:rsidR="00B15103" w:rsidRPr="00244534" w:rsidRDefault="00B15103" w:rsidP="005B36F9">
      <w:pPr>
        <w:spacing w:after="0" w:line="276" w:lineRule="auto"/>
        <w:rPr>
          <w:rFonts w:ascii="ITC Avant Garde" w:hAnsi="ITC Avant Garde" w:cs="Arial"/>
          <w:color w:val="5B9BD5" w:themeColor="accent1"/>
        </w:rPr>
      </w:pPr>
    </w:p>
    <w:p w14:paraId="3F04735A" w14:textId="77777777" w:rsidR="00B15103" w:rsidRPr="00244534" w:rsidRDefault="00B15103" w:rsidP="00B15103">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“SEPTUAGÉSIMA QUINTA.- En caso de que se suscite un desacuerdo sobre las tarifas aplicables a los servicios objeto de las presentes medidas, el Instituto, una vez analizada la solicitud, </w:t>
      </w:r>
      <w:r w:rsidRPr="00244534">
        <w:rPr>
          <w:rFonts w:ascii="ITC Avant Garde" w:eastAsia="Calibri" w:hAnsi="ITC Avant Garde" w:cs="Arial"/>
          <w:i/>
          <w:color w:val="5B9BD5" w:themeColor="accent1"/>
          <w:sz w:val="18"/>
          <w:szCs w:val="18"/>
          <w:u w:val="single"/>
          <w:lang w:eastAsia="en-US"/>
        </w:rPr>
        <w:t>podrá ordenar al Agente Económico Preponderante a otorgar la prestación de los servicios o el acceso a la infraestructura materia de la controversia, con independencia de que el Instituto resuelva con posterioridad sobre las tarifas respectivas</w:t>
      </w:r>
      <w:r w:rsidRPr="00244534">
        <w:rPr>
          <w:rFonts w:ascii="ITC Avant Garde" w:eastAsia="Calibri" w:hAnsi="ITC Avant Garde" w:cs="Arial"/>
          <w:i/>
          <w:color w:val="5B9BD5" w:themeColor="accent1"/>
          <w:sz w:val="18"/>
          <w:szCs w:val="18"/>
          <w:lang w:eastAsia="en-US"/>
        </w:rPr>
        <w:t>, a condición de que se le otorgue una garantía para asegurar el cumplimiento de las obligaciones contractuales.”</w:t>
      </w:r>
    </w:p>
    <w:p w14:paraId="28CA0901" w14:textId="77777777" w:rsidR="00B15103" w:rsidRPr="00244534" w:rsidRDefault="00B15103" w:rsidP="00B15103">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69C845E0" w14:textId="77777777" w:rsidR="00B15103" w:rsidRPr="00244534" w:rsidRDefault="00B15103" w:rsidP="00B15103">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432D8C66" w14:textId="77777777" w:rsidR="005B36F9" w:rsidRPr="00244534" w:rsidRDefault="005B36F9" w:rsidP="005B36F9">
      <w:pPr>
        <w:spacing w:after="0" w:line="276" w:lineRule="auto"/>
        <w:ind w:left="0" w:firstLine="0"/>
        <w:rPr>
          <w:rFonts w:ascii="ITC Avant Garde" w:hAnsi="ITC Avant Garde" w:cs="Arial"/>
        </w:rPr>
      </w:pPr>
    </w:p>
    <w:p w14:paraId="456FFFB8" w14:textId="250382E1" w:rsidR="00B15103" w:rsidRPr="00244534" w:rsidRDefault="00B15103" w:rsidP="005B36F9">
      <w:pPr>
        <w:spacing w:after="0" w:line="276" w:lineRule="auto"/>
        <w:ind w:left="0" w:firstLine="0"/>
        <w:rPr>
          <w:rFonts w:ascii="ITC Avant Garde" w:hAnsi="ITC Avant Garde" w:cs="Arial"/>
          <w:color w:val="5B9BD5" w:themeColor="accent1"/>
        </w:rPr>
      </w:pPr>
      <w:r w:rsidRPr="00244534">
        <w:rPr>
          <w:rFonts w:ascii="ITC Avant Garde" w:hAnsi="ITC Avant Garde" w:cs="Arial"/>
          <w:color w:val="5B9BD5" w:themeColor="accent1"/>
        </w:rPr>
        <w:t>Derivado de lo anterior, no es procedente la modificación solicitada.</w:t>
      </w:r>
    </w:p>
    <w:p w14:paraId="74B20770" w14:textId="77777777" w:rsidR="005B36F9" w:rsidRPr="00244534" w:rsidRDefault="005B36F9" w:rsidP="005B36F9">
      <w:pPr>
        <w:spacing w:after="0" w:line="276" w:lineRule="auto"/>
        <w:ind w:left="0" w:firstLine="0"/>
        <w:rPr>
          <w:rFonts w:ascii="ITC Avant Garde" w:hAnsi="ITC Avant Garde" w:cs="Arial"/>
        </w:rPr>
      </w:pPr>
    </w:p>
    <w:p w14:paraId="6CD44C78" w14:textId="77777777" w:rsidR="005E75EF" w:rsidRPr="00244534" w:rsidRDefault="005E75EF" w:rsidP="005E75EF">
      <w:pPr>
        <w:spacing w:line="276" w:lineRule="auto"/>
        <w:ind w:right="0"/>
        <w:rPr>
          <w:rFonts w:ascii="ITC Avant Garde" w:hAnsi="ITC Avant Garde"/>
          <w:b/>
          <w:color w:val="auto"/>
          <w:u w:val="single"/>
        </w:rPr>
      </w:pPr>
      <w:r w:rsidRPr="00244534">
        <w:rPr>
          <w:rFonts w:ascii="ITC Avant Garde" w:hAnsi="ITC Avant Garde"/>
          <w:b/>
          <w:color w:val="auto"/>
          <w:u w:val="single"/>
        </w:rPr>
        <w:t>Apartado 4.1.3 – Incumplimiento de pago en relación con la Cláusula Séptima apartado 7.3 Suspensión Temporal</w:t>
      </w:r>
    </w:p>
    <w:p w14:paraId="2786904E" w14:textId="77777777" w:rsidR="005E75EF" w:rsidRPr="00244534" w:rsidRDefault="005E75EF" w:rsidP="005E75EF">
      <w:pPr>
        <w:spacing w:line="276" w:lineRule="auto"/>
        <w:ind w:left="0" w:right="0" w:firstLine="0"/>
        <w:rPr>
          <w:rFonts w:ascii="ITC Avant Garde" w:hAnsi="ITC Avant Garde"/>
          <w:b/>
          <w:color w:val="auto"/>
        </w:rPr>
      </w:pPr>
    </w:p>
    <w:p w14:paraId="705ACBC9" w14:textId="77777777" w:rsidR="005E75EF" w:rsidRPr="00244534" w:rsidRDefault="005E75EF" w:rsidP="005E75EF">
      <w:pPr>
        <w:autoSpaceDE w:val="0"/>
        <w:autoSpaceDN w:val="0"/>
        <w:adjustRightInd w:val="0"/>
        <w:spacing w:line="276" w:lineRule="auto"/>
        <w:rPr>
          <w:rFonts w:ascii="ITC Avant Garde" w:eastAsia="Calibri" w:hAnsi="ITC Avant Garde" w:cs="Arial"/>
          <w:lang w:val="es-ES"/>
        </w:rPr>
      </w:pPr>
      <w:r w:rsidRPr="00244534">
        <w:rPr>
          <w:rFonts w:ascii="ITC Avant Garde" w:hAnsi="ITC Avant Garde"/>
          <w:b/>
          <w:color w:val="auto"/>
        </w:rPr>
        <w:t>Grupo Televisa</w:t>
      </w:r>
      <w:r w:rsidR="003E695B" w:rsidRPr="00244534">
        <w:rPr>
          <w:rFonts w:ascii="ITC Avant Garde" w:hAnsi="ITC Avant Garde"/>
          <w:b/>
          <w:color w:val="auto"/>
        </w:rPr>
        <w:t>:</w:t>
      </w:r>
    </w:p>
    <w:p w14:paraId="6648DAD9" w14:textId="77777777" w:rsidR="00CA73A7" w:rsidRPr="00244534" w:rsidRDefault="00CA73A7" w:rsidP="005E75EF">
      <w:pPr>
        <w:spacing w:line="276" w:lineRule="auto"/>
        <w:ind w:right="0"/>
        <w:rPr>
          <w:rFonts w:ascii="ITC Avant Garde" w:hAnsi="ITC Avant Garde"/>
          <w:color w:val="auto"/>
        </w:rPr>
      </w:pPr>
    </w:p>
    <w:p w14:paraId="1400A85A" w14:textId="12C0A870" w:rsidR="005E75EF" w:rsidRPr="00244534" w:rsidRDefault="003E695B" w:rsidP="005E75EF">
      <w:pPr>
        <w:spacing w:line="276" w:lineRule="auto"/>
        <w:ind w:right="0"/>
        <w:rPr>
          <w:rFonts w:ascii="ITC Avant Garde" w:hAnsi="ITC Avant Garde"/>
          <w:color w:val="auto"/>
        </w:rPr>
      </w:pPr>
      <w:r w:rsidRPr="00244534">
        <w:rPr>
          <w:rFonts w:ascii="ITC Avant Garde" w:hAnsi="ITC Avant Garde"/>
          <w:color w:val="auto"/>
        </w:rPr>
        <w:t>S</w:t>
      </w:r>
      <w:r w:rsidR="005E75EF" w:rsidRPr="00244534">
        <w:rPr>
          <w:rFonts w:ascii="ITC Avant Garde" w:hAnsi="ITC Avant Garde"/>
          <w:color w:val="auto"/>
        </w:rPr>
        <w:t>olicita al Instituto que se revisen los apartados referidos a fin de que la prestación de los servicios no se suspenda automáticamente por falta de pago, dado que los servicios de telecomunicaciones son servicios concesionados. La suspensión del convenio por falta de pago debería ser posible solamente en incumplimiento reiterado, por ejemplo, que se produzca en varias ocasiones consecutivas sin causa justificada y por los montos totales de las facturas.</w:t>
      </w:r>
    </w:p>
    <w:p w14:paraId="78473F49" w14:textId="77777777" w:rsidR="005E75EF" w:rsidRPr="00244534" w:rsidRDefault="005E75EF" w:rsidP="005E75EF">
      <w:pPr>
        <w:spacing w:line="276" w:lineRule="auto"/>
        <w:ind w:right="0"/>
        <w:rPr>
          <w:rFonts w:ascii="ITC Avant Garde" w:hAnsi="ITC Avant Garde"/>
          <w:color w:val="auto"/>
        </w:rPr>
      </w:pPr>
    </w:p>
    <w:p w14:paraId="6053D55E"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0B2D6F1D" w14:textId="77777777" w:rsidR="00F04FB4" w:rsidRPr="00244534" w:rsidRDefault="00F04FB4" w:rsidP="005E75EF">
      <w:pPr>
        <w:spacing w:line="276" w:lineRule="auto"/>
        <w:ind w:right="0"/>
        <w:rPr>
          <w:rFonts w:ascii="ITC Avant Garde" w:hAnsi="ITC Avant Garde"/>
          <w:color w:val="auto"/>
        </w:rPr>
      </w:pPr>
    </w:p>
    <w:p w14:paraId="690C5797" w14:textId="77777777" w:rsidR="00A944E0" w:rsidRPr="00244534" w:rsidRDefault="00A944E0" w:rsidP="005E75EF">
      <w:pPr>
        <w:spacing w:line="276" w:lineRule="auto"/>
        <w:ind w:right="0"/>
        <w:rPr>
          <w:rFonts w:ascii="ITC Avant Garde" w:hAnsi="ITC Avant Garde"/>
          <w:color w:val="5B9BD5" w:themeColor="accent1"/>
        </w:rPr>
      </w:pPr>
      <w:r w:rsidRPr="00244534">
        <w:rPr>
          <w:rFonts w:ascii="ITC Avant Garde" w:hAnsi="ITC Avant Garde"/>
          <w:color w:val="5B9BD5" w:themeColor="accent1"/>
        </w:rPr>
        <w:t>Al tratarse de una relación comercial, es preciso que el concesionario remunere en todo momento al A</w:t>
      </w:r>
      <w:r w:rsidR="000A2105" w:rsidRPr="00244534">
        <w:rPr>
          <w:rFonts w:ascii="ITC Avant Garde" w:hAnsi="ITC Avant Garde"/>
          <w:color w:val="5B9BD5" w:themeColor="accent1"/>
        </w:rPr>
        <w:t>EP por los servicios prestados, por lo que ante el incumplimiento de dicha obligación el AEP podrá suspender los servicios, con la debida notificación al concesionario y al Instituto. Es importante señalar que en el caso del servicio de usuario visitante el usuario final del concesionario continuará recibiendo servicio por parte de dicho concesionario, en este caso la suspensión del servicio al usuario final únicamente se realizará en aquellas zonas donde se preste el servicio de usuario visitante y que el concesionario no haya realizado el pago por dicho servicio.</w:t>
      </w:r>
    </w:p>
    <w:p w14:paraId="19893491" w14:textId="77777777" w:rsidR="00A944E0" w:rsidRPr="00244534" w:rsidRDefault="00A944E0" w:rsidP="005E75EF">
      <w:pPr>
        <w:spacing w:line="276" w:lineRule="auto"/>
        <w:ind w:right="0"/>
        <w:rPr>
          <w:rFonts w:ascii="ITC Avant Garde" w:hAnsi="ITC Avant Garde"/>
          <w:color w:val="5B9BD5" w:themeColor="accent1"/>
        </w:rPr>
      </w:pPr>
      <w:r w:rsidRPr="00244534">
        <w:rPr>
          <w:rFonts w:ascii="ITC Avant Garde" w:hAnsi="ITC Avant Garde"/>
          <w:color w:val="5B9BD5" w:themeColor="accent1"/>
        </w:rPr>
        <w:t xml:space="preserve"> </w:t>
      </w:r>
    </w:p>
    <w:p w14:paraId="3FB26A0E" w14:textId="77777777" w:rsidR="00CA73A7" w:rsidRPr="00244534" w:rsidRDefault="000B46CF" w:rsidP="005E75EF">
      <w:pPr>
        <w:spacing w:line="276" w:lineRule="auto"/>
        <w:ind w:right="0"/>
        <w:rPr>
          <w:rFonts w:ascii="ITC Avant Garde" w:hAnsi="ITC Avant Garde"/>
          <w:color w:val="5B9BD5" w:themeColor="accent1"/>
        </w:rPr>
      </w:pPr>
      <w:r w:rsidRPr="00244534">
        <w:rPr>
          <w:rFonts w:ascii="ITC Avant Garde" w:hAnsi="ITC Avant Garde"/>
          <w:color w:val="5B9BD5" w:themeColor="accent1"/>
        </w:rPr>
        <w:t>Asimismo,</w:t>
      </w:r>
      <w:r w:rsidR="00CA73A7" w:rsidRPr="00244534">
        <w:rPr>
          <w:rFonts w:ascii="ITC Avant Garde" w:hAnsi="ITC Avant Garde"/>
          <w:color w:val="5B9BD5" w:themeColor="accent1"/>
        </w:rPr>
        <w:t xml:space="preserve"> en el</w:t>
      </w:r>
      <w:r w:rsidRPr="00244534">
        <w:rPr>
          <w:rFonts w:ascii="ITC Avant Garde" w:hAnsi="ITC Avant Garde"/>
          <w:color w:val="5B9BD5" w:themeColor="accent1"/>
        </w:rPr>
        <w:t xml:space="preserve"> esquema de Pago Anticipado</w:t>
      </w:r>
      <w:r w:rsidR="00CA73A7" w:rsidRPr="00244534">
        <w:rPr>
          <w:rFonts w:ascii="ITC Avant Garde" w:hAnsi="ITC Avant Garde"/>
          <w:color w:val="5B9BD5" w:themeColor="accent1"/>
        </w:rPr>
        <w:t xml:space="preserve"> el concesionario recibirá notificaciones al consumir el 60%</w:t>
      </w:r>
      <w:r w:rsidR="00EA38C4" w:rsidRPr="00244534">
        <w:rPr>
          <w:rFonts w:ascii="ITC Avant Garde" w:hAnsi="ITC Avant Garde"/>
          <w:color w:val="5B9BD5" w:themeColor="accent1"/>
        </w:rPr>
        <w:t xml:space="preserve"> y 95%</w:t>
      </w:r>
      <w:r w:rsidR="00CA73A7" w:rsidRPr="00244534">
        <w:rPr>
          <w:rFonts w:ascii="ITC Avant Garde" w:hAnsi="ITC Avant Garde"/>
          <w:color w:val="5B9BD5" w:themeColor="accent1"/>
        </w:rPr>
        <w:t xml:space="preserve"> de la Bolsa Revolvente</w:t>
      </w:r>
      <w:r w:rsidR="00EA38C4" w:rsidRPr="00244534">
        <w:rPr>
          <w:rFonts w:ascii="ITC Avant Garde" w:hAnsi="ITC Avant Garde"/>
          <w:color w:val="5B9BD5" w:themeColor="accent1"/>
        </w:rPr>
        <w:t xml:space="preserve">, </w:t>
      </w:r>
      <w:r w:rsidRPr="00244534">
        <w:rPr>
          <w:rFonts w:ascii="ITC Avant Garde" w:hAnsi="ITC Avant Garde"/>
          <w:color w:val="5B9BD5" w:themeColor="accent1"/>
        </w:rPr>
        <w:t>mientras que en el esquema de Pospago</w:t>
      </w:r>
      <w:r w:rsidR="00BC7399" w:rsidRPr="00244534">
        <w:rPr>
          <w:rFonts w:ascii="ITC Avant Garde" w:hAnsi="ITC Avant Garde"/>
          <w:color w:val="5B9BD5" w:themeColor="accent1"/>
        </w:rPr>
        <w:t xml:space="preserve"> el concesionario pasará al esquema de Pago </w:t>
      </w:r>
      <w:r w:rsidR="00BC7399" w:rsidRPr="00244534">
        <w:rPr>
          <w:rFonts w:ascii="ITC Avant Garde" w:hAnsi="ITC Avant Garde"/>
          <w:color w:val="5B9BD5" w:themeColor="accent1"/>
        </w:rPr>
        <w:lastRenderedPageBreak/>
        <w:t>Anticipado después del incumplimiento en el pago</w:t>
      </w:r>
      <w:r w:rsidR="00E50803" w:rsidRPr="00244534">
        <w:rPr>
          <w:rFonts w:ascii="ITC Avant Garde" w:hAnsi="ITC Avant Garde"/>
          <w:color w:val="5B9BD5" w:themeColor="accent1"/>
        </w:rPr>
        <w:t xml:space="preserve"> en dos ocasiones.</w:t>
      </w:r>
      <w:r w:rsidRPr="00244534">
        <w:rPr>
          <w:rFonts w:ascii="ITC Avant Garde" w:hAnsi="ITC Avant Garde"/>
          <w:color w:val="5B9BD5" w:themeColor="accent1"/>
        </w:rPr>
        <w:t xml:space="preserve"> Derivado de lo anterior, no son procedentes los cambios </w:t>
      </w:r>
      <w:r w:rsidR="00CA391F" w:rsidRPr="00244534">
        <w:rPr>
          <w:rFonts w:ascii="ITC Avant Garde" w:hAnsi="ITC Avant Garde"/>
          <w:color w:val="5B9BD5" w:themeColor="accent1"/>
        </w:rPr>
        <w:t>solicitados</w:t>
      </w:r>
      <w:r w:rsidRPr="00244534">
        <w:rPr>
          <w:rFonts w:ascii="ITC Avant Garde" w:hAnsi="ITC Avant Garde"/>
          <w:color w:val="5B9BD5" w:themeColor="accent1"/>
        </w:rPr>
        <w:t>.</w:t>
      </w:r>
      <w:r w:rsidR="00BC7399" w:rsidRPr="00244534">
        <w:rPr>
          <w:rFonts w:ascii="ITC Avant Garde" w:hAnsi="ITC Avant Garde"/>
          <w:color w:val="5B9BD5" w:themeColor="accent1"/>
        </w:rPr>
        <w:t xml:space="preserve">  </w:t>
      </w:r>
    </w:p>
    <w:p w14:paraId="3A9B6A96" w14:textId="77777777" w:rsidR="00CA73A7" w:rsidRPr="00244534" w:rsidRDefault="00CA73A7" w:rsidP="005E75EF">
      <w:pPr>
        <w:spacing w:line="276" w:lineRule="auto"/>
        <w:ind w:right="0"/>
        <w:rPr>
          <w:rFonts w:ascii="ITC Avant Garde" w:hAnsi="ITC Avant Garde"/>
          <w:color w:val="5B9BD5" w:themeColor="accent1"/>
        </w:rPr>
      </w:pPr>
    </w:p>
    <w:p w14:paraId="7754CB9D" w14:textId="77777777" w:rsidR="005E75EF" w:rsidRPr="00244534" w:rsidRDefault="005E75EF" w:rsidP="005E75EF">
      <w:pPr>
        <w:spacing w:line="276" w:lineRule="auto"/>
        <w:rPr>
          <w:rFonts w:ascii="ITC Avant Garde" w:hAnsi="ITC Avant Garde" w:cs="Arial"/>
          <w:b/>
          <w:u w:val="single"/>
        </w:rPr>
      </w:pPr>
      <w:r w:rsidRPr="00244534">
        <w:rPr>
          <w:rFonts w:ascii="ITC Avant Garde" w:hAnsi="ITC Avant Garde" w:cs="Arial"/>
          <w:b/>
          <w:u w:val="single"/>
        </w:rPr>
        <w:t>Apartado 4.2</w:t>
      </w:r>
    </w:p>
    <w:p w14:paraId="0B143F0C" w14:textId="77777777" w:rsidR="005E75EF" w:rsidRPr="00244534" w:rsidRDefault="005E75EF" w:rsidP="005E75EF">
      <w:pPr>
        <w:spacing w:line="276" w:lineRule="auto"/>
        <w:rPr>
          <w:rFonts w:ascii="ITC Avant Garde" w:hAnsi="ITC Avant Garde" w:cs="Arial"/>
          <w:b/>
          <w:u w:val="single"/>
        </w:rPr>
      </w:pPr>
      <w:r w:rsidRPr="00244534">
        <w:rPr>
          <w:rFonts w:ascii="ITC Avant Garde" w:hAnsi="ITC Avant Garde" w:cs="Arial"/>
          <w:b/>
          <w:u w:val="single"/>
        </w:rPr>
        <w:t>Segundo Párrafo</w:t>
      </w:r>
    </w:p>
    <w:p w14:paraId="22C37053" w14:textId="77777777" w:rsidR="005E75EF" w:rsidRPr="00244534" w:rsidRDefault="005E75EF" w:rsidP="005E75EF">
      <w:pPr>
        <w:spacing w:line="276" w:lineRule="auto"/>
        <w:rPr>
          <w:rFonts w:ascii="ITC Avant Garde" w:hAnsi="ITC Avant Garde" w:cs="Arial"/>
        </w:rPr>
      </w:pPr>
    </w:p>
    <w:p w14:paraId="3EB8E623" w14:textId="77777777" w:rsidR="005E75EF" w:rsidRPr="00244534" w:rsidRDefault="005E75EF" w:rsidP="005E75EF">
      <w:pPr>
        <w:spacing w:line="276" w:lineRule="auto"/>
        <w:rPr>
          <w:rFonts w:ascii="ITC Avant Garde" w:hAnsi="ITC Avant Garde" w:cs="Arial"/>
          <w:b/>
        </w:rPr>
      </w:pPr>
      <w:r w:rsidRPr="00244534">
        <w:rPr>
          <w:rFonts w:ascii="ITC Avant Garde" w:hAnsi="ITC Avant Garde" w:cs="Arial"/>
          <w:b/>
        </w:rPr>
        <w:t>Grupo Televisa</w:t>
      </w:r>
    </w:p>
    <w:p w14:paraId="56619937" w14:textId="77777777" w:rsidR="005E75EF" w:rsidRPr="00244534" w:rsidRDefault="005E75EF" w:rsidP="005E75EF">
      <w:pPr>
        <w:spacing w:line="276" w:lineRule="auto"/>
        <w:rPr>
          <w:rFonts w:ascii="ITC Avant Garde" w:hAnsi="ITC Avant Garde" w:cs="Arial"/>
        </w:rPr>
      </w:pPr>
    </w:p>
    <w:p w14:paraId="793FBE46" w14:textId="040A9B18" w:rsidR="00C27223" w:rsidRPr="00244534" w:rsidRDefault="003E695B" w:rsidP="005E75EF">
      <w:pPr>
        <w:spacing w:line="276" w:lineRule="auto"/>
        <w:rPr>
          <w:rFonts w:ascii="ITC Avant Garde" w:hAnsi="ITC Avant Garde" w:cs="Arial"/>
        </w:rPr>
      </w:pPr>
      <w:r w:rsidRPr="00244534">
        <w:rPr>
          <w:rFonts w:ascii="ITC Avant Garde" w:hAnsi="ITC Avant Garde" w:cs="Arial"/>
        </w:rPr>
        <w:t>S</w:t>
      </w:r>
      <w:r w:rsidR="00C27223" w:rsidRPr="00244534">
        <w:rPr>
          <w:rFonts w:ascii="ITC Avant Garde" w:hAnsi="ITC Avant Garde" w:cs="Arial"/>
        </w:rPr>
        <w:t xml:space="preserve">ugiere cambiar el segundo párrafo del numeral 4.2 para que este considere como acto de pago el giro bancario por parte del concesionario, ya que </w:t>
      </w:r>
      <w:r w:rsidR="007229F6" w:rsidRPr="00244534">
        <w:rPr>
          <w:rFonts w:ascii="ITC Avant Garde" w:hAnsi="ITC Avant Garde" w:cs="Arial"/>
        </w:rPr>
        <w:t>la recepción de pago por parte del AEP puede estar sujeta a factores exógenos que dependen del banco emisor o del banco del beneficiario.</w:t>
      </w:r>
    </w:p>
    <w:p w14:paraId="1D7387D5" w14:textId="77777777" w:rsidR="00C27223" w:rsidRPr="00244534" w:rsidRDefault="00C27223" w:rsidP="005E75EF">
      <w:pPr>
        <w:spacing w:line="276" w:lineRule="auto"/>
        <w:rPr>
          <w:rFonts w:ascii="ITC Avant Garde" w:hAnsi="ITC Avant Garde" w:cs="Arial"/>
        </w:rPr>
      </w:pPr>
    </w:p>
    <w:p w14:paraId="742EA85A"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CFD8AD1" w14:textId="77777777" w:rsidR="00F04FB4" w:rsidRPr="00244534" w:rsidRDefault="00F04FB4" w:rsidP="005E75EF">
      <w:pPr>
        <w:spacing w:line="276" w:lineRule="auto"/>
        <w:rPr>
          <w:rFonts w:ascii="ITC Avant Garde" w:hAnsi="ITC Avant Garde" w:cs="Arial"/>
        </w:rPr>
      </w:pPr>
    </w:p>
    <w:p w14:paraId="65C35328" w14:textId="77777777" w:rsidR="005E75EF" w:rsidRPr="00244534" w:rsidRDefault="00E32A6C" w:rsidP="005E75EF">
      <w:pPr>
        <w:spacing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La Oferta considera cualquier otro medio de pago mientras dicho medio sea acordado entre las partes, de tal forma que es posible contar con otros medios de pago en los cuales los factores exógenos que dependen del banco emisor o banco del beneficiario no afecten la realización puntual de dicho pago. </w:t>
      </w:r>
    </w:p>
    <w:p w14:paraId="115A2091" w14:textId="77777777" w:rsidR="005E75EF" w:rsidRPr="00244534" w:rsidRDefault="005E75EF" w:rsidP="005E75EF">
      <w:pPr>
        <w:spacing w:after="0" w:line="276" w:lineRule="auto"/>
        <w:ind w:right="0"/>
        <w:rPr>
          <w:rFonts w:ascii="ITC Avant Garde" w:hAnsi="ITC Avant Garde"/>
          <w:color w:val="auto"/>
        </w:rPr>
      </w:pPr>
    </w:p>
    <w:p w14:paraId="49A017E4" w14:textId="77777777" w:rsidR="005E75EF" w:rsidRPr="00244534" w:rsidRDefault="005E75EF" w:rsidP="005E75EF">
      <w:pPr>
        <w:spacing w:after="0" w:line="276" w:lineRule="auto"/>
        <w:ind w:right="0"/>
        <w:rPr>
          <w:rFonts w:ascii="ITC Avant Garde" w:hAnsi="ITC Avant Garde"/>
          <w:b/>
          <w:color w:val="auto"/>
          <w:u w:val="single"/>
        </w:rPr>
      </w:pPr>
      <w:r w:rsidRPr="00244534">
        <w:rPr>
          <w:rFonts w:ascii="ITC Avant Garde" w:hAnsi="ITC Avant Garde"/>
          <w:b/>
          <w:color w:val="auto"/>
          <w:u w:val="single"/>
        </w:rPr>
        <w:t>Cláusula Cuarta</w:t>
      </w:r>
    </w:p>
    <w:p w14:paraId="1DC16F08" w14:textId="77777777" w:rsidR="005E75EF" w:rsidRPr="00244534" w:rsidRDefault="005E75EF" w:rsidP="005E75EF">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4.3.1.1 – Garantías Aplicables al Esquema de Pospago:</w:t>
      </w:r>
    </w:p>
    <w:p w14:paraId="20CD3A49" w14:textId="77777777" w:rsidR="005E75EF" w:rsidRPr="00244534" w:rsidRDefault="005E75EF" w:rsidP="005E75EF">
      <w:pPr>
        <w:spacing w:after="0" w:line="276" w:lineRule="auto"/>
        <w:ind w:left="0" w:right="0" w:firstLine="0"/>
        <w:rPr>
          <w:rFonts w:ascii="ITC Avant Garde" w:hAnsi="ITC Avant Garde"/>
          <w:b/>
          <w:color w:val="auto"/>
        </w:rPr>
      </w:pPr>
      <w:r w:rsidRPr="00244534">
        <w:rPr>
          <w:rFonts w:ascii="ITC Avant Garde" w:hAnsi="ITC Avant Garde"/>
          <w:b/>
          <w:color w:val="auto"/>
        </w:rPr>
        <w:t>Segundo Párrafo</w:t>
      </w:r>
    </w:p>
    <w:p w14:paraId="7C41B4B8" w14:textId="77777777" w:rsidR="005B36F9" w:rsidRPr="00244534" w:rsidRDefault="005B36F9" w:rsidP="005B36F9">
      <w:pPr>
        <w:spacing w:after="0" w:line="276" w:lineRule="auto"/>
        <w:ind w:left="0" w:right="0" w:firstLine="0"/>
        <w:rPr>
          <w:rFonts w:ascii="ITC Avant Garde" w:hAnsi="ITC Avant Garde"/>
          <w:b/>
          <w:color w:val="auto"/>
        </w:rPr>
      </w:pPr>
    </w:p>
    <w:p w14:paraId="7FBEEB81"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5A5DAD05" w14:textId="77777777" w:rsidR="005B36F9" w:rsidRPr="00244534" w:rsidRDefault="005B36F9" w:rsidP="005B36F9">
      <w:pPr>
        <w:spacing w:after="0" w:line="276" w:lineRule="auto"/>
        <w:ind w:left="0" w:right="0" w:firstLine="0"/>
        <w:rPr>
          <w:rFonts w:ascii="ITC Avant Garde" w:hAnsi="ITC Avant Garde"/>
          <w:b/>
          <w:color w:val="auto"/>
        </w:rPr>
      </w:pPr>
    </w:p>
    <w:p w14:paraId="56C38E14" w14:textId="25ECA95C" w:rsidR="005B36F9" w:rsidRPr="00244534" w:rsidRDefault="003E695B" w:rsidP="005B36F9">
      <w:pPr>
        <w:spacing w:line="276" w:lineRule="auto"/>
        <w:ind w:left="0" w:right="0" w:firstLine="0"/>
        <w:rPr>
          <w:rFonts w:ascii="ITC Avant Garde" w:hAnsi="ITC Avant Garde"/>
          <w:color w:val="auto"/>
        </w:rPr>
      </w:pPr>
      <w:r w:rsidRPr="00244534">
        <w:rPr>
          <w:rFonts w:ascii="ITC Avant Garde" w:hAnsi="ITC Avant Garde"/>
          <w:color w:val="auto"/>
        </w:rPr>
        <w:t>S</w:t>
      </w:r>
      <w:r w:rsidR="00A05D55" w:rsidRPr="00244534">
        <w:rPr>
          <w:rFonts w:ascii="ITC Avant Garde" w:hAnsi="ITC Avant Garde"/>
          <w:color w:val="auto"/>
        </w:rPr>
        <w:t xml:space="preserve">olicita modificar el segundo párrafo del numeral 4.3.1.1 ya que </w:t>
      </w:r>
      <w:r w:rsidR="005B36F9" w:rsidRPr="00244534">
        <w:rPr>
          <w:rFonts w:ascii="ITC Avant Garde" w:hAnsi="ITC Avant Garde"/>
          <w:color w:val="auto"/>
        </w:rPr>
        <w:t xml:space="preserve">estima que algunas condiciones se pueden cambiar para facilitar el proceso como ligar la revisión del monto de la garantía a la facturación generada por el Concesionario Solicitante, no a su consumo. Además, recomienda hacer dicha actualización de forma anual para evitar que el Concesionario Solicitante tenga que incurrir en gastos innecesarios </w:t>
      </w:r>
      <w:r w:rsidR="00A05D55" w:rsidRPr="00244534">
        <w:rPr>
          <w:rFonts w:ascii="ITC Avant Garde" w:hAnsi="ITC Avant Garde"/>
          <w:color w:val="auto"/>
        </w:rPr>
        <w:t>y dedicar demasiado tiempo</w:t>
      </w:r>
      <w:r w:rsidR="005B36F9" w:rsidRPr="00244534">
        <w:rPr>
          <w:rFonts w:ascii="ITC Avant Garde" w:hAnsi="ITC Avant Garde"/>
          <w:color w:val="auto"/>
        </w:rPr>
        <w:t xml:space="preserve"> en gestionar la renovación de l</w:t>
      </w:r>
      <w:r w:rsidR="00A05D55" w:rsidRPr="00244534">
        <w:rPr>
          <w:rFonts w:ascii="ITC Avant Garde" w:hAnsi="ITC Avant Garde"/>
          <w:color w:val="auto"/>
        </w:rPr>
        <w:t>as condiciones de la garantía. Asimismo, solicita</w:t>
      </w:r>
      <w:r w:rsidR="005B36F9" w:rsidRPr="00244534">
        <w:rPr>
          <w:rFonts w:ascii="ITC Avant Garde" w:hAnsi="ITC Avant Garde"/>
          <w:color w:val="auto"/>
        </w:rPr>
        <w:t xml:space="preserve"> ampliar </w:t>
      </w:r>
      <w:r w:rsidR="00A05D55" w:rsidRPr="00244534">
        <w:rPr>
          <w:rFonts w:ascii="ITC Avant Garde" w:hAnsi="ITC Avant Garde"/>
          <w:color w:val="auto"/>
        </w:rPr>
        <w:t xml:space="preserve">el </w:t>
      </w:r>
      <w:r w:rsidR="005B36F9" w:rsidRPr="00244534">
        <w:rPr>
          <w:rFonts w:ascii="ITC Avant Garde" w:hAnsi="ITC Avant Garde"/>
          <w:color w:val="auto"/>
        </w:rPr>
        <w:t xml:space="preserve">plazo para aumentar </w:t>
      </w:r>
      <w:r w:rsidR="00A05D55" w:rsidRPr="00244534">
        <w:rPr>
          <w:rFonts w:ascii="ITC Avant Garde" w:hAnsi="ITC Avant Garde"/>
          <w:color w:val="auto"/>
        </w:rPr>
        <w:t>o añadir fondos a la garantía a un mínimo de 30 días.</w:t>
      </w:r>
    </w:p>
    <w:p w14:paraId="272E795F" w14:textId="77777777" w:rsidR="005B36F9" w:rsidRPr="00244534" w:rsidRDefault="005B36F9" w:rsidP="005B36F9">
      <w:pPr>
        <w:spacing w:after="0" w:line="276" w:lineRule="auto"/>
        <w:ind w:left="0" w:right="0" w:firstLine="0"/>
        <w:rPr>
          <w:rFonts w:ascii="ITC Avant Garde" w:hAnsi="ITC Avant Garde"/>
          <w:color w:val="auto"/>
        </w:rPr>
      </w:pPr>
    </w:p>
    <w:p w14:paraId="3CF2FEC3"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51246318" w14:textId="77777777" w:rsidR="00F04FB4" w:rsidRPr="00244534" w:rsidRDefault="00F04FB4" w:rsidP="005B36F9">
      <w:pPr>
        <w:spacing w:after="0" w:line="276" w:lineRule="auto"/>
        <w:ind w:left="0" w:right="0" w:firstLine="0"/>
        <w:rPr>
          <w:rFonts w:ascii="ITC Avant Garde" w:hAnsi="ITC Avant Garde"/>
          <w:color w:val="auto"/>
        </w:rPr>
      </w:pPr>
    </w:p>
    <w:p w14:paraId="7BFA6AE7" w14:textId="77777777" w:rsidR="00E32A6C" w:rsidRPr="00244534" w:rsidRDefault="00E32A6C" w:rsidP="00E32A6C">
      <w:pPr>
        <w:spacing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En relación con lo expuesto, este Instituto considera que lo previsto en el párrafo en comento es de carácter comercial y obedece a la operación de </w:t>
      </w:r>
      <w:r w:rsidRPr="00244534">
        <w:rPr>
          <w:rFonts w:ascii="ITC Avant Garde" w:hAnsi="ITC Avant Garde"/>
          <w:color w:val="5B9BD5" w:themeColor="accent1"/>
        </w:rPr>
        <w:lastRenderedPageBreak/>
        <w:t>las proyecciones en la demanda del OMV, por otra parte, la revisión del monto de garantía está relacionada con la facturación de los servicios, ya que en la factura se refleja el consumo de los servicios. La actualización anual impediría que la garantía reflejara el consumo real de los servicios por parte del concesionario. En tal virtud, la cláusula se mantiene en sus términos.</w:t>
      </w:r>
    </w:p>
    <w:p w14:paraId="50E4224B" w14:textId="77777777" w:rsidR="00344F53" w:rsidRPr="00244534" w:rsidRDefault="00344F53" w:rsidP="005B36F9">
      <w:pPr>
        <w:spacing w:line="276" w:lineRule="auto"/>
        <w:ind w:left="0" w:right="0" w:firstLine="0"/>
        <w:rPr>
          <w:rFonts w:ascii="ITC Avant Garde" w:hAnsi="ITC Avant Garde"/>
          <w:color w:val="5B9BD5" w:themeColor="accent1"/>
        </w:rPr>
      </w:pPr>
    </w:p>
    <w:p w14:paraId="5B04732F"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4.4.1 – Lugar y Forma de Pago de las Facturas</w:t>
      </w:r>
    </w:p>
    <w:p w14:paraId="54C3A70B" w14:textId="77777777" w:rsidR="005B36F9" w:rsidRPr="00244534" w:rsidRDefault="00253DB4"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Párrafo t</w:t>
      </w:r>
      <w:r w:rsidR="005B36F9" w:rsidRPr="00244534">
        <w:rPr>
          <w:rFonts w:ascii="ITC Avant Garde" w:hAnsi="ITC Avant Garde"/>
          <w:b/>
          <w:color w:val="auto"/>
          <w:u w:val="single"/>
        </w:rPr>
        <w:t>ercero</w:t>
      </w:r>
    </w:p>
    <w:p w14:paraId="70EC2A15" w14:textId="77777777" w:rsidR="005B36F9" w:rsidRPr="00244534" w:rsidRDefault="005B36F9" w:rsidP="005B36F9">
      <w:pPr>
        <w:spacing w:after="0" w:line="276" w:lineRule="auto"/>
        <w:ind w:left="0" w:right="0" w:firstLine="0"/>
        <w:rPr>
          <w:rFonts w:ascii="ITC Avant Garde" w:hAnsi="ITC Avant Garde"/>
          <w:b/>
          <w:color w:val="auto"/>
        </w:rPr>
      </w:pPr>
    </w:p>
    <w:p w14:paraId="2F1766B5" w14:textId="77777777" w:rsidR="00056AF9" w:rsidRPr="00244534" w:rsidRDefault="00056AF9" w:rsidP="00253DB4">
      <w:pPr>
        <w:spacing w:after="0" w:line="276" w:lineRule="auto"/>
        <w:ind w:left="0" w:right="0" w:firstLine="0"/>
        <w:rPr>
          <w:rFonts w:ascii="ITC Avant Garde" w:hAnsi="ITC Avant Garde" w:cs="Arial"/>
        </w:rPr>
      </w:pPr>
      <w:r w:rsidRPr="00244534">
        <w:rPr>
          <w:rFonts w:ascii="ITC Avant Garde" w:hAnsi="ITC Avant Garde" w:cs="Arial"/>
        </w:rPr>
        <w:t>El concesionario solicita un proceso de reconciliación mensual de facturas ya que la extinción de una obligación financiera es causada por el pago de una factura mas no</w:t>
      </w:r>
      <w:r w:rsidR="002B016A" w:rsidRPr="00244534">
        <w:rPr>
          <w:rFonts w:ascii="ITC Avant Garde" w:hAnsi="ITC Avant Garde" w:cs="Arial"/>
        </w:rPr>
        <w:t xml:space="preserve"> por</w:t>
      </w:r>
      <w:r w:rsidRPr="00244534">
        <w:rPr>
          <w:rFonts w:ascii="ITC Avant Garde" w:hAnsi="ITC Avant Garde" w:cs="Arial"/>
        </w:rPr>
        <w:t xml:space="preserve"> el registro de la misma en el SEG.</w:t>
      </w:r>
    </w:p>
    <w:p w14:paraId="2FCC09FE" w14:textId="77777777" w:rsidR="005B36F9" w:rsidRPr="00244534" w:rsidRDefault="005B36F9" w:rsidP="005B36F9">
      <w:pPr>
        <w:spacing w:after="0" w:line="276" w:lineRule="auto"/>
        <w:ind w:left="0" w:right="0" w:firstLine="0"/>
        <w:rPr>
          <w:rFonts w:ascii="ITC Avant Garde" w:hAnsi="ITC Avant Garde" w:cs="Arial"/>
        </w:rPr>
      </w:pPr>
    </w:p>
    <w:p w14:paraId="41A81FC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9D6F7B7" w14:textId="77777777" w:rsidR="00F04FB4" w:rsidRPr="00244534" w:rsidRDefault="00F04FB4" w:rsidP="005B36F9">
      <w:pPr>
        <w:spacing w:after="0" w:line="276" w:lineRule="auto"/>
        <w:ind w:left="0" w:right="0" w:firstLine="0"/>
        <w:rPr>
          <w:rFonts w:ascii="ITC Avant Garde" w:hAnsi="ITC Avant Garde" w:cs="Arial"/>
        </w:rPr>
      </w:pPr>
    </w:p>
    <w:p w14:paraId="76EA280E" w14:textId="0329E666" w:rsidR="005B36F9" w:rsidRPr="00244534" w:rsidRDefault="00056AF9" w:rsidP="005B36F9">
      <w:pPr>
        <w:spacing w:after="0" w:line="276" w:lineRule="auto"/>
        <w:ind w:left="0" w:right="0" w:firstLine="0"/>
        <w:rPr>
          <w:rFonts w:ascii="ITC Avant Garde" w:hAnsi="ITC Avant Garde" w:cs="Arial"/>
          <w:color w:val="5B9BD5" w:themeColor="accent1"/>
        </w:rPr>
      </w:pPr>
      <w:r w:rsidRPr="00244534">
        <w:rPr>
          <w:rFonts w:ascii="ITC Avant Garde" w:hAnsi="ITC Avant Garde" w:cs="Arial"/>
          <w:color w:val="5B9BD5" w:themeColor="accent1"/>
        </w:rPr>
        <w:t>Con base en la Medida Decimosexta de las Medidas Móviles</w:t>
      </w:r>
      <w:r w:rsidR="00AD2C08" w:rsidRPr="00244534">
        <w:rPr>
          <w:rFonts w:ascii="ITC Avant Garde" w:hAnsi="ITC Avant Garde" w:cs="Arial"/>
          <w:color w:val="5B9BD5" w:themeColor="accent1"/>
        </w:rPr>
        <w:t xml:space="preserve">, la cual prohíbe al AEP la aplicación de condiciones abusivas en la prestación de los servicios, se eliminó la penalización por la omisión en la notificación de pago en el SEG ya que los </w:t>
      </w:r>
      <w:r w:rsidR="003E695B" w:rsidRPr="00244534">
        <w:rPr>
          <w:rFonts w:ascii="ITC Avant Garde" w:hAnsi="ITC Avant Garde" w:cs="Arial"/>
          <w:color w:val="5B9BD5" w:themeColor="accent1"/>
        </w:rPr>
        <w:t>intereses</w:t>
      </w:r>
      <w:r w:rsidR="00AD2C08" w:rsidRPr="00244534">
        <w:rPr>
          <w:rFonts w:ascii="ITC Avant Garde" w:hAnsi="ITC Avant Garde" w:cs="Arial"/>
          <w:color w:val="5B9BD5" w:themeColor="accent1"/>
        </w:rPr>
        <w:t xml:space="preserve"> moratorios se </w:t>
      </w:r>
      <w:r w:rsidR="00AD2C08" w:rsidRPr="00244534">
        <w:rPr>
          <w:rFonts w:ascii="ITC Avant Garde" w:hAnsi="ITC Avant Garde"/>
          <w:color w:val="5B9BD5" w:themeColor="accent1"/>
        </w:rPr>
        <w:t>generan</w:t>
      </w:r>
      <w:r w:rsidR="00AD2C08" w:rsidRPr="00244534">
        <w:rPr>
          <w:rFonts w:ascii="ITC Avant Garde" w:hAnsi="ITC Avant Garde" w:cs="Arial"/>
          <w:color w:val="5B9BD5" w:themeColor="accent1"/>
        </w:rPr>
        <w:t xml:space="preserve"> por la falta de pago tal como lo establece el artículo 152 fracción II y 174 de la Ley General de Títulos y Operaciones de Crédito</w:t>
      </w:r>
      <w:r w:rsidR="008C7C52" w:rsidRPr="00244534">
        <w:rPr>
          <w:rFonts w:ascii="ITC Avant Garde" w:hAnsi="ITC Avant Garde" w:cs="Arial"/>
          <w:color w:val="5B9BD5" w:themeColor="accent1"/>
        </w:rPr>
        <w:t>, así como en el artículo 362 del Código de Comercio.</w:t>
      </w:r>
      <w:r w:rsidR="00A45F35" w:rsidRPr="00244534">
        <w:rPr>
          <w:rFonts w:ascii="ITC Avant Garde" w:hAnsi="ITC Avant Garde" w:cs="Arial"/>
          <w:color w:val="5B9BD5" w:themeColor="accent1"/>
        </w:rPr>
        <w:t xml:space="preserve"> El procedimiento de reconciliación mensual se encuentra contenido en la Oferta.</w:t>
      </w:r>
    </w:p>
    <w:p w14:paraId="100F959A" w14:textId="77777777" w:rsidR="005B36F9" w:rsidRPr="00244534" w:rsidRDefault="005B36F9" w:rsidP="005B36F9">
      <w:pPr>
        <w:spacing w:after="0" w:line="276" w:lineRule="auto"/>
        <w:ind w:left="0" w:right="0" w:firstLine="0"/>
        <w:rPr>
          <w:rFonts w:ascii="ITC Avant Garde" w:hAnsi="ITC Avant Garde" w:cs="Arial"/>
        </w:rPr>
      </w:pPr>
    </w:p>
    <w:p w14:paraId="40EAF9CE" w14:textId="77777777" w:rsidR="005A7990" w:rsidRPr="00244534" w:rsidRDefault="005A7990" w:rsidP="005A7990">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Párrafo Tercero, última línea</w:t>
      </w:r>
    </w:p>
    <w:p w14:paraId="117E2AE8" w14:textId="77777777" w:rsidR="005A7990" w:rsidRPr="00244534" w:rsidRDefault="005A7990" w:rsidP="005A7990">
      <w:pPr>
        <w:spacing w:after="0" w:line="276" w:lineRule="auto"/>
        <w:ind w:left="0" w:right="0" w:firstLine="0"/>
        <w:rPr>
          <w:rFonts w:ascii="ITC Avant Garde" w:hAnsi="ITC Avant Garde"/>
          <w:b/>
          <w:color w:val="auto"/>
        </w:rPr>
      </w:pPr>
    </w:p>
    <w:p w14:paraId="3040BC4E" w14:textId="77777777" w:rsidR="005A7990" w:rsidRPr="00244534" w:rsidRDefault="005A7990" w:rsidP="005A7990">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3E84D4C0" w14:textId="77777777" w:rsidR="005A7990" w:rsidRPr="00244534" w:rsidRDefault="005A7990" w:rsidP="005A7990">
      <w:pPr>
        <w:spacing w:after="0" w:line="276" w:lineRule="auto"/>
        <w:ind w:left="0" w:right="0" w:firstLine="0"/>
        <w:rPr>
          <w:rFonts w:ascii="ITC Avant Garde" w:hAnsi="ITC Avant Garde"/>
          <w:color w:val="auto"/>
        </w:rPr>
      </w:pPr>
    </w:p>
    <w:p w14:paraId="08E2B07B" w14:textId="1E9889E7" w:rsidR="005A7990" w:rsidRPr="00244534" w:rsidRDefault="00FC68AC" w:rsidP="005A7990">
      <w:pPr>
        <w:spacing w:line="276" w:lineRule="auto"/>
        <w:ind w:left="0" w:right="0" w:firstLine="0"/>
        <w:rPr>
          <w:rFonts w:ascii="ITC Avant Garde" w:hAnsi="ITC Avant Garde"/>
          <w:color w:val="auto"/>
        </w:rPr>
      </w:pPr>
      <w:r w:rsidRPr="00244534">
        <w:rPr>
          <w:rFonts w:ascii="ITC Avant Garde" w:hAnsi="ITC Avant Garde"/>
          <w:color w:val="auto"/>
        </w:rPr>
        <w:t>S</w:t>
      </w:r>
      <w:r w:rsidR="005A7990" w:rsidRPr="00244534">
        <w:rPr>
          <w:rFonts w:ascii="ITC Avant Garde" w:hAnsi="ITC Avant Garde"/>
          <w:color w:val="auto"/>
        </w:rPr>
        <w:t>olicita la introducción de un proceso de reconciliación mensual de facturas entre el AEP y el Concesionario Solicitante. Además, sugiere el siguiente proceso: si la diferencia de importe es de menos de 1%, el Concesionario Solicitante tiene que pagar la totalidad de la factura, y si la objeción representa una diferencia mayor 1% pero está vinculada a uno o pocos servicios, el Concesionario Solicitante puede proceder con el pago de los servicios sobre los cuales ambas partes están de acuerdo mientras se busque una solución para el importe de la disputa.</w:t>
      </w:r>
    </w:p>
    <w:p w14:paraId="7B991348" w14:textId="77777777" w:rsidR="005A7990" w:rsidRPr="00244534" w:rsidRDefault="005A7990" w:rsidP="005A7990">
      <w:pPr>
        <w:spacing w:line="276" w:lineRule="auto"/>
        <w:ind w:left="0" w:right="0" w:firstLine="0"/>
        <w:rPr>
          <w:rFonts w:ascii="ITC Avant Garde" w:hAnsi="ITC Avant Garde"/>
          <w:color w:val="auto"/>
        </w:rPr>
      </w:pPr>
    </w:p>
    <w:p w14:paraId="3A859EA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3234880" w14:textId="77777777" w:rsidR="00F04FB4" w:rsidRPr="00244534" w:rsidRDefault="00F04FB4" w:rsidP="005A7990">
      <w:pPr>
        <w:spacing w:line="276" w:lineRule="auto"/>
        <w:ind w:left="0" w:right="0" w:firstLine="0"/>
        <w:rPr>
          <w:rFonts w:ascii="ITC Avant Garde" w:hAnsi="ITC Avant Garde"/>
          <w:color w:val="auto"/>
        </w:rPr>
      </w:pPr>
    </w:p>
    <w:p w14:paraId="6BA13150" w14:textId="77777777" w:rsidR="00E32A6C" w:rsidRPr="00244534" w:rsidRDefault="00EA7B1F" w:rsidP="00E32A6C">
      <w:pPr>
        <w:spacing w:after="0" w:line="276" w:lineRule="auto"/>
        <w:ind w:left="0" w:right="0" w:firstLine="0"/>
        <w:rPr>
          <w:rFonts w:ascii="ITC Avant Garde" w:hAnsi="ITC Avant Garde" w:cs="Arial"/>
          <w:color w:val="5B9BD5" w:themeColor="accent1"/>
        </w:rPr>
      </w:pPr>
      <w:r w:rsidRPr="00244534">
        <w:rPr>
          <w:rFonts w:ascii="ITC Avant Garde" w:hAnsi="ITC Avant Garde" w:cs="Arial"/>
          <w:color w:val="5B9BD5" w:themeColor="accent1"/>
        </w:rPr>
        <w:t xml:space="preserve">El Anexo IV Acuerdos de Sistemas de Facturación, en su numeral 3 Metodología para la objeción de facturas, ya prevé un procedimiento para </w:t>
      </w:r>
      <w:r w:rsidRPr="00244534">
        <w:rPr>
          <w:rFonts w:ascii="ITC Avant Garde" w:hAnsi="ITC Avant Garde" w:cs="Arial"/>
          <w:color w:val="5B9BD5" w:themeColor="accent1"/>
        </w:rPr>
        <w:lastRenderedPageBreak/>
        <w:t>la conciliación de facturas</w:t>
      </w:r>
      <w:r w:rsidR="00E32A6C" w:rsidRPr="00244534">
        <w:rPr>
          <w:rFonts w:ascii="ITC Avant Garde" w:hAnsi="ITC Avant Garde" w:cs="Arial"/>
          <w:color w:val="5B9BD5" w:themeColor="accent1"/>
        </w:rPr>
        <w:t xml:space="preserve">; la determinación del porcentaje para proceder a la conciliación el mismo es práctica común en la industria. Por ello, se mantiene el párrafo en sus términos.  </w:t>
      </w:r>
    </w:p>
    <w:p w14:paraId="21EDA999" w14:textId="77777777" w:rsidR="005B36F9" w:rsidRPr="00244534" w:rsidRDefault="005B36F9" w:rsidP="00E32A6C">
      <w:pPr>
        <w:spacing w:line="276" w:lineRule="auto"/>
        <w:ind w:left="0" w:right="0" w:firstLine="0"/>
        <w:rPr>
          <w:rFonts w:ascii="ITC Avant Garde" w:hAnsi="ITC Avant Garde"/>
          <w:color w:val="5B9BD5" w:themeColor="accent1"/>
        </w:rPr>
      </w:pPr>
    </w:p>
    <w:p w14:paraId="35901CD6"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4.4.2.2 – Intereses Moratorios</w:t>
      </w:r>
    </w:p>
    <w:p w14:paraId="74AF17CE"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Primer párrafo</w:t>
      </w:r>
    </w:p>
    <w:p w14:paraId="7C312069" w14:textId="77777777" w:rsidR="00C85952" w:rsidRPr="00244534" w:rsidRDefault="00C85952" w:rsidP="005B36F9">
      <w:pPr>
        <w:spacing w:after="0" w:line="276" w:lineRule="auto"/>
        <w:ind w:left="0" w:right="0" w:firstLine="0"/>
        <w:rPr>
          <w:rFonts w:ascii="ITC Avant Garde" w:hAnsi="ITC Avant Garde"/>
          <w:b/>
          <w:color w:val="auto"/>
        </w:rPr>
      </w:pPr>
    </w:p>
    <w:p w14:paraId="03B54F9D" w14:textId="77777777" w:rsidR="00C85952" w:rsidRPr="00244534" w:rsidRDefault="00C85952" w:rsidP="00C85952">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5DBBEA10" w14:textId="77777777" w:rsidR="005B36F9" w:rsidRPr="00244534" w:rsidRDefault="005B36F9" w:rsidP="005B36F9">
      <w:pPr>
        <w:autoSpaceDE w:val="0"/>
        <w:autoSpaceDN w:val="0"/>
        <w:adjustRightInd w:val="0"/>
        <w:rPr>
          <w:rFonts w:ascii="ITC Avant Garde" w:hAnsi="ITC Avant Garde" w:cs="Arial"/>
          <w:lang w:val="es-ES" w:eastAsia="es-ES"/>
        </w:rPr>
      </w:pPr>
    </w:p>
    <w:p w14:paraId="0D0F5237" w14:textId="33C3A9C1" w:rsidR="005B36F9" w:rsidRPr="00244534" w:rsidRDefault="00FC68AC" w:rsidP="005B36F9">
      <w:pPr>
        <w:spacing w:line="276" w:lineRule="auto"/>
        <w:ind w:left="0" w:right="0" w:firstLine="0"/>
        <w:rPr>
          <w:rFonts w:ascii="ITC Avant Garde" w:hAnsi="ITC Avant Garde"/>
          <w:color w:val="auto"/>
        </w:rPr>
      </w:pPr>
      <w:r w:rsidRPr="00244534">
        <w:rPr>
          <w:rFonts w:ascii="ITC Avant Garde" w:hAnsi="ITC Avant Garde"/>
          <w:color w:val="auto"/>
        </w:rPr>
        <w:t>Sugiere</w:t>
      </w:r>
      <w:r w:rsidR="004919B7" w:rsidRPr="00244534">
        <w:rPr>
          <w:rFonts w:ascii="ITC Avant Garde" w:hAnsi="ITC Avant Garde"/>
          <w:color w:val="auto"/>
        </w:rPr>
        <w:t xml:space="preserve"> una revisión de la cláusula 4.4.2.2 tomando en consideración las condiciones habituales que aplican en los acuerdos comerciales entre concesionarios en México, ya que </w:t>
      </w:r>
      <w:r w:rsidR="005B36F9" w:rsidRPr="00244534">
        <w:rPr>
          <w:rFonts w:ascii="ITC Avant Garde" w:hAnsi="ITC Avant Garde"/>
          <w:color w:val="auto"/>
        </w:rPr>
        <w:t xml:space="preserve">opina que el cobro por intereses moratorios equivalentes a 3 veces la tasa a plazo de 28 días vigente en el mercado parece </w:t>
      </w:r>
      <w:r w:rsidR="004919B7" w:rsidRPr="00244534">
        <w:rPr>
          <w:rFonts w:ascii="ITC Avant Garde" w:hAnsi="ITC Avant Garde"/>
          <w:color w:val="auto"/>
        </w:rPr>
        <w:t>desproporcionado.</w:t>
      </w:r>
    </w:p>
    <w:p w14:paraId="1FD1B8C3" w14:textId="77777777" w:rsidR="005B36F9" w:rsidRPr="00244534" w:rsidRDefault="005B36F9" w:rsidP="005B36F9">
      <w:pPr>
        <w:spacing w:line="276" w:lineRule="auto"/>
        <w:ind w:left="0" w:right="0" w:firstLine="0"/>
        <w:rPr>
          <w:rFonts w:ascii="ITC Avant Garde" w:hAnsi="ITC Avant Garde"/>
          <w:color w:val="auto"/>
        </w:rPr>
      </w:pPr>
    </w:p>
    <w:p w14:paraId="4BA9CDD5"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C4A38AC" w14:textId="77777777" w:rsidR="00F04FB4" w:rsidRPr="00244534" w:rsidRDefault="00F04FB4" w:rsidP="005B36F9">
      <w:pPr>
        <w:spacing w:line="276" w:lineRule="auto"/>
        <w:ind w:left="0" w:right="0" w:firstLine="0"/>
        <w:rPr>
          <w:rFonts w:ascii="ITC Avant Garde" w:hAnsi="ITC Avant Garde"/>
          <w:color w:val="auto"/>
        </w:rPr>
      </w:pPr>
    </w:p>
    <w:p w14:paraId="566D0596" w14:textId="2D59FE4C" w:rsidR="00E32A6C" w:rsidRPr="00244534" w:rsidRDefault="00E32A6C" w:rsidP="00E32A6C">
      <w:pPr>
        <w:spacing w:after="0" w:line="276" w:lineRule="auto"/>
        <w:ind w:left="0" w:right="0" w:firstLine="0"/>
        <w:rPr>
          <w:rFonts w:ascii="ITC Avant Garde" w:hAnsi="ITC Avant Garde" w:cs="Arial"/>
          <w:color w:val="5B9BD5" w:themeColor="accent1"/>
        </w:rPr>
      </w:pPr>
      <w:r w:rsidRPr="00244534">
        <w:rPr>
          <w:rFonts w:ascii="ITC Avant Garde" w:hAnsi="ITC Avant Garde" w:cs="Arial"/>
          <w:color w:val="5B9BD5" w:themeColor="accent1"/>
        </w:rPr>
        <w:t>En atención a lo anterior, se manifiesta que la tasa a aplicar por pagos extemporáneos debe servir como un instrumento para desincentivar el incumplimiento en el mismo</w:t>
      </w:r>
      <w:r w:rsidR="00FC68AC" w:rsidRPr="00244534">
        <w:rPr>
          <w:rFonts w:ascii="ITC Avant Garde" w:hAnsi="ITC Avant Garde" w:cs="Arial"/>
          <w:color w:val="5B9BD5" w:themeColor="accent1"/>
        </w:rPr>
        <w:t>.</w:t>
      </w:r>
      <w:r w:rsidRPr="00244534">
        <w:rPr>
          <w:rFonts w:ascii="ITC Avant Garde" w:hAnsi="ITC Avant Garde" w:cs="Arial"/>
          <w:color w:val="5B9BD5" w:themeColor="accent1"/>
        </w:rPr>
        <w:t xml:space="preserve"> </w:t>
      </w:r>
      <w:r w:rsidR="00FC68AC" w:rsidRPr="00244534">
        <w:rPr>
          <w:rFonts w:ascii="ITC Avant Garde" w:hAnsi="ITC Avant Garde" w:cs="Arial"/>
          <w:color w:val="5B9BD5" w:themeColor="accent1"/>
        </w:rPr>
        <w:t>S</w:t>
      </w:r>
      <w:r w:rsidRPr="00244534">
        <w:rPr>
          <w:rFonts w:ascii="ITC Avant Garde" w:hAnsi="ITC Avant Garde" w:cs="Arial"/>
          <w:color w:val="5B9BD5" w:themeColor="accent1"/>
        </w:rPr>
        <w:t>in embargo, la propuesta del AEP respecto a aplicar una tasa de TIIE por tres constituye una práctica abusiva. Por lo anterior, para estos casos la tasa a aplicar se</w:t>
      </w:r>
      <w:r w:rsidR="00FC68AC" w:rsidRPr="00244534">
        <w:rPr>
          <w:rFonts w:ascii="ITC Avant Garde" w:hAnsi="ITC Avant Garde" w:cs="Arial"/>
          <w:color w:val="5B9BD5" w:themeColor="accent1"/>
        </w:rPr>
        <w:t>rá</w:t>
      </w:r>
      <w:r w:rsidRPr="00244534">
        <w:rPr>
          <w:rFonts w:ascii="ITC Avant Garde" w:hAnsi="ITC Avant Garde" w:cs="Arial"/>
          <w:color w:val="5B9BD5" w:themeColor="accent1"/>
        </w:rPr>
        <w:t xml:space="preserve"> TIIE por dos, la cual resulta ser mayor a lo que obtendría el Concesionario como rendimiento en el mercado financiero, por lo que de facto trae consigo una penalización. Por lo anterior, se modifica la tasa por pago extemporáneo, a TIIE por dos.</w:t>
      </w:r>
    </w:p>
    <w:p w14:paraId="2F7C22EF" w14:textId="77777777" w:rsidR="005B36F9" w:rsidRPr="00244534" w:rsidRDefault="005B36F9" w:rsidP="005B36F9">
      <w:pPr>
        <w:spacing w:after="0" w:line="276" w:lineRule="auto"/>
        <w:ind w:left="0" w:right="0" w:firstLine="0"/>
        <w:rPr>
          <w:rFonts w:ascii="ITC Avant Garde" w:hAnsi="ITC Avant Garde"/>
          <w:b/>
          <w:color w:val="auto"/>
        </w:rPr>
      </w:pPr>
    </w:p>
    <w:p w14:paraId="485503B0" w14:textId="77777777" w:rsidR="005A7990" w:rsidRPr="00244534" w:rsidRDefault="005A7990" w:rsidP="005A7990">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 4.5. Esquema de Pago Anticipado</w:t>
      </w:r>
    </w:p>
    <w:p w14:paraId="007B611D" w14:textId="77777777" w:rsidR="00AB5CA1" w:rsidRPr="00244534" w:rsidRDefault="00AB5CA1" w:rsidP="005A7990">
      <w:pPr>
        <w:spacing w:after="0" w:line="276" w:lineRule="auto"/>
        <w:ind w:right="0"/>
        <w:rPr>
          <w:rFonts w:ascii="ITC Avant Garde" w:hAnsi="ITC Avant Garde"/>
          <w:b/>
          <w:color w:val="auto"/>
          <w:u w:val="single"/>
        </w:rPr>
      </w:pPr>
    </w:p>
    <w:p w14:paraId="184957C6" w14:textId="77777777" w:rsidR="00AB5CA1" w:rsidRPr="00244534" w:rsidRDefault="00AB5CA1" w:rsidP="00AB5CA1">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50B91049" w14:textId="77777777" w:rsidR="00AB5CA1" w:rsidRPr="00244534" w:rsidRDefault="00AB5CA1" w:rsidP="005A7990">
      <w:pPr>
        <w:spacing w:line="276" w:lineRule="auto"/>
        <w:ind w:left="0" w:right="0" w:firstLine="0"/>
        <w:rPr>
          <w:rFonts w:ascii="ITC Avant Garde" w:hAnsi="ITC Avant Garde"/>
          <w:color w:val="auto"/>
        </w:rPr>
      </w:pPr>
    </w:p>
    <w:p w14:paraId="66B29F30" w14:textId="707D6DCB" w:rsidR="00AB5CA1" w:rsidRPr="00244534" w:rsidRDefault="00FC68AC" w:rsidP="005A7990">
      <w:pPr>
        <w:spacing w:line="276" w:lineRule="auto"/>
        <w:ind w:left="0" w:right="0" w:firstLine="0"/>
        <w:rPr>
          <w:rFonts w:ascii="ITC Avant Garde" w:hAnsi="ITC Avant Garde"/>
          <w:color w:val="auto"/>
        </w:rPr>
      </w:pPr>
      <w:r w:rsidRPr="00244534">
        <w:rPr>
          <w:rFonts w:ascii="ITC Avant Garde" w:hAnsi="ITC Avant Garde"/>
          <w:color w:val="auto"/>
        </w:rPr>
        <w:t>S</w:t>
      </w:r>
      <w:r w:rsidR="00AB5CA1" w:rsidRPr="00244534">
        <w:rPr>
          <w:rFonts w:ascii="ITC Avant Garde" w:hAnsi="ITC Avant Garde"/>
          <w:color w:val="auto"/>
        </w:rPr>
        <w:t xml:space="preserve">ugiere </w:t>
      </w:r>
      <w:r w:rsidR="003D5CC0" w:rsidRPr="00244534">
        <w:rPr>
          <w:rFonts w:ascii="ITC Avant Garde" w:hAnsi="ITC Avant Garde"/>
          <w:color w:val="auto"/>
        </w:rPr>
        <w:t>excluir la modalidad de Pago Anticipado de la Oferta de Referencia ya que la modalidad de pospago o por mes vencido es la manera habitual de pagar los contratos comerciales. Además, propone ampliar el plazo de pago en la modalidad de pospago a 30 d</w:t>
      </w:r>
      <w:r w:rsidR="00600E31" w:rsidRPr="00244534">
        <w:rPr>
          <w:rFonts w:ascii="ITC Avant Garde" w:hAnsi="ITC Avant Garde"/>
          <w:color w:val="auto"/>
        </w:rPr>
        <w:t xml:space="preserve">ías naturales después de la emisión de la factura. Señala que el pago por adelantado es problemático ya que se podrían cobrar servicios que se den de baja durante el mes corriente, especialmente en ausencia de un proceso conjunto de reconciliación y disputa de facturas que pudiera subsanar estos errores.  </w:t>
      </w:r>
      <w:r w:rsidR="003D5CC0" w:rsidRPr="00244534">
        <w:rPr>
          <w:rFonts w:ascii="ITC Avant Garde" w:hAnsi="ITC Avant Garde"/>
          <w:color w:val="auto"/>
        </w:rPr>
        <w:t xml:space="preserve"> </w:t>
      </w:r>
      <w:r w:rsidR="005A7990" w:rsidRPr="00244534">
        <w:rPr>
          <w:rFonts w:ascii="ITC Avant Garde" w:hAnsi="ITC Avant Garde"/>
          <w:color w:val="auto"/>
        </w:rPr>
        <w:t xml:space="preserve"> </w:t>
      </w:r>
    </w:p>
    <w:p w14:paraId="6D91F4B6" w14:textId="77777777" w:rsidR="005A7990" w:rsidRPr="00244534" w:rsidRDefault="005A7990" w:rsidP="005A7990">
      <w:pPr>
        <w:spacing w:line="276" w:lineRule="auto"/>
        <w:ind w:left="0" w:right="0" w:firstLine="0"/>
        <w:rPr>
          <w:rFonts w:ascii="ITC Avant Garde" w:hAnsi="ITC Avant Garde"/>
          <w:color w:val="auto"/>
        </w:rPr>
      </w:pPr>
    </w:p>
    <w:p w14:paraId="1365E920"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7AD1F9B" w14:textId="77777777" w:rsidR="00F04FB4" w:rsidRPr="00244534" w:rsidRDefault="00F04FB4" w:rsidP="005A7990">
      <w:pPr>
        <w:spacing w:line="276" w:lineRule="auto"/>
        <w:ind w:left="0" w:right="0" w:firstLine="0"/>
        <w:rPr>
          <w:rFonts w:ascii="ITC Avant Garde" w:hAnsi="ITC Avant Garde"/>
          <w:color w:val="auto"/>
        </w:rPr>
      </w:pPr>
    </w:p>
    <w:p w14:paraId="57A252E0" w14:textId="77777777" w:rsidR="00E32A6C" w:rsidRPr="00244534" w:rsidRDefault="00E32A6C" w:rsidP="00E32A6C">
      <w:pPr>
        <w:spacing w:after="0" w:line="276" w:lineRule="auto"/>
        <w:ind w:left="0" w:right="0" w:firstLine="0"/>
        <w:rPr>
          <w:rFonts w:ascii="ITC Avant Garde" w:hAnsi="ITC Avant Garde" w:cs="Arial"/>
          <w:color w:val="5B9BD5" w:themeColor="accent1"/>
        </w:rPr>
      </w:pPr>
      <w:r w:rsidRPr="00244534">
        <w:rPr>
          <w:rFonts w:ascii="ITC Avant Garde" w:hAnsi="ITC Avant Garde" w:cs="Arial"/>
          <w:color w:val="5B9BD5" w:themeColor="accent1"/>
        </w:rPr>
        <w:lastRenderedPageBreak/>
        <w:t>Sobre el particular, se manifiesta que la bolsa revolvente es una de las dos opciones con las que cuenta el OMV para pagar los servicios; dicho OMV elegirá la forma de pago que sea adecuada. Respecto al procedimiento de conciliación y objeción de facturas, se destaca que el párrafo quinto de ese mismo apartado prevé por referencia la aplicación de esos procedimientos. Por lo tanto, la cláusula se mantiene en sus términos.</w:t>
      </w:r>
    </w:p>
    <w:p w14:paraId="095245DA" w14:textId="77777777" w:rsidR="00CE0E44" w:rsidRPr="00244534" w:rsidRDefault="00CE0E44" w:rsidP="005B36F9">
      <w:pPr>
        <w:spacing w:after="0" w:line="276" w:lineRule="auto"/>
        <w:ind w:left="0" w:right="0" w:firstLine="0"/>
        <w:rPr>
          <w:rFonts w:ascii="ITC Avant Garde" w:hAnsi="ITC Avant Garde"/>
          <w:b/>
          <w:color w:val="auto"/>
        </w:rPr>
      </w:pPr>
    </w:p>
    <w:p w14:paraId="344E73F1" w14:textId="77777777" w:rsidR="005A7990" w:rsidRPr="00244534" w:rsidRDefault="005A7990" w:rsidP="005A7990">
      <w:pPr>
        <w:spacing w:after="0" w:line="276" w:lineRule="auto"/>
        <w:ind w:right="0"/>
        <w:rPr>
          <w:rFonts w:ascii="ITC Avant Garde" w:hAnsi="ITC Avant Garde"/>
          <w:b/>
          <w:color w:val="auto"/>
          <w:u w:val="single"/>
        </w:rPr>
      </w:pPr>
      <w:r w:rsidRPr="00244534">
        <w:rPr>
          <w:rFonts w:ascii="ITC Avant Garde" w:hAnsi="ITC Avant Garde"/>
          <w:b/>
          <w:color w:val="auto"/>
          <w:u w:val="single"/>
        </w:rPr>
        <w:t>Cláusula Quinta. Diversas Obligaciones a cargo de las Partes</w:t>
      </w:r>
    </w:p>
    <w:p w14:paraId="40C2C3C9" w14:textId="77777777" w:rsidR="005A7990" w:rsidRPr="00244534" w:rsidRDefault="005A7990" w:rsidP="005A7990">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 5.1.6 – Responsabilidad de Telcel</w:t>
      </w:r>
    </w:p>
    <w:p w14:paraId="0ADDCAB1" w14:textId="77777777" w:rsidR="005A7990" w:rsidRPr="00244534" w:rsidRDefault="005A7990" w:rsidP="005A7990">
      <w:pPr>
        <w:spacing w:after="0" w:line="276" w:lineRule="auto"/>
        <w:ind w:right="0"/>
        <w:rPr>
          <w:rFonts w:ascii="ITC Avant Garde" w:hAnsi="ITC Avant Garde"/>
          <w:b/>
          <w:color w:val="auto"/>
        </w:rPr>
      </w:pPr>
    </w:p>
    <w:p w14:paraId="79B5A584" w14:textId="77777777" w:rsidR="005A7990" w:rsidRPr="00244534" w:rsidRDefault="005A7990" w:rsidP="005A7990">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489BA227" w14:textId="77777777" w:rsidR="005A7990" w:rsidRPr="00244534" w:rsidRDefault="005A7990" w:rsidP="005A7990">
      <w:pPr>
        <w:spacing w:after="0" w:line="276" w:lineRule="auto"/>
        <w:ind w:right="0"/>
        <w:rPr>
          <w:rFonts w:ascii="ITC Avant Garde" w:hAnsi="ITC Avant Garde"/>
          <w:b/>
          <w:color w:val="auto"/>
        </w:rPr>
      </w:pPr>
    </w:p>
    <w:p w14:paraId="15A88CE9" w14:textId="26BC1ED8" w:rsidR="004245DD" w:rsidRPr="00244534" w:rsidRDefault="00FC68AC" w:rsidP="005A7990">
      <w:pPr>
        <w:spacing w:after="0" w:line="276" w:lineRule="auto"/>
        <w:ind w:right="0"/>
        <w:rPr>
          <w:rFonts w:ascii="ITC Avant Garde" w:hAnsi="ITC Avant Garde"/>
          <w:color w:val="auto"/>
        </w:rPr>
      </w:pPr>
      <w:r w:rsidRPr="00244534">
        <w:rPr>
          <w:rFonts w:ascii="ITC Avant Garde" w:hAnsi="ITC Avant Garde"/>
          <w:color w:val="auto"/>
        </w:rPr>
        <w:t>R</w:t>
      </w:r>
      <w:r w:rsidR="004245DD" w:rsidRPr="00244534">
        <w:rPr>
          <w:rFonts w:ascii="ITC Avant Garde" w:hAnsi="ITC Avant Garde"/>
          <w:color w:val="auto"/>
        </w:rPr>
        <w:t>ecomienda eliminar el numeral 5.1.6 del convenio</w:t>
      </w:r>
      <w:r w:rsidRPr="00244534">
        <w:rPr>
          <w:rFonts w:ascii="ITC Avant Garde" w:hAnsi="ITC Avant Garde"/>
          <w:color w:val="auto"/>
        </w:rPr>
        <w:t>,</w:t>
      </w:r>
      <w:r w:rsidR="004245DD" w:rsidRPr="00244534">
        <w:rPr>
          <w:rFonts w:ascii="ITC Avant Garde" w:hAnsi="ITC Avant Garde"/>
          <w:color w:val="auto"/>
        </w:rPr>
        <w:t xml:space="preserve"> ya que </w:t>
      </w:r>
      <w:r w:rsidRPr="00244534">
        <w:rPr>
          <w:rFonts w:ascii="ITC Avant Garde" w:hAnsi="ITC Avant Garde"/>
          <w:color w:val="auto"/>
        </w:rPr>
        <w:t>é</w:t>
      </w:r>
      <w:r w:rsidR="004245DD" w:rsidRPr="00244534">
        <w:rPr>
          <w:rFonts w:ascii="ITC Avant Garde" w:hAnsi="ITC Avant Garde"/>
          <w:color w:val="auto"/>
        </w:rPr>
        <w:t>ste otorga amplia discrecionalidad al AEP para intervenir en las operaciones del concesionario sin causa justificada y sin la obligación de probarla. Asimismo, propone incorporar un proceso de verificación</w:t>
      </w:r>
      <w:r w:rsidR="003B7D21" w:rsidRPr="00244534">
        <w:rPr>
          <w:rFonts w:ascii="ITC Avant Garde" w:hAnsi="ITC Avant Garde"/>
          <w:color w:val="auto"/>
        </w:rPr>
        <w:t xml:space="preserve"> que involucre a ambas partes para determinar si efectivamente la interferencia es provocada por los equipos del concesionario.</w:t>
      </w:r>
      <w:r w:rsidR="004245DD" w:rsidRPr="00244534">
        <w:rPr>
          <w:rFonts w:ascii="ITC Avant Garde" w:hAnsi="ITC Avant Garde"/>
          <w:color w:val="auto"/>
        </w:rPr>
        <w:t xml:space="preserve">  </w:t>
      </w:r>
    </w:p>
    <w:p w14:paraId="7E3278D8" w14:textId="77777777" w:rsidR="004245DD" w:rsidRPr="00244534" w:rsidRDefault="004245DD" w:rsidP="005A7990">
      <w:pPr>
        <w:spacing w:after="0" w:line="276" w:lineRule="auto"/>
        <w:ind w:right="0"/>
        <w:rPr>
          <w:rFonts w:ascii="ITC Avant Garde" w:hAnsi="ITC Avant Garde"/>
          <w:color w:val="auto"/>
        </w:rPr>
      </w:pPr>
    </w:p>
    <w:p w14:paraId="7152EB2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15134A26" w14:textId="77777777" w:rsidR="00F04FB4" w:rsidRPr="00244534" w:rsidRDefault="00F04FB4" w:rsidP="005A7990">
      <w:pPr>
        <w:spacing w:after="0" w:line="276" w:lineRule="auto"/>
        <w:ind w:right="0"/>
        <w:rPr>
          <w:rFonts w:ascii="ITC Avant Garde" w:hAnsi="ITC Avant Garde"/>
          <w:color w:val="auto"/>
        </w:rPr>
      </w:pPr>
    </w:p>
    <w:p w14:paraId="201062B5" w14:textId="19F7FA1F" w:rsidR="00A43E1B" w:rsidRPr="00244534" w:rsidRDefault="009F23F9" w:rsidP="00A43E1B">
      <w:pPr>
        <w:spacing w:after="0" w:line="276" w:lineRule="auto"/>
        <w:ind w:left="0" w:right="0" w:firstLine="0"/>
        <w:rPr>
          <w:rFonts w:ascii="ITC Avant Garde" w:hAnsi="ITC Avant Garde" w:cs="Arial"/>
          <w:color w:val="5B9BD5" w:themeColor="accent1"/>
        </w:rPr>
      </w:pPr>
      <w:r w:rsidRPr="00244534">
        <w:rPr>
          <w:rFonts w:ascii="ITC Avant Garde" w:hAnsi="ITC Avant Garde" w:cs="Arial"/>
          <w:color w:val="5B9BD5" w:themeColor="accent1"/>
        </w:rPr>
        <w:t>Es posible que los usuarios finales del concesionario</w:t>
      </w:r>
      <w:r w:rsidR="00A43E1B" w:rsidRPr="00244534">
        <w:rPr>
          <w:rFonts w:ascii="ITC Avant Garde" w:hAnsi="ITC Avant Garde" w:cs="Arial"/>
          <w:color w:val="5B9BD5" w:themeColor="accent1"/>
        </w:rPr>
        <w:t xml:space="preserve"> utilicen equipos terminales que</w:t>
      </w:r>
      <w:r w:rsidRPr="00244534">
        <w:rPr>
          <w:rFonts w:ascii="ITC Avant Garde" w:hAnsi="ITC Avant Garde" w:cs="Arial"/>
          <w:color w:val="5B9BD5" w:themeColor="accent1"/>
        </w:rPr>
        <w:t xml:space="preserve"> afecten la red del AEP</w:t>
      </w:r>
      <w:r w:rsidR="000E5B37" w:rsidRPr="00244534">
        <w:rPr>
          <w:rFonts w:ascii="ITC Avant Garde" w:hAnsi="ITC Avant Garde" w:cs="Arial"/>
          <w:color w:val="5B9BD5" w:themeColor="accent1"/>
        </w:rPr>
        <w:t xml:space="preserve">, ya que dichos equipos </w:t>
      </w:r>
      <w:r w:rsidRPr="00244534">
        <w:rPr>
          <w:rFonts w:ascii="ITC Avant Garde" w:hAnsi="ITC Avant Garde" w:cs="Arial"/>
          <w:color w:val="5B9BD5" w:themeColor="accent1"/>
        </w:rPr>
        <w:t xml:space="preserve">pueden demandar mayores recursos de red </w:t>
      </w:r>
      <w:r w:rsidR="000A59DD" w:rsidRPr="00244534">
        <w:rPr>
          <w:rFonts w:ascii="ITC Avant Garde" w:hAnsi="ITC Avant Garde" w:cs="Arial"/>
          <w:color w:val="5B9BD5" w:themeColor="accent1"/>
        </w:rPr>
        <w:t xml:space="preserve">al enviar constantemente mensajes de señalización debido a </w:t>
      </w:r>
      <w:r w:rsidR="000E5B37" w:rsidRPr="00244534">
        <w:rPr>
          <w:rFonts w:ascii="ITC Avant Garde" w:hAnsi="ITC Avant Garde" w:cs="Arial"/>
          <w:color w:val="5B9BD5" w:themeColor="accent1"/>
        </w:rPr>
        <w:t xml:space="preserve">funcionalidades como el “Fast Dormancy” y las </w:t>
      </w:r>
      <w:r w:rsidR="00FC68AC" w:rsidRPr="00244534">
        <w:rPr>
          <w:rFonts w:ascii="ITC Avant Garde" w:hAnsi="ITC Avant Garde" w:cs="Arial"/>
          <w:color w:val="5B9BD5" w:themeColor="accent1"/>
        </w:rPr>
        <w:t>a</w:t>
      </w:r>
      <w:r w:rsidR="000E5B37" w:rsidRPr="00244534">
        <w:rPr>
          <w:rFonts w:ascii="ITC Avant Garde" w:hAnsi="ITC Avant Garde" w:cs="Arial"/>
          <w:color w:val="5B9BD5" w:themeColor="accent1"/>
        </w:rPr>
        <w:t>plicaciones siempre en línea.</w:t>
      </w:r>
      <w:r w:rsidR="00F60BE6" w:rsidRPr="00244534">
        <w:rPr>
          <w:rFonts w:ascii="ITC Avant Garde" w:hAnsi="ITC Avant Garde" w:cs="Arial"/>
          <w:color w:val="5B9BD5" w:themeColor="accent1"/>
        </w:rPr>
        <w:t xml:space="preserve"> </w:t>
      </w:r>
      <w:r w:rsidR="00A43E1B" w:rsidRPr="00244534">
        <w:rPr>
          <w:rFonts w:ascii="ITC Avant Garde" w:hAnsi="ITC Avant Garde" w:cs="Arial"/>
          <w:color w:val="5B9BD5" w:themeColor="accent1"/>
        </w:rPr>
        <w:t>Asimismo, dada la naturaleza dinámica de las redes móviles y con el afán de no instaurar procesos que entorpezcan la toma de medidas para resolver interferencias, el texto de la cláusula se mantiene en sus términos. En el entendido que el AEP conserva la obligación de notificar al concesionario solicitante en un plazo no mayor a 48 desde la detección de la interferencia para que el CS la elimine.</w:t>
      </w:r>
    </w:p>
    <w:p w14:paraId="2FA7777F" w14:textId="77777777" w:rsidR="000A59DD" w:rsidRPr="00244534" w:rsidRDefault="000A59DD" w:rsidP="005A7990">
      <w:pPr>
        <w:spacing w:after="0" w:line="276" w:lineRule="auto"/>
        <w:ind w:left="0" w:right="0" w:firstLine="0"/>
        <w:rPr>
          <w:rFonts w:ascii="ITC Avant Garde" w:hAnsi="ITC Avant Garde"/>
          <w:color w:val="5B9BD5" w:themeColor="accent1"/>
        </w:rPr>
      </w:pPr>
    </w:p>
    <w:p w14:paraId="46A01063" w14:textId="77777777" w:rsidR="00787CDB" w:rsidRPr="00244534" w:rsidRDefault="00787CDB" w:rsidP="00787CDB">
      <w:pPr>
        <w:spacing w:after="0" w:line="276" w:lineRule="auto"/>
        <w:ind w:right="0"/>
        <w:rPr>
          <w:rFonts w:ascii="ITC Avant Garde" w:hAnsi="ITC Avant Garde"/>
          <w:b/>
          <w:color w:val="auto"/>
          <w:u w:val="single"/>
        </w:rPr>
      </w:pPr>
      <w:r w:rsidRPr="00244534">
        <w:rPr>
          <w:rFonts w:ascii="ITC Avant Garde" w:hAnsi="ITC Avant Garde"/>
          <w:b/>
          <w:color w:val="auto"/>
          <w:u w:val="single"/>
        </w:rPr>
        <w:t>Publicidad sobre Cobertura extendida</w:t>
      </w:r>
    </w:p>
    <w:p w14:paraId="05A18A39" w14:textId="77777777" w:rsidR="00787CDB" w:rsidRPr="00244534" w:rsidRDefault="00787CDB" w:rsidP="00787CDB">
      <w:pPr>
        <w:spacing w:after="0" w:line="276" w:lineRule="auto"/>
        <w:ind w:left="0" w:right="0" w:firstLine="0"/>
        <w:rPr>
          <w:rFonts w:ascii="ITC Avant Garde" w:hAnsi="ITC Avant Garde"/>
          <w:b/>
          <w:color w:val="auto"/>
        </w:rPr>
      </w:pPr>
    </w:p>
    <w:p w14:paraId="21406189" w14:textId="77777777" w:rsidR="00787CDB" w:rsidRPr="00244534" w:rsidRDefault="00787CDB" w:rsidP="00787CDB">
      <w:pPr>
        <w:spacing w:after="0" w:line="276" w:lineRule="auto"/>
        <w:ind w:right="0"/>
        <w:rPr>
          <w:rFonts w:ascii="ITC Avant Garde" w:hAnsi="ITC Avant Garde"/>
          <w:b/>
          <w:color w:val="auto"/>
        </w:rPr>
      </w:pPr>
      <w:r w:rsidRPr="00244534">
        <w:rPr>
          <w:rFonts w:ascii="ITC Avant Garde" w:hAnsi="ITC Avant Garde"/>
          <w:b/>
          <w:color w:val="auto"/>
        </w:rPr>
        <w:t>Telefónica:</w:t>
      </w:r>
    </w:p>
    <w:p w14:paraId="3DEA7A6B" w14:textId="77777777" w:rsidR="00787CDB" w:rsidRPr="00244534" w:rsidRDefault="00787CDB" w:rsidP="00787CDB">
      <w:pPr>
        <w:spacing w:after="0" w:line="276" w:lineRule="auto"/>
        <w:ind w:right="0"/>
        <w:rPr>
          <w:rFonts w:ascii="ITC Avant Garde" w:hAnsi="ITC Avant Garde"/>
          <w:b/>
          <w:color w:val="auto"/>
        </w:rPr>
      </w:pPr>
    </w:p>
    <w:p w14:paraId="676736CE" w14:textId="59432CD6" w:rsidR="00787CDB" w:rsidRPr="00244534" w:rsidRDefault="00FC68AC" w:rsidP="0019000D">
      <w:pPr>
        <w:spacing w:after="0" w:line="276" w:lineRule="auto"/>
        <w:ind w:right="0"/>
        <w:rPr>
          <w:rFonts w:ascii="ITC Avant Garde" w:hAnsi="ITC Avant Garde"/>
          <w:color w:val="auto"/>
        </w:rPr>
      </w:pPr>
      <w:r w:rsidRPr="00244534">
        <w:rPr>
          <w:rFonts w:ascii="ITC Avant Garde" w:hAnsi="ITC Avant Garde"/>
          <w:color w:val="auto"/>
        </w:rPr>
        <w:t>R</w:t>
      </w:r>
      <w:r w:rsidR="00787CDB" w:rsidRPr="00244534">
        <w:rPr>
          <w:rFonts w:ascii="ITC Avant Garde" w:hAnsi="ITC Avant Garde"/>
          <w:color w:val="auto"/>
        </w:rPr>
        <w:t>ecomienda que dentro de la Oferta se establezcan restricciones a Telcel sobre la forma en que publicite la cobertura extendida, en el entendido de que Telcel, dentro de la propaganda y/o publicidad para ofertar sus servicios al público en general, no debiera hacer alusión a la prestación de los Servicios Mayoristas de Usuario Visitante.</w:t>
      </w:r>
    </w:p>
    <w:p w14:paraId="7DAE782A" w14:textId="77777777" w:rsidR="00F04FB4" w:rsidRPr="00244534" w:rsidRDefault="00F04FB4" w:rsidP="00F04FB4">
      <w:pPr>
        <w:pStyle w:val="Listaconvietas"/>
        <w:numPr>
          <w:ilvl w:val="0"/>
          <w:numId w:val="0"/>
        </w:numPr>
        <w:rPr>
          <w:i/>
          <w:color w:val="auto"/>
          <w:lang w:val="es-MX"/>
        </w:rPr>
      </w:pPr>
    </w:p>
    <w:p w14:paraId="2944E2B6"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52BA38E8" w14:textId="77777777" w:rsidR="00F04FB4" w:rsidRPr="00244534" w:rsidRDefault="00F04FB4" w:rsidP="00787CDB">
      <w:pPr>
        <w:widowControl w:val="0"/>
        <w:autoSpaceDE w:val="0"/>
        <w:autoSpaceDN w:val="0"/>
        <w:adjustRightInd w:val="0"/>
        <w:spacing w:after="0" w:line="240" w:lineRule="auto"/>
        <w:ind w:left="0" w:right="0" w:firstLine="0"/>
        <w:rPr>
          <w:rFonts w:ascii="ITC Avant Garde" w:hAnsi="ITC Avant Garde"/>
          <w:color w:val="auto"/>
        </w:rPr>
      </w:pPr>
    </w:p>
    <w:p w14:paraId="4D25FF7C" w14:textId="77777777" w:rsidR="00787CDB" w:rsidRPr="00244534" w:rsidRDefault="00806705" w:rsidP="00787CDB">
      <w:pPr>
        <w:spacing w:after="0" w:line="276" w:lineRule="auto"/>
        <w:ind w:left="0" w:right="0" w:firstLine="0"/>
        <w:rPr>
          <w:rFonts w:ascii="ITC Avant Garde" w:eastAsia="Calibri" w:hAnsi="ITC Avant Garde" w:cs="Arial"/>
          <w:i/>
          <w:color w:val="5B9BD5" w:themeColor="accent1"/>
          <w:sz w:val="18"/>
          <w:szCs w:val="18"/>
          <w:lang w:eastAsia="en-US"/>
        </w:rPr>
      </w:pPr>
      <w:r w:rsidRPr="00244534">
        <w:rPr>
          <w:rFonts w:ascii="ITC Avant Garde" w:hAnsi="ITC Avant Garde"/>
          <w:color w:val="5B9BD5" w:themeColor="accent1"/>
        </w:rPr>
        <w:t>Telcel</w:t>
      </w:r>
      <w:r w:rsidR="00796C3A" w:rsidRPr="00244534">
        <w:rPr>
          <w:rFonts w:ascii="ITC Avant Garde" w:hAnsi="ITC Avant Garde"/>
          <w:color w:val="5B9BD5" w:themeColor="accent1"/>
        </w:rPr>
        <w:t xml:space="preserve"> debe</w:t>
      </w:r>
      <w:r w:rsidR="00FC68AC" w:rsidRPr="00244534">
        <w:rPr>
          <w:rFonts w:ascii="ITC Avant Garde" w:hAnsi="ITC Avant Garde"/>
          <w:color w:val="5B9BD5" w:themeColor="accent1"/>
        </w:rPr>
        <w:t>rá</w:t>
      </w:r>
      <w:r w:rsidR="00796C3A" w:rsidRPr="00244534">
        <w:rPr>
          <w:rFonts w:ascii="ITC Avant Garde" w:hAnsi="ITC Avant Garde"/>
          <w:color w:val="5B9BD5" w:themeColor="accent1"/>
        </w:rPr>
        <w:t xml:space="preserve"> abstenerse de desacreditar a un concesionario que le adquiere el servicio de Usuario Visitante,</w:t>
      </w:r>
      <w:r w:rsidR="005150F0" w:rsidRPr="00244534">
        <w:rPr>
          <w:rFonts w:ascii="ITC Avant Garde" w:hAnsi="ITC Avant Garde"/>
          <w:color w:val="5B9BD5" w:themeColor="accent1"/>
        </w:rPr>
        <w:t xml:space="preserve"> el cual debe prestarse</w:t>
      </w:r>
      <w:r w:rsidR="00796C3A" w:rsidRPr="00244534">
        <w:rPr>
          <w:rFonts w:ascii="ITC Avant Garde" w:hAnsi="ITC Avant Garde"/>
          <w:color w:val="5B9BD5" w:themeColor="accent1"/>
        </w:rPr>
        <w:t xml:space="preserve"> con la misma calidad que reciben los usuarios del AEP, </w:t>
      </w:r>
      <w:r w:rsidRPr="00244534">
        <w:rPr>
          <w:rFonts w:ascii="ITC Avant Garde" w:hAnsi="ITC Avant Garde"/>
          <w:color w:val="5B9BD5" w:themeColor="accent1"/>
        </w:rPr>
        <w:t xml:space="preserve">ya que esta práctica contraviene al artículo 213, fracción X de </w:t>
      </w:r>
      <w:r w:rsidR="00A4290D" w:rsidRPr="00244534">
        <w:rPr>
          <w:rFonts w:ascii="ITC Avant Garde" w:hAnsi="ITC Avant Garde"/>
          <w:color w:val="5B9BD5" w:themeColor="accent1"/>
        </w:rPr>
        <w:t>la Ley de Propiedad Industrial</w:t>
      </w:r>
      <w:r w:rsidR="00796C3A" w:rsidRPr="00244534">
        <w:rPr>
          <w:rFonts w:ascii="ITC Avant Garde" w:hAnsi="ITC Avant Garde"/>
          <w:color w:val="5B9BD5" w:themeColor="accent1"/>
        </w:rPr>
        <w:t>, el Instituto adiciona el numeral 5.1.7</w:t>
      </w:r>
      <w:r w:rsidR="00A4290D" w:rsidRPr="00244534">
        <w:rPr>
          <w:rFonts w:ascii="ITC Avant Garde" w:hAnsi="ITC Avant Garde"/>
          <w:color w:val="5B9BD5" w:themeColor="accent1"/>
        </w:rPr>
        <w:t>, en los siguientes términos</w:t>
      </w:r>
      <w:r w:rsidR="00796C3A" w:rsidRPr="00244534">
        <w:rPr>
          <w:rFonts w:ascii="ITC Avant Garde" w:hAnsi="ITC Avant Garde"/>
          <w:color w:val="5B9BD5" w:themeColor="accent1"/>
        </w:rPr>
        <w:t>:</w:t>
      </w:r>
    </w:p>
    <w:p w14:paraId="45C724C5" w14:textId="77777777" w:rsidR="00787CDB" w:rsidRPr="00244534" w:rsidRDefault="00787CDB" w:rsidP="00787CDB">
      <w:pPr>
        <w:rPr>
          <w:rFonts w:ascii="ITC Avant Garde" w:hAnsi="ITC Avant Garde" w:cs="Arial"/>
          <w:lang w:val="es-ES_tradnl"/>
        </w:rPr>
      </w:pPr>
    </w:p>
    <w:p w14:paraId="03DA628D" w14:textId="77777777" w:rsidR="00787CDB" w:rsidRPr="00244534" w:rsidRDefault="00B56363" w:rsidP="00B56363">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r w:rsidR="00787CDB" w:rsidRPr="00244534">
        <w:rPr>
          <w:rFonts w:ascii="ITC Avant Garde" w:eastAsia="Calibri" w:hAnsi="ITC Avant Garde" w:cs="Arial"/>
          <w:i/>
          <w:color w:val="5B9BD5" w:themeColor="accent1"/>
          <w:sz w:val="18"/>
          <w:szCs w:val="18"/>
          <w:lang w:eastAsia="en-US"/>
        </w:rPr>
        <w:t>5.1.7 Telcel tendrá la obligación de abstenerse de realizar publicidad engañosa o abusiva que haga mención directa o indirecta sobre el Concesionario y los servicios y productos que presta bajo el amparo de la Oferta de Servicios objeto de este convenio.</w:t>
      </w:r>
      <w:r w:rsidRPr="00244534">
        <w:rPr>
          <w:rFonts w:ascii="ITC Avant Garde" w:eastAsia="Calibri" w:hAnsi="ITC Avant Garde" w:cs="Arial"/>
          <w:i/>
          <w:color w:val="5B9BD5" w:themeColor="accent1"/>
          <w:sz w:val="18"/>
          <w:szCs w:val="18"/>
          <w:lang w:eastAsia="en-US"/>
        </w:rPr>
        <w:t>”</w:t>
      </w:r>
    </w:p>
    <w:p w14:paraId="6C036B8D" w14:textId="77777777" w:rsidR="00787CDB" w:rsidRPr="00244534" w:rsidRDefault="00787CDB" w:rsidP="00787CDB">
      <w:pPr>
        <w:spacing w:after="0" w:line="276" w:lineRule="auto"/>
        <w:ind w:left="0" w:right="0" w:firstLine="0"/>
        <w:rPr>
          <w:rFonts w:ascii="ITC Avant Garde" w:hAnsi="ITC Avant Garde"/>
          <w:color w:val="5B9BD5" w:themeColor="accent1"/>
          <w:lang w:val="es-ES_tradnl"/>
        </w:rPr>
      </w:pPr>
    </w:p>
    <w:p w14:paraId="5A41E021" w14:textId="77777777" w:rsidR="00787CDB" w:rsidRPr="00244534" w:rsidRDefault="00A4290D" w:rsidP="005E5201">
      <w:pPr>
        <w:spacing w:after="0" w:line="276" w:lineRule="auto"/>
        <w:ind w:right="0"/>
        <w:rPr>
          <w:rFonts w:ascii="ITC Avant Garde" w:hAnsi="ITC Avant Garde"/>
          <w:b/>
          <w:color w:val="auto"/>
          <w:u w:val="single"/>
        </w:rPr>
      </w:pPr>
      <w:r w:rsidRPr="00244534">
        <w:rPr>
          <w:rFonts w:ascii="ITC Avant Garde" w:hAnsi="ITC Avant Garde"/>
          <w:b/>
          <w:color w:val="auto"/>
          <w:u w:val="single"/>
        </w:rPr>
        <w:t>Colaboración con la justicia</w:t>
      </w:r>
    </w:p>
    <w:p w14:paraId="2C403F03" w14:textId="77777777" w:rsidR="00787CDB" w:rsidRPr="00244534" w:rsidRDefault="00787CDB" w:rsidP="00787CDB">
      <w:pPr>
        <w:spacing w:after="0" w:line="276" w:lineRule="auto"/>
        <w:ind w:left="0" w:right="0" w:firstLine="0"/>
        <w:rPr>
          <w:rFonts w:ascii="ITC Avant Garde" w:hAnsi="ITC Avant Garde"/>
          <w:color w:val="5B9BD5" w:themeColor="accent1"/>
          <w:lang w:val="es-ES_tradnl"/>
        </w:rPr>
      </w:pPr>
    </w:p>
    <w:p w14:paraId="37BE1495" w14:textId="77777777" w:rsidR="00787CDB" w:rsidRPr="00244534" w:rsidRDefault="00787CDB" w:rsidP="00787CDB">
      <w:pPr>
        <w:spacing w:after="0" w:line="276" w:lineRule="auto"/>
        <w:ind w:right="0"/>
        <w:rPr>
          <w:rFonts w:ascii="ITC Avant Garde" w:hAnsi="ITC Avant Garde"/>
          <w:b/>
          <w:color w:val="auto"/>
        </w:rPr>
      </w:pPr>
      <w:r w:rsidRPr="00244534">
        <w:rPr>
          <w:rFonts w:ascii="ITC Avant Garde" w:hAnsi="ITC Avant Garde"/>
          <w:b/>
          <w:color w:val="auto"/>
        </w:rPr>
        <w:t>Telefónica:</w:t>
      </w:r>
    </w:p>
    <w:p w14:paraId="12285E57" w14:textId="77777777" w:rsidR="00787CDB" w:rsidRPr="00244534" w:rsidRDefault="00787CDB" w:rsidP="00787CDB">
      <w:pPr>
        <w:spacing w:after="0" w:line="276" w:lineRule="auto"/>
        <w:ind w:right="0"/>
        <w:rPr>
          <w:rFonts w:ascii="ITC Avant Garde" w:hAnsi="ITC Avant Garde"/>
          <w:b/>
          <w:color w:val="auto"/>
        </w:rPr>
      </w:pPr>
    </w:p>
    <w:p w14:paraId="31B7EAA6" w14:textId="011BE2B7" w:rsidR="003606A1" w:rsidRPr="00244534" w:rsidRDefault="00FC68AC" w:rsidP="0019000D">
      <w:pPr>
        <w:spacing w:after="0" w:line="276" w:lineRule="auto"/>
        <w:ind w:right="0"/>
        <w:rPr>
          <w:rFonts w:ascii="ITC Avant Garde" w:hAnsi="ITC Avant Garde"/>
          <w:color w:val="auto"/>
        </w:rPr>
      </w:pPr>
      <w:r w:rsidRPr="00244534">
        <w:rPr>
          <w:rFonts w:ascii="ITC Avant Garde" w:hAnsi="ITC Avant Garde"/>
          <w:color w:val="auto"/>
        </w:rPr>
        <w:t>S</w:t>
      </w:r>
      <w:r w:rsidR="003606A1" w:rsidRPr="00244534">
        <w:rPr>
          <w:rFonts w:ascii="ITC Avant Garde" w:hAnsi="ITC Avant Garde"/>
          <w:color w:val="auto"/>
        </w:rPr>
        <w:t>olicita que se establezca que tanto Telcel como el concesionario solicitante solo serán responsables en lo referente a la colaboración con las instancias de seguridad, procuración y administración de justicia, así como a la localización geográfica en tiempo real y el registro y control de comunicaciones que se generen en sus propias redes, ya que el concesionario solicitante no puede rastrear las comunicaciones</w:t>
      </w:r>
      <w:r w:rsidRPr="00244534">
        <w:rPr>
          <w:rFonts w:ascii="ITC Avant Garde" w:hAnsi="ITC Avant Garde"/>
          <w:color w:val="auto"/>
        </w:rPr>
        <w:t>,</w:t>
      </w:r>
      <w:r w:rsidR="003606A1" w:rsidRPr="00244534">
        <w:rPr>
          <w:rFonts w:ascii="ITC Avant Garde" w:hAnsi="ITC Avant Garde"/>
          <w:color w:val="auto"/>
        </w:rPr>
        <w:t xml:space="preserve"> ni obtener </w:t>
      </w:r>
      <w:r w:rsidR="00B259DE" w:rsidRPr="00244534">
        <w:rPr>
          <w:rFonts w:ascii="ITC Avant Garde" w:hAnsi="ITC Avant Garde"/>
          <w:color w:val="auto"/>
        </w:rPr>
        <w:t>la ubicación de los usuarios finales que se encuentren utilizando el servicio de usuario visitante.</w:t>
      </w:r>
      <w:r w:rsidR="003606A1" w:rsidRPr="00244534">
        <w:rPr>
          <w:rFonts w:ascii="ITC Avant Garde" w:hAnsi="ITC Avant Garde"/>
          <w:color w:val="auto"/>
        </w:rPr>
        <w:t xml:space="preserve"> </w:t>
      </w:r>
    </w:p>
    <w:p w14:paraId="77B1C13C" w14:textId="77777777" w:rsidR="00752E32" w:rsidRPr="00244534" w:rsidRDefault="00B56A08" w:rsidP="00B56A08">
      <w:pPr>
        <w:spacing w:after="0" w:line="276" w:lineRule="auto"/>
        <w:ind w:left="0" w:right="0" w:firstLine="0"/>
        <w:rPr>
          <w:rFonts w:ascii="ITC Avant Garde" w:hAnsi="ITC Avant Garde"/>
          <w:i/>
          <w:color w:val="5B9BD5" w:themeColor="accent1"/>
        </w:rPr>
      </w:pPr>
      <w:r w:rsidRPr="00244534">
        <w:rPr>
          <w:rFonts w:ascii="ITC Avant Garde" w:hAnsi="ITC Avant Garde"/>
          <w:i/>
          <w:color w:val="5B9BD5" w:themeColor="accent1"/>
        </w:rPr>
        <w:t xml:space="preserve"> </w:t>
      </w:r>
    </w:p>
    <w:p w14:paraId="794F205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B97B7A3" w14:textId="77777777" w:rsidR="00F04FB4" w:rsidRPr="00244534" w:rsidRDefault="00F04FB4" w:rsidP="00B56A08">
      <w:pPr>
        <w:spacing w:after="0" w:line="276" w:lineRule="auto"/>
        <w:ind w:left="0" w:right="0" w:firstLine="0"/>
        <w:rPr>
          <w:rFonts w:ascii="ITC Avant Garde" w:hAnsi="ITC Avant Garde"/>
          <w:i/>
          <w:color w:val="5B9BD5" w:themeColor="accent1"/>
        </w:rPr>
      </w:pPr>
    </w:p>
    <w:p w14:paraId="366CDDEE" w14:textId="00007EF9" w:rsidR="00787CDB" w:rsidRPr="00244534" w:rsidRDefault="00A4290D" w:rsidP="00A4290D">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En el “Acuerdo mediante el cual el Pleno del Instituto Federal de Telecomunicaciones expide los lineamientos de colaboración en materia de seguridad y justicia y modifica el Plan Técnico Fundamental de Numeración publicado en el Diario Oficial de la Federación el 21 de junio de 1996” se </w:t>
      </w:r>
      <w:r w:rsidR="00752E32" w:rsidRPr="00244534">
        <w:rPr>
          <w:rFonts w:ascii="ITC Avant Garde" w:hAnsi="ITC Avant Garde"/>
          <w:color w:val="5B9BD5" w:themeColor="accent1"/>
        </w:rPr>
        <w:t>establece la obligación</w:t>
      </w:r>
      <w:r w:rsidR="00926594" w:rsidRPr="00244534">
        <w:rPr>
          <w:rFonts w:ascii="ITC Avant Garde" w:hAnsi="ITC Avant Garde"/>
          <w:color w:val="5B9BD5" w:themeColor="accent1"/>
        </w:rPr>
        <w:t xml:space="preserve"> de Telcel de</w:t>
      </w:r>
      <w:r w:rsidR="00752E32" w:rsidRPr="00244534">
        <w:rPr>
          <w:rFonts w:ascii="ITC Avant Garde" w:hAnsi="ITC Avant Garde"/>
          <w:color w:val="5B9BD5" w:themeColor="accent1"/>
        </w:rPr>
        <w:t xml:space="preserve"> coadyuvar al concesionario para que este pueda obtener toda la información respecto a la localización geográfica en tiempo real, el registro y control de comunicaciones</w:t>
      </w:r>
      <w:r w:rsidR="00E8740E" w:rsidRPr="00244534">
        <w:rPr>
          <w:rFonts w:ascii="ITC Avant Garde" w:hAnsi="ITC Avant Garde"/>
          <w:color w:val="5B9BD5" w:themeColor="accent1"/>
        </w:rPr>
        <w:t xml:space="preserve"> cuando éstas se generen por un usuario final del concesionario mientras hace uso del servicio de usuario visitante</w:t>
      </w:r>
      <w:r w:rsidR="00FC68AC" w:rsidRPr="00244534">
        <w:rPr>
          <w:rFonts w:ascii="ITC Avant Garde" w:hAnsi="ITC Avant Garde"/>
          <w:color w:val="5B9BD5" w:themeColor="accent1"/>
        </w:rPr>
        <w:t>.</w:t>
      </w:r>
      <w:r w:rsidR="00E8740E" w:rsidRPr="00244534">
        <w:rPr>
          <w:rFonts w:ascii="ITC Avant Garde" w:hAnsi="ITC Avant Garde"/>
          <w:color w:val="5B9BD5" w:themeColor="accent1"/>
        </w:rPr>
        <w:t xml:space="preserve"> </w:t>
      </w:r>
      <w:r w:rsidR="00FC68AC" w:rsidRPr="00244534">
        <w:rPr>
          <w:rFonts w:ascii="ITC Avant Garde" w:hAnsi="ITC Avant Garde"/>
          <w:color w:val="5B9BD5" w:themeColor="accent1"/>
        </w:rPr>
        <w:t>A</w:t>
      </w:r>
      <w:r w:rsidR="00E8740E" w:rsidRPr="00244534">
        <w:rPr>
          <w:rFonts w:ascii="ITC Avant Garde" w:hAnsi="ITC Avant Garde"/>
          <w:color w:val="5B9BD5" w:themeColor="accent1"/>
        </w:rPr>
        <w:t>simismo, el concesionario está obligado a utilizar sus propias herramientas de geolocación para el cumplimiento de la regulación. Derivado de lo anterior, se adiciona el numeral 5.1.8:</w:t>
      </w:r>
    </w:p>
    <w:p w14:paraId="098AB4BA" w14:textId="77777777" w:rsidR="00787CDB" w:rsidRPr="00244534" w:rsidRDefault="00787CDB" w:rsidP="00787CDB">
      <w:pPr>
        <w:spacing w:after="0" w:line="276" w:lineRule="auto"/>
        <w:ind w:left="0" w:right="0" w:firstLine="0"/>
        <w:rPr>
          <w:rFonts w:ascii="ITC Avant Garde" w:hAnsi="ITC Avant Garde"/>
          <w:color w:val="5B9BD5" w:themeColor="accent1"/>
        </w:rPr>
      </w:pPr>
    </w:p>
    <w:p w14:paraId="2943FF11" w14:textId="77777777" w:rsidR="00787CDB" w:rsidRPr="00244534" w:rsidRDefault="000F13C8" w:rsidP="000F13C8">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r w:rsidR="00787CDB" w:rsidRPr="00244534">
        <w:rPr>
          <w:rFonts w:ascii="ITC Avant Garde" w:eastAsia="Calibri" w:hAnsi="ITC Avant Garde" w:cs="Arial"/>
          <w:i/>
          <w:color w:val="5B9BD5" w:themeColor="accent1"/>
          <w:sz w:val="18"/>
          <w:szCs w:val="18"/>
          <w:lang w:eastAsia="en-US"/>
        </w:rPr>
        <w:t xml:space="preserve">5.1.8. Telcel tendrá la obligación de coadyuvar al Concesionario  en la colaboración con instancias de seguridad, procuración y administración de </w:t>
      </w:r>
      <w:r w:rsidR="00787CDB" w:rsidRPr="00244534">
        <w:rPr>
          <w:rFonts w:ascii="ITC Avant Garde" w:eastAsia="Calibri" w:hAnsi="ITC Avant Garde" w:cs="Arial"/>
          <w:i/>
          <w:color w:val="5B9BD5" w:themeColor="accent1"/>
          <w:sz w:val="18"/>
          <w:szCs w:val="18"/>
          <w:lang w:eastAsia="en-US"/>
        </w:rPr>
        <w:lastRenderedPageBreak/>
        <w:t xml:space="preserve">justicia derivadas del artículo 190 de la Ley Federal de Telecomunicaciones y Radiodifusión, así como lo establecido en el “Acuerdo mediante el cual el Pleno del Instituto Federal de Telecomunicaciones expide los Lineamientos de Colaboración en Materia de Seguridad y Justicia y modifica el Plan Técnico Fundamental de Numeración, publicado el 21 de junio de 1996”, publicado en el Diario Oficial de la Federación el 2 de diciembre de 2015. En este sentido Telcel se obliga a proporcionar todos los elementos técnicos necesarios al Concesionario para que este a su vez pueda obtener toda la información respecto de la localización geográfica en tiempo real, y el registro y control de comunicaciones que se realicen desde cualquier tipo de línea, cuando éstas se generen por un Usuario Final del Concesionario mientras hace uso del Servicio de Usuario Visitante. El Concesionario se obliga a cumplir con la utilización de sus propias herramientas de geolocalización en el entendido específico de cumplimiento regulatorio. El Concesionario se obliga al pago de cualquier implementación adicional que requiera para el cumplimiento de sus obligaciones en materia de seguridad y justicia. </w:t>
      </w:r>
      <w:r w:rsidRPr="00244534">
        <w:rPr>
          <w:rFonts w:ascii="ITC Avant Garde" w:eastAsia="Calibri" w:hAnsi="ITC Avant Garde" w:cs="Arial"/>
          <w:i/>
          <w:color w:val="5B9BD5" w:themeColor="accent1"/>
          <w:sz w:val="18"/>
          <w:szCs w:val="18"/>
          <w:lang w:eastAsia="en-US"/>
        </w:rPr>
        <w:t>“</w:t>
      </w:r>
    </w:p>
    <w:p w14:paraId="309CEB32" w14:textId="77777777" w:rsidR="005A7990" w:rsidRPr="00244534" w:rsidRDefault="005A7990" w:rsidP="005B36F9">
      <w:pPr>
        <w:spacing w:after="0" w:line="276" w:lineRule="auto"/>
        <w:ind w:left="0" w:right="0" w:firstLine="0"/>
        <w:rPr>
          <w:rFonts w:ascii="ITC Avant Garde" w:hAnsi="ITC Avant Garde"/>
          <w:b/>
          <w:color w:val="auto"/>
          <w:u w:val="single"/>
        </w:rPr>
      </w:pPr>
    </w:p>
    <w:p w14:paraId="0EF7A39A"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5.2 Responsabilidades del Concesionario Solicitante</w:t>
      </w:r>
    </w:p>
    <w:p w14:paraId="4D4BF488"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75F0D7F9"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5.2.2</w:t>
      </w:r>
    </w:p>
    <w:p w14:paraId="339A721B"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47183905"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Altán:</w:t>
      </w:r>
    </w:p>
    <w:p w14:paraId="07504C09"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2E81B93B" w14:textId="2E13D7D5" w:rsidR="0028789C" w:rsidRPr="00244534" w:rsidRDefault="00F04911" w:rsidP="00A4290D">
      <w:pPr>
        <w:spacing w:after="0" w:line="276" w:lineRule="auto"/>
        <w:ind w:left="0" w:right="0" w:firstLine="0"/>
        <w:rPr>
          <w:rFonts w:ascii="ITC Avant Garde" w:eastAsia="Calibri" w:hAnsi="ITC Avant Garde" w:cs="Arial"/>
          <w:i/>
          <w:color w:val="auto"/>
          <w:sz w:val="18"/>
          <w:szCs w:val="18"/>
          <w:lang w:eastAsia="en-US"/>
        </w:rPr>
      </w:pPr>
      <w:r w:rsidRPr="00244534">
        <w:rPr>
          <w:rFonts w:ascii="ITC Avant Garde" w:hAnsi="ITC Avant Garde"/>
          <w:color w:val="auto"/>
        </w:rPr>
        <w:t>S</w:t>
      </w:r>
      <w:r w:rsidR="00CB70C4" w:rsidRPr="00244534">
        <w:rPr>
          <w:rFonts w:ascii="ITC Avant Garde" w:hAnsi="ITC Avant Garde"/>
          <w:color w:val="auto"/>
        </w:rPr>
        <w:t>olicita modificar el numeral 5.2.2</w:t>
      </w:r>
      <w:r w:rsidRPr="00244534">
        <w:rPr>
          <w:rFonts w:ascii="ITC Avant Garde" w:hAnsi="ITC Avant Garde"/>
          <w:color w:val="auto"/>
        </w:rPr>
        <w:t>.,</w:t>
      </w:r>
      <w:r w:rsidR="00CB70C4" w:rsidRPr="00244534">
        <w:rPr>
          <w:rFonts w:ascii="ITC Avant Garde" w:hAnsi="ITC Avant Garde"/>
          <w:color w:val="auto"/>
        </w:rPr>
        <w:t xml:space="preserve"> </w:t>
      </w:r>
      <w:r w:rsidR="00F219E7" w:rsidRPr="00244534">
        <w:rPr>
          <w:rFonts w:ascii="ITC Avant Garde" w:hAnsi="ITC Avant Garde"/>
          <w:color w:val="auto"/>
        </w:rPr>
        <w:t>ya que la redacción actual limita tanto la operación de una Red Compartida Mayorista</w:t>
      </w:r>
      <w:r w:rsidR="003D76A1" w:rsidRPr="00244534">
        <w:rPr>
          <w:rFonts w:ascii="ITC Avant Garde" w:hAnsi="ITC Avant Garde"/>
          <w:color w:val="auto"/>
        </w:rPr>
        <w:t xml:space="preserve"> como el acceso a los Servicios de Usuario Visitante. </w:t>
      </w:r>
    </w:p>
    <w:p w14:paraId="41ABDC9B" w14:textId="77777777" w:rsidR="005B36F9" w:rsidRPr="00244534" w:rsidRDefault="005B36F9" w:rsidP="005B36F9">
      <w:pPr>
        <w:spacing w:after="0" w:line="276" w:lineRule="auto"/>
        <w:ind w:left="0" w:right="0" w:firstLine="0"/>
        <w:rPr>
          <w:rFonts w:ascii="ITC Avant Garde" w:hAnsi="ITC Avant Garde"/>
          <w:color w:val="auto"/>
        </w:rPr>
      </w:pPr>
    </w:p>
    <w:p w14:paraId="793B0DC8"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98CABF0" w14:textId="77777777" w:rsidR="00F04FB4" w:rsidRPr="00244534" w:rsidRDefault="00F04FB4" w:rsidP="005B36F9">
      <w:pPr>
        <w:spacing w:after="0" w:line="276" w:lineRule="auto"/>
        <w:ind w:left="0" w:right="0" w:firstLine="0"/>
        <w:rPr>
          <w:rFonts w:ascii="ITC Avant Garde" w:hAnsi="ITC Avant Garde"/>
          <w:color w:val="auto"/>
        </w:rPr>
      </w:pPr>
    </w:p>
    <w:p w14:paraId="54AD00CF" w14:textId="77777777" w:rsidR="00FA3480" w:rsidRPr="00244534" w:rsidRDefault="00A4290D" w:rsidP="00A4290D">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 efecto de no limitar la operación de una red compartida mayorista</w:t>
      </w:r>
      <w:r w:rsidR="00F04911" w:rsidRPr="00244534">
        <w:rPr>
          <w:rFonts w:ascii="ITC Avant Garde" w:hAnsi="ITC Avant Garde"/>
          <w:color w:val="5B9BD5" w:themeColor="accent1"/>
        </w:rPr>
        <w:t>,</w:t>
      </w:r>
      <w:r w:rsidRPr="00244534">
        <w:rPr>
          <w:rFonts w:ascii="ITC Avant Garde" w:hAnsi="ITC Avant Garde"/>
          <w:color w:val="5B9BD5" w:themeColor="accent1"/>
        </w:rPr>
        <w:t xml:space="preserve"> ni el acceso al servicio de usuario visitante</w:t>
      </w:r>
      <w:r w:rsidR="00FA3480" w:rsidRPr="00244534">
        <w:rPr>
          <w:rFonts w:ascii="ITC Avant Garde" w:hAnsi="ITC Avant Garde"/>
          <w:color w:val="5B9BD5" w:themeColor="accent1"/>
        </w:rPr>
        <w:t>, se modifica el numeral 5.2.2</w:t>
      </w:r>
      <w:r w:rsidR="00F04911" w:rsidRPr="00244534">
        <w:rPr>
          <w:rFonts w:ascii="ITC Avant Garde" w:hAnsi="ITC Avant Garde"/>
          <w:color w:val="5B9BD5" w:themeColor="accent1"/>
        </w:rPr>
        <w:t>.,</w:t>
      </w:r>
      <w:r w:rsidR="00FA3480" w:rsidRPr="00244534">
        <w:rPr>
          <w:rFonts w:ascii="ITC Avant Garde" w:hAnsi="ITC Avant Garde"/>
          <w:color w:val="5B9BD5" w:themeColor="accent1"/>
        </w:rPr>
        <w:t xml:space="preserve"> en los siguientes términos:</w:t>
      </w:r>
    </w:p>
    <w:p w14:paraId="0C04F140" w14:textId="77777777" w:rsidR="00FA3480" w:rsidRPr="00244534" w:rsidRDefault="00FA3480" w:rsidP="00787CDB">
      <w:pPr>
        <w:spacing w:after="0" w:line="276" w:lineRule="auto"/>
        <w:ind w:left="567" w:right="616" w:firstLine="0"/>
        <w:rPr>
          <w:rFonts w:ascii="ITC Avant Garde" w:hAnsi="ITC Avant Garde"/>
          <w:color w:val="5B9BD5" w:themeColor="accent1"/>
        </w:rPr>
      </w:pPr>
    </w:p>
    <w:p w14:paraId="34A7D4E1" w14:textId="77777777" w:rsidR="00787CDB" w:rsidRPr="00244534" w:rsidRDefault="00787CDB" w:rsidP="00547F30">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“El Concesionario deberá abstenerse de manera directa o indirecta de comercializar o intercambiar los Servicios de la Oferta, con operadores de redes y servicios de telecomunicaciones extranjeros o ubicados fuera del territorio nacional. En caso de PLMN distintos, el Concesionario deberá pagar los costos por la integración de plataformas</w:t>
      </w:r>
      <w:r w:rsidR="00547F30" w:rsidRPr="00244534">
        <w:rPr>
          <w:rFonts w:ascii="ITC Avant Garde" w:eastAsia="Calibri" w:hAnsi="ITC Avant Garde" w:cs="Arial"/>
          <w:i/>
          <w:color w:val="5B9BD5" w:themeColor="accent1"/>
          <w:sz w:val="18"/>
          <w:szCs w:val="18"/>
          <w:lang w:eastAsia="en-US"/>
        </w:rPr>
        <w:t>, previa entrega a cargo de Telcel del detalle de esos costos</w:t>
      </w:r>
      <w:r w:rsidRPr="00244534">
        <w:rPr>
          <w:rFonts w:ascii="ITC Avant Garde" w:eastAsia="Calibri" w:hAnsi="ITC Avant Garde" w:cs="Arial"/>
          <w:i/>
          <w:color w:val="5B9BD5" w:themeColor="accent1"/>
          <w:sz w:val="18"/>
          <w:szCs w:val="18"/>
          <w:lang w:eastAsia="en-US"/>
        </w:rPr>
        <w:t xml:space="preserve"> y, a su vez, considerar la extensión de los plazos del procedimiento para la entrega de los Servicios de la Oferta.”</w:t>
      </w:r>
    </w:p>
    <w:p w14:paraId="259E9129"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4F338811" w14:textId="77777777" w:rsidR="007C1E4D" w:rsidRPr="00244534" w:rsidRDefault="007C1E4D" w:rsidP="007C1E4D">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Apartado 5.2.3 </w:t>
      </w:r>
    </w:p>
    <w:p w14:paraId="06F7DA88" w14:textId="77777777" w:rsidR="007C1E4D" w:rsidRPr="00244534" w:rsidRDefault="007C1E4D" w:rsidP="007C1E4D">
      <w:pPr>
        <w:spacing w:after="0" w:line="276" w:lineRule="auto"/>
        <w:ind w:right="0"/>
        <w:rPr>
          <w:rFonts w:ascii="ITC Avant Garde" w:hAnsi="ITC Avant Garde"/>
          <w:b/>
          <w:color w:val="auto"/>
        </w:rPr>
      </w:pPr>
    </w:p>
    <w:p w14:paraId="6D874B86" w14:textId="77777777" w:rsidR="007C1E4D" w:rsidRPr="00244534" w:rsidRDefault="007C1E4D" w:rsidP="007C1E4D">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7A6955C1" w14:textId="77777777" w:rsidR="007C1E4D" w:rsidRPr="00244534" w:rsidRDefault="007C1E4D" w:rsidP="007C1E4D">
      <w:pPr>
        <w:spacing w:after="0" w:line="276" w:lineRule="auto"/>
        <w:ind w:right="0"/>
        <w:rPr>
          <w:rFonts w:ascii="ITC Avant Garde" w:hAnsi="ITC Avant Garde"/>
          <w:b/>
          <w:color w:val="auto"/>
        </w:rPr>
      </w:pPr>
    </w:p>
    <w:p w14:paraId="360BB38B" w14:textId="4A4BDF82" w:rsidR="007C1E4D" w:rsidRPr="00244534" w:rsidRDefault="00F04911" w:rsidP="007C1E4D">
      <w:pPr>
        <w:spacing w:after="0" w:line="276" w:lineRule="auto"/>
        <w:ind w:right="0"/>
        <w:rPr>
          <w:rFonts w:ascii="ITC Avant Garde" w:hAnsi="ITC Avant Garde"/>
          <w:color w:val="auto"/>
        </w:rPr>
      </w:pPr>
      <w:r w:rsidRPr="00244534">
        <w:rPr>
          <w:rFonts w:ascii="ITC Avant Garde" w:hAnsi="ITC Avant Garde"/>
          <w:color w:val="auto"/>
        </w:rPr>
        <w:lastRenderedPageBreak/>
        <w:t>C</w:t>
      </w:r>
      <w:r w:rsidR="007C1E4D" w:rsidRPr="00244534">
        <w:rPr>
          <w:rFonts w:ascii="ITC Avant Garde" w:hAnsi="ITC Avant Garde"/>
          <w:color w:val="auto"/>
        </w:rPr>
        <w:t xml:space="preserve">onsidera que no se debe exigir compensación por daños y perjuicios al concesionario, ya que no existe intencionalidad de perjudicar las operaciones del AEP con la presencia de equipos que puedan generar algún tipo de incompatibilidad. Solicita que en todo caso se resuelvan los problemas mediante un proceso de apertura y resolución de incidencias.  </w:t>
      </w:r>
    </w:p>
    <w:p w14:paraId="79F39AA8" w14:textId="77777777" w:rsidR="007C1E4D" w:rsidRPr="00244534" w:rsidRDefault="007C1E4D" w:rsidP="007C1E4D">
      <w:pPr>
        <w:spacing w:after="0" w:line="276" w:lineRule="auto"/>
        <w:ind w:right="0"/>
        <w:rPr>
          <w:rFonts w:ascii="ITC Avant Garde" w:hAnsi="ITC Avant Garde"/>
          <w:color w:val="auto"/>
        </w:rPr>
      </w:pPr>
    </w:p>
    <w:p w14:paraId="118123F5"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24D2A79" w14:textId="77777777" w:rsidR="00F04FB4" w:rsidRPr="00244534" w:rsidRDefault="00F04FB4" w:rsidP="007C1E4D">
      <w:pPr>
        <w:spacing w:after="0" w:line="276" w:lineRule="auto"/>
        <w:ind w:right="0"/>
        <w:rPr>
          <w:rFonts w:ascii="ITC Avant Garde" w:hAnsi="ITC Avant Garde"/>
          <w:color w:val="auto"/>
        </w:rPr>
      </w:pPr>
    </w:p>
    <w:p w14:paraId="05632DD7" w14:textId="77777777" w:rsidR="007C1E4D" w:rsidRPr="00244534" w:rsidRDefault="007C1E4D" w:rsidP="007C1E4D">
      <w:pPr>
        <w:spacing w:after="0" w:line="276" w:lineRule="auto"/>
        <w:ind w:right="0"/>
        <w:rPr>
          <w:rFonts w:ascii="ITC Avant Garde" w:eastAsia="Calibri" w:hAnsi="ITC Avant Garde" w:cs="Arial"/>
          <w:i/>
          <w:color w:val="5B9BD5" w:themeColor="accent1"/>
          <w:sz w:val="18"/>
          <w:szCs w:val="18"/>
          <w:lang w:eastAsia="en-US"/>
        </w:rPr>
      </w:pPr>
      <w:r w:rsidRPr="00244534">
        <w:rPr>
          <w:rFonts w:ascii="ITC Avant Garde" w:hAnsi="ITC Avant Garde"/>
          <w:color w:val="5B9BD5" w:themeColor="accent1"/>
        </w:rPr>
        <w:t>Aunque los equipos terminales pueden causar afectaciones a la red del AEP como ya se mencionó anteriormente, éstas no pueden estar sujetas a una compensación por daños y perjuicios derivado de lo anterior, se elimina toda referencia a equipo terminal en el numeral en cuestión.</w:t>
      </w:r>
    </w:p>
    <w:p w14:paraId="48E24854" w14:textId="77777777" w:rsidR="007C1E4D" w:rsidRPr="00244534" w:rsidRDefault="007C1E4D" w:rsidP="005B36F9">
      <w:pPr>
        <w:spacing w:after="0" w:line="276" w:lineRule="auto"/>
        <w:ind w:left="0" w:right="0" w:firstLine="0"/>
        <w:rPr>
          <w:rFonts w:ascii="ITC Avant Garde" w:hAnsi="ITC Avant Garde"/>
          <w:b/>
          <w:color w:val="auto"/>
          <w:u w:val="single"/>
        </w:rPr>
      </w:pPr>
    </w:p>
    <w:p w14:paraId="2BFD9356"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Apartado 5.2.10 </w:t>
      </w:r>
    </w:p>
    <w:p w14:paraId="3A0A1565" w14:textId="77777777" w:rsidR="005B36F9" w:rsidRPr="00244534" w:rsidRDefault="005B36F9" w:rsidP="005B36F9">
      <w:pPr>
        <w:spacing w:after="0" w:line="276" w:lineRule="auto"/>
        <w:ind w:right="0"/>
        <w:rPr>
          <w:rFonts w:ascii="ITC Avant Garde" w:hAnsi="ITC Avant Garde"/>
          <w:b/>
          <w:color w:val="auto"/>
          <w:u w:val="single"/>
        </w:rPr>
      </w:pPr>
    </w:p>
    <w:p w14:paraId="2FE3A4A6" w14:textId="77777777" w:rsidR="005B36F9" w:rsidRPr="00244534" w:rsidRDefault="005B36F9" w:rsidP="005B36F9">
      <w:pPr>
        <w:spacing w:after="0" w:line="276" w:lineRule="auto"/>
        <w:ind w:right="0"/>
        <w:rPr>
          <w:rFonts w:ascii="ITC Avant Garde" w:hAnsi="ITC Avant Garde"/>
          <w:b/>
          <w:color w:val="auto"/>
        </w:rPr>
      </w:pPr>
      <w:r w:rsidRPr="00244534">
        <w:rPr>
          <w:rFonts w:ascii="ITC Avant Garde" w:hAnsi="ITC Avant Garde"/>
          <w:b/>
          <w:color w:val="auto"/>
        </w:rPr>
        <w:t>Altán:</w:t>
      </w:r>
    </w:p>
    <w:p w14:paraId="4B304FCB" w14:textId="77777777" w:rsidR="005B36F9" w:rsidRPr="00244534" w:rsidRDefault="005B36F9" w:rsidP="005B36F9">
      <w:pPr>
        <w:spacing w:after="0" w:line="276" w:lineRule="auto"/>
        <w:ind w:right="0"/>
        <w:rPr>
          <w:rFonts w:ascii="ITC Avant Garde" w:hAnsi="ITC Avant Garde"/>
          <w:b/>
          <w:color w:val="auto"/>
          <w:u w:val="single"/>
        </w:rPr>
      </w:pPr>
    </w:p>
    <w:p w14:paraId="1771F045" w14:textId="5BCA5508" w:rsidR="006A7394" w:rsidRPr="00244534" w:rsidRDefault="00B50964" w:rsidP="005B36F9">
      <w:pPr>
        <w:spacing w:after="0" w:line="276" w:lineRule="auto"/>
        <w:ind w:left="0" w:right="0" w:firstLine="0"/>
        <w:rPr>
          <w:rFonts w:ascii="ITC Avant Garde" w:hAnsi="ITC Avant Garde"/>
          <w:color w:val="auto"/>
        </w:rPr>
      </w:pPr>
      <w:r w:rsidRPr="00244534">
        <w:rPr>
          <w:rFonts w:ascii="ITC Avant Garde" w:hAnsi="ITC Avant Garde"/>
          <w:color w:val="auto"/>
        </w:rPr>
        <w:t>S</w:t>
      </w:r>
      <w:r w:rsidR="006A7394" w:rsidRPr="00244534">
        <w:rPr>
          <w:rFonts w:ascii="ITC Avant Garde" w:hAnsi="ITC Avant Garde"/>
          <w:color w:val="auto"/>
        </w:rPr>
        <w:t>olicita modificar el numeral 5.2.10 debido a que el cumplimiento de la Ley Federal de Protección al Consumidor y la NOM 184-SCFI no es aplicable a una Red Compartida Mayorista ya que ésta no presta servicios a usuarios finales.</w:t>
      </w:r>
      <w:r w:rsidR="00E42EAC" w:rsidRPr="00244534">
        <w:rPr>
          <w:rFonts w:ascii="ITC Avant Garde" w:hAnsi="ITC Avant Garde"/>
          <w:color w:val="auto"/>
        </w:rPr>
        <w:t xml:space="preserve"> Propone el siguiente cambio:</w:t>
      </w:r>
    </w:p>
    <w:p w14:paraId="091B5286" w14:textId="77777777" w:rsidR="00E42EAC" w:rsidRPr="00244534" w:rsidRDefault="00E42EAC" w:rsidP="005B36F9">
      <w:pPr>
        <w:spacing w:after="0" w:line="276" w:lineRule="auto"/>
        <w:ind w:left="0" w:right="0" w:firstLine="0"/>
        <w:rPr>
          <w:rFonts w:ascii="ITC Avant Garde" w:hAnsi="ITC Avant Garde"/>
          <w:color w:val="auto"/>
        </w:rPr>
      </w:pPr>
    </w:p>
    <w:p w14:paraId="78398EC8" w14:textId="77777777" w:rsidR="00E42EAC" w:rsidRPr="00244534" w:rsidRDefault="00E42EAC" w:rsidP="00190805">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“Tratándose del Concesionario de Red Mayorista, el cumplimiento de las</w:t>
      </w:r>
      <w:r w:rsidR="00190805" w:rsidRPr="00244534">
        <w:rPr>
          <w:rFonts w:ascii="ITC Avant Garde" w:eastAsia="Calibri" w:hAnsi="ITC Avant Garde" w:cs="Arial"/>
          <w:i/>
          <w:color w:val="auto"/>
          <w:sz w:val="18"/>
          <w:szCs w:val="18"/>
          <w:lang w:eastAsia="en-US"/>
        </w:rPr>
        <w:t xml:space="preserve"> </w:t>
      </w:r>
      <w:r w:rsidRPr="00244534">
        <w:rPr>
          <w:rFonts w:ascii="ITC Avant Garde" w:eastAsia="Calibri" w:hAnsi="ITC Avant Garde" w:cs="Arial"/>
          <w:i/>
          <w:color w:val="auto"/>
          <w:sz w:val="18"/>
          <w:szCs w:val="18"/>
          <w:lang w:eastAsia="en-US"/>
        </w:rPr>
        <w:t>disposiciones a que se refiere el párrafo anterior, corresponderá a los Clientes de la Red Mayorista”</w:t>
      </w:r>
    </w:p>
    <w:p w14:paraId="53278006" w14:textId="77777777" w:rsidR="005B36F9" w:rsidRPr="00244534" w:rsidRDefault="005B36F9" w:rsidP="005B36F9">
      <w:pPr>
        <w:widowControl w:val="0"/>
        <w:autoSpaceDE w:val="0"/>
        <w:autoSpaceDN w:val="0"/>
        <w:adjustRightInd w:val="0"/>
        <w:spacing w:after="0"/>
        <w:ind w:left="0" w:firstLine="0"/>
        <w:rPr>
          <w:rFonts w:ascii="ITC Avant Garde" w:hAnsi="ITC Avant Garde"/>
          <w:color w:val="auto"/>
        </w:rPr>
      </w:pPr>
    </w:p>
    <w:p w14:paraId="2D673947"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C0D1D20" w14:textId="77777777" w:rsidR="00F04FB4" w:rsidRPr="00244534" w:rsidRDefault="00F04FB4" w:rsidP="005B36F9">
      <w:pPr>
        <w:widowControl w:val="0"/>
        <w:autoSpaceDE w:val="0"/>
        <w:autoSpaceDN w:val="0"/>
        <w:adjustRightInd w:val="0"/>
        <w:spacing w:after="0"/>
        <w:ind w:left="0" w:firstLine="0"/>
        <w:rPr>
          <w:rFonts w:ascii="ITC Avant Garde" w:hAnsi="ITC Avant Garde"/>
          <w:color w:val="auto"/>
        </w:rPr>
      </w:pPr>
    </w:p>
    <w:p w14:paraId="4E2347A4" w14:textId="77777777" w:rsidR="00597C71" w:rsidRPr="00244534" w:rsidRDefault="00190805" w:rsidP="00190805">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F318EB" w:rsidRPr="00244534">
        <w:rPr>
          <w:rFonts w:ascii="ITC Avant Garde" w:hAnsi="ITC Avant Garde"/>
          <w:color w:val="5B9BD5" w:themeColor="accent1"/>
        </w:rPr>
        <w:t>,</w:t>
      </w:r>
      <w:r w:rsidRPr="00244534">
        <w:rPr>
          <w:rFonts w:ascii="ITC Avant Garde" w:hAnsi="ITC Avant Garde"/>
          <w:color w:val="5B9BD5" w:themeColor="accent1"/>
        </w:rPr>
        <w:t xml:space="preserve"> se señala que no es necesario realizar la precisión solicitada por Altán ya que la Oferta hace referencia a las disposiciones LFPC, y la NOM 184-SCFI-2012 o la que la sustituya y las demás disposiciones legales, reglamentarias y administrativas aplicables. Es decir, si la NOM 184-SCF1-2012 no es aplicable a Altán no deberá cumplir con la misma.</w:t>
      </w:r>
    </w:p>
    <w:p w14:paraId="3A803186" w14:textId="77777777" w:rsidR="005B36F9" w:rsidRPr="00244534" w:rsidRDefault="005B36F9" w:rsidP="005B36F9">
      <w:pPr>
        <w:spacing w:after="0" w:line="276" w:lineRule="auto"/>
        <w:ind w:left="0" w:right="0" w:firstLine="0"/>
        <w:rPr>
          <w:rFonts w:ascii="ITC Avant Garde" w:hAnsi="ITC Avant Garde"/>
          <w:b/>
          <w:color w:val="auto"/>
        </w:rPr>
      </w:pPr>
    </w:p>
    <w:p w14:paraId="62F8BE70"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5.2.10 en relación con el Apartado 5.2.12</w:t>
      </w:r>
    </w:p>
    <w:p w14:paraId="7BAEC9F1" w14:textId="77777777" w:rsidR="005B36F9" w:rsidRPr="00244534" w:rsidRDefault="005B36F9" w:rsidP="005B36F9">
      <w:pPr>
        <w:spacing w:after="0" w:line="276" w:lineRule="auto"/>
        <w:ind w:right="0"/>
        <w:rPr>
          <w:rFonts w:ascii="ITC Avant Garde" w:hAnsi="ITC Avant Garde"/>
          <w:b/>
          <w:color w:val="auto"/>
        </w:rPr>
      </w:pPr>
    </w:p>
    <w:p w14:paraId="7B861B08" w14:textId="77777777" w:rsidR="005B36F9" w:rsidRPr="00244534" w:rsidRDefault="005B36F9" w:rsidP="005B36F9">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62C8051B" w14:textId="77777777" w:rsidR="005B36F9" w:rsidRPr="00244534" w:rsidRDefault="005B36F9" w:rsidP="005B36F9">
      <w:pPr>
        <w:spacing w:after="0" w:line="276" w:lineRule="auto"/>
        <w:ind w:right="0"/>
        <w:rPr>
          <w:rFonts w:ascii="ITC Avant Garde" w:hAnsi="ITC Avant Garde"/>
          <w:b/>
          <w:color w:val="auto"/>
        </w:rPr>
      </w:pPr>
    </w:p>
    <w:p w14:paraId="2E78B8BF" w14:textId="7C2CEB1F" w:rsidR="005B36F9" w:rsidRPr="00244534" w:rsidRDefault="00801F6A" w:rsidP="005B36F9">
      <w:pPr>
        <w:spacing w:after="0" w:line="276" w:lineRule="auto"/>
        <w:ind w:right="0"/>
        <w:rPr>
          <w:rFonts w:ascii="ITC Avant Garde" w:hAnsi="ITC Avant Garde"/>
          <w:color w:val="auto"/>
        </w:rPr>
      </w:pPr>
      <w:r w:rsidRPr="00244534">
        <w:rPr>
          <w:rFonts w:ascii="ITC Avant Garde" w:hAnsi="ITC Avant Garde"/>
          <w:color w:val="auto"/>
        </w:rPr>
        <w:t>R</w:t>
      </w:r>
      <w:r w:rsidR="005B36F9" w:rsidRPr="00244534">
        <w:rPr>
          <w:rFonts w:ascii="ITC Avant Garde" w:hAnsi="ITC Avant Garde"/>
          <w:color w:val="auto"/>
        </w:rPr>
        <w:t xml:space="preserve">ecomienda limitar las responsabilidades del Concesionario con respecto a las reclamaciones presentadas por sus propios usuarios finales, y no por cualquier otro usuario final o tercero. Asimismo, sugiere en lo que respecta a los posibles daños y perjuicios ocasionados, el Concesionario Solicitante será </w:t>
      </w:r>
      <w:r w:rsidR="005B36F9" w:rsidRPr="00244534">
        <w:rPr>
          <w:rFonts w:ascii="ITC Avant Garde" w:hAnsi="ITC Avant Garde"/>
          <w:color w:val="auto"/>
        </w:rPr>
        <w:lastRenderedPageBreak/>
        <w:t>responsable únicamente de los daños y perjuicios causados de manera directa, estando los daños consecuenciales explícitamente excluidos.</w:t>
      </w:r>
    </w:p>
    <w:p w14:paraId="68544C5A" w14:textId="77777777" w:rsidR="005B36F9" w:rsidRPr="00244534" w:rsidRDefault="005B36F9" w:rsidP="005B36F9">
      <w:pPr>
        <w:spacing w:after="0" w:line="276" w:lineRule="auto"/>
        <w:ind w:right="0"/>
        <w:rPr>
          <w:rFonts w:ascii="ITC Avant Garde" w:hAnsi="ITC Avant Garde"/>
          <w:color w:val="auto"/>
        </w:rPr>
      </w:pPr>
    </w:p>
    <w:p w14:paraId="05021827"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C654285" w14:textId="77777777" w:rsidR="00F04FB4" w:rsidRPr="00244534" w:rsidRDefault="00F04FB4" w:rsidP="005B36F9">
      <w:pPr>
        <w:spacing w:after="0" w:line="276" w:lineRule="auto"/>
        <w:ind w:right="0"/>
        <w:rPr>
          <w:rFonts w:ascii="ITC Avant Garde" w:hAnsi="ITC Avant Garde"/>
          <w:color w:val="auto"/>
        </w:rPr>
      </w:pPr>
    </w:p>
    <w:p w14:paraId="13B5C48E" w14:textId="77777777" w:rsidR="00787CDB" w:rsidRPr="00244534" w:rsidRDefault="00B77B2B" w:rsidP="00787CDB">
      <w:pPr>
        <w:spacing w:after="0" w:line="276" w:lineRule="auto"/>
        <w:ind w:right="0"/>
        <w:rPr>
          <w:rFonts w:ascii="ITC Avant Garde" w:hAnsi="ITC Avant Garde"/>
          <w:color w:val="5B9BD5" w:themeColor="accent1"/>
        </w:rPr>
      </w:pPr>
      <w:r w:rsidRPr="00244534">
        <w:rPr>
          <w:rFonts w:ascii="ITC Avant Garde" w:hAnsi="ITC Avant Garde"/>
          <w:color w:val="5B9BD5" w:themeColor="accent1"/>
        </w:rPr>
        <w:t>E</w:t>
      </w:r>
      <w:r w:rsidR="00285A94" w:rsidRPr="00244534">
        <w:rPr>
          <w:rFonts w:ascii="ITC Avant Garde" w:hAnsi="ITC Avant Garde"/>
          <w:color w:val="5B9BD5" w:themeColor="accent1"/>
        </w:rPr>
        <w:t xml:space="preserve">l numeral </w:t>
      </w:r>
      <w:r w:rsidR="00093566" w:rsidRPr="00244534">
        <w:rPr>
          <w:rFonts w:ascii="ITC Avant Garde" w:hAnsi="ITC Avant Garde"/>
          <w:color w:val="5B9BD5" w:themeColor="accent1"/>
        </w:rPr>
        <w:t xml:space="preserve">5.2.10 </w:t>
      </w:r>
      <w:r w:rsidR="00285A94" w:rsidRPr="00244534">
        <w:rPr>
          <w:rFonts w:ascii="ITC Avant Garde" w:hAnsi="ITC Avant Garde"/>
          <w:color w:val="5B9BD5" w:themeColor="accent1"/>
        </w:rPr>
        <w:t>establece claramente que el concesionario responderá únicamente por los</w:t>
      </w:r>
      <w:r w:rsidR="000D51FD" w:rsidRPr="00244534">
        <w:rPr>
          <w:rFonts w:ascii="ITC Avant Garde" w:hAnsi="ITC Avant Garde"/>
          <w:color w:val="5B9BD5" w:themeColor="accent1"/>
        </w:rPr>
        <w:t xml:space="preserve"> daños y perjuicios directamente imputables a </w:t>
      </w:r>
      <w:r w:rsidR="00860EE1" w:rsidRPr="00244534">
        <w:rPr>
          <w:rFonts w:ascii="ITC Avant Garde" w:hAnsi="ITC Avant Garde"/>
          <w:color w:val="5B9BD5" w:themeColor="accent1"/>
        </w:rPr>
        <w:t>éste derivados de los Servicios de la Oferta de Referencia</w:t>
      </w:r>
      <w:r w:rsidR="000D6D9E" w:rsidRPr="00244534">
        <w:rPr>
          <w:rFonts w:ascii="ITC Avant Garde" w:hAnsi="ITC Avant Garde"/>
          <w:color w:val="5B9BD5" w:themeColor="accent1"/>
        </w:rPr>
        <w:t>, por lo cual no existe discrecionalidad en la interpretaci</w:t>
      </w:r>
      <w:r w:rsidR="00827B67" w:rsidRPr="00244534">
        <w:rPr>
          <w:rFonts w:ascii="ITC Avant Garde" w:hAnsi="ITC Avant Garde"/>
          <w:color w:val="5B9BD5" w:themeColor="accent1"/>
        </w:rPr>
        <w:t>ón de</w:t>
      </w:r>
      <w:r w:rsidR="009A68E8" w:rsidRPr="00244534">
        <w:rPr>
          <w:rFonts w:ascii="ITC Avant Garde" w:hAnsi="ITC Avant Garde"/>
          <w:color w:val="5B9BD5" w:themeColor="accent1"/>
        </w:rPr>
        <w:t xml:space="preserve"> la misma.</w:t>
      </w:r>
    </w:p>
    <w:p w14:paraId="3F424611" w14:textId="77777777" w:rsidR="005B36F9" w:rsidRPr="00244534" w:rsidRDefault="005B36F9" w:rsidP="005B36F9">
      <w:pPr>
        <w:spacing w:after="0" w:line="276" w:lineRule="auto"/>
        <w:ind w:left="0" w:right="0" w:firstLine="0"/>
        <w:rPr>
          <w:rFonts w:ascii="ITC Avant Garde" w:hAnsi="ITC Avant Garde"/>
          <w:color w:val="5B9BD5" w:themeColor="accent1"/>
        </w:rPr>
      </w:pPr>
    </w:p>
    <w:p w14:paraId="6C86C2C7"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5.2.12 en rel</w:t>
      </w:r>
      <w:r w:rsidR="0046463F" w:rsidRPr="00244534">
        <w:rPr>
          <w:rFonts w:ascii="ITC Avant Garde" w:hAnsi="ITC Avant Garde"/>
          <w:b/>
          <w:color w:val="auto"/>
          <w:u w:val="single"/>
        </w:rPr>
        <w:t>ación con Anexo II, Sub Anexo C</w:t>
      </w:r>
    </w:p>
    <w:p w14:paraId="08EB4CE0"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45F0D529"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Televisa: </w:t>
      </w:r>
    </w:p>
    <w:p w14:paraId="432E710B"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67B38318" w14:textId="51CC011B" w:rsidR="005B36F9" w:rsidRPr="00244534" w:rsidRDefault="00801F6A" w:rsidP="005B36F9">
      <w:pPr>
        <w:spacing w:after="0" w:line="276" w:lineRule="auto"/>
        <w:ind w:left="0" w:right="0" w:firstLine="0"/>
        <w:rPr>
          <w:rFonts w:ascii="ITC Avant Garde" w:hAnsi="ITC Avant Garde"/>
          <w:color w:val="auto"/>
        </w:rPr>
      </w:pPr>
      <w:r w:rsidRPr="00244534">
        <w:rPr>
          <w:rFonts w:ascii="ITC Avant Garde" w:hAnsi="ITC Avant Garde"/>
          <w:color w:val="auto"/>
        </w:rPr>
        <w:t>Indica</w:t>
      </w:r>
      <w:r w:rsidR="005B36F9" w:rsidRPr="00244534">
        <w:rPr>
          <w:rFonts w:ascii="ITC Avant Garde" w:hAnsi="ITC Avant Garde"/>
          <w:color w:val="auto"/>
        </w:rPr>
        <w:t xml:space="preserve"> q</w:t>
      </w:r>
      <w:r w:rsidR="00DE5D2F" w:rsidRPr="00244534">
        <w:rPr>
          <w:rFonts w:ascii="ITC Avant Garde" w:hAnsi="ITC Avant Garde"/>
          <w:color w:val="auto"/>
        </w:rPr>
        <w:t xml:space="preserve">ue </w:t>
      </w:r>
      <w:r w:rsidR="008C7415" w:rsidRPr="00244534">
        <w:rPr>
          <w:rFonts w:ascii="ITC Avant Garde" w:hAnsi="ITC Avant Garde"/>
          <w:color w:val="auto"/>
        </w:rPr>
        <w:t>el Subanexo C del Anexo II hace referencia a la obligación de entregar al Instituto los mapas de cobertura</w:t>
      </w:r>
      <w:r w:rsidR="00DE5D2F" w:rsidRPr="00244534">
        <w:rPr>
          <w:rFonts w:ascii="ITC Avant Garde" w:hAnsi="ITC Avant Garde"/>
          <w:color w:val="auto"/>
        </w:rPr>
        <w:t xml:space="preserve"> en términos del inciso 5.2.12. Sin embargo, en el numeral 5.2.12 no se incluye la obligación por parte del concesionario de entregar los mapas de cobertura</w:t>
      </w:r>
      <w:r w:rsidR="00147EED" w:rsidRPr="00244534">
        <w:rPr>
          <w:rFonts w:ascii="ITC Avant Garde" w:hAnsi="ITC Avant Garde"/>
          <w:color w:val="auto"/>
        </w:rPr>
        <w:t>.</w:t>
      </w:r>
    </w:p>
    <w:p w14:paraId="6CB91039" w14:textId="77777777" w:rsidR="005B36F9" w:rsidRPr="00244534" w:rsidRDefault="005B36F9" w:rsidP="005B36F9">
      <w:pPr>
        <w:spacing w:after="0" w:line="276" w:lineRule="auto"/>
        <w:ind w:left="0" w:right="0" w:firstLine="0"/>
        <w:rPr>
          <w:rFonts w:ascii="ITC Avant Garde" w:hAnsi="ITC Avant Garde"/>
          <w:color w:val="5B9BD5" w:themeColor="accent1"/>
        </w:rPr>
      </w:pPr>
    </w:p>
    <w:p w14:paraId="12B0591D"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12577180" w14:textId="77777777" w:rsidR="00F04FB4" w:rsidRPr="00244534" w:rsidRDefault="00F04FB4" w:rsidP="005B36F9">
      <w:pPr>
        <w:spacing w:after="0" w:line="276" w:lineRule="auto"/>
        <w:ind w:left="0" w:right="0" w:firstLine="0"/>
        <w:rPr>
          <w:rFonts w:ascii="ITC Avant Garde" w:hAnsi="ITC Avant Garde"/>
          <w:color w:val="5B9BD5" w:themeColor="accent1"/>
        </w:rPr>
      </w:pPr>
    </w:p>
    <w:p w14:paraId="3FA9E54F" w14:textId="77777777" w:rsidR="005B36F9" w:rsidRPr="00244534" w:rsidRDefault="00123378" w:rsidP="005B36F9">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Con el fin de evitar problemas de interpretación de la Oferta de Referencia, se elimina el último párrafo del numeral 2 “Mapas de Cobertura por Área de Servicio” del Subanexo C (Anexo II), el cual hace referencia a la obligación mencionada por el concesionario.</w:t>
      </w:r>
    </w:p>
    <w:p w14:paraId="73CEEF2C" w14:textId="77777777" w:rsidR="005B36F9" w:rsidRPr="00244534" w:rsidRDefault="005B36F9" w:rsidP="005B36F9">
      <w:pPr>
        <w:spacing w:after="0" w:line="276" w:lineRule="auto"/>
        <w:ind w:left="0" w:right="0" w:firstLine="0"/>
        <w:rPr>
          <w:rFonts w:ascii="ITC Avant Garde" w:hAnsi="ITC Avant Garde"/>
          <w:color w:val="5B9BD5" w:themeColor="accent1"/>
        </w:rPr>
      </w:pPr>
    </w:p>
    <w:p w14:paraId="64BA6544"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Sexta. Intercambio de Información</w:t>
      </w:r>
    </w:p>
    <w:p w14:paraId="5DCBCC53"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6.11</w:t>
      </w:r>
    </w:p>
    <w:p w14:paraId="6E6A7832" w14:textId="77777777" w:rsidR="005B36F9" w:rsidRPr="00244534" w:rsidRDefault="005B36F9" w:rsidP="005B36F9">
      <w:pPr>
        <w:spacing w:after="0" w:line="276" w:lineRule="auto"/>
        <w:ind w:left="0" w:right="0" w:firstLine="0"/>
        <w:rPr>
          <w:rFonts w:ascii="ITC Avant Garde" w:hAnsi="ITC Avant Garde"/>
          <w:b/>
          <w:color w:val="auto"/>
        </w:rPr>
      </w:pPr>
    </w:p>
    <w:p w14:paraId="05921386"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Televisa: </w:t>
      </w:r>
    </w:p>
    <w:p w14:paraId="5003AACF" w14:textId="77777777" w:rsidR="005B36F9" w:rsidRPr="00244534" w:rsidRDefault="005B36F9" w:rsidP="005B36F9">
      <w:pPr>
        <w:spacing w:after="0" w:line="276" w:lineRule="auto"/>
        <w:ind w:left="0" w:right="0" w:firstLine="0"/>
        <w:rPr>
          <w:rFonts w:ascii="ITC Avant Garde" w:hAnsi="ITC Avant Garde"/>
          <w:color w:val="auto"/>
        </w:rPr>
      </w:pPr>
    </w:p>
    <w:p w14:paraId="37BCAAB4" w14:textId="77777777" w:rsidR="005B36F9" w:rsidRPr="00244534" w:rsidRDefault="005B36F9" w:rsidP="005B36F9">
      <w:pPr>
        <w:spacing w:after="0" w:line="276" w:lineRule="auto"/>
        <w:ind w:left="0" w:right="0" w:firstLine="0"/>
        <w:rPr>
          <w:rFonts w:ascii="ITC Avant Garde" w:hAnsi="ITC Avant Garde"/>
          <w:color w:val="auto"/>
        </w:rPr>
      </w:pPr>
      <w:r w:rsidRPr="00244534">
        <w:rPr>
          <w:rFonts w:ascii="ITC Avant Garde" w:hAnsi="ITC Avant Garde"/>
          <w:color w:val="auto"/>
        </w:rPr>
        <w:t>Grupo Televisa sugiere que la Oferta de Referencia firmada entre Telcel y el Concesionario Solicitante debe estar disponible en el portal del Instituto dentro de los 10 días hábiles siguientes a su fecha de celebración.</w:t>
      </w:r>
    </w:p>
    <w:p w14:paraId="5BED9D9F" w14:textId="77777777" w:rsidR="005B36F9" w:rsidRPr="00244534" w:rsidRDefault="005B36F9" w:rsidP="005B36F9">
      <w:pPr>
        <w:spacing w:after="0" w:line="276" w:lineRule="auto"/>
        <w:ind w:left="0" w:right="0" w:firstLine="0"/>
        <w:rPr>
          <w:rFonts w:ascii="ITC Avant Garde" w:hAnsi="ITC Avant Garde"/>
          <w:b/>
          <w:color w:val="auto"/>
        </w:rPr>
      </w:pPr>
    </w:p>
    <w:p w14:paraId="45C4BB9F"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75E9AF4" w14:textId="77777777" w:rsidR="00F04FB4" w:rsidRPr="00244534" w:rsidRDefault="00F04FB4" w:rsidP="005B36F9">
      <w:pPr>
        <w:spacing w:after="0" w:line="276" w:lineRule="auto"/>
        <w:ind w:left="0" w:right="0" w:firstLine="0"/>
        <w:rPr>
          <w:rFonts w:ascii="ITC Avant Garde" w:hAnsi="ITC Avant Garde"/>
          <w:b/>
          <w:color w:val="auto"/>
        </w:rPr>
      </w:pPr>
    </w:p>
    <w:p w14:paraId="736B5476" w14:textId="77777777" w:rsidR="00787CDB" w:rsidRPr="00244534" w:rsidRDefault="00B77B2B" w:rsidP="00787CD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801F6A" w:rsidRPr="00244534">
        <w:rPr>
          <w:rFonts w:ascii="ITC Avant Garde" w:hAnsi="ITC Avant Garde"/>
          <w:color w:val="5B9BD5" w:themeColor="accent1"/>
        </w:rPr>
        <w:t>,</w:t>
      </w:r>
      <w:r w:rsidRPr="00244534">
        <w:rPr>
          <w:rFonts w:ascii="ITC Avant Garde" w:hAnsi="ITC Avant Garde"/>
          <w:color w:val="5B9BD5" w:themeColor="accent1"/>
        </w:rPr>
        <w:t xml:space="preserve"> se señala que </w:t>
      </w:r>
      <w:r w:rsidR="003D3458" w:rsidRPr="00244534">
        <w:rPr>
          <w:rFonts w:ascii="ITC Avant Garde" w:hAnsi="ITC Avant Garde"/>
          <w:color w:val="5B9BD5" w:themeColor="accent1"/>
        </w:rPr>
        <w:t>el numeral en cuestión es congruente con lo establecido en la Medida Cuadragésima</w:t>
      </w:r>
      <w:r w:rsidRPr="00244534">
        <w:rPr>
          <w:rFonts w:ascii="ITC Avant Garde" w:hAnsi="ITC Avant Garde"/>
          <w:color w:val="5B9BD5" w:themeColor="accent1"/>
        </w:rPr>
        <w:t xml:space="preserve"> Primera de las Medidas Móviles respecto a que el Convenio que al efecto suscriban los concesionarios y el </w:t>
      </w:r>
      <w:r w:rsidRPr="00244534">
        <w:rPr>
          <w:rFonts w:ascii="ITC Avant Garde" w:hAnsi="ITC Avant Garde"/>
          <w:color w:val="5B9BD5" w:themeColor="accent1"/>
        </w:rPr>
        <w:lastRenderedPageBreak/>
        <w:t xml:space="preserve">AEP deberá registrarse ante el Instituto en un plazo no mayor a treinta días hábiles a partir de su suscripción. </w:t>
      </w:r>
    </w:p>
    <w:p w14:paraId="77941A31" w14:textId="77777777" w:rsidR="004E647C" w:rsidRPr="00244534" w:rsidRDefault="004E647C" w:rsidP="005B36F9">
      <w:pPr>
        <w:spacing w:after="0" w:line="276" w:lineRule="auto"/>
        <w:ind w:right="0"/>
        <w:rPr>
          <w:rFonts w:ascii="ITC Avant Garde" w:hAnsi="ITC Avant Garde"/>
          <w:b/>
          <w:color w:val="auto"/>
          <w:u w:val="single"/>
        </w:rPr>
      </w:pPr>
    </w:p>
    <w:p w14:paraId="07BDB63A"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Cláusula Séptima -  Continuidad y Suspensión de los Servicios de la Oferta</w:t>
      </w:r>
    </w:p>
    <w:p w14:paraId="14047C41"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 7.2 - Suspensión Temporal</w:t>
      </w:r>
    </w:p>
    <w:p w14:paraId="0B1F9166" w14:textId="77777777" w:rsidR="005B36F9" w:rsidRPr="00244534" w:rsidRDefault="005B36F9" w:rsidP="005B36F9">
      <w:pPr>
        <w:spacing w:after="0" w:line="276" w:lineRule="auto"/>
        <w:ind w:right="0"/>
        <w:rPr>
          <w:rFonts w:ascii="ITC Avant Garde" w:hAnsi="ITC Avant Garde"/>
          <w:color w:val="auto"/>
        </w:rPr>
      </w:pPr>
    </w:p>
    <w:p w14:paraId="5519A9FB"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 xml:space="preserve">Grupo Televisa: </w:t>
      </w:r>
    </w:p>
    <w:p w14:paraId="549AD74D" w14:textId="77777777" w:rsidR="005B36F9" w:rsidRPr="00244534" w:rsidRDefault="005B36F9" w:rsidP="005B36F9">
      <w:pPr>
        <w:spacing w:after="0" w:line="276" w:lineRule="auto"/>
        <w:ind w:right="0"/>
        <w:rPr>
          <w:rFonts w:ascii="ITC Avant Garde" w:hAnsi="ITC Avant Garde"/>
          <w:color w:val="auto"/>
        </w:rPr>
      </w:pPr>
    </w:p>
    <w:p w14:paraId="53428C00" w14:textId="77777777" w:rsidR="00E51DC2" w:rsidRPr="00244534" w:rsidRDefault="00E51DC2" w:rsidP="005B36F9">
      <w:pPr>
        <w:spacing w:after="0" w:line="276" w:lineRule="auto"/>
        <w:ind w:right="0"/>
        <w:rPr>
          <w:rFonts w:ascii="ITC Avant Garde" w:hAnsi="ITC Avant Garde"/>
          <w:color w:val="auto"/>
        </w:rPr>
      </w:pPr>
      <w:r w:rsidRPr="00244534">
        <w:rPr>
          <w:rFonts w:ascii="ITC Avant Garde" w:hAnsi="ITC Avant Garde"/>
          <w:color w:val="auto"/>
        </w:rPr>
        <w:t>El concesionario</w:t>
      </w:r>
      <w:r w:rsidR="006B3AAB" w:rsidRPr="00244534">
        <w:rPr>
          <w:rFonts w:ascii="ITC Avant Garde" w:hAnsi="ITC Avant Garde"/>
          <w:color w:val="auto"/>
        </w:rPr>
        <w:t xml:space="preserve"> solicita</w:t>
      </w:r>
      <w:r w:rsidRPr="00244534">
        <w:rPr>
          <w:rFonts w:ascii="ITC Avant Garde" w:hAnsi="ITC Avant Garde"/>
          <w:color w:val="auto"/>
        </w:rPr>
        <w:t xml:space="preserve"> acotar las acciones realizadas por terceros a casos fortuitos</w:t>
      </w:r>
      <w:r w:rsidR="006B3AAB" w:rsidRPr="00244534">
        <w:rPr>
          <w:rFonts w:ascii="ITC Avant Garde" w:hAnsi="ITC Avant Garde"/>
          <w:color w:val="auto"/>
        </w:rPr>
        <w:t xml:space="preserve"> o de fuerza mayor ya que el término resulta muy amplio y permite al AEP interferir indebidamente en la operación del concesionario. Señala que el AEP será responsable por cualquier daño directo o indirecto si los terceros trabajan para éste.</w:t>
      </w:r>
    </w:p>
    <w:p w14:paraId="3B01AC79" w14:textId="77777777" w:rsidR="00E51DC2" w:rsidRPr="00244534" w:rsidRDefault="00E51DC2" w:rsidP="005B36F9">
      <w:pPr>
        <w:spacing w:after="0" w:line="276" w:lineRule="auto"/>
        <w:ind w:right="0"/>
        <w:rPr>
          <w:rFonts w:ascii="ITC Avant Garde" w:hAnsi="ITC Avant Garde"/>
          <w:color w:val="auto"/>
        </w:rPr>
      </w:pPr>
    </w:p>
    <w:p w14:paraId="4A427AF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73735959" w14:textId="77777777" w:rsidR="00F04FB4" w:rsidRPr="00244534" w:rsidRDefault="00F04FB4" w:rsidP="005B36F9">
      <w:pPr>
        <w:spacing w:after="0" w:line="276" w:lineRule="auto"/>
        <w:ind w:right="0"/>
        <w:rPr>
          <w:rFonts w:ascii="ITC Avant Garde" w:hAnsi="ITC Avant Garde"/>
          <w:color w:val="auto"/>
        </w:rPr>
      </w:pPr>
    </w:p>
    <w:p w14:paraId="2B379775" w14:textId="77777777" w:rsidR="00B77B2B" w:rsidRPr="00244534" w:rsidRDefault="00B77B2B" w:rsidP="00B77B2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En atención a la sugerencia referida, se acotó que existiría el supuesto de imposibilidad del AEP para prestar los servicios de la Oferta de Referencia, a actos de intervención gubernamental o acciones realizadas por terceros siempre que estos estuviesen fuera del control de Telcel.</w:t>
      </w:r>
    </w:p>
    <w:p w14:paraId="0EBA1B2E" w14:textId="77777777" w:rsidR="00B77B2B" w:rsidRPr="00244534" w:rsidRDefault="00B77B2B" w:rsidP="005B36F9">
      <w:pPr>
        <w:spacing w:after="0" w:line="276" w:lineRule="auto"/>
        <w:ind w:right="0"/>
        <w:rPr>
          <w:rFonts w:ascii="ITC Avant Garde" w:hAnsi="ITC Avant Garde"/>
          <w:b/>
          <w:color w:val="auto"/>
          <w:u w:val="single"/>
        </w:rPr>
      </w:pPr>
    </w:p>
    <w:p w14:paraId="14B1659E"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Cláusula Octava - Cesión </w:t>
      </w:r>
    </w:p>
    <w:p w14:paraId="749410D3"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Apartados 8.1 en relación con el apartado 8.2</w:t>
      </w:r>
    </w:p>
    <w:p w14:paraId="6F5651DB" w14:textId="77777777" w:rsidR="005B36F9" w:rsidRPr="00244534" w:rsidRDefault="005B36F9" w:rsidP="005B36F9">
      <w:pPr>
        <w:spacing w:after="0" w:line="276" w:lineRule="auto"/>
        <w:ind w:left="0" w:right="0" w:firstLine="0"/>
        <w:rPr>
          <w:rFonts w:ascii="ITC Avant Garde" w:hAnsi="ITC Avant Garde"/>
          <w:color w:val="auto"/>
        </w:rPr>
      </w:pPr>
    </w:p>
    <w:p w14:paraId="5D8F2B47"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587C3236" w14:textId="77777777" w:rsidR="005B36F9" w:rsidRPr="00244534" w:rsidRDefault="005B36F9" w:rsidP="005B36F9">
      <w:pPr>
        <w:spacing w:after="0" w:line="276" w:lineRule="auto"/>
        <w:ind w:left="0" w:right="0" w:firstLine="0"/>
        <w:rPr>
          <w:rFonts w:ascii="ITC Avant Garde" w:hAnsi="ITC Avant Garde"/>
          <w:color w:val="auto"/>
        </w:rPr>
      </w:pPr>
    </w:p>
    <w:p w14:paraId="2F9F1F47" w14:textId="386701DD" w:rsidR="00BD0CC4" w:rsidRPr="00244534" w:rsidRDefault="00801F6A" w:rsidP="005B36F9">
      <w:pPr>
        <w:spacing w:after="0" w:line="276" w:lineRule="auto"/>
        <w:ind w:left="0" w:right="0" w:firstLine="0"/>
        <w:rPr>
          <w:rFonts w:ascii="ITC Avant Garde" w:hAnsi="ITC Avant Garde"/>
          <w:color w:val="auto"/>
        </w:rPr>
      </w:pPr>
      <w:r w:rsidRPr="00244534">
        <w:rPr>
          <w:rFonts w:ascii="ITC Avant Garde" w:hAnsi="ITC Avant Garde"/>
          <w:color w:val="auto"/>
        </w:rPr>
        <w:t>S</w:t>
      </w:r>
      <w:r w:rsidR="00BD0CC4" w:rsidRPr="00244534">
        <w:rPr>
          <w:rFonts w:ascii="ITC Avant Garde" w:hAnsi="ITC Avant Garde"/>
          <w:color w:val="auto"/>
        </w:rPr>
        <w:t xml:space="preserve">olicita que se elimine </w:t>
      </w:r>
      <w:r w:rsidRPr="00244534">
        <w:rPr>
          <w:rFonts w:ascii="ITC Avant Garde" w:hAnsi="ITC Avant Garde"/>
          <w:color w:val="auto"/>
        </w:rPr>
        <w:t>l</w:t>
      </w:r>
      <w:r w:rsidR="00BD0CC4" w:rsidRPr="00244534">
        <w:rPr>
          <w:rFonts w:ascii="ITC Avant Garde" w:hAnsi="ITC Avant Garde"/>
          <w:color w:val="auto"/>
        </w:rPr>
        <w:t xml:space="preserve">a cláusula </w:t>
      </w:r>
      <w:r w:rsidR="00642040" w:rsidRPr="00244534">
        <w:rPr>
          <w:rFonts w:ascii="ITC Avant Garde" w:hAnsi="ITC Avant Garde"/>
          <w:color w:val="auto"/>
        </w:rPr>
        <w:t>ya que el AEP no puede decidir unilateralmente sobre la transferencia de derechos y obligaciones hacia los concesionarios. En todo caso, se debe acotar la cesión de derechos y obligaciones previa aprobación del Instituto.</w:t>
      </w:r>
    </w:p>
    <w:p w14:paraId="067FC295" w14:textId="77777777" w:rsidR="00BD0CC4" w:rsidRPr="00244534" w:rsidRDefault="00BD0CC4" w:rsidP="005B36F9">
      <w:pPr>
        <w:spacing w:after="0" w:line="276" w:lineRule="auto"/>
        <w:ind w:left="0" w:right="0" w:firstLine="0"/>
        <w:rPr>
          <w:rFonts w:ascii="ITC Avant Garde" w:hAnsi="ITC Avant Garde"/>
          <w:color w:val="auto"/>
        </w:rPr>
      </w:pPr>
    </w:p>
    <w:p w14:paraId="6E589529"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575F273A" w14:textId="77777777" w:rsidR="00F04FB4" w:rsidRPr="00244534" w:rsidRDefault="00F04FB4" w:rsidP="005B36F9">
      <w:pPr>
        <w:spacing w:after="0" w:line="276" w:lineRule="auto"/>
        <w:ind w:left="0" w:right="0" w:firstLine="0"/>
        <w:rPr>
          <w:rFonts w:ascii="ITC Avant Garde" w:hAnsi="ITC Avant Garde"/>
          <w:color w:val="auto"/>
        </w:rPr>
      </w:pPr>
    </w:p>
    <w:p w14:paraId="7870B41C" w14:textId="77777777" w:rsidR="008C5B6B" w:rsidRPr="00244534" w:rsidRDefault="00530CDE" w:rsidP="008C5B6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La cesión no requiere la autorización del Instituto cuando esta se realice bajos las excepciones contempladas en </w:t>
      </w:r>
      <w:r w:rsidR="00D5734D" w:rsidRPr="00244534">
        <w:rPr>
          <w:rFonts w:ascii="ITC Avant Garde" w:hAnsi="ITC Avant Garde"/>
          <w:color w:val="5B9BD5" w:themeColor="accent1"/>
        </w:rPr>
        <w:t xml:space="preserve">el artículo 110 de la LFTR. </w:t>
      </w:r>
      <w:r w:rsidR="008C5B6B" w:rsidRPr="00244534">
        <w:rPr>
          <w:rFonts w:ascii="ITC Avant Garde" w:hAnsi="ITC Avant Garde"/>
          <w:color w:val="5B9BD5" w:themeColor="accent1"/>
        </w:rPr>
        <w:t>Asimismo, el artículo 93 la Ley Federal de Competencia Económica establece:</w:t>
      </w:r>
    </w:p>
    <w:p w14:paraId="16BA806C" w14:textId="77777777" w:rsidR="008C5B6B" w:rsidRPr="00244534" w:rsidRDefault="008C5B6B" w:rsidP="008C5B6B">
      <w:pPr>
        <w:spacing w:after="0" w:line="276" w:lineRule="auto"/>
        <w:ind w:left="0" w:right="0" w:firstLine="0"/>
        <w:rPr>
          <w:rFonts w:ascii="ITC Avant Garde" w:hAnsi="ITC Avant Garde"/>
          <w:color w:val="5B9BD5" w:themeColor="accent1"/>
        </w:rPr>
      </w:pPr>
    </w:p>
    <w:p w14:paraId="0BDD7898" w14:textId="77777777" w:rsidR="008C5B6B" w:rsidRPr="00244534" w:rsidRDefault="008C5B6B" w:rsidP="008C5B6B">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“Artículo 93. No se requerirá la autorización de concentraciones a que se refiere el artículo 86 de esta Ley en los casos siguientes:</w:t>
      </w:r>
    </w:p>
    <w:p w14:paraId="4A680C07" w14:textId="77777777" w:rsidR="008C5B6B" w:rsidRPr="00244534" w:rsidRDefault="008C5B6B" w:rsidP="008C5B6B">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14A233D9" w14:textId="77777777" w:rsidR="008C5B6B" w:rsidRPr="00244534" w:rsidRDefault="008C5B6B" w:rsidP="00DA0F6F">
      <w:pPr>
        <w:pStyle w:val="Prrafodelista"/>
        <w:numPr>
          <w:ilvl w:val="0"/>
          <w:numId w:val="5"/>
        </w:numPr>
        <w:spacing w:after="0" w:line="276" w:lineRule="auto"/>
        <w:ind w:right="615"/>
        <w:rPr>
          <w:rFonts w:ascii="ITC Avant Garde" w:eastAsia="Calibri" w:hAnsi="ITC Avant Garde" w:cs="Arial"/>
          <w:i/>
          <w:color w:val="5B9BD5" w:themeColor="accent1"/>
          <w:sz w:val="18"/>
          <w:szCs w:val="18"/>
          <w:u w:val="single"/>
          <w:lang w:eastAsia="en-US"/>
        </w:rPr>
      </w:pPr>
      <w:r w:rsidRPr="00244534">
        <w:rPr>
          <w:rFonts w:ascii="ITC Avant Garde" w:eastAsia="Calibri" w:hAnsi="ITC Avant Garde" w:cs="Arial"/>
          <w:i/>
          <w:color w:val="5B9BD5" w:themeColor="accent1"/>
          <w:sz w:val="18"/>
          <w:szCs w:val="18"/>
          <w:u w:val="single"/>
          <w:lang w:eastAsia="en-US"/>
        </w:rPr>
        <w:lastRenderedPageBreak/>
        <w:t>Cuando la transacción implique una reestructuración corporativa, en la cual los Agentes Económicos pertenezcan al mismo grupo de interés económico y ningún tercero participe en la concentración;</w:t>
      </w:r>
    </w:p>
    <w:p w14:paraId="2DABD45D" w14:textId="77777777" w:rsidR="008C5B6B" w:rsidRPr="00244534" w:rsidRDefault="008C5B6B" w:rsidP="008C5B6B">
      <w:pPr>
        <w:spacing w:after="0" w:line="276" w:lineRule="auto"/>
        <w:ind w:left="765" w:right="615" w:firstLine="0"/>
        <w:rPr>
          <w:rFonts w:ascii="ITC Avant Garde" w:eastAsia="Calibri" w:hAnsi="ITC Avant Garde" w:cs="Arial"/>
          <w:i/>
          <w:color w:val="5B9BD5" w:themeColor="accent1"/>
          <w:sz w:val="18"/>
          <w:szCs w:val="18"/>
          <w:lang w:eastAsia="en-US"/>
        </w:rPr>
      </w:pPr>
    </w:p>
    <w:p w14:paraId="33FEC708" w14:textId="77777777" w:rsidR="008C5B6B" w:rsidRPr="00244534" w:rsidRDefault="008C5B6B" w:rsidP="008C5B6B">
      <w:pPr>
        <w:spacing w:after="0" w:line="276" w:lineRule="auto"/>
        <w:ind w:left="765"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p>
    <w:p w14:paraId="5026502D" w14:textId="77777777" w:rsidR="008C5B6B" w:rsidRPr="00244534" w:rsidRDefault="008C5B6B" w:rsidP="008C5B6B">
      <w:pPr>
        <w:spacing w:after="0" w:line="276" w:lineRule="auto"/>
        <w:ind w:left="765"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68DEB91E" w14:textId="77777777" w:rsidR="008C5B6B" w:rsidRPr="00244534" w:rsidRDefault="008C5B6B" w:rsidP="00787CDB">
      <w:pPr>
        <w:spacing w:after="0" w:line="276" w:lineRule="auto"/>
        <w:ind w:left="0" w:right="0" w:firstLine="0"/>
        <w:rPr>
          <w:rFonts w:ascii="ITC Avant Garde" w:hAnsi="ITC Avant Garde"/>
          <w:color w:val="5B9BD5" w:themeColor="accent1"/>
        </w:rPr>
      </w:pPr>
    </w:p>
    <w:p w14:paraId="4370ADE2" w14:textId="77777777" w:rsidR="008C5B6B" w:rsidRPr="00244534" w:rsidRDefault="008C5B6B" w:rsidP="00787CD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Derivado de lo anterior, el AEP no requiere la autorización del Instituto para la cesión de derechos y obligaciones a sus filiales. Sin embargo, </w:t>
      </w:r>
      <w:r w:rsidR="00D5734D" w:rsidRPr="00244534">
        <w:rPr>
          <w:rFonts w:ascii="ITC Avant Garde" w:hAnsi="ITC Avant Garde"/>
          <w:color w:val="5B9BD5" w:themeColor="accent1"/>
        </w:rPr>
        <w:t>con el fin de asegurar la continuidad en la prestación del servicio a través de la transferencia de obligaciones a sus filiales</w:t>
      </w:r>
      <w:r w:rsidRPr="00244534">
        <w:rPr>
          <w:rFonts w:ascii="ITC Avant Garde" w:hAnsi="ITC Avant Garde"/>
          <w:color w:val="5B9BD5" w:themeColor="accent1"/>
        </w:rPr>
        <w:t>, se modifica el numeral en cuestión en los siguientes términos:</w:t>
      </w:r>
    </w:p>
    <w:p w14:paraId="54CB85DA" w14:textId="77777777" w:rsidR="008C5B6B" w:rsidRPr="00244534" w:rsidRDefault="008C5B6B" w:rsidP="00787CDB">
      <w:pPr>
        <w:spacing w:after="0" w:line="276" w:lineRule="auto"/>
        <w:ind w:left="0" w:right="0" w:firstLine="0"/>
        <w:rPr>
          <w:rFonts w:ascii="ITC Avant Garde" w:hAnsi="ITC Avant Garde"/>
          <w:color w:val="5B9BD5" w:themeColor="accent1"/>
        </w:rPr>
      </w:pPr>
    </w:p>
    <w:p w14:paraId="1EDAD25D" w14:textId="77777777" w:rsidR="0088174B" w:rsidRPr="00244534" w:rsidRDefault="0088174B" w:rsidP="0088174B">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“8.2</w:t>
      </w:r>
      <w:r w:rsidRPr="00244534">
        <w:rPr>
          <w:rFonts w:ascii="ITC Avant Garde" w:eastAsia="Calibri" w:hAnsi="ITC Avant Garde" w:cs="Arial"/>
          <w:i/>
          <w:color w:val="5B9BD5" w:themeColor="accent1"/>
          <w:sz w:val="18"/>
          <w:szCs w:val="18"/>
          <w:lang w:eastAsia="en-US"/>
        </w:rPr>
        <w:tab/>
        <w:t>No obstante lo dispuesto en el inciso anterior, Telcel, podrá ceder libremente a sus Filiales el Convenio y/o sus derechos y/o obligaciones</w:t>
      </w:r>
      <w:r w:rsidRPr="00244534">
        <w:rPr>
          <w:rFonts w:ascii="ITC Avant Garde" w:eastAsia="Calibri" w:hAnsi="ITC Avant Garde" w:cs="Arial"/>
          <w:i/>
          <w:color w:val="5B9BD5" w:themeColor="accent1"/>
          <w:sz w:val="18"/>
          <w:szCs w:val="18"/>
          <w:u w:val="single"/>
          <w:lang w:eastAsia="en-US"/>
        </w:rPr>
        <w:t>, las mismas quedarán obligadas conforme a la Oferta de Referencia y el Convenio.</w:t>
      </w:r>
      <w:r w:rsidRPr="00244534">
        <w:rPr>
          <w:rFonts w:ascii="ITC Avant Garde" w:eastAsia="Calibri" w:hAnsi="ITC Avant Garde" w:cs="Arial"/>
          <w:i/>
          <w:color w:val="5B9BD5" w:themeColor="accent1"/>
          <w:sz w:val="18"/>
          <w:szCs w:val="18"/>
          <w:lang w:eastAsia="en-US"/>
        </w:rPr>
        <w:t>”</w:t>
      </w:r>
    </w:p>
    <w:p w14:paraId="4BC50F47" w14:textId="77777777" w:rsidR="0088174B" w:rsidRPr="00244534" w:rsidRDefault="0088174B" w:rsidP="0088174B">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61E7FA4C" w14:textId="77777777" w:rsidR="00B2513D" w:rsidRPr="00244534" w:rsidRDefault="0088174B" w:rsidP="00787CD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 </w:t>
      </w:r>
      <w:r w:rsidR="00B2513D" w:rsidRPr="00244534">
        <w:rPr>
          <w:rFonts w:ascii="ITC Avant Garde" w:hAnsi="ITC Avant Garde"/>
          <w:color w:val="5B9BD5" w:themeColor="accent1"/>
        </w:rPr>
        <w:t xml:space="preserve"> </w:t>
      </w:r>
    </w:p>
    <w:p w14:paraId="1B7A17D8" w14:textId="77777777" w:rsidR="005B36F9" w:rsidRPr="00244534" w:rsidRDefault="00F945FC"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Décima - Seguros</w:t>
      </w:r>
    </w:p>
    <w:p w14:paraId="35F171F7" w14:textId="77777777" w:rsidR="005B36F9" w:rsidRPr="00244534" w:rsidRDefault="005B36F9" w:rsidP="005B36F9">
      <w:pPr>
        <w:spacing w:after="0" w:line="276" w:lineRule="auto"/>
        <w:ind w:left="0" w:right="0" w:firstLine="0"/>
        <w:rPr>
          <w:rFonts w:ascii="ITC Avant Garde" w:hAnsi="ITC Avant Garde"/>
          <w:b/>
          <w:color w:val="auto"/>
        </w:rPr>
      </w:pPr>
    </w:p>
    <w:p w14:paraId="0AADE8ED"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Altán:</w:t>
      </w:r>
    </w:p>
    <w:p w14:paraId="4CCD778E" w14:textId="77777777" w:rsidR="005B36F9" w:rsidRPr="00244534" w:rsidRDefault="005B36F9" w:rsidP="005B36F9">
      <w:pPr>
        <w:spacing w:after="0" w:line="276" w:lineRule="auto"/>
        <w:ind w:left="0" w:right="0" w:firstLine="0"/>
        <w:rPr>
          <w:rFonts w:ascii="ITC Avant Garde" w:hAnsi="ITC Avant Garde"/>
          <w:b/>
          <w:color w:val="auto"/>
        </w:rPr>
      </w:pPr>
    </w:p>
    <w:p w14:paraId="017069EB" w14:textId="5DADC6C6" w:rsidR="00102408" w:rsidRPr="00244534" w:rsidRDefault="00801F6A" w:rsidP="00BF13DA">
      <w:pPr>
        <w:spacing w:after="0" w:line="276" w:lineRule="auto"/>
        <w:ind w:left="0" w:right="0" w:firstLine="0"/>
        <w:rPr>
          <w:rFonts w:ascii="ITC Avant Garde" w:eastAsia="Calibri" w:hAnsi="ITC Avant Garde" w:cs="Arial"/>
          <w:i/>
          <w:color w:val="auto"/>
          <w:sz w:val="18"/>
          <w:szCs w:val="18"/>
          <w:lang w:eastAsia="en-US"/>
        </w:rPr>
      </w:pPr>
      <w:r w:rsidRPr="00244534">
        <w:rPr>
          <w:rFonts w:ascii="ITC Avant Garde" w:hAnsi="ITC Avant Garde"/>
          <w:color w:val="auto"/>
        </w:rPr>
        <w:t>S</w:t>
      </w:r>
      <w:r w:rsidR="00102408" w:rsidRPr="00244534">
        <w:rPr>
          <w:rFonts w:ascii="ITC Avant Garde" w:hAnsi="ITC Avant Garde"/>
          <w:color w:val="auto"/>
        </w:rPr>
        <w:t>olicita que la contratación de seguros de responsabilidad civil sea rec</w:t>
      </w:r>
      <w:r w:rsidR="00BF13DA" w:rsidRPr="00244534">
        <w:rPr>
          <w:rFonts w:ascii="ITC Avant Garde" w:hAnsi="ITC Avant Garde"/>
          <w:color w:val="auto"/>
        </w:rPr>
        <w:t>íproca</w:t>
      </w:r>
      <w:r w:rsidRPr="00244534">
        <w:rPr>
          <w:rFonts w:ascii="ITC Avant Garde" w:hAnsi="ITC Avant Garde"/>
          <w:color w:val="auto"/>
        </w:rPr>
        <w:t>.</w:t>
      </w:r>
    </w:p>
    <w:p w14:paraId="509BFBFD" w14:textId="77777777" w:rsidR="00102408" w:rsidRPr="00244534" w:rsidRDefault="00102408" w:rsidP="005B36F9">
      <w:pPr>
        <w:spacing w:after="0" w:line="276" w:lineRule="auto"/>
        <w:ind w:left="0" w:right="0" w:firstLine="0"/>
        <w:rPr>
          <w:rFonts w:ascii="ITC Avant Garde" w:hAnsi="ITC Avant Garde"/>
          <w:color w:val="auto"/>
        </w:rPr>
      </w:pPr>
    </w:p>
    <w:p w14:paraId="0B1F0BC8"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113A1B1" w14:textId="77777777" w:rsidR="00F04FB4" w:rsidRPr="00244534" w:rsidRDefault="00F04FB4" w:rsidP="005B36F9">
      <w:pPr>
        <w:spacing w:after="0" w:line="276" w:lineRule="auto"/>
        <w:ind w:left="0" w:right="0" w:firstLine="0"/>
        <w:rPr>
          <w:rFonts w:ascii="ITC Avant Garde" w:hAnsi="ITC Avant Garde"/>
          <w:color w:val="auto"/>
        </w:rPr>
      </w:pPr>
    </w:p>
    <w:p w14:paraId="292ED952" w14:textId="77777777" w:rsidR="00787CDB" w:rsidRPr="00244534" w:rsidRDefault="00F945FC" w:rsidP="00787CDB">
      <w:pPr>
        <w:spacing w:after="0" w:line="276" w:lineRule="auto"/>
        <w:ind w:left="0" w:right="0" w:firstLine="0"/>
        <w:rPr>
          <w:rFonts w:ascii="ITC Avant Garde" w:hAnsi="ITC Avant Garde"/>
          <w:color w:val="auto"/>
        </w:rPr>
      </w:pPr>
      <w:r w:rsidRPr="00244534">
        <w:rPr>
          <w:rFonts w:ascii="ITC Avant Garde" w:hAnsi="ITC Avant Garde"/>
          <w:color w:val="5B9BD5" w:themeColor="accent1"/>
        </w:rPr>
        <w:t>Al respecto</w:t>
      </w:r>
      <w:r w:rsidR="00801F6A" w:rsidRPr="00244534">
        <w:rPr>
          <w:rFonts w:ascii="ITC Avant Garde" w:hAnsi="ITC Avant Garde"/>
          <w:color w:val="5B9BD5" w:themeColor="accent1"/>
        </w:rPr>
        <w:t>,</w:t>
      </w:r>
      <w:r w:rsidRPr="00244534">
        <w:rPr>
          <w:rFonts w:ascii="ITC Avant Garde" w:hAnsi="ITC Avant Garde"/>
          <w:color w:val="5B9BD5" w:themeColor="accent1"/>
        </w:rPr>
        <w:t xml:space="preserve"> se señala que la prestación del servicio no es recíproca</w:t>
      </w:r>
      <w:r w:rsidR="009A608C" w:rsidRPr="00244534">
        <w:rPr>
          <w:rFonts w:ascii="ITC Avant Garde" w:hAnsi="ITC Avant Garde"/>
          <w:color w:val="5B9BD5" w:themeColor="accent1"/>
        </w:rPr>
        <w:t>, es decir, el concesionario solicitante contrata los servicios de la Oferta de Referencia a cambio de una contraprestación a favor del AEP.</w:t>
      </w:r>
    </w:p>
    <w:p w14:paraId="0553E659" w14:textId="77777777" w:rsidR="005B36F9" w:rsidRPr="00244534" w:rsidRDefault="005B36F9" w:rsidP="005B36F9">
      <w:pPr>
        <w:spacing w:after="0" w:line="276" w:lineRule="auto"/>
        <w:ind w:left="0" w:right="0" w:firstLine="0"/>
        <w:rPr>
          <w:rFonts w:ascii="ITC Avant Garde" w:hAnsi="ITC Avant Garde"/>
          <w:b/>
          <w:color w:val="auto"/>
        </w:rPr>
      </w:pPr>
    </w:p>
    <w:p w14:paraId="7EB8A9B6" w14:textId="77777777" w:rsidR="00787CDB" w:rsidRPr="00244534" w:rsidRDefault="00787CDB" w:rsidP="00787CDB">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Déci</w:t>
      </w:r>
      <w:r w:rsidR="00F945FC" w:rsidRPr="00244534">
        <w:rPr>
          <w:rFonts w:ascii="ITC Avant Garde" w:hAnsi="ITC Avant Garde"/>
          <w:b/>
          <w:color w:val="auto"/>
          <w:u w:val="single"/>
        </w:rPr>
        <w:t>ma Segunda – Conductas Ilícitas</w:t>
      </w:r>
    </w:p>
    <w:p w14:paraId="0D53B2F7" w14:textId="77777777" w:rsidR="00787CDB" w:rsidRPr="00244534" w:rsidRDefault="00787CDB" w:rsidP="00787CDB">
      <w:pPr>
        <w:spacing w:after="0" w:line="276" w:lineRule="auto"/>
        <w:ind w:left="0" w:right="0" w:firstLine="0"/>
        <w:rPr>
          <w:rFonts w:ascii="ITC Avant Garde" w:hAnsi="ITC Avant Garde"/>
          <w:b/>
          <w:color w:val="auto"/>
          <w:u w:val="single"/>
        </w:rPr>
      </w:pPr>
    </w:p>
    <w:p w14:paraId="5F056D58" w14:textId="77777777" w:rsidR="00787CDB" w:rsidRPr="00244534" w:rsidRDefault="00787CDB" w:rsidP="00787CDB">
      <w:pPr>
        <w:spacing w:after="0" w:line="276" w:lineRule="auto"/>
        <w:ind w:left="0" w:right="0" w:firstLine="0"/>
        <w:rPr>
          <w:rFonts w:ascii="ITC Avant Garde" w:hAnsi="ITC Avant Garde"/>
          <w:b/>
          <w:color w:val="auto"/>
        </w:rPr>
      </w:pPr>
      <w:r w:rsidRPr="00244534">
        <w:rPr>
          <w:rFonts w:ascii="ITC Avant Garde" w:hAnsi="ITC Avant Garde"/>
          <w:b/>
          <w:color w:val="auto"/>
        </w:rPr>
        <w:t>Altán:</w:t>
      </w:r>
    </w:p>
    <w:p w14:paraId="6E40AAF9" w14:textId="77777777" w:rsidR="00787CDB" w:rsidRPr="00244534" w:rsidRDefault="00787CDB" w:rsidP="00787CDB">
      <w:pPr>
        <w:spacing w:after="0" w:line="276" w:lineRule="auto"/>
        <w:ind w:left="0" w:right="0" w:firstLine="0"/>
        <w:rPr>
          <w:rFonts w:ascii="ITC Avant Garde" w:hAnsi="ITC Avant Garde"/>
          <w:b/>
          <w:color w:val="auto"/>
          <w:u w:val="single"/>
        </w:rPr>
      </w:pPr>
    </w:p>
    <w:p w14:paraId="41EC02C6" w14:textId="6EAF8B38" w:rsidR="00BF13DA" w:rsidRPr="00244534" w:rsidRDefault="00801F6A" w:rsidP="00787CDB">
      <w:pPr>
        <w:spacing w:after="0" w:line="276" w:lineRule="auto"/>
        <w:ind w:left="0" w:right="0" w:firstLine="0"/>
        <w:rPr>
          <w:rFonts w:ascii="ITC Avant Garde" w:hAnsi="ITC Avant Garde"/>
          <w:color w:val="auto"/>
        </w:rPr>
      </w:pPr>
      <w:r w:rsidRPr="00244534">
        <w:rPr>
          <w:rFonts w:ascii="ITC Avant Garde" w:hAnsi="ITC Avant Garde"/>
          <w:color w:val="auto"/>
        </w:rPr>
        <w:t>S</w:t>
      </w:r>
      <w:r w:rsidR="00BF13DA" w:rsidRPr="00244534">
        <w:rPr>
          <w:rFonts w:ascii="ITC Avant Garde" w:hAnsi="ITC Avant Garde"/>
          <w:color w:val="auto"/>
        </w:rPr>
        <w:t>olicita precisar que la terminación de llamadas mediante protocolo VoIP no sea considerada como una conducta ilícita.</w:t>
      </w:r>
      <w:r w:rsidR="000074F3" w:rsidRPr="00244534">
        <w:rPr>
          <w:rFonts w:ascii="ITC Avant Garde" w:hAnsi="ITC Avant Garde"/>
          <w:color w:val="auto"/>
        </w:rPr>
        <w:t xml:space="preserve"> Propone agregar la siguiente precisión con estos fines:</w:t>
      </w:r>
    </w:p>
    <w:p w14:paraId="16334A90" w14:textId="77777777" w:rsidR="000074F3" w:rsidRPr="00244534" w:rsidRDefault="000074F3" w:rsidP="00787CDB">
      <w:pPr>
        <w:spacing w:after="0" w:line="276" w:lineRule="auto"/>
        <w:ind w:left="0" w:right="0" w:firstLine="0"/>
        <w:rPr>
          <w:rFonts w:ascii="ITC Avant Garde" w:hAnsi="ITC Avant Garde"/>
          <w:color w:val="auto"/>
        </w:rPr>
      </w:pPr>
    </w:p>
    <w:p w14:paraId="48C0279D" w14:textId="77777777" w:rsidR="000074F3" w:rsidRPr="00244534" w:rsidRDefault="000074F3" w:rsidP="000074F3">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“En ningún caso, se considerará como conducta ilícita, la terminación de</w:t>
      </w:r>
    </w:p>
    <w:p w14:paraId="0EBC9FCF" w14:textId="77777777" w:rsidR="000074F3" w:rsidRPr="00244534" w:rsidRDefault="000074F3" w:rsidP="000074F3">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llamadas en protocolo VoIP.”</w:t>
      </w:r>
    </w:p>
    <w:p w14:paraId="754B7FA5" w14:textId="77777777" w:rsidR="00787CDB" w:rsidRPr="00244534" w:rsidRDefault="00787CDB" w:rsidP="00787CDB">
      <w:pPr>
        <w:spacing w:after="0" w:line="276" w:lineRule="auto"/>
        <w:ind w:left="0" w:right="0" w:firstLine="0"/>
        <w:rPr>
          <w:rFonts w:ascii="ITC Avant Garde" w:hAnsi="ITC Avant Garde"/>
          <w:b/>
          <w:color w:val="auto"/>
        </w:rPr>
      </w:pPr>
    </w:p>
    <w:p w14:paraId="6C6CC6AA"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40E4CFD" w14:textId="77777777" w:rsidR="00F04FB4" w:rsidRPr="00244534" w:rsidRDefault="00F04FB4" w:rsidP="00787CDB">
      <w:pPr>
        <w:spacing w:after="0" w:line="276" w:lineRule="auto"/>
        <w:ind w:left="0" w:right="0" w:firstLine="0"/>
        <w:rPr>
          <w:rFonts w:ascii="ITC Avant Garde" w:hAnsi="ITC Avant Garde"/>
          <w:b/>
          <w:color w:val="auto"/>
        </w:rPr>
      </w:pPr>
    </w:p>
    <w:p w14:paraId="53AC48AC" w14:textId="77777777" w:rsidR="00787CDB" w:rsidRPr="00244534" w:rsidRDefault="00F945FC" w:rsidP="00787CD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801F6A" w:rsidRPr="00244534">
        <w:rPr>
          <w:rFonts w:ascii="ITC Avant Garde" w:hAnsi="ITC Avant Garde"/>
          <w:color w:val="5B9BD5" w:themeColor="accent1"/>
        </w:rPr>
        <w:t>,</w:t>
      </w:r>
      <w:r w:rsidRPr="00244534">
        <w:rPr>
          <w:rFonts w:ascii="ITC Avant Garde" w:hAnsi="ITC Avant Garde"/>
          <w:color w:val="5B9BD5" w:themeColor="accent1"/>
        </w:rPr>
        <w:t xml:space="preserve"> se señala que el texto de la Cláusula Décima Segunda es claro respecto a las conductas que son consideradas ilícitas por lo que no resulta necesario definir las conductas que lo serán. En este sentido, se observa que la terminación de llamadas en protocolo VoIP no está señalada como una conducta ilícita.</w:t>
      </w:r>
    </w:p>
    <w:p w14:paraId="136CC242" w14:textId="77777777" w:rsidR="00787CDB" w:rsidRPr="00244534" w:rsidRDefault="00787CDB" w:rsidP="00787CDB">
      <w:pPr>
        <w:spacing w:after="0" w:line="276" w:lineRule="auto"/>
        <w:ind w:left="0" w:right="0" w:firstLine="0"/>
        <w:rPr>
          <w:rFonts w:ascii="ITC Avant Garde" w:hAnsi="ITC Avant Garde"/>
          <w:b/>
          <w:color w:val="auto"/>
        </w:rPr>
      </w:pPr>
    </w:p>
    <w:p w14:paraId="4E65144D" w14:textId="77777777" w:rsidR="00787CDB" w:rsidRPr="00244534" w:rsidRDefault="00787CDB" w:rsidP="00787CDB">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Décima Tercera – Trato no Discriminatorio</w:t>
      </w:r>
    </w:p>
    <w:p w14:paraId="16C89BE7" w14:textId="77777777" w:rsidR="00787CDB" w:rsidRPr="00244534" w:rsidRDefault="00787CDB" w:rsidP="00787CDB">
      <w:pPr>
        <w:spacing w:after="0" w:line="276" w:lineRule="auto"/>
        <w:ind w:left="0" w:right="0" w:firstLine="0"/>
        <w:rPr>
          <w:rFonts w:ascii="ITC Avant Garde" w:hAnsi="ITC Avant Garde"/>
          <w:b/>
          <w:color w:val="auto"/>
        </w:rPr>
      </w:pPr>
    </w:p>
    <w:p w14:paraId="29119CCD" w14:textId="77777777" w:rsidR="00787CDB" w:rsidRPr="00244534" w:rsidRDefault="00787CDB" w:rsidP="00787CDB">
      <w:pPr>
        <w:spacing w:after="0" w:line="276" w:lineRule="auto"/>
        <w:ind w:left="0" w:right="0" w:firstLine="0"/>
        <w:rPr>
          <w:rFonts w:ascii="ITC Avant Garde" w:hAnsi="ITC Avant Garde"/>
          <w:b/>
          <w:color w:val="auto"/>
        </w:rPr>
      </w:pPr>
      <w:r w:rsidRPr="00244534">
        <w:rPr>
          <w:rFonts w:ascii="ITC Avant Garde" w:hAnsi="ITC Avant Garde"/>
          <w:b/>
          <w:color w:val="auto"/>
        </w:rPr>
        <w:t>Altán:</w:t>
      </w:r>
    </w:p>
    <w:p w14:paraId="23B91A93" w14:textId="77777777" w:rsidR="00787CDB" w:rsidRPr="00244534" w:rsidRDefault="00787CDB" w:rsidP="00787CDB">
      <w:pPr>
        <w:spacing w:after="0" w:line="276" w:lineRule="auto"/>
        <w:ind w:left="0" w:right="0" w:firstLine="0"/>
        <w:rPr>
          <w:rFonts w:ascii="ITC Avant Garde" w:hAnsi="ITC Avant Garde"/>
          <w:b/>
          <w:color w:val="auto"/>
        </w:rPr>
      </w:pPr>
    </w:p>
    <w:p w14:paraId="0F3D326D" w14:textId="53215B67" w:rsidR="00787CDB" w:rsidRPr="00244534" w:rsidRDefault="00801F6A" w:rsidP="00787CDB">
      <w:pPr>
        <w:spacing w:after="0" w:line="276" w:lineRule="auto"/>
        <w:ind w:left="0" w:right="0" w:firstLine="0"/>
        <w:rPr>
          <w:rFonts w:ascii="ITC Avant Garde" w:hAnsi="ITC Avant Garde"/>
          <w:color w:val="auto"/>
        </w:rPr>
      </w:pPr>
      <w:r w:rsidRPr="00244534">
        <w:rPr>
          <w:rFonts w:ascii="ITC Avant Garde" w:hAnsi="ITC Avant Garde"/>
          <w:color w:val="auto"/>
        </w:rPr>
        <w:t>S</w:t>
      </w:r>
      <w:r w:rsidR="00787CDB" w:rsidRPr="00244534">
        <w:rPr>
          <w:rFonts w:ascii="ITC Avant Garde" w:hAnsi="ITC Avant Garde"/>
          <w:color w:val="auto"/>
        </w:rPr>
        <w:t>olicita la inserción de una cláusula que le asegure un trato no discriminatorio para que en el supuesto de que un C</w:t>
      </w:r>
      <w:r w:rsidR="000074F3" w:rsidRPr="00244534">
        <w:rPr>
          <w:rFonts w:ascii="ITC Avant Garde" w:hAnsi="ITC Avant Garde"/>
          <w:color w:val="auto"/>
        </w:rPr>
        <w:t xml:space="preserve">oncesionario consiga </w:t>
      </w:r>
      <w:r w:rsidR="00787CDB" w:rsidRPr="00244534">
        <w:rPr>
          <w:rFonts w:ascii="ITC Avant Garde" w:hAnsi="ITC Avant Garde"/>
          <w:color w:val="auto"/>
        </w:rPr>
        <w:t>mejores condiciones respecto a la Oferta de Referencia, éstas le sean</w:t>
      </w:r>
      <w:r w:rsidR="000074F3" w:rsidRPr="00244534">
        <w:rPr>
          <w:rFonts w:ascii="ITC Avant Garde" w:hAnsi="ITC Avant Garde"/>
          <w:color w:val="auto"/>
        </w:rPr>
        <w:t xml:space="preserve"> aplicables a los demás concesionarios. Con este fin propone la siguiente precisión:</w:t>
      </w:r>
    </w:p>
    <w:p w14:paraId="39C43BD7" w14:textId="77777777" w:rsidR="000074F3" w:rsidRPr="00244534" w:rsidRDefault="000074F3" w:rsidP="00787CDB">
      <w:pPr>
        <w:spacing w:after="0" w:line="276" w:lineRule="auto"/>
        <w:ind w:left="0" w:right="0" w:firstLine="0"/>
        <w:rPr>
          <w:rFonts w:ascii="ITC Avant Garde" w:hAnsi="ITC Avant Garde"/>
          <w:color w:val="auto"/>
        </w:rPr>
      </w:pPr>
    </w:p>
    <w:p w14:paraId="38388272" w14:textId="77777777" w:rsidR="000074F3" w:rsidRPr="00244534" w:rsidRDefault="000074F3" w:rsidP="000074F3">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Calibri,Italic" w:eastAsiaTheme="minorHAnsi" w:hAnsi="Calibri,Italic" w:cs="Calibri,Italic"/>
          <w:i/>
          <w:iCs/>
          <w:color w:val="auto"/>
          <w:lang w:eastAsia="en-US"/>
        </w:rPr>
        <w:t>“</w:t>
      </w:r>
      <w:r w:rsidRPr="00244534">
        <w:rPr>
          <w:rFonts w:ascii="ITC Avant Garde" w:eastAsia="Calibri" w:hAnsi="ITC Avant Garde" w:cs="Arial"/>
          <w:i/>
          <w:color w:val="auto"/>
          <w:sz w:val="18"/>
          <w:szCs w:val="18"/>
          <w:lang w:eastAsia="en-US"/>
        </w:rPr>
        <w:t>Telcel acuerda que en caso de que llegara a otorgar a otro Concesionario,</w:t>
      </w:r>
    </w:p>
    <w:p w14:paraId="6AF112FF" w14:textId="77777777" w:rsidR="000074F3" w:rsidRPr="00244534" w:rsidRDefault="000074F3" w:rsidP="000074F3">
      <w:pPr>
        <w:pStyle w:val="Prrafodelista"/>
        <w:spacing w:after="0" w:line="276" w:lineRule="auto"/>
        <w:ind w:right="615" w:firstLine="0"/>
        <w:rPr>
          <w:rFonts w:ascii="ITC Avant Garde" w:eastAsia="Calibri" w:hAnsi="ITC Avant Garde" w:cs="Arial"/>
          <w:i/>
          <w:color w:val="auto"/>
          <w:sz w:val="18"/>
          <w:szCs w:val="18"/>
          <w:lang w:eastAsia="en-US"/>
        </w:rPr>
      </w:pPr>
      <w:r w:rsidRPr="00244534">
        <w:rPr>
          <w:rFonts w:ascii="ITC Avant Garde" w:eastAsia="Calibri" w:hAnsi="ITC Avant Garde" w:cs="Arial"/>
          <w:i/>
          <w:color w:val="auto"/>
          <w:sz w:val="18"/>
          <w:szCs w:val="18"/>
          <w:lang w:eastAsia="en-US"/>
        </w:rPr>
        <w:t>términos y condiciones mejores a los pactados en la presente Convenio, Oferta de Referencia y sus Anexos; dichos términos y condiciones le serán aplicables de forma automática al Concesionario a partir de la fecha en que se haya formalizado el Convenio con ésas mejores condiciones.”</w:t>
      </w:r>
    </w:p>
    <w:p w14:paraId="3D72BAB2" w14:textId="77777777" w:rsidR="00787CDB" w:rsidRPr="00244534" w:rsidRDefault="00787CDB" w:rsidP="00787CDB">
      <w:pPr>
        <w:spacing w:after="0" w:line="276" w:lineRule="auto"/>
        <w:ind w:left="0" w:right="0" w:firstLine="0"/>
        <w:rPr>
          <w:rFonts w:ascii="ITC Avant Garde" w:hAnsi="ITC Avant Garde"/>
          <w:color w:val="5B9BD5" w:themeColor="accent1"/>
        </w:rPr>
      </w:pPr>
    </w:p>
    <w:p w14:paraId="75711474"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0E2AA586" w14:textId="77777777" w:rsidR="00F04FB4" w:rsidRPr="00244534" w:rsidRDefault="00F04FB4" w:rsidP="00787CDB">
      <w:pPr>
        <w:spacing w:after="0" w:line="276" w:lineRule="auto"/>
        <w:ind w:left="0" w:right="0" w:firstLine="0"/>
        <w:rPr>
          <w:rFonts w:ascii="ITC Avant Garde" w:hAnsi="ITC Avant Garde"/>
          <w:color w:val="5B9BD5" w:themeColor="accent1"/>
        </w:rPr>
      </w:pPr>
    </w:p>
    <w:p w14:paraId="151CB111" w14:textId="77777777" w:rsidR="00C848A5" w:rsidRPr="00244534" w:rsidRDefault="00F945FC" w:rsidP="00787CD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Se modificó la Oferta a efecto de incluir una cláusula de Trato no Discriminatorio, en los siguientes términos:</w:t>
      </w:r>
    </w:p>
    <w:p w14:paraId="08C1932D" w14:textId="77777777" w:rsidR="00F945FC" w:rsidRPr="00244534" w:rsidRDefault="00F945FC" w:rsidP="00787CDB">
      <w:pPr>
        <w:spacing w:after="0" w:line="276" w:lineRule="auto"/>
        <w:ind w:left="0" w:right="0" w:firstLine="0"/>
        <w:rPr>
          <w:rFonts w:ascii="ITC Avant Garde" w:hAnsi="ITC Avant Garde"/>
          <w:color w:val="5B9BD5" w:themeColor="accent1"/>
        </w:rPr>
      </w:pPr>
    </w:p>
    <w:p w14:paraId="0537C918" w14:textId="77777777" w:rsidR="00F945FC" w:rsidRPr="00244534" w:rsidRDefault="00F945FC" w:rsidP="00F945FC">
      <w:pPr>
        <w:spacing w:after="0" w:line="276" w:lineRule="auto"/>
        <w:ind w:left="567" w:right="474" w:firstLine="0"/>
        <w:rPr>
          <w:rFonts w:ascii="ITC Avant Garde" w:hAnsi="ITC Avant Garde"/>
          <w:i/>
          <w:color w:val="5B9BD5" w:themeColor="accent1"/>
          <w:sz w:val="18"/>
          <w:szCs w:val="18"/>
        </w:rPr>
      </w:pPr>
      <w:r w:rsidRPr="00244534">
        <w:rPr>
          <w:rFonts w:ascii="ITC Avant Garde" w:hAnsi="ITC Avant Garde"/>
          <w:i/>
          <w:color w:val="5B9BD5" w:themeColor="accent1"/>
          <w:sz w:val="18"/>
          <w:szCs w:val="18"/>
        </w:rPr>
        <w:t>“CLÁUSULA DÉCIMA TERCERA. TRATO NO DISCRIMINATORIO.</w:t>
      </w:r>
    </w:p>
    <w:p w14:paraId="482A437C" w14:textId="77777777" w:rsidR="00F945FC" w:rsidRPr="00244534" w:rsidRDefault="00F945FC" w:rsidP="00F945FC">
      <w:pPr>
        <w:spacing w:after="0" w:line="276" w:lineRule="auto"/>
        <w:ind w:left="567" w:right="474" w:firstLine="0"/>
        <w:rPr>
          <w:rFonts w:ascii="ITC Avant Garde" w:hAnsi="ITC Avant Garde"/>
          <w:i/>
          <w:color w:val="5B9BD5" w:themeColor="accent1"/>
          <w:sz w:val="18"/>
          <w:szCs w:val="18"/>
        </w:rPr>
      </w:pPr>
    </w:p>
    <w:p w14:paraId="186BB481" w14:textId="77777777" w:rsidR="00F945FC" w:rsidRPr="00244534" w:rsidRDefault="00F945FC" w:rsidP="00F945FC">
      <w:pPr>
        <w:spacing w:after="0" w:line="276" w:lineRule="auto"/>
        <w:ind w:left="567" w:right="474" w:firstLine="0"/>
        <w:rPr>
          <w:rFonts w:ascii="ITC Avant Garde" w:hAnsi="ITC Avant Garde"/>
          <w:i/>
          <w:color w:val="5B9BD5" w:themeColor="accent1"/>
          <w:sz w:val="18"/>
          <w:szCs w:val="18"/>
        </w:rPr>
      </w:pPr>
      <w:r w:rsidRPr="00244534">
        <w:rPr>
          <w:rFonts w:ascii="ITC Avant Garde" w:hAnsi="ITC Avant Garde"/>
          <w:i/>
          <w:color w:val="5B9BD5" w:themeColor="accent1"/>
          <w:sz w:val="18"/>
          <w:szCs w:val="18"/>
        </w:rPr>
        <w:t>Telcel y el Concesionario convienen que deberán actuar sobre bases de Trato No Discriminatorio respecto de los Servicios de la Oferta que Telcel provee a otros concesionarios.</w:t>
      </w:r>
    </w:p>
    <w:p w14:paraId="76F88523" w14:textId="77777777" w:rsidR="00F945FC" w:rsidRPr="00244534" w:rsidRDefault="00F945FC" w:rsidP="00F945FC">
      <w:pPr>
        <w:spacing w:after="0" w:line="276" w:lineRule="auto"/>
        <w:ind w:left="567" w:right="474" w:firstLine="0"/>
        <w:rPr>
          <w:rFonts w:ascii="ITC Avant Garde" w:hAnsi="ITC Avant Garde"/>
          <w:i/>
          <w:color w:val="5B9BD5" w:themeColor="accent1"/>
          <w:sz w:val="18"/>
          <w:szCs w:val="18"/>
        </w:rPr>
      </w:pPr>
    </w:p>
    <w:p w14:paraId="37188C79" w14:textId="77777777" w:rsidR="00F945FC" w:rsidRPr="00244534" w:rsidRDefault="00F945FC" w:rsidP="00F945FC">
      <w:pPr>
        <w:spacing w:after="0" w:line="276" w:lineRule="auto"/>
        <w:ind w:left="567" w:right="474" w:firstLine="0"/>
        <w:rPr>
          <w:rFonts w:ascii="ITC Avant Garde" w:hAnsi="ITC Avant Garde"/>
          <w:i/>
          <w:color w:val="5B9BD5" w:themeColor="accent1"/>
          <w:sz w:val="18"/>
          <w:szCs w:val="18"/>
        </w:rPr>
      </w:pPr>
      <w:r w:rsidRPr="00244534">
        <w:rPr>
          <w:rFonts w:ascii="ITC Avant Garde" w:hAnsi="ITC Avant Garde"/>
          <w:i/>
          <w:color w:val="5B9BD5" w:themeColor="accent1"/>
          <w:sz w:val="18"/>
          <w:szCs w:val="18"/>
        </w:rPr>
        <w:t>En caso de que Telcel haya otorgado u otorgue, ya sea por acuerdo o por resolución del Instituto, términos y condiciones distintos a otros Concesionarios, a sus propias operaciones, subsidiarias, filiales o empresas que pertenezcan al mismo grupo de interés económico respecto de los servicios de la Oferta, deberá hacer extensivos los mismos términos y condiciones al Concesionario a partir de la fecha en que se lo soliciten. A petición del Concesionario, podrán celebrar el convenio o la modificación correspondiente, en un plazo no mayor a 15 (quince) días naturales contados a partir de la fecha de solicitud.”</w:t>
      </w:r>
    </w:p>
    <w:p w14:paraId="43D1C211" w14:textId="77777777" w:rsidR="00787CDB" w:rsidRPr="00244534" w:rsidRDefault="00787CDB" w:rsidP="00787CDB">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 </w:t>
      </w:r>
    </w:p>
    <w:p w14:paraId="610EE449"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Décima Cuarta – Causas de Terminación Anticipada</w:t>
      </w:r>
    </w:p>
    <w:p w14:paraId="1358A3C2"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4A8EF7C8"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14.1 inciso i, literal (b)</w:t>
      </w:r>
    </w:p>
    <w:p w14:paraId="69C4973C"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35EAC1FF"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0A212E61" w14:textId="77777777" w:rsidR="005B36F9" w:rsidRPr="00244534" w:rsidRDefault="005B36F9" w:rsidP="005B36F9">
      <w:pPr>
        <w:spacing w:after="0" w:line="276" w:lineRule="auto"/>
        <w:ind w:left="0" w:right="0" w:firstLine="0"/>
        <w:rPr>
          <w:rFonts w:ascii="ITC Avant Garde" w:hAnsi="ITC Avant Garde"/>
          <w:color w:val="auto"/>
        </w:rPr>
      </w:pPr>
    </w:p>
    <w:p w14:paraId="35FCF171" w14:textId="41BC55C9" w:rsidR="00B527D1" w:rsidRPr="00244534" w:rsidRDefault="007F1CDD" w:rsidP="005B36F9">
      <w:pPr>
        <w:spacing w:after="0" w:line="276" w:lineRule="auto"/>
        <w:ind w:left="0" w:right="0" w:firstLine="0"/>
        <w:rPr>
          <w:rFonts w:ascii="ITC Avant Garde" w:hAnsi="ITC Avant Garde"/>
          <w:color w:val="auto"/>
        </w:rPr>
      </w:pPr>
      <w:r w:rsidRPr="00244534">
        <w:rPr>
          <w:rFonts w:ascii="ITC Avant Garde" w:hAnsi="ITC Avant Garde"/>
          <w:color w:val="auto"/>
        </w:rPr>
        <w:t>Menciona</w:t>
      </w:r>
      <w:r w:rsidR="00B527D1" w:rsidRPr="00244534">
        <w:rPr>
          <w:rFonts w:ascii="ITC Avant Garde" w:hAnsi="ITC Avant Garde"/>
          <w:color w:val="auto"/>
        </w:rPr>
        <w:t xml:space="preserve"> que la </w:t>
      </w:r>
      <w:r w:rsidR="008543F0" w:rsidRPr="00244534">
        <w:rPr>
          <w:rFonts w:ascii="ITC Avant Garde" w:hAnsi="ITC Avant Garde"/>
          <w:color w:val="auto"/>
        </w:rPr>
        <w:t>terminación de las concesiones</w:t>
      </w:r>
      <w:r w:rsidR="00B527D1" w:rsidRPr="00244534">
        <w:rPr>
          <w:rFonts w:ascii="ITC Avant Garde" w:hAnsi="ITC Avant Garde"/>
          <w:color w:val="auto"/>
        </w:rPr>
        <w:t xml:space="preserve"> de bandas de espectro radioeléctrico vinculadas a la prestación del servicio no debe llevar a la terminación automática del servicio, ya que el AEP puede seguir ofreciendo servicios al concesionario en las otras bandas del espectro que tiene disponible.</w:t>
      </w:r>
      <w:r w:rsidR="0028208B" w:rsidRPr="00244534">
        <w:rPr>
          <w:rFonts w:ascii="ITC Avant Garde" w:hAnsi="ITC Avant Garde"/>
          <w:color w:val="auto"/>
        </w:rPr>
        <w:t xml:space="preserve"> Recomienda eliminar cualquier condición que permita al AEP librarse de sus obligaciones como preponderante.</w:t>
      </w:r>
    </w:p>
    <w:p w14:paraId="43C74A5A" w14:textId="77777777" w:rsidR="00B527D1" w:rsidRPr="00244534" w:rsidRDefault="00B527D1" w:rsidP="005B36F9">
      <w:pPr>
        <w:spacing w:after="0" w:line="276" w:lineRule="auto"/>
        <w:ind w:left="0" w:right="0" w:firstLine="0"/>
        <w:rPr>
          <w:rFonts w:ascii="ITC Avant Garde" w:hAnsi="ITC Avant Garde"/>
          <w:color w:val="auto"/>
        </w:rPr>
      </w:pPr>
    </w:p>
    <w:p w14:paraId="4F7C316A"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A809DBA" w14:textId="77777777" w:rsidR="00F04FB4" w:rsidRPr="00244534" w:rsidRDefault="00F04FB4" w:rsidP="005B36F9">
      <w:pPr>
        <w:spacing w:after="0" w:line="276" w:lineRule="auto"/>
        <w:ind w:left="0" w:right="0" w:firstLine="0"/>
        <w:rPr>
          <w:rFonts w:ascii="ITC Avant Garde" w:hAnsi="ITC Avant Garde"/>
          <w:color w:val="auto"/>
        </w:rPr>
      </w:pPr>
    </w:p>
    <w:p w14:paraId="632FC9D3" w14:textId="77777777" w:rsidR="009E04D2" w:rsidRPr="00244534" w:rsidRDefault="00B351B8" w:rsidP="005B36F9">
      <w:pPr>
        <w:spacing w:after="0" w:line="276" w:lineRule="auto"/>
        <w:ind w:left="0" w:right="0" w:firstLine="0"/>
        <w:rPr>
          <w:rFonts w:ascii="ITC Avant Garde" w:hAnsi="ITC Avant Garde" w:cs="Arial"/>
          <w:color w:val="5B9BD5" w:themeColor="accent1"/>
          <w:lang w:val="es-ES_tradnl"/>
        </w:rPr>
      </w:pPr>
      <w:r w:rsidRPr="00244534">
        <w:rPr>
          <w:rFonts w:ascii="ITC Avant Garde" w:hAnsi="ITC Avant Garde" w:cs="Arial"/>
          <w:color w:val="5B9BD5" w:themeColor="accent1"/>
          <w:lang w:val="es-ES_tradnl"/>
        </w:rPr>
        <w:t>En el Anexo V “Formato de Solicitud de Servicios” se específica la prestación de</w:t>
      </w:r>
      <w:r w:rsidR="00B358D9" w:rsidRPr="00244534">
        <w:rPr>
          <w:rFonts w:ascii="ITC Avant Garde" w:hAnsi="ITC Avant Garde" w:cs="Arial"/>
          <w:color w:val="5B9BD5" w:themeColor="accent1"/>
          <w:lang w:val="es-ES_tradnl"/>
        </w:rPr>
        <w:t>l</w:t>
      </w:r>
      <w:r w:rsidR="008A3DDC" w:rsidRPr="00244534">
        <w:rPr>
          <w:rFonts w:ascii="ITC Avant Garde" w:hAnsi="ITC Avant Garde" w:cs="Arial"/>
          <w:color w:val="5B9BD5" w:themeColor="accent1"/>
          <w:lang w:val="es-ES_tradnl"/>
        </w:rPr>
        <w:t xml:space="preserve"> mismo </w:t>
      </w:r>
      <w:r w:rsidRPr="00244534">
        <w:rPr>
          <w:rFonts w:ascii="ITC Avant Garde" w:hAnsi="ITC Avant Garde" w:cs="Arial"/>
          <w:color w:val="5B9BD5" w:themeColor="accent1"/>
          <w:lang w:val="es-ES_tradnl"/>
        </w:rPr>
        <w:t>por tipo de servicio</w:t>
      </w:r>
      <w:r w:rsidR="002427AB" w:rsidRPr="00244534">
        <w:rPr>
          <w:rFonts w:ascii="ITC Avant Garde" w:hAnsi="ITC Avant Garde" w:cs="Arial"/>
          <w:color w:val="5B9BD5" w:themeColor="accent1"/>
          <w:lang w:val="es-ES_tradnl"/>
        </w:rPr>
        <w:t xml:space="preserve"> (voz, datos y</w:t>
      </w:r>
      <w:r w:rsidR="008A3DDC" w:rsidRPr="00244534">
        <w:rPr>
          <w:rFonts w:ascii="ITC Avant Garde" w:hAnsi="ITC Avant Garde" w:cs="Arial"/>
          <w:color w:val="5B9BD5" w:themeColor="accent1"/>
          <w:lang w:val="es-ES_tradnl"/>
        </w:rPr>
        <w:t xml:space="preserve"> SMS)</w:t>
      </w:r>
      <w:r w:rsidRPr="00244534">
        <w:rPr>
          <w:rFonts w:ascii="ITC Avant Garde" w:hAnsi="ITC Avant Garde" w:cs="Arial"/>
          <w:color w:val="5B9BD5" w:themeColor="accent1"/>
          <w:lang w:val="es-ES_tradnl"/>
        </w:rPr>
        <w:t xml:space="preserve"> y </w:t>
      </w:r>
      <w:r w:rsidR="008A3DDC" w:rsidRPr="00244534">
        <w:rPr>
          <w:rFonts w:ascii="ITC Avant Garde" w:hAnsi="ITC Avant Garde" w:cs="Arial"/>
          <w:color w:val="5B9BD5" w:themeColor="accent1"/>
          <w:lang w:val="es-ES_tradnl"/>
        </w:rPr>
        <w:t xml:space="preserve">por </w:t>
      </w:r>
      <w:r w:rsidRPr="00244534">
        <w:rPr>
          <w:rFonts w:ascii="ITC Avant Garde" w:hAnsi="ITC Avant Garde" w:cs="Arial"/>
          <w:color w:val="5B9BD5" w:themeColor="accent1"/>
          <w:lang w:val="es-ES_tradnl"/>
        </w:rPr>
        <w:t>tipo de red</w:t>
      </w:r>
      <w:r w:rsidR="008A3DDC" w:rsidRPr="00244534">
        <w:rPr>
          <w:rFonts w:ascii="ITC Avant Garde" w:hAnsi="ITC Avant Garde" w:cs="Arial"/>
          <w:color w:val="5B9BD5" w:themeColor="accent1"/>
          <w:lang w:val="es-ES_tradnl"/>
        </w:rPr>
        <w:t xml:space="preserve"> (2G, 3G y 4G)</w:t>
      </w:r>
      <w:r w:rsidRPr="00244534">
        <w:rPr>
          <w:rFonts w:ascii="ITC Avant Garde" w:hAnsi="ITC Avant Garde" w:cs="Arial"/>
          <w:color w:val="5B9BD5" w:themeColor="accent1"/>
          <w:lang w:val="es-ES_tradnl"/>
        </w:rPr>
        <w:t>.</w:t>
      </w:r>
      <w:r w:rsidR="008A3DDC" w:rsidRPr="00244534">
        <w:rPr>
          <w:rFonts w:ascii="ITC Avant Garde" w:hAnsi="ITC Avant Garde" w:cs="Arial"/>
          <w:color w:val="5B9BD5" w:themeColor="accent1"/>
          <w:lang w:val="es-ES_tradnl"/>
        </w:rPr>
        <w:t xml:space="preserve"> La prestación del servicio en alguna tecnología en particular está estrechamente relacionada con la banda de frecuencias </w:t>
      </w:r>
      <w:r w:rsidR="002427AB" w:rsidRPr="00244534">
        <w:rPr>
          <w:rFonts w:ascii="ITC Avant Garde" w:hAnsi="ITC Avant Garde" w:cs="Arial"/>
          <w:color w:val="5B9BD5" w:themeColor="accent1"/>
          <w:lang w:val="es-ES_tradnl"/>
        </w:rPr>
        <w:t>en la cual se despliega</w:t>
      </w:r>
      <w:r w:rsidR="008A3DDC" w:rsidRPr="00244534">
        <w:rPr>
          <w:rFonts w:ascii="ITC Avant Garde" w:hAnsi="ITC Avant Garde" w:cs="Arial"/>
          <w:color w:val="5B9BD5" w:themeColor="accent1"/>
          <w:lang w:val="es-ES_tradnl"/>
        </w:rPr>
        <w:t>.</w:t>
      </w:r>
      <w:r w:rsidR="009E04D2" w:rsidRPr="00244534">
        <w:rPr>
          <w:rFonts w:ascii="ITC Avant Garde" w:hAnsi="ITC Avant Garde" w:cs="Arial"/>
          <w:color w:val="5B9BD5" w:themeColor="accent1"/>
          <w:lang w:val="es-ES_tradnl"/>
        </w:rPr>
        <w:t xml:space="preserve"> El AEP sería incapaz de brindar servicios de 4G en alguna región en particular si perdiera su concesión en la banda de frecuencias de AWS, por ejemplo. Derivado de lo anterior, es posible que Telcel fuera </w:t>
      </w:r>
      <w:r w:rsidR="001E673A" w:rsidRPr="00244534">
        <w:rPr>
          <w:rFonts w:ascii="ITC Avant Garde" w:hAnsi="ITC Avant Garde" w:cs="Arial"/>
          <w:color w:val="5B9BD5" w:themeColor="accent1"/>
          <w:lang w:val="es-ES_tradnl"/>
        </w:rPr>
        <w:t>incapaz de prestar el Servicio de Usuario Visitante</w:t>
      </w:r>
      <w:r w:rsidR="00777758" w:rsidRPr="00244534">
        <w:rPr>
          <w:rFonts w:ascii="ITC Avant Garde" w:hAnsi="ITC Avant Garde" w:cs="Arial"/>
          <w:color w:val="5B9BD5" w:themeColor="accent1"/>
          <w:lang w:val="es-ES_tradnl"/>
        </w:rPr>
        <w:t xml:space="preserve"> con motivo de la terminación</w:t>
      </w:r>
      <w:r w:rsidR="001E673A" w:rsidRPr="00244534">
        <w:rPr>
          <w:rFonts w:ascii="ITC Avant Garde" w:hAnsi="ITC Avant Garde" w:cs="Arial"/>
          <w:color w:val="5B9BD5" w:themeColor="accent1"/>
          <w:lang w:val="es-ES_tradnl"/>
        </w:rPr>
        <w:t xml:space="preserve"> de la concesión de bandas de frecuencias vinculadas a los Servicios de la Oferta, por lo cual no es procedente la solicitud del concesionario.</w:t>
      </w:r>
    </w:p>
    <w:p w14:paraId="3B5E9B04" w14:textId="77777777" w:rsidR="009E04D2" w:rsidRPr="00244534" w:rsidRDefault="009E04D2" w:rsidP="005B36F9">
      <w:pPr>
        <w:spacing w:after="0" w:line="276" w:lineRule="auto"/>
        <w:ind w:left="0" w:right="0" w:firstLine="0"/>
        <w:rPr>
          <w:rFonts w:ascii="ITC Avant Garde" w:hAnsi="ITC Avant Garde" w:cs="Arial"/>
          <w:color w:val="5B9BD5" w:themeColor="accent1"/>
          <w:lang w:val="es-ES_tradnl"/>
        </w:rPr>
      </w:pPr>
    </w:p>
    <w:p w14:paraId="376DA97E" w14:textId="77777777" w:rsidR="00787CDB" w:rsidRPr="00244534" w:rsidRDefault="00787CDB" w:rsidP="00787CDB">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14.1 inciso iii</w:t>
      </w:r>
    </w:p>
    <w:p w14:paraId="050C13BB" w14:textId="77777777" w:rsidR="00787CDB" w:rsidRPr="00244534" w:rsidRDefault="00787CDB" w:rsidP="00787CDB">
      <w:pPr>
        <w:spacing w:after="0" w:line="276" w:lineRule="auto"/>
        <w:ind w:left="0" w:right="0" w:firstLine="0"/>
        <w:rPr>
          <w:rFonts w:ascii="ITC Avant Garde" w:hAnsi="ITC Avant Garde"/>
          <w:b/>
          <w:color w:val="auto"/>
          <w:u w:val="single"/>
        </w:rPr>
      </w:pPr>
    </w:p>
    <w:p w14:paraId="3B5D8EF4" w14:textId="77777777" w:rsidR="00787CDB" w:rsidRPr="00244534" w:rsidRDefault="00787CDB" w:rsidP="00787CDB">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0F41EBF4" w14:textId="77777777" w:rsidR="00787CDB" w:rsidRPr="00244534" w:rsidRDefault="00787CDB" w:rsidP="00787CDB">
      <w:pPr>
        <w:spacing w:after="0" w:line="276" w:lineRule="auto"/>
        <w:ind w:left="0" w:right="0" w:firstLine="0"/>
        <w:rPr>
          <w:rFonts w:ascii="ITC Avant Garde" w:hAnsi="ITC Avant Garde"/>
          <w:b/>
          <w:color w:val="auto"/>
          <w:u w:val="single"/>
        </w:rPr>
      </w:pPr>
    </w:p>
    <w:p w14:paraId="6F05A3CA" w14:textId="6C08EC4D" w:rsidR="005C0D72" w:rsidRPr="00244534" w:rsidRDefault="00EF2F62" w:rsidP="00787CDB">
      <w:pPr>
        <w:spacing w:after="0" w:line="276" w:lineRule="auto"/>
        <w:ind w:left="0" w:right="0" w:firstLine="0"/>
        <w:rPr>
          <w:rFonts w:ascii="ITC Avant Garde" w:hAnsi="ITC Avant Garde"/>
          <w:color w:val="auto"/>
        </w:rPr>
      </w:pPr>
      <w:r w:rsidRPr="00244534">
        <w:rPr>
          <w:rFonts w:ascii="ITC Avant Garde" w:hAnsi="ITC Avant Garde"/>
          <w:color w:val="auto"/>
        </w:rPr>
        <w:t>S</w:t>
      </w:r>
      <w:r w:rsidR="006B32D3" w:rsidRPr="00244534">
        <w:rPr>
          <w:rFonts w:ascii="ITC Avant Garde" w:hAnsi="ITC Avant Garde"/>
          <w:color w:val="auto"/>
        </w:rPr>
        <w:t>ugiere</w:t>
      </w:r>
      <w:r w:rsidR="005C0D72" w:rsidRPr="00244534">
        <w:rPr>
          <w:rFonts w:ascii="ITC Avant Garde" w:hAnsi="ITC Avant Garde"/>
          <w:color w:val="auto"/>
        </w:rPr>
        <w:t xml:space="preserve"> que </w:t>
      </w:r>
      <w:r w:rsidR="006B32D3" w:rsidRPr="00244534">
        <w:rPr>
          <w:rFonts w:ascii="ITC Avant Garde" w:hAnsi="ITC Avant Garde"/>
          <w:color w:val="auto"/>
        </w:rPr>
        <w:t>se elimine la cláusula en cuestión y se reempla</w:t>
      </w:r>
      <w:r w:rsidR="002340B9" w:rsidRPr="00244534">
        <w:rPr>
          <w:rFonts w:ascii="ITC Avant Garde" w:hAnsi="ITC Avant Garde"/>
          <w:color w:val="auto"/>
        </w:rPr>
        <w:t>ce por otra en la cual se especifique que en caso de que el AEP dejará de serlo, el Instituto impondrá un plan de transición con sus correspondientes características técnicas y comerciales, en el cual se tomen en cuenta las inversiones realizadas y su plazo de recuperación, la existencia de alternativas a la infraestructura</w:t>
      </w:r>
      <w:r w:rsidR="002D76C9" w:rsidRPr="00244534">
        <w:rPr>
          <w:rFonts w:ascii="ITC Avant Garde" w:hAnsi="ITC Avant Garde"/>
          <w:color w:val="auto"/>
        </w:rPr>
        <w:t xml:space="preserve"> del AEP, y la continuidad en la prestación de los servicios a los usuarios finales.</w:t>
      </w:r>
    </w:p>
    <w:p w14:paraId="46696668" w14:textId="77777777" w:rsidR="005C0D72" w:rsidRPr="00244534" w:rsidRDefault="005C0D72" w:rsidP="00787CDB">
      <w:pPr>
        <w:spacing w:after="0" w:line="276" w:lineRule="auto"/>
        <w:ind w:left="0" w:right="0" w:firstLine="0"/>
        <w:rPr>
          <w:rFonts w:ascii="ITC Avant Garde" w:hAnsi="ITC Avant Garde"/>
          <w:color w:val="auto"/>
        </w:rPr>
      </w:pPr>
    </w:p>
    <w:p w14:paraId="548A7E85"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0248CE1" w14:textId="77777777" w:rsidR="00F04FB4" w:rsidRPr="00244534" w:rsidRDefault="00F04FB4" w:rsidP="00787CDB">
      <w:pPr>
        <w:spacing w:after="0" w:line="276" w:lineRule="auto"/>
        <w:ind w:left="0" w:right="0" w:firstLine="0"/>
        <w:rPr>
          <w:rFonts w:ascii="ITC Avant Garde" w:hAnsi="ITC Avant Garde"/>
          <w:color w:val="auto"/>
        </w:rPr>
      </w:pPr>
    </w:p>
    <w:p w14:paraId="753D8866" w14:textId="77777777" w:rsidR="00D54F77" w:rsidRPr="00244534" w:rsidRDefault="00D54F77" w:rsidP="00D54F77">
      <w:pPr>
        <w:spacing w:line="240" w:lineRule="auto"/>
        <w:ind w:left="0" w:right="0" w:firstLine="0"/>
        <w:rPr>
          <w:rFonts w:ascii="ITC Avant Garde" w:hAnsi="ITC Avant Garde"/>
          <w:color w:val="5B9BD5" w:themeColor="accent1"/>
        </w:rPr>
      </w:pPr>
      <w:r w:rsidRPr="00244534">
        <w:rPr>
          <w:rFonts w:ascii="ITC Avant Garde" w:hAnsi="ITC Avant Garde"/>
          <w:color w:val="5B9BD5" w:themeColor="accent1"/>
        </w:rPr>
        <w:t>El plan de transición al que hace referencia Grupo Televisa no se encuentra dentro del alcance de la Oferta ya que la misma contienen los aspectos relacionados a</w:t>
      </w:r>
      <w:r w:rsidR="00A7189D" w:rsidRPr="00244534">
        <w:rPr>
          <w:rFonts w:ascii="ITC Avant Garde" w:hAnsi="ITC Avant Garde"/>
          <w:color w:val="5B9BD5" w:themeColor="accent1"/>
        </w:rPr>
        <w:t xml:space="preserve"> </w:t>
      </w:r>
      <w:r w:rsidRPr="00244534">
        <w:rPr>
          <w:rFonts w:ascii="ITC Avant Garde" w:hAnsi="ITC Avant Garde"/>
          <w:color w:val="5B9BD5" w:themeColor="accent1"/>
        </w:rPr>
        <w:t>l</w:t>
      </w:r>
      <w:r w:rsidR="00A7189D" w:rsidRPr="00244534">
        <w:rPr>
          <w:rFonts w:ascii="ITC Avant Garde" w:hAnsi="ITC Avant Garde"/>
          <w:color w:val="5B9BD5" w:themeColor="accent1"/>
        </w:rPr>
        <w:t>a prestación por parte de Telcel del servicio de usuario visitante</w:t>
      </w:r>
      <w:r w:rsidR="00EF2F62" w:rsidRPr="00244534">
        <w:rPr>
          <w:rFonts w:ascii="ITC Avant Garde" w:hAnsi="ITC Avant Garde"/>
          <w:color w:val="5B9BD5" w:themeColor="accent1"/>
        </w:rPr>
        <w:t>,</w:t>
      </w:r>
      <w:r w:rsidRPr="00244534">
        <w:rPr>
          <w:rFonts w:ascii="ITC Avant Garde" w:hAnsi="ITC Avant Garde"/>
          <w:color w:val="5B9BD5" w:themeColor="accent1"/>
        </w:rPr>
        <w:t xml:space="preserve"> por lo que las alternativas a la infraestructura del AEP para la </w:t>
      </w:r>
      <w:r w:rsidRPr="00244534">
        <w:rPr>
          <w:rFonts w:ascii="ITC Avant Garde" w:hAnsi="ITC Avant Garde"/>
          <w:color w:val="5B9BD5" w:themeColor="accent1"/>
        </w:rPr>
        <w:lastRenderedPageBreak/>
        <w:t xml:space="preserve">continuidad en la prestación del servicio, así como sus características técnicas y comerciales se encuentran fuera del alcance de la misma. </w:t>
      </w:r>
    </w:p>
    <w:p w14:paraId="54A6AA23" w14:textId="77777777" w:rsidR="00787CDB" w:rsidRPr="00244534" w:rsidRDefault="00787CDB" w:rsidP="00D54F77">
      <w:pPr>
        <w:spacing w:after="0" w:line="276" w:lineRule="auto"/>
        <w:ind w:left="0" w:right="0" w:firstLine="0"/>
        <w:rPr>
          <w:rFonts w:ascii="ITC Avant Garde" w:hAnsi="ITC Avant Garde"/>
          <w:b/>
          <w:color w:val="auto"/>
        </w:rPr>
      </w:pPr>
    </w:p>
    <w:p w14:paraId="18D9EEF0" w14:textId="77777777" w:rsidR="00787CDB" w:rsidRPr="00244534" w:rsidRDefault="00787CDB" w:rsidP="00787CDB">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14.1 inciso vi</w:t>
      </w:r>
    </w:p>
    <w:p w14:paraId="7BB02814" w14:textId="77777777" w:rsidR="00787CDB" w:rsidRPr="00244534" w:rsidRDefault="00787CDB" w:rsidP="00787CDB">
      <w:pPr>
        <w:spacing w:after="0" w:line="276" w:lineRule="auto"/>
        <w:ind w:left="0" w:right="0" w:firstLine="0"/>
        <w:rPr>
          <w:rFonts w:ascii="ITC Avant Garde" w:hAnsi="ITC Avant Garde"/>
          <w:b/>
          <w:color w:val="auto"/>
        </w:rPr>
      </w:pPr>
    </w:p>
    <w:p w14:paraId="2FFE7EA1" w14:textId="77777777" w:rsidR="00787CDB" w:rsidRPr="00244534" w:rsidRDefault="00787CDB" w:rsidP="00787CDB">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514CA79A" w14:textId="77777777" w:rsidR="00787CDB" w:rsidRPr="00244534" w:rsidRDefault="00787CDB" w:rsidP="00787CDB">
      <w:pPr>
        <w:spacing w:after="0" w:line="276" w:lineRule="auto"/>
        <w:ind w:left="0" w:right="0" w:firstLine="0"/>
        <w:rPr>
          <w:rFonts w:ascii="ITC Avant Garde" w:hAnsi="ITC Avant Garde"/>
          <w:b/>
          <w:color w:val="auto"/>
          <w:u w:val="single"/>
        </w:rPr>
      </w:pPr>
    </w:p>
    <w:p w14:paraId="04C692DE" w14:textId="111F277B" w:rsidR="000F43AD" w:rsidRPr="00244534" w:rsidRDefault="00EF2F62" w:rsidP="00787CDB">
      <w:pPr>
        <w:spacing w:after="0" w:line="276" w:lineRule="auto"/>
        <w:ind w:left="0" w:right="0" w:firstLine="0"/>
        <w:rPr>
          <w:rFonts w:ascii="ITC Avant Garde" w:hAnsi="ITC Avant Garde"/>
          <w:color w:val="auto"/>
        </w:rPr>
      </w:pPr>
      <w:r w:rsidRPr="00244534">
        <w:rPr>
          <w:rFonts w:ascii="ITC Avant Garde" w:hAnsi="ITC Avant Garde"/>
          <w:color w:val="auto"/>
        </w:rPr>
        <w:t>M</w:t>
      </w:r>
      <w:r w:rsidR="00AA4A2F" w:rsidRPr="00244534">
        <w:rPr>
          <w:rFonts w:ascii="ITC Avant Garde" w:hAnsi="ITC Avant Garde"/>
          <w:color w:val="auto"/>
        </w:rPr>
        <w:t>anifiesta</w:t>
      </w:r>
      <w:r w:rsidR="000F43AD" w:rsidRPr="00244534">
        <w:rPr>
          <w:rFonts w:ascii="ITC Avant Garde" w:hAnsi="ITC Avant Garde"/>
          <w:color w:val="auto"/>
        </w:rPr>
        <w:t xml:space="preserve"> que los preavisos de notificación y negociación deben ser iguales tanto para el AEP como para el concesionario bajo el principio de reciprocidad.</w:t>
      </w:r>
    </w:p>
    <w:p w14:paraId="50FD12E8" w14:textId="77777777" w:rsidR="000F43AD" w:rsidRPr="00244534" w:rsidRDefault="00F04FB4" w:rsidP="00787CDB">
      <w:pPr>
        <w:spacing w:after="0" w:line="276" w:lineRule="auto"/>
        <w:ind w:left="0" w:right="0" w:firstLine="0"/>
        <w:rPr>
          <w:rFonts w:ascii="ITC Avant Garde" w:hAnsi="ITC Avant Garde"/>
          <w:color w:val="auto"/>
        </w:rPr>
      </w:pPr>
      <w:r w:rsidRPr="00244534">
        <w:rPr>
          <w:rFonts w:ascii="ITC Avant Garde" w:hAnsi="ITC Avant Garde"/>
          <w:color w:val="auto"/>
        </w:rPr>
        <w:t xml:space="preserve"> </w:t>
      </w:r>
    </w:p>
    <w:p w14:paraId="17CB3A55"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A897F81" w14:textId="77777777" w:rsidR="00F04FB4" w:rsidRPr="00244534" w:rsidRDefault="00F04FB4" w:rsidP="00787CDB">
      <w:pPr>
        <w:spacing w:after="0" w:line="276" w:lineRule="auto"/>
        <w:ind w:left="0" w:right="0" w:firstLine="0"/>
        <w:rPr>
          <w:rFonts w:ascii="ITC Avant Garde" w:hAnsi="ITC Avant Garde"/>
          <w:color w:val="auto"/>
        </w:rPr>
      </w:pPr>
    </w:p>
    <w:p w14:paraId="37ED73A5" w14:textId="77777777" w:rsidR="00843E9C" w:rsidRPr="00244534" w:rsidRDefault="001413D0" w:rsidP="00843E9C">
      <w:pPr>
        <w:spacing w:line="240" w:lineRule="auto"/>
        <w:ind w:left="0" w:right="0" w:firstLine="0"/>
        <w:rPr>
          <w:rFonts w:ascii="ITC Avant Garde" w:hAnsi="ITC Avant Garde"/>
          <w:color w:val="5B9BD5" w:themeColor="accent1"/>
        </w:rPr>
      </w:pPr>
      <w:r w:rsidRPr="00244534">
        <w:rPr>
          <w:rFonts w:ascii="ITC Avant Garde" w:hAnsi="ITC Avant Garde"/>
          <w:color w:val="5B9BD5" w:themeColor="accent1"/>
        </w:rPr>
        <w:t>Al respecto</w:t>
      </w:r>
      <w:r w:rsidR="00EF2F62" w:rsidRPr="00244534">
        <w:rPr>
          <w:rFonts w:ascii="ITC Avant Garde" w:hAnsi="ITC Avant Garde"/>
          <w:color w:val="5B9BD5" w:themeColor="accent1"/>
        </w:rPr>
        <w:t>,</w:t>
      </w:r>
      <w:r w:rsidRPr="00244534">
        <w:rPr>
          <w:rFonts w:ascii="ITC Avant Garde" w:hAnsi="ITC Avant Garde"/>
          <w:color w:val="5B9BD5" w:themeColor="accent1"/>
        </w:rPr>
        <w:t xml:space="preserve"> se señala que el principio de reciprocidad al que hace referencia Grupo Televisa debe aplicarse sobre los mismos conceptos, es decir las notificaciones de terminación anticipada en los mismos plazos, por lo tanto, el plazo de notificación de terminación anticipada del concesionario </w:t>
      </w:r>
      <w:r w:rsidR="00D70A4D" w:rsidRPr="00244534">
        <w:rPr>
          <w:rFonts w:ascii="ITC Avant Garde" w:hAnsi="ITC Avant Garde"/>
          <w:color w:val="5B9BD5" w:themeColor="accent1"/>
        </w:rPr>
        <w:t>no es equivalente al plazo de negociación de las nuevas condiciones en caso de que la Resolución de Preponderancia quede insubsistente y/o se modifiquen las condiciones de prestación del servicio de usuario visitante. En este sentido, no se observa razón por la que plazos diferentes para realizar actividades diferentes deban ser homologados.</w:t>
      </w:r>
    </w:p>
    <w:p w14:paraId="2B7A5D7B" w14:textId="77777777" w:rsidR="00DF55DD" w:rsidRPr="00244534" w:rsidRDefault="00DF55DD" w:rsidP="005B36F9">
      <w:pPr>
        <w:spacing w:after="0" w:line="276" w:lineRule="auto"/>
        <w:ind w:right="0"/>
        <w:rPr>
          <w:rFonts w:ascii="ITC Avant Garde" w:hAnsi="ITC Avant Garde"/>
          <w:b/>
          <w:color w:val="auto"/>
          <w:u w:val="single"/>
        </w:rPr>
      </w:pPr>
    </w:p>
    <w:p w14:paraId="1060F7AD"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Cláusula Décima Quinta. Rescisión</w:t>
      </w:r>
    </w:p>
    <w:p w14:paraId="730A5FF7"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Apartado 15.6 – Falsedad de Declaraciones</w:t>
      </w:r>
    </w:p>
    <w:p w14:paraId="701088CE" w14:textId="77777777" w:rsidR="005B36F9" w:rsidRPr="00244534" w:rsidRDefault="005B36F9" w:rsidP="005B36F9">
      <w:pPr>
        <w:spacing w:after="0" w:line="276" w:lineRule="auto"/>
        <w:ind w:right="0"/>
        <w:rPr>
          <w:rFonts w:ascii="ITC Avant Garde" w:hAnsi="ITC Avant Garde"/>
          <w:b/>
          <w:color w:val="auto"/>
        </w:rPr>
      </w:pPr>
    </w:p>
    <w:p w14:paraId="455D2D43" w14:textId="77777777" w:rsidR="005B36F9" w:rsidRPr="00244534" w:rsidRDefault="005B36F9" w:rsidP="005B36F9">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229E48DF" w14:textId="77777777" w:rsidR="005B36F9" w:rsidRPr="00244534" w:rsidRDefault="005B36F9" w:rsidP="005B36F9">
      <w:pPr>
        <w:spacing w:after="0" w:line="276" w:lineRule="auto"/>
        <w:ind w:right="0"/>
        <w:rPr>
          <w:rFonts w:ascii="ITC Avant Garde" w:hAnsi="ITC Avant Garde"/>
          <w:b/>
          <w:color w:val="auto"/>
        </w:rPr>
      </w:pPr>
    </w:p>
    <w:p w14:paraId="2D5E4B36" w14:textId="733A6210" w:rsidR="00DF55DD" w:rsidRPr="00244534" w:rsidRDefault="00EF2F62" w:rsidP="005B36F9">
      <w:pPr>
        <w:spacing w:after="0" w:line="276" w:lineRule="auto"/>
        <w:ind w:right="0"/>
        <w:rPr>
          <w:rFonts w:ascii="ITC Avant Garde" w:hAnsi="ITC Avant Garde"/>
          <w:color w:val="auto"/>
        </w:rPr>
      </w:pPr>
      <w:r w:rsidRPr="00244534">
        <w:rPr>
          <w:rFonts w:ascii="ITC Avant Garde" w:hAnsi="ITC Avant Garde"/>
          <w:color w:val="auto"/>
        </w:rPr>
        <w:t>R</w:t>
      </w:r>
      <w:r w:rsidR="00DF55DD" w:rsidRPr="00244534">
        <w:rPr>
          <w:rFonts w:ascii="ITC Avant Garde" w:hAnsi="ITC Avant Garde"/>
          <w:color w:val="auto"/>
        </w:rPr>
        <w:t>ecomienda especificar qué tipo de información puede ser causa de recisión del contrato en caso de resultar falsa, ya que existen datos que el concesionario no puede facilitar al AEP con total precisi</w:t>
      </w:r>
      <w:r w:rsidR="00F315EA" w:rsidRPr="00244534">
        <w:rPr>
          <w:rFonts w:ascii="ITC Avant Garde" w:hAnsi="ITC Avant Garde"/>
          <w:color w:val="auto"/>
        </w:rPr>
        <w:t>ón, tal</w:t>
      </w:r>
      <w:r w:rsidR="00DF55DD" w:rsidRPr="00244534">
        <w:rPr>
          <w:rFonts w:ascii="ITC Avant Garde" w:hAnsi="ITC Avant Garde"/>
          <w:color w:val="auto"/>
        </w:rPr>
        <w:t xml:space="preserve"> como </w:t>
      </w:r>
      <w:r w:rsidR="00F315EA" w:rsidRPr="00244534">
        <w:rPr>
          <w:rFonts w:ascii="ITC Avant Garde" w:hAnsi="ITC Avant Garde"/>
          <w:color w:val="auto"/>
        </w:rPr>
        <w:t>la previsión</w:t>
      </w:r>
      <w:r w:rsidR="00DF55DD" w:rsidRPr="00244534">
        <w:rPr>
          <w:rFonts w:ascii="ITC Avant Garde" w:hAnsi="ITC Avant Garde"/>
          <w:color w:val="auto"/>
        </w:rPr>
        <w:t xml:space="preserve"> de</w:t>
      </w:r>
      <w:r w:rsidR="00217892" w:rsidRPr="00244534">
        <w:rPr>
          <w:rFonts w:ascii="ITC Avant Garde" w:hAnsi="ITC Avant Garde"/>
          <w:color w:val="auto"/>
        </w:rPr>
        <w:t>l</w:t>
      </w:r>
      <w:r w:rsidR="00DF55DD" w:rsidRPr="00244534">
        <w:rPr>
          <w:rFonts w:ascii="ITC Avant Garde" w:hAnsi="ITC Avant Garde"/>
          <w:color w:val="auto"/>
        </w:rPr>
        <w:t xml:space="preserve"> tráfico y </w:t>
      </w:r>
      <w:r w:rsidR="00F315EA" w:rsidRPr="00244534">
        <w:rPr>
          <w:rFonts w:ascii="ITC Avant Garde" w:hAnsi="ITC Avant Garde"/>
          <w:color w:val="auto"/>
        </w:rPr>
        <w:t xml:space="preserve">el </w:t>
      </w:r>
      <w:r w:rsidR="00DF55DD" w:rsidRPr="00244534">
        <w:rPr>
          <w:rFonts w:ascii="ITC Avant Garde" w:hAnsi="ITC Avant Garde"/>
          <w:color w:val="auto"/>
        </w:rPr>
        <w:t>número de usuarios finales en las zonas que cuenten s</w:t>
      </w:r>
      <w:r w:rsidR="00217892" w:rsidRPr="00244534">
        <w:rPr>
          <w:rFonts w:ascii="ITC Avant Garde" w:hAnsi="ITC Avant Garde"/>
          <w:color w:val="auto"/>
        </w:rPr>
        <w:t xml:space="preserve">olamente con cobertura del AEP. </w:t>
      </w:r>
    </w:p>
    <w:p w14:paraId="157812F0" w14:textId="77777777" w:rsidR="00DF55DD" w:rsidRPr="00244534" w:rsidRDefault="00DF55DD" w:rsidP="005B36F9">
      <w:pPr>
        <w:spacing w:after="0" w:line="276" w:lineRule="auto"/>
        <w:ind w:right="0"/>
        <w:rPr>
          <w:rFonts w:ascii="ITC Avant Garde" w:hAnsi="ITC Avant Garde"/>
          <w:color w:val="auto"/>
        </w:rPr>
      </w:pPr>
    </w:p>
    <w:p w14:paraId="3A7B3D2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4E500D1" w14:textId="77777777" w:rsidR="00F04FB4" w:rsidRPr="00244534" w:rsidRDefault="00F04FB4" w:rsidP="005B36F9">
      <w:pPr>
        <w:spacing w:after="0" w:line="276" w:lineRule="auto"/>
        <w:ind w:right="0"/>
        <w:rPr>
          <w:rFonts w:ascii="ITC Avant Garde" w:hAnsi="ITC Avant Garde"/>
          <w:color w:val="auto"/>
        </w:rPr>
      </w:pPr>
    </w:p>
    <w:p w14:paraId="005D2600" w14:textId="77777777" w:rsidR="007E1922" w:rsidRPr="00244534" w:rsidRDefault="007E1922" w:rsidP="007E1922">
      <w:pPr>
        <w:spacing w:line="240"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En la Oferta se especifica que la falsedad de declaraciones del concesionario solicitante que hacen parte del Convenio, así como la entrega de información por parte del concesionario, previa o posterior a la relación con la celebración del mismo, derivará en la Rescisión del Convenio.  </w:t>
      </w:r>
    </w:p>
    <w:p w14:paraId="108779D6" w14:textId="77777777" w:rsidR="007D7377" w:rsidRPr="00244534" w:rsidRDefault="007D7377" w:rsidP="005B36F9">
      <w:pPr>
        <w:spacing w:after="0" w:line="276" w:lineRule="auto"/>
        <w:ind w:left="0" w:right="0" w:firstLine="0"/>
        <w:rPr>
          <w:rFonts w:ascii="ITC Avant Garde" w:hAnsi="ITC Avant Garde"/>
          <w:b/>
          <w:color w:val="auto"/>
        </w:rPr>
      </w:pPr>
    </w:p>
    <w:p w14:paraId="3859C430" w14:textId="77777777" w:rsidR="00787CDB" w:rsidRPr="00244534" w:rsidRDefault="00787CDB" w:rsidP="00787CDB">
      <w:pPr>
        <w:spacing w:after="0" w:line="276" w:lineRule="auto"/>
        <w:ind w:left="0" w:right="0" w:firstLine="0"/>
        <w:rPr>
          <w:rFonts w:ascii="ITC Avant Garde" w:hAnsi="ITC Avant Garde"/>
          <w:b/>
          <w:color w:val="auto"/>
        </w:rPr>
      </w:pPr>
      <w:r w:rsidRPr="00244534">
        <w:rPr>
          <w:rFonts w:ascii="ITC Avant Garde" w:hAnsi="ITC Avant Garde"/>
          <w:b/>
          <w:color w:val="auto"/>
          <w:u w:val="single"/>
        </w:rPr>
        <w:t>Cláusula Décima Octava - Modificaciones</w:t>
      </w:r>
    </w:p>
    <w:p w14:paraId="66C8252E" w14:textId="77777777" w:rsidR="00787CDB" w:rsidRPr="00244534" w:rsidRDefault="00787CDB" w:rsidP="00787CDB">
      <w:pPr>
        <w:spacing w:after="0" w:line="276" w:lineRule="auto"/>
        <w:ind w:left="0" w:right="0" w:firstLine="0"/>
        <w:rPr>
          <w:rFonts w:ascii="ITC Avant Garde" w:hAnsi="ITC Avant Garde"/>
          <w:color w:val="auto"/>
        </w:rPr>
      </w:pPr>
    </w:p>
    <w:p w14:paraId="27474D86" w14:textId="77777777" w:rsidR="00787CDB" w:rsidRPr="00244534" w:rsidRDefault="00787CDB" w:rsidP="00787CDB">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7575D229" w14:textId="77777777" w:rsidR="00787CDB" w:rsidRPr="00244534" w:rsidRDefault="00787CDB" w:rsidP="00787CDB">
      <w:pPr>
        <w:spacing w:after="0" w:line="276" w:lineRule="auto"/>
        <w:ind w:left="0" w:right="0" w:firstLine="0"/>
        <w:rPr>
          <w:rFonts w:ascii="ITC Avant Garde" w:hAnsi="ITC Avant Garde"/>
          <w:color w:val="auto"/>
        </w:rPr>
      </w:pPr>
      <w:r w:rsidRPr="00244534">
        <w:rPr>
          <w:rFonts w:ascii="ITC Avant Garde" w:hAnsi="ITC Avant Garde"/>
          <w:color w:val="auto"/>
        </w:rPr>
        <w:t xml:space="preserve"> </w:t>
      </w:r>
    </w:p>
    <w:p w14:paraId="440C6FD9" w14:textId="3F920DD8" w:rsidR="00787CDB" w:rsidRPr="00244534" w:rsidRDefault="000C738F" w:rsidP="00787CDB">
      <w:pPr>
        <w:spacing w:after="0" w:line="276" w:lineRule="auto"/>
        <w:ind w:left="0" w:right="0" w:firstLine="0"/>
        <w:rPr>
          <w:rFonts w:ascii="ITC Avant Garde" w:hAnsi="ITC Avant Garde"/>
          <w:color w:val="auto"/>
        </w:rPr>
      </w:pPr>
      <w:r w:rsidRPr="00244534">
        <w:rPr>
          <w:rFonts w:ascii="ITC Avant Garde" w:hAnsi="ITC Avant Garde"/>
          <w:color w:val="auto"/>
        </w:rPr>
        <w:t>S</w:t>
      </w:r>
      <w:r w:rsidR="00787CDB" w:rsidRPr="00244534">
        <w:rPr>
          <w:rFonts w:ascii="ITC Avant Garde" w:hAnsi="ITC Avant Garde"/>
          <w:color w:val="auto"/>
        </w:rPr>
        <w:t>ugiere eliminar</w:t>
      </w:r>
      <w:r w:rsidR="00324C88" w:rsidRPr="00244534">
        <w:rPr>
          <w:rFonts w:ascii="ITC Avant Garde" w:hAnsi="ITC Avant Garde"/>
          <w:color w:val="auto"/>
        </w:rPr>
        <w:t xml:space="preserve"> cláusula</w:t>
      </w:r>
      <w:r w:rsidRPr="00244534">
        <w:rPr>
          <w:rFonts w:ascii="ITC Avant Garde" w:hAnsi="ITC Avant Garde"/>
          <w:color w:val="auto"/>
        </w:rPr>
        <w:t xml:space="preserve"> Décima Octava,</w:t>
      </w:r>
      <w:r w:rsidR="00324C88" w:rsidRPr="00244534">
        <w:rPr>
          <w:rFonts w:ascii="ITC Avant Garde" w:hAnsi="ITC Avant Garde"/>
          <w:color w:val="auto"/>
        </w:rPr>
        <w:t xml:space="preserve"> ya</w:t>
      </w:r>
      <w:r w:rsidR="00787CDB" w:rsidRPr="00244534">
        <w:rPr>
          <w:rFonts w:ascii="ITC Avant Garde" w:hAnsi="ITC Avant Garde"/>
          <w:color w:val="auto"/>
        </w:rPr>
        <w:t xml:space="preserve"> que cualquier tipo de modificación a los términos y condiciones que rigen la prestación</w:t>
      </w:r>
      <w:r w:rsidR="00324C88" w:rsidRPr="00244534">
        <w:rPr>
          <w:rFonts w:ascii="ITC Avant Garde" w:hAnsi="ITC Avant Garde"/>
          <w:color w:val="auto"/>
        </w:rPr>
        <w:t xml:space="preserve"> de un servicio regulado debe</w:t>
      </w:r>
      <w:r w:rsidR="00787CDB" w:rsidRPr="00244534">
        <w:rPr>
          <w:rFonts w:ascii="ITC Avant Garde" w:hAnsi="ITC Avant Garde"/>
          <w:color w:val="auto"/>
        </w:rPr>
        <w:t xml:space="preserve"> reflejarse en l</w:t>
      </w:r>
      <w:r w:rsidR="00324C88" w:rsidRPr="00244534">
        <w:rPr>
          <w:rFonts w:ascii="ITC Avant Garde" w:hAnsi="ITC Avant Garde"/>
          <w:color w:val="auto"/>
        </w:rPr>
        <w:t>a Oferta de Referencia y debe</w:t>
      </w:r>
      <w:r w:rsidR="00787CDB" w:rsidRPr="00244534">
        <w:rPr>
          <w:rFonts w:ascii="ITC Avant Garde" w:hAnsi="ITC Avant Garde"/>
          <w:color w:val="auto"/>
        </w:rPr>
        <w:t xml:space="preserve"> estar intermediado por la autoridad competente.</w:t>
      </w:r>
    </w:p>
    <w:p w14:paraId="2C2BA289" w14:textId="77777777" w:rsidR="00787CDB" w:rsidRPr="00244534" w:rsidRDefault="00787CDB" w:rsidP="00787CDB">
      <w:pPr>
        <w:spacing w:after="0" w:line="276" w:lineRule="auto"/>
        <w:ind w:left="0" w:right="0" w:firstLine="0"/>
        <w:rPr>
          <w:rFonts w:ascii="ITC Avant Garde" w:hAnsi="ITC Avant Garde"/>
          <w:color w:val="auto"/>
        </w:rPr>
      </w:pPr>
    </w:p>
    <w:p w14:paraId="21073F48"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2E137B02" w14:textId="77777777" w:rsidR="00F04FB4" w:rsidRPr="00244534" w:rsidRDefault="00F04FB4" w:rsidP="00787CDB">
      <w:pPr>
        <w:spacing w:after="0" w:line="276" w:lineRule="auto"/>
        <w:ind w:left="0" w:right="0" w:firstLine="0"/>
        <w:rPr>
          <w:rFonts w:ascii="ITC Avant Garde" w:hAnsi="ITC Avant Garde"/>
          <w:color w:val="auto"/>
        </w:rPr>
      </w:pPr>
    </w:p>
    <w:p w14:paraId="3C62CB00" w14:textId="77777777" w:rsidR="00207956" w:rsidRPr="00244534" w:rsidRDefault="00207956" w:rsidP="00787CDB">
      <w:pPr>
        <w:pStyle w:val="IFT1"/>
        <w:tabs>
          <w:tab w:val="left" w:pos="426"/>
        </w:tabs>
        <w:spacing w:after="0"/>
        <w:rPr>
          <w:color w:val="5B9BD5" w:themeColor="accent1"/>
        </w:rPr>
      </w:pPr>
      <w:r w:rsidRPr="00244534">
        <w:rPr>
          <w:color w:val="5B9BD5" w:themeColor="accent1"/>
        </w:rPr>
        <w:t>La cláusula se mantiene en sus términos ya que es congruente con la Medida Sexagésima de las Medidas Móviles, la cual establece que el AEP y el concesionario solicitante podrán negociar nuevas tarifas independientemente de las establecidas en la Oferta de Referencia:</w:t>
      </w:r>
    </w:p>
    <w:p w14:paraId="35129F95" w14:textId="77777777" w:rsidR="00207956" w:rsidRPr="00244534" w:rsidRDefault="00207956" w:rsidP="00787CDB">
      <w:pPr>
        <w:pStyle w:val="IFT1"/>
        <w:tabs>
          <w:tab w:val="left" w:pos="426"/>
        </w:tabs>
        <w:spacing w:after="0"/>
        <w:rPr>
          <w:color w:val="5B9BD5" w:themeColor="accent1"/>
        </w:rPr>
      </w:pPr>
    </w:p>
    <w:p w14:paraId="2680F624" w14:textId="77777777" w:rsidR="00207956" w:rsidRPr="00244534" w:rsidRDefault="00207956" w:rsidP="00207956">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“SEXAGÉSIMA.- El Agente Económico Preponderante incluirá las tarifas aplicables al Servicio Mayorista de Usuario Visitante, en la Oferta de Referencia aprobada por el Instituto. </w:t>
      </w:r>
    </w:p>
    <w:p w14:paraId="3C6F82D8" w14:textId="77777777" w:rsidR="00207956" w:rsidRPr="00244534" w:rsidRDefault="00207956" w:rsidP="00207956">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1CFB620D" w14:textId="77777777" w:rsidR="00787CDB" w:rsidRPr="00244534" w:rsidRDefault="00207956" w:rsidP="00207956">
      <w:pPr>
        <w:pStyle w:val="Prrafodelista"/>
        <w:spacing w:after="0" w:line="276" w:lineRule="auto"/>
        <w:ind w:right="615" w:firstLine="0"/>
        <w:rPr>
          <w:rFonts w:ascii="ITC Avant Garde" w:eastAsia="Calibri" w:hAnsi="ITC Avant Garde" w:cs="Arial"/>
          <w:i/>
          <w:color w:val="5B9BD5" w:themeColor="accent1"/>
          <w:sz w:val="18"/>
          <w:szCs w:val="18"/>
          <w:u w:val="single"/>
          <w:lang w:eastAsia="en-US"/>
        </w:rPr>
      </w:pPr>
      <w:r w:rsidRPr="00244534">
        <w:rPr>
          <w:rFonts w:ascii="ITC Avant Garde" w:eastAsia="Calibri" w:hAnsi="ITC Avant Garde" w:cs="Arial"/>
          <w:i/>
          <w:color w:val="5B9BD5" w:themeColor="accent1"/>
          <w:sz w:val="18"/>
          <w:szCs w:val="18"/>
          <w:u w:val="single"/>
          <w:lang w:eastAsia="en-US"/>
        </w:rPr>
        <w:t xml:space="preserve">Independientemente de las tarifas establecidas en la Oferta de Referencia, el Agente Económico Preponderante y el Concesionario Solicitante podrán negociar entre sí nuevas tarifas. </w:t>
      </w:r>
    </w:p>
    <w:p w14:paraId="72ED4E6F" w14:textId="77777777" w:rsidR="00207956" w:rsidRPr="00244534" w:rsidRDefault="00207956" w:rsidP="00207956">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p>
    <w:p w14:paraId="14E6DDA1" w14:textId="77777777" w:rsidR="00207956" w:rsidRPr="00244534" w:rsidRDefault="00207956" w:rsidP="00207956">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77D13324" w14:textId="77777777" w:rsidR="005B36F9" w:rsidRPr="00244534" w:rsidRDefault="005B36F9" w:rsidP="005B36F9">
      <w:pPr>
        <w:spacing w:after="0" w:line="276" w:lineRule="auto"/>
        <w:ind w:left="0" w:right="0" w:firstLine="0"/>
        <w:rPr>
          <w:rFonts w:ascii="ITC Avant Garde" w:hAnsi="ITC Avant Garde"/>
          <w:color w:val="auto"/>
        </w:rPr>
      </w:pPr>
    </w:p>
    <w:p w14:paraId="2FA3DB20" w14:textId="77777777" w:rsidR="005B36F9" w:rsidRPr="00244534" w:rsidRDefault="008879CF"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Cláusula Vigésima Primera</w:t>
      </w:r>
      <w:r w:rsidR="005B36F9" w:rsidRPr="00244534">
        <w:rPr>
          <w:rFonts w:ascii="ITC Avant Garde" w:hAnsi="ITC Avant Garde"/>
          <w:b/>
          <w:color w:val="auto"/>
          <w:u w:val="single"/>
        </w:rPr>
        <w:t xml:space="preserve"> – Diversos</w:t>
      </w:r>
    </w:p>
    <w:p w14:paraId="3C1A1598"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Apartado 21. 11 Datos Personales</w:t>
      </w:r>
    </w:p>
    <w:p w14:paraId="4FBB402F" w14:textId="77777777" w:rsidR="005B36F9" w:rsidRPr="00244534" w:rsidRDefault="005B36F9" w:rsidP="005B36F9">
      <w:pPr>
        <w:spacing w:after="0" w:line="276" w:lineRule="auto"/>
        <w:ind w:left="0" w:right="0" w:firstLine="0"/>
        <w:rPr>
          <w:rFonts w:ascii="ITC Avant Garde" w:hAnsi="ITC Avant Garde"/>
          <w:b/>
          <w:color w:val="auto"/>
          <w:u w:val="single"/>
        </w:rPr>
      </w:pPr>
    </w:p>
    <w:p w14:paraId="5D9A2E5A" w14:textId="77777777" w:rsidR="005B36F9" w:rsidRPr="00244534" w:rsidRDefault="005B36F9" w:rsidP="005B36F9">
      <w:pPr>
        <w:spacing w:after="0" w:line="276" w:lineRule="auto"/>
        <w:ind w:right="0"/>
        <w:rPr>
          <w:rFonts w:ascii="ITC Avant Garde" w:hAnsi="ITC Avant Garde"/>
          <w:b/>
          <w:color w:val="auto"/>
        </w:rPr>
      </w:pPr>
      <w:r w:rsidRPr="00244534">
        <w:rPr>
          <w:rFonts w:ascii="ITC Avant Garde" w:hAnsi="ITC Avant Garde"/>
          <w:b/>
          <w:color w:val="auto"/>
        </w:rPr>
        <w:t>Grupo Televisa:</w:t>
      </w:r>
    </w:p>
    <w:p w14:paraId="7EF12662" w14:textId="77777777" w:rsidR="005B36F9" w:rsidRPr="00244534" w:rsidRDefault="005B36F9" w:rsidP="005B36F9">
      <w:pPr>
        <w:spacing w:after="0" w:line="276" w:lineRule="auto"/>
        <w:ind w:right="0"/>
        <w:rPr>
          <w:rFonts w:ascii="ITC Avant Garde" w:hAnsi="ITC Avant Garde"/>
          <w:b/>
          <w:color w:val="auto"/>
        </w:rPr>
      </w:pPr>
    </w:p>
    <w:p w14:paraId="045A68D4" w14:textId="209CBB10" w:rsidR="008879CF" w:rsidRPr="00244534" w:rsidRDefault="000C738F" w:rsidP="005B36F9">
      <w:pPr>
        <w:spacing w:after="0" w:line="276" w:lineRule="auto"/>
        <w:ind w:right="0"/>
        <w:rPr>
          <w:rFonts w:ascii="ITC Avant Garde" w:hAnsi="ITC Avant Garde"/>
          <w:color w:val="auto"/>
        </w:rPr>
      </w:pPr>
      <w:r w:rsidRPr="00244534">
        <w:rPr>
          <w:rFonts w:ascii="ITC Avant Garde" w:hAnsi="ITC Avant Garde"/>
          <w:color w:val="auto"/>
        </w:rPr>
        <w:t>S</w:t>
      </w:r>
      <w:r w:rsidR="008879CF" w:rsidRPr="00244534">
        <w:rPr>
          <w:rFonts w:ascii="ITC Avant Garde" w:hAnsi="ITC Avant Garde"/>
          <w:color w:val="auto"/>
        </w:rPr>
        <w:t>olicita eliminar e</w:t>
      </w:r>
      <w:r w:rsidRPr="00244534">
        <w:rPr>
          <w:rFonts w:ascii="ITC Avant Garde" w:hAnsi="ITC Avant Garde"/>
          <w:color w:val="auto"/>
        </w:rPr>
        <w:t>l</w:t>
      </w:r>
      <w:r w:rsidR="008879CF" w:rsidRPr="00244534">
        <w:rPr>
          <w:rFonts w:ascii="ITC Avant Garde" w:hAnsi="ITC Avant Garde"/>
          <w:color w:val="auto"/>
        </w:rPr>
        <w:t xml:space="preserve"> numeral 21.11</w:t>
      </w:r>
      <w:r w:rsidRPr="00244534">
        <w:rPr>
          <w:rFonts w:ascii="ITC Avant Garde" w:hAnsi="ITC Avant Garde"/>
          <w:color w:val="auto"/>
        </w:rPr>
        <w:t>.,</w:t>
      </w:r>
      <w:r w:rsidR="008879CF" w:rsidRPr="00244534">
        <w:rPr>
          <w:rFonts w:ascii="ITC Avant Garde" w:hAnsi="ITC Avant Garde"/>
          <w:color w:val="auto"/>
        </w:rPr>
        <w:t xml:space="preserve"> ya que impone obligaciones desproporcionadas en perjuicio de la correcta operación de la Oferta de Referencia.</w:t>
      </w:r>
    </w:p>
    <w:p w14:paraId="1B743DCC" w14:textId="77777777" w:rsidR="00787CDB" w:rsidRPr="00244534" w:rsidRDefault="00787CDB" w:rsidP="00787CDB">
      <w:pPr>
        <w:spacing w:line="276" w:lineRule="auto"/>
        <w:rPr>
          <w:rFonts w:ascii="ITC Avant Garde" w:hAnsi="ITC Avant Garde"/>
          <w:color w:val="5B9BD5" w:themeColor="accent1"/>
        </w:rPr>
      </w:pPr>
    </w:p>
    <w:p w14:paraId="5573781A"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49D351BD" w14:textId="77777777" w:rsidR="00F04FB4" w:rsidRPr="00244534" w:rsidRDefault="00F04FB4" w:rsidP="00787CDB">
      <w:pPr>
        <w:spacing w:line="276" w:lineRule="auto"/>
        <w:rPr>
          <w:rFonts w:ascii="ITC Avant Garde" w:hAnsi="ITC Avant Garde"/>
          <w:color w:val="5B9BD5" w:themeColor="accent1"/>
        </w:rPr>
      </w:pPr>
    </w:p>
    <w:p w14:paraId="4AF3A6C3" w14:textId="77777777" w:rsidR="00836212" w:rsidRPr="00244534" w:rsidRDefault="00836212" w:rsidP="00836212">
      <w:pPr>
        <w:pStyle w:val="IFT1"/>
        <w:tabs>
          <w:tab w:val="left" w:pos="426"/>
        </w:tabs>
        <w:spacing w:after="0"/>
        <w:rPr>
          <w:color w:val="5B9BD5" w:themeColor="accent1"/>
        </w:rPr>
      </w:pPr>
      <w:r w:rsidRPr="00244534">
        <w:rPr>
          <w:color w:val="5B9BD5" w:themeColor="accent1"/>
        </w:rPr>
        <w:t>El numeral 21.11</w:t>
      </w:r>
      <w:r w:rsidR="00787CDB" w:rsidRPr="00244534">
        <w:rPr>
          <w:color w:val="5B9BD5" w:themeColor="accent1"/>
        </w:rPr>
        <w:t xml:space="preserve"> se mantiene en</w:t>
      </w:r>
      <w:r w:rsidRPr="00244534">
        <w:rPr>
          <w:color w:val="5B9BD5" w:themeColor="accent1"/>
        </w:rPr>
        <w:t xml:space="preserve"> sus términos</w:t>
      </w:r>
      <w:r w:rsidR="000C738F" w:rsidRPr="00244534">
        <w:rPr>
          <w:color w:val="5B9BD5" w:themeColor="accent1"/>
        </w:rPr>
        <w:t>,</w:t>
      </w:r>
      <w:r w:rsidRPr="00244534">
        <w:rPr>
          <w:color w:val="5B9BD5" w:themeColor="accent1"/>
        </w:rPr>
        <w:t xml:space="preserve"> ya</w:t>
      </w:r>
      <w:r w:rsidR="00787CDB" w:rsidRPr="00244534">
        <w:rPr>
          <w:color w:val="5B9BD5" w:themeColor="accent1"/>
        </w:rPr>
        <w:t xml:space="preserve"> que la protección de los datos personales está consagrada en el artículo 16 de la Constitución, y es obligación de quienes traten datos personales de particulares cumplir con los ordenamientos jurídicos aplicables en la materia. </w:t>
      </w:r>
    </w:p>
    <w:p w14:paraId="00515E49" w14:textId="77777777" w:rsidR="007E1922" w:rsidRPr="00244534" w:rsidRDefault="007E1922" w:rsidP="00836212">
      <w:pPr>
        <w:pStyle w:val="IFT1"/>
        <w:tabs>
          <w:tab w:val="left" w:pos="426"/>
        </w:tabs>
        <w:spacing w:after="0"/>
        <w:rPr>
          <w:color w:val="5B9BD5" w:themeColor="accent1"/>
        </w:rPr>
      </w:pPr>
    </w:p>
    <w:p w14:paraId="4C9AC905" w14:textId="77777777" w:rsidR="00787CDB" w:rsidRPr="00244534" w:rsidRDefault="00836212" w:rsidP="00836212">
      <w:pPr>
        <w:pStyle w:val="IFT1"/>
        <w:tabs>
          <w:tab w:val="left" w:pos="426"/>
        </w:tabs>
        <w:spacing w:after="0"/>
        <w:rPr>
          <w:color w:val="5B9BD5" w:themeColor="accent1"/>
        </w:rPr>
      </w:pPr>
      <w:r w:rsidRPr="00244534">
        <w:rPr>
          <w:color w:val="5B9BD5" w:themeColor="accent1"/>
        </w:rPr>
        <w:t xml:space="preserve">Además, </w:t>
      </w:r>
      <w:r w:rsidR="00787CDB" w:rsidRPr="00244534">
        <w:rPr>
          <w:color w:val="5B9BD5" w:themeColor="accent1"/>
        </w:rPr>
        <w:t>los términos y condiciones de es</w:t>
      </w:r>
      <w:r w:rsidR="00874CBE" w:rsidRPr="00244534">
        <w:rPr>
          <w:color w:val="5B9BD5" w:themeColor="accent1"/>
        </w:rPr>
        <w:t>te numeral</w:t>
      </w:r>
      <w:r w:rsidR="00787CDB" w:rsidRPr="00244534">
        <w:rPr>
          <w:color w:val="5B9BD5" w:themeColor="accent1"/>
        </w:rPr>
        <w:t xml:space="preserve"> no contravienen las Medidas Móviles</w:t>
      </w:r>
      <w:r w:rsidR="000C738F" w:rsidRPr="00244534">
        <w:rPr>
          <w:color w:val="5B9BD5" w:themeColor="accent1"/>
        </w:rPr>
        <w:t>,</w:t>
      </w:r>
      <w:r w:rsidR="00787CDB" w:rsidRPr="00244534">
        <w:rPr>
          <w:color w:val="5B9BD5" w:themeColor="accent1"/>
        </w:rPr>
        <w:t xml:space="preserve"> ni la legislación aplicable en la materia.</w:t>
      </w:r>
    </w:p>
    <w:p w14:paraId="691EAEFD" w14:textId="77777777" w:rsidR="005B36F9" w:rsidRPr="00244534" w:rsidRDefault="005B36F9" w:rsidP="005B36F9">
      <w:pPr>
        <w:spacing w:after="0" w:line="276" w:lineRule="auto"/>
        <w:ind w:left="0" w:right="0" w:firstLine="0"/>
        <w:rPr>
          <w:rFonts w:ascii="ITC Avant Garde" w:hAnsi="ITC Avant Garde"/>
          <w:b/>
          <w:color w:val="auto"/>
        </w:rPr>
      </w:pPr>
    </w:p>
    <w:p w14:paraId="592C16E5" w14:textId="77777777" w:rsidR="005B36F9" w:rsidRPr="00244534" w:rsidRDefault="005B36F9" w:rsidP="005B36F9">
      <w:pPr>
        <w:spacing w:after="0" w:line="276" w:lineRule="auto"/>
        <w:ind w:left="0" w:right="0" w:firstLine="0"/>
        <w:rPr>
          <w:rFonts w:ascii="ITC Avant Garde" w:hAnsi="ITC Avant Garde"/>
          <w:b/>
          <w:color w:val="auto"/>
          <w:u w:val="single"/>
        </w:rPr>
      </w:pPr>
      <w:r w:rsidRPr="00244534">
        <w:rPr>
          <w:rFonts w:ascii="ITC Avant Garde" w:hAnsi="ITC Avant Garde"/>
          <w:b/>
          <w:color w:val="auto"/>
          <w:u w:val="single"/>
        </w:rPr>
        <w:t xml:space="preserve">Apartado 21. 12 - Ley Anticorrupción </w:t>
      </w:r>
    </w:p>
    <w:p w14:paraId="0B773A1E" w14:textId="77777777" w:rsidR="005B36F9" w:rsidRPr="00244534" w:rsidRDefault="005B36F9" w:rsidP="005B36F9">
      <w:pPr>
        <w:spacing w:after="0" w:line="276" w:lineRule="auto"/>
        <w:ind w:left="0" w:right="0" w:firstLine="0"/>
        <w:rPr>
          <w:rFonts w:ascii="ITC Avant Garde" w:hAnsi="ITC Avant Garde"/>
          <w:b/>
          <w:color w:val="auto"/>
        </w:rPr>
      </w:pPr>
    </w:p>
    <w:p w14:paraId="77FD4C17"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Grupo Televisa:</w:t>
      </w:r>
    </w:p>
    <w:p w14:paraId="4B5CFB3A" w14:textId="77777777" w:rsidR="005B36F9" w:rsidRPr="00244534" w:rsidRDefault="005B36F9" w:rsidP="005B36F9">
      <w:pPr>
        <w:spacing w:after="0" w:line="276" w:lineRule="auto"/>
        <w:ind w:left="0" w:right="0" w:firstLine="0"/>
        <w:rPr>
          <w:rFonts w:ascii="ITC Avant Garde" w:hAnsi="ITC Avant Garde"/>
          <w:b/>
          <w:color w:val="auto"/>
        </w:rPr>
      </w:pPr>
    </w:p>
    <w:p w14:paraId="491EB710" w14:textId="0783E13A" w:rsidR="00271B7F" w:rsidRPr="00244534" w:rsidRDefault="000C738F" w:rsidP="00271B7F">
      <w:pPr>
        <w:spacing w:after="0" w:line="276" w:lineRule="auto"/>
        <w:ind w:right="0"/>
        <w:rPr>
          <w:rFonts w:ascii="ITC Avant Garde" w:hAnsi="ITC Avant Garde"/>
          <w:color w:val="auto"/>
        </w:rPr>
      </w:pPr>
      <w:r w:rsidRPr="00244534">
        <w:rPr>
          <w:rFonts w:ascii="ITC Avant Garde" w:hAnsi="ITC Avant Garde"/>
          <w:color w:val="auto"/>
        </w:rPr>
        <w:t>S</w:t>
      </w:r>
      <w:r w:rsidR="00271B7F" w:rsidRPr="00244534">
        <w:rPr>
          <w:rFonts w:ascii="ITC Avant Garde" w:hAnsi="ITC Avant Garde"/>
          <w:color w:val="auto"/>
        </w:rPr>
        <w:t>olicita eliminar e</w:t>
      </w:r>
      <w:r w:rsidRPr="00244534">
        <w:rPr>
          <w:rFonts w:ascii="ITC Avant Garde" w:hAnsi="ITC Avant Garde"/>
          <w:color w:val="auto"/>
        </w:rPr>
        <w:t>l</w:t>
      </w:r>
      <w:r w:rsidR="00271B7F" w:rsidRPr="00244534">
        <w:rPr>
          <w:rFonts w:ascii="ITC Avant Garde" w:hAnsi="ITC Avant Garde"/>
          <w:color w:val="auto"/>
        </w:rPr>
        <w:t xml:space="preserve"> numeral 21.12</w:t>
      </w:r>
      <w:r w:rsidRPr="00244534">
        <w:rPr>
          <w:rFonts w:ascii="ITC Avant Garde" w:hAnsi="ITC Avant Garde"/>
          <w:color w:val="auto"/>
        </w:rPr>
        <w:t>.,</w:t>
      </w:r>
      <w:r w:rsidR="00271B7F" w:rsidRPr="00244534">
        <w:rPr>
          <w:rFonts w:ascii="ITC Avant Garde" w:hAnsi="ITC Avant Garde"/>
          <w:color w:val="auto"/>
        </w:rPr>
        <w:t xml:space="preserve"> ya que impone obligaciones desproporcionadas en perjuicio de la correcta operación de la Oferta de Referencia.</w:t>
      </w:r>
    </w:p>
    <w:p w14:paraId="3A61B63B" w14:textId="77777777" w:rsidR="005B36F9" w:rsidRPr="00244534" w:rsidRDefault="005B36F9" w:rsidP="005B36F9">
      <w:pPr>
        <w:spacing w:after="0" w:line="276" w:lineRule="auto"/>
        <w:ind w:left="0" w:right="0" w:firstLine="0"/>
        <w:rPr>
          <w:rFonts w:ascii="ITC Avant Garde" w:hAnsi="ITC Avant Garde"/>
          <w:color w:val="auto"/>
        </w:rPr>
      </w:pPr>
    </w:p>
    <w:p w14:paraId="5198D1F8"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6EBBFD71" w14:textId="77777777" w:rsidR="00F04FB4" w:rsidRPr="00244534" w:rsidRDefault="00F04FB4" w:rsidP="005B36F9">
      <w:pPr>
        <w:spacing w:after="0" w:line="276" w:lineRule="auto"/>
        <w:ind w:left="0" w:right="0" w:firstLine="0"/>
        <w:rPr>
          <w:rFonts w:ascii="ITC Avant Garde" w:hAnsi="ITC Avant Garde"/>
          <w:color w:val="auto"/>
        </w:rPr>
      </w:pPr>
    </w:p>
    <w:p w14:paraId="3CF6DCE6" w14:textId="696414F5" w:rsidR="007E1922" w:rsidRPr="00244534" w:rsidRDefault="007E1922" w:rsidP="007E1922">
      <w:pPr>
        <w:pStyle w:val="IFT1"/>
        <w:tabs>
          <w:tab w:val="left" w:pos="426"/>
        </w:tabs>
        <w:spacing w:after="0"/>
        <w:rPr>
          <w:color w:val="5B9BD5" w:themeColor="accent1"/>
        </w:rPr>
      </w:pPr>
      <w:r w:rsidRPr="00244534">
        <w:rPr>
          <w:color w:val="5B9BD5" w:themeColor="accent1"/>
        </w:rPr>
        <w:t xml:space="preserve">Se preserva el numeral 21.12 en sus términos considerando que este tipo de disposiciones obedece a políticas internas corporativas de sociedades mercantiles como el AEP; ello aunado a que este Instituto </w:t>
      </w:r>
      <w:r w:rsidR="000C738F" w:rsidRPr="00244534">
        <w:rPr>
          <w:color w:val="5B9BD5" w:themeColor="accent1"/>
        </w:rPr>
        <w:t xml:space="preserve">coincide con </w:t>
      </w:r>
      <w:r w:rsidRPr="00244534">
        <w:rPr>
          <w:color w:val="5B9BD5" w:themeColor="accent1"/>
        </w:rPr>
        <w:t>aquellas medidas que estén encaminadas a combatir actos de corrupción</w:t>
      </w:r>
      <w:r w:rsidR="000C738F" w:rsidRPr="00244534">
        <w:rPr>
          <w:color w:val="5B9BD5" w:themeColor="accent1"/>
        </w:rPr>
        <w:t>.</w:t>
      </w:r>
      <w:r w:rsidRPr="00244534">
        <w:rPr>
          <w:color w:val="5B9BD5" w:themeColor="accent1"/>
        </w:rPr>
        <w:t xml:space="preserve"> </w:t>
      </w:r>
    </w:p>
    <w:p w14:paraId="65853F57" w14:textId="77777777" w:rsidR="009C0ECF" w:rsidRPr="00244534" w:rsidRDefault="009C0ECF" w:rsidP="005B36F9">
      <w:pPr>
        <w:spacing w:after="0" w:line="276" w:lineRule="auto"/>
        <w:ind w:right="0"/>
        <w:rPr>
          <w:rFonts w:ascii="ITC Avant Garde" w:hAnsi="ITC Avant Garde"/>
          <w:b/>
          <w:color w:val="auto"/>
          <w:u w:val="single"/>
        </w:rPr>
      </w:pPr>
    </w:p>
    <w:p w14:paraId="43DBDA00"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Anexo A – Precios y </w:t>
      </w:r>
      <w:r w:rsidR="007E1922" w:rsidRPr="00244534">
        <w:rPr>
          <w:rFonts w:ascii="ITC Avant Garde" w:hAnsi="ITC Avant Garde"/>
          <w:b/>
          <w:color w:val="auto"/>
          <w:u w:val="single"/>
        </w:rPr>
        <w:t>tarifas</w:t>
      </w:r>
    </w:p>
    <w:p w14:paraId="64471354" w14:textId="77777777" w:rsidR="005B36F9" w:rsidRPr="00244534" w:rsidRDefault="005B36F9" w:rsidP="005B36F9">
      <w:pPr>
        <w:spacing w:after="0" w:line="276" w:lineRule="auto"/>
        <w:ind w:left="0" w:right="0" w:firstLine="0"/>
        <w:rPr>
          <w:rFonts w:ascii="ITC Avant Garde" w:hAnsi="ITC Avant Garde"/>
          <w:b/>
          <w:color w:val="auto"/>
        </w:rPr>
      </w:pPr>
    </w:p>
    <w:p w14:paraId="15BD7BD9" w14:textId="77777777" w:rsidR="005B36F9" w:rsidRPr="00244534" w:rsidRDefault="005B36F9" w:rsidP="008C36A3">
      <w:pPr>
        <w:spacing w:after="0" w:line="276" w:lineRule="auto"/>
        <w:ind w:left="0" w:right="0" w:firstLine="0"/>
        <w:rPr>
          <w:rFonts w:ascii="ITC Avant Garde" w:hAnsi="ITC Avant Garde"/>
          <w:b/>
          <w:color w:val="auto"/>
        </w:rPr>
      </w:pPr>
      <w:r w:rsidRPr="00244534">
        <w:rPr>
          <w:rFonts w:ascii="ITC Avant Garde" w:hAnsi="ITC Avant Garde"/>
          <w:b/>
          <w:color w:val="auto"/>
        </w:rPr>
        <w:t>Megacable:</w:t>
      </w:r>
    </w:p>
    <w:p w14:paraId="2144F0C0" w14:textId="77777777" w:rsidR="005B36F9" w:rsidRPr="00244534" w:rsidRDefault="005B36F9" w:rsidP="008C36A3">
      <w:pPr>
        <w:spacing w:after="0" w:line="276" w:lineRule="auto"/>
        <w:ind w:right="0"/>
        <w:rPr>
          <w:rFonts w:ascii="ITC Avant Garde" w:hAnsi="ITC Avant Garde"/>
          <w:b/>
          <w:color w:val="auto"/>
          <w:u w:val="single"/>
        </w:rPr>
      </w:pPr>
    </w:p>
    <w:p w14:paraId="6CD4C313" w14:textId="3F84DF42" w:rsidR="005B36F9" w:rsidRPr="00244534" w:rsidRDefault="000C738F" w:rsidP="008C36A3">
      <w:pPr>
        <w:widowControl w:val="0"/>
        <w:autoSpaceDE w:val="0"/>
        <w:autoSpaceDN w:val="0"/>
        <w:adjustRightInd w:val="0"/>
        <w:spacing w:after="0" w:line="240" w:lineRule="auto"/>
        <w:ind w:left="0" w:right="0" w:firstLine="0"/>
        <w:rPr>
          <w:rFonts w:ascii="ITC Avant Garde" w:hAnsi="ITC Avant Garde"/>
          <w:color w:val="auto"/>
        </w:rPr>
      </w:pPr>
      <w:r w:rsidRPr="00244534">
        <w:rPr>
          <w:rFonts w:ascii="ITC Avant Garde" w:hAnsi="ITC Avant Garde"/>
          <w:color w:val="auto"/>
        </w:rPr>
        <w:t>S</w:t>
      </w:r>
      <w:r w:rsidR="005B36F9" w:rsidRPr="00244534">
        <w:rPr>
          <w:rFonts w:ascii="ITC Avant Garde" w:hAnsi="ITC Avant Garde"/>
          <w:color w:val="auto"/>
        </w:rPr>
        <w:t>olicita la publicación de las tarifas de la Oferta</w:t>
      </w:r>
      <w:r w:rsidR="007E1922" w:rsidRPr="00244534">
        <w:rPr>
          <w:rFonts w:ascii="ITC Avant Garde" w:hAnsi="ITC Avant Garde"/>
          <w:color w:val="auto"/>
        </w:rPr>
        <w:t>.</w:t>
      </w:r>
    </w:p>
    <w:p w14:paraId="394C9B20" w14:textId="77777777" w:rsidR="005B36F9" w:rsidRPr="00244534" w:rsidRDefault="005B36F9" w:rsidP="008C36A3">
      <w:pPr>
        <w:widowControl w:val="0"/>
        <w:autoSpaceDE w:val="0"/>
        <w:autoSpaceDN w:val="0"/>
        <w:adjustRightInd w:val="0"/>
        <w:spacing w:after="0" w:line="240" w:lineRule="auto"/>
        <w:ind w:left="0" w:right="0" w:firstLine="0"/>
        <w:rPr>
          <w:rFonts w:ascii="ITC Avant Garde" w:eastAsiaTheme="minorHAnsi" w:hAnsi="ITC Avant Garde" w:cs="Times"/>
          <w:color w:val="auto"/>
          <w:lang w:val="es-ES" w:eastAsia="en-US"/>
        </w:rPr>
      </w:pPr>
    </w:p>
    <w:p w14:paraId="4AE7F1C4"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3F32CF8F" w14:textId="77777777" w:rsidR="00F04FB4" w:rsidRPr="00244534" w:rsidRDefault="00F04FB4" w:rsidP="008C36A3">
      <w:pPr>
        <w:widowControl w:val="0"/>
        <w:autoSpaceDE w:val="0"/>
        <w:autoSpaceDN w:val="0"/>
        <w:adjustRightInd w:val="0"/>
        <w:spacing w:after="0" w:line="240" w:lineRule="auto"/>
        <w:ind w:left="0" w:right="0" w:firstLine="0"/>
        <w:rPr>
          <w:rFonts w:ascii="ITC Avant Garde" w:eastAsiaTheme="minorHAnsi" w:hAnsi="ITC Avant Garde" w:cs="Times"/>
          <w:color w:val="auto"/>
          <w:lang w:val="es-ES" w:eastAsia="en-US"/>
        </w:rPr>
      </w:pPr>
    </w:p>
    <w:p w14:paraId="1B51753F" w14:textId="77777777" w:rsidR="006F10E4" w:rsidRPr="00244534" w:rsidRDefault="006F10E4" w:rsidP="007E1922">
      <w:pPr>
        <w:spacing w:after="0" w:line="276" w:lineRule="auto"/>
        <w:ind w:right="0"/>
        <w:rPr>
          <w:rFonts w:ascii="ITC Avant Garde" w:eastAsia="Calibri" w:hAnsi="ITC Avant Garde" w:cs="Arial"/>
          <w:i/>
          <w:color w:val="5B9BD5" w:themeColor="accent1"/>
          <w:sz w:val="18"/>
          <w:szCs w:val="18"/>
          <w:lang w:eastAsia="en-US"/>
        </w:rPr>
      </w:pPr>
      <w:r w:rsidRPr="00244534">
        <w:rPr>
          <w:rFonts w:ascii="ITC Avant Garde" w:hAnsi="ITC Avant Garde"/>
          <w:color w:val="5B9BD5" w:themeColor="accent1"/>
        </w:rPr>
        <w:t xml:space="preserve">Las tarifas se encuentran contenidas en el Anexo A de la Oferta de Referencia. </w:t>
      </w:r>
    </w:p>
    <w:p w14:paraId="1F0BB2A1" w14:textId="77777777" w:rsidR="005B36F9" w:rsidRPr="00244534" w:rsidRDefault="005B36F9" w:rsidP="005B36F9">
      <w:pPr>
        <w:spacing w:after="0" w:line="276" w:lineRule="auto"/>
        <w:ind w:right="0"/>
        <w:rPr>
          <w:rFonts w:ascii="ITC Avant Garde" w:hAnsi="ITC Avant Garde"/>
          <w:b/>
          <w:color w:val="auto"/>
          <w:u w:val="single"/>
        </w:rPr>
      </w:pPr>
    </w:p>
    <w:p w14:paraId="1ED07B92"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 xml:space="preserve">Anexo A – Precios y </w:t>
      </w:r>
      <w:r w:rsidR="007E1922" w:rsidRPr="00244534">
        <w:rPr>
          <w:rFonts w:ascii="ITC Avant Garde" w:hAnsi="ITC Avant Garde"/>
          <w:b/>
          <w:color w:val="auto"/>
          <w:u w:val="single"/>
        </w:rPr>
        <w:t>tarifas</w:t>
      </w:r>
    </w:p>
    <w:p w14:paraId="3F21428B"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Numeral 2.</w:t>
      </w:r>
    </w:p>
    <w:p w14:paraId="7A02924E" w14:textId="77777777" w:rsidR="005B36F9" w:rsidRPr="00244534" w:rsidRDefault="005B36F9" w:rsidP="005B36F9">
      <w:pPr>
        <w:spacing w:after="0" w:line="276" w:lineRule="auto"/>
        <w:ind w:left="0" w:right="0" w:firstLine="0"/>
        <w:rPr>
          <w:rFonts w:ascii="ITC Avant Garde" w:hAnsi="ITC Avant Garde"/>
          <w:b/>
          <w:color w:val="auto"/>
        </w:rPr>
      </w:pPr>
    </w:p>
    <w:p w14:paraId="4FB3A2EF"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Telefónica:</w:t>
      </w:r>
    </w:p>
    <w:p w14:paraId="397E9A8B" w14:textId="77777777" w:rsidR="005B36F9" w:rsidRPr="00244534" w:rsidRDefault="005B36F9" w:rsidP="005B36F9">
      <w:pPr>
        <w:spacing w:after="0" w:line="276" w:lineRule="auto"/>
        <w:ind w:right="0"/>
        <w:rPr>
          <w:rFonts w:ascii="ITC Avant Garde" w:hAnsi="ITC Avant Garde"/>
          <w:b/>
          <w:color w:val="auto"/>
          <w:u w:val="single"/>
        </w:rPr>
      </w:pPr>
    </w:p>
    <w:p w14:paraId="48FB99AB" w14:textId="6775C22A" w:rsidR="005770D2" w:rsidRPr="00244534" w:rsidRDefault="000C738F" w:rsidP="0032366D">
      <w:pPr>
        <w:spacing w:after="0" w:line="276" w:lineRule="auto"/>
        <w:ind w:right="0"/>
        <w:rPr>
          <w:rFonts w:ascii="ITC Avant Garde" w:hAnsi="ITC Avant Garde"/>
          <w:color w:val="auto"/>
        </w:rPr>
      </w:pPr>
      <w:r w:rsidRPr="00244534">
        <w:rPr>
          <w:rFonts w:ascii="ITC Avant Garde" w:hAnsi="ITC Avant Garde"/>
          <w:color w:val="auto"/>
        </w:rPr>
        <w:t>S</w:t>
      </w:r>
      <w:r w:rsidR="00D2316F" w:rsidRPr="00244534">
        <w:rPr>
          <w:rFonts w:ascii="ITC Avant Garde" w:hAnsi="ITC Avant Garde"/>
          <w:color w:val="auto"/>
        </w:rPr>
        <w:t>olicita que la aplicación del Bono por Consumo sea limitada</w:t>
      </w:r>
      <w:r w:rsidR="00D26540" w:rsidRPr="00244534">
        <w:rPr>
          <w:rFonts w:ascii="ITC Avant Garde" w:hAnsi="ITC Avant Garde"/>
          <w:color w:val="auto"/>
        </w:rPr>
        <w:t>,</w:t>
      </w:r>
      <w:r w:rsidR="00D2316F" w:rsidRPr="00244534">
        <w:rPr>
          <w:rFonts w:ascii="ITC Avant Garde" w:hAnsi="ITC Avant Garde"/>
          <w:color w:val="auto"/>
        </w:rPr>
        <w:t xml:space="preserve"> ya que no se puede cobrar por aquellas llamadas y/o SMS</w:t>
      </w:r>
      <w:r w:rsidR="002E0860" w:rsidRPr="00244534">
        <w:rPr>
          <w:rFonts w:ascii="ITC Avant Garde" w:hAnsi="ITC Avant Garde"/>
          <w:color w:val="auto"/>
        </w:rPr>
        <w:t xml:space="preserve"> realizados por Usuarios Finales de Telcel a Usuarios Finales de Telefónica</w:t>
      </w:r>
      <w:r w:rsidR="00D26540" w:rsidRPr="00244534">
        <w:rPr>
          <w:rFonts w:ascii="ITC Avant Garde" w:hAnsi="ITC Avant Garde"/>
          <w:color w:val="auto"/>
        </w:rPr>
        <w:t xml:space="preserve"> que transiten por las rutas de interconexión directa.</w:t>
      </w:r>
      <w:r w:rsidR="00924F5E" w:rsidRPr="00244534">
        <w:rPr>
          <w:rFonts w:ascii="ITC Avant Garde" w:hAnsi="ITC Avant Garde"/>
          <w:color w:val="auto"/>
        </w:rPr>
        <w:t xml:space="preserve"> </w:t>
      </w:r>
      <w:r w:rsidR="005770D2" w:rsidRPr="00244534">
        <w:rPr>
          <w:rFonts w:ascii="ITC Avant Garde" w:hAnsi="ITC Avant Garde"/>
          <w:color w:val="auto"/>
        </w:rPr>
        <w:t>Señala que Telcel pretende cobrar por cualquier llamada y/o SMS que se genere en su red y con destino a un Usuario de Telefónica sin hacer distinción de las rutas del tráfico público conmutado.</w:t>
      </w:r>
    </w:p>
    <w:p w14:paraId="7743006C" w14:textId="77777777" w:rsidR="005770D2" w:rsidRPr="00244534" w:rsidRDefault="005770D2" w:rsidP="0032366D">
      <w:pPr>
        <w:spacing w:after="0" w:line="276" w:lineRule="auto"/>
        <w:ind w:right="0"/>
        <w:rPr>
          <w:rFonts w:ascii="ITC Avant Garde" w:hAnsi="ITC Avant Garde"/>
          <w:color w:val="auto"/>
        </w:rPr>
      </w:pPr>
    </w:p>
    <w:p w14:paraId="60741E20" w14:textId="77777777" w:rsidR="00D2316F" w:rsidRPr="00244534" w:rsidRDefault="00924F5E" w:rsidP="0032366D">
      <w:pPr>
        <w:spacing w:after="0" w:line="276" w:lineRule="auto"/>
        <w:ind w:right="0"/>
        <w:rPr>
          <w:rFonts w:ascii="ITC Avant Garde" w:hAnsi="ITC Avant Garde"/>
          <w:color w:val="auto"/>
        </w:rPr>
      </w:pPr>
      <w:r w:rsidRPr="00244534">
        <w:rPr>
          <w:rFonts w:ascii="ITC Avant Garde" w:hAnsi="ITC Avant Garde"/>
          <w:color w:val="auto"/>
        </w:rPr>
        <w:t>Asimismo, solicita que la factura del Bono por Consumo incluya las llamadas y/o SMS terminantes</w:t>
      </w:r>
      <w:r w:rsidR="0032366D" w:rsidRPr="00244534">
        <w:rPr>
          <w:rFonts w:ascii="ITC Avant Garde" w:hAnsi="ITC Avant Garde"/>
          <w:color w:val="auto"/>
        </w:rPr>
        <w:t>,</w:t>
      </w:r>
      <w:r w:rsidR="00F374A5" w:rsidRPr="00244534">
        <w:rPr>
          <w:rFonts w:ascii="ITC Avant Garde" w:hAnsi="ITC Avant Garde"/>
          <w:color w:val="auto"/>
        </w:rPr>
        <w:t xml:space="preserve"> indicando la fecha, hora, DNA, DNB, segundos, minutos </w:t>
      </w:r>
      <w:r w:rsidR="00F374A5" w:rsidRPr="00244534">
        <w:rPr>
          <w:rFonts w:ascii="ITC Avant Garde" w:hAnsi="ITC Avant Garde"/>
          <w:color w:val="auto"/>
        </w:rPr>
        <w:lastRenderedPageBreak/>
        <w:t>y la</w:t>
      </w:r>
      <w:r w:rsidR="0032366D" w:rsidRPr="00244534">
        <w:rPr>
          <w:rFonts w:ascii="ITC Avant Garde" w:hAnsi="ITC Avant Garde"/>
          <w:color w:val="auto"/>
        </w:rPr>
        <w:t xml:space="preserve"> secuencia a la que corresponden</w:t>
      </w:r>
      <w:r w:rsidR="00F374A5" w:rsidRPr="00244534">
        <w:rPr>
          <w:rFonts w:ascii="ITC Avant Garde" w:hAnsi="ITC Avant Garde"/>
          <w:color w:val="auto"/>
        </w:rPr>
        <w:t xml:space="preserve"> (TAP) para efectos de conciliación mensual.</w:t>
      </w:r>
    </w:p>
    <w:p w14:paraId="61B4AB3B" w14:textId="77777777" w:rsidR="00D2316F" w:rsidRPr="00244534" w:rsidRDefault="00D2316F" w:rsidP="005B36F9">
      <w:pPr>
        <w:widowControl w:val="0"/>
        <w:autoSpaceDE w:val="0"/>
        <w:autoSpaceDN w:val="0"/>
        <w:adjustRightInd w:val="0"/>
        <w:spacing w:after="0" w:line="240" w:lineRule="auto"/>
        <w:ind w:left="0" w:right="0" w:firstLine="0"/>
        <w:rPr>
          <w:rFonts w:ascii="ITC Avant Garde" w:hAnsi="ITC Avant Garde"/>
          <w:color w:val="auto"/>
        </w:rPr>
      </w:pPr>
    </w:p>
    <w:p w14:paraId="6B19EF11"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5CF549F2" w14:textId="77777777" w:rsidR="00F04FB4" w:rsidRPr="00244534" w:rsidRDefault="00F04FB4" w:rsidP="005B36F9">
      <w:pPr>
        <w:widowControl w:val="0"/>
        <w:autoSpaceDE w:val="0"/>
        <w:autoSpaceDN w:val="0"/>
        <w:adjustRightInd w:val="0"/>
        <w:spacing w:after="0" w:line="240" w:lineRule="auto"/>
        <w:ind w:left="0" w:right="0" w:firstLine="0"/>
        <w:rPr>
          <w:rFonts w:ascii="ITC Avant Garde" w:hAnsi="ITC Avant Garde"/>
          <w:color w:val="auto"/>
        </w:rPr>
      </w:pPr>
    </w:p>
    <w:p w14:paraId="4922C2F9" w14:textId="4DBDEB55" w:rsidR="005B36F9" w:rsidRPr="00244534" w:rsidRDefault="00E3178C" w:rsidP="005B36F9">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 xml:space="preserve">La Oferta </w:t>
      </w:r>
      <w:r w:rsidR="000C738F" w:rsidRPr="00244534">
        <w:rPr>
          <w:rFonts w:ascii="ITC Avant Garde" w:hAnsi="ITC Avant Garde"/>
          <w:color w:val="5B9BD5" w:themeColor="accent1"/>
        </w:rPr>
        <w:t xml:space="preserve">establece </w:t>
      </w:r>
      <w:r w:rsidRPr="00244534">
        <w:rPr>
          <w:rFonts w:ascii="ITC Avant Garde" w:hAnsi="ITC Avant Garde"/>
          <w:color w:val="5B9BD5" w:themeColor="accent1"/>
        </w:rPr>
        <w:t xml:space="preserve">que el bono por consumo aplica únicamente cuando un usuario de Telcel origina una llamada y/o envía un Mensaje de Texto (SMS) con destino a un usuario del Concesionario que está utilizando el Servicio Mayorista de Usuario Visitante, en estos casos NO se utiliza la red del Concesionario para la terminación de la llamada y/o SMS, únicamente la Red de Telcel, por lo cual no se aprecia que Telcel </w:t>
      </w:r>
      <w:r w:rsidR="00C562EB" w:rsidRPr="00244534">
        <w:rPr>
          <w:rFonts w:ascii="ITC Avant Garde" w:hAnsi="ITC Avant Garde"/>
          <w:color w:val="5B9BD5" w:themeColor="accent1"/>
        </w:rPr>
        <w:t>quiera cobrar por cualquier llamada y/o SMS que se genere en su red y con destino a un Usuario de Telefónica sin hacer distinción de las rutas del tráfico público conmutado.</w:t>
      </w:r>
    </w:p>
    <w:p w14:paraId="559EA02D" w14:textId="77777777" w:rsidR="00A91AF0" w:rsidRPr="00244534" w:rsidRDefault="00A91AF0" w:rsidP="00A91AF0">
      <w:pPr>
        <w:spacing w:after="0" w:line="276" w:lineRule="auto"/>
        <w:ind w:left="0" w:right="0" w:firstLine="0"/>
        <w:rPr>
          <w:rFonts w:ascii="ITC Avant Garde" w:hAnsi="ITC Avant Garde"/>
          <w:color w:val="5B9BD5" w:themeColor="accent1"/>
        </w:rPr>
      </w:pPr>
    </w:p>
    <w:p w14:paraId="4173B065" w14:textId="77777777" w:rsidR="00A91AF0" w:rsidRPr="00244534" w:rsidRDefault="00C562EB" w:rsidP="00826115">
      <w:pPr>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t>No obstante lo anterior</w:t>
      </w:r>
      <w:r w:rsidR="00826115" w:rsidRPr="00244534">
        <w:rPr>
          <w:rFonts w:ascii="ITC Avant Garde" w:hAnsi="ITC Avant Garde"/>
          <w:color w:val="5B9BD5" w:themeColor="accent1"/>
        </w:rPr>
        <w:t xml:space="preserve">, </w:t>
      </w:r>
      <w:r w:rsidR="0075347F" w:rsidRPr="00244534">
        <w:rPr>
          <w:rFonts w:ascii="ITC Avant Garde" w:hAnsi="ITC Avant Garde"/>
          <w:color w:val="5B9BD5" w:themeColor="accent1"/>
        </w:rPr>
        <w:t>se adiciona mayor detalle a la información</w:t>
      </w:r>
      <w:r w:rsidR="007A7764" w:rsidRPr="00244534">
        <w:rPr>
          <w:rFonts w:ascii="ITC Avant Garde" w:hAnsi="ITC Avant Garde"/>
          <w:color w:val="5B9BD5" w:themeColor="accent1"/>
        </w:rPr>
        <w:t xml:space="preserve"> requerida para la</w:t>
      </w:r>
      <w:r w:rsidR="00995304" w:rsidRPr="00244534">
        <w:rPr>
          <w:rFonts w:ascii="ITC Avant Garde" w:hAnsi="ITC Avant Garde"/>
          <w:color w:val="5B9BD5" w:themeColor="accent1"/>
        </w:rPr>
        <w:t xml:space="preserve"> facturación </w:t>
      </w:r>
      <w:r w:rsidR="007A7764" w:rsidRPr="00244534">
        <w:rPr>
          <w:rFonts w:ascii="ITC Avant Garde" w:hAnsi="ITC Avant Garde"/>
          <w:color w:val="5B9BD5" w:themeColor="accent1"/>
        </w:rPr>
        <w:t>del Bono por Consumo en congruencia con la Medida Décimo Sexta de las Medidas Móviles</w:t>
      </w:r>
      <w:r w:rsidR="00231A96" w:rsidRPr="00244534">
        <w:rPr>
          <w:rFonts w:ascii="ITC Avant Garde" w:hAnsi="ITC Avant Garde"/>
          <w:color w:val="5B9BD5" w:themeColor="accent1"/>
        </w:rPr>
        <w:t>:</w:t>
      </w:r>
    </w:p>
    <w:p w14:paraId="0E42E890" w14:textId="77777777" w:rsidR="007B1608" w:rsidRPr="00244534" w:rsidRDefault="007B1608" w:rsidP="00826115">
      <w:pPr>
        <w:spacing w:after="0" w:line="276" w:lineRule="auto"/>
        <w:ind w:left="0" w:right="0" w:firstLine="0"/>
        <w:rPr>
          <w:rFonts w:ascii="ITC Avant Garde" w:hAnsi="ITC Avant Garde"/>
          <w:color w:val="5B9BD5" w:themeColor="accent1"/>
        </w:rPr>
      </w:pPr>
    </w:p>
    <w:p w14:paraId="37E095EF" w14:textId="77777777" w:rsidR="007B1608" w:rsidRPr="00244534" w:rsidRDefault="007B1608" w:rsidP="007B1608">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“La conciliación y facturación del Bono por Consumo, se realizará tomando en cuenta los segundos (voz) y eventos (SMS) consumidos en el Uso de Roaming, durante el mes anterior. </w:t>
      </w:r>
      <w:r w:rsidRPr="00244534">
        <w:rPr>
          <w:rFonts w:ascii="ITC Avant Garde" w:eastAsia="Calibri" w:hAnsi="ITC Avant Garde" w:cs="Arial"/>
          <w:i/>
          <w:color w:val="5B9BD5" w:themeColor="accent1"/>
          <w:sz w:val="18"/>
          <w:szCs w:val="18"/>
          <w:u w:val="single"/>
          <w:lang w:eastAsia="en-US"/>
        </w:rPr>
        <w:t>Para este efecto, Telcel incluirá en la factura por los servicios de la Oferta el detalle correspondiente a los eventos considerados para la aplicación del Bono por Consumo</w:t>
      </w:r>
      <w:r w:rsidRPr="00244534">
        <w:rPr>
          <w:rFonts w:ascii="ITC Avant Garde" w:eastAsia="Calibri" w:hAnsi="ITC Avant Garde" w:cs="Arial"/>
          <w:i/>
          <w:color w:val="5B9BD5" w:themeColor="accent1"/>
          <w:sz w:val="18"/>
          <w:szCs w:val="18"/>
          <w:lang w:eastAsia="en-US"/>
        </w:rPr>
        <w:t>”</w:t>
      </w:r>
    </w:p>
    <w:p w14:paraId="3DE4BF73" w14:textId="77777777" w:rsidR="007B1608" w:rsidRPr="00244534" w:rsidRDefault="007B1608" w:rsidP="007B1608">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0B917F83" w14:textId="77777777" w:rsidR="007B1608" w:rsidRPr="00244534" w:rsidRDefault="007B1608" w:rsidP="007B1608">
      <w:pPr>
        <w:pStyle w:val="Prrafodelista"/>
        <w:spacing w:after="0" w:line="276" w:lineRule="auto"/>
        <w:ind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p>
    <w:p w14:paraId="67D58B2C" w14:textId="77777777" w:rsidR="00A91AF0" w:rsidRPr="00244534" w:rsidRDefault="00A91AF0" w:rsidP="00A91AF0">
      <w:pPr>
        <w:spacing w:after="0" w:line="276" w:lineRule="auto"/>
        <w:ind w:left="0" w:right="0" w:firstLine="0"/>
        <w:rPr>
          <w:rFonts w:ascii="ITC Avant Garde" w:hAnsi="ITC Avant Garde"/>
          <w:color w:val="5B9BD5" w:themeColor="accent1"/>
        </w:rPr>
      </w:pPr>
    </w:p>
    <w:p w14:paraId="0648F4E0" w14:textId="77777777" w:rsidR="005B36F9" w:rsidRPr="00244534" w:rsidRDefault="005B36F9" w:rsidP="005B36F9">
      <w:pPr>
        <w:spacing w:after="0" w:line="276" w:lineRule="auto"/>
        <w:ind w:left="0" w:right="0" w:firstLine="0"/>
        <w:rPr>
          <w:rFonts w:ascii="ITC Avant Garde" w:hAnsi="ITC Avant Garde"/>
          <w:b/>
          <w:color w:val="auto"/>
        </w:rPr>
      </w:pPr>
      <w:r w:rsidRPr="00244534">
        <w:rPr>
          <w:rFonts w:ascii="ITC Avant Garde" w:hAnsi="ITC Avant Garde"/>
          <w:b/>
          <w:color w:val="auto"/>
        </w:rPr>
        <w:t>COMENTARIOS GENERALES</w:t>
      </w:r>
    </w:p>
    <w:p w14:paraId="37E6D957" w14:textId="77777777" w:rsidR="005B36F9" w:rsidRPr="00244534" w:rsidRDefault="005B36F9" w:rsidP="005B36F9">
      <w:pPr>
        <w:spacing w:after="0" w:line="276" w:lineRule="auto"/>
        <w:ind w:left="0" w:right="0" w:firstLine="0"/>
        <w:rPr>
          <w:rFonts w:ascii="ITC Avant Garde" w:hAnsi="ITC Avant Garde"/>
          <w:b/>
          <w:color w:val="auto"/>
        </w:rPr>
      </w:pPr>
    </w:p>
    <w:p w14:paraId="2E2CBFA4" w14:textId="77777777" w:rsidR="005B36F9" w:rsidRPr="00244534" w:rsidRDefault="005B36F9" w:rsidP="005B36F9">
      <w:pPr>
        <w:spacing w:after="0" w:line="276" w:lineRule="auto"/>
        <w:ind w:right="0"/>
        <w:rPr>
          <w:rFonts w:ascii="ITC Avant Garde" w:hAnsi="ITC Avant Garde"/>
          <w:b/>
          <w:color w:val="auto"/>
          <w:u w:val="single"/>
        </w:rPr>
      </w:pPr>
      <w:r w:rsidRPr="00244534">
        <w:rPr>
          <w:rFonts w:ascii="ITC Avant Garde" w:hAnsi="ITC Avant Garde"/>
          <w:b/>
          <w:color w:val="auto"/>
          <w:u w:val="single"/>
        </w:rPr>
        <w:t>Replicabilidad técnica</w:t>
      </w:r>
    </w:p>
    <w:p w14:paraId="05C0B2AD" w14:textId="77777777" w:rsidR="005B36F9" w:rsidRPr="00244534" w:rsidRDefault="005B36F9" w:rsidP="005B36F9">
      <w:pPr>
        <w:spacing w:after="0" w:line="276" w:lineRule="auto"/>
        <w:ind w:left="0" w:right="0" w:firstLine="0"/>
        <w:rPr>
          <w:rFonts w:ascii="ITC Avant Garde" w:hAnsi="ITC Avant Garde"/>
          <w:b/>
          <w:color w:val="auto"/>
        </w:rPr>
      </w:pPr>
    </w:p>
    <w:p w14:paraId="4C933DE3" w14:textId="77777777" w:rsidR="005B36F9" w:rsidRPr="00244534" w:rsidRDefault="005B36F9" w:rsidP="005B36F9">
      <w:pPr>
        <w:spacing w:after="0" w:line="276" w:lineRule="auto"/>
        <w:ind w:right="0"/>
        <w:rPr>
          <w:rFonts w:ascii="ITC Avant Garde" w:hAnsi="ITC Avant Garde"/>
          <w:b/>
          <w:color w:val="auto"/>
        </w:rPr>
      </w:pPr>
      <w:r w:rsidRPr="00244534">
        <w:rPr>
          <w:rFonts w:ascii="ITC Avant Garde" w:hAnsi="ITC Avant Garde"/>
          <w:b/>
          <w:color w:val="auto"/>
        </w:rPr>
        <w:t>Telefónica:</w:t>
      </w:r>
    </w:p>
    <w:p w14:paraId="47B9F94B" w14:textId="77777777" w:rsidR="005B36F9" w:rsidRPr="00244534" w:rsidRDefault="005B36F9" w:rsidP="005B36F9">
      <w:pPr>
        <w:spacing w:after="0" w:line="276" w:lineRule="auto"/>
        <w:ind w:right="0"/>
        <w:rPr>
          <w:rFonts w:ascii="ITC Avant Garde" w:hAnsi="ITC Avant Garde"/>
          <w:b/>
          <w:color w:val="auto"/>
        </w:rPr>
      </w:pPr>
    </w:p>
    <w:p w14:paraId="449D8531" w14:textId="09F9F4F9" w:rsidR="00EC692E" w:rsidRPr="00244534" w:rsidRDefault="000C738F" w:rsidP="00EC692E">
      <w:pPr>
        <w:spacing w:after="0" w:line="276" w:lineRule="auto"/>
        <w:ind w:right="0"/>
        <w:rPr>
          <w:rFonts w:ascii="ITC Avant Garde" w:hAnsi="ITC Avant Garde"/>
          <w:color w:val="auto"/>
        </w:rPr>
      </w:pPr>
      <w:r w:rsidRPr="00244534">
        <w:rPr>
          <w:rFonts w:ascii="ITC Avant Garde" w:hAnsi="ITC Avant Garde"/>
          <w:color w:val="auto"/>
        </w:rPr>
        <w:t>S</w:t>
      </w:r>
      <w:r w:rsidR="00EC692E" w:rsidRPr="00244534">
        <w:rPr>
          <w:rFonts w:ascii="ITC Avant Garde" w:hAnsi="ITC Avant Garde"/>
          <w:color w:val="auto"/>
        </w:rPr>
        <w:t>ugiere que Telcel ponga a disponibilidad de los Concesionarios solicitantes los mi</w:t>
      </w:r>
      <w:r w:rsidR="00C562EB" w:rsidRPr="00244534">
        <w:rPr>
          <w:rFonts w:ascii="ITC Avant Garde" w:hAnsi="ITC Avant Garde"/>
          <w:color w:val="auto"/>
        </w:rPr>
        <w:t>s</w:t>
      </w:r>
      <w:r w:rsidR="00EC692E" w:rsidRPr="00244534">
        <w:rPr>
          <w:rFonts w:ascii="ITC Avant Garde" w:hAnsi="ITC Avant Garde"/>
          <w:color w:val="auto"/>
        </w:rPr>
        <w:t>mos servicios que éste ofrece a sus usuarios finales en congruencia con la Medida Septuagésima Séptima de las Medidas Móviles. Asimismo, los servicios que ofrezca el concesionario solicitante a sus usuarios deben ser compatibles y funcionales con la red de Telcel para que la experiencia del usuario final sea la misma.</w:t>
      </w:r>
    </w:p>
    <w:p w14:paraId="6A0B858F" w14:textId="77777777" w:rsidR="00EC692E" w:rsidRPr="00244534" w:rsidRDefault="00EC692E" w:rsidP="005B36F9">
      <w:pPr>
        <w:widowControl w:val="0"/>
        <w:autoSpaceDE w:val="0"/>
        <w:autoSpaceDN w:val="0"/>
        <w:adjustRightInd w:val="0"/>
        <w:spacing w:after="0" w:line="240" w:lineRule="auto"/>
        <w:ind w:left="0" w:right="0" w:firstLine="0"/>
        <w:rPr>
          <w:rFonts w:ascii="ITC Avant Garde" w:hAnsi="ITC Avant Garde"/>
          <w:color w:val="auto"/>
        </w:rPr>
      </w:pPr>
    </w:p>
    <w:p w14:paraId="570FBA35" w14:textId="77777777" w:rsidR="00F04FB4" w:rsidRPr="00244534" w:rsidRDefault="00F04FB4" w:rsidP="00F04FB4">
      <w:pPr>
        <w:pStyle w:val="Listaconvietas"/>
        <w:numPr>
          <w:ilvl w:val="0"/>
          <w:numId w:val="0"/>
        </w:numPr>
        <w:rPr>
          <w:i/>
          <w:color w:val="auto"/>
          <w:lang w:val="es-MX"/>
        </w:rPr>
      </w:pPr>
      <w:r w:rsidRPr="00244534">
        <w:rPr>
          <w:i/>
          <w:color w:val="auto"/>
          <w:lang w:val="es-MX"/>
        </w:rPr>
        <w:t>Consideraciones del Instituto</w:t>
      </w:r>
    </w:p>
    <w:p w14:paraId="11675561" w14:textId="77777777" w:rsidR="00F04FB4" w:rsidRPr="00244534" w:rsidRDefault="00F04FB4" w:rsidP="005B36F9">
      <w:pPr>
        <w:widowControl w:val="0"/>
        <w:autoSpaceDE w:val="0"/>
        <w:autoSpaceDN w:val="0"/>
        <w:adjustRightInd w:val="0"/>
        <w:spacing w:after="0" w:line="240" w:lineRule="auto"/>
        <w:ind w:left="0" w:right="0" w:firstLine="0"/>
        <w:rPr>
          <w:rFonts w:ascii="ITC Avant Garde" w:hAnsi="ITC Avant Garde"/>
          <w:color w:val="auto"/>
        </w:rPr>
      </w:pPr>
    </w:p>
    <w:p w14:paraId="444320B6" w14:textId="5537A6CF" w:rsidR="00C562EB" w:rsidRPr="00244534" w:rsidRDefault="009E3673" w:rsidP="005B36F9">
      <w:pPr>
        <w:pStyle w:val="Prrafodelista"/>
        <w:spacing w:after="0" w:line="276" w:lineRule="auto"/>
        <w:ind w:left="0" w:right="0" w:firstLine="0"/>
        <w:rPr>
          <w:rFonts w:ascii="ITC Avant Garde" w:hAnsi="ITC Avant Garde"/>
          <w:color w:val="5B9BD5" w:themeColor="accent1"/>
        </w:rPr>
      </w:pPr>
      <w:r w:rsidRPr="00244534">
        <w:rPr>
          <w:rFonts w:ascii="ITC Avant Garde" w:hAnsi="ITC Avant Garde"/>
          <w:color w:val="5B9BD5" w:themeColor="accent1"/>
        </w:rPr>
        <w:lastRenderedPageBreak/>
        <w:t>La Medida Septuagésima Séptima establece que</w:t>
      </w:r>
      <w:r w:rsidR="000C738F" w:rsidRPr="00244534">
        <w:rPr>
          <w:rFonts w:ascii="ITC Avant Garde" w:hAnsi="ITC Avant Garde"/>
          <w:color w:val="5B9BD5" w:themeColor="accent1"/>
        </w:rPr>
        <w:t xml:space="preserve"> el AEP</w:t>
      </w:r>
      <w:r w:rsidRPr="00244534">
        <w:rPr>
          <w:rFonts w:ascii="ITC Avant Garde" w:hAnsi="ITC Avant Garde"/>
          <w:color w:val="5B9BD5" w:themeColor="accent1"/>
        </w:rPr>
        <w:t xml:space="preserve"> deberá garantizar a los concesionarios y OMV la igualdad de acceso a información técnica y comercial de los servicios mayoristas regulados, así como que el AEP deberá someter una nueva oferta minorista o modificación de las condiciones de una existente para que los concesionarios y OMV puedan tener acceso a las condiciones actualizadas. En este sentido</w:t>
      </w:r>
      <w:r w:rsidR="000C738F" w:rsidRPr="00244534">
        <w:rPr>
          <w:rFonts w:ascii="ITC Avant Garde" w:hAnsi="ITC Avant Garde"/>
          <w:color w:val="5B9BD5" w:themeColor="accent1"/>
        </w:rPr>
        <w:t>,</w:t>
      </w:r>
      <w:r w:rsidRPr="00244534">
        <w:rPr>
          <w:rFonts w:ascii="ITC Avant Garde" w:hAnsi="ITC Avant Garde"/>
          <w:color w:val="5B9BD5" w:themeColor="accent1"/>
        </w:rPr>
        <w:t xml:space="preserve"> el cambio solicitado por Telefónica</w:t>
      </w:r>
      <w:r w:rsidR="000C738F" w:rsidRPr="00244534">
        <w:rPr>
          <w:rFonts w:ascii="ITC Avant Garde" w:hAnsi="ITC Avant Garde"/>
          <w:color w:val="5B9BD5" w:themeColor="accent1"/>
        </w:rPr>
        <w:t xml:space="preserve">, ya lo prevé la medida </w:t>
      </w:r>
      <w:r w:rsidR="004A4A0E" w:rsidRPr="00244534">
        <w:rPr>
          <w:rFonts w:ascii="ITC Avant Garde" w:hAnsi="ITC Avant Garde"/>
          <w:color w:val="5B9BD5" w:themeColor="accent1"/>
        </w:rPr>
        <w:t>referida</w:t>
      </w:r>
      <w:r w:rsidRPr="00244534">
        <w:rPr>
          <w:rFonts w:ascii="ITC Avant Garde" w:hAnsi="ITC Avant Garde"/>
          <w:color w:val="5B9BD5" w:themeColor="accent1"/>
        </w:rPr>
        <w:t xml:space="preserve">. </w:t>
      </w:r>
    </w:p>
    <w:p w14:paraId="5E4AC1FA" w14:textId="77777777" w:rsidR="00C562EB" w:rsidRPr="00244534" w:rsidRDefault="00C562EB" w:rsidP="005B36F9">
      <w:pPr>
        <w:pStyle w:val="Prrafodelista"/>
        <w:spacing w:after="0" w:line="276" w:lineRule="auto"/>
        <w:ind w:left="0" w:right="0" w:firstLine="0"/>
        <w:rPr>
          <w:rFonts w:ascii="ITC Avant Garde" w:hAnsi="ITC Avant Garde"/>
          <w:color w:val="5B9BD5" w:themeColor="accent1"/>
        </w:rPr>
      </w:pPr>
    </w:p>
    <w:p w14:paraId="7500882E" w14:textId="77777777" w:rsidR="009C3BF9" w:rsidRPr="00244534" w:rsidRDefault="009C3BF9" w:rsidP="009C3BF9">
      <w:pPr>
        <w:pStyle w:val="Prrafodelista"/>
        <w:spacing w:after="0" w:line="276" w:lineRule="auto"/>
        <w:ind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“SEPTUAGÉSIMA </w:t>
      </w:r>
      <w:r w:rsidR="009E3673" w:rsidRPr="00244534">
        <w:rPr>
          <w:rFonts w:ascii="ITC Avant Garde" w:eastAsia="Calibri" w:hAnsi="ITC Avant Garde" w:cs="Arial"/>
          <w:i/>
          <w:color w:val="5B9BD5" w:themeColor="accent1"/>
          <w:sz w:val="18"/>
          <w:szCs w:val="18"/>
          <w:lang w:eastAsia="en-US"/>
        </w:rPr>
        <w:t>SÉPTIMA. -</w:t>
      </w:r>
      <w:r w:rsidRPr="00244534">
        <w:rPr>
          <w:rFonts w:ascii="ITC Avant Garde" w:eastAsia="Calibri" w:hAnsi="ITC Avant Garde" w:cs="Arial"/>
          <w:i/>
          <w:color w:val="5B9BD5" w:themeColor="accent1"/>
          <w:sz w:val="18"/>
          <w:szCs w:val="18"/>
          <w:lang w:eastAsia="en-US"/>
        </w:rPr>
        <w:t xml:space="preserve"> El Agente Económico Preponderante garantizará la replicabilidad técnica de los servicios que comercialice con los Usuarios finales. Para ello deberá: </w:t>
      </w:r>
    </w:p>
    <w:p w14:paraId="30755049" w14:textId="77777777" w:rsidR="009C3BF9" w:rsidRPr="00244534" w:rsidRDefault="009C3BF9" w:rsidP="009C3BF9">
      <w:pPr>
        <w:pStyle w:val="Prrafodelista"/>
        <w:spacing w:after="0" w:line="276" w:lineRule="auto"/>
        <w:ind w:right="615" w:firstLine="0"/>
        <w:rPr>
          <w:rFonts w:ascii="ITC Avant Garde" w:eastAsia="Calibri" w:hAnsi="ITC Avant Garde" w:cs="Arial"/>
          <w:i/>
          <w:color w:val="5B9BD5" w:themeColor="accent1"/>
          <w:sz w:val="18"/>
          <w:szCs w:val="18"/>
          <w:lang w:eastAsia="en-US"/>
        </w:rPr>
      </w:pPr>
    </w:p>
    <w:p w14:paraId="1F95D8DD" w14:textId="77777777" w:rsidR="009C3BF9" w:rsidRPr="00244534" w:rsidRDefault="009C3BF9" w:rsidP="00DA0F6F">
      <w:pPr>
        <w:pStyle w:val="Prrafodelista"/>
        <w:numPr>
          <w:ilvl w:val="0"/>
          <w:numId w:val="6"/>
        </w:numPr>
        <w:spacing w:after="0" w:line="276" w:lineRule="auto"/>
        <w:ind w:right="615"/>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 xml:space="preserve">Garantizar a los Concesionarios Solicitantes y Operadores Móviles Virtuales la igualdad de acceso a información técnica y comercial </w:t>
      </w:r>
      <w:r w:rsidRPr="00244534">
        <w:rPr>
          <w:rFonts w:ascii="ITC Avant Garde" w:eastAsia="Calibri" w:hAnsi="ITC Avant Garde" w:cs="Arial"/>
          <w:i/>
          <w:color w:val="5B9BD5" w:themeColor="accent1"/>
          <w:sz w:val="18"/>
          <w:szCs w:val="18"/>
          <w:u w:val="single"/>
          <w:lang w:eastAsia="en-US"/>
        </w:rPr>
        <w:t>exclusivamente de los servicios mayoristas regulados</w:t>
      </w:r>
      <w:r w:rsidRPr="00244534">
        <w:rPr>
          <w:rFonts w:ascii="ITC Avant Garde" w:eastAsia="Calibri" w:hAnsi="ITC Avant Garde" w:cs="Arial"/>
          <w:i/>
          <w:color w:val="5B9BD5" w:themeColor="accent1"/>
          <w:sz w:val="18"/>
          <w:szCs w:val="18"/>
          <w:lang w:eastAsia="en-US"/>
        </w:rPr>
        <w:t xml:space="preserve">, que hagan equitativas las condiciones con las que el Agente Económico Preponderante y los Concesionarios Solicitantes u Operadores Móviles Virtuales prestan servicios a los Usuarios finales, y </w:t>
      </w:r>
    </w:p>
    <w:p w14:paraId="52AD4FAE" w14:textId="77777777" w:rsidR="009C3BF9" w:rsidRPr="00244534" w:rsidRDefault="009C3BF9" w:rsidP="009C3BF9">
      <w:pPr>
        <w:spacing w:after="0" w:line="276" w:lineRule="auto"/>
        <w:ind w:left="720" w:right="615" w:firstLine="0"/>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w:t>
      </w:r>
    </w:p>
    <w:p w14:paraId="5DD6A54B" w14:textId="77777777" w:rsidR="009C3BF9" w:rsidRPr="00244534" w:rsidRDefault="009C3BF9" w:rsidP="009C3BF9">
      <w:pPr>
        <w:spacing w:after="0" w:line="276" w:lineRule="auto"/>
        <w:ind w:left="720" w:right="615" w:firstLine="0"/>
        <w:jc w:val="right"/>
        <w:rPr>
          <w:rFonts w:ascii="ITC Avant Garde" w:eastAsia="Calibri" w:hAnsi="ITC Avant Garde" w:cs="Arial"/>
          <w:i/>
          <w:color w:val="5B9BD5" w:themeColor="accent1"/>
          <w:sz w:val="18"/>
          <w:szCs w:val="18"/>
          <w:lang w:eastAsia="en-US"/>
        </w:rPr>
      </w:pPr>
    </w:p>
    <w:p w14:paraId="0E901B58" w14:textId="77777777" w:rsidR="009C3BF9" w:rsidRPr="009C3BF9" w:rsidRDefault="009C3BF9" w:rsidP="009C3BF9">
      <w:pPr>
        <w:spacing w:after="0" w:line="276" w:lineRule="auto"/>
        <w:ind w:left="720" w:right="615" w:firstLine="0"/>
        <w:jc w:val="right"/>
        <w:rPr>
          <w:rFonts w:ascii="ITC Avant Garde" w:eastAsia="Calibri" w:hAnsi="ITC Avant Garde" w:cs="Arial"/>
          <w:i/>
          <w:color w:val="5B9BD5" w:themeColor="accent1"/>
          <w:sz w:val="18"/>
          <w:szCs w:val="18"/>
          <w:lang w:eastAsia="en-US"/>
        </w:rPr>
      </w:pPr>
      <w:r w:rsidRPr="00244534">
        <w:rPr>
          <w:rFonts w:ascii="ITC Avant Garde" w:eastAsia="Calibri" w:hAnsi="ITC Avant Garde" w:cs="Arial"/>
          <w:i/>
          <w:color w:val="5B9BD5" w:themeColor="accent1"/>
          <w:sz w:val="18"/>
          <w:szCs w:val="18"/>
          <w:lang w:eastAsia="en-US"/>
        </w:rPr>
        <w:t>(Énfasis añadido)</w:t>
      </w:r>
      <w:bookmarkStart w:id="2" w:name="_GoBack"/>
      <w:bookmarkEnd w:id="2"/>
    </w:p>
    <w:sectPr w:rsidR="009C3BF9" w:rsidRPr="009C3BF9" w:rsidSect="005E5201">
      <w:footerReference w:type="default" r:id="rId8"/>
      <w:pgSz w:w="12240" w:h="15840"/>
      <w:pgMar w:top="1417" w:right="170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22C34" w14:textId="77777777" w:rsidR="00936A1A" w:rsidRDefault="00936A1A" w:rsidP="00493685">
      <w:pPr>
        <w:spacing w:after="0" w:line="240" w:lineRule="auto"/>
      </w:pPr>
      <w:r>
        <w:separator/>
      </w:r>
    </w:p>
  </w:endnote>
  <w:endnote w:type="continuationSeparator" w:id="0">
    <w:p w14:paraId="53BD9B5B" w14:textId="77777777" w:rsidR="00936A1A" w:rsidRDefault="00936A1A"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EndPr/>
    <w:sdtContent>
      <w:p w14:paraId="25596497" w14:textId="39CBF359" w:rsidR="00F318EB" w:rsidRDefault="00F318EB">
        <w:pPr>
          <w:pStyle w:val="Piedepgina"/>
          <w:jc w:val="right"/>
        </w:pPr>
        <w:r>
          <w:fldChar w:fldCharType="begin"/>
        </w:r>
        <w:r>
          <w:instrText>PAGE   \* MERGEFORMAT</w:instrText>
        </w:r>
        <w:r>
          <w:fldChar w:fldCharType="separate"/>
        </w:r>
        <w:r w:rsidR="00244534" w:rsidRPr="00244534">
          <w:rPr>
            <w:noProof/>
            <w:lang w:val="es-ES"/>
          </w:rPr>
          <w:t>6</w:t>
        </w:r>
        <w:r>
          <w:fldChar w:fldCharType="end"/>
        </w:r>
      </w:p>
    </w:sdtContent>
  </w:sdt>
  <w:p w14:paraId="7174C061" w14:textId="77777777" w:rsidR="00F318EB" w:rsidRDefault="00F318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1188B" w14:textId="77777777" w:rsidR="00936A1A" w:rsidRDefault="00936A1A" w:rsidP="00493685">
      <w:pPr>
        <w:spacing w:after="0" w:line="240" w:lineRule="auto"/>
      </w:pPr>
      <w:r>
        <w:separator/>
      </w:r>
    </w:p>
  </w:footnote>
  <w:footnote w:type="continuationSeparator" w:id="0">
    <w:p w14:paraId="72AF6DF6" w14:textId="77777777" w:rsidR="00936A1A" w:rsidRDefault="00936A1A" w:rsidP="0049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54"/>
    <w:rsid w:val="000006E1"/>
    <w:rsid w:val="00002499"/>
    <w:rsid w:val="000025BB"/>
    <w:rsid w:val="00002981"/>
    <w:rsid w:val="00002ED7"/>
    <w:rsid w:val="0000372C"/>
    <w:rsid w:val="000074F3"/>
    <w:rsid w:val="000075FB"/>
    <w:rsid w:val="00007D66"/>
    <w:rsid w:val="00007DEB"/>
    <w:rsid w:val="00010FAF"/>
    <w:rsid w:val="00011186"/>
    <w:rsid w:val="000117B8"/>
    <w:rsid w:val="000118E7"/>
    <w:rsid w:val="00011FD2"/>
    <w:rsid w:val="000120B1"/>
    <w:rsid w:val="000121FF"/>
    <w:rsid w:val="0001331B"/>
    <w:rsid w:val="00013BAC"/>
    <w:rsid w:val="00014926"/>
    <w:rsid w:val="00014D42"/>
    <w:rsid w:val="00015889"/>
    <w:rsid w:val="00015EB9"/>
    <w:rsid w:val="0001660E"/>
    <w:rsid w:val="0002034F"/>
    <w:rsid w:val="000203D6"/>
    <w:rsid w:val="00021DD2"/>
    <w:rsid w:val="00021EB5"/>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18C7"/>
    <w:rsid w:val="00031A90"/>
    <w:rsid w:val="00033962"/>
    <w:rsid w:val="00034189"/>
    <w:rsid w:val="000346C1"/>
    <w:rsid w:val="00034F2E"/>
    <w:rsid w:val="00036AD3"/>
    <w:rsid w:val="00036D35"/>
    <w:rsid w:val="00037219"/>
    <w:rsid w:val="00037DC7"/>
    <w:rsid w:val="000400AF"/>
    <w:rsid w:val="0004079A"/>
    <w:rsid w:val="00040829"/>
    <w:rsid w:val="000410EF"/>
    <w:rsid w:val="00041A70"/>
    <w:rsid w:val="000426D2"/>
    <w:rsid w:val="000427ED"/>
    <w:rsid w:val="00044709"/>
    <w:rsid w:val="00045A86"/>
    <w:rsid w:val="00045D23"/>
    <w:rsid w:val="00045FF3"/>
    <w:rsid w:val="0004645C"/>
    <w:rsid w:val="00046703"/>
    <w:rsid w:val="00046B10"/>
    <w:rsid w:val="00047282"/>
    <w:rsid w:val="000475CD"/>
    <w:rsid w:val="000475DB"/>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7B1"/>
    <w:rsid w:val="00056381"/>
    <w:rsid w:val="00056469"/>
    <w:rsid w:val="00056649"/>
    <w:rsid w:val="000569DC"/>
    <w:rsid w:val="00056AF9"/>
    <w:rsid w:val="00056DC9"/>
    <w:rsid w:val="00057EEB"/>
    <w:rsid w:val="00060EEF"/>
    <w:rsid w:val="000611EE"/>
    <w:rsid w:val="00062045"/>
    <w:rsid w:val="000624F5"/>
    <w:rsid w:val="000627D7"/>
    <w:rsid w:val="00062BC4"/>
    <w:rsid w:val="000660A0"/>
    <w:rsid w:val="00066E87"/>
    <w:rsid w:val="00067B66"/>
    <w:rsid w:val="00067CCA"/>
    <w:rsid w:val="00067D53"/>
    <w:rsid w:val="00067F68"/>
    <w:rsid w:val="000702E6"/>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AD0"/>
    <w:rsid w:val="00081DCB"/>
    <w:rsid w:val="00082E6E"/>
    <w:rsid w:val="00083962"/>
    <w:rsid w:val="00084072"/>
    <w:rsid w:val="00085382"/>
    <w:rsid w:val="00085C21"/>
    <w:rsid w:val="000860A2"/>
    <w:rsid w:val="0008643B"/>
    <w:rsid w:val="00086FC2"/>
    <w:rsid w:val="0008739D"/>
    <w:rsid w:val="00087545"/>
    <w:rsid w:val="00090469"/>
    <w:rsid w:val="00091B17"/>
    <w:rsid w:val="00091DAF"/>
    <w:rsid w:val="00093566"/>
    <w:rsid w:val="00093D2F"/>
    <w:rsid w:val="0009499D"/>
    <w:rsid w:val="0009533F"/>
    <w:rsid w:val="00095421"/>
    <w:rsid w:val="0009562E"/>
    <w:rsid w:val="000962FD"/>
    <w:rsid w:val="00097866"/>
    <w:rsid w:val="00097AE9"/>
    <w:rsid w:val="00097B7E"/>
    <w:rsid w:val="000A0137"/>
    <w:rsid w:val="000A0646"/>
    <w:rsid w:val="000A18EA"/>
    <w:rsid w:val="000A2105"/>
    <w:rsid w:val="000A2D8A"/>
    <w:rsid w:val="000A2FE6"/>
    <w:rsid w:val="000A381D"/>
    <w:rsid w:val="000A3F9A"/>
    <w:rsid w:val="000A4328"/>
    <w:rsid w:val="000A4462"/>
    <w:rsid w:val="000A59DD"/>
    <w:rsid w:val="000A631B"/>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3BD"/>
    <w:rsid w:val="000B5810"/>
    <w:rsid w:val="000B5D25"/>
    <w:rsid w:val="000B652D"/>
    <w:rsid w:val="000B7A04"/>
    <w:rsid w:val="000C01BA"/>
    <w:rsid w:val="000C18A7"/>
    <w:rsid w:val="000C191C"/>
    <w:rsid w:val="000C30F1"/>
    <w:rsid w:val="000C4AA9"/>
    <w:rsid w:val="000C5059"/>
    <w:rsid w:val="000C738F"/>
    <w:rsid w:val="000D151D"/>
    <w:rsid w:val="000D25F9"/>
    <w:rsid w:val="000D2D00"/>
    <w:rsid w:val="000D3E6A"/>
    <w:rsid w:val="000D4068"/>
    <w:rsid w:val="000D4EC6"/>
    <w:rsid w:val="000D5105"/>
    <w:rsid w:val="000D51FD"/>
    <w:rsid w:val="000D5954"/>
    <w:rsid w:val="000D5F43"/>
    <w:rsid w:val="000D6C71"/>
    <w:rsid w:val="000D6D9E"/>
    <w:rsid w:val="000E106A"/>
    <w:rsid w:val="000E1EAD"/>
    <w:rsid w:val="000E223D"/>
    <w:rsid w:val="000E2576"/>
    <w:rsid w:val="000E2672"/>
    <w:rsid w:val="000E32A8"/>
    <w:rsid w:val="000E353D"/>
    <w:rsid w:val="000E3E0E"/>
    <w:rsid w:val="000E47CD"/>
    <w:rsid w:val="000E5B37"/>
    <w:rsid w:val="000E64F4"/>
    <w:rsid w:val="000E6A0C"/>
    <w:rsid w:val="000E6FE7"/>
    <w:rsid w:val="000F13C8"/>
    <w:rsid w:val="000F216A"/>
    <w:rsid w:val="000F22F2"/>
    <w:rsid w:val="000F23FD"/>
    <w:rsid w:val="000F25B0"/>
    <w:rsid w:val="000F3095"/>
    <w:rsid w:val="000F3283"/>
    <w:rsid w:val="000F347C"/>
    <w:rsid w:val="000F39E4"/>
    <w:rsid w:val="000F4004"/>
    <w:rsid w:val="000F40ED"/>
    <w:rsid w:val="000F4315"/>
    <w:rsid w:val="000F43AD"/>
    <w:rsid w:val="000F5C39"/>
    <w:rsid w:val="000F5C83"/>
    <w:rsid w:val="000F5C94"/>
    <w:rsid w:val="000F6E14"/>
    <w:rsid w:val="000F77F9"/>
    <w:rsid w:val="000F7DAE"/>
    <w:rsid w:val="00100519"/>
    <w:rsid w:val="00102408"/>
    <w:rsid w:val="00102828"/>
    <w:rsid w:val="001035CC"/>
    <w:rsid w:val="00105207"/>
    <w:rsid w:val="00105BED"/>
    <w:rsid w:val="0010649B"/>
    <w:rsid w:val="00106D8A"/>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1796"/>
    <w:rsid w:val="0012200F"/>
    <w:rsid w:val="00122BDC"/>
    <w:rsid w:val="0012302F"/>
    <w:rsid w:val="00123378"/>
    <w:rsid w:val="0012374A"/>
    <w:rsid w:val="001239A7"/>
    <w:rsid w:val="00123CFC"/>
    <w:rsid w:val="001240DD"/>
    <w:rsid w:val="0012443F"/>
    <w:rsid w:val="00124E0A"/>
    <w:rsid w:val="00124E68"/>
    <w:rsid w:val="00124E72"/>
    <w:rsid w:val="0012501E"/>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7A1"/>
    <w:rsid w:val="001378A7"/>
    <w:rsid w:val="001413D0"/>
    <w:rsid w:val="001417E1"/>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60E90"/>
    <w:rsid w:val="00160F50"/>
    <w:rsid w:val="001632EF"/>
    <w:rsid w:val="001646A0"/>
    <w:rsid w:val="00164F64"/>
    <w:rsid w:val="00166A7B"/>
    <w:rsid w:val="00170BCA"/>
    <w:rsid w:val="00172482"/>
    <w:rsid w:val="00173372"/>
    <w:rsid w:val="00173460"/>
    <w:rsid w:val="00174C34"/>
    <w:rsid w:val="0017518D"/>
    <w:rsid w:val="0017613E"/>
    <w:rsid w:val="00176D5A"/>
    <w:rsid w:val="00177681"/>
    <w:rsid w:val="00177B38"/>
    <w:rsid w:val="00180690"/>
    <w:rsid w:val="001813B4"/>
    <w:rsid w:val="00181646"/>
    <w:rsid w:val="001817AE"/>
    <w:rsid w:val="00181847"/>
    <w:rsid w:val="00182545"/>
    <w:rsid w:val="0018339C"/>
    <w:rsid w:val="00183694"/>
    <w:rsid w:val="00184791"/>
    <w:rsid w:val="00184811"/>
    <w:rsid w:val="00184EE0"/>
    <w:rsid w:val="001860E7"/>
    <w:rsid w:val="0018652B"/>
    <w:rsid w:val="0018652E"/>
    <w:rsid w:val="0018654C"/>
    <w:rsid w:val="0018673E"/>
    <w:rsid w:val="00186BED"/>
    <w:rsid w:val="0019000D"/>
    <w:rsid w:val="00190805"/>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A2"/>
    <w:rsid w:val="001A11C5"/>
    <w:rsid w:val="001A4642"/>
    <w:rsid w:val="001A64F3"/>
    <w:rsid w:val="001A6C30"/>
    <w:rsid w:val="001A6CC9"/>
    <w:rsid w:val="001A6DE0"/>
    <w:rsid w:val="001A7828"/>
    <w:rsid w:val="001A7FCB"/>
    <w:rsid w:val="001B03A4"/>
    <w:rsid w:val="001B0D9E"/>
    <w:rsid w:val="001B2F10"/>
    <w:rsid w:val="001B3B8E"/>
    <w:rsid w:val="001B3C65"/>
    <w:rsid w:val="001B4318"/>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DE6"/>
    <w:rsid w:val="001C5530"/>
    <w:rsid w:val="001C5553"/>
    <w:rsid w:val="001C6AD8"/>
    <w:rsid w:val="001C7D24"/>
    <w:rsid w:val="001D0569"/>
    <w:rsid w:val="001D1731"/>
    <w:rsid w:val="001D1BA6"/>
    <w:rsid w:val="001D1FAF"/>
    <w:rsid w:val="001D2D3A"/>
    <w:rsid w:val="001D2D8A"/>
    <w:rsid w:val="001D476E"/>
    <w:rsid w:val="001D4F6E"/>
    <w:rsid w:val="001D50AC"/>
    <w:rsid w:val="001D540C"/>
    <w:rsid w:val="001D5AEB"/>
    <w:rsid w:val="001D7A9C"/>
    <w:rsid w:val="001E0AA4"/>
    <w:rsid w:val="001E0C9C"/>
    <w:rsid w:val="001E1182"/>
    <w:rsid w:val="001E11B3"/>
    <w:rsid w:val="001E20F2"/>
    <w:rsid w:val="001E462C"/>
    <w:rsid w:val="001E5E2F"/>
    <w:rsid w:val="001E5E93"/>
    <w:rsid w:val="001E607F"/>
    <w:rsid w:val="001E6314"/>
    <w:rsid w:val="001E635C"/>
    <w:rsid w:val="001E673A"/>
    <w:rsid w:val="001F10C3"/>
    <w:rsid w:val="001F1BCC"/>
    <w:rsid w:val="001F2635"/>
    <w:rsid w:val="001F33A2"/>
    <w:rsid w:val="001F4098"/>
    <w:rsid w:val="001F48F6"/>
    <w:rsid w:val="001F4C39"/>
    <w:rsid w:val="001F5A30"/>
    <w:rsid w:val="001F628F"/>
    <w:rsid w:val="001F78C1"/>
    <w:rsid w:val="002000A2"/>
    <w:rsid w:val="002002F1"/>
    <w:rsid w:val="0020202A"/>
    <w:rsid w:val="002038F5"/>
    <w:rsid w:val="002041A9"/>
    <w:rsid w:val="0020457B"/>
    <w:rsid w:val="002056A3"/>
    <w:rsid w:val="00206023"/>
    <w:rsid w:val="00206D64"/>
    <w:rsid w:val="00206DF8"/>
    <w:rsid w:val="00207956"/>
    <w:rsid w:val="00207D97"/>
    <w:rsid w:val="00210148"/>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58D1"/>
    <w:rsid w:val="0022799A"/>
    <w:rsid w:val="00227A48"/>
    <w:rsid w:val="0023025E"/>
    <w:rsid w:val="00231441"/>
    <w:rsid w:val="00231A96"/>
    <w:rsid w:val="00231E1E"/>
    <w:rsid w:val="00232E5D"/>
    <w:rsid w:val="002340B9"/>
    <w:rsid w:val="00234A35"/>
    <w:rsid w:val="002351B6"/>
    <w:rsid w:val="00237428"/>
    <w:rsid w:val="00237B45"/>
    <w:rsid w:val="00240574"/>
    <w:rsid w:val="00241391"/>
    <w:rsid w:val="00241474"/>
    <w:rsid w:val="002427AB"/>
    <w:rsid w:val="00242A75"/>
    <w:rsid w:val="00243709"/>
    <w:rsid w:val="002439E1"/>
    <w:rsid w:val="00243FEA"/>
    <w:rsid w:val="00244534"/>
    <w:rsid w:val="002448ED"/>
    <w:rsid w:val="0024504B"/>
    <w:rsid w:val="00245509"/>
    <w:rsid w:val="00247051"/>
    <w:rsid w:val="00247864"/>
    <w:rsid w:val="002506E4"/>
    <w:rsid w:val="00250912"/>
    <w:rsid w:val="00250D0C"/>
    <w:rsid w:val="00252A34"/>
    <w:rsid w:val="00253DB4"/>
    <w:rsid w:val="00253DED"/>
    <w:rsid w:val="00254B5F"/>
    <w:rsid w:val="00254EC9"/>
    <w:rsid w:val="002551C4"/>
    <w:rsid w:val="002561F0"/>
    <w:rsid w:val="002562C4"/>
    <w:rsid w:val="002566F4"/>
    <w:rsid w:val="00256900"/>
    <w:rsid w:val="00256D40"/>
    <w:rsid w:val="00257C25"/>
    <w:rsid w:val="00261B89"/>
    <w:rsid w:val="00262859"/>
    <w:rsid w:val="0026402D"/>
    <w:rsid w:val="002668B7"/>
    <w:rsid w:val="002702AE"/>
    <w:rsid w:val="002710E0"/>
    <w:rsid w:val="00271552"/>
    <w:rsid w:val="00271A36"/>
    <w:rsid w:val="00271B7F"/>
    <w:rsid w:val="0027218B"/>
    <w:rsid w:val="0027248F"/>
    <w:rsid w:val="002725D4"/>
    <w:rsid w:val="00272D78"/>
    <w:rsid w:val="00272EDE"/>
    <w:rsid w:val="002732E2"/>
    <w:rsid w:val="00273B26"/>
    <w:rsid w:val="002742E3"/>
    <w:rsid w:val="002746A9"/>
    <w:rsid w:val="002746EB"/>
    <w:rsid w:val="00274CEF"/>
    <w:rsid w:val="002752BA"/>
    <w:rsid w:val="00276697"/>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C6A"/>
    <w:rsid w:val="00294DDC"/>
    <w:rsid w:val="00295195"/>
    <w:rsid w:val="0029526D"/>
    <w:rsid w:val="00295449"/>
    <w:rsid w:val="002959C1"/>
    <w:rsid w:val="00296904"/>
    <w:rsid w:val="00296E04"/>
    <w:rsid w:val="002A0167"/>
    <w:rsid w:val="002A0455"/>
    <w:rsid w:val="002A0831"/>
    <w:rsid w:val="002A1A41"/>
    <w:rsid w:val="002A355F"/>
    <w:rsid w:val="002A38B3"/>
    <w:rsid w:val="002A3FCE"/>
    <w:rsid w:val="002A41A0"/>
    <w:rsid w:val="002A48BC"/>
    <w:rsid w:val="002A4B71"/>
    <w:rsid w:val="002A52F9"/>
    <w:rsid w:val="002A5610"/>
    <w:rsid w:val="002A5B98"/>
    <w:rsid w:val="002A67C9"/>
    <w:rsid w:val="002A70BE"/>
    <w:rsid w:val="002A71BB"/>
    <w:rsid w:val="002A7903"/>
    <w:rsid w:val="002A7B8E"/>
    <w:rsid w:val="002A7E0A"/>
    <w:rsid w:val="002B016A"/>
    <w:rsid w:val="002B058F"/>
    <w:rsid w:val="002B1C11"/>
    <w:rsid w:val="002B1C47"/>
    <w:rsid w:val="002B1ECF"/>
    <w:rsid w:val="002B2933"/>
    <w:rsid w:val="002B4812"/>
    <w:rsid w:val="002B64C9"/>
    <w:rsid w:val="002B68FA"/>
    <w:rsid w:val="002B6EEA"/>
    <w:rsid w:val="002B6F88"/>
    <w:rsid w:val="002B79B8"/>
    <w:rsid w:val="002B7F7A"/>
    <w:rsid w:val="002C14DB"/>
    <w:rsid w:val="002C1740"/>
    <w:rsid w:val="002C3451"/>
    <w:rsid w:val="002C375C"/>
    <w:rsid w:val="002C3A95"/>
    <w:rsid w:val="002C3EAC"/>
    <w:rsid w:val="002C433A"/>
    <w:rsid w:val="002C4C54"/>
    <w:rsid w:val="002C50D0"/>
    <w:rsid w:val="002C6703"/>
    <w:rsid w:val="002C6811"/>
    <w:rsid w:val="002C7ECB"/>
    <w:rsid w:val="002C7F0F"/>
    <w:rsid w:val="002D083F"/>
    <w:rsid w:val="002D2268"/>
    <w:rsid w:val="002D2818"/>
    <w:rsid w:val="002D55B8"/>
    <w:rsid w:val="002D5A80"/>
    <w:rsid w:val="002D5FE4"/>
    <w:rsid w:val="002D6486"/>
    <w:rsid w:val="002D75B1"/>
    <w:rsid w:val="002D76C9"/>
    <w:rsid w:val="002E06EC"/>
    <w:rsid w:val="002E0860"/>
    <w:rsid w:val="002E09C8"/>
    <w:rsid w:val="002E0CB1"/>
    <w:rsid w:val="002E144E"/>
    <w:rsid w:val="002E1DF9"/>
    <w:rsid w:val="002E23A9"/>
    <w:rsid w:val="002E2868"/>
    <w:rsid w:val="002E2B95"/>
    <w:rsid w:val="002E2C9D"/>
    <w:rsid w:val="002E3889"/>
    <w:rsid w:val="002E4014"/>
    <w:rsid w:val="002E45B0"/>
    <w:rsid w:val="002E4DC8"/>
    <w:rsid w:val="002E5677"/>
    <w:rsid w:val="002E615F"/>
    <w:rsid w:val="002E61A3"/>
    <w:rsid w:val="002E62FE"/>
    <w:rsid w:val="002E6853"/>
    <w:rsid w:val="002E6DE0"/>
    <w:rsid w:val="002E76F2"/>
    <w:rsid w:val="002F0087"/>
    <w:rsid w:val="002F06CB"/>
    <w:rsid w:val="002F074E"/>
    <w:rsid w:val="002F1284"/>
    <w:rsid w:val="002F1CC1"/>
    <w:rsid w:val="002F339F"/>
    <w:rsid w:val="002F3CB2"/>
    <w:rsid w:val="002F4FC7"/>
    <w:rsid w:val="002F6DDF"/>
    <w:rsid w:val="002F71F0"/>
    <w:rsid w:val="002F7BB7"/>
    <w:rsid w:val="002F7D35"/>
    <w:rsid w:val="002F7F2F"/>
    <w:rsid w:val="0030018B"/>
    <w:rsid w:val="003014DB"/>
    <w:rsid w:val="00301EA8"/>
    <w:rsid w:val="0030210E"/>
    <w:rsid w:val="0030245D"/>
    <w:rsid w:val="003033BB"/>
    <w:rsid w:val="00303986"/>
    <w:rsid w:val="00304815"/>
    <w:rsid w:val="003051CB"/>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203AE"/>
    <w:rsid w:val="00322348"/>
    <w:rsid w:val="003225F8"/>
    <w:rsid w:val="00322EC6"/>
    <w:rsid w:val="00323632"/>
    <w:rsid w:val="0032366D"/>
    <w:rsid w:val="00323C80"/>
    <w:rsid w:val="00323F4A"/>
    <w:rsid w:val="003243D8"/>
    <w:rsid w:val="00324C88"/>
    <w:rsid w:val="00324E4C"/>
    <w:rsid w:val="00325E77"/>
    <w:rsid w:val="003260DF"/>
    <w:rsid w:val="00327B44"/>
    <w:rsid w:val="003310CC"/>
    <w:rsid w:val="003328AF"/>
    <w:rsid w:val="00333A7C"/>
    <w:rsid w:val="00333ED4"/>
    <w:rsid w:val="003340CA"/>
    <w:rsid w:val="00334E2D"/>
    <w:rsid w:val="00334E75"/>
    <w:rsid w:val="0033532F"/>
    <w:rsid w:val="00335E1A"/>
    <w:rsid w:val="00335F0E"/>
    <w:rsid w:val="00336A1C"/>
    <w:rsid w:val="00336D48"/>
    <w:rsid w:val="0033732E"/>
    <w:rsid w:val="00337D5D"/>
    <w:rsid w:val="00337FD0"/>
    <w:rsid w:val="0034000A"/>
    <w:rsid w:val="00340185"/>
    <w:rsid w:val="0034096C"/>
    <w:rsid w:val="00341DBC"/>
    <w:rsid w:val="00342A96"/>
    <w:rsid w:val="00342C6D"/>
    <w:rsid w:val="0034368A"/>
    <w:rsid w:val="00343D3E"/>
    <w:rsid w:val="0034470D"/>
    <w:rsid w:val="00344D7E"/>
    <w:rsid w:val="00344F53"/>
    <w:rsid w:val="003457A4"/>
    <w:rsid w:val="00345D31"/>
    <w:rsid w:val="003461F9"/>
    <w:rsid w:val="00347B01"/>
    <w:rsid w:val="00350010"/>
    <w:rsid w:val="00350666"/>
    <w:rsid w:val="00350AE0"/>
    <w:rsid w:val="00350D18"/>
    <w:rsid w:val="0035148F"/>
    <w:rsid w:val="00352A0E"/>
    <w:rsid w:val="00352EEF"/>
    <w:rsid w:val="00352FC2"/>
    <w:rsid w:val="003535F8"/>
    <w:rsid w:val="00353B69"/>
    <w:rsid w:val="00354744"/>
    <w:rsid w:val="00354A65"/>
    <w:rsid w:val="00354D78"/>
    <w:rsid w:val="00355E21"/>
    <w:rsid w:val="00355FE5"/>
    <w:rsid w:val="00356FBC"/>
    <w:rsid w:val="00357CEA"/>
    <w:rsid w:val="00357E91"/>
    <w:rsid w:val="003602B7"/>
    <w:rsid w:val="003602F1"/>
    <w:rsid w:val="003606A1"/>
    <w:rsid w:val="00360BE0"/>
    <w:rsid w:val="00361B88"/>
    <w:rsid w:val="00362618"/>
    <w:rsid w:val="00363C01"/>
    <w:rsid w:val="00363D3E"/>
    <w:rsid w:val="00363E43"/>
    <w:rsid w:val="00365566"/>
    <w:rsid w:val="003665A4"/>
    <w:rsid w:val="00366DFE"/>
    <w:rsid w:val="00366E31"/>
    <w:rsid w:val="0036712A"/>
    <w:rsid w:val="00370CE1"/>
    <w:rsid w:val="003722E4"/>
    <w:rsid w:val="003726DF"/>
    <w:rsid w:val="0037286C"/>
    <w:rsid w:val="00372EB8"/>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93"/>
    <w:rsid w:val="0039228A"/>
    <w:rsid w:val="00392711"/>
    <w:rsid w:val="003927A0"/>
    <w:rsid w:val="00392B8C"/>
    <w:rsid w:val="00393FEC"/>
    <w:rsid w:val="00395A83"/>
    <w:rsid w:val="00395D87"/>
    <w:rsid w:val="003A0208"/>
    <w:rsid w:val="003A1610"/>
    <w:rsid w:val="003A17EA"/>
    <w:rsid w:val="003A1ABA"/>
    <w:rsid w:val="003A1D1D"/>
    <w:rsid w:val="003A251C"/>
    <w:rsid w:val="003A3015"/>
    <w:rsid w:val="003A3583"/>
    <w:rsid w:val="003A39F1"/>
    <w:rsid w:val="003A4568"/>
    <w:rsid w:val="003A4D98"/>
    <w:rsid w:val="003A4FC9"/>
    <w:rsid w:val="003A60A5"/>
    <w:rsid w:val="003A69F1"/>
    <w:rsid w:val="003A6C97"/>
    <w:rsid w:val="003A72B3"/>
    <w:rsid w:val="003A7FB4"/>
    <w:rsid w:val="003B07BE"/>
    <w:rsid w:val="003B2488"/>
    <w:rsid w:val="003B4034"/>
    <w:rsid w:val="003B56CC"/>
    <w:rsid w:val="003B5ACF"/>
    <w:rsid w:val="003B5CF5"/>
    <w:rsid w:val="003B5E47"/>
    <w:rsid w:val="003B6BEE"/>
    <w:rsid w:val="003B7045"/>
    <w:rsid w:val="003B7672"/>
    <w:rsid w:val="003B783E"/>
    <w:rsid w:val="003B7D21"/>
    <w:rsid w:val="003C1926"/>
    <w:rsid w:val="003C4331"/>
    <w:rsid w:val="003C5374"/>
    <w:rsid w:val="003C678D"/>
    <w:rsid w:val="003C6815"/>
    <w:rsid w:val="003C6E8E"/>
    <w:rsid w:val="003C742D"/>
    <w:rsid w:val="003D004D"/>
    <w:rsid w:val="003D07B4"/>
    <w:rsid w:val="003D0922"/>
    <w:rsid w:val="003D0936"/>
    <w:rsid w:val="003D1EB1"/>
    <w:rsid w:val="003D1FA8"/>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46"/>
    <w:rsid w:val="003E28EA"/>
    <w:rsid w:val="003E2BA4"/>
    <w:rsid w:val="003E2D3B"/>
    <w:rsid w:val="003E3AA6"/>
    <w:rsid w:val="003E3E34"/>
    <w:rsid w:val="003E4A67"/>
    <w:rsid w:val="003E695B"/>
    <w:rsid w:val="003E74B1"/>
    <w:rsid w:val="003F031C"/>
    <w:rsid w:val="003F08F6"/>
    <w:rsid w:val="003F0A7E"/>
    <w:rsid w:val="003F25A9"/>
    <w:rsid w:val="003F305C"/>
    <w:rsid w:val="003F59DD"/>
    <w:rsid w:val="003F6159"/>
    <w:rsid w:val="003F62D3"/>
    <w:rsid w:val="003F734F"/>
    <w:rsid w:val="003F7C53"/>
    <w:rsid w:val="003F7F76"/>
    <w:rsid w:val="0040024E"/>
    <w:rsid w:val="00400B78"/>
    <w:rsid w:val="00400E24"/>
    <w:rsid w:val="0040178A"/>
    <w:rsid w:val="00401C06"/>
    <w:rsid w:val="00401CDC"/>
    <w:rsid w:val="0040203F"/>
    <w:rsid w:val="00402FD6"/>
    <w:rsid w:val="00403461"/>
    <w:rsid w:val="00404E7F"/>
    <w:rsid w:val="004055AD"/>
    <w:rsid w:val="00405674"/>
    <w:rsid w:val="00405A85"/>
    <w:rsid w:val="00405F8D"/>
    <w:rsid w:val="00406DAD"/>
    <w:rsid w:val="00407B24"/>
    <w:rsid w:val="00407EF7"/>
    <w:rsid w:val="00410CB3"/>
    <w:rsid w:val="00412378"/>
    <w:rsid w:val="0041297C"/>
    <w:rsid w:val="00412AEF"/>
    <w:rsid w:val="00412D46"/>
    <w:rsid w:val="0041506B"/>
    <w:rsid w:val="00415934"/>
    <w:rsid w:val="00415C8F"/>
    <w:rsid w:val="004161EA"/>
    <w:rsid w:val="004164AC"/>
    <w:rsid w:val="004171B1"/>
    <w:rsid w:val="004174A4"/>
    <w:rsid w:val="00420047"/>
    <w:rsid w:val="004225BE"/>
    <w:rsid w:val="00422A14"/>
    <w:rsid w:val="004232D8"/>
    <w:rsid w:val="004245DD"/>
    <w:rsid w:val="00424AB3"/>
    <w:rsid w:val="0042514D"/>
    <w:rsid w:val="00426811"/>
    <w:rsid w:val="004270C6"/>
    <w:rsid w:val="0043012E"/>
    <w:rsid w:val="00430C44"/>
    <w:rsid w:val="00431032"/>
    <w:rsid w:val="004315E5"/>
    <w:rsid w:val="00431F67"/>
    <w:rsid w:val="00431F9F"/>
    <w:rsid w:val="00432B9B"/>
    <w:rsid w:val="00432C0D"/>
    <w:rsid w:val="00433000"/>
    <w:rsid w:val="004338C4"/>
    <w:rsid w:val="00435BD5"/>
    <w:rsid w:val="00435D92"/>
    <w:rsid w:val="004377BA"/>
    <w:rsid w:val="00440430"/>
    <w:rsid w:val="0044160B"/>
    <w:rsid w:val="00441776"/>
    <w:rsid w:val="00441918"/>
    <w:rsid w:val="00442091"/>
    <w:rsid w:val="0044348D"/>
    <w:rsid w:val="0044395D"/>
    <w:rsid w:val="00443E15"/>
    <w:rsid w:val="00444990"/>
    <w:rsid w:val="004455B6"/>
    <w:rsid w:val="004455C8"/>
    <w:rsid w:val="004461CF"/>
    <w:rsid w:val="0044659A"/>
    <w:rsid w:val="00446D69"/>
    <w:rsid w:val="004501D8"/>
    <w:rsid w:val="00450526"/>
    <w:rsid w:val="00451DA7"/>
    <w:rsid w:val="00452433"/>
    <w:rsid w:val="004560A0"/>
    <w:rsid w:val="00456437"/>
    <w:rsid w:val="004565FA"/>
    <w:rsid w:val="0045679C"/>
    <w:rsid w:val="00456AA1"/>
    <w:rsid w:val="00456FDA"/>
    <w:rsid w:val="00461905"/>
    <w:rsid w:val="00462304"/>
    <w:rsid w:val="00462311"/>
    <w:rsid w:val="004626A8"/>
    <w:rsid w:val="00463CD3"/>
    <w:rsid w:val="00463F6E"/>
    <w:rsid w:val="004645FA"/>
    <w:rsid w:val="0046463F"/>
    <w:rsid w:val="00464910"/>
    <w:rsid w:val="0046687C"/>
    <w:rsid w:val="00466BB7"/>
    <w:rsid w:val="0047077B"/>
    <w:rsid w:val="004709B2"/>
    <w:rsid w:val="00470BE2"/>
    <w:rsid w:val="0047148D"/>
    <w:rsid w:val="00472630"/>
    <w:rsid w:val="00472780"/>
    <w:rsid w:val="00473064"/>
    <w:rsid w:val="00473857"/>
    <w:rsid w:val="00473DF9"/>
    <w:rsid w:val="00474155"/>
    <w:rsid w:val="00474E85"/>
    <w:rsid w:val="00474EA6"/>
    <w:rsid w:val="0047507D"/>
    <w:rsid w:val="00475107"/>
    <w:rsid w:val="00475645"/>
    <w:rsid w:val="00475994"/>
    <w:rsid w:val="00475E49"/>
    <w:rsid w:val="004763DA"/>
    <w:rsid w:val="00476734"/>
    <w:rsid w:val="00476CDA"/>
    <w:rsid w:val="004800B2"/>
    <w:rsid w:val="004813BE"/>
    <w:rsid w:val="0048337D"/>
    <w:rsid w:val="004845CC"/>
    <w:rsid w:val="00485214"/>
    <w:rsid w:val="00485452"/>
    <w:rsid w:val="00487615"/>
    <w:rsid w:val="004879FB"/>
    <w:rsid w:val="00487B08"/>
    <w:rsid w:val="00487DF1"/>
    <w:rsid w:val="00487EA4"/>
    <w:rsid w:val="004903DF"/>
    <w:rsid w:val="004909E7"/>
    <w:rsid w:val="0049122F"/>
    <w:rsid w:val="004912D6"/>
    <w:rsid w:val="004919B7"/>
    <w:rsid w:val="00493001"/>
    <w:rsid w:val="00493685"/>
    <w:rsid w:val="00493BA3"/>
    <w:rsid w:val="00494096"/>
    <w:rsid w:val="004953E0"/>
    <w:rsid w:val="00495B56"/>
    <w:rsid w:val="00495C6B"/>
    <w:rsid w:val="004962D3"/>
    <w:rsid w:val="004966B4"/>
    <w:rsid w:val="0049711A"/>
    <w:rsid w:val="00497632"/>
    <w:rsid w:val="004A089B"/>
    <w:rsid w:val="004A0F1B"/>
    <w:rsid w:val="004A0F43"/>
    <w:rsid w:val="004A2DF1"/>
    <w:rsid w:val="004A30A3"/>
    <w:rsid w:val="004A3202"/>
    <w:rsid w:val="004A4882"/>
    <w:rsid w:val="004A4A0E"/>
    <w:rsid w:val="004A59A7"/>
    <w:rsid w:val="004A624B"/>
    <w:rsid w:val="004A72AC"/>
    <w:rsid w:val="004A73A8"/>
    <w:rsid w:val="004A74D2"/>
    <w:rsid w:val="004B07AC"/>
    <w:rsid w:val="004B1E82"/>
    <w:rsid w:val="004B24A5"/>
    <w:rsid w:val="004B2AFF"/>
    <w:rsid w:val="004B300D"/>
    <w:rsid w:val="004B4628"/>
    <w:rsid w:val="004B49AE"/>
    <w:rsid w:val="004B50E4"/>
    <w:rsid w:val="004B5491"/>
    <w:rsid w:val="004B68CA"/>
    <w:rsid w:val="004B7E72"/>
    <w:rsid w:val="004C04DA"/>
    <w:rsid w:val="004C12AE"/>
    <w:rsid w:val="004C29F9"/>
    <w:rsid w:val="004C2EEC"/>
    <w:rsid w:val="004C321C"/>
    <w:rsid w:val="004C338D"/>
    <w:rsid w:val="004C51E7"/>
    <w:rsid w:val="004C5977"/>
    <w:rsid w:val="004C65CF"/>
    <w:rsid w:val="004C6BDB"/>
    <w:rsid w:val="004C7048"/>
    <w:rsid w:val="004C7351"/>
    <w:rsid w:val="004D021A"/>
    <w:rsid w:val="004D1128"/>
    <w:rsid w:val="004D1155"/>
    <w:rsid w:val="004D15C4"/>
    <w:rsid w:val="004D1923"/>
    <w:rsid w:val="004D1F0C"/>
    <w:rsid w:val="004D317E"/>
    <w:rsid w:val="004D3EA0"/>
    <w:rsid w:val="004D4214"/>
    <w:rsid w:val="004D45ED"/>
    <w:rsid w:val="004D50D7"/>
    <w:rsid w:val="004D5451"/>
    <w:rsid w:val="004D5E34"/>
    <w:rsid w:val="004D6A4A"/>
    <w:rsid w:val="004D7385"/>
    <w:rsid w:val="004D7623"/>
    <w:rsid w:val="004D7CE3"/>
    <w:rsid w:val="004E0A17"/>
    <w:rsid w:val="004E1DFF"/>
    <w:rsid w:val="004E2586"/>
    <w:rsid w:val="004E2828"/>
    <w:rsid w:val="004E361A"/>
    <w:rsid w:val="004E36F1"/>
    <w:rsid w:val="004E48E0"/>
    <w:rsid w:val="004E4B10"/>
    <w:rsid w:val="004E5B94"/>
    <w:rsid w:val="004E647C"/>
    <w:rsid w:val="004E6A51"/>
    <w:rsid w:val="004E6AB0"/>
    <w:rsid w:val="004E7363"/>
    <w:rsid w:val="004E7A65"/>
    <w:rsid w:val="004E7B2F"/>
    <w:rsid w:val="004F039B"/>
    <w:rsid w:val="004F0D68"/>
    <w:rsid w:val="004F10CB"/>
    <w:rsid w:val="004F26E3"/>
    <w:rsid w:val="004F3310"/>
    <w:rsid w:val="004F3D93"/>
    <w:rsid w:val="004F7124"/>
    <w:rsid w:val="004F7238"/>
    <w:rsid w:val="004F79BB"/>
    <w:rsid w:val="004F7B34"/>
    <w:rsid w:val="004F7CC5"/>
    <w:rsid w:val="00500100"/>
    <w:rsid w:val="005016BA"/>
    <w:rsid w:val="00501E30"/>
    <w:rsid w:val="00502674"/>
    <w:rsid w:val="00502CF7"/>
    <w:rsid w:val="00502F82"/>
    <w:rsid w:val="00504EC8"/>
    <w:rsid w:val="0050524B"/>
    <w:rsid w:val="00505A4C"/>
    <w:rsid w:val="005060F4"/>
    <w:rsid w:val="0050625F"/>
    <w:rsid w:val="00506EC6"/>
    <w:rsid w:val="00507057"/>
    <w:rsid w:val="00507513"/>
    <w:rsid w:val="005078D4"/>
    <w:rsid w:val="00507F62"/>
    <w:rsid w:val="005106BB"/>
    <w:rsid w:val="00512408"/>
    <w:rsid w:val="00512E29"/>
    <w:rsid w:val="00514765"/>
    <w:rsid w:val="005150F0"/>
    <w:rsid w:val="00515E11"/>
    <w:rsid w:val="00515F51"/>
    <w:rsid w:val="00516C4B"/>
    <w:rsid w:val="005202DF"/>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FD"/>
    <w:rsid w:val="00536FE3"/>
    <w:rsid w:val="00537395"/>
    <w:rsid w:val="00537A83"/>
    <w:rsid w:val="00537D0D"/>
    <w:rsid w:val="00540386"/>
    <w:rsid w:val="005405ED"/>
    <w:rsid w:val="00540E23"/>
    <w:rsid w:val="005435BE"/>
    <w:rsid w:val="00543C15"/>
    <w:rsid w:val="0054426A"/>
    <w:rsid w:val="005447EE"/>
    <w:rsid w:val="0054498D"/>
    <w:rsid w:val="00544A32"/>
    <w:rsid w:val="00545BC0"/>
    <w:rsid w:val="00545F5C"/>
    <w:rsid w:val="005461E1"/>
    <w:rsid w:val="0054654B"/>
    <w:rsid w:val="005475E3"/>
    <w:rsid w:val="005479B7"/>
    <w:rsid w:val="00547F30"/>
    <w:rsid w:val="00550ED3"/>
    <w:rsid w:val="005514E2"/>
    <w:rsid w:val="0055177F"/>
    <w:rsid w:val="00553673"/>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F21"/>
    <w:rsid w:val="00565491"/>
    <w:rsid w:val="005661B9"/>
    <w:rsid w:val="00566239"/>
    <w:rsid w:val="00566F61"/>
    <w:rsid w:val="005674D8"/>
    <w:rsid w:val="00570149"/>
    <w:rsid w:val="005701CA"/>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797B"/>
    <w:rsid w:val="00590CF3"/>
    <w:rsid w:val="00590D4B"/>
    <w:rsid w:val="00591300"/>
    <w:rsid w:val="0059155B"/>
    <w:rsid w:val="005939A3"/>
    <w:rsid w:val="005945A4"/>
    <w:rsid w:val="00594F8D"/>
    <w:rsid w:val="005954FA"/>
    <w:rsid w:val="0059556E"/>
    <w:rsid w:val="0059575D"/>
    <w:rsid w:val="005962F2"/>
    <w:rsid w:val="00597C08"/>
    <w:rsid w:val="00597C71"/>
    <w:rsid w:val="005A0159"/>
    <w:rsid w:val="005A0470"/>
    <w:rsid w:val="005A13C3"/>
    <w:rsid w:val="005A156C"/>
    <w:rsid w:val="005A2C79"/>
    <w:rsid w:val="005A2C95"/>
    <w:rsid w:val="005A4489"/>
    <w:rsid w:val="005A4824"/>
    <w:rsid w:val="005A4A67"/>
    <w:rsid w:val="005A7600"/>
    <w:rsid w:val="005A7990"/>
    <w:rsid w:val="005A7BB3"/>
    <w:rsid w:val="005A7D7B"/>
    <w:rsid w:val="005A7F25"/>
    <w:rsid w:val="005B0016"/>
    <w:rsid w:val="005B0023"/>
    <w:rsid w:val="005B083D"/>
    <w:rsid w:val="005B0897"/>
    <w:rsid w:val="005B0C61"/>
    <w:rsid w:val="005B0CCD"/>
    <w:rsid w:val="005B1077"/>
    <w:rsid w:val="005B265A"/>
    <w:rsid w:val="005B27DE"/>
    <w:rsid w:val="005B2A79"/>
    <w:rsid w:val="005B36F9"/>
    <w:rsid w:val="005B4B5E"/>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3EC"/>
    <w:rsid w:val="005C687D"/>
    <w:rsid w:val="005C6E03"/>
    <w:rsid w:val="005D1042"/>
    <w:rsid w:val="005D1171"/>
    <w:rsid w:val="005D1252"/>
    <w:rsid w:val="005D1811"/>
    <w:rsid w:val="005D200F"/>
    <w:rsid w:val="005D268B"/>
    <w:rsid w:val="005D42A4"/>
    <w:rsid w:val="005D46D5"/>
    <w:rsid w:val="005D5FAF"/>
    <w:rsid w:val="005D61A6"/>
    <w:rsid w:val="005D6594"/>
    <w:rsid w:val="005D676C"/>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7268"/>
    <w:rsid w:val="006007A0"/>
    <w:rsid w:val="00600E31"/>
    <w:rsid w:val="00602665"/>
    <w:rsid w:val="00604C63"/>
    <w:rsid w:val="006051D9"/>
    <w:rsid w:val="00605E1F"/>
    <w:rsid w:val="00605FEF"/>
    <w:rsid w:val="00606A0F"/>
    <w:rsid w:val="00606B4E"/>
    <w:rsid w:val="00607983"/>
    <w:rsid w:val="00610396"/>
    <w:rsid w:val="00610D2B"/>
    <w:rsid w:val="00610F9E"/>
    <w:rsid w:val="0061285E"/>
    <w:rsid w:val="00612A1C"/>
    <w:rsid w:val="00613F1C"/>
    <w:rsid w:val="00614061"/>
    <w:rsid w:val="00614ACF"/>
    <w:rsid w:val="00614D30"/>
    <w:rsid w:val="00614DD3"/>
    <w:rsid w:val="00615291"/>
    <w:rsid w:val="006158C1"/>
    <w:rsid w:val="00616000"/>
    <w:rsid w:val="006160CF"/>
    <w:rsid w:val="006163CD"/>
    <w:rsid w:val="00616B11"/>
    <w:rsid w:val="00617FA8"/>
    <w:rsid w:val="00621D97"/>
    <w:rsid w:val="00621F81"/>
    <w:rsid w:val="00623045"/>
    <w:rsid w:val="00623633"/>
    <w:rsid w:val="00624F7E"/>
    <w:rsid w:val="006262A8"/>
    <w:rsid w:val="006270DE"/>
    <w:rsid w:val="00627BC7"/>
    <w:rsid w:val="006300F5"/>
    <w:rsid w:val="0063144A"/>
    <w:rsid w:val="00631456"/>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1869"/>
    <w:rsid w:val="00642040"/>
    <w:rsid w:val="00642C58"/>
    <w:rsid w:val="00642FAD"/>
    <w:rsid w:val="0064323E"/>
    <w:rsid w:val="00643C5D"/>
    <w:rsid w:val="00644C9C"/>
    <w:rsid w:val="00645C6F"/>
    <w:rsid w:val="0064782E"/>
    <w:rsid w:val="00650096"/>
    <w:rsid w:val="0065066B"/>
    <w:rsid w:val="0065093A"/>
    <w:rsid w:val="00650D31"/>
    <w:rsid w:val="0065133F"/>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45E3"/>
    <w:rsid w:val="00667610"/>
    <w:rsid w:val="00667A94"/>
    <w:rsid w:val="00670617"/>
    <w:rsid w:val="00671EB0"/>
    <w:rsid w:val="00672082"/>
    <w:rsid w:val="006732C7"/>
    <w:rsid w:val="006751FC"/>
    <w:rsid w:val="0067601C"/>
    <w:rsid w:val="006761D8"/>
    <w:rsid w:val="006764DC"/>
    <w:rsid w:val="00676584"/>
    <w:rsid w:val="006776ED"/>
    <w:rsid w:val="00677A1C"/>
    <w:rsid w:val="0068006E"/>
    <w:rsid w:val="00680C7E"/>
    <w:rsid w:val="006826E6"/>
    <w:rsid w:val="00682A19"/>
    <w:rsid w:val="00682F41"/>
    <w:rsid w:val="006830C1"/>
    <w:rsid w:val="006835E8"/>
    <w:rsid w:val="00684056"/>
    <w:rsid w:val="006843F9"/>
    <w:rsid w:val="00684BD3"/>
    <w:rsid w:val="006862B8"/>
    <w:rsid w:val="00687E40"/>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20A0"/>
    <w:rsid w:val="006A33DE"/>
    <w:rsid w:val="006A4417"/>
    <w:rsid w:val="006A514E"/>
    <w:rsid w:val="006A5EC2"/>
    <w:rsid w:val="006A5FAF"/>
    <w:rsid w:val="006A7394"/>
    <w:rsid w:val="006A7A64"/>
    <w:rsid w:val="006A7FDE"/>
    <w:rsid w:val="006B02CB"/>
    <w:rsid w:val="006B0F62"/>
    <w:rsid w:val="006B0FC0"/>
    <w:rsid w:val="006B14BB"/>
    <w:rsid w:val="006B2E67"/>
    <w:rsid w:val="006B32D3"/>
    <w:rsid w:val="006B3AAB"/>
    <w:rsid w:val="006B3B25"/>
    <w:rsid w:val="006B477C"/>
    <w:rsid w:val="006B5D28"/>
    <w:rsid w:val="006B5E6B"/>
    <w:rsid w:val="006B68D9"/>
    <w:rsid w:val="006B6E59"/>
    <w:rsid w:val="006B7697"/>
    <w:rsid w:val="006B7994"/>
    <w:rsid w:val="006C04F6"/>
    <w:rsid w:val="006C051A"/>
    <w:rsid w:val="006C06C8"/>
    <w:rsid w:val="006C071C"/>
    <w:rsid w:val="006C1381"/>
    <w:rsid w:val="006C152C"/>
    <w:rsid w:val="006C1F2D"/>
    <w:rsid w:val="006C47C3"/>
    <w:rsid w:val="006C49A3"/>
    <w:rsid w:val="006C4E80"/>
    <w:rsid w:val="006C654A"/>
    <w:rsid w:val="006C675A"/>
    <w:rsid w:val="006D0E13"/>
    <w:rsid w:val="006D27BA"/>
    <w:rsid w:val="006D3806"/>
    <w:rsid w:val="006D3E3C"/>
    <w:rsid w:val="006D435A"/>
    <w:rsid w:val="006D4C22"/>
    <w:rsid w:val="006D5781"/>
    <w:rsid w:val="006D62C4"/>
    <w:rsid w:val="006D704D"/>
    <w:rsid w:val="006D7263"/>
    <w:rsid w:val="006D72D6"/>
    <w:rsid w:val="006D72E7"/>
    <w:rsid w:val="006E0CD7"/>
    <w:rsid w:val="006E1597"/>
    <w:rsid w:val="006E3510"/>
    <w:rsid w:val="006E3C57"/>
    <w:rsid w:val="006E4678"/>
    <w:rsid w:val="006E55B8"/>
    <w:rsid w:val="006E5922"/>
    <w:rsid w:val="006E657D"/>
    <w:rsid w:val="006E6CBC"/>
    <w:rsid w:val="006E6F98"/>
    <w:rsid w:val="006E7F30"/>
    <w:rsid w:val="006F0A2E"/>
    <w:rsid w:val="006F1011"/>
    <w:rsid w:val="006F10E4"/>
    <w:rsid w:val="006F1B07"/>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DB4"/>
    <w:rsid w:val="00710AE8"/>
    <w:rsid w:val="00710D28"/>
    <w:rsid w:val="0071123F"/>
    <w:rsid w:val="00712F80"/>
    <w:rsid w:val="00713635"/>
    <w:rsid w:val="00713B6C"/>
    <w:rsid w:val="00713DB7"/>
    <w:rsid w:val="00715AE9"/>
    <w:rsid w:val="00716890"/>
    <w:rsid w:val="00716B63"/>
    <w:rsid w:val="00717369"/>
    <w:rsid w:val="00717471"/>
    <w:rsid w:val="00720775"/>
    <w:rsid w:val="00721BD9"/>
    <w:rsid w:val="007229F6"/>
    <w:rsid w:val="0072389C"/>
    <w:rsid w:val="007238E9"/>
    <w:rsid w:val="00723C8F"/>
    <w:rsid w:val="0072427F"/>
    <w:rsid w:val="00724AC7"/>
    <w:rsid w:val="00726128"/>
    <w:rsid w:val="0072622F"/>
    <w:rsid w:val="00726486"/>
    <w:rsid w:val="0072652F"/>
    <w:rsid w:val="00726896"/>
    <w:rsid w:val="00726B0D"/>
    <w:rsid w:val="0072756C"/>
    <w:rsid w:val="00730458"/>
    <w:rsid w:val="007310D9"/>
    <w:rsid w:val="00732359"/>
    <w:rsid w:val="007343C9"/>
    <w:rsid w:val="00734659"/>
    <w:rsid w:val="00734718"/>
    <w:rsid w:val="00734C32"/>
    <w:rsid w:val="00735E4E"/>
    <w:rsid w:val="00735F36"/>
    <w:rsid w:val="0073766E"/>
    <w:rsid w:val="00740B17"/>
    <w:rsid w:val="007418D6"/>
    <w:rsid w:val="007433D6"/>
    <w:rsid w:val="00743653"/>
    <w:rsid w:val="00743BE2"/>
    <w:rsid w:val="007459F9"/>
    <w:rsid w:val="0074780B"/>
    <w:rsid w:val="00747D9E"/>
    <w:rsid w:val="00751457"/>
    <w:rsid w:val="00751493"/>
    <w:rsid w:val="007516F5"/>
    <w:rsid w:val="00751D1C"/>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1EC4"/>
    <w:rsid w:val="00774037"/>
    <w:rsid w:val="0077410B"/>
    <w:rsid w:val="00774395"/>
    <w:rsid w:val="00774CD6"/>
    <w:rsid w:val="007752B8"/>
    <w:rsid w:val="00776085"/>
    <w:rsid w:val="007767A0"/>
    <w:rsid w:val="00776907"/>
    <w:rsid w:val="00776A94"/>
    <w:rsid w:val="00776DD1"/>
    <w:rsid w:val="00777758"/>
    <w:rsid w:val="00780182"/>
    <w:rsid w:val="0078035D"/>
    <w:rsid w:val="0078141F"/>
    <w:rsid w:val="007816C1"/>
    <w:rsid w:val="0078278F"/>
    <w:rsid w:val="00782DBD"/>
    <w:rsid w:val="00783320"/>
    <w:rsid w:val="00783AAD"/>
    <w:rsid w:val="007840AF"/>
    <w:rsid w:val="00784323"/>
    <w:rsid w:val="00784BFD"/>
    <w:rsid w:val="0078503E"/>
    <w:rsid w:val="00785C21"/>
    <w:rsid w:val="00785D45"/>
    <w:rsid w:val="00787791"/>
    <w:rsid w:val="0078795A"/>
    <w:rsid w:val="00787CDB"/>
    <w:rsid w:val="00790323"/>
    <w:rsid w:val="00791C3F"/>
    <w:rsid w:val="00792E3A"/>
    <w:rsid w:val="007930BF"/>
    <w:rsid w:val="0079413F"/>
    <w:rsid w:val="00794527"/>
    <w:rsid w:val="0079473A"/>
    <w:rsid w:val="007947C9"/>
    <w:rsid w:val="00796767"/>
    <w:rsid w:val="00796C3A"/>
    <w:rsid w:val="00797824"/>
    <w:rsid w:val="007A068D"/>
    <w:rsid w:val="007A0FCA"/>
    <w:rsid w:val="007A17B1"/>
    <w:rsid w:val="007A17E7"/>
    <w:rsid w:val="007A236F"/>
    <w:rsid w:val="007A2802"/>
    <w:rsid w:val="007A2C24"/>
    <w:rsid w:val="007A2E8C"/>
    <w:rsid w:val="007A4E67"/>
    <w:rsid w:val="007A688C"/>
    <w:rsid w:val="007A70A3"/>
    <w:rsid w:val="007A70D6"/>
    <w:rsid w:val="007A7764"/>
    <w:rsid w:val="007B0E47"/>
    <w:rsid w:val="007B1608"/>
    <w:rsid w:val="007B1A17"/>
    <w:rsid w:val="007B31DC"/>
    <w:rsid w:val="007B4671"/>
    <w:rsid w:val="007B53A6"/>
    <w:rsid w:val="007B5D3A"/>
    <w:rsid w:val="007B73AB"/>
    <w:rsid w:val="007B7735"/>
    <w:rsid w:val="007B7E52"/>
    <w:rsid w:val="007C013D"/>
    <w:rsid w:val="007C1E41"/>
    <w:rsid w:val="007C1E4D"/>
    <w:rsid w:val="007C227F"/>
    <w:rsid w:val="007C2B54"/>
    <w:rsid w:val="007C3292"/>
    <w:rsid w:val="007C3939"/>
    <w:rsid w:val="007C40E7"/>
    <w:rsid w:val="007C4BF3"/>
    <w:rsid w:val="007C7179"/>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A78"/>
    <w:rsid w:val="007E0059"/>
    <w:rsid w:val="007E006A"/>
    <w:rsid w:val="007E0152"/>
    <w:rsid w:val="007E0215"/>
    <w:rsid w:val="007E155B"/>
    <w:rsid w:val="007E17BF"/>
    <w:rsid w:val="007E1922"/>
    <w:rsid w:val="007E2A9E"/>
    <w:rsid w:val="007E2E74"/>
    <w:rsid w:val="007E35AA"/>
    <w:rsid w:val="007E3E5E"/>
    <w:rsid w:val="007E462F"/>
    <w:rsid w:val="007E6191"/>
    <w:rsid w:val="007E6C94"/>
    <w:rsid w:val="007E7C1F"/>
    <w:rsid w:val="007F0C5D"/>
    <w:rsid w:val="007F1CDD"/>
    <w:rsid w:val="007F1DC9"/>
    <w:rsid w:val="007F2C37"/>
    <w:rsid w:val="007F465A"/>
    <w:rsid w:val="007F5FF4"/>
    <w:rsid w:val="007F69AB"/>
    <w:rsid w:val="007F718C"/>
    <w:rsid w:val="008002EB"/>
    <w:rsid w:val="00800C09"/>
    <w:rsid w:val="008015E0"/>
    <w:rsid w:val="00801C97"/>
    <w:rsid w:val="00801F6A"/>
    <w:rsid w:val="0080206D"/>
    <w:rsid w:val="008039B6"/>
    <w:rsid w:val="00803E83"/>
    <w:rsid w:val="00804090"/>
    <w:rsid w:val="00804AD4"/>
    <w:rsid w:val="00804E73"/>
    <w:rsid w:val="00804F1A"/>
    <w:rsid w:val="0080577D"/>
    <w:rsid w:val="008060D0"/>
    <w:rsid w:val="00806705"/>
    <w:rsid w:val="00807310"/>
    <w:rsid w:val="008104D5"/>
    <w:rsid w:val="00812E1E"/>
    <w:rsid w:val="008138FB"/>
    <w:rsid w:val="0081408A"/>
    <w:rsid w:val="00814444"/>
    <w:rsid w:val="00816448"/>
    <w:rsid w:val="00816AE5"/>
    <w:rsid w:val="00817CAC"/>
    <w:rsid w:val="00817D79"/>
    <w:rsid w:val="0082015A"/>
    <w:rsid w:val="00820AC6"/>
    <w:rsid w:val="00820DA5"/>
    <w:rsid w:val="00822C19"/>
    <w:rsid w:val="008237D0"/>
    <w:rsid w:val="00823BFA"/>
    <w:rsid w:val="0082414B"/>
    <w:rsid w:val="0082610F"/>
    <w:rsid w:val="00826115"/>
    <w:rsid w:val="00826397"/>
    <w:rsid w:val="00826B47"/>
    <w:rsid w:val="00827665"/>
    <w:rsid w:val="00827B67"/>
    <w:rsid w:val="00827E0C"/>
    <w:rsid w:val="00831753"/>
    <w:rsid w:val="00831D5B"/>
    <w:rsid w:val="00831E2A"/>
    <w:rsid w:val="0083233C"/>
    <w:rsid w:val="00832401"/>
    <w:rsid w:val="00834593"/>
    <w:rsid w:val="00834706"/>
    <w:rsid w:val="00834CCF"/>
    <w:rsid w:val="00836212"/>
    <w:rsid w:val="00836E2B"/>
    <w:rsid w:val="0083740B"/>
    <w:rsid w:val="00840195"/>
    <w:rsid w:val="00840915"/>
    <w:rsid w:val="008439D9"/>
    <w:rsid w:val="00843E9C"/>
    <w:rsid w:val="008442E0"/>
    <w:rsid w:val="008447D0"/>
    <w:rsid w:val="008448ED"/>
    <w:rsid w:val="00846CAB"/>
    <w:rsid w:val="008512D7"/>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6CB3"/>
    <w:rsid w:val="00856FFD"/>
    <w:rsid w:val="00857929"/>
    <w:rsid w:val="00860EE1"/>
    <w:rsid w:val="00861FA6"/>
    <w:rsid w:val="008641E7"/>
    <w:rsid w:val="008647FC"/>
    <w:rsid w:val="00864990"/>
    <w:rsid w:val="00865999"/>
    <w:rsid w:val="00867A79"/>
    <w:rsid w:val="00870E6F"/>
    <w:rsid w:val="00870EBF"/>
    <w:rsid w:val="00871AD5"/>
    <w:rsid w:val="00871D62"/>
    <w:rsid w:val="008729E4"/>
    <w:rsid w:val="0087300A"/>
    <w:rsid w:val="00873ACC"/>
    <w:rsid w:val="008748FB"/>
    <w:rsid w:val="00874B3A"/>
    <w:rsid w:val="00874CBE"/>
    <w:rsid w:val="0087515C"/>
    <w:rsid w:val="00875484"/>
    <w:rsid w:val="0087578E"/>
    <w:rsid w:val="00876737"/>
    <w:rsid w:val="00880B5A"/>
    <w:rsid w:val="0088174B"/>
    <w:rsid w:val="00881DA2"/>
    <w:rsid w:val="008832D9"/>
    <w:rsid w:val="00884A2C"/>
    <w:rsid w:val="008852F2"/>
    <w:rsid w:val="00885523"/>
    <w:rsid w:val="00885968"/>
    <w:rsid w:val="0088597B"/>
    <w:rsid w:val="00886533"/>
    <w:rsid w:val="00886848"/>
    <w:rsid w:val="008879CF"/>
    <w:rsid w:val="00891335"/>
    <w:rsid w:val="00893211"/>
    <w:rsid w:val="0089372D"/>
    <w:rsid w:val="008938A6"/>
    <w:rsid w:val="008954E4"/>
    <w:rsid w:val="00895A11"/>
    <w:rsid w:val="0089635F"/>
    <w:rsid w:val="00896C55"/>
    <w:rsid w:val="00896C61"/>
    <w:rsid w:val="00897764"/>
    <w:rsid w:val="00897A87"/>
    <w:rsid w:val="008A02EE"/>
    <w:rsid w:val="008A0801"/>
    <w:rsid w:val="008A1544"/>
    <w:rsid w:val="008A2BCC"/>
    <w:rsid w:val="008A3D8D"/>
    <w:rsid w:val="008A3DDC"/>
    <w:rsid w:val="008A55D2"/>
    <w:rsid w:val="008B0AAD"/>
    <w:rsid w:val="008B1B3B"/>
    <w:rsid w:val="008B2C45"/>
    <w:rsid w:val="008B48DB"/>
    <w:rsid w:val="008B496B"/>
    <w:rsid w:val="008B508B"/>
    <w:rsid w:val="008B5B27"/>
    <w:rsid w:val="008B6125"/>
    <w:rsid w:val="008B74DD"/>
    <w:rsid w:val="008B77C5"/>
    <w:rsid w:val="008B7869"/>
    <w:rsid w:val="008C0079"/>
    <w:rsid w:val="008C0A51"/>
    <w:rsid w:val="008C0C3D"/>
    <w:rsid w:val="008C2218"/>
    <w:rsid w:val="008C295E"/>
    <w:rsid w:val="008C36A3"/>
    <w:rsid w:val="008C37E4"/>
    <w:rsid w:val="008C45F5"/>
    <w:rsid w:val="008C499F"/>
    <w:rsid w:val="008C4BDF"/>
    <w:rsid w:val="008C515C"/>
    <w:rsid w:val="008C5269"/>
    <w:rsid w:val="008C58B9"/>
    <w:rsid w:val="008C5B6B"/>
    <w:rsid w:val="008C60A2"/>
    <w:rsid w:val="008C6B6B"/>
    <w:rsid w:val="008C6E45"/>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E7E"/>
    <w:rsid w:val="008D4388"/>
    <w:rsid w:val="008D45E9"/>
    <w:rsid w:val="008D4EBE"/>
    <w:rsid w:val="008D5D65"/>
    <w:rsid w:val="008D61CE"/>
    <w:rsid w:val="008D6C35"/>
    <w:rsid w:val="008E0250"/>
    <w:rsid w:val="008E058E"/>
    <w:rsid w:val="008E27D0"/>
    <w:rsid w:val="008E3071"/>
    <w:rsid w:val="008E5F21"/>
    <w:rsid w:val="008E6A63"/>
    <w:rsid w:val="008E6CF8"/>
    <w:rsid w:val="008E7CFA"/>
    <w:rsid w:val="008F02D0"/>
    <w:rsid w:val="008F0CC0"/>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74D4"/>
    <w:rsid w:val="00907E56"/>
    <w:rsid w:val="00907E99"/>
    <w:rsid w:val="00907EA3"/>
    <w:rsid w:val="00912394"/>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552A"/>
    <w:rsid w:val="00926594"/>
    <w:rsid w:val="0092695B"/>
    <w:rsid w:val="00930A66"/>
    <w:rsid w:val="00930A91"/>
    <w:rsid w:val="0093160A"/>
    <w:rsid w:val="00931763"/>
    <w:rsid w:val="0093237F"/>
    <w:rsid w:val="009328A7"/>
    <w:rsid w:val="00932F92"/>
    <w:rsid w:val="00934541"/>
    <w:rsid w:val="009347D5"/>
    <w:rsid w:val="00935936"/>
    <w:rsid w:val="00935E30"/>
    <w:rsid w:val="00935FFF"/>
    <w:rsid w:val="0093646F"/>
    <w:rsid w:val="00936A1A"/>
    <w:rsid w:val="00936A93"/>
    <w:rsid w:val="009375E6"/>
    <w:rsid w:val="0094056F"/>
    <w:rsid w:val="0094066A"/>
    <w:rsid w:val="0094115F"/>
    <w:rsid w:val="00943E10"/>
    <w:rsid w:val="00944855"/>
    <w:rsid w:val="009448F1"/>
    <w:rsid w:val="00945E65"/>
    <w:rsid w:val="00946D0E"/>
    <w:rsid w:val="0094705A"/>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8A6"/>
    <w:rsid w:val="00964B4E"/>
    <w:rsid w:val="0096656D"/>
    <w:rsid w:val="009667DE"/>
    <w:rsid w:val="00966D5B"/>
    <w:rsid w:val="00967EDC"/>
    <w:rsid w:val="00971B99"/>
    <w:rsid w:val="00971B9B"/>
    <w:rsid w:val="00971E06"/>
    <w:rsid w:val="00972349"/>
    <w:rsid w:val="0097271B"/>
    <w:rsid w:val="0097286D"/>
    <w:rsid w:val="00973212"/>
    <w:rsid w:val="00973823"/>
    <w:rsid w:val="0097390B"/>
    <w:rsid w:val="00976729"/>
    <w:rsid w:val="0097686A"/>
    <w:rsid w:val="00980170"/>
    <w:rsid w:val="00981087"/>
    <w:rsid w:val="00981326"/>
    <w:rsid w:val="009818EE"/>
    <w:rsid w:val="00981B05"/>
    <w:rsid w:val="00983BE8"/>
    <w:rsid w:val="00983CD6"/>
    <w:rsid w:val="00984902"/>
    <w:rsid w:val="009852C8"/>
    <w:rsid w:val="00985F3B"/>
    <w:rsid w:val="00986CA0"/>
    <w:rsid w:val="00990115"/>
    <w:rsid w:val="0099011B"/>
    <w:rsid w:val="0099177C"/>
    <w:rsid w:val="00991EBE"/>
    <w:rsid w:val="0099207D"/>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AF0"/>
    <w:rsid w:val="009A5FFB"/>
    <w:rsid w:val="009A608C"/>
    <w:rsid w:val="009A62EA"/>
    <w:rsid w:val="009A65EB"/>
    <w:rsid w:val="009A68E8"/>
    <w:rsid w:val="009B1302"/>
    <w:rsid w:val="009B136D"/>
    <w:rsid w:val="009B1E7E"/>
    <w:rsid w:val="009B1F0E"/>
    <w:rsid w:val="009B5892"/>
    <w:rsid w:val="009B5958"/>
    <w:rsid w:val="009B597F"/>
    <w:rsid w:val="009B63D5"/>
    <w:rsid w:val="009C0B95"/>
    <w:rsid w:val="009C0ECF"/>
    <w:rsid w:val="009C2177"/>
    <w:rsid w:val="009C231C"/>
    <w:rsid w:val="009C23F0"/>
    <w:rsid w:val="009C2A14"/>
    <w:rsid w:val="009C2C83"/>
    <w:rsid w:val="009C31D6"/>
    <w:rsid w:val="009C3BF9"/>
    <w:rsid w:val="009C4FE5"/>
    <w:rsid w:val="009C61DB"/>
    <w:rsid w:val="009C6451"/>
    <w:rsid w:val="009D07C2"/>
    <w:rsid w:val="009D2C65"/>
    <w:rsid w:val="009D2FB0"/>
    <w:rsid w:val="009D3358"/>
    <w:rsid w:val="009D38AE"/>
    <w:rsid w:val="009D5CAD"/>
    <w:rsid w:val="009D6703"/>
    <w:rsid w:val="009D6713"/>
    <w:rsid w:val="009D6F74"/>
    <w:rsid w:val="009D74EB"/>
    <w:rsid w:val="009D7CC1"/>
    <w:rsid w:val="009D7E51"/>
    <w:rsid w:val="009E04D2"/>
    <w:rsid w:val="009E0A3F"/>
    <w:rsid w:val="009E0D5C"/>
    <w:rsid w:val="009E1C61"/>
    <w:rsid w:val="009E1E06"/>
    <w:rsid w:val="009E20E5"/>
    <w:rsid w:val="009E2317"/>
    <w:rsid w:val="009E360E"/>
    <w:rsid w:val="009E3673"/>
    <w:rsid w:val="009E3733"/>
    <w:rsid w:val="009E3D70"/>
    <w:rsid w:val="009E3D91"/>
    <w:rsid w:val="009E3FCC"/>
    <w:rsid w:val="009E461F"/>
    <w:rsid w:val="009E5744"/>
    <w:rsid w:val="009E7536"/>
    <w:rsid w:val="009F034C"/>
    <w:rsid w:val="009F0449"/>
    <w:rsid w:val="009F065A"/>
    <w:rsid w:val="009F10C3"/>
    <w:rsid w:val="009F1151"/>
    <w:rsid w:val="009F12B2"/>
    <w:rsid w:val="009F1314"/>
    <w:rsid w:val="009F15CB"/>
    <w:rsid w:val="009F1ABA"/>
    <w:rsid w:val="009F23F9"/>
    <w:rsid w:val="009F5B63"/>
    <w:rsid w:val="009F6D92"/>
    <w:rsid w:val="00A013E1"/>
    <w:rsid w:val="00A01693"/>
    <w:rsid w:val="00A01729"/>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1C97"/>
    <w:rsid w:val="00A2258E"/>
    <w:rsid w:val="00A225EE"/>
    <w:rsid w:val="00A22897"/>
    <w:rsid w:val="00A22DFE"/>
    <w:rsid w:val="00A26BC2"/>
    <w:rsid w:val="00A27434"/>
    <w:rsid w:val="00A317EF"/>
    <w:rsid w:val="00A324D0"/>
    <w:rsid w:val="00A3353E"/>
    <w:rsid w:val="00A336C6"/>
    <w:rsid w:val="00A345FE"/>
    <w:rsid w:val="00A348D5"/>
    <w:rsid w:val="00A34D2F"/>
    <w:rsid w:val="00A36106"/>
    <w:rsid w:val="00A364E6"/>
    <w:rsid w:val="00A36C1B"/>
    <w:rsid w:val="00A41457"/>
    <w:rsid w:val="00A42214"/>
    <w:rsid w:val="00A4290D"/>
    <w:rsid w:val="00A42E4C"/>
    <w:rsid w:val="00A42EA0"/>
    <w:rsid w:val="00A43E1B"/>
    <w:rsid w:val="00A45013"/>
    <w:rsid w:val="00A45CA9"/>
    <w:rsid w:val="00A45F35"/>
    <w:rsid w:val="00A4663B"/>
    <w:rsid w:val="00A47D82"/>
    <w:rsid w:val="00A502AB"/>
    <w:rsid w:val="00A51210"/>
    <w:rsid w:val="00A51826"/>
    <w:rsid w:val="00A5203F"/>
    <w:rsid w:val="00A524E1"/>
    <w:rsid w:val="00A526EB"/>
    <w:rsid w:val="00A5321A"/>
    <w:rsid w:val="00A53334"/>
    <w:rsid w:val="00A53AA8"/>
    <w:rsid w:val="00A53E29"/>
    <w:rsid w:val="00A54DC4"/>
    <w:rsid w:val="00A5502B"/>
    <w:rsid w:val="00A55BC8"/>
    <w:rsid w:val="00A55E0B"/>
    <w:rsid w:val="00A569A4"/>
    <w:rsid w:val="00A56EF8"/>
    <w:rsid w:val="00A5713C"/>
    <w:rsid w:val="00A57AF8"/>
    <w:rsid w:val="00A62960"/>
    <w:rsid w:val="00A63102"/>
    <w:rsid w:val="00A647C5"/>
    <w:rsid w:val="00A64C58"/>
    <w:rsid w:val="00A65DB6"/>
    <w:rsid w:val="00A664C2"/>
    <w:rsid w:val="00A66A5E"/>
    <w:rsid w:val="00A66C26"/>
    <w:rsid w:val="00A70475"/>
    <w:rsid w:val="00A70B83"/>
    <w:rsid w:val="00A70FC2"/>
    <w:rsid w:val="00A71872"/>
    <w:rsid w:val="00A7189D"/>
    <w:rsid w:val="00A72068"/>
    <w:rsid w:val="00A7263F"/>
    <w:rsid w:val="00A72EBA"/>
    <w:rsid w:val="00A745BA"/>
    <w:rsid w:val="00A747E4"/>
    <w:rsid w:val="00A74CE9"/>
    <w:rsid w:val="00A7534A"/>
    <w:rsid w:val="00A7537A"/>
    <w:rsid w:val="00A76128"/>
    <w:rsid w:val="00A81473"/>
    <w:rsid w:val="00A822B1"/>
    <w:rsid w:val="00A82836"/>
    <w:rsid w:val="00A82BD8"/>
    <w:rsid w:val="00A83546"/>
    <w:rsid w:val="00A835AA"/>
    <w:rsid w:val="00A844E9"/>
    <w:rsid w:val="00A849CA"/>
    <w:rsid w:val="00A87B9E"/>
    <w:rsid w:val="00A87DB0"/>
    <w:rsid w:val="00A9003E"/>
    <w:rsid w:val="00A91A35"/>
    <w:rsid w:val="00A91AF0"/>
    <w:rsid w:val="00A9206A"/>
    <w:rsid w:val="00A926BE"/>
    <w:rsid w:val="00A9334E"/>
    <w:rsid w:val="00A93C15"/>
    <w:rsid w:val="00A93EF8"/>
    <w:rsid w:val="00A9403F"/>
    <w:rsid w:val="00A944E0"/>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46AD"/>
    <w:rsid w:val="00AA472F"/>
    <w:rsid w:val="00AA4A2F"/>
    <w:rsid w:val="00AA59F9"/>
    <w:rsid w:val="00AA69A5"/>
    <w:rsid w:val="00AA70C4"/>
    <w:rsid w:val="00AB070A"/>
    <w:rsid w:val="00AB1F30"/>
    <w:rsid w:val="00AB26C9"/>
    <w:rsid w:val="00AB2785"/>
    <w:rsid w:val="00AB2A36"/>
    <w:rsid w:val="00AB3411"/>
    <w:rsid w:val="00AB34D7"/>
    <w:rsid w:val="00AB4179"/>
    <w:rsid w:val="00AB5CA1"/>
    <w:rsid w:val="00AB798D"/>
    <w:rsid w:val="00AC0D2A"/>
    <w:rsid w:val="00AC1A4D"/>
    <w:rsid w:val="00AC200A"/>
    <w:rsid w:val="00AC408E"/>
    <w:rsid w:val="00AC478D"/>
    <w:rsid w:val="00AC4ED3"/>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AB7"/>
    <w:rsid w:val="00AE0B3F"/>
    <w:rsid w:val="00AE0B66"/>
    <w:rsid w:val="00AE1406"/>
    <w:rsid w:val="00AE2B57"/>
    <w:rsid w:val="00AE2E25"/>
    <w:rsid w:val="00AE30F9"/>
    <w:rsid w:val="00AE32ED"/>
    <w:rsid w:val="00AE365B"/>
    <w:rsid w:val="00AE397C"/>
    <w:rsid w:val="00AE66E5"/>
    <w:rsid w:val="00AE6827"/>
    <w:rsid w:val="00AE7D04"/>
    <w:rsid w:val="00AE7FB0"/>
    <w:rsid w:val="00AF130F"/>
    <w:rsid w:val="00AF1380"/>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7F37"/>
    <w:rsid w:val="00B10774"/>
    <w:rsid w:val="00B1092C"/>
    <w:rsid w:val="00B10B14"/>
    <w:rsid w:val="00B11E3F"/>
    <w:rsid w:val="00B12C3E"/>
    <w:rsid w:val="00B13906"/>
    <w:rsid w:val="00B1436A"/>
    <w:rsid w:val="00B14396"/>
    <w:rsid w:val="00B14509"/>
    <w:rsid w:val="00B148CC"/>
    <w:rsid w:val="00B15103"/>
    <w:rsid w:val="00B1663C"/>
    <w:rsid w:val="00B16EA0"/>
    <w:rsid w:val="00B16F42"/>
    <w:rsid w:val="00B175EE"/>
    <w:rsid w:val="00B17814"/>
    <w:rsid w:val="00B17BB0"/>
    <w:rsid w:val="00B2129A"/>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51B8"/>
    <w:rsid w:val="00B3529C"/>
    <w:rsid w:val="00B358D9"/>
    <w:rsid w:val="00B367B5"/>
    <w:rsid w:val="00B37455"/>
    <w:rsid w:val="00B37891"/>
    <w:rsid w:val="00B41A92"/>
    <w:rsid w:val="00B421E5"/>
    <w:rsid w:val="00B4266B"/>
    <w:rsid w:val="00B42840"/>
    <w:rsid w:val="00B42C0C"/>
    <w:rsid w:val="00B43A91"/>
    <w:rsid w:val="00B443A6"/>
    <w:rsid w:val="00B44803"/>
    <w:rsid w:val="00B4562D"/>
    <w:rsid w:val="00B45D81"/>
    <w:rsid w:val="00B46622"/>
    <w:rsid w:val="00B4689B"/>
    <w:rsid w:val="00B4757F"/>
    <w:rsid w:val="00B50964"/>
    <w:rsid w:val="00B513EE"/>
    <w:rsid w:val="00B515F7"/>
    <w:rsid w:val="00B5185B"/>
    <w:rsid w:val="00B51C63"/>
    <w:rsid w:val="00B527D1"/>
    <w:rsid w:val="00B541AE"/>
    <w:rsid w:val="00B547C9"/>
    <w:rsid w:val="00B5506A"/>
    <w:rsid w:val="00B55B76"/>
    <w:rsid w:val="00B56363"/>
    <w:rsid w:val="00B56A08"/>
    <w:rsid w:val="00B56D15"/>
    <w:rsid w:val="00B57B37"/>
    <w:rsid w:val="00B57D54"/>
    <w:rsid w:val="00B57FCF"/>
    <w:rsid w:val="00B604CE"/>
    <w:rsid w:val="00B616D6"/>
    <w:rsid w:val="00B61B33"/>
    <w:rsid w:val="00B62850"/>
    <w:rsid w:val="00B62F5A"/>
    <w:rsid w:val="00B632C3"/>
    <w:rsid w:val="00B63ABC"/>
    <w:rsid w:val="00B6412B"/>
    <w:rsid w:val="00B66EDF"/>
    <w:rsid w:val="00B67A7F"/>
    <w:rsid w:val="00B707AB"/>
    <w:rsid w:val="00B70C34"/>
    <w:rsid w:val="00B71141"/>
    <w:rsid w:val="00B71C05"/>
    <w:rsid w:val="00B71D1C"/>
    <w:rsid w:val="00B724C6"/>
    <w:rsid w:val="00B73608"/>
    <w:rsid w:val="00B74583"/>
    <w:rsid w:val="00B77134"/>
    <w:rsid w:val="00B77398"/>
    <w:rsid w:val="00B77436"/>
    <w:rsid w:val="00B776DB"/>
    <w:rsid w:val="00B77A50"/>
    <w:rsid w:val="00B77B2B"/>
    <w:rsid w:val="00B77F7A"/>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762"/>
    <w:rsid w:val="00B95532"/>
    <w:rsid w:val="00B95BB7"/>
    <w:rsid w:val="00B9723D"/>
    <w:rsid w:val="00B975E1"/>
    <w:rsid w:val="00B977CA"/>
    <w:rsid w:val="00B97FDB"/>
    <w:rsid w:val="00BA0166"/>
    <w:rsid w:val="00BA0172"/>
    <w:rsid w:val="00BA1981"/>
    <w:rsid w:val="00BA1D6E"/>
    <w:rsid w:val="00BA21F8"/>
    <w:rsid w:val="00BA24AA"/>
    <w:rsid w:val="00BA2BBD"/>
    <w:rsid w:val="00BA39A8"/>
    <w:rsid w:val="00BA3C80"/>
    <w:rsid w:val="00BA56E3"/>
    <w:rsid w:val="00BA5A57"/>
    <w:rsid w:val="00BA5C92"/>
    <w:rsid w:val="00BA60A4"/>
    <w:rsid w:val="00BA6A9A"/>
    <w:rsid w:val="00BA6D48"/>
    <w:rsid w:val="00BA7435"/>
    <w:rsid w:val="00BB0862"/>
    <w:rsid w:val="00BB163B"/>
    <w:rsid w:val="00BB24DA"/>
    <w:rsid w:val="00BB25D9"/>
    <w:rsid w:val="00BB2B9D"/>
    <w:rsid w:val="00BB2EDC"/>
    <w:rsid w:val="00BB383D"/>
    <w:rsid w:val="00BB3CE5"/>
    <w:rsid w:val="00BB3EA5"/>
    <w:rsid w:val="00BB5ACB"/>
    <w:rsid w:val="00BB608E"/>
    <w:rsid w:val="00BB681F"/>
    <w:rsid w:val="00BB6A48"/>
    <w:rsid w:val="00BB7669"/>
    <w:rsid w:val="00BB78F4"/>
    <w:rsid w:val="00BB7DB1"/>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7A8"/>
    <w:rsid w:val="00BD2C1B"/>
    <w:rsid w:val="00BD31B8"/>
    <w:rsid w:val="00BD3408"/>
    <w:rsid w:val="00BD5801"/>
    <w:rsid w:val="00BD58E0"/>
    <w:rsid w:val="00BD60CB"/>
    <w:rsid w:val="00BD6B4C"/>
    <w:rsid w:val="00BD750C"/>
    <w:rsid w:val="00BD7D12"/>
    <w:rsid w:val="00BE1C7B"/>
    <w:rsid w:val="00BE1F7D"/>
    <w:rsid w:val="00BE323E"/>
    <w:rsid w:val="00BE35EE"/>
    <w:rsid w:val="00BE3706"/>
    <w:rsid w:val="00BE39AA"/>
    <w:rsid w:val="00BE3A35"/>
    <w:rsid w:val="00BE3B56"/>
    <w:rsid w:val="00BE433B"/>
    <w:rsid w:val="00BE468A"/>
    <w:rsid w:val="00BE46D0"/>
    <w:rsid w:val="00BE4A90"/>
    <w:rsid w:val="00BE53BA"/>
    <w:rsid w:val="00BE6EDD"/>
    <w:rsid w:val="00BE7E7F"/>
    <w:rsid w:val="00BF02DC"/>
    <w:rsid w:val="00BF1106"/>
    <w:rsid w:val="00BF129D"/>
    <w:rsid w:val="00BF13DA"/>
    <w:rsid w:val="00BF16A8"/>
    <w:rsid w:val="00BF2CD1"/>
    <w:rsid w:val="00BF4720"/>
    <w:rsid w:val="00BF50EF"/>
    <w:rsid w:val="00BF6B90"/>
    <w:rsid w:val="00BF7C11"/>
    <w:rsid w:val="00BF7E27"/>
    <w:rsid w:val="00C01C5C"/>
    <w:rsid w:val="00C01E01"/>
    <w:rsid w:val="00C02FC5"/>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785"/>
    <w:rsid w:val="00C1105A"/>
    <w:rsid w:val="00C11CFC"/>
    <w:rsid w:val="00C11F32"/>
    <w:rsid w:val="00C12B77"/>
    <w:rsid w:val="00C13139"/>
    <w:rsid w:val="00C1333A"/>
    <w:rsid w:val="00C13923"/>
    <w:rsid w:val="00C13E68"/>
    <w:rsid w:val="00C140F9"/>
    <w:rsid w:val="00C15506"/>
    <w:rsid w:val="00C177D3"/>
    <w:rsid w:val="00C214C9"/>
    <w:rsid w:val="00C21681"/>
    <w:rsid w:val="00C21BB8"/>
    <w:rsid w:val="00C227F2"/>
    <w:rsid w:val="00C2297F"/>
    <w:rsid w:val="00C235BF"/>
    <w:rsid w:val="00C24AF9"/>
    <w:rsid w:val="00C25232"/>
    <w:rsid w:val="00C253FD"/>
    <w:rsid w:val="00C25F88"/>
    <w:rsid w:val="00C26EF8"/>
    <w:rsid w:val="00C27223"/>
    <w:rsid w:val="00C30207"/>
    <w:rsid w:val="00C30288"/>
    <w:rsid w:val="00C30CDE"/>
    <w:rsid w:val="00C31BE0"/>
    <w:rsid w:val="00C32E98"/>
    <w:rsid w:val="00C333E4"/>
    <w:rsid w:val="00C34380"/>
    <w:rsid w:val="00C347F5"/>
    <w:rsid w:val="00C35F1D"/>
    <w:rsid w:val="00C35FE5"/>
    <w:rsid w:val="00C365D3"/>
    <w:rsid w:val="00C3776B"/>
    <w:rsid w:val="00C37CC9"/>
    <w:rsid w:val="00C37D27"/>
    <w:rsid w:val="00C37E4B"/>
    <w:rsid w:val="00C4030B"/>
    <w:rsid w:val="00C40A9A"/>
    <w:rsid w:val="00C40D96"/>
    <w:rsid w:val="00C4150E"/>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43E4"/>
    <w:rsid w:val="00C55C3C"/>
    <w:rsid w:val="00C562A5"/>
    <w:rsid w:val="00C562EB"/>
    <w:rsid w:val="00C578D8"/>
    <w:rsid w:val="00C608D3"/>
    <w:rsid w:val="00C61077"/>
    <w:rsid w:val="00C612F2"/>
    <w:rsid w:val="00C625C8"/>
    <w:rsid w:val="00C62B78"/>
    <w:rsid w:val="00C6359B"/>
    <w:rsid w:val="00C63D92"/>
    <w:rsid w:val="00C641EC"/>
    <w:rsid w:val="00C64739"/>
    <w:rsid w:val="00C648E8"/>
    <w:rsid w:val="00C64CB7"/>
    <w:rsid w:val="00C65C1C"/>
    <w:rsid w:val="00C673F7"/>
    <w:rsid w:val="00C702C5"/>
    <w:rsid w:val="00C7076B"/>
    <w:rsid w:val="00C711FA"/>
    <w:rsid w:val="00C720DA"/>
    <w:rsid w:val="00C74DC7"/>
    <w:rsid w:val="00C76E5F"/>
    <w:rsid w:val="00C77792"/>
    <w:rsid w:val="00C77AFC"/>
    <w:rsid w:val="00C8041E"/>
    <w:rsid w:val="00C80479"/>
    <w:rsid w:val="00C806DD"/>
    <w:rsid w:val="00C80798"/>
    <w:rsid w:val="00C8168A"/>
    <w:rsid w:val="00C819C7"/>
    <w:rsid w:val="00C82779"/>
    <w:rsid w:val="00C833E7"/>
    <w:rsid w:val="00C83613"/>
    <w:rsid w:val="00C8365B"/>
    <w:rsid w:val="00C83E6D"/>
    <w:rsid w:val="00C84205"/>
    <w:rsid w:val="00C848A5"/>
    <w:rsid w:val="00C84EE1"/>
    <w:rsid w:val="00C85952"/>
    <w:rsid w:val="00C85B18"/>
    <w:rsid w:val="00C8684B"/>
    <w:rsid w:val="00C86ED0"/>
    <w:rsid w:val="00C870D1"/>
    <w:rsid w:val="00C876EF"/>
    <w:rsid w:val="00C90127"/>
    <w:rsid w:val="00C901EE"/>
    <w:rsid w:val="00C90A67"/>
    <w:rsid w:val="00C9400F"/>
    <w:rsid w:val="00C9477B"/>
    <w:rsid w:val="00C9514C"/>
    <w:rsid w:val="00C95585"/>
    <w:rsid w:val="00C958AC"/>
    <w:rsid w:val="00C96A15"/>
    <w:rsid w:val="00C97CDD"/>
    <w:rsid w:val="00CA28FA"/>
    <w:rsid w:val="00CA295E"/>
    <w:rsid w:val="00CA391F"/>
    <w:rsid w:val="00CA3D26"/>
    <w:rsid w:val="00CA4E7E"/>
    <w:rsid w:val="00CA5512"/>
    <w:rsid w:val="00CA5739"/>
    <w:rsid w:val="00CA5B26"/>
    <w:rsid w:val="00CA5EDF"/>
    <w:rsid w:val="00CA6515"/>
    <w:rsid w:val="00CA65EE"/>
    <w:rsid w:val="00CA67F7"/>
    <w:rsid w:val="00CA70A4"/>
    <w:rsid w:val="00CA73A7"/>
    <w:rsid w:val="00CA7B14"/>
    <w:rsid w:val="00CA7CF3"/>
    <w:rsid w:val="00CA7FC7"/>
    <w:rsid w:val="00CB04EF"/>
    <w:rsid w:val="00CB11F8"/>
    <w:rsid w:val="00CB1308"/>
    <w:rsid w:val="00CB16F9"/>
    <w:rsid w:val="00CB1EE3"/>
    <w:rsid w:val="00CB2E8A"/>
    <w:rsid w:val="00CB2F66"/>
    <w:rsid w:val="00CB3106"/>
    <w:rsid w:val="00CB43F2"/>
    <w:rsid w:val="00CB4587"/>
    <w:rsid w:val="00CB47D8"/>
    <w:rsid w:val="00CB5CAF"/>
    <w:rsid w:val="00CB6153"/>
    <w:rsid w:val="00CB6359"/>
    <w:rsid w:val="00CB6FD5"/>
    <w:rsid w:val="00CB70C4"/>
    <w:rsid w:val="00CB7632"/>
    <w:rsid w:val="00CB77C1"/>
    <w:rsid w:val="00CC0407"/>
    <w:rsid w:val="00CC0A17"/>
    <w:rsid w:val="00CC0CFA"/>
    <w:rsid w:val="00CC0E2A"/>
    <w:rsid w:val="00CC24AA"/>
    <w:rsid w:val="00CC3A82"/>
    <w:rsid w:val="00CC4857"/>
    <w:rsid w:val="00CC5564"/>
    <w:rsid w:val="00CC55EF"/>
    <w:rsid w:val="00CC5F56"/>
    <w:rsid w:val="00CC6714"/>
    <w:rsid w:val="00CC67C5"/>
    <w:rsid w:val="00CC7339"/>
    <w:rsid w:val="00CD0B8B"/>
    <w:rsid w:val="00CD1697"/>
    <w:rsid w:val="00CD1A2B"/>
    <w:rsid w:val="00CD1CBD"/>
    <w:rsid w:val="00CD2DF3"/>
    <w:rsid w:val="00CD4718"/>
    <w:rsid w:val="00CD4AB4"/>
    <w:rsid w:val="00CD53C9"/>
    <w:rsid w:val="00CD5574"/>
    <w:rsid w:val="00CD5D2F"/>
    <w:rsid w:val="00CD64E0"/>
    <w:rsid w:val="00CD66DD"/>
    <w:rsid w:val="00CD6A45"/>
    <w:rsid w:val="00CD6DED"/>
    <w:rsid w:val="00CD7350"/>
    <w:rsid w:val="00CD74DA"/>
    <w:rsid w:val="00CD7928"/>
    <w:rsid w:val="00CE02EA"/>
    <w:rsid w:val="00CE0E44"/>
    <w:rsid w:val="00CE101F"/>
    <w:rsid w:val="00CE2EEE"/>
    <w:rsid w:val="00CE34FE"/>
    <w:rsid w:val="00CE35B2"/>
    <w:rsid w:val="00CE40A2"/>
    <w:rsid w:val="00CE4144"/>
    <w:rsid w:val="00CE48BE"/>
    <w:rsid w:val="00CE4A00"/>
    <w:rsid w:val="00CE50AF"/>
    <w:rsid w:val="00CE5E24"/>
    <w:rsid w:val="00CE74AD"/>
    <w:rsid w:val="00CE76D3"/>
    <w:rsid w:val="00CE7D0F"/>
    <w:rsid w:val="00CF0247"/>
    <w:rsid w:val="00CF0855"/>
    <w:rsid w:val="00CF1A56"/>
    <w:rsid w:val="00CF275A"/>
    <w:rsid w:val="00CF2F08"/>
    <w:rsid w:val="00CF32E1"/>
    <w:rsid w:val="00CF417A"/>
    <w:rsid w:val="00CF41A7"/>
    <w:rsid w:val="00CF48D9"/>
    <w:rsid w:val="00CF5B16"/>
    <w:rsid w:val="00CF6FC8"/>
    <w:rsid w:val="00CF704C"/>
    <w:rsid w:val="00D01716"/>
    <w:rsid w:val="00D01CAE"/>
    <w:rsid w:val="00D033BD"/>
    <w:rsid w:val="00D03BC8"/>
    <w:rsid w:val="00D03F69"/>
    <w:rsid w:val="00D048BD"/>
    <w:rsid w:val="00D048EA"/>
    <w:rsid w:val="00D05340"/>
    <w:rsid w:val="00D0555B"/>
    <w:rsid w:val="00D05BDD"/>
    <w:rsid w:val="00D06101"/>
    <w:rsid w:val="00D06822"/>
    <w:rsid w:val="00D06D0B"/>
    <w:rsid w:val="00D07230"/>
    <w:rsid w:val="00D110FB"/>
    <w:rsid w:val="00D1241C"/>
    <w:rsid w:val="00D12671"/>
    <w:rsid w:val="00D12DAE"/>
    <w:rsid w:val="00D12EAF"/>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73C"/>
    <w:rsid w:val="00D24344"/>
    <w:rsid w:val="00D24D8B"/>
    <w:rsid w:val="00D24DB6"/>
    <w:rsid w:val="00D25C98"/>
    <w:rsid w:val="00D25DD9"/>
    <w:rsid w:val="00D260C4"/>
    <w:rsid w:val="00D26540"/>
    <w:rsid w:val="00D272C5"/>
    <w:rsid w:val="00D2731A"/>
    <w:rsid w:val="00D27EFA"/>
    <w:rsid w:val="00D3001E"/>
    <w:rsid w:val="00D30723"/>
    <w:rsid w:val="00D3128F"/>
    <w:rsid w:val="00D326DD"/>
    <w:rsid w:val="00D35169"/>
    <w:rsid w:val="00D35C12"/>
    <w:rsid w:val="00D362BA"/>
    <w:rsid w:val="00D36E45"/>
    <w:rsid w:val="00D3742A"/>
    <w:rsid w:val="00D37E18"/>
    <w:rsid w:val="00D4006D"/>
    <w:rsid w:val="00D400AF"/>
    <w:rsid w:val="00D401CD"/>
    <w:rsid w:val="00D40FDA"/>
    <w:rsid w:val="00D41D16"/>
    <w:rsid w:val="00D42A72"/>
    <w:rsid w:val="00D43B16"/>
    <w:rsid w:val="00D43EFC"/>
    <w:rsid w:val="00D43FB4"/>
    <w:rsid w:val="00D44461"/>
    <w:rsid w:val="00D44DFC"/>
    <w:rsid w:val="00D44E13"/>
    <w:rsid w:val="00D44E2F"/>
    <w:rsid w:val="00D450C5"/>
    <w:rsid w:val="00D45527"/>
    <w:rsid w:val="00D45631"/>
    <w:rsid w:val="00D461AA"/>
    <w:rsid w:val="00D46F98"/>
    <w:rsid w:val="00D47A23"/>
    <w:rsid w:val="00D47CF7"/>
    <w:rsid w:val="00D508C6"/>
    <w:rsid w:val="00D50C9A"/>
    <w:rsid w:val="00D51D94"/>
    <w:rsid w:val="00D52C33"/>
    <w:rsid w:val="00D52E98"/>
    <w:rsid w:val="00D53902"/>
    <w:rsid w:val="00D53D0A"/>
    <w:rsid w:val="00D53EDF"/>
    <w:rsid w:val="00D5408D"/>
    <w:rsid w:val="00D54DB7"/>
    <w:rsid w:val="00D54F77"/>
    <w:rsid w:val="00D5544E"/>
    <w:rsid w:val="00D55538"/>
    <w:rsid w:val="00D5554D"/>
    <w:rsid w:val="00D5635C"/>
    <w:rsid w:val="00D56E3B"/>
    <w:rsid w:val="00D5734D"/>
    <w:rsid w:val="00D575E1"/>
    <w:rsid w:val="00D57F8E"/>
    <w:rsid w:val="00D604DC"/>
    <w:rsid w:val="00D60672"/>
    <w:rsid w:val="00D61A6D"/>
    <w:rsid w:val="00D61BF6"/>
    <w:rsid w:val="00D628F9"/>
    <w:rsid w:val="00D635B2"/>
    <w:rsid w:val="00D636C6"/>
    <w:rsid w:val="00D63860"/>
    <w:rsid w:val="00D63CBA"/>
    <w:rsid w:val="00D647A3"/>
    <w:rsid w:val="00D647AC"/>
    <w:rsid w:val="00D65646"/>
    <w:rsid w:val="00D6606A"/>
    <w:rsid w:val="00D66B01"/>
    <w:rsid w:val="00D677EE"/>
    <w:rsid w:val="00D7075F"/>
    <w:rsid w:val="00D70A4D"/>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7BA4"/>
    <w:rsid w:val="00D77E38"/>
    <w:rsid w:val="00D81657"/>
    <w:rsid w:val="00D81EA4"/>
    <w:rsid w:val="00D82287"/>
    <w:rsid w:val="00D82A59"/>
    <w:rsid w:val="00D82B84"/>
    <w:rsid w:val="00D837CB"/>
    <w:rsid w:val="00D84610"/>
    <w:rsid w:val="00D84A39"/>
    <w:rsid w:val="00D85357"/>
    <w:rsid w:val="00D85561"/>
    <w:rsid w:val="00D857D4"/>
    <w:rsid w:val="00D87560"/>
    <w:rsid w:val="00D87CF7"/>
    <w:rsid w:val="00D90D99"/>
    <w:rsid w:val="00D9189B"/>
    <w:rsid w:val="00D91C72"/>
    <w:rsid w:val="00D93948"/>
    <w:rsid w:val="00D945F6"/>
    <w:rsid w:val="00D9541E"/>
    <w:rsid w:val="00D9547F"/>
    <w:rsid w:val="00D95568"/>
    <w:rsid w:val="00DA0260"/>
    <w:rsid w:val="00DA0A6C"/>
    <w:rsid w:val="00DA0F6F"/>
    <w:rsid w:val="00DA0FFE"/>
    <w:rsid w:val="00DA1394"/>
    <w:rsid w:val="00DA1780"/>
    <w:rsid w:val="00DA2289"/>
    <w:rsid w:val="00DA2E0B"/>
    <w:rsid w:val="00DA42C2"/>
    <w:rsid w:val="00DA4876"/>
    <w:rsid w:val="00DA4C57"/>
    <w:rsid w:val="00DA4E40"/>
    <w:rsid w:val="00DA6233"/>
    <w:rsid w:val="00DA6EBA"/>
    <w:rsid w:val="00DB03E4"/>
    <w:rsid w:val="00DB0B9B"/>
    <w:rsid w:val="00DB1198"/>
    <w:rsid w:val="00DB13A8"/>
    <w:rsid w:val="00DB17E6"/>
    <w:rsid w:val="00DB2F0A"/>
    <w:rsid w:val="00DB3473"/>
    <w:rsid w:val="00DB3A63"/>
    <w:rsid w:val="00DB5E1E"/>
    <w:rsid w:val="00DB6EAA"/>
    <w:rsid w:val="00DC0D3E"/>
    <w:rsid w:val="00DC16C1"/>
    <w:rsid w:val="00DC1BFB"/>
    <w:rsid w:val="00DC3582"/>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A21"/>
    <w:rsid w:val="00DE0B42"/>
    <w:rsid w:val="00DE1802"/>
    <w:rsid w:val="00DE2335"/>
    <w:rsid w:val="00DE2962"/>
    <w:rsid w:val="00DE2BF5"/>
    <w:rsid w:val="00DE465D"/>
    <w:rsid w:val="00DE4EF1"/>
    <w:rsid w:val="00DE5239"/>
    <w:rsid w:val="00DE595A"/>
    <w:rsid w:val="00DE5D2F"/>
    <w:rsid w:val="00DE6A62"/>
    <w:rsid w:val="00DE794E"/>
    <w:rsid w:val="00DF1DCF"/>
    <w:rsid w:val="00DF2DCF"/>
    <w:rsid w:val="00DF34D0"/>
    <w:rsid w:val="00DF4B5F"/>
    <w:rsid w:val="00DF5023"/>
    <w:rsid w:val="00DF533B"/>
    <w:rsid w:val="00DF55DD"/>
    <w:rsid w:val="00DF5689"/>
    <w:rsid w:val="00DF6158"/>
    <w:rsid w:val="00DF69C5"/>
    <w:rsid w:val="00DF6AD0"/>
    <w:rsid w:val="00DF6BF7"/>
    <w:rsid w:val="00E00218"/>
    <w:rsid w:val="00E01101"/>
    <w:rsid w:val="00E01162"/>
    <w:rsid w:val="00E0153B"/>
    <w:rsid w:val="00E0217C"/>
    <w:rsid w:val="00E0283B"/>
    <w:rsid w:val="00E02875"/>
    <w:rsid w:val="00E03F29"/>
    <w:rsid w:val="00E04FA1"/>
    <w:rsid w:val="00E05285"/>
    <w:rsid w:val="00E05EDF"/>
    <w:rsid w:val="00E06B53"/>
    <w:rsid w:val="00E06C2F"/>
    <w:rsid w:val="00E06C8C"/>
    <w:rsid w:val="00E07387"/>
    <w:rsid w:val="00E0750E"/>
    <w:rsid w:val="00E10D05"/>
    <w:rsid w:val="00E10D93"/>
    <w:rsid w:val="00E115B1"/>
    <w:rsid w:val="00E125CE"/>
    <w:rsid w:val="00E161CE"/>
    <w:rsid w:val="00E1641B"/>
    <w:rsid w:val="00E167F2"/>
    <w:rsid w:val="00E167F4"/>
    <w:rsid w:val="00E17719"/>
    <w:rsid w:val="00E17A06"/>
    <w:rsid w:val="00E17A48"/>
    <w:rsid w:val="00E2081A"/>
    <w:rsid w:val="00E20822"/>
    <w:rsid w:val="00E214A5"/>
    <w:rsid w:val="00E241F6"/>
    <w:rsid w:val="00E24241"/>
    <w:rsid w:val="00E2507A"/>
    <w:rsid w:val="00E25AB3"/>
    <w:rsid w:val="00E27163"/>
    <w:rsid w:val="00E276EA"/>
    <w:rsid w:val="00E27AFE"/>
    <w:rsid w:val="00E27C64"/>
    <w:rsid w:val="00E30EA8"/>
    <w:rsid w:val="00E313C4"/>
    <w:rsid w:val="00E3178C"/>
    <w:rsid w:val="00E322F6"/>
    <w:rsid w:val="00E3235C"/>
    <w:rsid w:val="00E32604"/>
    <w:rsid w:val="00E32A6C"/>
    <w:rsid w:val="00E32F8E"/>
    <w:rsid w:val="00E333AF"/>
    <w:rsid w:val="00E3432C"/>
    <w:rsid w:val="00E348AE"/>
    <w:rsid w:val="00E3593E"/>
    <w:rsid w:val="00E35CF0"/>
    <w:rsid w:val="00E35FFB"/>
    <w:rsid w:val="00E36FBF"/>
    <w:rsid w:val="00E378BD"/>
    <w:rsid w:val="00E40C33"/>
    <w:rsid w:val="00E41149"/>
    <w:rsid w:val="00E4118F"/>
    <w:rsid w:val="00E415AE"/>
    <w:rsid w:val="00E41AE2"/>
    <w:rsid w:val="00E423B3"/>
    <w:rsid w:val="00E4242E"/>
    <w:rsid w:val="00E424E0"/>
    <w:rsid w:val="00E425B9"/>
    <w:rsid w:val="00E42EAC"/>
    <w:rsid w:val="00E4400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452D"/>
    <w:rsid w:val="00E663D6"/>
    <w:rsid w:val="00E663DD"/>
    <w:rsid w:val="00E66C34"/>
    <w:rsid w:val="00E66D1E"/>
    <w:rsid w:val="00E70081"/>
    <w:rsid w:val="00E709CC"/>
    <w:rsid w:val="00E71B98"/>
    <w:rsid w:val="00E71BD6"/>
    <w:rsid w:val="00E722E5"/>
    <w:rsid w:val="00E724B2"/>
    <w:rsid w:val="00E72684"/>
    <w:rsid w:val="00E73AD4"/>
    <w:rsid w:val="00E7410E"/>
    <w:rsid w:val="00E74195"/>
    <w:rsid w:val="00E7478C"/>
    <w:rsid w:val="00E748A4"/>
    <w:rsid w:val="00E7525D"/>
    <w:rsid w:val="00E7602C"/>
    <w:rsid w:val="00E763AA"/>
    <w:rsid w:val="00E76642"/>
    <w:rsid w:val="00E76894"/>
    <w:rsid w:val="00E768A2"/>
    <w:rsid w:val="00E76DFB"/>
    <w:rsid w:val="00E76F1C"/>
    <w:rsid w:val="00E77FDF"/>
    <w:rsid w:val="00E80802"/>
    <w:rsid w:val="00E80C9D"/>
    <w:rsid w:val="00E80F8E"/>
    <w:rsid w:val="00E854F1"/>
    <w:rsid w:val="00E85509"/>
    <w:rsid w:val="00E85DB7"/>
    <w:rsid w:val="00E871D0"/>
    <w:rsid w:val="00E87379"/>
    <w:rsid w:val="00E8740E"/>
    <w:rsid w:val="00E90E96"/>
    <w:rsid w:val="00E91533"/>
    <w:rsid w:val="00E9287A"/>
    <w:rsid w:val="00E9460D"/>
    <w:rsid w:val="00E94660"/>
    <w:rsid w:val="00E94E05"/>
    <w:rsid w:val="00E95242"/>
    <w:rsid w:val="00E9542B"/>
    <w:rsid w:val="00E95BB5"/>
    <w:rsid w:val="00E95F6E"/>
    <w:rsid w:val="00E96FE8"/>
    <w:rsid w:val="00E97BEA"/>
    <w:rsid w:val="00EA0261"/>
    <w:rsid w:val="00EA03A7"/>
    <w:rsid w:val="00EA0B7F"/>
    <w:rsid w:val="00EA10D9"/>
    <w:rsid w:val="00EA14C0"/>
    <w:rsid w:val="00EA29D4"/>
    <w:rsid w:val="00EA29F2"/>
    <w:rsid w:val="00EA2CD3"/>
    <w:rsid w:val="00EA38B3"/>
    <w:rsid w:val="00EA38C4"/>
    <w:rsid w:val="00EA3C99"/>
    <w:rsid w:val="00EA45A9"/>
    <w:rsid w:val="00EA45FF"/>
    <w:rsid w:val="00EA51A1"/>
    <w:rsid w:val="00EA5EC0"/>
    <w:rsid w:val="00EA622E"/>
    <w:rsid w:val="00EA6BE3"/>
    <w:rsid w:val="00EA7344"/>
    <w:rsid w:val="00EA7749"/>
    <w:rsid w:val="00EA7B1F"/>
    <w:rsid w:val="00EB0EE4"/>
    <w:rsid w:val="00EB27E8"/>
    <w:rsid w:val="00EB29FF"/>
    <w:rsid w:val="00EB2BB8"/>
    <w:rsid w:val="00EB5374"/>
    <w:rsid w:val="00EB59E0"/>
    <w:rsid w:val="00EB68AC"/>
    <w:rsid w:val="00EB6CED"/>
    <w:rsid w:val="00EC0804"/>
    <w:rsid w:val="00EC1101"/>
    <w:rsid w:val="00EC114A"/>
    <w:rsid w:val="00EC18E0"/>
    <w:rsid w:val="00EC1F39"/>
    <w:rsid w:val="00EC2495"/>
    <w:rsid w:val="00EC266D"/>
    <w:rsid w:val="00EC390C"/>
    <w:rsid w:val="00EC3C07"/>
    <w:rsid w:val="00EC40CE"/>
    <w:rsid w:val="00EC45B6"/>
    <w:rsid w:val="00EC49AE"/>
    <w:rsid w:val="00EC4F13"/>
    <w:rsid w:val="00EC54EC"/>
    <w:rsid w:val="00EC578A"/>
    <w:rsid w:val="00EC6436"/>
    <w:rsid w:val="00EC67A0"/>
    <w:rsid w:val="00EC692E"/>
    <w:rsid w:val="00EC7138"/>
    <w:rsid w:val="00ED020C"/>
    <w:rsid w:val="00ED0DAE"/>
    <w:rsid w:val="00ED1058"/>
    <w:rsid w:val="00ED194C"/>
    <w:rsid w:val="00ED31FF"/>
    <w:rsid w:val="00ED37D8"/>
    <w:rsid w:val="00ED412B"/>
    <w:rsid w:val="00ED5DF4"/>
    <w:rsid w:val="00ED712A"/>
    <w:rsid w:val="00ED75CF"/>
    <w:rsid w:val="00ED7679"/>
    <w:rsid w:val="00ED7961"/>
    <w:rsid w:val="00EE0823"/>
    <w:rsid w:val="00EE082F"/>
    <w:rsid w:val="00EE22A0"/>
    <w:rsid w:val="00EE2EDC"/>
    <w:rsid w:val="00EE3D59"/>
    <w:rsid w:val="00EE42A7"/>
    <w:rsid w:val="00EE4BD1"/>
    <w:rsid w:val="00EE4CD7"/>
    <w:rsid w:val="00EE50C5"/>
    <w:rsid w:val="00EE5C7C"/>
    <w:rsid w:val="00EE6FCF"/>
    <w:rsid w:val="00EE73C5"/>
    <w:rsid w:val="00EF01AC"/>
    <w:rsid w:val="00EF1EB8"/>
    <w:rsid w:val="00EF23C2"/>
    <w:rsid w:val="00EF23EE"/>
    <w:rsid w:val="00EF2F62"/>
    <w:rsid w:val="00EF54EB"/>
    <w:rsid w:val="00EF623C"/>
    <w:rsid w:val="00EF6CF2"/>
    <w:rsid w:val="00EF6D14"/>
    <w:rsid w:val="00EF6D65"/>
    <w:rsid w:val="00EF70A8"/>
    <w:rsid w:val="00EF7E76"/>
    <w:rsid w:val="00F00A1A"/>
    <w:rsid w:val="00F0265C"/>
    <w:rsid w:val="00F04911"/>
    <w:rsid w:val="00F04FB4"/>
    <w:rsid w:val="00F06613"/>
    <w:rsid w:val="00F070CB"/>
    <w:rsid w:val="00F07B6A"/>
    <w:rsid w:val="00F10909"/>
    <w:rsid w:val="00F11EBE"/>
    <w:rsid w:val="00F11F36"/>
    <w:rsid w:val="00F12A63"/>
    <w:rsid w:val="00F12AF0"/>
    <w:rsid w:val="00F12F4C"/>
    <w:rsid w:val="00F133AD"/>
    <w:rsid w:val="00F142B6"/>
    <w:rsid w:val="00F143CA"/>
    <w:rsid w:val="00F16C8B"/>
    <w:rsid w:val="00F16F9B"/>
    <w:rsid w:val="00F17A2E"/>
    <w:rsid w:val="00F208D3"/>
    <w:rsid w:val="00F20B38"/>
    <w:rsid w:val="00F20D46"/>
    <w:rsid w:val="00F21266"/>
    <w:rsid w:val="00F219E7"/>
    <w:rsid w:val="00F22A94"/>
    <w:rsid w:val="00F24D82"/>
    <w:rsid w:val="00F252F6"/>
    <w:rsid w:val="00F25976"/>
    <w:rsid w:val="00F25B2D"/>
    <w:rsid w:val="00F25ECF"/>
    <w:rsid w:val="00F274E1"/>
    <w:rsid w:val="00F3094C"/>
    <w:rsid w:val="00F30B72"/>
    <w:rsid w:val="00F315EA"/>
    <w:rsid w:val="00F318EB"/>
    <w:rsid w:val="00F31C29"/>
    <w:rsid w:val="00F32784"/>
    <w:rsid w:val="00F32825"/>
    <w:rsid w:val="00F32857"/>
    <w:rsid w:val="00F32B4C"/>
    <w:rsid w:val="00F32C83"/>
    <w:rsid w:val="00F32CDF"/>
    <w:rsid w:val="00F32F79"/>
    <w:rsid w:val="00F33E55"/>
    <w:rsid w:val="00F340BD"/>
    <w:rsid w:val="00F3469D"/>
    <w:rsid w:val="00F34B38"/>
    <w:rsid w:val="00F353FF"/>
    <w:rsid w:val="00F35706"/>
    <w:rsid w:val="00F35808"/>
    <w:rsid w:val="00F35A65"/>
    <w:rsid w:val="00F374A5"/>
    <w:rsid w:val="00F374C6"/>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37A6"/>
    <w:rsid w:val="00F53F23"/>
    <w:rsid w:val="00F5450A"/>
    <w:rsid w:val="00F557E6"/>
    <w:rsid w:val="00F55D04"/>
    <w:rsid w:val="00F570C6"/>
    <w:rsid w:val="00F60BE6"/>
    <w:rsid w:val="00F61DD4"/>
    <w:rsid w:val="00F639BA"/>
    <w:rsid w:val="00F639FC"/>
    <w:rsid w:val="00F64F4A"/>
    <w:rsid w:val="00F650E7"/>
    <w:rsid w:val="00F65423"/>
    <w:rsid w:val="00F65CFA"/>
    <w:rsid w:val="00F66015"/>
    <w:rsid w:val="00F66959"/>
    <w:rsid w:val="00F70B13"/>
    <w:rsid w:val="00F71B22"/>
    <w:rsid w:val="00F71E57"/>
    <w:rsid w:val="00F72413"/>
    <w:rsid w:val="00F72874"/>
    <w:rsid w:val="00F731AF"/>
    <w:rsid w:val="00F73470"/>
    <w:rsid w:val="00F73F02"/>
    <w:rsid w:val="00F74628"/>
    <w:rsid w:val="00F74A45"/>
    <w:rsid w:val="00F74D41"/>
    <w:rsid w:val="00F75FBD"/>
    <w:rsid w:val="00F7671F"/>
    <w:rsid w:val="00F76999"/>
    <w:rsid w:val="00F76C00"/>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5FC"/>
    <w:rsid w:val="00F94826"/>
    <w:rsid w:val="00F95254"/>
    <w:rsid w:val="00F9582C"/>
    <w:rsid w:val="00F96FDE"/>
    <w:rsid w:val="00F97E50"/>
    <w:rsid w:val="00FA020F"/>
    <w:rsid w:val="00FA30BF"/>
    <w:rsid w:val="00FA3480"/>
    <w:rsid w:val="00FA4128"/>
    <w:rsid w:val="00FA5A70"/>
    <w:rsid w:val="00FA73A0"/>
    <w:rsid w:val="00FB0740"/>
    <w:rsid w:val="00FB1245"/>
    <w:rsid w:val="00FB18C9"/>
    <w:rsid w:val="00FB19F4"/>
    <w:rsid w:val="00FB1A31"/>
    <w:rsid w:val="00FB26F0"/>
    <w:rsid w:val="00FB5146"/>
    <w:rsid w:val="00FB52B2"/>
    <w:rsid w:val="00FB5C65"/>
    <w:rsid w:val="00FB60DF"/>
    <w:rsid w:val="00FB6C6B"/>
    <w:rsid w:val="00FB7168"/>
    <w:rsid w:val="00FB7266"/>
    <w:rsid w:val="00FB73F5"/>
    <w:rsid w:val="00FB746D"/>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68AC"/>
    <w:rsid w:val="00FC711D"/>
    <w:rsid w:val="00FC74FC"/>
    <w:rsid w:val="00FC7C50"/>
    <w:rsid w:val="00FD0549"/>
    <w:rsid w:val="00FD0851"/>
    <w:rsid w:val="00FD2737"/>
    <w:rsid w:val="00FD2A58"/>
    <w:rsid w:val="00FD4701"/>
    <w:rsid w:val="00FD56D6"/>
    <w:rsid w:val="00FD5FEC"/>
    <w:rsid w:val="00FD782C"/>
    <w:rsid w:val="00FE0BDF"/>
    <w:rsid w:val="00FE11EE"/>
    <w:rsid w:val="00FE216E"/>
    <w:rsid w:val="00FE2F4C"/>
    <w:rsid w:val="00FE44DF"/>
    <w:rsid w:val="00FE45BC"/>
    <w:rsid w:val="00FE4D25"/>
    <w:rsid w:val="00FE4D2E"/>
    <w:rsid w:val="00FE5AF8"/>
    <w:rsid w:val="00FE60B2"/>
    <w:rsid w:val="00FE613B"/>
    <w:rsid w:val="00FE67A2"/>
    <w:rsid w:val="00FE78CA"/>
    <w:rsid w:val="00FE7C16"/>
    <w:rsid w:val="00FF0299"/>
    <w:rsid w:val="00FF0692"/>
    <w:rsid w:val="00FF0C54"/>
    <w:rsid w:val="00FF1148"/>
    <w:rsid w:val="00FF1497"/>
    <w:rsid w:val="00FF22E3"/>
    <w:rsid w:val="00FF32E4"/>
    <w:rsid w:val="00FF4BF4"/>
    <w:rsid w:val="00FF533B"/>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60666F"/>
  <w15:docId w15:val="{3C269CF8-D3A4-4621-BDD0-D6436B82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semiHidden/>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76">
      <w:bodyDiv w:val="1"/>
      <w:marLeft w:val="0"/>
      <w:marRight w:val="0"/>
      <w:marTop w:val="0"/>
      <w:marBottom w:val="0"/>
      <w:divBdr>
        <w:top w:val="none" w:sz="0" w:space="0" w:color="auto"/>
        <w:left w:val="none" w:sz="0" w:space="0" w:color="auto"/>
        <w:bottom w:val="none" w:sz="0" w:space="0" w:color="auto"/>
        <w:right w:val="none" w:sz="0" w:space="0" w:color="auto"/>
      </w:divBdr>
    </w:div>
    <w:div w:id="80689214">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9684">
      <w:bodyDiv w:val="1"/>
      <w:marLeft w:val="0"/>
      <w:marRight w:val="0"/>
      <w:marTop w:val="0"/>
      <w:marBottom w:val="0"/>
      <w:divBdr>
        <w:top w:val="none" w:sz="0" w:space="0" w:color="auto"/>
        <w:left w:val="none" w:sz="0" w:space="0" w:color="auto"/>
        <w:bottom w:val="none" w:sz="0" w:space="0" w:color="auto"/>
        <w:right w:val="none" w:sz="0" w:space="0" w:color="auto"/>
      </w:divBdr>
    </w:div>
    <w:div w:id="264197901">
      <w:bodyDiv w:val="1"/>
      <w:marLeft w:val="0"/>
      <w:marRight w:val="0"/>
      <w:marTop w:val="0"/>
      <w:marBottom w:val="0"/>
      <w:divBdr>
        <w:top w:val="none" w:sz="0" w:space="0" w:color="auto"/>
        <w:left w:val="none" w:sz="0" w:space="0" w:color="auto"/>
        <w:bottom w:val="none" w:sz="0" w:space="0" w:color="auto"/>
        <w:right w:val="none" w:sz="0" w:space="0" w:color="auto"/>
      </w:divBdr>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432749559">
      <w:bodyDiv w:val="1"/>
      <w:marLeft w:val="0"/>
      <w:marRight w:val="0"/>
      <w:marTop w:val="0"/>
      <w:marBottom w:val="0"/>
      <w:divBdr>
        <w:top w:val="none" w:sz="0" w:space="0" w:color="auto"/>
        <w:left w:val="none" w:sz="0" w:space="0" w:color="auto"/>
        <w:bottom w:val="none" w:sz="0" w:space="0" w:color="auto"/>
        <w:right w:val="none" w:sz="0" w:space="0" w:color="auto"/>
      </w:divBdr>
    </w:div>
    <w:div w:id="527334871">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1944616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256257503">
          <w:marLeft w:val="0"/>
          <w:marRight w:val="0"/>
          <w:marTop w:val="0"/>
          <w:marBottom w:val="82"/>
          <w:divBdr>
            <w:top w:val="none" w:sz="0" w:space="0" w:color="auto"/>
            <w:left w:val="none" w:sz="0" w:space="0" w:color="auto"/>
            <w:bottom w:val="none" w:sz="0" w:space="0" w:color="auto"/>
            <w:right w:val="none" w:sz="0" w:space="0" w:color="auto"/>
          </w:divBdr>
        </w:div>
        <w:div w:id="1215240754">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896038244">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040740332">
      <w:bodyDiv w:val="1"/>
      <w:marLeft w:val="0"/>
      <w:marRight w:val="0"/>
      <w:marTop w:val="0"/>
      <w:marBottom w:val="0"/>
      <w:divBdr>
        <w:top w:val="none" w:sz="0" w:space="0" w:color="auto"/>
        <w:left w:val="none" w:sz="0" w:space="0" w:color="auto"/>
        <w:bottom w:val="none" w:sz="0" w:space="0" w:color="auto"/>
        <w:right w:val="none" w:sz="0" w:space="0" w:color="auto"/>
      </w:divBdr>
    </w:div>
    <w:div w:id="2110390396">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C83C-CBB7-455D-AC29-82BADAB9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11671</Words>
  <Characters>64191</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Adriana Williams Hernandez</cp:lastModifiedBy>
  <cp:revision>6</cp:revision>
  <cp:lastPrinted>2014-12-10T22:16:00Z</cp:lastPrinted>
  <dcterms:created xsi:type="dcterms:W3CDTF">2018-08-21T14:54:00Z</dcterms:created>
  <dcterms:modified xsi:type="dcterms:W3CDTF">2018-08-21T14:57:00Z</dcterms:modified>
</cp:coreProperties>
</file>