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931" w:rsidRDefault="00192931" w:rsidP="00192931">
      <w:pPr>
        <w:spacing w:after="0"/>
        <w:jc w:val="right"/>
        <w:rPr>
          <w:rFonts w:ascii="ITC Avant Garde" w:hAnsi="ITC Avant Garde"/>
        </w:rPr>
      </w:pPr>
      <w:r w:rsidRPr="00192931">
        <w:rPr>
          <w:rFonts w:ascii="ITC Avant Garde" w:hAnsi="ITC Avant Garde"/>
          <w:b/>
        </w:rPr>
        <w:t>Fecha de elaboración:</w:t>
      </w:r>
      <w:r w:rsidR="001E45B1">
        <w:rPr>
          <w:rFonts w:ascii="ITC Avant Garde" w:hAnsi="ITC Avant Garde"/>
        </w:rPr>
        <w:t xml:space="preserve"> 12</w:t>
      </w:r>
      <w:r>
        <w:rPr>
          <w:rFonts w:ascii="ITC Avant Garde" w:hAnsi="ITC Avant Garde"/>
        </w:rPr>
        <w:t xml:space="preserve"> de </w:t>
      </w:r>
      <w:r w:rsidR="001E45B1">
        <w:rPr>
          <w:rFonts w:ascii="ITC Avant Garde" w:hAnsi="ITC Avant Garde"/>
        </w:rPr>
        <w:t>diciembre</w:t>
      </w:r>
      <w:r>
        <w:rPr>
          <w:rFonts w:ascii="ITC Avant Garde" w:hAnsi="ITC Avant Garde"/>
        </w:rPr>
        <w:t xml:space="preserve"> de 2019.</w:t>
      </w:r>
    </w:p>
    <w:p w:rsidR="00192931" w:rsidRDefault="00192931" w:rsidP="00842F48">
      <w:pPr>
        <w:spacing w:after="0"/>
        <w:jc w:val="both"/>
        <w:rPr>
          <w:rFonts w:ascii="ITC Avant Garde" w:hAnsi="ITC Avant Garde"/>
          <w:b/>
        </w:rPr>
      </w:pPr>
    </w:p>
    <w:p w:rsidR="00C265E7" w:rsidRDefault="00C265E7" w:rsidP="00842F48">
      <w:pPr>
        <w:spacing w:after="0"/>
        <w:jc w:val="both"/>
        <w:rPr>
          <w:rFonts w:ascii="ITC Avant Garde" w:hAnsi="ITC Avant Garde"/>
          <w:b/>
        </w:rPr>
      </w:pPr>
    </w:p>
    <w:p w:rsidR="005F748F" w:rsidRDefault="005F748F" w:rsidP="00842F48">
      <w:pPr>
        <w:spacing w:after="0"/>
        <w:jc w:val="both"/>
        <w:rPr>
          <w:rFonts w:ascii="ITC Avant Garde" w:hAnsi="ITC Avant Garde"/>
          <w:b/>
        </w:rPr>
      </w:pPr>
      <w:r>
        <w:rPr>
          <w:rFonts w:ascii="ITC Avant Garde" w:hAnsi="ITC Avant Garde"/>
          <w:b/>
        </w:rPr>
        <w:t xml:space="preserve">INFORME QUE PRESENTA EL RESUMEN DE </w:t>
      </w:r>
      <w:r w:rsidRPr="000E4750">
        <w:rPr>
          <w:rFonts w:ascii="ITC Avant Garde" w:hAnsi="ITC Avant Garde"/>
          <w:b/>
        </w:rPr>
        <w:t xml:space="preserve">LAS MANIFESTACIONES, OPINIONES, COMENTARIOS Y PROPUESTAS CONCRETAS, PRESENTADAS DURANTE LA CONSULTA PÚBLICA DEL </w:t>
      </w:r>
      <w:r w:rsidRPr="00806F50">
        <w:rPr>
          <w:rFonts w:ascii="ITC Avant Garde" w:hAnsi="ITC Avant Garde"/>
          <w:b/>
        </w:rPr>
        <w:t>“ANTEPROYECTO DE LINEAMIENTOS GENERALES PARA LA PUBLICACIÓN DE INFORMACIÓN TRANSPARENTE, COMPARABLE, ADECUADA Y ACTUALIZADA RELACIONADA CON LOS SERVICIOS DE TELECOMUNICACIONES</w:t>
      </w:r>
      <w:r>
        <w:rPr>
          <w:rFonts w:ascii="ITC Avant Garde" w:hAnsi="ITC Avant Garde"/>
          <w:b/>
        </w:rPr>
        <w:t>”, ASÍ COMO DE LAS CONSIDERACIONES DE LA COORDINACIÓN GENERAL DE POLÍTICA DEL USUARIO A LOS MISMOS.</w:t>
      </w:r>
    </w:p>
    <w:p w:rsidR="005F748F" w:rsidRDefault="005F748F" w:rsidP="00842F48">
      <w:pPr>
        <w:spacing w:after="0"/>
        <w:jc w:val="both"/>
        <w:rPr>
          <w:rFonts w:ascii="ITC Avant Garde" w:hAnsi="ITC Avant Garde"/>
          <w:b/>
        </w:rPr>
      </w:pPr>
    </w:p>
    <w:p w:rsidR="005A5773" w:rsidRDefault="005A5773" w:rsidP="004D219D">
      <w:pPr>
        <w:spacing w:after="0"/>
        <w:jc w:val="both"/>
        <w:rPr>
          <w:rFonts w:ascii="ITC Avant Garde" w:hAnsi="ITC Avant Garde"/>
          <w:b/>
        </w:rPr>
      </w:pPr>
      <w:r w:rsidRPr="005A5773">
        <w:rPr>
          <w:rFonts w:ascii="ITC Avant Garde" w:hAnsi="ITC Avant Garde"/>
          <w:b/>
        </w:rPr>
        <w:t>Descripción y objetivos de la Consulta Pública.</w:t>
      </w:r>
    </w:p>
    <w:p w:rsidR="002021EC" w:rsidRDefault="002021EC" w:rsidP="004D219D">
      <w:pPr>
        <w:spacing w:after="0"/>
        <w:jc w:val="both"/>
        <w:rPr>
          <w:rFonts w:ascii="ITC Avant Garde" w:hAnsi="ITC Avant Garde"/>
          <w:b/>
        </w:rPr>
      </w:pPr>
    </w:p>
    <w:p w:rsidR="00966E15" w:rsidRPr="004D219D" w:rsidRDefault="00FB4B63" w:rsidP="004D219D">
      <w:pPr>
        <w:spacing w:after="0"/>
        <w:jc w:val="both"/>
        <w:rPr>
          <w:rFonts w:ascii="ITC Avant Garde" w:hAnsi="ITC Avant Garde"/>
          <w:color w:val="000000"/>
        </w:rPr>
      </w:pPr>
      <w:r w:rsidRPr="000E4750">
        <w:rPr>
          <w:rFonts w:ascii="ITC Avant Garde" w:hAnsi="ITC Avant Garde"/>
        </w:rPr>
        <w:t>El Instituto Federal de Telecomunicaciones (</w:t>
      </w:r>
      <w:r w:rsidR="00966E15" w:rsidRPr="000E4750">
        <w:rPr>
          <w:rFonts w:ascii="ITC Avant Garde" w:hAnsi="ITC Avant Garde"/>
        </w:rPr>
        <w:t>en lo sucesivo “</w:t>
      </w:r>
      <w:r w:rsidRPr="000E4750">
        <w:rPr>
          <w:rFonts w:ascii="ITC Avant Garde" w:hAnsi="ITC Avant Garde"/>
        </w:rPr>
        <w:t>Instituto</w:t>
      </w:r>
      <w:r w:rsidR="00966E15" w:rsidRPr="004D219D">
        <w:rPr>
          <w:rFonts w:ascii="ITC Avant Garde" w:hAnsi="ITC Avant Garde"/>
        </w:rPr>
        <w:t>”</w:t>
      </w:r>
      <w:r w:rsidR="002021EC">
        <w:rPr>
          <w:rFonts w:ascii="ITC Avant Garde" w:hAnsi="ITC Avant Garde"/>
        </w:rPr>
        <w:t>)</w:t>
      </w:r>
      <w:r w:rsidRPr="004D219D">
        <w:rPr>
          <w:rFonts w:ascii="ITC Avant Garde" w:hAnsi="ITC Avant Garde"/>
        </w:rPr>
        <w:t xml:space="preserve"> </w:t>
      </w:r>
      <w:r w:rsidR="005A5773">
        <w:rPr>
          <w:rFonts w:ascii="ITC Avant Garde" w:hAnsi="ITC Avant Garde"/>
        </w:rPr>
        <w:t xml:space="preserve">con la finalidad </w:t>
      </w:r>
      <w:r w:rsidR="002021EC">
        <w:rPr>
          <w:rFonts w:ascii="ITC Avant Garde" w:hAnsi="ITC Avant Garde"/>
        </w:rPr>
        <w:t>de fomentar la transparencia y</w:t>
      </w:r>
      <w:r w:rsidR="005A5773" w:rsidRPr="005A5773">
        <w:rPr>
          <w:rFonts w:ascii="ITC Avant Garde" w:hAnsi="ITC Avant Garde"/>
        </w:rPr>
        <w:t xml:space="preserve"> la participación ciudadana en la elaboración </w:t>
      </w:r>
      <w:r w:rsidR="005A5773">
        <w:rPr>
          <w:rFonts w:ascii="ITC Avant Garde" w:hAnsi="ITC Avant Garde"/>
        </w:rPr>
        <w:t>de r</w:t>
      </w:r>
      <w:r w:rsidR="002021EC">
        <w:rPr>
          <w:rFonts w:ascii="ITC Avant Garde" w:hAnsi="ITC Avant Garde"/>
        </w:rPr>
        <w:t xml:space="preserve">egulaciones, y con el objetivo de </w:t>
      </w:r>
      <w:r w:rsidR="002021EC" w:rsidRPr="002021EC">
        <w:rPr>
          <w:rFonts w:ascii="ITC Avant Garde" w:hAnsi="ITC Avant Garde"/>
        </w:rPr>
        <w:t xml:space="preserve">obtener </w:t>
      </w:r>
      <w:r w:rsidR="002021EC">
        <w:rPr>
          <w:rFonts w:ascii="ITC Avant Garde" w:hAnsi="ITC Avant Garde"/>
        </w:rPr>
        <w:t>comentarios, opiniones y aportaciones,</w:t>
      </w:r>
      <w:r w:rsidR="005A5773">
        <w:rPr>
          <w:rFonts w:ascii="ITC Avant Garde" w:hAnsi="ITC Avant Garde"/>
        </w:rPr>
        <w:t xml:space="preserve"> </w:t>
      </w:r>
      <w:r w:rsidR="00842F48" w:rsidRPr="004D219D">
        <w:rPr>
          <w:rFonts w:ascii="ITC Avant Garde" w:hAnsi="ITC Avant Garde"/>
        </w:rPr>
        <w:t>sometió a consulta pública el “ANTEPROYECTO DE LINEAMIENTOS GENERALES PARA LA PUBLICACIÓN DE INFORMACIÓN TRANSPARENTE, COMPARABLE, ADECUADA Y ACTUALIZADA RELACIONADA CON LOS SERVICIOS DE TELECOMUNICACIONES”</w:t>
      </w:r>
      <w:r w:rsidR="00966E15" w:rsidRPr="004D219D">
        <w:rPr>
          <w:rFonts w:ascii="ITC Avant Garde" w:hAnsi="ITC Avant Garde"/>
        </w:rPr>
        <w:t xml:space="preserve"> (en lo sucesivo “Anteproyecto”)</w:t>
      </w:r>
      <w:r w:rsidR="00842F48" w:rsidRPr="004D219D">
        <w:rPr>
          <w:rFonts w:ascii="ITC Avant Garde" w:hAnsi="ITC Avant Garde"/>
        </w:rPr>
        <w:t xml:space="preserve"> durante el periodo comprendido del </w:t>
      </w:r>
      <w:r w:rsidR="00842F48" w:rsidRPr="004D219D">
        <w:rPr>
          <w:rFonts w:ascii="ITC Avant Garde" w:hAnsi="ITC Avant Garde"/>
          <w:color w:val="000000"/>
        </w:rPr>
        <w:t>3 de mayo al 14 de junio de 2016 (30 días hábiles).</w:t>
      </w:r>
      <w:r w:rsidR="00966E15" w:rsidRPr="004D219D">
        <w:rPr>
          <w:rFonts w:ascii="ITC Avant Garde" w:hAnsi="ITC Avant Garde"/>
          <w:color w:val="000000"/>
        </w:rPr>
        <w:t xml:space="preserve"> </w:t>
      </w:r>
      <w:r w:rsidR="00966E15" w:rsidRPr="004D219D">
        <w:rPr>
          <w:rFonts w:ascii="ITC Avant Garde" w:hAnsi="ITC Avant Garde"/>
        </w:rPr>
        <w:t>Una vez concluido el plazo de consulta respectivo, se publicaron en el portal de Internet del Instituto todos y cada uno de los comentarios, opiniones y propuestas concretas recibidas respecto del Anteproyect</w:t>
      </w:r>
      <w:r w:rsidR="004D219D">
        <w:rPr>
          <w:rFonts w:ascii="ITC Avant Garde" w:hAnsi="ITC Avant Garde"/>
        </w:rPr>
        <w:t>o.</w:t>
      </w:r>
    </w:p>
    <w:p w:rsidR="00842F48" w:rsidRDefault="00842F48" w:rsidP="00A13478">
      <w:pPr>
        <w:spacing w:after="0"/>
        <w:jc w:val="both"/>
        <w:rPr>
          <w:rFonts w:ascii="ITC Avant Garde" w:hAnsi="ITC Avant Garde"/>
        </w:rPr>
      </w:pPr>
    </w:p>
    <w:p w:rsidR="005A5773" w:rsidRDefault="002021EC" w:rsidP="00A13478">
      <w:pPr>
        <w:spacing w:after="0"/>
        <w:jc w:val="both"/>
        <w:rPr>
          <w:rFonts w:ascii="ITC Avant Garde" w:hAnsi="ITC Avant Garde"/>
          <w:b/>
        </w:rPr>
      </w:pPr>
      <w:r>
        <w:rPr>
          <w:rFonts w:ascii="ITC Avant Garde" w:hAnsi="ITC Avant Garde"/>
          <w:b/>
        </w:rPr>
        <w:t>Responsable de la Consulta Pública.</w:t>
      </w:r>
    </w:p>
    <w:p w:rsidR="00C265E7" w:rsidRDefault="00C265E7" w:rsidP="00A13478">
      <w:pPr>
        <w:spacing w:after="0"/>
        <w:jc w:val="both"/>
        <w:rPr>
          <w:rFonts w:ascii="ITC Avant Garde" w:hAnsi="ITC Avant Garde"/>
        </w:rPr>
      </w:pPr>
    </w:p>
    <w:p w:rsidR="002021EC" w:rsidRDefault="002021EC" w:rsidP="00A13478">
      <w:pPr>
        <w:spacing w:after="0"/>
        <w:jc w:val="both"/>
        <w:rPr>
          <w:rFonts w:ascii="ITC Avant Garde" w:hAnsi="ITC Avant Garde"/>
        </w:rPr>
      </w:pPr>
      <w:r>
        <w:rPr>
          <w:rFonts w:ascii="ITC Avant Garde" w:hAnsi="ITC Avant Garde"/>
        </w:rPr>
        <w:t>Coordinación General de Política del Usuario.</w:t>
      </w:r>
    </w:p>
    <w:p w:rsidR="002021EC" w:rsidRPr="002021EC" w:rsidRDefault="002021EC" w:rsidP="00A13478">
      <w:pPr>
        <w:spacing w:after="0"/>
        <w:jc w:val="both"/>
        <w:rPr>
          <w:rFonts w:ascii="ITC Avant Garde" w:hAnsi="ITC Avant Garde"/>
        </w:rPr>
      </w:pPr>
    </w:p>
    <w:p w:rsidR="005A5773" w:rsidRPr="005A5773" w:rsidRDefault="005A5773" w:rsidP="00A13478">
      <w:pPr>
        <w:spacing w:after="0"/>
        <w:jc w:val="both"/>
        <w:rPr>
          <w:rFonts w:ascii="ITC Avant Garde" w:hAnsi="ITC Avant Garde"/>
          <w:b/>
        </w:rPr>
      </w:pPr>
      <w:r w:rsidRPr="005A5773">
        <w:rPr>
          <w:rFonts w:ascii="ITC Avant Garde" w:hAnsi="ITC Avant Garde"/>
          <w:b/>
        </w:rPr>
        <w:t>Participantes.</w:t>
      </w:r>
    </w:p>
    <w:p w:rsidR="00C265E7" w:rsidRDefault="00C265E7" w:rsidP="00966E15">
      <w:pPr>
        <w:spacing w:after="0"/>
        <w:jc w:val="both"/>
        <w:rPr>
          <w:rFonts w:ascii="ITC Avant Garde" w:hAnsi="ITC Avant Garde"/>
        </w:rPr>
      </w:pPr>
    </w:p>
    <w:p w:rsidR="00966E15" w:rsidRPr="000E4750" w:rsidRDefault="00966E15" w:rsidP="00966E15">
      <w:pPr>
        <w:spacing w:after="0"/>
        <w:jc w:val="both"/>
        <w:rPr>
          <w:rFonts w:ascii="ITC Avant Garde" w:hAnsi="ITC Avant Garde"/>
        </w:rPr>
      </w:pPr>
      <w:r w:rsidRPr="000E4750">
        <w:rPr>
          <w:rFonts w:ascii="ITC Avant Garde" w:hAnsi="ITC Avant Garde"/>
        </w:rPr>
        <w:t xml:space="preserve">Durante la Consulta Pública se </w:t>
      </w:r>
      <w:r w:rsidRPr="00806F50">
        <w:rPr>
          <w:rFonts w:ascii="ITC Avant Garde" w:hAnsi="ITC Avant Garde"/>
        </w:rPr>
        <w:t>recibieron un total de 19 documentos</w:t>
      </w:r>
      <w:r w:rsidRPr="000E4750">
        <w:rPr>
          <w:rFonts w:ascii="ITC Avant Garde" w:hAnsi="ITC Avant Garde"/>
        </w:rPr>
        <w:t xml:space="preserve"> con comentarios</w:t>
      </w:r>
      <w:r w:rsidR="002021EC">
        <w:rPr>
          <w:rFonts w:ascii="ITC Avant Garde" w:hAnsi="ITC Avant Garde"/>
        </w:rPr>
        <w:t>, opiniones y aportaciones</w:t>
      </w:r>
      <w:r w:rsidRPr="000E4750">
        <w:rPr>
          <w:rFonts w:ascii="ITC Avant Garde" w:hAnsi="ITC Avant Garde"/>
        </w:rPr>
        <w:t>, mismos que pueden agruparse de la siguiente forma:</w:t>
      </w:r>
    </w:p>
    <w:p w:rsidR="00966E15" w:rsidRPr="000E4750" w:rsidRDefault="00966E15" w:rsidP="00966E15">
      <w:pPr>
        <w:spacing w:after="0"/>
        <w:jc w:val="both"/>
        <w:rPr>
          <w:rFonts w:ascii="ITC Avant Garde" w:hAnsi="ITC Avant Garde"/>
        </w:rPr>
      </w:pPr>
    </w:p>
    <w:p w:rsidR="00966E15" w:rsidRPr="000E4750" w:rsidRDefault="00966E15" w:rsidP="00966E15">
      <w:pPr>
        <w:numPr>
          <w:ilvl w:val="1"/>
          <w:numId w:val="1"/>
        </w:numPr>
        <w:tabs>
          <w:tab w:val="clear" w:pos="1440"/>
          <w:tab w:val="num" w:pos="1701"/>
        </w:tabs>
        <w:spacing w:after="0"/>
        <w:ind w:left="709" w:hanging="425"/>
        <w:jc w:val="both"/>
        <w:rPr>
          <w:rFonts w:ascii="ITC Avant Garde" w:hAnsi="ITC Avant Garde"/>
        </w:rPr>
      </w:pPr>
      <w:r w:rsidRPr="000E4750">
        <w:rPr>
          <w:rFonts w:ascii="ITC Avant Garde" w:hAnsi="ITC Avant Garde"/>
          <w:b/>
        </w:rPr>
        <w:t>Industria</w:t>
      </w:r>
      <w:r w:rsidRPr="000E4750">
        <w:rPr>
          <w:rFonts w:ascii="ITC Avant Garde" w:hAnsi="ITC Avant Garde"/>
        </w:rPr>
        <w:t xml:space="preserve"> </w:t>
      </w:r>
      <w:r w:rsidRPr="00806F50">
        <w:rPr>
          <w:rFonts w:ascii="ITC Avant Garde" w:hAnsi="ITC Avant Garde"/>
        </w:rPr>
        <w:t>(15):</w:t>
      </w:r>
      <w:r w:rsidRPr="000E4750">
        <w:rPr>
          <w:rFonts w:ascii="ITC Avant Garde" w:hAnsi="ITC Avant Garde"/>
        </w:rPr>
        <w:t xml:space="preserve"> ALESTRA, ANATEL, ASIET, AT&amp;T, AVANTEL, AXTEL, CABLEMÁS, CANIETI, SKY, GRUPO TELEVISA, GSMA, MEGACABLE, PEGASO, TELMEX y 5G AMERICAS.</w:t>
      </w:r>
    </w:p>
    <w:p w:rsidR="00966E15" w:rsidRPr="000E4750" w:rsidRDefault="00966E15" w:rsidP="00966E15">
      <w:pPr>
        <w:spacing w:after="0"/>
        <w:ind w:left="709" w:hanging="425"/>
        <w:jc w:val="both"/>
        <w:rPr>
          <w:rFonts w:ascii="ITC Avant Garde" w:hAnsi="ITC Avant Garde"/>
        </w:rPr>
      </w:pPr>
    </w:p>
    <w:p w:rsidR="00966E15" w:rsidRPr="000E4750" w:rsidRDefault="00966E15" w:rsidP="00966E15">
      <w:pPr>
        <w:numPr>
          <w:ilvl w:val="1"/>
          <w:numId w:val="1"/>
        </w:numPr>
        <w:tabs>
          <w:tab w:val="clear" w:pos="1440"/>
        </w:tabs>
        <w:spacing w:after="0"/>
        <w:ind w:left="709" w:hanging="425"/>
        <w:jc w:val="both"/>
        <w:rPr>
          <w:rFonts w:ascii="ITC Avant Garde" w:hAnsi="ITC Avant Garde"/>
        </w:rPr>
      </w:pPr>
      <w:r w:rsidRPr="000E4750">
        <w:rPr>
          <w:rFonts w:ascii="ITC Avant Garde" w:hAnsi="ITC Avant Garde"/>
          <w:b/>
        </w:rPr>
        <w:t>Personas Físicas</w:t>
      </w:r>
      <w:r w:rsidRPr="000E4750">
        <w:rPr>
          <w:rFonts w:ascii="ITC Avant Garde" w:hAnsi="ITC Avant Garde"/>
        </w:rPr>
        <w:t xml:space="preserve"> </w:t>
      </w:r>
      <w:r w:rsidRPr="00806F50">
        <w:rPr>
          <w:rFonts w:ascii="ITC Avant Garde" w:hAnsi="ITC Avant Garde"/>
        </w:rPr>
        <w:t>(2):</w:t>
      </w:r>
      <w:r w:rsidRPr="000E4750">
        <w:rPr>
          <w:rFonts w:ascii="ITC Avant Garde" w:hAnsi="ITC Avant Garde"/>
        </w:rPr>
        <w:t xml:space="preserve"> José Gabriel Canche e Ivan Ruíz.</w:t>
      </w:r>
    </w:p>
    <w:p w:rsidR="00966E15" w:rsidRPr="000E4750" w:rsidRDefault="00966E15" w:rsidP="00966E15">
      <w:pPr>
        <w:spacing w:after="0"/>
        <w:jc w:val="both"/>
        <w:rPr>
          <w:rFonts w:ascii="ITC Avant Garde" w:hAnsi="ITC Avant Garde"/>
        </w:rPr>
      </w:pPr>
    </w:p>
    <w:p w:rsidR="00966E15" w:rsidRPr="000E4750" w:rsidRDefault="00966E15" w:rsidP="00966E15">
      <w:pPr>
        <w:numPr>
          <w:ilvl w:val="1"/>
          <w:numId w:val="1"/>
        </w:numPr>
        <w:tabs>
          <w:tab w:val="clear" w:pos="1440"/>
        </w:tabs>
        <w:spacing w:after="0"/>
        <w:ind w:left="709" w:hanging="425"/>
        <w:jc w:val="both"/>
        <w:rPr>
          <w:rFonts w:ascii="ITC Avant Garde" w:hAnsi="ITC Avant Garde"/>
        </w:rPr>
      </w:pPr>
      <w:r w:rsidRPr="000E4750">
        <w:rPr>
          <w:rFonts w:ascii="ITC Avant Garde" w:hAnsi="ITC Avant Garde"/>
          <w:b/>
        </w:rPr>
        <w:t>Otros</w:t>
      </w:r>
      <w:r w:rsidRPr="00806F50">
        <w:rPr>
          <w:rFonts w:ascii="ITC Avant Garde" w:hAnsi="ITC Avant Garde"/>
          <w:b/>
        </w:rPr>
        <w:t>:</w:t>
      </w:r>
      <w:r w:rsidRPr="00806F50">
        <w:rPr>
          <w:rFonts w:ascii="ITC Avant Garde" w:hAnsi="ITC Avant Garde"/>
        </w:rPr>
        <w:t xml:space="preserve"> (2):</w:t>
      </w:r>
      <w:r w:rsidRPr="000E4750">
        <w:rPr>
          <w:rFonts w:ascii="ITC Avant Garde" w:hAnsi="ITC Avant Garde"/>
        </w:rPr>
        <w:t xml:space="preserve"> PROFECO y NYCE.</w:t>
      </w:r>
    </w:p>
    <w:p w:rsidR="00C265E7" w:rsidRPr="000E4750" w:rsidRDefault="00C265E7" w:rsidP="00966E15">
      <w:pPr>
        <w:kinsoku w:val="0"/>
        <w:overflowPunct w:val="0"/>
        <w:autoSpaceDE w:val="0"/>
        <w:autoSpaceDN w:val="0"/>
        <w:adjustRightInd w:val="0"/>
        <w:spacing w:before="2" w:after="0" w:line="260" w:lineRule="exact"/>
        <w:rPr>
          <w:rFonts w:ascii="Times New Roman" w:eastAsiaTheme="minorHAnsi" w:hAnsi="Times New Roman" w:cs="Times New Roman"/>
          <w:sz w:val="26"/>
          <w:szCs w:val="26"/>
          <w:lang w:eastAsia="en-US"/>
        </w:rPr>
      </w:pPr>
    </w:p>
    <w:tbl>
      <w:tblPr>
        <w:tblW w:w="8950" w:type="dxa"/>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CellMar>
          <w:left w:w="0" w:type="dxa"/>
          <w:right w:w="0" w:type="dxa"/>
        </w:tblCellMar>
        <w:tblLook w:val="0000" w:firstRow="0" w:lastRow="0" w:firstColumn="0" w:lastColumn="0" w:noHBand="0" w:noVBand="0"/>
      </w:tblPr>
      <w:tblGrid>
        <w:gridCol w:w="1990"/>
        <w:gridCol w:w="27"/>
        <w:gridCol w:w="6933"/>
      </w:tblGrid>
      <w:tr w:rsidR="00966E15" w:rsidRPr="000E4750" w:rsidTr="002021EC">
        <w:trPr>
          <w:trHeight w:hRule="exact" w:val="288"/>
          <w:jc w:val="center"/>
        </w:trPr>
        <w:tc>
          <w:tcPr>
            <w:tcW w:w="2017" w:type="dxa"/>
            <w:gridSpan w:val="2"/>
            <w:shd w:val="clear" w:color="auto" w:fill="76923C" w:themeFill="accent3" w:themeFillShade="BF"/>
          </w:tcPr>
          <w:p w:rsidR="00966E15" w:rsidRPr="000E4750" w:rsidRDefault="00966E15" w:rsidP="00695E50">
            <w:pPr>
              <w:kinsoku w:val="0"/>
              <w:overflowPunct w:val="0"/>
              <w:autoSpaceDE w:val="0"/>
              <w:autoSpaceDN w:val="0"/>
              <w:adjustRightInd w:val="0"/>
              <w:spacing w:after="0" w:line="258" w:lineRule="exact"/>
              <w:ind w:left="337"/>
              <w:rPr>
                <w:rFonts w:ascii="ITC Avant Garde" w:eastAsiaTheme="minorHAnsi" w:hAnsi="ITC Avant Garde" w:cs="Times New Roman"/>
                <w:sz w:val="20"/>
                <w:szCs w:val="24"/>
                <w:lang w:eastAsia="en-US"/>
              </w:rPr>
            </w:pPr>
            <w:r w:rsidRPr="000E4750">
              <w:rPr>
                <w:rFonts w:ascii="ITC Avant Garde" w:eastAsiaTheme="minorHAnsi" w:hAnsi="ITC Avant Garde" w:cs="ITC Avant Garde"/>
                <w:color w:val="FFFFFF"/>
                <w:sz w:val="20"/>
                <w:szCs w:val="21"/>
                <w:lang w:eastAsia="en-US"/>
              </w:rPr>
              <w:lastRenderedPageBreak/>
              <w:t>Id</w:t>
            </w:r>
            <w:r w:rsidRPr="000E4750">
              <w:rPr>
                <w:rFonts w:ascii="ITC Avant Garde" w:eastAsiaTheme="minorHAnsi" w:hAnsi="ITC Avant Garde" w:cs="ITC Avant Garde"/>
                <w:color w:val="FFFFFF"/>
                <w:spacing w:val="-1"/>
                <w:sz w:val="20"/>
                <w:szCs w:val="21"/>
                <w:lang w:eastAsia="en-US"/>
              </w:rPr>
              <w:t>e</w:t>
            </w:r>
            <w:r w:rsidRPr="000E4750">
              <w:rPr>
                <w:rFonts w:ascii="ITC Avant Garde" w:eastAsiaTheme="minorHAnsi" w:hAnsi="ITC Avant Garde" w:cs="ITC Avant Garde"/>
                <w:color w:val="FFFFFF"/>
                <w:sz w:val="20"/>
                <w:szCs w:val="21"/>
                <w:lang w:eastAsia="en-US"/>
              </w:rPr>
              <w:t>n</w:t>
            </w:r>
            <w:r w:rsidRPr="000E4750">
              <w:rPr>
                <w:rFonts w:ascii="ITC Avant Garde" w:eastAsiaTheme="minorHAnsi" w:hAnsi="ITC Avant Garde" w:cs="ITC Avant Garde"/>
                <w:color w:val="FFFFFF"/>
                <w:spacing w:val="-2"/>
                <w:sz w:val="20"/>
                <w:szCs w:val="21"/>
                <w:lang w:eastAsia="en-US"/>
              </w:rPr>
              <w:t>t</w:t>
            </w:r>
            <w:r w:rsidRPr="000E4750">
              <w:rPr>
                <w:rFonts w:ascii="ITC Avant Garde" w:eastAsiaTheme="minorHAnsi" w:hAnsi="ITC Avant Garde" w:cs="ITC Avant Garde"/>
                <w:color w:val="FFFFFF"/>
                <w:sz w:val="20"/>
                <w:szCs w:val="21"/>
                <w:lang w:eastAsia="en-US"/>
              </w:rPr>
              <w:t>i</w:t>
            </w:r>
            <w:r w:rsidRPr="000E4750">
              <w:rPr>
                <w:rFonts w:ascii="ITC Avant Garde" w:eastAsiaTheme="minorHAnsi" w:hAnsi="ITC Avant Garde" w:cs="ITC Avant Garde"/>
                <w:color w:val="FFFFFF"/>
                <w:spacing w:val="-2"/>
                <w:sz w:val="20"/>
                <w:szCs w:val="21"/>
                <w:lang w:eastAsia="en-US"/>
              </w:rPr>
              <w:t>f</w:t>
            </w:r>
            <w:r w:rsidRPr="000E4750">
              <w:rPr>
                <w:rFonts w:ascii="ITC Avant Garde" w:eastAsiaTheme="minorHAnsi" w:hAnsi="ITC Avant Garde" w:cs="ITC Avant Garde"/>
                <w:color w:val="FFFFFF"/>
                <w:sz w:val="20"/>
                <w:szCs w:val="21"/>
                <w:lang w:eastAsia="en-US"/>
              </w:rPr>
              <w:t>ica</w:t>
            </w:r>
            <w:r w:rsidRPr="000E4750">
              <w:rPr>
                <w:rFonts w:ascii="ITC Avant Garde" w:eastAsiaTheme="minorHAnsi" w:hAnsi="ITC Avant Garde" w:cs="ITC Avant Garde"/>
                <w:color w:val="FFFFFF"/>
                <w:spacing w:val="-4"/>
                <w:sz w:val="20"/>
                <w:szCs w:val="21"/>
                <w:lang w:eastAsia="en-US"/>
              </w:rPr>
              <w:t>d</w:t>
            </w:r>
            <w:r w:rsidRPr="000E4750">
              <w:rPr>
                <w:rFonts w:ascii="ITC Avant Garde" w:eastAsiaTheme="minorHAnsi" w:hAnsi="ITC Avant Garde" w:cs="ITC Avant Garde"/>
                <w:color w:val="FFFFFF"/>
                <w:sz w:val="20"/>
                <w:szCs w:val="21"/>
                <w:lang w:eastAsia="en-US"/>
              </w:rPr>
              <w:t>or</w:t>
            </w:r>
          </w:p>
        </w:tc>
        <w:tc>
          <w:tcPr>
            <w:tcW w:w="6933" w:type="dxa"/>
            <w:shd w:val="clear" w:color="auto" w:fill="76923C" w:themeFill="accent3" w:themeFillShade="BF"/>
          </w:tcPr>
          <w:p w:rsidR="00966E15" w:rsidRPr="000E4750" w:rsidRDefault="00966E15" w:rsidP="00695E50">
            <w:pPr>
              <w:kinsoku w:val="0"/>
              <w:overflowPunct w:val="0"/>
              <w:autoSpaceDE w:val="0"/>
              <w:autoSpaceDN w:val="0"/>
              <w:adjustRightInd w:val="0"/>
              <w:spacing w:after="0" w:line="258" w:lineRule="exact"/>
              <w:ind w:left="12"/>
              <w:jc w:val="center"/>
              <w:rPr>
                <w:rFonts w:ascii="ITC Avant Garde" w:eastAsiaTheme="minorHAnsi" w:hAnsi="ITC Avant Garde" w:cs="Times New Roman"/>
                <w:sz w:val="20"/>
                <w:szCs w:val="24"/>
                <w:lang w:eastAsia="en-US"/>
              </w:rPr>
            </w:pPr>
            <w:r w:rsidRPr="000E4750">
              <w:rPr>
                <w:rFonts w:ascii="ITC Avant Garde" w:eastAsiaTheme="minorHAnsi" w:hAnsi="ITC Avant Garde" w:cs="ITC Avant Garde"/>
                <w:color w:val="FFFFFF"/>
                <w:sz w:val="20"/>
                <w:szCs w:val="21"/>
                <w:lang w:eastAsia="en-US"/>
              </w:rPr>
              <w:t>N</w:t>
            </w:r>
            <w:r w:rsidRPr="000E4750">
              <w:rPr>
                <w:rFonts w:ascii="ITC Avant Garde" w:eastAsiaTheme="minorHAnsi" w:hAnsi="ITC Avant Garde" w:cs="ITC Avant Garde"/>
                <w:color w:val="FFFFFF"/>
                <w:spacing w:val="-2"/>
                <w:sz w:val="20"/>
                <w:szCs w:val="21"/>
                <w:lang w:eastAsia="en-US"/>
              </w:rPr>
              <w:t>o</w:t>
            </w:r>
            <w:r w:rsidRPr="000E4750">
              <w:rPr>
                <w:rFonts w:ascii="ITC Avant Garde" w:eastAsiaTheme="minorHAnsi" w:hAnsi="ITC Avant Garde" w:cs="ITC Avant Garde"/>
                <w:color w:val="FFFFFF"/>
                <w:sz w:val="20"/>
                <w:szCs w:val="21"/>
                <w:lang w:eastAsia="en-US"/>
              </w:rPr>
              <w:t>mb</w:t>
            </w:r>
            <w:r w:rsidRPr="000E4750">
              <w:rPr>
                <w:rFonts w:ascii="ITC Avant Garde" w:eastAsiaTheme="minorHAnsi" w:hAnsi="ITC Avant Garde" w:cs="ITC Avant Garde"/>
                <w:color w:val="FFFFFF"/>
                <w:spacing w:val="-2"/>
                <w:sz w:val="20"/>
                <w:szCs w:val="21"/>
                <w:lang w:eastAsia="en-US"/>
              </w:rPr>
              <w:t>r</w:t>
            </w:r>
            <w:r w:rsidRPr="000E4750">
              <w:rPr>
                <w:rFonts w:ascii="ITC Avant Garde" w:eastAsiaTheme="minorHAnsi" w:hAnsi="ITC Avant Garde" w:cs="ITC Avant Garde"/>
                <w:color w:val="FFFFFF"/>
                <w:sz w:val="20"/>
                <w:szCs w:val="21"/>
                <w:lang w:eastAsia="en-US"/>
              </w:rPr>
              <w:t>e</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ALESTRA</w:t>
            </w:r>
          </w:p>
        </w:tc>
        <w:tc>
          <w:tcPr>
            <w:tcW w:w="6960" w:type="dxa"/>
            <w:gridSpan w:val="2"/>
            <w:vAlign w:val="bottom"/>
          </w:tcPr>
          <w:p w:rsidR="00966E15" w:rsidRPr="000E4750" w:rsidRDefault="00966E15" w:rsidP="00695E50">
            <w:pPr>
              <w:jc w:val="center"/>
              <w:rPr>
                <w:rFonts w:ascii="ITC Avant Garde" w:hAnsi="ITC Avant Garde"/>
                <w:color w:val="000000"/>
                <w:sz w:val="20"/>
              </w:rPr>
            </w:pPr>
            <w:r w:rsidRPr="000E4750">
              <w:rPr>
                <w:rFonts w:ascii="ITC Avant Garde" w:hAnsi="ITC Avant Garde"/>
                <w:color w:val="000000"/>
                <w:sz w:val="20"/>
              </w:rPr>
              <w:t xml:space="preserve">Alestra, S. de R.L. </w:t>
            </w:r>
            <w:r w:rsidR="00673B18">
              <w:rPr>
                <w:rFonts w:ascii="ITC Avant Garde" w:hAnsi="ITC Avant Garde"/>
                <w:color w:val="000000"/>
                <w:sz w:val="20"/>
              </w:rPr>
              <w:t>de C.V.</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sz w:val="20"/>
              </w:rPr>
            </w:pPr>
            <w:r w:rsidRPr="000E4750">
              <w:rPr>
                <w:rFonts w:ascii="ITC Avant Garde" w:eastAsia="Times New Roman" w:hAnsi="ITC Avant Garde" w:cs="Times New Roman"/>
                <w:sz w:val="20"/>
              </w:rPr>
              <w:t>ANATEL</w:t>
            </w:r>
          </w:p>
        </w:tc>
        <w:tc>
          <w:tcPr>
            <w:tcW w:w="6960" w:type="dxa"/>
            <w:gridSpan w:val="2"/>
            <w:vAlign w:val="bottom"/>
          </w:tcPr>
          <w:p w:rsidR="00966E15" w:rsidRPr="000E4750" w:rsidRDefault="00966E15" w:rsidP="00695E50">
            <w:pPr>
              <w:jc w:val="center"/>
              <w:rPr>
                <w:rFonts w:ascii="ITC Avant Garde" w:hAnsi="ITC Avant Garde"/>
                <w:sz w:val="20"/>
              </w:rPr>
            </w:pPr>
            <w:r w:rsidRPr="000E4750">
              <w:rPr>
                <w:rFonts w:ascii="ITC Avant Garde" w:hAnsi="ITC Avant Garde"/>
                <w:sz w:val="20"/>
              </w:rPr>
              <w:t>Asociación Nacional de Telecomunicaciones</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sz w:val="20"/>
              </w:rPr>
            </w:pPr>
            <w:r w:rsidRPr="000E4750">
              <w:rPr>
                <w:rFonts w:ascii="ITC Avant Garde" w:eastAsia="Times New Roman" w:hAnsi="ITC Avant Garde" w:cs="Times New Roman"/>
                <w:sz w:val="20"/>
              </w:rPr>
              <w:t>ASIET</w:t>
            </w:r>
          </w:p>
        </w:tc>
        <w:tc>
          <w:tcPr>
            <w:tcW w:w="6960" w:type="dxa"/>
            <w:gridSpan w:val="2"/>
            <w:vAlign w:val="bottom"/>
          </w:tcPr>
          <w:p w:rsidR="00966E15" w:rsidRPr="000E4750" w:rsidRDefault="00966E15" w:rsidP="00695E50">
            <w:pPr>
              <w:jc w:val="center"/>
              <w:rPr>
                <w:rFonts w:ascii="ITC Avant Garde" w:hAnsi="ITC Avant Garde"/>
                <w:sz w:val="20"/>
              </w:rPr>
            </w:pPr>
            <w:r w:rsidRPr="000E4750">
              <w:rPr>
                <w:rFonts w:ascii="ITC Avant Garde" w:hAnsi="ITC Avant Garde"/>
                <w:sz w:val="20"/>
              </w:rPr>
              <w:t>Asociación Interamericana de Empresas de Telecomunicaciones</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AT&amp;T</w:t>
            </w:r>
          </w:p>
        </w:tc>
        <w:tc>
          <w:tcPr>
            <w:tcW w:w="6960" w:type="dxa"/>
            <w:gridSpan w:val="2"/>
            <w:vAlign w:val="bottom"/>
          </w:tcPr>
          <w:p w:rsidR="00966E15" w:rsidRPr="000E4750" w:rsidRDefault="00966E15" w:rsidP="00695E50">
            <w:pPr>
              <w:jc w:val="center"/>
              <w:rPr>
                <w:rFonts w:ascii="ITC Avant Garde" w:eastAsia="Times New Roman" w:hAnsi="ITC Avant Garde"/>
                <w:color w:val="000000"/>
                <w:sz w:val="20"/>
              </w:rPr>
            </w:pPr>
            <w:r w:rsidRPr="000E4750">
              <w:rPr>
                <w:rFonts w:ascii="ITC Avant Garde" w:hAnsi="ITC Avant Garde"/>
                <w:color w:val="000000"/>
                <w:sz w:val="20"/>
              </w:rPr>
              <w:t>AT&amp;T Comunicaciones Digitales, S. de R.L. de C.V.</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AVANTEL</w:t>
            </w:r>
          </w:p>
        </w:tc>
        <w:tc>
          <w:tcPr>
            <w:tcW w:w="6960" w:type="dxa"/>
            <w:gridSpan w:val="2"/>
            <w:vAlign w:val="bottom"/>
          </w:tcPr>
          <w:p w:rsidR="00966E15" w:rsidRPr="000E4750" w:rsidRDefault="00966E15" w:rsidP="00695E50">
            <w:pPr>
              <w:jc w:val="center"/>
              <w:rPr>
                <w:rFonts w:ascii="ITC Avant Garde" w:hAnsi="ITC Avant Garde"/>
                <w:color w:val="000000"/>
                <w:sz w:val="20"/>
              </w:rPr>
            </w:pPr>
            <w:r w:rsidRPr="000E4750">
              <w:rPr>
                <w:rFonts w:ascii="ITC Avant Garde" w:hAnsi="ITC Avant Garde"/>
                <w:color w:val="000000"/>
                <w:sz w:val="20"/>
              </w:rPr>
              <w:t>Avantel, S. de R.L.</w:t>
            </w:r>
            <w:r w:rsidR="00673B18">
              <w:rPr>
                <w:rFonts w:ascii="ITC Avant Garde" w:hAnsi="ITC Avant Garde"/>
                <w:color w:val="000000"/>
                <w:sz w:val="20"/>
              </w:rPr>
              <w:t xml:space="preserve"> de C.V.</w:t>
            </w:r>
            <w:r w:rsidRPr="000E4750">
              <w:rPr>
                <w:rFonts w:ascii="ITC Avant Garde" w:hAnsi="ITC Avant Garde"/>
                <w:color w:val="000000"/>
                <w:sz w:val="20"/>
              </w:rPr>
              <w:t xml:space="preserve"> </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AXTEL</w:t>
            </w:r>
          </w:p>
        </w:tc>
        <w:tc>
          <w:tcPr>
            <w:tcW w:w="6960" w:type="dxa"/>
            <w:gridSpan w:val="2"/>
            <w:vAlign w:val="bottom"/>
          </w:tcPr>
          <w:p w:rsidR="00966E15" w:rsidRPr="000E4750" w:rsidRDefault="00673B18" w:rsidP="00695E50">
            <w:pPr>
              <w:jc w:val="center"/>
              <w:rPr>
                <w:rFonts w:ascii="ITC Avant Garde" w:hAnsi="ITC Avant Garde"/>
                <w:color w:val="000000"/>
                <w:sz w:val="20"/>
              </w:rPr>
            </w:pPr>
            <w:r>
              <w:rPr>
                <w:rFonts w:ascii="ITC Avant Garde" w:hAnsi="ITC Avant Garde"/>
                <w:color w:val="000000"/>
                <w:sz w:val="20"/>
              </w:rPr>
              <w:t>Axtel, S.A.B. de C.V.</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CABLEMÁS</w:t>
            </w:r>
          </w:p>
        </w:tc>
        <w:tc>
          <w:tcPr>
            <w:tcW w:w="6960" w:type="dxa"/>
            <w:gridSpan w:val="2"/>
            <w:vAlign w:val="bottom"/>
          </w:tcPr>
          <w:p w:rsidR="00966E15" w:rsidRPr="000E4750" w:rsidRDefault="00966E15" w:rsidP="00695E50">
            <w:pPr>
              <w:jc w:val="center"/>
              <w:rPr>
                <w:rFonts w:ascii="ITC Avant Garde" w:hAnsi="ITC Avant Garde"/>
                <w:color w:val="000000"/>
                <w:sz w:val="20"/>
              </w:rPr>
            </w:pPr>
            <w:r w:rsidRPr="000E4750">
              <w:rPr>
                <w:rFonts w:ascii="ITC Avant Garde" w:hAnsi="ITC Avant Garde"/>
                <w:color w:val="000000"/>
                <w:sz w:val="20"/>
              </w:rPr>
              <w:t xml:space="preserve">Cablemás Telecomunicaciones, S.A. de C.V. </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CANCHE</w:t>
            </w:r>
          </w:p>
        </w:tc>
        <w:tc>
          <w:tcPr>
            <w:tcW w:w="6960" w:type="dxa"/>
            <w:gridSpan w:val="2"/>
            <w:vAlign w:val="bottom"/>
          </w:tcPr>
          <w:p w:rsidR="00966E15" w:rsidRPr="000E4750" w:rsidRDefault="00966E15" w:rsidP="00695E50">
            <w:pPr>
              <w:jc w:val="center"/>
              <w:rPr>
                <w:rFonts w:ascii="ITC Avant Garde" w:hAnsi="ITC Avant Garde"/>
                <w:color w:val="000000"/>
                <w:sz w:val="20"/>
              </w:rPr>
            </w:pPr>
            <w:r w:rsidRPr="000E4750">
              <w:rPr>
                <w:rFonts w:ascii="ITC Avant Garde" w:hAnsi="ITC Avant Garde"/>
                <w:color w:val="000000"/>
                <w:sz w:val="20"/>
              </w:rPr>
              <w:t>José Gabriel Canche May</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CANIETI</w:t>
            </w:r>
          </w:p>
        </w:tc>
        <w:tc>
          <w:tcPr>
            <w:tcW w:w="6960" w:type="dxa"/>
            <w:gridSpan w:val="2"/>
            <w:vAlign w:val="bottom"/>
          </w:tcPr>
          <w:p w:rsidR="00966E15" w:rsidRPr="000E4750" w:rsidRDefault="00966E15" w:rsidP="00695E50">
            <w:pPr>
              <w:jc w:val="center"/>
              <w:rPr>
                <w:rFonts w:ascii="ITC Avant Garde" w:hAnsi="ITC Avant Garde"/>
                <w:color w:val="000000"/>
                <w:sz w:val="20"/>
              </w:rPr>
            </w:pPr>
            <w:r w:rsidRPr="000E4750">
              <w:rPr>
                <w:rFonts w:ascii="ITC Avant Garde" w:hAnsi="ITC Avant Garde"/>
                <w:color w:val="000000"/>
                <w:sz w:val="20"/>
              </w:rPr>
              <w:t>Cámara Nacional de la Industria Electrónica, de Telecomunicaciones y Tecnologías de la Información</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sz w:val="20"/>
              </w:rPr>
            </w:pPr>
            <w:r w:rsidRPr="000E4750">
              <w:rPr>
                <w:rFonts w:ascii="ITC Avant Garde" w:eastAsia="Times New Roman" w:hAnsi="ITC Avant Garde" w:cs="Times New Roman"/>
                <w:sz w:val="20"/>
              </w:rPr>
              <w:t>SKY</w:t>
            </w:r>
          </w:p>
        </w:tc>
        <w:tc>
          <w:tcPr>
            <w:tcW w:w="6960" w:type="dxa"/>
            <w:gridSpan w:val="2"/>
            <w:vAlign w:val="bottom"/>
          </w:tcPr>
          <w:p w:rsidR="00966E15" w:rsidRPr="000E4750" w:rsidRDefault="00966E15" w:rsidP="00695E50">
            <w:pPr>
              <w:jc w:val="center"/>
              <w:rPr>
                <w:rFonts w:ascii="ITC Avant Garde" w:hAnsi="ITC Avant Garde"/>
                <w:sz w:val="20"/>
              </w:rPr>
            </w:pPr>
            <w:r w:rsidRPr="000E4750">
              <w:rPr>
                <w:rFonts w:ascii="ITC Avant Garde" w:hAnsi="ITC Avant Garde"/>
                <w:sz w:val="20"/>
              </w:rPr>
              <w:t>Corporación de Radio y Televisión del Norte de México, S. de R.L. de C.V.</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sz w:val="20"/>
              </w:rPr>
            </w:pPr>
            <w:r w:rsidRPr="000E4750">
              <w:rPr>
                <w:rFonts w:ascii="ITC Avant Garde" w:eastAsia="Times New Roman" w:hAnsi="ITC Avant Garde" w:cs="Times New Roman"/>
                <w:sz w:val="20"/>
              </w:rPr>
              <w:t>GRUPO TELEVISA</w:t>
            </w:r>
          </w:p>
        </w:tc>
        <w:tc>
          <w:tcPr>
            <w:tcW w:w="6960" w:type="dxa"/>
            <w:gridSpan w:val="2"/>
            <w:vAlign w:val="bottom"/>
          </w:tcPr>
          <w:p w:rsidR="00966E15" w:rsidRPr="000E4750" w:rsidRDefault="00966E15" w:rsidP="00695E50">
            <w:pPr>
              <w:jc w:val="center"/>
              <w:rPr>
                <w:rFonts w:ascii="ITC Avant Garde" w:hAnsi="ITC Avant Garde"/>
                <w:sz w:val="20"/>
              </w:rPr>
            </w:pPr>
            <w:r w:rsidRPr="000E4750">
              <w:rPr>
                <w:rFonts w:ascii="ITC Avant Garde" w:hAnsi="ITC Avant Garde"/>
                <w:sz w:val="20"/>
              </w:rPr>
              <w:t>Bestphone S.A. de C.V., Cablevisión Red, S.A. de C.V., Cablemás Telecomunicaciones, S.A. de C.V., Cable y Comunicación de Campeche S.A. de C.V., Cablevisión S.A. de C.V. y Grupo Cable de San Luis Potosí, S.A. de C.V.</w:t>
            </w:r>
          </w:p>
        </w:tc>
      </w:tr>
      <w:tr w:rsidR="00966E15" w:rsidRPr="000E4750" w:rsidTr="002021EC">
        <w:tblPrEx>
          <w:jc w:val="left"/>
          <w:tblCellMar>
            <w:left w:w="70" w:type="dxa"/>
            <w:right w:w="70" w:type="dxa"/>
          </w:tblCellMar>
          <w:tblLook w:val="04A0" w:firstRow="1" w:lastRow="0" w:firstColumn="1" w:lastColumn="0" w:noHBand="0" w:noVBand="1"/>
        </w:tblPrEx>
        <w:trPr>
          <w:trHeight w:val="52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sz w:val="20"/>
              </w:rPr>
            </w:pPr>
            <w:r w:rsidRPr="000E4750">
              <w:rPr>
                <w:rFonts w:ascii="ITC Avant Garde" w:eastAsia="Times New Roman" w:hAnsi="ITC Avant Garde" w:cs="Times New Roman"/>
                <w:sz w:val="20"/>
              </w:rPr>
              <w:t>GSMA</w:t>
            </w:r>
          </w:p>
        </w:tc>
        <w:tc>
          <w:tcPr>
            <w:tcW w:w="6960" w:type="dxa"/>
            <w:gridSpan w:val="2"/>
            <w:vAlign w:val="bottom"/>
          </w:tcPr>
          <w:p w:rsidR="00966E15" w:rsidRPr="000E4750" w:rsidRDefault="00966E15" w:rsidP="00695E50">
            <w:pPr>
              <w:jc w:val="center"/>
              <w:rPr>
                <w:rFonts w:ascii="ITC Avant Garde" w:hAnsi="ITC Avant Garde"/>
                <w:sz w:val="20"/>
              </w:rPr>
            </w:pPr>
            <w:r w:rsidRPr="000E4750">
              <w:rPr>
                <w:rFonts w:ascii="ITC Avant Garde" w:hAnsi="ITC Avant Garde"/>
                <w:sz w:val="20"/>
              </w:rPr>
              <w:t>GSMA Latin America</w:t>
            </w:r>
          </w:p>
        </w:tc>
      </w:tr>
      <w:tr w:rsidR="00966E15" w:rsidRPr="000E4750" w:rsidTr="002021EC">
        <w:tblPrEx>
          <w:jc w:val="left"/>
          <w:tblCellMar>
            <w:left w:w="70" w:type="dxa"/>
            <w:right w:w="70" w:type="dxa"/>
          </w:tblCellMar>
          <w:tblLook w:val="04A0" w:firstRow="1" w:lastRow="0" w:firstColumn="1" w:lastColumn="0" w:noHBand="0" w:noVBand="1"/>
        </w:tblPrEx>
        <w:trPr>
          <w:trHeight w:val="46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IVAN RUÍZ</w:t>
            </w:r>
          </w:p>
        </w:tc>
        <w:tc>
          <w:tcPr>
            <w:tcW w:w="6960" w:type="dxa"/>
            <w:gridSpan w:val="2"/>
            <w:vAlign w:val="bottom"/>
          </w:tcPr>
          <w:p w:rsidR="00966E15" w:rsidRPr="000E4750" w:rsidRDefault="00966E15" w:rsidP="00695E50">
            <w:pPr>
              <w:jc w:val="center"/>
              <w:rPr>
                <w:rFonts w:ascii="ITC Avant Garde" w:hAnsi="ITC Avant Garde"/>
                <w:color w:val="000000"/>
                <w:sz w:val="20"/>
              </w:rPr>
            </w:pPr>
            <w:r w:rsidRPr="000E4750">
              <w:rPr>
                <w:rFonts w:ascii="ITC Avant Garde" w:hAnsi="ITC Avant Garde"/>
                <w:color w:val="000000"/>
                <w:sz w:val="20"/>
              </w:rPr>
              <w:t>Ivan Ruíz</w:t>
            </w:r>
          </w:p>
        </w:tc>
      </w:tr>
      <w:tr w:rsidR="00966E15" w:rsidRPr="000E4750" w:rsidTr="002021EC">
        <w:tblPrEx>
          <w:jc w:val="left"/>
          <w:tblCellMar>
            <w:left w:w="70" w:type="dxa"/>
            <w:right w:w="70" w:type="dxa"/>
          </w:tblCellMar>
          <w:tblLook w:val="04A0" w:firstRow="1" w:lastRow="0" w:firstColumn="1" w:lastColumn="0" w:noHBand="0" w:noVBand="1"/>
        </w:tblPrEx>
        <w:trPr>
          <w:trHeight w:val="46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MEGACABLE</w:t>
            </w:r>
          </w:p>
        </w:tc>
        <w:tc>
          <w:tcPr>
            <w:tcW w:w="6960" w:type="dxa"/>
            <w:gridSpan w:val="2"/>
            <w:vAlign w:val="bottom"/>
          </w:tcPr>
          <w:p w:rsidR="00966E15" w:rsidRPr="000E4750" w:rsidRDefault="00966E15" w:rsidP="00695E50">
            <w:pPr>
              <w:jc w:val="center"/>
              <w:rPr>
                <w:rFonts w:ascii="ITC Avant Garde" w:hAnsi="ITC Avant Garde"/>
                <w:color w:val="000000"/>
                <w:sz w:val="20"/>
              </w:rPr>
            </w:pPr>
            <w:r w:rsidRPr="000E4750">
              <w:rPr>
                <w:rFonts w:ascii="ITC Avant Garde" w:hAnsi="ITC Avant Garde"/>
                <w:color w:val="000000"/>
                <w:sz w:val="20"/>
              </w:rPr>
              <w:t xml:space="preserve">Mega Cable, S.A. de C.V. </w:t>
            </w:r>
          </w:p>
        </w:tc>
      </w:tr>
      <w:tr w:rsidR="00966E15" w:rsidRPr="000E4750" w:rsidTr="002021EC">
        <w:tblPrEx>
          <w:jc w:val="left"/>
          <w:tblCellMar>
            <w:left w:w="70" w:type="dxa"/>
            <w:right w:w="70" w:type="dxa"/>
          </w:tblCellMar>
          <w:tblLook w:val="04A0" w:firstRow="1" w:lastRow="0" w:firstColumn="1" w:lastColumn="0" w:noHBand="0" w:noVBand="1"/>
        </w:tblPrEx>
        <w:trPr>
          <w:trHeight w:val="46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sz w:val="20"/>
              </w:rPr>
            </w:pPr>
            <w:r w:rsidRPr="000E4750">
              <w:rPr>
                <w:rFonts w:ascii="ITC Avant Garde" w:eastAsia="Times New Roman" w:hAnsi="ITC Avant Garde" w:cs="Times New Roman"/>
                <w:sz w:val="20"/>
              </w:rPr>
              <w:t>NYCE</w:t>
            </w:r>
          </w:p>
        </w:tc>
        <w:tc>
          <w:tcPr>
            <w:tcW w:w="6960" w:type="dxa"/>
            <w:gridSpan w:val="2"/>
            <w:vAlign w:val="bottom"/>
          </w:tcPr>
          <w:p w:rsidR="00966E15" w:rsidRPr="000E4750" w:rsidRDefault="00966E15" w:rsidP="00695E50">
            <w:pPr>
              <w:jc w:val="center"/>
              <w:rPr>
                <w:rFonts w:ascii="ITC Avant Garde" w:hAnsi="ITC Avant Garde"/>
                <w:sz w:val="20"/>
              </w:rPr>
            </w:pPr>
            <w:r w:rsidRPr="000E4750">
              <w:rPr>
                <w:rFonts w:ascii="ITC Avant Garde" w:hAnsi="ITC Avant Garde"/>
                <w:sz w:val="20"/>
              </w:rPr>
              <w:t>Normalización y Certificación Electrónica</w:t>
            </w:r>
          </w:p>
        </w:tc>
      </w:tr>
      <w:tr w:rsidR="00966E15" w:rsidRPr="000E4750" w:rsidTr="002021EC">
        <w:tblPrEx>
          <w:jc w:val="left"/>
          <w:tblCellMar>
            <w:left w:w="70" w:type="dxa"/>
            <w:right w:w="70" w:type="dxa"/>
          </w:tblCellMar>
          <w:tblLook w:val="04A0" w:firstRow="1" w:lastRow="0" w:firstColumn="1" w:lastColumn="0" w:noHBand="0" w:noVBand="1"/>
        </w:tblPrEx>
        <w:trPr>
          <w:trHeight w:val="465"/>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PEGASO</w:t>
            </w:r>
          </w:p>
        </w:tc>
        <w:tc>
          <w:tcPr>
            <w:tcW w:w="6960" w:type="dxa"/>
            <w:gridSpan w:val="2"/>
            <w:vAlign w:val="bottom"/>
          </w:tcPr>
          <w:p w:rsidR="00966E15" w:rsidRPr="000E4750" w:rsidRDefault="00966E15" w:rsidP="00695E50">
            <w:pPr>
              <w:jc w:val="center"/>
              <w:rPr>
                <w:rFonts w:ascii="ITC Avant Garde" w:hAnsi="ITC Avant Garde"/>
                <w:color w:val="000000"/>
                <w:sz w:val="20"/>
              </w:rPr>
            </w:pPr>
            <w:r w:rsidRPr="000E4750">
              <w:rPr>
                <w:rFonts w:ascii="ITC Avant Garde" w:hAnsi="ITC Avant Garde"/>
                <w:color w:val="000000"/>
                <w:sz w:val="20"/>
              </w:rPr>
              <w:t>Pegaso PCS, S.A. de C.V.</w:t>
            </w:r>
            <w:r w:rsidR="00673B18">
              <w:rPr>
                <w:rFonts w:ascii="ITC Avant Garde" w:hAnsi="ITC Avant Garde"/>
                <w:color w:val="000000"/>
                <w:sz w:val="20"/>
              </w:rPr>
              <w:t xml:space="preserve"> y </w:t>
            </w:r>
            <w:r w:rsidR="00673B18" w:rsidRPr="00673B18">
              <w:rPr>
                <w:rFonts w:ascii="ITC Avant Garde" w:hAnsi="ITC Avant Garde"/>
                <w:color w:val="000000"/>
                <w:sz w:val="20"/>
              </w:rPr>
              <w:t>Grupo de Telecomunicaciones Mexicanas, S.A. de C.V.</w:t>
            </w:r>
          </w:p>
        </w:tc>
      </w:tr>
      <w:tr w:rsidR="00966E15" w:rsidRPr="000E4750" w:rsidTr="002021EC">
        <w:tblPrEx>
          <w:jc w:val="left"/>
          <w:tblCellMar>
            <w:left w:w="70" w:type="dxa"/>
            <w:right w:w="70" w:type="dxa"/>
          </w:tblCellMar>
          <w:tblLook w:val="04A0" w:firstRow="1" w:lastRow="0" w:firstColumn="1" w:lastColumn="0" w:noHBand="0" w:noVBand="1"/>
        </w:tblPrEx>
        <w:trPr>
          <w:trHeight w:val="810"/>
        </w:trPr>
        <w:tc>
          <w:tcPr>
            <w:tcW w:w="1990" w:type="dxa"/>
            <w:shd w:val="clear" w:color="auto" w:fill="auto"/>
            <w:noWrap/>
            <w:vAlign w:val="center"/>
            <w:hideMark/>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PROFECO</w:t>
            </w:r>
          </w:p>
        </w:tc>
        <w:tc>
          <w:tcPr>
            <w:tcW w:w="6960" w:type="dxa"/>
            <w:gridSpan w:val="2"/>
            <w:vAlign w:val="bottom"/>
          </w:tcPr>
          <w:p w:rsidR="00966E15" w:rsidRPr="000E4750" w:rsidRDefault="00673B18" w:rsidP="00695E50">
            <w:pPr>
              <w:jc w:val="center"/>
              <w:rPr>
                <w:rFonts w:ascii="ITC Avant Garde" w:hAnsi="ITC Avant Garde"/>
                <w:color w:val="000000"/>
                <w:sz w:val="20"/>
              </w:rPr>
            </w:pPr>
            <w:r>
              <w:rPr>
                <w:rFonts w:ascii="ITC Avant Garde" w:hAnsi="ITC Avant Garde"/>
                <w:color w:val="000000"/>
                <w:sz w:val="20"/>
              </w:rPr>
              <w:t>P</w:t>
            </w:r>
            <w:r w:rsidR="00966E15" w:rsidRPr="000E4750">
              <w:rPr>
                <w:rFonts w:ascii="ITC Avant Garde" w:hAnsi="ITC Avant Garde"/>
                <w:color w:val="000000"/>
                <w:sz w:val="20"/>
              </w:rPr>
              <w:t>rocuraduría Federal del Consumidor</w:t>
            </w:r>
          </w:p>
        </w:tc>
      </w:tr>
      <w:tr w:rsidR="00966E15" w:rsidRPr="000E4750" w:rsidTr="002021EC">
        <w:tblPrEx>
          <w:jc w:val="left"/>
          <w:tblCellMar>
            <w:left w:w="70" w:type="dxa"/>
            <w:right w:w="70" w:type="dxa"/>
          </w:tblCellMar>
          <w:tblLook w:val="04A0" w:firstRow="1" w:lastRow="0" w:firstColumn="1" w:lastColumn="0" w:noHBand="0" w:noVBand="1"/>
        </w:tblPrEx>
        <w:trPr>
          <w:trHeight w:val="300"/>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sz w:val="20"/>
              </w:rPr>
            </w:pPr>
            <w:r w:rsidRPr="000E4750">
              <w:rPr>
                <w:rFonts w:ascii="ITC Avant Garde" w:eastAsia="Times New Roman" w:hAnsi="ITC Avant Garde" w:cs="Times New Roman"/>
                <w:sz w:val="20"/>
              </w:rPr>
              <w:t>TELMEX</w:t>
            </w:r>
          </w:p>
        </w:tc>
        <w:tc>
          <w:tcPr>
            <w:tcW w:w="6960" w:type="dxa"/>
            <w:gridSpan w:val="2"/>
            <w:vAlign w:val="bottom"/>
          </w:tcPr>
          <w:p w:rsidR="00966E15" w:rsidRPr="000E4750" w:rsidRDefault="00673B18" w:rsidP="00695E50">
            <w:pPr>
              <w:jc w:val="center"/>
              <w:rPr>
                <w:rFonts w:ascii="ITC Avant Garde" w:hAnsi="ITC Avant Garde"/>
                <w:sz w:val="20"/>
              </w:rPr>
            </w:pPr>
            <w:r>
              <w:rPr>
                <w:rFonts w:ascii="ITC Avant Garde" w:hAnsi="ITC Avant Garde"/>
                <w:sz w:val="20"/>
              </w:rPr>
              <w:t xml:space="preserve">Teléfonos de México, </w:t>
            </w:r>
            <w:r w:rsidR="00966E15" w:rsidRPr="000E4750">
              <w:rPr>
                <w:rFonts w:ascii="ITC Avant Garde" w:hAnsi="ITC Avant Garde"/>
                <w:sz w:val="20"/>
              </w:rPr>
              <w:t>S.A.B. de C.V.</w:t>
            </w:r>
          </w:p>
        </w:tc>
      </w:tr>
      <w:tr w:rsidR="00966E15" w:rsidRPr="000E4750" w:rsidTr="002021EC">
        <w:tblPrEx>
          <w:jc w:val="left"/>
          <w:tblCellMar>
            <w:left w:w="70" w:type="dxa"/>
            <w:right w:w="70" w:type="dxa"/>
          </w:tblCellMar>
          <w:tblLook w:val="04A0" w:firstRow="1" w:lastRow="0" w:firstColumn="1" w:lastColumn="0" w:noHBand="0" w:noVBand="1"/>
        </w:tblPrEx>
        <w:trPr>
          <w:trHeight w:val="300"/>
        </w:trPr>
        <w:tc>
          <w:tcPr>
            <w:tcW w:w="1990" w:type="dxa"/>
            <w:shd w:val="clear" w:color="auto" w:fill="auto"/>
            <w:noWrap/>
            <w:vAlign w:val="center"/>
          </w:tcPr>
          <w:p w:rsidR="00966E15" w:rsidRPr="000E4750" w:rsidRDefault="00966E15" w:rsidP="00695E50">
            <w:pPr>
              <w:spacing w:after="0" w:line="240" w:lineRule="auto"/>
              <w:jc w:val="center"/>
              <w:rPr>
                <w:rFonts w:ascii="ITC Avant Garde" w:eastAsia="Times New Roman" w:hAnsi="ITC Avant Garde" w:cs="Times New Roman"/>
                <w:color w:val="000000"/>
                <w:sz w:val="20"/>
              </w:rPr>
            </w:pPr>
            <w:r w:rsidRPr="000E4750">
              <w:rPr>
                <w:rFonts w:ascii="ITC Avant Garde" w:eastAsia="Times New Roman" w:hAnsi="ITC Avant Garde" w:cs="Times New Roman"/>
                <w:color w:val="000000"/>
                <w:sz w:val="20"/>
              </w:rPr>
              <w:t>5G AMERICAS</w:t>
            </w:r>
          </w:p>
        </w:tc>
        <w:tc>
          <w:tcPr>
            <w:tcW w:w="6960" w:type="dxa"/>
            <w:gridSpan w:val="2"/>
            <w:vAlign w:val="bottom"/>
          </w:tcPr>
          <w:p w:rsidR="00966E15" w:rsidRPr="000E4750" w:rsidRDefault="00966E15" w:rsidP="00695E50">
            <w:pPr>
              <w:jc w:val="center"/>
              <w:rPr>
                <w:rFonts w:ascii="ITC Avant Garde" w:hAnsi="ITC Avant Garde"/>
                <w:color w:val="000000"/>
                <w:sz w:val="20"/>
              </w:rPr>
            </w:pPr>
            <w:r w:rsidRPr="000E4750">
              <w:rPr>
                <w:rFonts w:ascii="ITC Avant Garde" w:hAnsi="ITC Avant Garde"/>
                <w:color w:val="000000"/>
                <w:sz w:val="20"/>
              </w:rPr>
              <w:t>5G Americas</w:t>
            </w:r>
          </w:p>
        </w:tc>
      </w:tr>
    </w:tbl>
    <w:p w:rsidR="0020339F" w:rsidRPr="000E4750" w:rsidRDefault="0020339F" w:rsidP="00BF0C4A">
      <w:pPr>
        <w:spacing w:before="240" w:after="120"/>
        <w:jc w:val="both"/>
        <w:rPr>
          <w:rFonts w:ascii="ITC Avant Garde" w:eastAsiaTheme="minorHAnsi" w:hAnsi="ITC Avant Garde"/>
        </w:rPr>
      </w:pPr>
      <w:r w:rsidRPr="000E4750">
        <w:rPr>
          <w:rFonts w:ascii="ITC Avant Garde" w:hAnsi="ITC Avant Garde"/>
        </w:rPr>
        <w:lastRenderedPageBreak/>
        <w:t xml:space="preserve">A fin de </w:t>
      </w:r>
      <w:r w:rsidRPr="00806F50">
        <w:rPr>
          <w:rFonts w:ascii="ITC Avant Garde" w:hAnsi="ITC Avant Garde"/>
        </w:rPr>
        <w:t>atender los comentarios,</w:t>
      </w:r>
      <w:r w:rsidRPr="000E4750">
        <w:rPr>
          <w:rFonts w:ascii="ITC Avant Garde" w:hAnsi="ITC Avant Garde"/>
        </w:rPr>
        <w:t xml:space="preserve"> opiniones y manifestaciones recibidas, </w:t>
      </w:r>
      <w:r w:rsidR="00877545">
        <w:rPr>
          <w:rFonts w:ascii="ITC Avant Garde" w:hAnsi="ITC Avant Garde"/>
        </w:rPr>
        <w:t>la Coordinación General de Política del Usuario</w:t>
      </w:r>
      <w:r w:rsidRPr="000E4750">
        <w:rPr>
          <w:rFonts w:ascii="ITC Avant Garde" w:hAnsi="ITC Avant Garde"/>
        </w:rPr>
        <w:t xml:space="preserve"> </w:t>
      </w:r>
      <w:r w:rsidRPr="00806F50">
        <w:rPr>
          <w:rFonts w:ascii="ITC Avant Garde" w:hAnsi="ITC Avant Garde"/>
        </w:rPr>
        <w:t>identificó diversos temas</w:t>
      </w:r>
      <w:r w:rsidRPr="000E4750">
        <w:rPr>
          <w:rFonts w:ascii="ITC Avant Garde" w:hAnsi="ITC Avant Garde"/>
        </w:rPr>
        <w:t xml:space="preserve"> coincidentes y reiterados en su contenido, mismos </w:t>
      </w:r>
      <w:r w:rsidRPr="00806F50">
        <w:rPr>
          <w:rFonts w:ascii="ITC Avant Garde" w:hAnsi="ITC Avant Garde"/>
        </w:rPr>
        <w:t>que a continuación se agrupan</w:t>
      </w:r>
      <w:r w:rsidRPr="000E4750">
        <w:rPr>
          <w:rFonts w:ascii="ITC Avant Garde" w:hAnsi="ITC Avant Garde"/>
        </w:rPr>
        <w:t xml:space="preserve"> y se responden</w:t>
      </w:r>
      <w:r w:rsidR="00BF0C4A" w:rsidRPr="000E4750">
        <w:rPr>
          <w:rFonts w:ascii="ITC Avant Garde" w:hAnsi="ITC Avant Garde"/>
        </w:rPr>
        <w:t xml:space="preserve"> en el orden en que cada uno de éstos </w:t>
      </w:r>
      <w:r w:rsidR="00BF0C4A" w:rsidRPr="00806F50">
        <w:rPr>
          <w:rFonts w:ascii="ITC Avant Garde" w:hAnsi="ITC Avant Garde"/>
        </w:rPr>
        <w:t>aparecen en el Anteproyecto</w:t>
      </w:r>
      <w:r w:rsidRPr="000E4750">
        <w:rPr>
          <w:rFonts w:ascii="ITC Avant Garde" w:hAnsi="ITC Avant Garde"/>
        </w:rPr>
        <w:t>. Aunado a lo anterior, es de mencionar que todas las opiniones y pronunciamientos recibidos, se encuentran disponibles para su consulta en la página de Internet del Instituto.</w:t>
      </w:r>
    </w:p>
    <w:p w:rsidR="00347549" w:rsidRPr="000E4750" w:rsidRDefault="00347549" w:rsidP="00A13478">
      <w:pPr>
        <w:spacing w:after="0"/>
        <w:jc w:val="both"/>
        <w:rPr>
          <w:rFonts w:ascii="ITC Avant Garde" w:hAnsi="ITC Avant Garde"/>
          <w:b/>
        </w:rPr>
      </w:pPr>
    </w:p>
    <w:p w:rsidR="00E95796" w:rsidRPr="000E4750" w:rsidRDefault="006A7D8B" w:rsidP="00E842A7">
      <w:pPr>
        <w:spacing w:after="0"/>
        <w:jc w:val="center"/>
        <w:rPr>
          <w:rFonts w:ascii="ITC Avant Garde" w:hAnsi="ITC Avant Garde"/>
          <w:b/>
        </w:rPr>
      </w:pPr>
      <w:r w:rsidRPr="000E4750">
        <w:rPr>
          <w:rFonts w:ascii="ITC Avant Garde" w:hAnsi="ITC Avant Garde"/>
          <w:b/>
        </w:rPr>
        <w:t xml:space="preserve">CAPÍTULO PRIMERO - </w:t>
      </w:r>
      <w:r w:rsidR="00086F3C" w:rsidRPr="000E4750">
        <w:rPr>
          <w:rFonts w:ascii="ITC Avant Garde" w:hAnsi="ITC Avant Garde"/>
          <w:b/>
        </w:rPr>
        <w:t>DISPOSIC</w:t>
      </w:r>
      <w:r w:rsidR="00E95796" w:rsidRPr="000E4750">
        <w:rPr>
          <w:rFonts w:ascii="ITC Avant Garde" w:hAnsi="ITC Avant Garde"/>
          <w:b/>
        </w:rPr>
        <w:t>IONES GENERALES</w:t>
      </w:r>
    </w:p>
    <w:p w:rsidR="00F20DAF" w:rsidRPr="000E4750" w:rsidRDefault="00F20DAF" w:rsidP="00A13478">
      <w:pPr>
        <w:spacing w:after="0"/>
        <w:jc w:val="both"/>
        <w:rPr>
          <w:rFonts w:ascii="ITC Avant Garde" w:hAnsi="ITC Avant Garde"/>
          <w:b/>
        </w:rPr>
      </w:pPr>
    </w:p>
    <w:p w:rsidR="009205CD" w:rsidRPr="000E4750" w:rsidRDefault="009205CD"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 1.</w:t>
      </w:r>
    </w:p>
    <w:p w:rsidR="009205CD" w:rsidRPr="000E4750" w:rsidRDefault="009205CD" w:rsidP="009205CD">
      <w:pPr>
        <w:spacing w:after="0"/>
        <w:jc w:val="both"/>
        <w:rPr>
          <w:rFonts w:ascii="ITC Avant Garde" w:hAnsi="ITC Avant Garde"/>
          <w:b/>
        </w:rPr>
      </w:pPr>
    </w:p>
    <w:p w:rsidR="006C07E3" w:rsidRPr="000E4750" w:rsidRDefault="006C07E3" w:rsidP="00685F7D">
      <w:pPr>
        <w:spacing w:after="0"/>
        <w:jc w:val="both"/>
        <w:rPr>
          <w:rFonts w:ascii="ITC Avant Garde" w:hAnsi="ITC Avant Garde"/>
        </w:rPr>
      </w:pPr>
      <w:r w:rsidRPr="000E4750">
        <w:rPr>
          <w:rFonts w:ascii="ITC Avant Garde" w:hAnsi="ITC Avant Garde"/>
        </w:rPr>
        <w:t>L</w:t>
      </w:r>
      <w:r w:rsidR="009205CD" w:rsidRPr="000E4750">
        <w:rPr>
          <w:rFonts w:ascii="ITC Avant Garde" w:hAnsi="ITC Avant Garde"/>
        </w:rPr>
        <w:t xml:space="preserve">a industria </w:t>
      </w:r>
      <w:r w:rsidR="00EC249E" w:rsidRPr="000E4750">
        <w:rPr>
          <w:rFonts w:ascii="ITC Avant Garde" w:hAnsi="ITC Avant Garde"/>
        </w:rPr>
        <w:t>señala que la</w:t>
      </w:r>
      <w:r w:rsidRPr="000E4750">
        <w:rPr>
          <w:rFonts w:ascii="ITC Avant Garde" w:hAnsi="ITC Avant Garde"/>
        </w:rPr>
        <w:t>s obligaciones</w:t>
      </w:r>
      <w:r w:rsidR="00EC249E" w:rsidRPr="000E4750">
        <w:rPr>
          <w:rFonts w:ascii="ITC Avant Garde" w:hAnsi="ITC Avant Garde"/>
        </w:rPr>
        <w:t xml:space="preserve"> que se le impone a los concesionarios y autorizado </w:t>
      </w:r>
      <w:r w:rsidRPr="000E4750">
        <w:rPr>
          <w:rFonts w:ascii="ITC Avant Garde" w:hAnsi="ITC Avant Garde"/>
        </w:rPr>
        <w:t xml:space="preserve">relativas a la publicación de información, </w:t>
      </w:r>
      <w:r w:rsidR="00EC249E" w:rsidRPr="000E4750">
        <w:rPr>
          <w:rFonts w:ascii="ITC Avant Garde" w:hAnsi="ITC Avant Garde"/>
        </w:rPr>
        <w:t xml:space="preserve">se contrapone o incrementa las obligaciones </w:t>
      </w:r>
      <w:r w:rsidR="00BF0C4A" w:rsidRPr="000E4750">
        <w:rPr>
          <w:rFonts w:ascii="ITC Avant Garde" w:hAnsi="ITC Avant Garde"/>
        </w:rPr>
        <w:t xml:space="preserve">establecidas en </w:t>
      </w:r>
      <w:r w:rsidR="00EC249E" w:rsidRPr="000E4750">
        <w:rPr>
          <w:rFonts w:ascii="ITC Avant Garde" w:hAnsi="ITC Avant Garde"/>
        </w:rPr>
        <w:t>el artículo 32 de la Ley Federal de Protección al Consumidor</w:t>
      </w:r>
      <w:r w:rsidR="00587A35" w:rsidRPr="000E4750">
        <w:rPr>
          <w:rFonts w:ascii="ITC Avant Garde" w:hAnsi="ITC Avant Garde"/>
        </w:rPr>
        <w:t xml:space="preserve"> (LFPC)</w:t>
      </w:r>
      <w:r w:rsidR="00EC249E" w:rsidRPr="000E4750">
        <w:rPr>
          <w:rFonts w:ascii="ITC Avant Garde" w:hAnsi="ITC Avant Garde"/>
        </w:rPr>
        <w:t xml:space="preserve"> y se establecen supuestos ambiguos y difíciles de definir. </w:t>
      </w:r>
      <w:r w:rsidR="00EC249E" w:rsidRPr="00806F50">
        <w:rPr>
          <w:rFonts w:ascii="ITC Avant Garde" w:hAnsi="ITC Avant Garde"/>
        </w:rPr>
        <w:t>Por lo que solicitan se ajuste el proyecto a los principios establecidos en dicho artículo de la LFPC</w:t>
      </w:r>
      <w:r w:rsidR="00EC249E" w:rsidRPr="000E4750">
        <w:rPr>
          <w:rFonts w:ascii="ITC Avant Garde" w:hAnsi="ITC Avant Garde"/>
        </w:rPr>
        <w:t>.</w:t>
      </w:r>
      <w:r w:rsidRPr="000E4750">
        <w:rPr>
          <w:rFonts w:ascii="ITC Avant Garde" w:hAnsi="ITC Avant Garde"/>
        </w:rPr>
        <w:t xml:space="preserve"> </w:t>
      </w:r>
      <w:r w:rsidR="00EC249E" w:rsidRPr="000E4750">
        <w:rPr>
          <w:rFonts w:ascii="ITC Avant Garde" w:hAnsi="ITC Avant Garde"/>
        </w:rPr>
        <w:t xml:space="preserve">Asimismo, </w:t>
      </w:r>
      <w:r w:rsidRPr="000E4750">
        <w:rPr>
          <w:rFonts w:ascii="ITC Avant Garde" w:hAnsi="ITC Avant Garde"/>
        </w:rPr>
        <w:t>se</w:t>
      </w:r>
      <w:r w:rsidR="00EC21BB" w:rsidRPr="000E4750">
        <w:rPr>
          <w:rFonts w:ascii="ITC Avant Garde" w:hAnsi="ITC Avant Garde"/>
        </w:rPr>
        <w:t xml:space="preserve"> señala que la </w:t>
      </w:r>
      <w:r w:rsidR="002D517B" w:rsidRPr="000E4750">
        <w:rPr>
          <w:rFonts w:ascii="ITC Avant Garde" w:hAnsi="ITC Avant Garde"/>
        </w:rPr>
        <w:t>“</w:t>
      </w:r>
      <w:r w:rsidR="000E304A" w:rsidRPr="00227203">
        <w:rPr>
          <w:rFonts w:ascii="ITC Avant Garde" w:hAnsi="ITC Avant Garde"/>
        </w:rPr>
        <w:t>obligación</w:t>
      </w:r>
      <w:r w:rsidR="002D517B" w:rsidRPr="00227203">
        <w:rPr>
          <w:rFonts w:ascii="ITC Avant Garde" w:hAnsi="ITC Avant Garde"/>
        </w:rPr>
        <w:t>”</w:t>
      </w:r>
      <w:r w:rsidR="000E304A" w:rsidRPr="00227203">
        <w:rPr>
          <w:rFonts w:ascii="ITC Avant Garde" w:hAnsi="ITC Avant Garde"/>
        </w:rPr>
        <w:t xml:space="preserve"> que se pret</w:t>
      </w:r>
      <w:r w:rsidR="00685F7D" w:rsidRPr="00227203">
        <w:rPr>
          <w:rFonts w:ascii="ITC Avant Garde" w:hAnsi="ITC Avant Garde"/>
        </w:rPr>
        <w:t>ende incluir</w:t>
      </w:r>
      <w:r w:rsidR="00685F7D" w:rsidRPr="000E4750">
        <w:rPr>
          <w:rFonts w:ascii="ITC Avant Garde" w:hAnsi="ITC Avant Garde"/>
        </w:rPr>
        <w:t xml:space="preserve"> en este artículo es propia</w:t>
      </w:r>
      <w:r w:rsidR="000E304A" w:rsidRPr="000E4750">
        <w:rPr>
          <w:rFonts w:ascii="ITC Avant Garde" w:hAnsi="ITC Avant Garde"/>
        </w:rPr>
        <w:t xml:space="preserve"> de la </w:t>
      </w:r>
      <w:r w:rsidR="000E304A" w:rsidRPr="00806F50">
        <w:rPr>
          <w:rFonts w:ascii="ITC Avant Garde" w:hAnsi="ITC Avant Garde"/>
        </w:rPr>
        <w:t>Procuraduría Federal del Consumidor</w:t>
      </w:r>
      <w:r w:rsidR="003B4CB9" w:rsidRPr="00806F50">
        <w:rPr>
          <w:rFonts w:ascii="ITC Avant Garde" w:hAnsi="ITC Avant Garde"/>
        </w:rPr>
        <w:t xml:space="preserve"> (Profeco)</w:t>
      </w:r>
      <w:r w:rsidRPr="00806F50">
        <w:rPr>
          <w:rFonts w:ascii="ITC Avant Garde" w:hAnsi="ITC Avant Garde"/>
        </w:rPr>
        <w:t>.</w:t>
      </w:r>
    </w:p>
    <w:p w:rsidR="006C07E3" w:rsidRPr="000E4750" w:rsidRDefault="006C07E3" w:rsidP="00685F7D">
      <w:pPr>
        <w:spacing w:after="0"/>
        <w:jc w:val="both"/>
        <w:rPr>
          <w:rFonts w:ascii="ITC Avant Garde" w:hAnsi="ITC Avant Garde"/>
        </w:rPr>
      </w:pPr>
    </w:p>
    <w:p w:rsidR="00685F7D" w:rsidRPr="000E4750" w:rsidRDefault="006C07E3" w:rsidP="00685F7D">
      <w:pPr>
        <w:spacing w:after="0"/>
        <w:jc w:val="both"/>
        <w:rPr>
          <w:rFonts w:ascii="ITC Avant Garde" w:hAnsi="ITC Avant Garde"/>
        </w:rPr>
      </w:pPr>
      <w:r w:rsidRPr="000E4750">
        <w:rPr>
          <w:rFonts w:ascii="ITC Avant Garde" w:hAnsi="ITC Avant Garde"/>
        </w:rPr>
        <w:t xml:space="preserve">Por otra parte, la industria </w:t>
      </w:r>
      <w:r w:rsidR="00685F7D" w:rsidRPr="000E4750">
        <w:rPr>
          <w:rFonts w:ascii="ITC Avant Garde" w:hAnsi="ITC Avant Garde"/>
        </w:rPr>
        <w:t>señ</w:t>
      </w:r>
      <w:r w:rsidRPr="000E4750">
        <w:rPr>
          <w:rFonts w:ascii="ITC Avant Garde" w:hAnsi="ITC Avant Garde"/>
        </w:rPr>
        <w:t>ala</w:t>
      </w:r>
      <w:r w:rsidR="00685F7D" w:rsidRPr="000E4750">
        <w:rPr>
          <w:rFonts w:ascii="ITC Avant Garde" w:hAnsi="ITC Avant Garde"/>
        </w:rPr>
        <w:t xml:space="preserve"> la conveniencia de definir qué se entiende por </w:t>
      </w:r>
      <w:r w:rsidR="00685F7D" w:rsidRPr="00227203">
        <w:rPr>
          <w:rFonts w:ascii="ITC Avant Garde" w:hAnsi="ITC Avant Garde"/>
        </w:rPr>
        <w:t>gastos eventuales</w:t>
      </w:r>
      <w:r w:rsidR="00685F7D" w:rsidRPr="000E4750">
        <w:rPr>
          <w:rFonts w:ascii="ITC Avant Garde" w:hAnsi="ITC Avant Garde"/>
        </w:rPr>
        <w:t xml:space="preserve">, </w:t>
      </w:r>
      <w:r w:rsidRPr="000E4750">
        <w:rPr>
          <w:rFonts w:ascii="ITC Avant Garde" w:hAnsi="ITC Avant Garde"/>
        </w:rPr>
        <w:t xml:space="preserve">así como </w:t>
      </w:r>
      <w:r w:rsidR="00685F7D" w:rsidRPr="000E4750">
        <w:rPr>
          <w:rFonts w:ascii="ITC Avant Garde" w:hAnsi="ITC Avant Garde"/>
        </w:rPr>
        <w:t xml:space="preserve">precisar que los </w:t>
      </w:r>
      <w:r w:rsidR="00685F7D" w:rsidRPr="00227203">
        <w:rPr>
          <w:rFonts w:ascii="ITC Avant Garde" w:hAnsi="ITC Avant Garde"/>
        </w:rPr>
        <w:t>Lineamientos solo son aplicables a los concesionarios y autorizados</w:t>
      </w:r>
      <w:r w:rsidR="00685F7D" w:rsidRPr="000E4750">
        <w:rPr>
          <w:rFonts w:ascii="ITC Avant Garde" w:hAnsi="ITC Avant Garde"/>
        </w:rPr>
        <w:t xml:space="preserve"> respect</w:t>
      </w:r>
      <w:r w:rsidRPr="000E4750">
        <w:rPr>
          <w:rFonts w:ascii="ITC Avant Garde" w:hAnsi="ITC Avant Garde"/>
        </w:rPr>
        <w:t xml:space="preserve">o de sus contratos de adhesión. </w:t>
      </w:r>
      <w:r w:rsidR="002D517B" w:rsidRPr="000E4750">
        <w:rPr>
          <w:rFonts w:ascii="ITC Avant Garde" w:hAnsi="ITC Avant Garde"/>
        </w:rPr>
        <w:t xml:space="preserve">Adicionalmente, manifiesta </w:t>
      </w:r>
      <w:r w:rsidR="00A31E01" w:rsidRPr="000E4750">
        <w:rPr>
          <w:rFonts w:ascii="ITC Avant Garde" w:hAnsi="ITC Avant Garde"/>
        </w:rPr>
        <w:t xml:space="preserve">una persona física que las obligaciones de información no pueden ser iguales para el Agente Económico Preponderante que para el resto de los concesionarios y autorizados por lo que se sugiere se </w:t>
      </w:r>
      <w:r w:rsidR="00A31E01" w:rsidRPr="00227203">
        <w:rPr>
          <w:rFonts w:ascii="ITC Avant Garde" w:hAnsi="ITC Avant Garde"/>
        </w:rPr>
        <w:t xml:space="preserve">incluya un apartado en el que se impongan obligaciones </w:t>
      </w:r>
      <w:r w:rsidRPr="00227203">
        <w:rPr>
          <w:rFonts w:ascii="ITC Avant Garde" w:hAnsi="ITC Avant Garde"/>
        </w:rPr>
        <w:t>para éste</w:t>
      </w:r>
      <w:r w:rsidR="00A5528F" w:rsidRPr="00227203">
        <w:rPr>
          <w:rFonts w:ascii="ITC Avant Garde" w:hAnsi="ITC Avant Garde"/>
        </w:rPr>
        <w:t>.</w:t>
      </w:r>
    </w:p>
    <w:p w:rsidR="00EC21BB" w:rsidRPr="000E4750" w:rsidRDefault="00EC21BB" w:rsidP="009205CD">
      <w:pPr>
        <w:spacing w:after="0"/>
        <w:jc w:val="both"/>
        <w:rPr>
          <w:rFonts w:ascii="ITC Avant Garde" w:hAnsi="ITC Avant Garde"/>
        </w:rPr>
      </w:pPr>
    </w:p>
    <w:p w:rsidR="00EC21BB" w:rsidRPr="000E4750" w:rsidRDefault="00EC21BB" w:rsidP="009205CD">
      <w:pPr>
        <w:spacing w:after="0"/>
        <w:jc w:val="both"/>
        <w:rPr>
          <w:rFonts w:ascii="ITC Avant Garde" w:hAnsi="ITC Avant Garde"/>
        </w:rPr>
      </w:pPr>
      <w:r w:rsidRPr="000E4750">
        <w:rPr>
          <w:rFonts w:ascii="ITC Avant Garde" w:hAnsi="ITC Avant Garde"/>
        </w:rPr>
        <w:t xml:space="preserve">Por otra parte, la </w:t>
      </w:r>
      <w:r w:rsidR="003B4CB9" w:rsidRPr="000E4750">
        <w:rPr>
          <w:rFonts w:ascii="ITC Avant Garde" w:hAnsi="ITC Avant Garde"/>
        </w:rPr>
        <w:t>Profeco</w:t>
      </w:r>
      <w:r w:rsidRPr="000E4750">
        <w:rPr>
          <w:rFonts w:ascii="ITC Avant Garde" w:hAnsi="ITC Avant Garde"/>
        </w:rPr>
        <w:t xml:space="preserve"> </w:t>
      </w:r>
      <w:r w:rsidR="002F7183" w:rsidRPr="000E4750">
        <w:rPr>
          <w:rFonts w:ascii="ITC Avant Garde" w:hAnsi="ITC Avant Garde"/>
        </w:rPr>
        <w:t>propone</w:t>
      </w:r>
      <w:r w:rsidR="003B4CB9" w:rsidRPr="000E4750">
        <w:rPr>
          <w:rFonts w:ascii="ITC Avant Garde" w:hAnsi="ITC Avant Garde"/>
        </w:rPr>
        <w:t xml:space="preserve"> </w:t>
      </w:r>
      <w:r w:rsidR="002F7183" w:rsidRPr="000E4750">
        <w:rPr>
          <w:rFonts w:ascii="ITC Avant Garde" w:hAnsi="ITC Avant Garde"/>
        </w:rPr>
        <w:t xml:space="preserve">se </w:t>
      </w:r>
      <w:r w:rsidR="003B4CB9" w:rsidRPr="000E4750">
        <w:rPr>
          <w:rFonts w:ascii="ITC Avant Garde" w:hAnsi="ITC Avant Garde"/>
        </w:rPr>
        <w:t xml:space="preserve">realice la homologación del </w:t>
      </w:r>
      <w:r w:rsidR="003B4CB9" w:rsidRPr="00227203">
        <w:rPr>
          <w:rFonts w:ascii="ITC Avant Garde" w:hAnsi="ITC Avant Garde"/>
        </w:rPr>
        <w:t>término “servicios” por “servicios de telecomunicaciones</w:t>
      </w:r>
      <w:r w:rsidR="003B4CB9" w:rsidRPr="000E4750">
        <w:rPr>
          <w:rFonts w:ascii="ITC Avant Garde" w:hAnsi="ITC Avant Garde"/>
        </w:rPr>
        <w:t>”, así como definir el medio de difusión de la información considerada en el proyecto.</w:t>
      </w:r>
    </w:p>
    <w:p w:rsidR="00EC21BB" w:rsidRPr="000E4750" w:rsidRDefault="00EC21BB" w:rsidP="00EC21BB">
      <w:pPr>
        <w:spacing w:after="0"/>
        <w:jc w:val="both"/>
        <w:rPr>
          <w:rFonts w:ascii="ITC Avant Garde" w:hAnsi="ITC Avant Garde"/>
        </w:rPr>
      </w:pPr>
    </w:p>
    <w:p w:rsidR="00EC21BB" w:rsidRPr="000E4750" w:rsidRDefault="00EC21BB" w:rsidP="00EC21BB">
      <w:pPr>
        <w:spacing w:after="0"/>
        <w:jc w:val="both"/>
        <w:rPr>
          <w:rFonts w:ascii="ITC Avant Garde" w:hAnsi="ITC Avant Garde"/>
          <w:i/>
          <w:u w:val="single"/>
        </w:rPr>
      </w:pPr>
      <w:r w:rsidRPr="000E4750">
        <w:rPr>
          <w:rFonts w:ascii="ITC Avant Garde" w:hAnsi="ITC Avant Garde"/>
          <w:i/>
          <w:u w:val="single"/>
        </w:rPr>
        <w:t>Consideraciones</w:t>
      </w:r>
    </w:p>
    <w:p w:rsidR="00EC21BB" w:rsidRPr="000E4750" w:rsidRDefault="00EC21BB" w:rsidP="00EC21BB">
      <w:pPr>
        <w:spacing w:after="0"/>
        <w:jc w:val="both"/>
        <w:rPr>
          <w:rFonts w:ascii="ITC Avant Garde" w:hAnsi="ITC Avant Garde"/>
          <w:i/>
          <w:u w:val="single"/>
        </w:rPr>
      </w:pPr>
    </w:p>
    <w:p w:rsidR="00F81AFC" w:rsidRPr="000E4750" w:rsidRDefault="006C07E3" w:rsidP="00EC21BB">
      <w:pPr>
        <w:spacing w:after="0"/>
        <w:jc w:val="both"/>
        <w:rPr>
          <w:rFonts w:ascii="ITC Avant Garde" w:hAnsi="ITC Avant Garde"/>
        </w:rPr>
      </w:pPr>
      <w:r w:rsidRPr="000E4750">
        <w:rPr>
          <w:rFonts w:ascii="ITC Avant Garde" w:hAnsi="ITC Avant Garde"/>
        </w:rPr>
        <w:t>E</w:t>
      </w:r>
      <w:r w:rsidR="00587A35" w:rsidRPr="000E4750">
        <w:rPr>
          <w:rFonts w:ascii="ITC Avant Garde" w:hAnsi="ITC Avant Garde"/>
        </w:rPr>
        <w:t>s importante señalar que la redacción del artículo</w:t>
      </w:r>
      <w:r w:rsidR="00C90D59" w:rsidRPr="000E4750">
        <w:rPr>
          <w:rFonts w:ascii="ITC Avant Garde" w:hAnsi="ITC Avant Garde"/>
        </w:rPr>
        <w:t xml:space="preserve"> 1°</w:t>
      </w:r>
      <w:r w:rsidR="00587A35" w:rsidRPr="000E4750">
        <w:rPr>
          <w:rFonts w:ascii="ITC Avant Garde" w:hAnsi="ITC Avant Garde"/>
        </w:rPr>
        <w:t xml:space="preserve"> es atendiendo a lo establecido en el segundo párrafo del artículo 195 de la LFTR, en el cual </w:t>
      </w:r>
      <w:r w:rsidR="0075555D" w:rsidRPr="000E4750">
        <w:rPr>
          <w:rFonts w:ascii="ITC Avant Garde" w:hAnsi="ITC Avant Garde"/>
        </w:rPr>
        <w:t>se est</w:t>
      </w:r>
      <w:r w:rsidR="00FA7D51" w:rsidRPr="000E4750">
        <w:rPr>
          <w:rFonts w:ascii="ITC Avant Garde" w:hAnsi="ITC Avant Garde"/>
        </w:rPr>
        <w:t>ableció la información y</w:t>
      </w:r>
      <w:r w:rsidR="00587A35" w:rsidRPr="000E4750">
        <w:rPr>
          <w:rFonts w:ascii="ITC Avant Garde" w:hAnsi="ITC Avant Garde"/>
        </w:rPr>
        <w:t xml:space="preserve"> las características que deben ser consideradas por el Instituto al emitir las disposiciones que nos ocupan.</w:t>
      </w:r>
      <w:r w:rsidR="00FA7D51" w:rsidRPr="000E4750">
        <w:rPr>
          <w:rFonts w:ascii="ITC Avant Garde" w:hAnsi="ITC Avant Garde"/>
        </w:rPr>
        <w:t xml:space="preserve"> Asimismo, se considera oportuno </w:t>
      </w:r>
      <w:r w:rsidR="00F81AFC" w:rsidRPr="000E4750">
        <w:rPr>
          <w:rFonts w:ascii="ITC Avant Garde" w:hAnsi="ITC Avant Garde"/>
        </w:rPr>
        <w:t>destacar que el propio legislador en el artículo 195 de la LFTR, estableció plenamente la facultad de este Instituto para emitir los Lineamientos</w:t>
      </w:r>
      <w:r w:rsidR="002D517B" w:rsidRPr="000E4750">
        <w:rPr>
          <w:rFonts w:ascii="ITC Avant Garde" w:hAnsi="ITC Avant Garde"/>
        </w:rPr>
        <w:t xml:space="preserve"> en cuestión</w:t>
      </w:r>
      <w:r w:rsidR="0075555D" w:rsidRPr="000E4750">
        <w:rPr>
          <w:rFonts w:ascii="ITC Avant Garde" w:hAnsi="ITC Avant Garde"/>
        </w:rPr>
        <w:t>.</w:t>
      </w:r>
    </w:p>
    <w:p w:rsidR="0075555D" w:rsidRPr="000E4750" w:rsidRDefault="0075555D" w:rsidP="00EC21BB">
      <w:pPr>
        <w:spacing w:after="0"/>
        <w:jc w:val="both"/>
        <w:rPr>
          <w:rFonts w:ascii="ITC Avant Garde" w:hAnsi="ITC Avant Garde"/>
        </w:rPr>
      </w:pPr>
    </w:p>
    <w:p w:rsidR="009132C6" w:rsidRPr="000E4750" w:rsidRDefault="009132C6" w:rsidP="00EC21BB">
      <w:pPr>
        <w:spacing w:after="0"/>
        <w:jc w:val="both"/>
        <w:rPr>
          <w:rFonts w:ascii="ITC Avant Garde" w:hAnsi="ITC Avant Garde"/>
        </w:rPr>
      </w:pPr>
      <w:r w:rsidRPr="000E4750">
        <w:rPr>
          <w:rFonts w:ascii="ITC Avant Garde" w:hAnsi="ITC Avant Garde"/>
        </w:rPr>
        <w:lastRenderedPageBreak/>
        <w:t>Por otra parte, se señala</w:t>
      </w:r>
      <w:r w:rsidR="00FA7D51" w:rsidRPr="000E4750">
        <w:rPr>
          <w:rFonts w:ascii="ITC Avant Garde" w:hAnsi="ITC Avant Garde"/>
        </w:rPr>
        <w:t xml:space="preserve"> que</w:t>
      </w:r>
      <w:r w:rsidR="002D517B" w:rsidRPr="000E4750">
        <w:rPr>
          <w:rFonts w:ascii="ITC Avant Garde" w:hAnsi="ITC Avant Garde"/>
        </w:rPr>
        <w:t xml:space="preserve"> en el artículo 9</w:t>
      </w:r>
      <w:r w:rsidR="00136187" w:rsidRPr="000E4750">
        <w:rPr>
          <w:rFonts w:ascii="ITC Avant Garde" w:hAnsi="ITC Avant Garde"/>
        </w:rPr>
        <w:t xml:space="preserve"> del proyecto de Lineamientos, se establece </w:t>
      </w:r>
      <w:r w:rsidR="002D517B" w:rsidRPr="000E4750">
        <w:rPr>
          <w:rFonts w:ascii="ITC Avant Garde" w:hAnsi="ITC Avant Garde"/>
        </w:rPr>
        <w:t xml:space="preserve">aquella información </w:t>
      </w:r>
      <w:r w:rsidR="002D517B" w:rsidRPr="000E4750">
        <w:rPr>
          <w:rFonts w:ascii="ITC Avant Garde" w:hAnsi="ITC Avant Garde"/>
          <w:bCs/>
        </w:rPr>
        <w:t>relacionada</w:t>
      </w:r>
      <w:r w:rsidR="00C90D59" w:rsidRPr="000E4750">
        <w:rPr>
          <w:rFonts w:ascii="ITC Avant Garde" w:hAnsi="ITC Avant Garde"/>
          <w:bCs/>
        </w:rPr>
        <w:t xml:space="preserve"> con los </w:t>
      </w:r>
      <w:r w:rsidR="00C90D59" w:rsidRPr="000E4750">
        <w:rPr>
          <w:rFonts w:ascii="ITC Avant Garde" w:hAnsi="ITC Avant Garde"/>
        </w:rPr>
        <w:t>gastos eventuales relacionados con la</w:t>
      </w:r>
      <w:r w:rsidR="002D517B" w:rsidRPr="000E4750">
        <w:rPr>
          <w:rFonts w:ascii="ITC Avant Garde" w:hAnsi="ITC Avant Garde"/>
          <w:bCs/>
        </w:rPr>
        <w:t xml:space="preserve"> terminación del contrato de adhesión </w:t>
      </w:r>
      <w:r w:rsidR="00136187" w:rsidRPr="000E4750">
        <w:rPr>
          <w:rFonts w:ascii="ITC Avant Garde" w:hAnsi="ITC Avant Garde"/>
        </w:rPr>
        <w:t>que los concesionarios</w:t>
      </w:r>
      <w:r w:rsidR="00FA7D51" w:rsidRPr="000E4750">
        <w:rPr>
          <w:rFonts w:ascii="ITC Avant Garde" w:hAnsi="ITC Avant Garde"/>
        </w:rPr>
        <w:t xml:space="preserve"> y autorizados deberán publicar</w:t>
      </w:r>
      <w:r w:rsidR="00C90D59" w:rsidRPr="000E4750">
        <w:rPr>
          <w:rFonts w:ascii="ITC Avant Garde" w:hAnsi="ITC Avant Garde"/>
        </w:rPr>
        <w:t xml:space="preserve"> para conocimiento de los usuarios</w:t>
      </w:r>
      <w:r w:rsidR="00FA7D51" w:rsidRPr="000E4750">
        <w:rPr>
          <w:rFonts w:ascii="ITC Avant Garde" w:hAnsi="ITC Avant Garde"/>
        </w:rPr>
        <w:t>.</w:t>
      </w:r>
    </w:p>
    <w:p w:rsidR="0075555D" w:rsidRPr="000E4750" w:rsidRDefault="0075555D" w:rsidP="00EC21BB">
      <w:pPr>
        <w:spacing w:after="0"/>
        <w:jc w:val="both"/>
        <w:rPr>
          <w:rFonts w:ascii="ITC Avant Garde" w:hAnsi="ITC Avant Garde"/>
        </w:rPr>
      </w:pPr>
    </w:p>
    <w:p w:rsidR="002D517B" w:rsidRPr="000E4750" w:rsidRDefault="00734DCC" w:rsidP="00EC21BB">
      <w:pPr>
        <w:spacing w:after="0"/>
        <w:jc w:val="both"/>
        <w:rPr>
          <w:rFonts w:ascii="ITC Avant Garde" w:hAnsi="ITC Avant Garde"/>
        </w:rPr>
      </w:pPr>
      <w:r w:rsidRPr="000E4750">
        <w:rPr>
          <w:rFonts w:ascii="ITC Avant Garde" w:hAnsi="ITC Avant Garde"/>
        </w:rPr>
        <w:t>Asimismo</w:t>
      </w:r>
      <w:r w:rsidR="003E4E2A" w:rsidRPr="000E4750">
        <w:rPr>
          <w:rFonts w:ascii="ITC Avant Garde" w:hAnsi="ITC Avant Garde"/>
        </w:rPr>
        <w:t xml:space="preserve">, </w:t>
      </w:r>
      <w:r w:rsidR="00332081" w:rsidRPr="000E4750">
        <w:rPr>
          <w:rFonts w:ascii="ITC Avant Garde" w:hAnsi="ITC Avant Garde"/>
        </w:rPr>
        <w:t xml:space="preserve">se debe considerar que el artículo 195 de la LFTR, señala que los concesionarios y autorizados, sin distinguir si prestan o no servicios a </w:t>
      </w:r>
      <w:r w:rsidR="00C90D59" w:rsidRPr="000E4750">
        <w:rPr>
          <w:rFonts w:ascii="ITC Avant Garde" w:hAnsi="ITC Avant Garde"/>
        </w:rPr>
        <w:t>“</w:t>
      </w:r>
      <w:r w:rsidR="00332081" w:rsidRPr="000E4750">
        <w:rPr>
          <w:rFonts w:ascii="ITC Avant Garde" w:hAnsi="ITC Avant Garde"/>
        </w:rPr>
        <w:t xml:space="preserve">grandes </w:t>
      </w:r>
      <w:r w:rsidR="00C90D59" w:rsidRPr="000E4750">
        <w:rPr>
          <w:rFonts w:ascii="ITC Avant Garde" w:hAnsi="ITC Avant Garde"/>
        </w:rPr>
        <w:t>consumidores”</w:t>
      </w:r>
      <w:r w:rsidR="00332081" w:rsidRPr="000E4750">
        <w:rPr>
          <w:rFonts w:ascii="ITC Avant Garde" w:hAnsi="ITC Avant Garde"/>
        </w:rPr>
        <w:t>, deben de publicar la informa</w:t>
      </w:r>
      <w:r w:rsidR="002D517B" w:rsidRPr="000E4750">
        <w:rPr>
          <w:rFonts w:ascii="ITC Avant Garde" w:hAnsi="ITC Avant Garde"/>
        </w:rPr>
        <w:t>ción señalada en dicho numeral.</w:t>
      </w:r>
    </w:p>
    <w:p w:rsidR="002D517B" w:rsidRPr="000E4750" w:rsidRDefault="002D517B" w:rsidP="00EC21BB">
      <w:pPr>
        <w:spacing w:after="0"/>
        <w:jc w:val="both"/>
        <w:rPr>
          <w:rFonts w:ascii="ITC Avant Garde" w:hAnsi="ITC Avant Garde"/>
        </w:rPr>
      </w:pPr>
    </w:p>
    <w:p w:rsidR="00C51CB4" w:rsidRDefault="00C51CB4" w:rsidP="00EC21BB">
      <w:pPr>
        <w:spacing w:after="0"/>
        <w:jc w:val="both"/>
        <w:rPr>
          <w:rFonts w:ascii="ITC Avant Garde" w:hAnsi="ITC Avant Garde"/>
        </w:rPr>
      </w:pPr>
      <w:r w:rsidRPr="000E4750">
        <w:rPr>
          <w:rFonts w:ascii="ITC Avant Garde" w:hAnsi="ITC Avant Garde"/>
        </w:rPr>
        <w:t>En ese sentido, también es importante señalar que en el artículo 195 de la LFTR</w:t>
      </w:r>
      <w:r w:rsidR="00B24708">
        <w:rPr>
          <w:rFonts w:ascii="ITC Avant Garde" w:hAnsi="ITC Avant Garde"/>
        </w:rPr>
        <w:t xml:space="preserve"> se</w:t>
      </w:r>
      <w:r w:rsidRPr="000E4750">
        <w:rPr>
          <w:rFonts w:ascii="ITC Avant Garde" w:hAnsi="ITC Avant Garde"/>
        </w:rPr>
        <w:t xml:space="preserve"> </w:t>
      </w:r>
      <w:r w:rsidR="00B24708">
        <w:rPr>
          <w:rFonts w:ascii="ITC Avant Garde" w:hAnsi="ITC Avant Garde"/>
        </w:rPr>
        <w:t>establece que el Instituto emitirá las disposiciones que establezcan las condiciones para que los concesionarios y autorizados publiquen información, sin hacer distinción d</w:t>
      </w:r>
      <w:r w:rsidRPr="000E4750">
        <w:rPr>
          <w:rFonts w:ascii="ITC Avant Garde" w:hAnsi="ITC Avant Garde"/>
        </w:rPr>
        <w:t xml:space="preserve">el </w:t>
      </w:r>
      <w:r w:rsidR="00A5528F" w:rsidRPr="000E4750">
        <w:rPr>
          <w:rFonts w:ascii="ITC Avant Garde" w:hAnsi="ITC Avant Garde"/>
        </w:rPr>
        <w:t>agente económico p</w:t>
      </w:r>
      <w:r w:rsidRPr="000E4750">
        <w:rPr>
          <w:rFonts w:ascii="ITC Avant Garde" w:hAnsi="ITC Avant Garde"/>
        </w:rPr>
        <w:t>reponderante</w:t>
      </w:r>
      <w:r w:rsidR="00A5528F" w:rsidRPr="000E4750">
        <w:rPr>
          <w:rFonts w:ascii="ITC Avant Garde" w:hAnsi="ITC Avant Garde"/>
        </w:rPr>
        <w:t>,</w:t>
      </w:r>
      <w:r w:rsidR="00B24708">
        <w:rPr>
          <w:rFonts w:ascii="ITC Avant Garde" w:hAnsi="ITC Avant Garde"/>
        </w:rPr>
        <w:t xml:space="preserve"> motivo por el cual también le resultan aplicables los Lineamientos que nos ocupan.</w:t>
      </w:r>
    </w:p>
    <w:p w:rsidR="00AB038E" w:rsidRPr="000E4750" w:rsidRDefault="00AB038E" w:rsidP="00EC21BB">
      <w:pPr>
        <w:spacing w:after="0"/>
        <w:jc w:val="both"/>
        <w:rPr>
          <w:rFonts w:ascii="ITC Avant Garde" w:hAnsi="ITC Avant Garde"/>
        </w:rPr>
      </w:pPr>
    </w:p>
    <w:p w:rsidR="00734DCC" w:rsidRPr="000E4750" w:rsidRDefault="00734DCC" w:rsidP="00EC21BB">
      <w:pPr>
        <w:spacing w:after="0"/>
        <w:jc w:val="both"/>
        <w:rPr>
          <w:rFonts w:ascii="ITC Avant Garde" w:hAnsi="ITC Avant Garde"/>
        </w:rPr>
      </w:pPr>
      <w:r w:rsidRPr="000E4750">
        <w:rPr>
          <w:rFonts w:ascii="ITC Avant Garde" w:hAnsi="ITC Avant Garde"/>
        </w:rPr>
        <w:t>Finalmente, se realizaron la</w:t>
      </w:r>
      <w:r w:rsidR="004B5591" w:rsidRPr="000E4750">
        <w:rPr>
          <w:rFonts w:ascii="ITC Avant Garde" w:hAnsi="ITC Avant Garde"/>
        </w:rPr>
        <w:t>s</w:t>
      </w:r>
      <w:r w:rsidRPr="000E4750">
        <w:rPr>
          <w:rFonts w:ascii="ITC Avant Garde" w:hAnsi="ITC Avant Garde"/>
        </w:rPr>
        <w:t xml:space="preserve"> adecuaciones en la redacción para agregar la palabra “telecomunicaciones” </w:t>
      </w:r>
      <w:r w:rsidR="00AB038E">
        <w:rPr>
          <w:rFonts w:ascii="ITC Avant Garde" w:hAnsi="ITC Avant Garde"/>
        </w:rPr>
        <w:t xml:space="preserve">y quedar como “servicios de telecomunicaciones”; asimismo, </w:t>
      </w:r>
      <w:r w:rsidRPr="000E4750">
        <w:rPr>
          <w:rFonts w:ascii="ITC Avant Garde" w:hAnsi="ITC Avant Garde"/>
        </w:rPr>
        <w:t>se defini</w:t>
      </w:r>
      <w:r w:rsidR="004B5591" w:rsidRPr="000E4750">
        <w:rPr>
          <w:rFonts w:ascii="ITC Avant Garde" w:hAnsi="ITC Avant Garde"/>
        </w:rPr>
        <w:t>eron los medios por los cuales se publicará la información que se establece en el proyecto de Lineamientos.</w:t>
      </w:r>
    </w:p>
    <w:p w:rsidR="00303730" w:rsidRPr="000E4750" w:rsidRDefault="00303730" w:rsidP="00303730">
      <w:pPr>
        <w:pStyle w:val="Prrafodelista"/>
        <w:spacing w:after="0"/>
        <w:jc w:val="both"/>
        <w:rPr>
          <w:rFonts w:ascii="ITC Avant Garde" w:hAnsi="ITC Avant Garde"/>
          <w:b/>
        </w:rPr>
      </w:pPr>
    </w:p>
    <w:p w:rsidR="00303730" w:rsidRPr="000E4750" w:rsidRDefault="00303730"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 2.</w:t>
      </w:r>
    </w:p>
    <w:p w:rsidR="00303730" w:rsidRPr="000E4750" w:rsidRDefault="00303730" w:rsidP="00303730">
      <w:pPr>
        <w:spacing w:after="0"/>
        <w:jc w:val="both"/>
        <w:rPr>
          <w:rFonts w:ascii="ITC Avant Garde" w:hAnsi="ITC Avant Garde"/>
        </w:rPr>
      </w:pPr>
    </w:p>
    <w:p w:rsidR="00303730" w:rsidRPr="000E4750" w:rsidRDefault="00303730" w:rsidP="00303730">
      <w:pPr>
        <w:spacing w:after="0"/>
        <w:jc w:val="both"/>
        <w:rPr>
          <w:rFonts w:ascii="ITC Avant Garde" w:hAnsi="ITC Avant Garde"/>
        </w:rPr>
      </w:pPr>
      <w:r w:rsidRPr="000E4750">
        <w:rPr>
          <w:rFonts w:ascii="ITC Avant Garde" w:hAnsi="ITC Avant Garde"/>
        </w:rPr>
        <w:t>Se recibieron comentarios generales en el sentido de incorporar definiciones en el artículo, como son: accesibilidad, concesionario, comercializadora, publicidad y tarifa.</w:t>
      </w:r>
    </w:p>
    <w:p w:rsidR="00303730" w:rsidRPr="000E4750" w:rsidRDefault="00303730" w:rsidP="00303730">
      <w:pPr>
        <w:spacing w:after="0"/>
        <w:jc w:val="both"/>
        <w:rPr>
          <w:rFonts w:ascii="ITC Avant Garde" w:hAnsi="ITC Avant Garde"/>
        </w:rPr>
      </w:pPr>
    </w:p>
    <w:p w:rsidR="00303730" w:rsidRPr="000E4750" w:rsidRDefault="00303730" w:rsidP="00303730">
      <w:pPr>
        <w:spacing w:after="0"/>
        <w:jc w:val="both"/>
        <w:rPr>
          <w:rFonts w:ascii="ITC Avant Garde" w:hAnsi="ITC Avant Garde"/>
          <w:i/>
          <w:u w:val="single"/>
        </w:rPr>
      </w:pPr>
      <w:r w:rsidRPr="000E4750">
        <w:rPr>
          <w:rFonts w:ascii="ITC Avant Garde" w:hAnsi="ITC Avant Garde"/>
          <w:i/>
          <w:u w:val="single"/>
        </w:rPr>
        <w:t>Consideraciones</w:t>
      </w:r>
    </w:p>
    <w:p w:rsidR="00303730" w:rsidRPr="000E4750" w:rsidRDefault="00303730" w:rsidP="00303730">
      <w:pPr>
        <w:spacing w:after="0"/>
        <w:jc w:val="both"/>
        <w:rPr>
          <w:rFonts w:ascii="ITC Avant Garde" w:hAnsi="ITC Avant Garde"/>
          <w:i/>
          <w:u w:val="single"/>
        </w:rPr>
      </w:pPr>
    </w:p>
    <w:p w:rsidR="00303730" w:rsidRPr="000E4750" w:rsidRDefault="00303730" w:rsidP="00303730">
      <w:pPr>
        <w:spacing w:after="0"/>
        <w:jc w:val="both"/>
        <w:rPr>
          <w:rFonts w:ascii="ITC Avant Garde" w:hAnsi="ITC Avant Garde"/>
        </w:rPr>
      </w:pPr>
      <w:r w:rsidRPr="000E4750">
        <w:rPr>
          <w:rFonts w:ascii="ITC Avant Garde" w:hAnsi="ITC Avant Garde"/>
        </w:rPr>
        <w:t>Del análisis a las propuestas de inclusión de definiciones, se consideró conveniente no incluirlas toda vez</w:t>
      </w:r>
      <w:r w:rsidR="004B5591" w:rsidRPr="000E4750">
        <w:rPr>
          <w:rFonts w:ascii="ITC Avant Garde" w:hAnsi="ITC Avant Garde"/>
        </w:rPr>
        <w:t xml:space="preserve"> que dentro del contenido del proyecto Lineamientos no se hace</w:t>
      </w:r>
      <w:r w:rsidRPr="000E4750">
        <w:rPr>
          <w:rFonts w:ascii="ITC Avant Garde" w:hAnsi="ITC Avant Garde"/>
        </w:rPr>
        <w:t xml:space="preserve"> referencia a ellas y algunas ya se encuentran definidas en la propia LFTR; o bien, en el contexto en </w:t>
      </w:r>
      <w:r w:rsidR="004B5591" w:rsidRPr="000E4750">
        <w:rPr>
          <w:rFonts w:ascii="ITC Avant Garde" w:hAnsi="ITC Avant Garde"/>
        </w:rPr>
        <w:t>el que se utiliz</w:t>
      </w:r>
      <w:r w:rsidRPr="000E4750">
        <w:rPr>
          <w:rFonts w:ascii="ITC Avant Garde" w:hAnsi="ITC Avant Garde"/>
        </w:rPr>
        <w:t>an las palabras propuestas permite entender su alcance.</w:t>
      </w:r>
    </w:p>
    <w:p w:rsidR="00303730" w:rsidRPr="000E4750" w:rsidRDefault="00303730" w:rsidP="00303730">
      <w:pPr>
        <w:spacing w:after="0"/>
        <w:jc w:val="both"/>
        <w:rPr>
          <w:rFonts w:ascii="ITC Avant Garde" w:hAnsi="ITC Avant Garde"/>
        </w:rPr>
      </w:pPr>
    </w:p>
    <w:p w:rsidR="00060926" w:rsidRPr="000E4750" w:rsidRDefault="00303730"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 2</w:t>
      </w:r>
      <w:r w:rsidR="000A3530" w:rsidRPr="000E4750">
        <w:rPr>
          <w:rFonts w:ascii="ITC Avant Garde" w:hAnsi="ITC Avant Garde"/>
          <w:b/>
        </w:rPr>
        <w:t>, FRACCIÓN I</w:t>
      </w:r>
      <w:r w:rsidRPr="000E4750">
        <w:rPr>
          <w:rFonts w:ascii="ITC Avant Garde" w:hAnsi="ITC Avant Garde"/>
          <w:b/>
        </w:rPr>
        <w:t>.</w:t>
      </w:r>
    </w:p>
    <w:p w:rsidR="00060926" w:rsidRPr="000E4750" w:rsidRDefault="00060926" w:rsidP="00A13478">
      <w:pPr>
        <w:spacing w:after="0"/>
        <w:jc w:val="both"/>
        <w:rPr>
          <w:rFonts w:ascii="ITC Avant Garde" w:hAnsi="ITC Avant Garde"/>
          <w:b/>
        </w:rPr>
      </w:pPr>
    </w:p>
    <w:p w:rsidR="00C54BF6" w:rsidRPr="000E4750" w:rsidRDefault="000A3530" w:rsidP="00A13478">
      <w:pPr>
        <w:spacing w:after="0"/>
        <w:jc w:val="both"/>
        <w:rPr>
          <w:rFonts w:ascii="ITC Avant Garde" w:hAnsi="ITC Avant Garde"/>
        </w:rPr>
      </w:pPr>
      <w:r w:rsidRPr="000E4750">
        <w:rPr>
          <w:rFonts w:ascii="ITC Avant Garde" w:hAnsi="ITC Avant Garde"/>
        </w:rPr>
        <w:t>La industria sugiere cambiar el término “autorizado” por “comercializadora” considerando que el primero de ellos no se encuentra definido en la LFTR</w:t>
      </w:r>
      <w:r w:rsidR="004672CC" w:rsidRPr="000E4750">
        <w:rPr>
          <w:rFonts w:ascii="ITC Avant Garde" w:hAnsi="ITC Avant Garde"/>
        </w:rPr>
        <w:t>.</w:t>
      </w:r>
    </w:p>
    <w:p w:rsidR="00E842A7" w:rsidRPr="000E4750" w:rsidRDefault="00E842A7" w:rsidP="00A13478">
      <w:pPr>
        <w:spacing w:after="0"/>
        <w:jc w:val="both"/>
        <w:rPr>
          <w:rFonts w:ascii="ITC Avant Garde" w:hAnsi="ITC Avant Garde"/>
        </w:rPr>
      </w:pPr>
    </w:p>
    <w:p w:rsidR="00C54BF6" w:rsidRPr="000E4750" w:rsidRDefault="00C54BF6" w:rsidP="00A13478">
      <w:pPr>
        <w:spacing w:after="0"/>
        <w:jc w:val="both"/>
        <w:rPr>
          <w:rFonts w:ascii="ITC Avant Garde" w:hAnsi="ITC Avant Garde"/>
          <w:i/>
          <w:u w:val="single"/>
        </w:rPr>
      </w:pPr>
      <w:r w:rsidRPr="000E4750">
        <w:rPr>
          <w:rFonts w:ascii="ITC Avant Garde" w:hAnsi="ITC Avant Garde"/>
          <w:i/>
          <w:u w:val="single"/>
        </w:rPr>
        <w:t>Consideraciones</w:t>
      </w:r>
    </w:p>
    <w:p w:rsidR="0011435C" w:rsidRPr="000E4750" w:rsidRDefault="0011435C" w:rsidP="0099164E">
      <w:pPr>
        <w:spacing w:after="0"/>
        <w:jc w:val="both"/>
        <w:rPr>
          <w:rFonts w:ascii="ITC Avant Garde" w:hAnsi="ITC Avant Garde"/>
        </w:rPr>
      </w:pPr>
    </w:p>
    <w:p w:rsidR="00C54BF6" w:rsidRPr="000E4750" w:rsidRDefault="0011435C" w:rsidP="0099164E">
      <w:pPr>
        <w:spacing w:after="0"/>
        <w:jc w:val="both"/>
        <w:rPr>
          <w:rFonts w:ascii="ITC Avant Garde" w:hAnsi="ITC Avant Garde"/>
        </w:rPr>
      </w:pPr>
      <w:r w:rsidRPr="000E4750">
        <w:rPr>
          <w:rFonts w:ascii="ITC Avant Garde" w:hAnsi="ITC Avant Garde"/>
        </w:rPr>
        <w:lastRenderedPageBreak/>
        <w:t>Con relación</w:t>
      </w:r>
      <w:r w:rsidR="000A3530" w:rsidRPr="000E4750">
        <w:rPr>
          <w:rFonts w:ascii="ITC Avant Garde" w:hAnsi="ITC Avant Garde"/>
        </w:rPr>
        <w:t xml:space="preserve"> a la opinión antes señalada, </w:t>
      </w:r>
      <w:r w:rsidR="00AB038E">
        <w:rPr>
          <w:rFonts w:ascii="ITC Avant Garde" w:hAnsi="ITC Avant Garde"/>
        </w:rPr>
        <w:t xml:space="preserve">resulta importante destacar que </w:t>
      </w:r>
      <w:r w:rsidR="000A3530" w:rsidRPr="000E4750">
        <w:rPr>
          <w:rFonts w:ascii="ITC Avant Garde" w:hAnsi="ITC Avant Garde"/>
        </w:rPr>
        <w:t>se</w:t>
      </w:r>
      <w:r w:rsidR="0099164E" w:rsidRPr="000E4750">
        <w:rPr>
          <w:rFonts w:ascii="ITC Avant Garde" w:hAnsi="ITC Avant Garde"/>
        </w:rPr>
        <w:t xml:space="preserve"> incluyó la definición de autorizado </w:t>
      </w:r>
      <w:r w:rsidR="00B77AC8">
        <w:rPr>
          <w:rFonts w:ascii="ITC Avant Garde" w:hAnsi="ITC Avant Garde"/>
        </w:rPr>
        <w:t>establecida</w:t>
      </w:r>
      <w:r w:rsidR="0099164E" w:rsidRPr="000E4750">
        <w:rPr>
          <w:rFonts w:ascii="ITC Avant Garde" w:hAnsi="ITC Avant Garde"/>
        </w:rPr>
        <w:t xml:space="preserve"> por el Pleno de este Instituto en los Lineamientos Generales de Accesibilidad a los Servicios de Telecomunicaciones para Usuarios con Discapacidad.</w:t>
      </w:r>
      <w:r w:rsidR="0099164E" w:rsidRPr="000E4750">
        <w:rPr>
          <w:rFonts w:ascii="ITC Avant Garde" w:hAnsi="ITC Avant Garde"/>
        </w:rPr>
        <w:cr/>
      </w:r>
    </w:p>
    <w:p w:rsidR="00D44BE8" w:rsidRPr="000E4750" w:rsidRDefault="00D44BE8" w:rsidP="00A13478">
      <w:pPr>
        <w:spacing w:after="0"/>
        <w:jc w:val="both"/>
        <w:rPr>
          <w:rFonts w:ascii="ITC Avant Garde" w:hAnsi="ITC Avant Garde"/>
        </w:rPr>
      </w:pPr>
    </w:p>
    <w:p w:rsidR="00D44BE8" w:rsidRPr="000E4750" w:rsidRDefault="000A3530"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 2, FRACCIÓN I</w:t>
      </w:r>
      <w:r w:rsidR="00D44BE8" w:rsidRPr="000E4750">
        <w:rPr>
          <w:rFonts w:ascii="ITC Avant Garde" w:hAnsi="ITC Avant Garde"/>
          <w:b/>
        </w:rPr>
        <w:t>I</w:t>
      </w:r>
      <w:r w:rsidRPr="000E4750">
        <w:rPr>
          <w:rFonts w:ascii="ITC Avant Garde" w:hAnsi="ITC Avant Garde"/>
          <w:b/>
        </w:rPr>
        <w:t>.</w:t>
      </w:r>
    </w:p>
    <w:p w:rsidR="00060926" w:rsidRPr="000E4750" w:rsidRDefault="00060926" w:rsidP="00A13478">
      <w:pPr>
        <w:spacing w:after="0"/>
        <w:jc w:val="both"/>
        <w:rPr>
          <w:rFonts w:ascii="ITC Avant Garde" w:hAnsi="ITC Avant Garde"/>
          <w:b/>
        </w:rPr>
      </w:pPr>
    </w:p>
    <w:p w:rsidR="00D44BE8" w:rsidRPr="000E4750" w:rsidRDefault="00060926" w:rsidP="000A3530">
      <w:pPr>
        <w:spacing w:after="0"/>
        <w:jc w:val="both"/>
        <w:rPr>
          <w:rFonts w:ascii="ITC Avant Garde" w:eastAsia="Times New Roman" w:hAnsi="ITC Avant Garde" w:cs="Times New Roman"/>
          <w:color w:val="000000"/>
        </w:rPr>
      </w:pPr>
      <w:r w:rsidRPr="000E4750">
        <w:rPr>
          <w:rFonts w:ascii="ITC Avant Garde" w:eastAsia="Times New Roman" w:hAnsi="ITC Avant Garde" w:cs="Times New Roman"/>
          <w:color w:val="000000"/>
        </w:rPr>
        <w:t>La industria</w:t>
      </w:r>
      <w:r w:rsidRPr="000E4750">
        <w:rPr>
          <w:rFonts w:ascii="ITC Avant Garde" w:hAnsi="ITC Avant Garde"/>
          <w:b/>
        </w:rPr>
        <w:t xml:space="preserve"> </w:t>
      </w:r>
      <w:r w:rsidR="000A3530" w:rsidRPr="000E4750">
        <w:rPr>
          <w:rFonts w:ascii="ITC Avant Garde" w:eastAsia="Times New Roman" w:hAnsi="ITC Avant Garde" w:cs="Times New Roman"/>
          <w:color w:val="000000"/>
        </w:rPr>
        <w:t>sugiere eliminar la frase</w:t>
      </w:r>
      <w:r w:rsidR="004C0354" w:rsidRPr="000E4750">
        <w:rPr>
          <w:rFonts w:ascii="ITC Avant Garde" w:eastAsia="Times New Roman" w:hAnsi="ITC Avant Garde" w:cs="Times New Roman"/>
          <w:color w:val="000000"/>
        </w:rPr>
        <w:t xml:space="preserve"> “consta en formatos uniformes” y la PROFECO s</w:t>
      </w:r>
      <w:r w:rsidR="000A3530" w:rsidRPr="000E4750">
        <w:rPr>
          <w:rFonts w:ascii="ITC Avant Garde" w:eastAsia="Times New Roman" w:hAnsi="ITC Avant Garde" w:cs="Times New Roman"/>
          <w:color w:val="000000"/>
        </w:rPr>
        <w:t>ugiere agregar a las definiciones el "Contrato tipo"</w:t>
      </w:r>
      <w:r w:rsidR="00D44BE8" w:rsidRPr="000E4750">
        <w:rPr>
          <w:rFonts w:ascii="ITC Avant Garde" w:eastAsia="Times New Roman" w:hAnsi="ITC Avant Garde" w:cs="Times New Roman"/>
          <w:color w:val="000000"/>
        </w:rPr>
        <w:t>.</w:t>
      </w:r>
    </w:p>
    <w:p w:rsidR="00E842A7" w:rsidRPr="000E4750" w:rsidRDefault="00E842A7" w:rsidP="00A13478">
      <w:pPr>
        <w:spacing w:after="0"/>
        <w:jc w:val="both"/>
        <w:rPr>
          <w:rFonts w:ascii="ITC Avant Garde" w:eastAsia="Times New Roman" w:hAnsi="ITC Avant Garde" w:cs="Times New Roman"/>
          <w:color w:val="000000"/>
        </w:rPr>
      </w:pPr>
    </w:p>
    <w:p w:rsidR="00D44BE8" w:rsidRPr="000E4750" w:rsidRDefault="00D44BE8" w:rsidP="00A13478">
      <w:pPr>
        <w:spacing w:after="0"/>
        <w:jc w:val="both"/>
        <w:rPr>
          <w:rFonts w:ascii="ITC Avant Garde" w:hAnsi="ITC Avant Garde"/>
          <w:i/>
          <w:u w:val="single"/>
        </w:rPr>
      </w:pPr>
      <w:r w:rsidRPr="000E4750">
        <w:rPr>
          <w:rFonts w:ascii="ITC Avant Garde" w:hAnsi="ITC Avant Garde"/>
          <w:i/>
          <w:u w:val="single"/>
        </w:rPr>
        <w:t>Consideraciones</w:t>
      </w:r>
    </w:p>
    <w:p w:rsidR="00E842A7" w:rsidRPr="000E4750" w:rsidRDefault="00E842A7" w:rsidP="00A13478">
      <w:pPr>
        <w:spacing w:after="0"/>
        <w:jc w:val="both"/>
        <w:rPr>
          <w:rFonts w:ascii="ITC Avant Garde" w:hAnsi="ITC Avant Garde"/>
          <w:u w:val="single"/>
        </w:rPr>
      </w:pPr>
    </w:p>
    <w:p w:rsidR="00D44BE8" w:rsidRPr="000E4750" w:rsidRDefault="005A4674" w:rsidP="00A13478">
      <w:pPr>
        <w:spacing w:after="0"/>
        <w:jc w:val="both"/>
        <w:rPr>
          <w:rFonts w:ascii="ITC Avant Garde" w:hAnsi="ITC Avant Garde"/>
        </w:rPr>
      </w:pPr>
      <w:r>
        <w:rPr>
          <w:rFonts w:ascii="ITC Avant Garde" w:hAnsi="ITC Avant Garde"/>
        </w:rPr>
        <w:t xml:space="preserve">Se consideró conveniente eliminar la definición </w:t>
      </w:r>
      <w:r w:rsidR="00B77AC8">
        <w:rPr>
          <w:rFonts w:ascii="ITC Avant Garde" w:hAnsi="ITC Avant Garde"/>
        </w:rPr>
        <w:t>de “Contrato de adhesión” d</w:t>
      </w:r>
      <w:r>
        <w:rPr>
          <w:rFonts w:ascii="ITC Avant Garde" w:hAnsi="ITC Avant Garde"/>
        </w:rPr>
        <w:t xml:space="preserve">el proyecto de Lineamientos, considerando que </w:t>
      </w:r>
      <w:r w:rsidR="004C0354" w:rsidRPr="000E4750">
        <w:rPr>
          <w:rFonts w:ascii="ITC Avant Garde" w:hAnsi="ITC Avant Garde"/>
        </w:rPr>
        <w:t>la Ley Federal de</w:t>
      </w:r>
      <w:r>
        <w:rPr>
          <w:rFonts w:ascii="ITC Avant Garde" w:hAnsi="ITC Avant Garde"/>
        </w:rPr>
        <w:t xml:space="preserve"> Protección al Consumidor (LFPC) </w:t>
      </w:r>
      <w:r w:rsidR="00B77AC8">
        <w:rPr>
          <w:rFonts w:ascii="ITC Avant Garde" w:hAnsi="ITC Avant Garde"/>
        </w:rPr>
        <w:t xml:space="preserve">en su artículo 85, </w:t>
      </w:r>
      <w:r>
        <w:rPr>
          <w:rFonts w:ascii="ITC Avant Garde" w:hAnsi="ITC Avant Garde"/>
        </w:rPr>
        <w:t>define que se entenderá por dicho concepto.</w:t>
      </w:r>
    </w:p>
    <w:p w:rsidR="00D44BE8" w:rsidRPr="000E4750" w:rsidRDefault="00D44BE8" w:rsidP="00A13478">
      <w:pPr>
        <w:spacing w:after="0"/>
        <w:jc w:val="both"/>
        <w:rPr>
          <w:rFonts w:ascii="ITC Avant Garde" w:hAnsi="ITC Avant Garde"/>
        </w:rPr>
      </w:pPr>
    </w:p>
    <w:p w:rsidR="00D44BE8" w:rsidRPr="000E4750" w:rsidRDefault="004C0354"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 2 FRACCIÓN</w:t>
      </w:r>
      <w:r w:rsidR="00D44BE8" w:rsidRPr="000E4750">
        <w:rPr>
          <w:rFonts w:ascii="ITC Avant Garde" w:hAnsi="ITC Avant Garde"/>
          <w:b/>
        </w:rPr>
        <w:t xml:space="preserve"> </w:t>
      </w:r>
      <w:r w:rsidRPr="000E4750">
        <w:rPr>
          <w:rFonts w:ascii="ITC Avant Garde" w:hAnsi="ITC Avant Garde"/>
          <w:b/>
        </w:rPr>
        <w:t>III.</w:t>
      </w:r>
    </w:p>
    <w:p w:rsidR="006C1C0A" w:rsidRPr="000E4750" w:rsidRDefault="006C1C0A" w:rsidP="00A13478">
      <w:pPr>
        <w:pStyle w:val="Prrafodelista"/>
        <w:spacing w:after="0"/>
        <w:jc w:val="both"/>
        <w:rPr>
          <w:rFonts w:ascii="ITC Avant Garde" w:hAnsi="ITC Avant Garde"/>
          <w:b/>
        </w:rPr>
      </w:pPr>
    </w:p>
    <w:p w:rsidR="00D44BE8" w:rsidRPr="000E4750" w:rsidRDefault="000E2D0B" w:rsidP="00A13478">
      <w:pPr>
        <w:spacing w:after="0"/>
        <w:jc w:val="both"/>
        <w:rPr>
          <w:rFonts w:ascii="ITC Avant Garde" w:hAnsi="ITC Avant Garde"/>
          <w:i/>
        </w:rPr>
      </w:pPr>
      <w:r w:rsidRPr="000E4750">
        <w:rPr>
          <w:rFonts w:ascii="ITC Avant Garde" w:hAnsi="ITC Avant Garde"/>
        </w:rPr>
        <w:t xml:space="preserve">Dentro de las participaciones se recomienda sustituir la definición por: </w:t>
      </w:r>
      <w:r w:rsidRPr="000E4750">
        <w:rPr>
          <w:rFonts w:ascii="ITC Avant Garde" w:hAnsi="ITC Avant Garde"/>
          <w:i/>
        </w:rPr>
        <w:t>"Todo equipo destinado a ser conectado a la Red Pública de Telecomunicaciones capaz de procesar, recibir, conmutar, o transmitir señales por medio de conexiones de radio o cable, a través de un punto de conexión terminal"</w:t>
      </w:r>
      <w:r w:rsidRPr="000E4750">
        <w:rPr>
          <w:rFonts w:ascii="ITC Avant Garde" w:hAnsi="ITC Avant Garde"/>
        </w:rPr>
        <w:t>, así como homologar el término “red pública” a “red pública de telecomunicaciones”</w:t>
      </w:r>
      <w:r w:rsidR="006A7D8B" w:rsidRPr="000E4750">
        <w:rPr>
          <w:rFonts w:ascii="ITC Avant Garde" w:hAnsi="ITC Avant Garde"/>
          <w:i/>
        </w:rPr>
        <w:t>.</w:t>
      </w:r>
    </w:p>
    <w:p w:rsidR="00E842A7" w:rsidRPr="000E4750" w:rsidRDefault="00E842A7" w:rsidP="00A13478">
      <w:pPr>
        <w:spacing w:after="0"/>
        <w:jc w:val="both"/>
        <w:rPr>
          <w:rFonts w:ascii="ITC Avant Garde" w:hAnsi="ITC Avant Garde"/>
        </w:rPr>
      </w:pPr>
    </w:p>
    <w:p w:rsidR="00D44BE8" w:rsidRPr="000E4750" w:rsidRDefault="00D44BE8" w:rsidP="00A13478">
      <w:pPr>
        <w:spacing w:after="0"/>
        <w:jc w:val="both"/>
        <w:rPr>
          <w:rFonts w:ascii="ITC Avant Garde" w:hAnsi="ITC Avant Garde"/>
          <w:i/>
          <w:u w:val="single"/>
        </w:rPr>
      </w:pPr>
      <w:r w:rsidRPr="000E4750">
        <w:rPr>
          <w:rFonts w:ascii="ITC Avant Garde" w:hAnsi="ITC Avant Garde"/>
          <w:i/>
          <w:u w:val="single"/>
        </w:rPr>
        <w:t>Consideraciones</w:t>
      </w:r>
    </w:p>
    <w:p w:rsidR="00E842A7" w:rsidRPr="009204C0" w:rsidRDefault="00E842A7" w:rsidP="00A13478">
      <w:pPr>
        <w:spacing w:after="0"/>
        <w:jc w:val="both"/>
        <w:rPr>
          <w:rFonts w:ascii="ITC Avant Garde" w:hAnsi="ITC Avant Garde"/>
        </w:rPr>
      </w:pPr>
    </w:p>
    <w:p w:rsidR="00D44BE8" w:rsidRPr="000E4750" w:rsidRDefault="00B361C0" w:rsidP="00A13478">
      <w:pPr>
        <w:spacing w:after="0"/>
        <w:jc w:val="both"/>
        <w:rPr>
          <w:rFonts w:ascii="ITC Avant Garde" w:hAnsi="ITC Avant Garde"/>
        </w:rPr>
      </w:pPr>
      <w:r w:rsidRPr="000E4750">
        <w:rPr>
          <w:rFonts w:ascii="ITC Avant Garde" w:hAnsi="ITC Avant Garde"/>
        </w:rPr>
        <w:t xml:space="preserve">Se considera conveniente mantener </w:t>
      </w:r>
      <w:r w:rsidR="00CC031E">
        <w:rPr>
          <w:rFonts w:ascii="ITC Avant Garde" w:hAnsi="ITC Avant Garde"/>
        </w:rPr>
        <w:t xml:space="preserve">parte de </w:t>
      </w:r>
      <w:r w:rsidRPr="000E4750">
        <w:rPr>
          <w:rFonts w:ascii="ITC Avant Garde" w:hAnsi="ITC Avant Garde"/>
        </w:rPr>
        <w:t xml:space="preserve">la redacción incluida en el </w:t>
      </w:r>
      <w:r w:rsidR="00413C6B" w:rsidRPr="000E4750">
        <w:rPr>
          <w:rFonts w:ascii="ITC Avant Garde" w:hAnsi="ITC Avant Garde"/>
        </w:rPr>
        <w:t>ante</w:t>
      </w:r>
      <w:r w:rsidRPr="000E4750">
        <w:rPr>
          <w:rFonts w:ascii="ITC Avant Garde" w:hAnsi="ITC Avant Garde"/>
        </w:rPr>
        <w:t>proyecto de Lineamientos para ser consistente con las definiciones establecidas por el Instituto en otras disposi</w:t>
      </w:r>
      <w:r w:rsidR="0021239C" w:rsidRPr="000E4750">
        <w:rPr>
          <w:rFonts w:ascii="ITC Avant Garde" w:hAnsi="ITC Avant Garde"/>
        </w:rPr>
        <w:t>ciones administrativas vigentes;</w:t>
      </w:r>
      <w:r w:rsidRPr="000E4750">
        <w:rPr>
          <w:rFonts w:ascii="ITC Avant Garde" w:hAnsi="ITC Avant Garde"/>
        </w:rPr>
        <w:t xml:space="preserve"> </w:t>
      </w:r>
      <w:r w:rsidR="0021239C" w:rsidRPr="000E4750">
        <w:rPr>
          <w:rFonts w:ascii="ITC Avant Garde" w:hAnsi="ITC Avant Garde"/>
        </w:rPr>
        <w:t>por otra parte</w:t>
      </w:r>
      <w:r w:rsidRPr="000E4750">
        <w:rPr>
          <w:rFonts w:ascii="ITC Avant Garde" w:hAnsi="ITC Avant Garde"/>
        </w:rPr>
        <w:t xml:space="preserve">, se atiende la </w:t>
      </w:r>
      <w:r w:rsidR="0021239C" w:rsidRPr="000E4750">
        <w:rPr>
          <w:rFonts w:ascii="ITC Avant Garde" w:hAnsi="ITC Avant Garde"/>
        </w:rPr>
        <w:t>propuesta</w:t>
      </w:r>
      <w:r w:rsidRPr="000E4750">
        <w:rPr>
          <w:rFonts w:ascii="ITC Avant Garde" w:hAnsi="ITC Avant Garde"/>
        </w:rPr>
        <w:t xml:space="preserve"> de homologar a “red pública de telecomunicaciones”.</w:t>
      </w:r>
    </w:p>
    <w:p w:rsidR="006A7D8B" w:rsidRPr="000E4750" w:rsidRDefault="006A7D8B" w:rsidP="00A13478">
      <w:pPr>
        <w:spacing w:after="0"/>
        <w:jc w:val="both"/>
        <w:rPr>
          <w:rFonts w:ascii="ITC Avant Garde" w:hAnsi="ITC Avant Garde"/>
        </w:rPr>
      </w:pPr>
    </w:p>
    <w:p w:rsidR="00CA3857" w:rsidRPr="000E4750" w:rsidRDefault="00B361C0"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 2 FRACCIÓN</w:t>
      </w:r>
      <w:r w:rsidR="00CA3857" w:rsidRPr="000E4750">
        <w:rPr>
          <w:rFonts w:ascii="ITC Avant Garde" w:hAnsi="ITC Avant Garde"/>
          <w:b/>
        </w:rPr>
        <w:t xml:space="preserve"> </w:t>
      </w:r>
      <w:r w:rsidRPr="000E4750">
        <w:rPr>
          <w:rFonts w:ascii="ITC Avant Garde" w:hAnsi="ITC Avant Garde"/>
          <w:b/>
        </w:rPr>
        <w:t>IV.</w:t>
      </w:r>
    </w:p>
    <w:p w:rsidR="00E842A7" w:rsidRPr="009204C0" w:rsidRDefault="00E842A7" w:rsidP="008E5720">
      <w:pPr>
        <w:spacing w:after="0"/>
        <w:jc w:val="both"/>
        <w:rPr>
          <w:rFonts w:ascii="ITC Avant Garde" w:hAnsi="ITC Avant Garde"/>
        </w:rPr>
      </w:pPr>
    </w:p>
    <w:p w:rsidR="00CA3857" w:rsidRPr="000E4750" w:rsidRDefault="00B361C0" w:rsidP="00A13478">
      <w:pPr>
        <w:spacing w:after="0"/>
        <w:jc w:val="both"/>
        <w:rPr>
          <w:rFonts w:ascii="ITC Avant Garde" w:hAnsi="ITC Avant Garde"/>
        </w:rPr>
      </w:pPr>
      <w:r w:rsidRPr="000E4750">
        <w:rPr>
          <w:rFonts w:ascii="ITC Avant Garde" w:hAnsi="ITC Avant Garde"/>
        </w:rPr>
        <w:t>Se sugiere no especificar el tipo de garantía y señalar que deberá ser devuelta al suscriptor una vez concluido con lo establecido en el contrato de adhesión.</w:t>
      </w:r>
    </w:p>
    <w:p w:rsidR="00E842A7" w:rsidRPr="000E4750" w:rsidRDefault="00E842A7" w:rsidP="00A13478">
      <w:pPr>
        <w:spacing w:after="0"/>
        <w:jc w:val="both"/>
        <w:rPr>
          <w:rFonts w:ascii="ITC Avant Garde" w:hAnsi="ITC Avant Garde"/>
        </w:rPr>
      </w:pPr>
    </w:p>
    <w:p w:rsidR="00446D1A" w:rsidRPr="000E4750" w:rsidRDefault="00446D1A" w:rsidP="00A13478">
      <w:pPr>
        <w:spacing w:after="0"/>
        <w:jc w:val="both"/>
        <w:rPr>
          <w:rFonts w:ascii="ITC Avant Garde" w:hAnsi="ITC Avant Garde"/>
          <w:i/>
          <w:u w:val="single"/>
        </w:rPr>
      </w:pPr>
      <w:r w:rsidRPr="000E4750">
        <w:rPr>
          <w:rFonts w:ascii="ITC Avant Garde" w:hAnsi="ITC Avant Garde"/>
          <w:i/>
          <w:u w:val="single"/>
        </w:rPr>
        <w:t>Consideraciones</w:t>
      </w:r>
    </w:p>
    <w:p w:rsidR="00D44BE8" w:rsidRPr="009204C0" w:rsidRDefault="00D44BE8" w:rsidP="00A13478">
      <w:pPr>
        <w:spacing w:after="0"/>
        <w:jc w:val="both"/>
        <w:rPr>
          <w:rFonts w:ascii="ITC Avant Garde" w:hAnsi="ITC Avant Garde"/>
        </w:rPr>
      </w:pPr>
    </w:p>
    <w:p w:rsidR="00D44BE8" w:rsidRPr="000E4750" w:rsidRDefault="00413C6B" w:rsidP="00A13478">
      <w:pPr>
        <w:spacing w:after="0"/>
        <w:jc w:val="both"/>
        <w:rPr>
          <w:rFonts w:ascii="ITC Avant Garde" w:hAnsi="ITC Avant Garde"/>
        </w:rPr>
      </w:pPr>
      <w:r w:rsidRPr="000E4750">
        <w:rPr>
          <w:rFonts w:ascii="ITC Avant Garde" w:hAnsi="ITC Avant Garde"/>
        </w:rPr>
        <w:lastRenderedPageBreak/>
        <w:t xml:space="preserve">La propuesta de establecer una obligación de devolución de la garantía es relevante, sin embargo, </w:t>
      </w:r>
      <w:r w:rsidR="00B361C0" w:rsidRPr="000E4750">
        <w:rPr>
          <w:rFonts w:ascii="ITC Avant Garde" w:hAnsi="ITC Avant Garde"/>
        </w:rPr>
        <w:t>no se considera conveniente establecer obligaciones en una definición</w:t>
      </w:r>
      <w:r w:rsidRPr="000E4750">
        <w:rPr>
          <w:rFonts w:ascii="ITC Avant Garde" w:hAnsi="ITC Avant Garde"/>
        </w:rPr>
        <w:t xml:space="preserve"> de los Lineamientos;</w:t>
      </w:r>
      <w:r w:rsidR="000B501B" w:rsidRPr="000E4750">
        <w:rPr>
          <w:rFonts w:ascii="ITC Avant Garde" w:hAnsi="ITC Avant Garde"/>
        </w:rPr>
        <w:t xml:space="preserve"> </w:t>
      </w:r>
      <w:r w:rsidR="00A914C7">
        <w:rPr>
          <w:rFonts w:ascii="ITC Avant Garde" w:hAnsi="ITC Avant Garde"/>
        </w:rPr>
        <w:t>sin embargo, se consideró</w:t>
      </w:r>
      <w:r w:rsidR="00A914C7" w:rsidRPr="000E4750">
        <w:rPr>
          <w:rFonts w:ascii="ITC Avant Garde" w:hAnsi="ITC Avant Garde"/>
        </w:rPr>
        <w:t xml:space="preserve"> </w:t>
      </w:r>
      <w:r w:rsidR="00A914C7">
        <w:rPr>
          <w:rFonts w:ascii="ITC Avant Garde" w:hAnsi="ITC Avant Garde"/>
        </w:rPr>
        <w:t>conveniente eliminar la definición en el proyecto de Lineamientos, toda vez que dentro de los contratos de adhesión se establecen diversos mecanismos para garantizar su cumplimiento</w:t>
      </w:r>
      <w:r w:rsidR="000B501B" w:rsidRPr="000E4750">
        <w:rPr>
          <w:rFonts w:ascii="ITC Avant Garde" w:hAnsi="ITC Avant Garde"/>
        </w:rPr>
        <w:t>.</w:t>
      </w:r>
    </w:p>
    <w:p w:rsidR="00446D1A" w:rsidRPr="000E4750" w:rsidRDefault="00446D1A" w:rsidP="00A13478">
      <w:pPr>
        <w:spacing w:after="0"/>
        <w:jc w:val="both"/>
        <w:rPr>
          <w:rFonts w:ascii="ITC Avant Garde" w:hAnsi="ITC Avant Garde"/>
        </w:rPr>
      </w:pPr>
    </w:p>
    <w:p w:rsidR="00B361C0" w:rsidRPr="000E4750" w:rsidRDefault="00B361C0"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 2 FRACCIÓN V.</w:t>
      </w:r>
    </w:p>
    <w:p w:rsidR="00B361C0" w:rsidRPr="009204C0" w:rsidRDefault="00B361C0" w:rsidP="00B361C0">
      <w:pPr>
        <w:spacing w:after="0"/>
        <w:jc w:val="both"/>
        <w:rPr>
          <w:rFonts w:ascii="ITC Avant Garde" w:hAnsi="ITC Avant Garde"/>
        </w:rPr>
      </w:pPr>
    </w:p>
    <w:p w:rsidR="00B361C0" w:rsidRPr="000E4750" w:rsidRDefault="00413C6B" w:rsidP="00B361C0">
      <w:pPr>
        <w:spacing w:after="0"/>
        <w:jc w:val="both"/>
        <w:rPr>
          <w:rFonts w:ascii="ITC Avant Garde" w:hAnsi="ITC Avant Garde"/>
        </w:rPr>
      </w:pPr>
      <w:r w:rsidRPr="000E4750">
        <w:rPr>
          <w:rFonts w:ascii="ITC Avant Garde" w:hAnsi="ITC Avant Garde"/>
        </w:rPr>
        <w:t xml:space="preserve">Dentro de los comentarios recibidos se señala que se genera </w:t>
      </w:r>
      <w:r w:rsidRPr="00227203">
        <w:rPr>
          <w:rFonts w:ascii="ITC Avant Garde" w:hAnsi="ITC Avant Garde"/>
        </w:rPr>
        <w:t>confusión respecto a</w:t>
      </w:r>
      <w:r w:rsidRPr="000E4750">
        <w:rPr>
          <w:rFonts w:ascii="ITC Avant Garde" w:hAnsi="ITC Avant Garde"/>
        </w:rPr>
        <w:t xml:space="preserve"> si el anteproyecto </w:t>
      </w:r>
      <w:r w:rsidRPr="00227203">
        <w:rPr>
          <w:rFonts w:ascii="ITC Avant Garde" w:hAnsi="ITC Avant Garde"/>
        </w:rPr>
        <w:t>requiere que la información referida en los diversos</w:t>
      </w:r>
      <w:r w:rsidRPr="000E4750">
        <w:rPr>
          <w:rFonts w:ascii="ITC Avant Garde" w:hAnsi="ITC Avant Garde"/>
        </w:rPr>
        <w:t xml:space="preserve"> artículos sea </w:t>
      </w:r>
      <w:r w:rsidRPr="00227203">
        <w:rPr>
          <w:rFonts w:ascii="ITC Avant Garde" w:hAnsi="ITC Avant Garde"/>
        </w:rPr>
        <w:t>publicada en todos y cada uno de los elementos que integran la definición</w:t>
      </w:r>
      <w:r w:rsidRPr="000E4750">
        <w:rPr>
          <w:rFonts w:ascii="ITC Avant Garde" w:hAnsi="ITC Avant Garde"/>
        </w:rPr>
        <w:t xml:space="preserve"> de información completa; asimismo, se propone que se haga referencia a los contratos de adhesión y se incluyan </w:t>
      </w:r>
      <w:r w:rsidR="00251100" w:rsidRPr="000E4750">
        <w:rPr>
          <w:rFonts w:ascii="ITC Avant Garde" w:hAnsi="ITC Avant Garde"/>
        </w:rPr>
        <w:t xml:space="preserve">obligaciones a cargo de los concesionarios y autorizados de explicar los términos y condiciones de las promociones, así como avisar con al menos 30 días de anticipación la finalización de las mismas. </w:t>
      </w:r>
    </w:p>
    <w:p w:rsidR="00B361C0" w:rsidRPr="000E4750" w:rsidRDefault="00B361C0" w:rsidP="00B361C0">
      <w:pPr>
        <w:spacing w:after="0"/>
        <w:jc w:val="both"/>
        <w:rPr>
          <w:rFonts w:ascii="ITC Avant Garde" w:hAnsi="ITC Avant Garde"/>
        </w:rPr>
      </w:pPr>
    </w:p>
    <w:p w:rsidR="00B361C0" w:rsidRPr="000E4750" w:rsidRDefault="00B361C0" w:rsidP="00B361C0">
      <w:pPr>
        <w:spacing w:after="0"/>
        <w:jc w:val="both"/>
        <w:rPr>
          <w:rFonts w:ascii="ITC Avant Garde" w:hAnsi="ITC Avant Garde"/>
          <w:i/>
          <w:u w:val="single"/>
        </w:rPr>
      </w:pPr>
      <w:r w:rsidRPr="000E4750">
        <w:rPr>
          <w:rFonts w:ascii="ITC Avant Garde" w:hAnsi="ITC Avant Garde"/>
          <w:i/>
          <w:u w:val="single"/>
        </w:rPr>
        <w:t>Consideraciones</w:t>
      </w:r>
    </w:p>
    <w:p w:rsidR="00B361C0" w:rsidRPr="009204C0" w:rsidRDefault="00B361C0" w:rsidP="00B361C0">
      <w:pPr>
        <w:spacing w:after="0"/>
        <w:jc w:val="both"/>
        <w:rPr>
          <w:rFonts w:ascii="ITC Avant Garde" w:hAnsi="ITC Avant Garde"/>
        </w:rPr>
      </w:pPr>
    </w:p>
    <w:p w:rsidR="00A914C7" w:rsidRPr="000E4750" w:rsidRDefault="00A914C7" w:rsidP="00A914C7">
      <w:pPr>
        <w:spacing w:after="0"/>
        <w:jc w:val="both"/>
        <w:rPr>
          <w:rFonts w:ascii="ITC Avant Garde" w:hAnsi="ITC Avant Garde"/>
        </w:rPr>
      </w:pPr>
      <w:r>
        <w:rPr>
          <w:rFonts w:ascii="ITC Avant Garde" w:hAnsi="ITC Avant Garde"/>
        </w:rPr>
        <w:t>Atendiendo a las modificaciones efectuadas al proyecto derivado de los comentarios recibidos y con la finalidad de evitar la inclusión de términos que puedan generar incertidumbre jurídica, se consideró</w:t>
      </w:r>
      <w:r w:rsidRPr="000E4750">
        <w:rPr>
          <w:rFonts w:ascii="ITC Avant Garde" w:hAnsi="ITC Avant Garde"/>
        </w:rPr>
        <w:t xml:space="preserve"> </w:t>
      </w:r>
      <w:r>
        <w:rPr>
          <w:rFonts w:ascii="ITC Avant Garde" w:hAnsi="ITC Avant Garde"/>
        </w:rPr>
        <w:t>conveniente eliminar la definición en el proyecto de Lineamientos</w:t>
      </w:r>
      <w:r w:rsidRPr="000E4750">
        <w:rPr>
          <w:rFonts w:ascii="ITC Avant Garde" w:hAnsi="ITC Avant Garde"/>
        </w:rPr>
        <w:t>.</w:t>
      </w:r>
    </w:p>
    <w:p w:rsidR="00B361C0" w:rsidRPr="000E4750" w:rsidRDefault="00B361C0" w:rsidP="00B361C0">
      <w:pPr>
        <w:spacing w:after="0"/>
        <w:jc w:val="both"/>
        <w:rPr>
          <w:rFonts w:ascii="ITC Avant Garde" w:hAnsi="ITC Avant Garde"/>
        </w:rPr>
      </w:pPr>
    </w:p>
    <w:p w:rsidR="00B361C0" w:rsidRPr="000E4750" w:rsidRDefault="00B361C0"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 2 FRACCIÓN V</w:t>
      </w:r>
      <w:r w:rsidR="00251100" w:rsidRPr="000E4750">
        <w:rPr>
          <w:rFonts w:ascii="ITC Avant Garde" w:hAnsi="ITC Avant Garde"/>
          <w:b/>
        </w:rPr>
        <w:t>I</w:t>
      </w:r>
      <w:r w:rsidRPr="000E4750">
        <w:rPr>
          <w:rFonts w:ascii="ITC Avant Garde" w:hAnsi="ITC Avant Garde"/>
          <w:b/>
        </w:rPr>
        <w:t>.</w:t>
      </w:r>
    </w:p>
    <w:p w:rsidR="00B361C0" w:rsidRPr="000E4750" w:rsidRDefault="00B361C0" w:rsidP="00B361C0">
      <w:pPr>
        <w:spacing w:after="0"/>
        <w:jc w:val="both"/>
        <w:rPr>
          <w:rFonts w:ascii="ITC Avant Garde" w:hAnsi="ITC Avant Garde"/>
          <w:b/>
        </w:rPr>
      </w:pPr>
    </w:p>
    <w:p w:rsidR="00C034D2" w:rsidRPr="000E4750" w:rsidRDefault="00C034D2" w:rsidP="00B361C0">
      <w:pPr>
        <w:spacing w:after="0"/>
        <w:jc w:val="both"/>
        <w:rPr>
          <w:rFonts w:ascii="ITC Avant Garde" w:hAnsi="ITC Avant Garde"/>
        </w:rPr>
      </w:pPr>
      <w:r w:rsidRPr="000E4750">
        <w:rPr>
          <w:rFonts w:ascii="ITC Avant Garde" w:hAnsi="ITC Avant Garde"/>
        </w:rPr>
        <w:t xml:space="preserve">Se propone realizar adecuaciones en la redacción a fin de considerar </w:t>
      </w:r>
      <w:r w:rsidRPr="00227203">
        <w:rPr>
          <w:rFonts w:ascii="ITC Avant Garde" w:hAnsi="ITC Avant Garde"/>
        </w:rPr>
        <w:t>los elementos de información</w:t>
      </w:r>
      <w:r w:rsidRPr="000E4750">
        <w:rPr>
          <w:rFonts w:ascii="ITC Avant Garde" w:hAnsi="ITC Avant Garde"/>
        </w:rPr>
        <w:t xml:space="preserve"> que no </w:t>
      </w:r>
      <w:r w:rsidRPr="00227203">
        <w:rPr>
          <w:rFonts w:ascii="ITC Avant Garde" w:hAnsi="ITC Avant Garde"/>
        </w:rPr>
        <w:t>son estáticos</w:t>
      </w:r>
      <w:r w:rsidR="00D30973" w:rsidRPr="00227203">
        <w:rPr>
          <w:rFonts w:ascii="ITC Avant Garde" w:hAnsi="ITC Avant Garde"/>
        </w:rPr>
        <w:t xml:space="preserve"> o son factores ajenos al proveedor</w:t>
      </w:r>
      <w:r w:rsidRPr="000E4750">
        <w:rPr>
          <w:rFonts w:ascii="ITC Avant Garde" w:hAnsi="ITC Avant Garde"/>
        </w:rPr>
        <w:t>, así como considerar que e</w:t>
      </w:r>
      <w:r w:rsidR="00D30973" w:rsidRPr="000E4750">
        <w:rPr>
          <w:rFonts w:ascii="ITC Avant Garde" w:hAnsi="ITC Avant Garde"/>
        </w:rPr>
        <w:t>l proveedor es quien comprobará</w:t>
      </w:r>
      <w:r w:rsidRPr="000E4750">
        <w:rPr>
          <w:rFonts w:ascii="ITC Avant Garde" w:hAnsi="ITC Avant Garde"/>
        </w:rPr>
        <w:t xml:space="preserve"> que la información o publicidad sea veraz, comprobable y clara.</w:t>
      </w:r>
    </w:p>
    <w:p w:rsidR="00C034D2" w:rsidRPr="000E4750" w:rsidRDefault="00C034D2" w:rsidP="00B361C0">
      <w:pPr>
        <w:spacing w:after="0"/>
        <w:jc w:val="both"/>
        <w:rPr>
          <w:rFonts w:ascii="ITC Avant Garde" w:hAnsi="ITC Avant Garde"/>
        </w:rPr>
      </w:pPr>
    </w:p>
    <w:p w:rsidR="00B361C0" w:rsidRPr="000E4750" w:rsidRDefault="00B361C0" w:rsidP="00B361C0">
      <w:pPr>
        <w:spacing w:after="0"/>
        <w:jc w:val="both"/>
        <w:rPr>
          <w:rFonts w:ascii="ITC Avant Garde" w:hAnsi="ITC Avant Garde"/>
          <w:i/>
          <w:u w:val="single"/>
        </w:rPr>
      </w:pPr>
      <w:r w:rsidRPr="000E4750">
        <w:rPr>
          <w:rFonts w:ascii="ITC Avant Garde" w:hAnsi="ITC Avant Garde"/>
          <w:i/>
          <w:u w:val="single"/>
        </w:rPr>
        <w:t>Consideraciones</w:t>
      </w:r>
    </w:p>
    <w:p w:rsidR="00B361C0" w:rsidRPr="000E4750" w:rsidRDefault="00B361C0" w:rsidP="00B361C0">
      <w:pPr>
        <w:spacing w:after="0"/>
        <w:jc w:val="both"/>
        <w:rPr>
          <w:rFonts w:ascii="ITC Avant Garde" w:hAnsi="ITC Avant Garde"/>
          <w:b/>
        </w:rPr>
      </w:pPr>
    </w:p>
    <w:p w:rsidR="00142619" w:rsidRPr="000E4750" w:rsidRDefault="00B20C62" w:rsidP="00B361C0">
      <w:pPr>
        <w:spacing w:after="0"/>
        <w:jc w:val="both"/>
        <w:rPr>
          <w:rFonts w:ascii="ITC Avant Garde" w:hAnsi="ITC Avant Garde"/>
        </w:rPr>
      </w:pPr>
      <w:r>
        <w:rPr>
          <w:rFonts w:ascii="ITC Avant Garde" w:hAnsi="ITC Avant Garde"/>
        </w:rPr>
        <w:t>Atendiendo a las modificaciones efectuadas al proyecto derivado de los comentarios recibidos y con la finalidad de evitar la inclusión de términos que puedan generar incertidumbre jurídica, se consideró</w:t>
      </w:r>
      <w:r w:rsidR="00142619" w:rsidRPr="000E4750">
        <w:rPr>
          <w:rFonts w:ascii="ITC Avant Garde" w:hAnsi="ITC Avant Garde"/>
        </w:rPr>
        <w:t xml:space="preserve"> </w:t>
      </w:r>
      <w:r>
        <w:rPr>
          <w:rFonts w:ascii="ITC Avant Garde" w:hAnsi="ITC Avant Garde"/>
        </w:rPr>
        <w:t>conveniente eliminar la definición en el proyecto de Lineamientos</w:t>
      </w:r>
      <w:r w:rsidR="00142619" w:rsidRPr="000E4750">
        <w:rPr>
          <w:rFonts w:ascii="ITC Avant Garde" w:hAnsi="ITC Avant Garde"/>
        </w:rPr>
        <w:t>.</w:t>
      </w:r>
    </w:p>
    <w:p w:rsidR="00D30973" w:rsidRPr="000E4750" w:rsidRDefault="00D30973" w:rsidP="00B361C0">
      <w:pPr>
        <w:spacing w:after="0"/>
        <w:jc w:val="both"/>
        <w:rPr>
          <w:rFonts w:ascii="ITC Avant Garde" w:hAnsi="ITC Avant Garde"/>
        </w:rPr>
      </w:pPr>
    </w:p>
    <w:p w:rsidR="00B361C0" w:rsidRPr="000E4750" w:rsidRDefault="00B361C0" w:rsidP="00464DB4">
      <w:pPr>
        <w:pStyle w:val="Prrafodelista"/>
        <w:numPr>
          <w:ilvl w:val="0"/>
          <w:numId w:val="5"/>
        </w:numPr>
        <w:spacing w:after="0"/>
        <w:jc w:val="both"/>
        <w:rPr>
          <w:rFonts w:ascii="ITC Avant Garde" w:hAnsi="ITC Avant Garde"/>
          <w:b/>
        </w:rPr>
      </w:pPr>
      <w:r w:rsidRPr="000E4750">
        <w:rPr>
          <w:rFonts w:ascii="ITC Avant Garde" w:hAnsi="ITC Avant Garde"/>
          <w:b/>
        </w:rPr>
        <w:t xml:space="preserve">ARTÍCULO 2 FRACCIÓN </w:t>
      </w:r>
      <w:r w:rsidR="00051988" w:rsidRPr="000E4750">
        <w:rPr>
          <w:rFonts w:ascii="ITC Avant Garde" w:hAnsi="ITC Avant Garde"/>
          <w:b/>
        </w:rPr>
        <w:t>X</w:t>
      </w:r>
      <w:r w:rsidRPr="000E4750">
        <w:rPr>
          <w:rFonts w:ascii="ITC Avant Garde" w:hAnsi="ITC Avant Garde"/>
          <w:b/>
        </w:rPr>
        <w:t>.</w:t>
      </w:r>
    </w:p>
    <w:p w:rsidR="00B361C0" w:rsidRPr="00186730" w:rsidRDefault="00B361C0" w:rsidP="00B361C0">
      <w:pPr>
        <w:spacing w:after="0"/>
        <w:jc w:val="both"/>
        <w:rPr>
          <w:rFonts w:ascii="ITC Avant Garde" w:hAnsi="ITC Avant Garde"/>
        </w:rPr>
      </w:pPr>
    </w:p>
    <w:p w:rsidR="00B361C0" w:rsidRPr="000E4750" w:rsidRDefault="00051988" w:rsidP="00B361C0">
      <w:pPr>
        <w:spacing w:after="0"/>
        <w:jc w:val="both"/>
        <w:rPr>
          <w:rFonts w:ascii="ITC Avant Garde" w:hAnsi="ITC Avant Garde"/>
        </w:rPr>
      </w:pPr>
      <w:r w:rsidRPr="000E4750">
        <w:rPr>
          <w:rFonts w:ascii="ITC Avant Garde" w:hAnsi="ITC Avant Garde"/>
        </w:rPr>
        <w:t>La industria propone homologar las definiciones de “Oferta” y “Promoción”, o bien eliminar el primero y dejar únicamente “Promoción”, tomando en consideración lo establecido en el artículo 46 de la Ley Federal de Protección al Consumidor</w:t>
      </w:r>
      <w:r w:rsidR="003522C2" w:rsidRPr="000E4750">
        <w:rPr>
          <w:rFonts w:ascii="ITC Avant Garde" w:hAnsi="ITC Avant Garde"/>
        </w:rPr>
        <w:t xml:space="preserve"> (LFPC)</w:t>
      </w:r>
      <w:r w:rsidRPr="000E4750">
        <w:rPr>
          <w:rFonts w:ascii="ITC Avant Garde" w:hAnsi="ITC Avant Garde"/>
        </w:rPr>
        <w:t>.</w:t>
      </w:r>
    </w:p>
    <w:p w:rsidR="00B361C0" w:rsidRPr="000E4750" w:rsidRDefault="00B361C0" w:rsidP="00B361C0">
      <w:pPr>
        <w:spacing w:after="0"/>
        <w:jc w:val="both"/>
        <w:rPr>
          <w:rFonts w:ascii="ITC Avant Garde" w:hAnsi="ITC Avant Garde"/>
        </w:rPr>
      </w:pPr>
    </w:p>
    <w:p w:rsidR="00B361C0" w:rsidRPr="000E4750" w:rsidRDefault="00B361C0" w:rsidP="00B361C0">
      <w:pPr>
        <w:spacing w:after="0"/>
        <w:jc w:val="both"/>
        <w:rPr>
          <w:rFonts w:ascii="ITC Avant Garde" w:hAnsi="ITC Avant Garde"/>
          <w:i/>
          <w:u w:val="single"/>
        </w:rPr>
      </w:pPr>
      <w:r w:rsidRPr="000E4750">
        <w:rPr>
          <w:rFonts w:ascii="ITC Avant Garde" w:hAnsi="ITC Avant Garde"/>
          <w:i/>
          <w:u w:val="single"/>
        </w:rPr>
        <w:t>Consideraciones</w:t>
      </w:r>
    </w:p>
    <w:p w:rsidR="00B361C0" w:rsidRPr="00186730" w:rsidRDefault="00B361C0" w:rsidP="00B361C0">
      <w:pPr>
        <w:spacing w:after="0"/>
        <w:jc w:val="both"/>
        <w:rPr>
          <w:rFonts w:ascii="ITC Avant Garde" w:hAnsi="ITC Avant Garde"/>
        </w:rPr>
      </w:pPr>
    </w:p>
    <w:p w:rsidR="00B361C0" w:rsidRPr="000E4750" w:rsidRDefault="00204DD8" w:rsidP="00B361C0">
      <w:pPr>
        <w:spacing w:after="0"/>
        <w:jc w:val="both"/>
        <w:rPr>
          <w:rFonts w:ascii="ITC Avant Garde" w:hAnsi="ITC Avant Garde"/>
        </w:rPr>
      </w:pPr>
      <w:r>
        <w:rPr>
          <w:rFonts w:ascii="ITC Avant Garde" w:hAnsi="ITC Avant Garde"/>
        </w:rPr>
        <w:t>T</w:t>
      </w:r>
      <w:r w:rsidRPr="000E4750">
        <w:rPr>
          <w:rFonts w:ascii="ITC Avant Garde" w:hAnsi="ITC Avant Garde"/>
        </w:rPr>
        <w:t>omando en consideración lo establecido en el artículo 46 de la Ley Federal de Protección al Consumidor (LFPC)</w:t>
      </w:r>
      <w:r>
        <w:rPr>
          <w:rFonts w:ascii="ITC Avant Garde" w:hAnsi="ITC Avant Garde"/>
        </w:rPr>
        <w:t>, s</w:t>
      </w:r>
      <w:r w:rsidR="00051988" w:rsidRPr="000E4750">
        <w:rPr>
          <w:rFonts w:ascii="ITC Avant Garde" w:hAnsi="ITC Avant Garde"/>
        </w:rPr>
        <w:t>e considera pertinente atender las observaciones emitidas, por ende, se elimina</w:t>
      </w:r>
      <w:r>
        <w:rPr>
          <w:rFonts w:ascii="ITC Avant Garde" w:hAnsi="ITC Avant Garde"/>
        </w:rPr>
        <w:t>n</w:t>
      </w:r>
      <w:r w:rsidR="00051988" w:rsidRPr="000E4750">
        <w:rPr>
          <w:rFonts w:ascii="ITC Avant Garde" w:hAnsi="ITC Avant Garde"/>
        </w:rPr>
        <w:t xml:space="preserve"> la</w:t>
      </w:r>
      <w:r>
        <w:rPr>
          <w:rFonts w:ascii="ITC Avant Garde" w:hAnsi="ITC Avant Garde"/>
        </w:rPr>
        <w:t>s definiciones</w:t>
      </w:r>
      <w:r w:rsidR="00EF74DD">
        <w:rPr>
          <w:rFonts w:ascii="ITC Avant Garde" w:hAnsi="ITC Avant Garde"/>
        </w:rPr>
        <w:t xml:space="preserve"> de “Oferta”</w:t>
      </w:r>
      <w:r w:rsidR="00051988" w:rsidRPr="000E4750">
        <w:rPr>
          <w:rFonts w:ascii="ITC Avant Garde" w:hAnsi="ITC Avant Garde"/>
        </w:rPr>
        <w:t xml:space="preserve"> y “</w:t>
      </w:r>
      <w:r w:rsidR="00B20C62" w:rsidRPr="000E4750">
        <w:rPr>
          <w:rFonts w:ascii="ITC Avant Garde" w:hAnsi="ITC Avant Garde"/>
        </w:rPr>
        <w:t>Promocion</w:t>
      </w:r>
      <w:r w:rsidR="00B20C62">
        <w:rPr>
          <w:rFonts w:ascii="ITC Avant Garde" w:hAnsi="ITC Avant Garde"/>
        </w:rPr>
        <w:t>es</w:t>
      </w:r>
      <w:r w:rsidR="00051988" w:rsidRPr="000E4750">
        <w:rPr>
          <w:rFonts w:ascii="ITC Avant Garde" w:hAnsi="ITC Avant Garde"/>
        </w:rPr>
        <w:t>”</w:t>
      </w:r>
      <w:r>
        <w:rPr>
          <w:rFonts w:ascii="ITC Avant Garde" w:hAnsi="ITC Avant Garde"/>
        </w:rPr>
        <w:t>.</w:t>
      </w:r>
    </w:p>
    <w:p w:rsidR="00051988" w:rsidRPr="000E4750" w:rsidRDefault="00051988" w:rsidP="00B361C0">
      <w:pPr>
        <w:spacing w:after="0"/>
        <w:jc w:val="both"/>
        <w:rPr>
          <w:rFonts w:ascii="ITC Avant Garde" w:hAnsi="ITC Avant Garde"/>
        </w:rPr>
      </w:pPr>
    </w:p>
    <w:p w:rsidR="00051988" w:rsidRPr="000E4750" w:rsidRDefault="00051988" w:rsidP="00464DB4">
      <w:pPr>
        <w:pStyle w:val="Prrafodelista"/>
        <w:numPr>
          <w:ilvl w:val="0"/>
          <w:numId w:val="5"/>
        </w:numPr>
        <w:spacing w:after="0"/>
        <w:jc w:val="both"/>
        <w:rPr>
          <w:rFonts w:ascii="ITC Avant Garde" w:hAnsi="ITC Avant Garde"/>
          <w:b/>
        </w:rPr>
      </w:pPr>
      <w:r w:rsidRPr="000E4750">
        <w:rPr>
          <w:rFonts w:ascii="ITC Avant Garde" w:hAnsi="ITC Avant Garde"/>
          <w:b/>
        </w:rPr>
        <w:t xml:space="preserve">ARTÍCULO 2 FRACCIÓN </w:t>
      </w:r>
      <w:r w:rsidR="00C95FF7" w:rsidRPr="000E4750">
        <w:rPr>
          <w:rFonts w:ascii="ITC Avant Garde" w:hAnsi="ITC Avant Garde"/>
          <w:b/>
        </w:rPr>
        <w:t>XI</w:t>
      </w:r>
      <w:r w:rsidRPr="000E4750">
        <w:rPr>
          <w:rFonts w:ascii="ITC Avant Garde" w:hAnsi="ITC Avant Garde"/>
          <w:b/>
        </w:rPr>
        <w:t>.</w:t>
      </w:r>
    </w:p>
    <w:p w:rsidR="00051988" w:rsidRPr="00186730" w:rsidRDefault="00051988" w:rsidP="00051988">
      <w:pPr>
        <w:spacing w:after="0"/>
        <w:jc w:val="both"/>
        <w:rPr>
          <w:rFonts w:ascii="ITC Avant Garde" w:hAnsi="ITC Avant Garde"/>
        </w:rPr>
      </w:pPr>
    </w:p>
    <w:p w:rsidR="00051988" w:rsidRPr="000E4750" w:rsidRDefault="004D1D23" w:rsidP="00051988">
      <w:pPr>
        <w:spacing w:after="0"/>
        <w:jc w:val="both"/>
        <w:rPr>
          <w:rFonts w:ascii="ITC Avant Garde" w:hAnsi="ITC Avant Garde"/>
        </w:rPr>
      </w:pPr>
      <w:r w:rsidRPr="000E4750">
        <w:rPr>
          <w:rFonts w:ascii="ITC Avant Garde" w:hAnsi="ITC Avant Garde"/>
        </w:rPr>
        <w:t>Dentro de las participaciones recibidas, se propone se haga referencia a la LFTR y a la LFPC en la definición de penas convencionales.</w:t>
      </w:r>
    </w:p>
    <w:p w:rsidR="00051988" w:rsidRPr="000E4750" w:rsidRDefault="00051988" w:rsidP="00051988">
      <w:pPr>
        <w:spacing w:after="0"/>
        <w:jc w:val="both"/>
        <w:rPr>
          <w:rFonts w:ascii="ITC Avant Garde" w:hAnsi="ITC Avant Garde"/>
        </w:rPr>
      </w:pPr>
    </w:p>
    <w:p w:rsidR="00051988" w:rsidRPr="000E4750" w:rsidRDefault="00051988" w:rsidP="00051988">
      <w:pPr>
        <w:spacing w:after="0"/>
        <w:jc w:val="both"/>
        <w:rPr>
          <w:rFonts w:ascii="ITC Avant Garde" w:hAnsi="ITC Avant Garde"/>
          <w:i/>
          <w:u w:val="single"/>
        </w:rPr>
      </w:pPr>
      <w:r w:rsidRPr="000E4750">
        <w:rPr>
          <w:rFonts w:ascii="ITC Avant Garde" w:hAnsi="ITC Avant Garde"/>
          <w:i/>
          <w:u w:val="single"/>
        </w:rPr>
        <w:t>Consideraciones</w:t>
      </w:r>
    </w:p>
    <w:p w:rsidR="00051988" w:rsidRPr="00186730" w:rsidRDefault="00051988" w:rsidP="00051988">
      <w:pPr>
        <w:spacing w:after="0"/>
        <w:jc w:val="both"/>
        <w:rPr>
          <w:rFonts w:ascii="ITC Avant Garde" w:hAnsi="ITC Avant Garde"/>
        </w:rPr>
      </w:pPr>
    </w:p>
    <w:p w:rsidR="00051988" w:rsidRPr="000E4750" w:rsidRDefault="004D1D23" w:rsidP="00051988">
      <w:pPr>
        <w:spacing w:after="0"/>
        <w:jc w:val="both"/>
        <w:rPr>
          <w:rFonts w:ascii="ITC Avant Garde" w:hAnsi="ITC Avant Garde"/>
        </w:rPr>
      </w:pPr>
      <w:r w:rsidRPr="000E4750">
        <w:rPr>
          <w:rFonts w:ascii="ITC Avant Garde" w:hAnsi="ITC Avant Garde"/>
        </w:rPr>
        <w:t>Se considera pertinente mantener</w:t>
      </w:r>
      <w:r w:rsidR="00204DD8">
        <w:rPr>
          <w:rFonts w:ascii="ITC Avant Garde" w:hAnsi="ITC Avant Garde"/>
        </w:rPr>
        <w:t xml:space="preserve"> parte de</w:t>
      </w:r>
      <w:r w:rsidRPr="000E4750">
        <w:rPr>
          <w:rFonts w:ascii="ITC Avant Garde" w:hAnsi="ITC Avant Garde"/>
        </w:rPr>
        <w:t xml:space="preserve"> la redacción, </w:t>
      </w:r>
      <w:r w:rsidR="009375AA">
        <w:rPr>
          <w:rFonts w:ascii="ITC Avant Garde" w:hAnsi="ITC Avant Garde"/>
        </w:rPr>
        <w:t>atendiendo a</w:t>
      </w:r>
      <w:r w:rsidRPr="000E4750">
        <w:rPr>
          <w:rFonts w:ascii="ITC Avant Garde" w:hAnsi="ITC Avant Garde"/>
        </w:rPr>
        <w:t xml:space="preserve"> </w:t>
      </w:r>
      <w:r w:rsidR="00030EA4">
        <w:rPr>
          <w:rFonts w:ascii="ITC Avant Garde" w:hAnsi="ITC Avant Garde"/>
        </w:rPr>
        <w:t xml:space="preserve">que </w:t>
      </w:r>
      <w:r w:rsidRPr="000E4750">
        <w:rPr>
          <w:rFonts w:ascii="ITC Avant Garde" w:hAnsi="ITC Avant Garde"/>
        </w:rPr>
        <w:t>las disposiciones legales cita</w:t>
      </w:r>
      <w:r w:rsidR="00030EA4">
        <w:rPr>
          <w:rFonts w:ascii="ITC Avant Garde" w:hAnsi="ITC Avant Garde"/>
        </w:rPr>
        <w:t>das</w:t>
      </w:r>
      <w:r w:rsidR="009375AA">
        <w:rPr>
          <w:rFonts w:ascii="ITC Avant Garde" w:hAnsi="ITC Avant Garde"/>
        </w:rPr>
        <w:t xml:space="preserve"> no contienen una definición de “penas convencionales”</w:t>
      </w:r>
      <w:r w:rsidRPr="000E4750">
        <w:rPr>
          <w:rFonts w:ascii="ITC Avant Garde" w:hAnsi="ITC Avant Garde"/>
        </w:rPr>
        <w:t>, asimismo, con la finalidad de no establecer en los Lineamientos las características que deberán cumplir las penas convencionales</w:t>
      </w:r>
      <w:r w:rsidR="00030EA4">
        <w:rPr>
          <w:rFonts w:ascii="ITC Avant Garde" w:hAnsi="ITC Avant Garde"/>
        </w:rPr>
        <w:t>,</w:t>
      </w:r>
      <w:r w:rsidRPr="000E4750">
        <w:rPr>
          <w:rFonts w:ascii="ITC Avant Garde" w:hAnsi="ITC Avant Garde"/>
        </w:rPr>
        <w:t xml:space="preserve"> toda vez que no es el objeto del proyecto.</w:t>
      </w:r>
    </w:p>
    <w:p w:rsidR="00051988" w:rsidRPr="000E4750" w:rsidRDefault="00051988" w:rsidP="00051988">
      <w:pPr>
        <w:spacing w:after="0"/>
        <w:jc w:val="both"/>
        <w:rPr>
          <w:rFonts w:ascii="ITC Avant Garde" w:hAnsi="ITC Avant Garde"/>
        </w:rPr>
      </w:pPr>
    </w:p>
    <w:p w:rsidR="00051988" w:rsidRPr="000E4750" w:rsidRDefault="00051988" w:rsidP="00464DB4">
      <w:pPr>
        <w:pStyle w:val="Prrafodelista"/>
        <w:numPr>
          <w:ilvl w:val="0"/>
          <w:numId w:val="5"/>
        </w:numPr>
        <w:spacing w:after="0"/>
        <w:jc w:val="both"/>
        <w:rPr>
          <w:rFonts w:ascii="ITC Avant Garde" w:hAnsi="ITC Avant Garde"/>
          <w:b/>
        </w:rPr>
      </w:pPr>
      <w:r w:rsidRPr="000E4750">
        <w:rPr>
          <w:rFonts w:ascii="ITC Avant Garde" w:hAnsi="ITC Avant Garde"/>
          <w:b/>
        </w:rPr>
        <w:t xml:space="preserve">ARTÍCULO 2 FRACCIÓN </w:t>
      </w:r>
      <w:r w:rsidR="00CF2F0A" w:rsidRPr="000E4750">
        <w:rPr>
          <w:rFonts w:ascii="ITC Avant Garde" w:hAnsi="ITC Avant Garde"/>
          <w:b/>
        </w:rPr>
        <w:t>XII</w:t>
      </w:r>
      <w:r w:rsidRPr="000E4750">
        <w:rPr>
          <w:rFonts w:ascii="ITC Avant Garde" w:hAnsi="ITC Avant Garde"/>
          <w:b/>
        </w:rPr>
        <w:t>.</w:t>
      </w:r>
    </w:p>
    <w:p w:rsidR="00051988" w:rsidRPr="000E4750" w:rsidRDefault="00051988" w:rsidP="00051988">
      <w:pPr>
        <w:spacing w:after="0"/>
        <w:jc w:val="both"/>
        <w:rPr>
          <w:rFonts w:ascii="ITC Avant Garde" w:hAnsi="ITC Avant Garde"/>
          <w:b/>
        </w:rPr>
      </w:pPr>
    </w:p>
    <w:p w:rsidR="00051988" w:rsidRPr="000E4750" w:rsidRDefault="00CF2F0A" w:rsidP="00051988">
      <w:pPr>
        <w:spacing w:after="0"/>
        <w:jc w:val="both"/>
        <w:rPr>
          <w:rFonts w:ascii="ITC Avant Garde" w:hAnsi="ITC Avant Garde"/>
        </w:rPr>
      </w:pPr>
      <w:r w:rsidRPr="000E4750">
        <w:rPr>
          <w:rFonts w:ascii="ITC Avant Garde" w:hAnsi="ITC Avant Garde"/>
        </w:rPr>
        <w:t>La industria propone realizar una adecuación en la red</w:t>
      </w:r>
      <w:r w:rsidR="002979CE">
        <w:rPr>
          <w:rFonts w:ascii="ITC Avant Garde" w:hAnsi="ITC Avant Garde"/>
        </w:rPr>
        <w:t>acción</w:t>
      </w:r>
      <w:r w:rsidR="008765EC">
        <w:rPr>
          <w:rFonts w:ascii="ITC Avant Garde" w:hAnsi="ITC Avant Garde"/>
        </w:rPr>
        <w:t xml:space="preserve"> de la definición de “Planes o paquetes”</w:t>
      </w:r>
      <w:r w:rsidR="002979CE">
        <w:rPr>
          <w:rFonts w:ascii="ITC Avant Garde" w:hAnsi="ITC Avant Garde"/>
        </w:rPr>
        <w:t>, consistente en adicionar</w:t>
      </w:r>
      <w:r w:rsidRPr="000E4750">
        <w:rPr>
          <w:rFonts w:ascii="ITC Avant Garde" w:hAnsi="ITC Avant Garde"/>
        </w:rPr>
        <w:t xml:space="preserve"> la característica “individual”.</w:t>
      </w:r>
    </w:p>
    <w:p w:rsidR="00051988" w:rsidRPr="000E4750" w:rsidRDefault="00051988" w:rsidP="00051988">
      <w:pPr>
        <w:spacing w:after="0"/>
        <w:jc w:val="both"/>
        <w:rPr>
          <w:rFonts w:ascii="ITC Avant Garde" w:hAnsi="ITC Avant Garde"/>
        </w:rPr>
      </w:pPr>
    </w:p>
    <w:p w:rsidR="00051988" w:rsidRPr="000E4750" w:rsidRDefault="00051988" w:rsidP="00051988">
      <w:pPr>
        <w:spacing w:after="0"/>
        <w:jc w:val="both"/>
        <w:rPr>
          <w:rFonts w:ascii="ITC Avant Garde" w:hAnsi="ITC Avant Garde"/>
          <w:i/>
          <w:u w:val="single"/>
        </w:rPr>
      </w:pPr>
      <w:r w:rsidRPr="000E4750">
        <w:rPr>
          <w:rFonts w:ascii="ITC Avant Garde" w:hAnsi="ITC Avant Garde"/>
          <w:i/>
          <w:u w:val="single"/>
        </w:rPr>
        <w:t>Consideraciones</w:t>
      </w:r>
    </w:p>
    <w:p w:rsidR="00051988" w:rsidRPr="000E4750" w:rsidRDefault="00051988" w:rsidP="00051988">
      <w:pPr>
        <w:spacing w:after="0"/>
        <w:jc w:val="both"/>
        <w:rPr>
          <w:rFonts w:ascii="ITC Avant Garde" w:hAnsi="ITC Avant Garde"/>
          <w:b/>
        </w:rPr>
      </w:pPr>
    </w:p>
    <w:p w:rsidR="00051988" w:rsidRPr="000E4750" w:rsidRDefault="00030EA4" w:rsidP="00051988">
      <w:pPr>
        <w:spacing w:after="0"/>
        <w:jc w:val="both"/>
        <w:rPr>
          <w:rFonts w:ascii="ITC Avant Garde" w:hAnsi="ITC Avant Garde"/>
        </w:rPr>
      </w:pPr>
      <w:r>
        <w:rPr>
          <w:rFonts w:ascii="ITC Avant Garde" w:hAnsi="ITC Avant Garde"/>
        </w:rPr>
        <w:t>Atendiendo al comentario</w:t>
      </w:r>
      <w:r w:rsidR="00CF2F0A" w:rsidRPr="000E4750">
        <w:rPr>
          <w:rFonts w:ascii="ITC Avant Garde" w:hAnsi="ITC Avant Garde"/>
        </w:rPr>
        <w:t xml:space="preserve"> y </w:t>
      </w:r>
      <w:r w:rsidR="00BC616C" w:rsidRPr="000E4750">
        <w:rPr>
          <w:rFonts w:ascii="ITC Avant Garde" w:hAnsi="ITC Avant Garde"/>
        </w:rPr>
        <w:t xml:space="preserve">con la finalidad de dar mayor claridad se realiza la separación de las definiciones de plan y paquete en el proyecto </w:t>
      </w:r>
      <w:r w:rsidR="00CF2F0A" w:rsidRPr="000E4750">
        <w:rPr>
          <w:rFonts w:ascii="ITC Avant Garde" w:hAnsi="ITC Avant Garde"/>
        </w:rPr>
        <w:t>de Lineamientos.</w:t>
      </w:r>
    </w:p>
    <w:p w:rsidR="00B361C0" w:rsidRPr="000E4750" w:rsidRDefault="00B361C0" w:rsidP="00B361C0">
      <w:pPr>
        <w:pStyle w:val="Prrafodelista"/>
        <w:spacing w:after="0"/>
        <w:ind w:left="1080"/>
        <w:jc w:val="both"/>
        <w:rPr>
          <w:rFonts w:ascii="ITC Avant Garde" w:hAnsi="ITC Avant Garde"/>
          <w:b/>
        </w:rPr>
      </w:pPr>
    </w:p>
    <w:p w:rsidR="00CF2F0A" w:rsidRPr="000E4750" w:rsidRDefault="00CF2F0A"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 2 FRACCIÓN XII</w:t>
      </w:r>
      <w:r w:rsidR="000F48CC" w:rsidRPr="000E4750">
        <w:rPr>
          <w:rFonts w:ascii="ITC Avant Garde" w:hAnsi="ITC Avant Garde"/>
          <w:b/>
        </w:rPr>
        <w:t>I</w:t>
      </w:r>
      <w:r w:rsidRPr="000E4750">
        <w:rPr>
          <w:rFonts w:ascii="ITC Avant Garde" w:hAnsi="ITC Avant Garde"/>
          <w:b/>
        </w:rPr>
        <w:t>.</w:t>
      </w:r>
    </w:p>
    <w:p w:rsidR="00CF2F0A" w:rsidRPr="000E4750" w:rsidRDefault="00CF2F0A" w:rsidP="00CF2F0A">
      <w:pPr>
        <w:spacing w:after="0"/>
        <w:jc w:val="both"/>
        <w:rPr>
          <w:rFonts w:ascii="ITC Avant Garde" w:hAnsi="ITC Avant Garde"/>
          <w:b/>
        </w:rPr>
      </w:pPr>
    </w:p>
    <w:p w:rsidR="00CF2F0A" w:rsidRPr="000E4750" w:rsidRDefault="000F48CC" w:rsidP="00CF2F0A">
      <w:pPr>
        <w:spacing w:after="0"/>
        <w:jc w:val="both"/>
        <w:rPr>
          <w:rFonts w:ascii="ITC Avant Garde" w:hAnsi="ITC Avant Garde"/>
        </w:rPr>
      </w:pPr>
      <w:r w:rsidRPr="000E4750">
        <w:rPr>
          <w:rFonts w:ascii="ITC Avant Garde" w:hAnsi="ITC Avant Garde"/>
        </w:rPr>
        <w:t>La industria señala que el plazo forzoso no necesariamente se establece en los contratos de adhesión, asimismo, la PROFECO propone se incluya en la definición el equipo terminal</w:t>
      </w:r>
      <w:r w:rsidR="00686D5A" w:rsidRPr="000E4750">
        <w:rPr>
          <w:rFonts w:ascii="ITC Avant Garde" w:hAnsi="ITC Avant Garde"/>
        </w:rPr>
        <w:t xml:space="preserve"> dentro de la definición de plazo forzoso y adicionar que el plazo deberá ser justificado.</w:t>
      </w:r>
    </w:p>
    <w:p w:rsidR="00CF2F0A" w:rsidRPr="000E4750" w:rsidRDefault="00CF2F0A" w:rsidP="00CF2F0A">
      <w:pPr>
        <w:spacing w:after="0"/>
        <w:jc w:val="both"/>
        <w:rPr>
          <w:rFonts w:ascii="ITC Avant Garde" w:hAnsi="ITC Avant Garde"/>
        </w:rPr>
      </w:pPr>
    </w:p>
    <w:p w:rsidR="00CF2F0A" w:rsidRPr="000E4750" w:rsidRDefault="00CF2F0A" w:rsidP="00CF2F0A">
      <w:pPr>
        <w:spacing w:after="0"/>
        <w:jc w:val="both"/>
        <w:rPr>
          <w:rFonts w:ascii="ITC Avant Garde" w:hAnsi="ITC Avant Garde"/>
          <w:i/>
          <w:u w:val="single"/>
        </w:rPr>
      </w:pPr>
      <w:r w:rsidRPr="000E4750">
        <w:rPr>
          <w:rFonts w:ascii="ITC Avant Garde" w:hAnsi="ITC Avant Garde"/>
          <w:i/>
          <w:u w:val="single"/>
        </w:rPr>
        <w:t>Consideraciones</w:t>
      </w:r>
    </w:p>
    <w:p w:rsidR="00CF2F0A" w:rsidRPr="000E4750" w:rsidRDefault="00CF2F0A" w:rsidP="00CF2F0A">
      <w:pPr>
        <w:spacing w:after="0"/>
        <w:jc w:val="both"/>
        <w:rPr>
          <w:rFonts w:ascii="ITC Avant Garde" w:hAnsi="ITC Avant Garde"/>
          <w:b/>
        </w:rPr>
      </w:pPr>
    </w:p>
    <w:p w:rsidR="00CF2F0A" w:rsidRPr="000E4750" w:rsidRDefault="000F48CC" w:rsidP="00CF2F0A">
      <w:pPr>
        <w:spacing w:after="0"/>
        <w:jc w:val="both"/>
        <w:rPr>
          <w:rFonts w:ascii="ITC Avant Garde" w:hAnsi="ITC Avant Garde"/>
        </w:rPr>
      </w:pPr>
      <w:r w:rsidRPr="000E4750">
        <w:rPr>
          <w:rFonts w:ascii="ITC Avant Garde" w:hAnsi="ITC Avant Garde"/>
        </w:rPr>
        <w:lastRenderedPageBreak/>
        <w:t>Del análisis a los comentarios</w:t>
      </w:r>
      <w:r w:rsidR="005C05D7" w:rsidRPr="000E4750">
        <w:rPr>
          <w:rFonts w:ascii="ITC Avant Garde" w:hAnsi="ITC Avant Garde"/>
        </w:rPr>
        <w:t xml:space="preserve"> y derivado de las adecuaciones efectuadas al proyecto de Lineamientos, se consideró</w:t>
      </w:r>
      <w:r w:rsidRPr="000E4750">
        <w:rPr>
          <w:rFonts w:ascii="ITC Avant Garde" w:hAnsi="ITC Avant Garde"/>
        </w:rPr>
        <w:t xml:space="preserve"> pertinente </w:t>
      </w:r>
      <w:r w:rsidR="005C05D7" w:rsidRPr="000E4750">
        <w:rPr>
          <w:rFonts w:ascii="ITC Avant Garde" w:hAnsi="ITC Avant Garde"/>
        </w:rPr>
        <w:t>su eliminación toda vez que dicho término no es utilizado en las disposiciones que componen el proyecto.</w:t>
      </w:r>
    </w:p>
    <w:p w:rsidR="00686D5A" w:rsidRPr="000E4750" w:rsidRDefault="00686D5A" w:rsidP="00CF2F0A">
      <w:pPr>
        <w:spacing w:after="0"/>
        <w:jc w:val="both"/>
        <w:rPr>
          <w:rFonts w:ascii="ITC Avant Garde" w:hAnsi="ITC Avant Garde"/>
        </w:rPr>
      </w:pPr>
    </w:p>
    <w:p w:rsidR="00CF2F0A" w:rsidRPr="000E4750" w:rsidRDefault="00CF2F0A" w:rsidP="00464DB4">
      <w:pPr>
        <w:pStyle w:val="Prrafodelista"/>
        <w:numPr>
          <w:ilvl w:val="0"/>
          <w:numId w:val="5"/>
        </w:numPr>
        <w:spacing w:after="0"/>
        <w:jc w:val="both"/>
        <w:rPr>
          <w:rFonts w:ascii="ITC Avant Garde" w:hAnsi="ITC Avant Garde"/>
          <w:b/>
        </w:rPr>
      </w:pPr>
      <w:r w:rsidRPr="000E4750">
        <w:rPr>
          <w:rFonts w:ascii="ITC Avant Garde" w:hAnsi="ITC Avant Garde"/>
          <w:b/>
        </w:rPr>
        <w:t xml:space="preserve">ARTÍCULO 2 FRACCIÓN </w:t>
      </w:r>
      <w:r w:rsidR="00686D5A" w:rsidRPr="000E4750">
        <w:rPr>
          <w:rFonts w:ascii="ITC Avant Garde" w:hAnsi="ITC Avant Garde"/>
          <w:b/>
        </w:rPr>
        <w:t>XIV</w:t>
      </w:r>
      <w:r w:rsidRPr="000E4750">
        <w:rPr>
          <w:rFonts w:ascii="ITC Avant Garde" w:hAnsi="ITC Avant Garde"/>
          <w:b/>
        </w:rPr>
        <w:t>.</w:t>
      </w:r>
    </w:p>
    <w:p w:rsidR="00CF2F0A" w:rsidRPr="000E4750" w:rsidRDefault="00CF2F0A" w:rsidP="00CF2F0A">
      <w:pPr>
        <w:spacing w:after="0"/>
        <w:jc w:val="both"/>
        <w:rPr>
          <w:rFonts w:ascii="ITC Avant Garde" w:hAnsi="ITC Avant Garde"/>
          <w:b/>
        </w:rPr>
      </w:pPr>
    </w:p>
    <w:p w:rsidR="00CF2F0A" w:rsidRPr="000E4750" w:rsidRDefault="00A14B19" w:rsidP="00CF2F0A">
      <w:pPr>
        <w:spacing w:after="0"/>
        <w:jc w:val="both"/>
        <w:rPr>
          <w:rFonts w:ascii="ITC Avant Garde" w:hAnsi="ITC Avant Garde"/>
        </w:rPr>
      </w:pPr>
      <w:r w:rsidRPr="000E4750">
        <w:rPr>
          <w:rFonts w:ascii="ITC Avant Garde" w:hAnsi="ITC Avant Garde"/>
        </w:rPr>
        <w:t>Se recibió una propuesta de modificación a la redacción de la definición</w:t>
      </w:r>
      <w:r w:rsidR="00A6568E">
        <w:rPr>
          <w:rFonts w:ascii="ITC Avant Garde" w:hAnsi="ITC Avant Garde"/>
        </w:rPr>
        <w:t xml:space="preserve"> de “Política de uso”</w:t>
      </w:r>
      <w:r w:rsidR="00341772" w:rsidRPr="000E4750">
        <w:rPr>
          <w:rFonts w:ascii="ITC Avant Garde" w:hAnsi="ITC Avant Garde"/>
        </w:rPr>
        <w:t xml:space="preserve"> por parte de la PROFECO</w:t>
      </w:r>
      <w:r w:rsidR="00847991" w:rsidRPr="000E4750">
        <w:rPr>
          <w:rFonts w:ascii="ITC Avant Garde" w:hAnsi="ITC Avant Garde"/>
        </w:rPr>
        <w:t xml:space="preserve">, </w:t>
      </w:r>
      <w:r w:rsidRPr="000E4750">
        <w:rPr>
          <w:rFonts w:ascii="ITC Avant Garde" w:hAnsi="ITC Avant Garde"/>
        </w:rPr>
        <w:t>así como la propuesta de establecer que el Instituto revisará y autorizará</w:t>
      </w:r>
      <w:r w:rsidR="00847991" w:rsidRPr="000E4750">
        <w:rPr>
          <w:rFonts w:ascii="ITC Avant Garde" w:hAnsi="ITC Avant Garde"/>
        </w:rPr>
        <w:t xml:space="preserve"> las políticas de uso</w:t>
      </w:r>
      <w:r w:rsidRPr="000E4750">
        <w:rPr>
          <w:rFonts w:ascii="ITC Avant Garde" w:hAnsi="ITC Avant Garde"/>
        </w:rPr>
        <w:t xml:space="preserve"> a fin de que</w:t>
      </w:r>
      <w:r w:rsidR="00847991" w:rsidRPr="000E4750">
        <w:rPr>
          <w:rFonts w:ascii="ITC Avant Garde" w:hAnsi="ITC Avant Garde"/>
        </w:rPr>
        <w:t xml:space="preserve"> se ajusten al contrato de adhesión.</w:t>
      </w:r>
    </w:p>
    <w:p w:rsidR="00CF2F0A" w:rsidRPr="000E4750" w:rsidRDefault="00CF2F0A" w:rsidP="00CF2F0A">
      <w:pPr>
        <w:spacing w:after="0"/>
        <w:jc w:val="both"/>
        <w:rPr>
          <w:rFonts w:ascii="ITC Avant Garde" w:hAnsi="ITC Avant Garde"/>
        </w:rPr>
      </w:pPr>
    </w:p>
    <w:p w:rsidR="00CF2F0A" w:rsidRPr="000E4750" w:rsidRDefault="00CF2F0A" w:rsidP="00CF2F0A">
      <w:pPr>
        <w:spacing w:after="0"/>
        <w:jc w:val="both"/>
        <w:rPr>
          <w:rFonts w:ascii="ITC Avant Garde" w:hAnsi="ITC Avant Garde"/>
          <w:i/>
          <w:u w:val="single"/>
        </w:rPr>
      </w:pPr>
      <w:r w:rsidRPr="000E4750">
        <w:rPr>
          <w:rFonts w:ascii="ITC Avant Garde" w:hAnsi="ITC Avant Garde"/>
          <w:i/>
          <w:u w:val="single"/>
        </w:rPr>
        <w:t>Consideraciones</w:t>
      </w:r>
    </w:p>
    <w:p w:rsidR="00CF2F0A" w:rsidRPr="000E4750" w:rsidRDefault="00CF2F0A" w:rsidP="00CF2F0A">
      <w:pPr>
        <w:spacing w:after="0"/>
        <w:jc w:val="both"/>
        <w:rPr>
          <w:rFonts w:ascii="ITC Avant Garde" w:hAnsi="ITC Avant Garde"/>
          <w:b/>
        </w:rPr>
      </w:pPr>
    </w:p>
    <w:p w:rsidR="00CF2F0A" w:rsidRPr="000E4750" w:rsidRDefault="00847991" w:rsidP="00CF2F0A">
      <w:pPr>
        <w:spacing w:after="0"/>
        <w:jc w:val="both"/>
        <w:rPr>
          <w:rFonts w:ascii="ITC Avant Garde" w:hAnsi="ITC Avant Garde"/>
        </w:rPr>
      </w:pPr>
      <w:r w:rsidRPr="000E4750">
        <w:rPr>
          <w:rFonts w:ascii="ITC Avant Garde" w:hAnsi="ITC Avant Garde"/>
        </w:rPr>
        <w:t>Es importante señalar que este Instituto actualmente</w:t>
      </w:r>
      <w:r w:rsidR="00A14B19" w:rsidRPr="000E4750">
        <w:rPr>
          <w:rFonts w:ascii="ITC Avant Garde" w:hAnsi="ITC Avant Garde"/>
        </w:rPr>
        <w:t xml:space="preserve"> ya</w:t>
      </w:r>
      <w:r w:rsidRPr="000E4750">
        <w:rPr>
          <w:rFonts w:ascii="ITC Avant Garde" w:hAnsi="ITC Avant Garde"/>
        </w:rPr>
        <w:t xml:space="preserve"> no revisa ni autoriza </w:t>
      </w:r>
      <w:r w:rsidR="00A14B19" w:rsidRPr="000E4750">
        <w:rPr>
          <w:rFonts w:ascii="ITC Avant Garde" w:hAnsi="ITC Avant Garde"/>
        </w:rPr>
        <w:t xml:space="preserve">el contenido de </w:t>
      </w:r>
      <w:r w:rsidRPr="000E4750">
        <w:rPr>
          <w:rFonts w:ascii="ITC Avant Garde" w:hAnsi="ITC Avant Garde"/>
        </w:rPr>
        <w:t>los contratos de adhesión previamente inscritos ante la Procuraduría Federal del Consumidor, motivo por el cual se mantiene la redacci</w:t>
      </w:r>
      <w:r w:rsidR="00C602D1" w:rsidRPr="000E4750">
        <w:rPr>
          <w:rFonts w:ascii="ITC Avant Garde" w:hAnsi="ITC Avant Garde"/>
        </w:rPr>
        <w:t>ón del anteproyecto, pero se reubica</w:t>
      </w:r>
      <w:r w:rsidR="00A14B19" w:rsidRPr="000E4750">
        <w:rPr>
          <w:rFonts w:ascii="ITC Avant Garde" w:hAnsi="ITC Avant Garde"/>
        </w:rPr>
        <w:t xml:space="preserve"> la definición como una obligación en</w:t>
      </w:r>
      <w:r w:rsidR="0076464B">
        <w:rPr>
          <w:rFonts w:ascii="ITC Avant Garde" w:hAnsi="ITC Avant Garde"/>
        </w:rPr>
        <w:t xml:space="preserve"> la fracción IX del artículo 9</w:t>
      </w:r>
      <w:r w:rsidR="00C9766D">
        <w:rPr>
          <w:rFonts w:ascii="ITC Avant Garde" w:hAnsi="ITC Avant Garde"/>
        </w:rPr>
        <w:t xml:space="preserve"> del proyecto de Lineamientos</w:t>
      </w:r>
      <w:r w:rsidR="00A14B19" w:rsidRPr="000E4750">
        <w:rPr>
          <w:rFonts w:ascii="ITC Avant Garde" w:hAnsi="ITC Avant Garde"/>
        </w:rPr>
        <w:t>, con la finalidad de que los concesionarios y autorizados, atendiendo a los criterios establecidos en el proyecto de Lineamientos, publiquen aquella información relacionada con las políticas de uso de los servicios de telecomunicaciones</w:t>
      </w:r>
      <w:r w:rsidR="00C602D1" w:rsidRPr="000E4750">
        <w:rPr>
          <w:rFonts w:ascii="ITC Avant Garde" w:hAnsi="ITC Avant Garde"/>
        </w:rPr>
        <w:t>.</w:t>
      </w:r>
    </w:p>
    <w:p w:rsidR="00341772" w:rsidRPr="000E4750" w:rsidRDefault="00341772" w:rsidP="00CF2F0A">
      <w:pPr>
        <w:spacing w:after="0"/>
        <w:jc w:val="both"/>
        <w:rPr>
          <w:rFonts w:ascii="ITC Avant Garde" w:hAnsi="ITC Avant Garde"/>
        </w:rPr>
      </w:pPr>
    </w:p>
    <w:p w:rsidR="00CF2F0A" w:rsidRPr="000E4750" w:rsidRDefault="00CF2F0A"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 2 FRACCIÓN X</w:t>
      </w:r>
      <w:r w:rsidR="00C602D1" w:rsidRPr="000E4750">
        <w:rPr>
          <w:rFonts w:ascii="ITC Avant Garde" w:hAnsi="ITC Avant Garde"/>
          <w:b/>
        </w:rPr>
        <w:t>V</w:t>
      </w:r>
      <w:r w:rsidRPr="000E4750">
        <w:rPr>
          <w:rFonts w:ascii="ITC Avant Garde" w:hAnsi="ITC Avant Garde"/>
          <w:b/>
        </w:rPr>
        <w:t>.</w:t>
      </w:r>
    </w:p>
    <w:p w:rsidR="00CF2F0A" w:rsidRPr="000E4750" w:rsidRDefault="00CF2F0A" w:rsidP="00CF2F0A">
      <w:pPr>
        <w:spacing w:after="0"/>
        <w:jc w:val="both"/>
        <w:rPr>
          <w:rFonts w:ascii="ITC Avant Garde" w:hAnsi="ITC Avant Garde"/>
          <w:b/>
        </w:rPr>
      </w:pPr>
    </w:p>
    <w:p w:rsidR="00CF2F0A" w:rsidRPr="000E4750" w:rsidRDefault="00E770AC" w:rsidP="00CF2F0A">
      <w:pPr>
        <w:spacing w:after="0"/>
        <w:jc w:val="both"/>
        <w:rPr>
          <w:rFonts w:ascii="ITC Avant Garde" w:hAnsi="ITC Avant Garde"/>
        </w:rPr>
      </w:pPr>
      <w:r w:rsidRPr="000E4750">
        <w:rPr>
          <w:rFonts w:ascii="ITC Avant Garde" w:hAnsi="ITC Avant Garde"/>
        </w:rPr>
        <w:t xml:space="preserve">Se recibieron comentarios por parte de la industria en el sentido </w:t>
      </w:r>
      <w:r w:rsidR="003522C2" w:rsidRPr="000E4750">
        <w:rPr>
          <w:rFonts w:ascii="ITC Avant Garde" w:hAnsi="ITC Avant Garde"/>
        </w:rPr>
        <w:t xml:space="preserve">de realizar precisiones a la definición </w:t>
      </w:r>
      <w:r w:rsidR="00A6568E">
        <w:rPr>
          <w:rFonts w:ascii="ITC Avant Garde" w:hAnsi="ITC Avant Garde"/>
        </w:rPr>
        <w:t xml:space="preserve">de “Promociones” </w:t>
      </w:r>
      <w:r w:rsidR="003522C2" w:rsidRPr="000E4750">
        <w:rPr>
          <w:rFonts w:ascii="ITC Avant Garde" w:hAnsi="ITC Avant Garde"/>
        </w:rPr>
        <w:t>y homologar</w:t>
      </w:r>
      <w:r w:rsidR="00A6568E">
        <w:rPr>
          <w:rFonts w:ascii="ITC Avant Garde" w:hAnsi="ITC Avant Garde"/>
        </w:rPr>
        <w:t>la</w:t>
      </w:r>
      <w:r w:rsidR="003522C2" w:rsidRPr="000E4750">
        <w:rPr>
          <w:rFonts w:ascii="ITC Avant Garde" w:hAnsi="ITC Avant Garde"/>
        </w:rPr>
        <w:t xml:space="preserve"> a la establecida en el artículo 46 de la LFPC</w:t>
      </w:r>
      <w:r w:rsidR="002064A0" w:rsidRPr="000E4750">
        <w:rPr>
          <w:rFonts w:ascii="ITC Avant Garde" w:hAnsi="ITC Avant Garde"/>
        </w:rPr>
        <w:t>, asimismo, se propuso incluir una vigencia determinada e indicar los términos, condiciones y los parámetros que rigen las promociones.</w:t>
      </w:r>
    </w:p>
    <w:p w:rsidR="00CF2F0A" w:rsidRPr="000E4750" w:rsidRDefault="00CF2F0A" w:rsidP="00CF2F0A">
      <w:pPr>
        <w:spacing w:after="0"/>
        <w:jc w:val="both"/>
        <w:rPr>
          <w:rFonts w:ascii="ITC Avant Garde" w:hAnsi="ITC Avant Garde"/>
        </w:rPr>
      </w:pPr>
    </w:p>
    <w:p w:rsidR="00CF2F0A" w:rsidRPr="000E4750" w:rsidRDefault="00CF2F0A" w:rsidP="00CF2F0A">
      <w:pPr>
        <w:spacing w:after="0"/>
        <w:jc w:val="both"/>
        <w:rPr>
          <w:rFonts w:ascii="ITC Avant Garde" w:hAnsi="ITC Avant Garde"/>
          <w:i/>
          <w:u w:val="single"/>
        </w:rPr>
      </w:pPr>
      <w:r w:rsidRPr="000E4750">
        <w:rPr>
          <w:rFonts w:ascii="ITC Avant Garde" w:hAnsi="ITC Avant Garde"/>
          <w:i/>
          <w:u w:val="single"/>
        </w:rPr>
        <w:t>Consideraciones</w:t>
      </w:r>
    </w:p>
    <w:p w:rsidR="0076464B" w:rsidRPr="000E4750" w:rsidRDefault="0076464B" w:rsidP="0076464B">
      <w:pPr>
        <w:spacing w:after="0"/>
        <w:jc w:val="both"/>
        <w:rPr>
          <w:rFonts w:ascii="ITC Avant Garde" w:hAnsi="ITC Avant Garde"/>
        </w:rPr>
      </w:pPr>
      <w:r>
        <w:rPr>
          <w:rFonts w:ascii="ITC Avant Garde" w:hAnsi="ITC Avant Garde"/>
        </w:rPr>
        <w:t>T</w:t>
      </w:r>
      <w:r w:rsidRPr="000E4750">
        <w:rPr>
          <w:rFonts w:ascii="ITC Avant Garde" w:hAnsi="ITC Avant Garde"/>
        </w:rPr>
        <w:t>omando en consideración lo establecido en el artículo 46 de la Ley Federal de Protección al Consumidor</w:t>
      </w:r>
      <w:r>
        <w:rPr>
          <w:rFonts w:ascii="ITC Avant Garde" w:hAnsi="ITC Avant Garde"/>
        </w:rPr>
        <w:t>, s</w:t>
      </w:r>
      <w:r w:rsidRPr="000E4750">
        <w:rPr>
          <w:rFonts w:ascii="ITC Avant Garde" w:hAnsi="ITC Avant Garde"/>
        </w:rPr>
        <w:t>e considera pertinente atender las observaciones emitidas, por ende, se elimina</w:t>
      </w:r>
      <w:r>
        <w:rPr>
          <w:rFonts w:ascii="ITC Avant Garde" w:hAnsi="ITC Avant Garde"/>
        </w:rPr>
        <w:t>n</w:t>
      </w:r>
      <w:r w:rsidRPr="000E4750">
        <w:rPr>
          <w:rFonts w:ascii="ITC Avant Garde" w:hAnsi="ITC Avant Garde"/>
        </w:rPr>
        <w:t xml:space="preserve"> la</w:t>
      </w:r>
      <w:r>
        <w:rPr>
          <w:rFonts w:ascii="ITC Avant Garde" w:hAnsi="ITC Avant Garde"/>
        </w:rPr>
        <w:t>s definiciones de “Oferta”</w:t>
      </w:r>
      <w:r w:rsidRPr="000E4750">
        <w:rPr>
          <w:rFonts w:ascii="ITC Avant Garde" w:hAnsi="ITC Avant Garde"/>
        </w:rPr>
        <w:t xml:space="preserve"> y “Promocion</w:t>
      </w:r>
      <w:r>
        <w:rPr>
          <w:rFonts w:ascii="ITC Avant Garde" w:hAnsi="ITC Avant Garde"/>
        </w:rPr>
        <w:t>es</w:t>
      </w:r>
      <w:r w:rsidRPr="000E4750">
        <w:rPr>
          <w:rFonts w:ascii="ITC Avant Garde" w:hAnsi="ITC Avant Garde"/>
        </w:rPr>
        <w:t>”</w:t>
      </w:r>
      <w:r>
        <w:rPr>
          <w:rFonts w:ascii="ITC Avant Garde" w:hAnsi="ITC Avant Garde"/>
        </w:rPr>
        <w:t>.</w:t>
      </w:r>
    </w:p>
    <w:p w:rsidR="00A6568E" w:rsidRDefault="00A6568E" w:rsidP="00CF2F0A">
      <w:pPr>
        <w:spacing w:after="0"/>
        <w:jc w:val="both"/>
        <w:rPr>
          <w:rFonts w:ascii="ITC Avant Garde" w:hAnsi="ITC Avant Garde"/>
        </w:rPr>
      </w:pPr>
    </w:p>
    <w:p w:rsidR="00A6568E" w:rsidRDefault="00A6568E" w:rsidP="00CF2F0A">
      <w:pPr>
        <w:spacing w:after="0"/>
        <w:jc w:val="both"/>
        <w:rPr>
          <w:rFonts w:ascii="ITC Avant Garde" w:hAnsi="ITC Avant Garde"/>
        </w:rPr>
      </w:pPr>
    </w:p>
    <w:p w:rsidR="00CF2F0A" w:rsidRPr="00A461DA" w:rsidRDefault="00CF2F0A" w:rsidP="00464DB4">
      <w:pPr>
        <w:pStyle w:val="Prrafodelista"/>
        <w:numPr>
          <w:ilvl w:val="0"/>
          <w:numId w:val="5"/>
        </w:numPr>
        <w:spacing w:after="0"/>
        <w:jc w:val="both"/>
        <w:rPr>
          <w:rFonts w:ascii="ITC Avant Garde" w:hAnsi="ITC Avant Garde"/>
          <w:b/>
        </w:rPr>
      </w:pPr>
      <w:r w:rsidRPr="00A461DA">
        <w:rPr>
          <w:rFonts w:ascii="ITC Avant Garde" w:hAnsi="ITC Avant Garde"/>
          <w:b/>
        </w:rPr>
        <w:t xml:space="preserve">ARTÍCULO 2 FRACCIÓN </w:t>
      </w:r>
      <w:r w:rsidR="00CA6774" w:rsidRPr="00A461DA">
        <w:rPr>
          <w:rFonts w:ascii="ITC Avant Garde" w:hAnsi="ITC Avant Garde"/>
          <w:b/>
        </w:rPr>
        <w:t>XVI</w:t>
      </w:r>
      <w:r w:rsidRPr="00A461DA">
        <w:rPr>
          <w:rFonts w:ascii="ITC Avant Garde" w:hAnsi="ITC Avant Garde"/>
          <w:b/>
        </w:rPr>
        <w:t>.</w:t>
      </w:r>
    </w:p>
    <w:p w:rsidR="00CF2F0A" w:rsidRPr="000E4750" w:rsidRDefault="00CF2F0A" w:rsidP="00CF2F0A">
      <w:pPr>
        <w:spacing w:after="0"/>
        <w:jc w:val="both"/>
        <w:rPr>
          <w:rFonts w:ascii="ITC Avant Garde" w:hAnsi="ITC Avant Garde"/>
          <w:b/>
        </w:rPr>
      </w:pPr>
    </w:p>
    <w:p w:rsidR="00566606" w:rsidRPr="000E4750" w:rsidRDefault="00566606" w:rsidP="00CF2F0A">
      <w:pPr>
        <w:spacing w:after="0"/>
        <w:jc w:val="both"/>
        <w:rPr>
          <w:rFonts w:ascii="ITC Avant Garde" w:hAnsi="ITC Avant Garde"/>
          <w:b/>
        </w:rPr>
      </w:pPr>
    </w:p>
    <w:p w:rsidR="00CF2F0A" w:rsidRPr="000E4750" w:rsidRDefault="00CA6774" w:rsidP="00CF2F0A">
      <w:pPr>
        <w:spacing w:after="0"/>
        <w:jc w:val="both"/>
        <w:rPr>
          <w:rFonts w:ascii="ITC Avant Garde" w:hAnsi="ITC Avant Garde"/>
        </w:rPr>
      </w:pPr>
      <w:r w:rsidRPr="000E4750">
        <w:rPr>
          <w:rFonts w:ascii="ITC Avant Garde" w:hAnsi="ITC Avant Garde"/>
        </w:rPr>
        <w:lastRenderedPageBreak/>
        <w:t>La industria sugiere eliminar la palabra “Conjunto”</w:t>
      </w:r>
      <w:r w:rsidR="00A461DA">
        <w:rPr>
          <w:rFonts w:ascii="ITC Avant Garde" w:hAnsi="ITC Avant Garde"/>
        </w:rPr>
        <w:t xml:space="preserve"> en la definición de “Servicios adicionales”</w:t>
      </w:r>
      <w:r w:rsidRPr="000E4750">
        <w:rPr>
          <w:rFonts w:ascii="ITC Avant Garde" w:hAnsi="ITC Avant Garde"/>
        </w:rPr>
        <w:t>, dado que en caso contrario se entenderá que sólo cuando se trate de 2 o más servicios se</w:t>
      </w:r>
      <w:r w:rsidR="00C67760">
        <w:rPr>
          <w:rFonts w:ascii="ITC Avant Garde" w:hAnsi="ITC Avant Garde"/>
        </w:rPr>
        <w:t>rán</w:t>
      </w:r>
      <w:r w:rsidR="00E26572">
        <w:rPr>
          <w:rFonts w:ascii="ITC Avant Garde" w:hAnsi="ITC Avant Garde"/>
        </w:rPr>
        <w:t xml:space="preserve"> </w:t>
      </w:r>
      <w:r w:rsidR="00A461DA">
        <w:rPr>
          <w:rFonts w:ascii="ITC Avant Garde" w:hAnsi="ITC Avant Garde"/>
        </w:rPr>
        <w:t>servicios adicionales</w:t>
      </w:r>
      <w:r w:rsidR="00CF2F0A" w:rsidRPr="000E4750">
        <w:rPr>
          <w:rFonts w:ascii="ITC Avant Garde" w:hAnsi="ITC Avant Garde"/>
        </w:rPr>
        <w:t xml:space="preserve">. </w:t>
      </w:r>
    </w:p>
    <w:p w:rsidR="00CF2F0A" w:rsidRPr="000E4750" w:rsidRDefault="00CF2F0A" w:rsidP="00CF2F0A">
      <w:pPr>
        <w:spacing w:after="0"/>
        <w:jc w:val="both"/>
        <w:rPr>
          <w:rFonts w:ascii="ITC Avant Garde" w:hAnsi="ITC Avant Garde"/>
        </w:rPr>
      </w:pPr>
    </w:p>
    <w:p w:rsidR="00CF2F0A" w:rsidRPr="000E4750" w:rsidRDefault="00CF2F0A" w:rsidP="00CF2F0A">
      <w:pPr>
        <w:spacing w:after="0"/>
        <w:jc w:val="both"/>
        <w:rPr>
          <w:rFonts w:ascii="ITC Avant Garde" w:hAnsi="ITC Avant Garde"/>
          <w:i/>
          <w:u w:val="single"/>
        </w:rPr>
      </w:pPr>
      <w:r w:rsidRPr="000E4750">
        <w:rPr>
          <w:rFonts w:ascii="ITC Avant Garde" w:hAnsi="ITC Avant Garde"/>
          <w:i/>
          <w:u w:val="single"/>
        </w:rPr>
        <w:t>Consideraciones</w:t>
      </w:r>
    </w:p>
    <w:p w:rsidR="00CF2F0A" w:rsidRPr="000E4750" w:rsidRDefault="00CF2F0A" w:rsidP="00CF2F0A">
      <w:pPr>
        <w:spacing w:after="0"/>
        <w:jc w:val="both"/>
        <w:rPr>
          <w:rFonts w:ascii="ITC Avant Garde" w:hAnsi="ITC Avant Garde"/>
          <w:b/>
        </w:rPr>
      </w:pPr>
    </w:p>
    <w:p w:rsidR="00CF2F0A" w:rsidRPr="000E4750" w:rsidRDefault="00CA6774" w:rsidP="00CF2F0A">
      <w:pPr>
        <w:spacing w:after="0"/>
        <w:jc w:val="both"/>
        <w:rPr>
          <w:rFonts w:ascii="ITC Avant Garde" w:hAnsi="ITC Avant Garde"/>
        </w:rPr>
      </w:pPr>
      <w:r w:rsidRPr="000E4750">
        <w:rPr>
          <w:rFonts w:ascii="ITC Avant Garde" w:hAnsi="ITC Avant Garde"/>
        </w:rPr>
        <w:t>Se considera pertinente atender el comentario formulado y se realizan las adecuaciones a la redacción para mayor claridad.</w:t>
      </w:r>
    </w:p>
    <w:p w:rsidR="00CF2F0A" w:rsidRPr="000E4750" w:rsidRDefault="00CF2F0A" w:rsidP="00CF2F0A">
      <w:pPr>
        <w:pStyle w:val="Prrafodelista"/>
        <w:spacing w:after="0"/>
        <w:ind w:left="1080"/>
        <w:jc w:val="both"/>
        <w:rPr>
          <w:rFonts w:ascii="ITC Avant Garde" w:hAnsi="ITC Avant Garde"/>
          <w:b/>
        </w:rPr>
      </w:pPr>
    </w:p>
    <w:p w:rsidR="00446D1A" w:rsidRPr="000E4750" w:rsidRDefault="00446D1A" w:rsidP="0013064F">
      <w:pPr>
        <w:pStyle w:val="Prrafodelista"/>
        <w:numPr>
          <w:ilvl w:val="0"/>
          <w:numId w:val="5"/>
        </w:numPr>
        <w:spacing w:after="0"/>
        <w:jc w:val="both"/>
        <w:rPr>
          <w:rFonts w:ascii="ITC Avant Garde" w:hAnsi="ITC Avant Garde"/>
          <w:b/>
        </w:rPr>
      </w:pPr>
      <w:r w:rsidRPr="0013064F">
        <w:rPr>
          <w:rFonts w:ascii="ITC Avant Garde" w:hAnsi="ITC Avant Garde"/>
          <w:b/>
        </w:rPr>
        <w:t xml:space="preserve">ARTÍCULO 2 FRACCIÓN </w:t>
      </w:r>
      <w:r w:rsidR="0013064F">
        <w:rPr>
          <w:rFonts w:ascii="ITC Avant Garde" w:hAnsi="ITC Avant Garde"/>
          <w:b/>
        </w:rPr>
        <w:t>XIX</w:t>
      </w:r>
    </w:p>
    <w:p w:rsidR="00446D1A" w:rsidRPr="0013064F" w:rsidRDefault="00446D1A" w:rsidP="00C67760">
      <w:pPr>
        <w:spacing w:after="0"/>
        <w:jc w:val="both"/>
        <w:rPr>
          <w:rFonts w:ascii="ITC Avant Garde" w:hAnsi="ITC Avant Garde"/>
        </w:rPr>
      </w:pPr>
    </w:p>
    <w:p w:rsidR="00446D1A" w:rsidRPr="000E4750" w:rsidRDefault="00CA6774" w:rsidP="00A13478">
      <w:pPr>
        <w:spacing w:after="0"/>
        <w:jc w:val="both"/>
        <w:rPr>
          <w:rFonts w:ascii="ITC Avant Garde" w:hAnsi="ITC Avant Garde"/>
        </w:rPr>
      </w:pPr>
      <w:r w:rsidRPr="000E4750">
        <w:rPr>
          <w:rFonts w:ascii="ITC Avant Garde" w:hAnsi="ITC Avant Garde"/>
        </w:rPr>
        <w:t>En las participaciones de la consulta pública se sugiere utilizar únicamente el término “usuario final” considerando que se encuentra definida en la LFTR y es más amplia; asimismo, se propone hacer referencia a la definición de consumidor contenida en la LFPC</w:t>
      </w:r>
      <w:r w:rsidR="00D23B8B" w:rsidRPr="000E4750">
        <w:rPr>
          <w:rFonts w:ascii="ITC Avant Garde" w:hAnsi="ITC Avant Garde"/>
        </w:rPr>
        <w:t>.</w:t>
      </w:r>
    </w:p>
    <w:p w:rsidR="00D23B8B" w:rsidRPr="000E4750" w:rsidRDefault="00D23B8B" w:rsidP="00A13478">
      <w:pPr>
        <w:spacing w:after="0"/>
        <w:jc w:val="both"/>
        <w:rPr>
          <w:rFonts w:ascii="ITC Avant Garde" w:hAnsi="ITC Avant Garde"/>
        </w:rPr>
      </w:pPr>
    </w:p>
    <w:p w:rsidR="00D23B8B" w:rsidRPr="000E4750" w:rsidRDefault="00D23B8B" w:rsidP="00A13478">
      <w:pPr>
        <w:spacing w:after="0"/>
        <w:jc w:val="both"/>
        <w:rPr>
          <w:rFonts w:ascii="ITC Avant Garde" w:hAnsi="ITC Avant Garde"/>
          <w:i/>
          <w:u w:val="single"/>
        </w:rPr>
      </w:pPr>
      <w:r w:rsidRPr="000E4750">
        <w:rPr>
          <w:rFonts w:ascii="ITC Avant Garde" w:hAnsi="ITC Avant Garde"/>
          <w:i/>
          <w:u w:val="single"/>
        </w:rPr>
        <w:t>Consideraciones</w:t>
      </w:r>
    </w:p>
    <w:p w:rsidR="007C315D" w:rsidRPr="000E4750" w:rsidRDefault="007C315D" w:rsidP="00A13478">
      <w:pPr>
        <w:spacing w:after="0"/>
        <w:jc w:val="both"/>
        <w:rPr>
          <w:rFonts w:ascii="ITC Avant Garde" w:hAnsi="ITC Avant Garde"/>
          <w:i/>
          <w:u w:val="single"/>
        </w:rPr>
      </w:pPr>
    </w:p>
    <w:p w:rsidR="00566606" w:rsidRPr="000E4750" w:rsidRDefault="003B10E3" w:rsidP="00D82323">
      <w:pPr>
        <w:spacing w:after="0"/>
        <w:jc w:val="both"/>
        <w:rPr>
          <w:rFonts w:ascii="ITC Avant Garde" w:hAnsi="ITC Avant Garde"/>
        </w:rPr>
      </w:pPr>
      <w:r w:rsidRPr="000E4750">
        <w:rPr>
          <w:rFonts w:ascii="ITC Avant Garde" w:hAnsi="ITC Avant Garde"/>
        </w:rPr>
        <w:t xml:space="preserve">Se considera conveniente </w:t>
      </w:r>
      <w:r w:rsidR="00D82323">
        <w:rPr>
          <w:rFonts w:ascii="ITC Avant Garde" w:hAnsi="ITC Avant Garde"/>
        </w:rPr>
        <w:t>eliminar la definición de “usuario final” en el proyecto, t</w:t>
      </w:r>
      <w:r w:rsidR="0059684D">
        <w:rPr>
          <w:rFonts w:ascii="ITC Avant Garde" w:hAnsi="ITC Avant Garde"/>
        </w:rPr>
        <w:t>oda vez que la LFTR ya la</w:t>
      </w:r>
      <w:r w:rsidR="00895662">
        <w:rPr>
          <w:rFonts w:ascii="ITC Avant Garde" w:hAnsi="ITC Avant Garde"/>
        </w:rPr>
        <w:t xml:space="preserve"> considera</w:t>
      </w:r>
      <w:r w:rsidR="0059684D">
        <w:rPr>
          <w:rFonts w:ascii="ITC Avant Garde" w:hAnsi="ITC Avant Garde"/>
        </w:rPr>
        <w:t xml:space="preserve"> en la fracción LXXI de su </w:t>
      </w:r>
      <w:r w:rsidR="00D82323">
        <w:rPr>
          <w:rFonts w:ascii="ITC Avant Garde" w:hAnsi="ITC Avant Garde"/>
        </w:rPr>
        <w:t>artículo 3</w:t>
      </w:r>
      <w:r w:rsidR="0059684D">
        <w:rPr>
          <w:rFonts w:ascii="ITC Avant Garde" w:hAnsi="ITC Avant Garde"/>
        </w:rPr>
        <w:t>°</w:t>
      </w:r>
      <w:r w:rsidR="00D82323">
        <w:rPr>
          <w:rFonts w:ascii="ITC Avant Garde" w:hAnsi="ITC Avant Garde"/>
        </w:rPr>
        <w:t>.</w:t>
      </w:r>
    </w:p>
    <w:p w:rsidR="00E842A7" w:rsidRPr="000E4750" w:rsidRDefault="00E842A7" w:rsidP="00A13478">
      <w:pPr>
        <w:spacing w:after="0"/>
        <w:jc w:val="both"/>
        <w:rPr>
          <w:rFonts w:ascii="ITC Avant Garde" w:hAnsi="ITC Avant Garde"/>
        </w:rPr>
      </w:pPr>
    </w:p>
    <w:p w:rsidR="007C315D" w:rsidRPr="000E4750" w:rsidRDefault="007C315D"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w:t>
      </w:r>
      <w:r w:rsidR="006A7D8B" w:rsidRPr="000E4750">
        <w:rPr>
          <w:rFonts w:ascii="ITC Avant Garde" w:hAnsi="ITC Avant Garde"/>
          <w:b/>
        </w:rPr>
        <w:t xml:space="preserve"> 3</w:t>
      </w:r>
    </w:p>
    <w:p w:rsidR="008E5720" w:rsidRPr="000E4750" w:rsidRDefault="008E5720" w:rsidP="008E5720">
      <w:pPr>
        <w:spacing w:after="0"/>
        <w:jc w:val="both"/>
        <w:rPr>
          <w:rFonts w:ascii="ITC Avant Garde" w:hAnsi="ITC Avant Garde"/>
          <w:b/>
        </w:rPr>
      </w:pPr>
    </w:p>
    <w:p w:rsidR="00D23B8B" w:rsidRPr="000E4750" w:rsidRDefault="00985329" w:rsidP="00A13478">
      <w:pPr>
        <w:spacing w:after="0"/>
        <w:jc w:val="both"/>
        <w:rPr>
          <w:rFonts w:ascii="ITC Avant Garde" w:hAnsi="ITC Avant Garde"/>
        </w:rPr>
      </w:pPr>
      <w:r w:rsidRPr="000E4750">
        <w:rPr>
          <w:rFonts w:ascii="ITC Avant Garde" w:hAnsi="ITC Avant Garde"/>
        </w:rPr>
        <w:t xml:space="preserve">La industria señala que las especificaciones respecto al tipo de información </w:t>
      </w:r>
      <w:r w:rsidR="003A440D" w:rsidRPr="000E4750">
        <w:rPr>
          <w:rFonts w:ascii="ITC Avant Garde" w:hAnsi="ITC Avant Garde"/>
        </w:rPr>
        <w:t>y los medios para publicarla no</w:t>
      </w:r>
      <w:r w:rsidRPr="000E4750">
        <w:rPr>
          <w:rFonts w:ascii="ITC Avant Garde" w:hAnsi="ITC Avant Garde"/>
        </w:rPr>
        <w:t xml:space="preserve"> son claros</w:t>
      </w:r>
      <w:r w:rsidR="006A7D8B" w:rsidRPr="000E4750">
        <w:rPr>
          <w:rFonts w:ascii="ITC Avant Garde" w:hAnsi="ITC Avant Garde"/>
        </w:rPr>
        <w:t xml:space="preserve">. </w:t>
      </w:r>
    </w:p>
    <w:p w:rsidR="006A7D8B" w:rsidRPr="000E4750" w:rsidRDefault="006A7D8B" w:rsidP="00A13478">
      <w:pPr>
        <w:spacing w:after="0"/>
        <w:jc w:val="both"/>
        <w:rPr>
          <w:rFonts w:ascii="ITC Avant Garde" w:hAnsi="ITC Avant Garde"/>
        </w:rPr>
      </w:pPr>
    </w:p>
    <w:p w:rsidR="006A7D8B" w:rsidRPr="000E4750" w:rsidRDefault="006A7D8B" w:rsidP="00A13478">
      <w:pPr>
        <w:spacing w:after="0"/>
        <w:jc w:val="both"/>
        <w:rPr>
          <w:rFonts w:ascii="ITC Avant Garde" w:hAnsi="ITC Avant Garde"/>
          <w:i/>
          <w:u w:val="single"/>
        </w:rPr>
      </w:pPr>
      <w:r w:rsidRPr="000E4750">
        <w:rPr>
          <w:rFonts w:ascii="ITC Avant Garde" w:hAnsi="ITC Avant Garde"/>
          <w:i/>
          <w:u w:val="single"/>
        </w:rPr>
        <w:t>Consideraciones</w:t>
      </w:r>
    </w:p>
    <w:p w:rsidR="006A7D8B" w:rsidRPr="000E4750" w:rsidRDefault="006A7D8B" w:rsidP="00A13478">
      <w:pPr>
        <w:spacing w:after="0"/>
        <w:jc w:val="both"/>
        <w:rPr>
          <w:rFonts w:ascii="ITC Avant Garde" w:hAnsi="ITC Avant Garde"/>
          <w:i/>
          <w:u w:val="single"/>
        </w:rPr>
      </w:pPr>
    </w:p>
    <w:p w:rsidR="006A7D8B" w:rsidRPr="000E4750" w:rsidRDefault="006A7D8B" w:rsidP="00A13478">
      <w:pPr>
        <w:spacing w:after="0"/>
        <w:jc w:val="both"/>
        <w:rPr>
          <w:rFonts w:ascii="ITC Avant Garde" w:hAnsi="ITC Avant Garde"/>
        </w:rPr>
      </w:pPr>
      <w:r w:rsidRPr="000E4750">
        <w:rPr>
          <w:rFonts w:ascii="ITC Avant Garde" w:hAnsi="ITC Avant Garde"/>
        </w:rPr>
        <w:t>Se considera pertinente la</w:t>
      </w:r>
      <w:r w:rsidR="00985329" w:rsidRPr="000E4750">
        <w:rPr>
          <w:rFonts w:ascii="ITC Avant Garde" w:hAnsi="ITC Avant Garde"/>
        </w:rPr>
        <w:t xml:space="preserve"> observaci</w:t>
      </w:r>
      <w:r w:rsidR="00695E50" w:rsidRPr="000E4750">
        <w:rPr>
          <w:rFonts w:ascii="ITC Avant Garde" w:hAnsi="ITC Avant Garde"/>
        </w:rPr>
        <w:t>ón y se realizan adecuaciones a la redacción de</w:t>
      </w:r>
      <w:r w:rsidR="008D6C67">
        <w:rPr>
          <w:rFonts w:ascii="ITC Avant Garde" w:hAnsi="ITC Avant Garde"/>
        </w:rPr>
        <w:t xml:space="preserve"> </w:t>
      </w:r>
      <w:r w:rsidR="00895662">
        <w:rPr>
          <w:rFonts w:ascii="ITC Avant Garde" w:hAnsi="ITC Avant Garde"/>
        </w:rPr>
        <w:t>l</w:t>
      </w:r>
      <w:r w:rsidR="008D6C67">
        <w:rPr>
          <w:rFonts w:ascii="ITC Avant Garde" w:hAnsi="ITC Avant Garde"/>
        </w:rPr>
        <w:t>os</w:t>
      </w:r>
      <w:r w:rsidR="00895662">
        <w:rPr>
          <w:rFonts w:ascii="ITC Avant Garde" w:hAnsi="ITC Avant Garde"/>
        </w:rPr>
        <w:t xml:space="preserve"> art</w:t>
      </w:r>
      <w:r w:rsidR="008D6C67">
        <w:rPr>
          <w:rFonts w:ascii="ITC Avant Garde" w:hAnsi="ITC Avant Garde"/>
        </w:rPr>
        <w:t>ículos 4 y 7</w:t>
      </w:r>
      <w:r w:rsidR="00895662">
        <w:rPr>
          <w:rFonts w:ascii="ITC Avant Garde" w:hAnsi="ITC Avant Garde"/>
        </w:rPr>
        <w:t xml:space="preserve"> </w:t>
      </w:r>
      <w:r w:rsidR="00695E50" w:rsidRPr="000E4750">
        <w:rPr>
          <w:rFonts w:ascii="ITC Avant Garde" w:hAnsi="ITC Avant Garde"/>
        </w:rPr>
        <w:t xml:space="preserve">del </w:t>
      </w:r>
      <w:r w:rsidR="00985329" w:rsidRPr="000E4750">
        <w:rPr>
          <w:rFonts w:ascii="ITC Avant Garde" w:hAnsi="ITC Avant Garde"/>
        </w:rPr>
        <w:t>proyecto con la finalidad de clarificar el medio</w:t>
      </w:r>
      <w:r w:rsidR="00695E50" w:rsidRPr="000E4750">
        <w:rPr>
          <w:rFonts w:ascii="ITC Avant Garde" w:hAnsi="ITC Avant Garde"/>
        </w:rPr>
        <w:t xml:space="preserve"> de difusión</w:t>
      </w:r>
      <w:r w:rsidR="008D6C67">
        <w:rPr>
          <w:rFonts w:ascii="ITC Avant Garde" w:hAnsi="ITC Avant Garde"/>
        </w:rPr>
        <w:t xml:space="preserve"> de la información que se establece en los Lineamientos</w:t>
      </w:r>
      <w:r w:rsidR="00985329" w:rsidRPr="000E4750">
        <w:rPr>
          <w:rFonts w:ascii="ITC Avant Garde" w:hAnsi="ITC Avant Garde"/>
        </w:rPr>
        <w:t>.</w:t>
      </w:r>
    </w:p>
    <w:p w:rsidR="006A7D8B" w:rsidRPr="000E4750" w:rsidRDefault="006A7D8B" w:rsidP="00A13478">
      <w:pPr>
        <w:spacing w:after="0"/>
        <w:jc w:val="both"/>
        <w:rPr>
          <w:rFonts w:ascii="ITC Avant Garde" w:hAnsi="ITC Avant Garde"/>
          <w:b/>
        </w:rPr>
      </w:pPr>
    </w:p>
    <w:p w:rsidR="006A7D8B" w:rsidRPr="000E4750" w:rsidRDefault="006A7D8B" w:rsidP="00E842A7">
      <w:pPr>
        <w:spacing w:after="0"/>
        <w:jc w:val="center"/>
        <w:rPr>
          <w:rFonts w:ascii="ITC Avant Garde" w:hAnsi="ITC Avant Garde"/>
          <w:b/>
        </w:rPr>
      </w:pPr>
      <w:r w:rsidRPr="000E4750">
        <w:rPr>
          <w:rFonts w:ascii="ITC Avant Garde" w:hAnsi="ITC Avant Garde"/>
          <w:b/>
        </w:rPr>
        <w:t>CAPÍTULO SEGUNDO</w:t>
      </w:r>
      <w:r w:rsidR="008E5720" w:rsidRPr="000E4750">
        <w:rPr>
          <w:rFonts w:ascii="ITC Avant Garde" w:hAnsi="ITC Avant Garde"/>
          <w:b/>
        </w:rPr>
        <w:t xml:space="preserve"> </w:t>
      </w:r>
      <w:r w:rsidRPr="000E4750">
        <w:rPr>
          <w:rFonts w:ascii="ITC Avant Garde" w:hAnsi="ITC Avant Garde"/>
          <w:b/>
        </w:rPr>
        <w:t xml:space="preserve">- </w:t>
      </w:r>
      <w:r w:rsidR="00985329" w:rsidRPr="000E4750">
        <w:rPr>
          <w:rFonts w:ascii="ITC Avant Garde" w:hAnsi="ITC Avant Garde"/>
          <w:b/>
        </w:rPr>
        <w:t>DE LA PUBLICACIÓN DE INFORMACIÓN</w:t>
      </w:r>
    </w:p>
    <w:p w:rsidR="00E842A7" w:rsidRPr="000E4750" w:rsidRDefault="00E842A7" w:rsidP="00A13478">
      <w:pPr>
        <w:spacing w:after="0"/>
        <w:jc w:val="both"/>
        <w:rPr>
          <w:rFonts w:ascii="ITC Avant Garde" w:hAnsi="ITC Avant Garde"/>
          <w:b/>
        </w:rPr>
      </w:pPr>
    </w:p>
    <w:p w:rsidR="006A7D8B" w:rsidRPr="000E4750" w:rsidRDefault="008E5720"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w:t>
      </w:r>
      <w:r w:rsidR="007311FB" w:rsidRPr="000E4750">
        <w:rPr>
          <w:rFonts w:ascii="ITC Avant Garde" w:hAnsi="ITC Avant Garde"/>
          <w:b/>
        </w:rPr>
        <w:t>S</w:t>
      </w:r>
      <w:r w:rsidRPr="000E4750">
        <w:rPr>
          <w:rFonts w:ascii="ITC Avant Garde" w:hAnsi="ITC Avant Garde"/>
          <w:b/>
        </w:rPr>
        <w:t xml:space="preserve"> 4</w:t>
      </w:r>
      <w:r w:rsidR="007311FB" w:rsidRPr="000E4750">
        <w:rPr>
          <w:rFonts w:ascii="ITC Avant Garde" w:hAnsi="ITC Avant Garde"/>
          <w:b/>
        </w:rPr>
        <w:t>, 5 y 6.</w:t>
      </w:r>
    </w:p>
    <w:p w:rsidR="00E842A7" w:rsidRPr="000E4750" w:rsidRDefault="00CE50C7" w:rsidP="008E5720">
      <w:pPr>
        <w:spacing w:after="0"/>
        <w:jc w:val="both"/>
        <w:rPr>
          <w:rFonts w:ascii="ITC Avant Garde" w:hAnsi="ITC Avant Garde"/>
        </w:rPr>
      </w:pPr>
      <w:r w:rsidRPr="000E4750">
        <w:rPr>
          <w:rFonts w:ascii="ITC Avant Garde" w:hAnsi="ITC Avant Garde"/>
        </w:rPr>
        <w:t>Respecto del contenido de los artículos antes señalados, la industria manifestó diversas inquietudes relacionadas con el medio por el cual se tendría que difundir la información que establecen los Lineamientos, el cúmulo de información definida, forma</w:t>
      </w:r>
      <w:r w:rsidR="007F1FA8" w:rsidRPr="000E4750">
        <w:rPr>
          <w:rFonts w:ascii="ITC Avant Garde" w:hAnsi="ITC Avant Garde"/>
        </w:rPr>
        <w:t xml:space="preserve">s de acreditar el cumplimiento, </w:t>
      </w:r>
      <w:r w:rsidR="007F1FA8" w:rsidRPr="000E4750">
        <w:rPr>
          <w:rFonts w:ascii="ITC Avant Garde" w:hAnsi="ITC Avant Garde"/>
        </w:rPr>
        <w:lastRenderedPageBreak/>
        <w:t>sobrerregulación, así como relacionadas con los principios de transparente, comparable, adecuada y actualizada.</w:t>
      </w:r>
    </w:p>
    <w:p w:rsidR="007F1FA8" w:rsidRPr="000E4750" w:rsidRDefault="007F1FA8" w:rsidP="008E5720">
      <w:pPr>
        <w:spacing w:after="0"/>
        <w:jc w:val="both"/>
        <w:rPr>
          <w:rFonts w:ascii="ITC Avant Garde" w:hAnsi="ITC Avant Garde"/>
        </w:rPr>
      </w:pPr>
    </w:p>
    <w:p w:rsidR="007F1FA8" w:rsidRPr="000E4750" w:rsidRDefault="007F1FA8" w:rsidP="008E5720">
      <w:pPr>
        <w:spacing w:after="0"/>
        <w:jc w:val="both"/>
        <w:rPr>
          <w:rFonts w:ascii="ITC Avant Garde" w:hAnsi="ITC Avant Garde"/>
        </w:rPr>
      </w:pPr>
      <w:r w:rsidRPr="000E4750">
        <w:rPr>
          <w:rFonts w:ascii="ITC Avant Garde" w:hAnsi="ITC Avant Garde"/>
        </w:rPr>
        <w:t>Asimismo, se recibieron comentarios por parte de la PROFECO y propuestas de redacción respecto al contenido de los artículos 4 y 5 del proyecto.</w:t>
      </w:r>
    </w:p>
    <w:p w:rsidR="00E842A7" w:rsidRPr="000E4750" w:rsidRDefault="00E842A7" w:rsidP="00A13478">
      <w:pPr>
        <w:spacing w:after="0"/>
        <w:jc w:val="both"/>
        <w:rPr>
          <w:rFonts w:ascii="ITC Avant Garde" w:hAnsi="ITC Avant Garde"/>
        </w:rPr>
      </w:pPr>
    </w:p>
    <w:p w:rsidR="00F20DAF" w:rsidRPr="000E4750" w:rsidRDefault="00F20DAF" w:rsidP="00A13478">
      <w:pPr>
        <w:spacing w:after="0"/>
        <w:jc w:val="both"/>
        <w:rPr>
          <w:rFonts w:ascii="ITC Avant Garde" w:hAnsi="ITC Avant Garde"/>
          <w:i/>
          <w:u w:val="single"/>
        </w:rPr>
      </w:pPr>
      <w:r w:rsidRPr="000E4750">
        <w:rPr>
          <w:rFonts w:ascii="ITC Avant Garde" w:hAnsi="ITC Avant Garde"/>
          <w:i/>
          <w:u w:val="single"/>
        </w:rPr>
        <w:t>Consideraciones</w:t>
      </w:r>
    </w:p>
    <w:p w:rsidR="00E842A7" w:rsidRPr="000E4750" w:rsidRDefault="00E842A7" w:rsidP="00A13478">
      <w:pPr>
        <w:spacing w:after="0"/>
        <w:jc w:val="both"/>
        <w:rPr>
          <w:rFonts w:ascii="ITC Avant Garde" w:hAnsi="ITC Avant Garde"/>
          <w:i/>
          <w:u w:val="single"/>
        </w:rPr>
      </w:pPr>
    </w:p>
    <w:p w:rsidR="00CE50C7" w:rsidRPr="000E4750" w:rsidRDefault="00CE50C7" w:rsidP="00CE50C7">
      <w:pPr>
        <w:spacing w:after="0"/>
        <w:jc w:val="both"/>
        <w:rPr>
          <w:rFonts w:ascii="ITC Avant Garde" w:hAnsi="ITC Avant Garde"/>
        </w:rPr>
      </w:pPr>
      <w:r w:rsidRPr="000E4750">
        <w:rPr>
          <w:rFonts w:ascii="ITC Avant Garde" w:hAnsi="ITC Avant Garde"/>
        </w:rPr>
        <w:t xml:space="preserve">Con relación a los diversos comentarios vertidos </w:t>
      </w:r>
      <w:r w:rsidR="007F1FA8" w:rsidRPr="000E4750">
        <w:rPr>
          <w:rFonts w:ascii="ITC Avant Garde" w:hAnsi="ITC Avant Garde"/>
        </w:rPr>
        <w:t>sobre</w:t>
      </w:r>
      <w:r w:rsidRPr="000E4750">
        <w:rPr>
          <w:rFonts w:ascii="ITC Avant Garde" w:hAnsi="ITC Avant Garde"/>
        </w:rPr>
        <w:t xml:space="preserve"> los artículos referidos en el presente apa</w:t>
      </w:r>
      <w:r w:rsidR="0013064F">
        <w:rPr>
          <w:rFonts w:ascii="ITC Avant Garde" w:hAnsi="ITC Avant Garde"/>
        </w:rPr>
        <w:t>rtado</w:t>
      </w:r>
      <w:r w:rsidRPr="000E4750">
        <w:rPr>
          <w:rFonts w:ascii="ITC Avant Garde" w:hAnsi="ITC Avant Garde"/>
        </w:rPr>
        <w:t xml:space="preserve">, este Instituto </w:t>
      </w:r>
      <w:r w:rsidR="007F1FA8" w:rsidRPr="000E4750">
        <w:rPr>
          <w:rFonts w:ascii="ITC Avant Garde" w:hAnsi="ITC Avant Garde"/>
        </w:rPr>
        <w:t xml:space="preserve">considera oportuno sean atendidos y </w:t>
      </w:r>
      <w:r w:rsidRPr="000E4750">
        <w:rPr>
          <w:rFonts w:ascii="ITC Avant Garde" w:hAnsi="ITC Avant Garde"/>
        </w:rPr>
        <w:t>efectuará diversas modificaciones al proyecto de Lineamientos, con la finalidad de establecer claramente la informaci</w:t>
      </w:r>
      <w:r w:rsidR="007F1FA8" w:rsidRPr="000E4750">
        <w:rPr>
          <w:rFonts w:ascii="ITC Avant Garde" w:hAnsi="ITC Avant Garde"/>
        </w:rPr>
        <w:t>ón y los medios para su publicación</w:t>
      </w:r>
      <w:r w:rsidRPr="000E4750">
        <w:rPr>
          <w:rFonts w:ascii="ITC Avant Garde" w:hAnsi="ITC Avant Garde"/>
        </w:rPr>
        <w:t>, definir formatos específicos para transmitir al usuario la información básica de los servicios de telecomunicaciones que les permita comparar los diversos planes o paquetes ofertados por los concesionarios y autorizados.</w:t>
      </w:r>
    </w:p>
    <w:p w:rsidR="00CE50C7" w:rsidRPr="000E4750" w:rsidRDefault="00CE50C7" w:rsidP="00CE50C7">
      <w:pPr>
        <w:spacing w:after="0"/>
        <w:jc w:val="both"/>
        <w:rPr>
          <w:rFonts w:ascii="ITC Avant Garde" w:hAnsi="ITC Avant Garde"/>
        </w:rPr>
      </w:pPr>
    </w:p>
    <w:p w:rsidR="00CE50C7" w:rsidRPr="000E4750" w:rsidRDefault="00CE50C7" w:rsidP="00CE50C7">
      <w:pPr>
        <w:spacing w:after="0"/>
        <w:jc w:val="both"/>
        <w:rPr>
          <w:rFonts w:ascii="ITC Avant Garde" w:hAnsi="ITC Avant Garde"/>
        </w:rPr>
      </w:pPr>
      <w:r w:rsidRPr="000E4750">
        <w:rPr>
          <w:rFonts w:ascii="ITC Avant Garde" w:hAnsi="ITC Avant Garde"/>
        </w:rPr>
        <w:t xml:space="preserve">Asimismo, las modificaciones al proyecto, están orientadas a disminuir las cargas </w:t>
      </w:r>
      <w:r w:rsidR="007F1FA8" w:rsidRPr="000E4750">
        <w:rPr>
          <w:rFonts w:ascii="ITC Avant Garde" w:hAnsi="ITC Avant Garde"/>
        </w:rPr>
        <w:t>a los regulados</w:t>
      </w:r>
      <w:r w:rsidRPr="000E4750">
        <w:rPr>
          <w:rFonts w:ascii="ITC Avant Garde" w:hAnsi="ITC Avant Garde"/>
        </w:rPr>
        <w:t xml:space="preserve">, estableciendo un formato de información simplificada para el usuario, mismo que se </w:t>
      </w:r>
      <w:r w:rsidR="007F1FA8" w:rsidRPr="000E4750">
        <w:rPr>
          <w:rFonts w:ascii="ITC Avant Garde" w:hAnsi="ITC Avant Garde"/>
        </w:rPr>
        <w:t>generará</w:t>
      </w:r>
      <w:r w:rsidRPr="000E4750">
        <w:rPr>
          <w:rFonts w:ascii="ITC Avant Garde" w:hAnsi="ITC Avant Garde"/>
        </w:rPr>
        <w:t xml:space="preserve"> de manera automática al momento de que se inscriban las tarifas de los concesionarios y autorizados en el Registro P</w:t>
      </w:r>
      <w:r w:rsidR="001D66FD" w:rsidRPr="000E4750">
        <w:rPr>
          <w:rFonts w:ascii="ITC Avant Garde" w:hAnsi="ITC Avant Garde"/>
        </w:rPr>
        <w:t xml:space="preserve">úblico de Concesiones, de conformidad con lo establecido en el </w:t>
      </w:r>
      <w:r w:rsidR="006D5C9C" w:rsidRPr="000E4750">
        <w:rPr>
          <w:rFonts w:ascii="ITC Avant Garde" w:hAnsi="ITC Avant Garde"/>
        </w:rPr>
        <w:t>Acuerdo mediante el cual el Pleno del Instituto Federal de Telecomunicaciones aprueba la modificación de los artículos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 publicado en el Diario Oficial de la Federación el 14 de diciembre de 2017.</w:t>
      </w:r>
    </w:p>
    <w:p w:rsidR="006D5C9C" w:rsidRPr="000E4750" w:rsidRDefault="006D5C9C" w:rsidP="00CE50C7">
      <w:pPr>
        <w:spacing w:after="0"/>
        <w:jc w:val="both"/>
        <w:rPr>
          <w:rFonts w:ascii="ITC Avant Garde" w:hAnsi="ITC Avant Garde"/>
        </w:rPr>
      </w:pPr>
    </w:p>
    <w:p w:rsidR="006D5C9C" w:rsidRPr="000E4750" w:rsidRDefault="006D5C9C" w:rsidP="00CE50C7">
      <w:pPr>
        <w:spacing w:after="0"/>
        <w:jc w:val="both"/>
        <w:rPr>
          <w:rFonts w:ascii="ITC Avant Garde" w:hAnsi="ITC Avant Garde"/>
        </w:rPr>
      </w:pPr>
      <w:r w:rsidRPr="000E4750">
        <w:rPr>
          <w:rFonts w:ascii="ITC Avant Garde" w:hAnsi="ITC Avant Garde"/>
        </w:rPr>
        <w:t xml:space="preserve">Finalmente, en atención a los diversos comentarios, </w:t>
      </w:r>
      <w:r w:rsidR="0059684D">
        <w:rPr>
          <w:rFonts w:ascii="ITC Avant Garde" w:hAnsi="ITC Avant Garde"/>
        </w:rPr>
        <w:t xml:space="preserve">se </w:t>
      </w:r>
      <w:r w:rsidRPr="000E4750">
        <w:rPr>
          <w:rFonts w:ascii="ITC Avant Garde" w:hAnsi="ITC Avant Garde"/>
        </w:rPr>
        <w:t xml:space="preserve">eliminó el contenido del artículo 6 del </w:t>
      </w:r>
      <w:r w:rsidR="008D6C67">
        <w:rPr>
          <w:rFonts w:ascii="ITC Avant Garde" w:hAnsi="ITC Avant Garde"/>
        </w:rPr>
        <w:t>ante</w:t>
      </w:r>
      <w:r w:rsidRPr="000E4750">
        <w:rPr>
          <w:rFonts w:ascii="ITC Avant Garde" w:hAnsi="ITC Avant Garde"/>
        </w:rPr>
        <w:t>proyecto de Lineamientos, tomando en consideración que con las adecuaciones efectuadas se atiende la finalidad que dicho numeral perseguía.</w:t>
      </w:r>
    </w:p>
    <w:p w:rsidR="00F20DAF" w:rsidRPr="000E4750" w:rsidRDefault="00F20DAF" w:rsidP="00A13478">
      <w:pPr>
        <w:pStyle w:val="Textocomentario"/>
        <w:spacing w:after="0" w:line="276" w:lineRule="auto"/>
        <w:jc w:val="both"/>
        <w:rPr>
          <w:rFonts w:ascii="ITC Avant Garde" w:eastAsiaTheme="minorEastAsia" w:hAnsi="ITC Avant Garde"/>
          <w:sz w:val="22"/>
          <w:szCs w:val="22"/>
          <w:lang w:eastAsia="es-MX"/>
        </w:rPr>
      </w:pPr>
    </w:p>
    <w:p w:rsidR="00294D82" w:rsidRPr="000E4750" w:rsidRDefault="009632DE" w:rsidP="00464DB4">
      <w:pPr>
        <w:pStyle w:val="Textocomentario"/>
        <w:numPr>
          <w:ilvl w:val="0"/>
          <w:numId w:val="5"/>
        </w:numPr>
        <w:spacing w:after="0" w:line="276" w:lineRule="auto"/>
        <w:jc w:val="both"/>
        <w:rPr>
          <w:rFonts w:ascii="ITC Avant Garde" w:eastAsiaTheme="minorEastAsia" w:hAnsi="ITC Avant Garde"/>
          <w:b/>
          <w:sz w:val="22"/>
          <w:szCs w:val="22"/>
          <w:lang w:eastAsia="es-MX"/>
        </w:rPr>
      </w:pPr>
      <w:r w:rsidRPr="000E4750">
        <w:rPr>
          <w:rFonts w:ascii="ITC Avant Garde" w:eastAsiaTheme="minorEastAsia" w:hAnsi="ITC Avant Garde"/>
          <w:b/>
          <w:sz w:val="22"/>
          <w:szCs w:val="22"/>
          <w:lang w:eastAsia="es-MX"/>
        </w:rPr>
        <w:t>ARTÍCULO 7</w:t>
      </w:r>
    </w:p>
    <w:p w:rsidR="008E5720" w:rsidRPr="000E4750" w:rsidRDefault="008E5720" w:rsidP="008E5720">
      <w:pPr>
        <w:pStyle w:val="Textocomentario"/>
        <w:spacing w:after="0" w:line="276" w:lineRule="auto"/>
        <w:jc w:val="both"/>
        <w:rPr>
          <w:rFonts w:ascii="ITC Avant Garde" w:eastAsiaTheme="minorEastAsia" w:hAnsi="ITC Avant Garde"/>
          <w:b/>
          <w:sz w:val="22"/>
          <w:szCs w:val="22"/>
          <w:lang w:eastAsia="es-MX"/>
        </w:rPr>
      </w:pPr>
    </w:p>
    <w:p w:rsidR="00294D82" w:rsidRPr="000E4750" w:rsidRDefault="00294D82" w:rsidP="00A13478">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Los operadores</w:t>
      </w:r>
      <w:r w:rsidR="009632DE" w:rsidRPr="000E4750">
        <w:rPr>
          <w:rFonts w:ascii="ITC Avant Garde" w:hAnsi="ITC Avant Garde"/>
          <w:sz w:val="22"/>
          <w:szCs w:val="22"/>
        </w:rPr>
        <w:t xml:space="preserve"> manifiestan que con la redacción del artículo se está imponiendo una doble regulación y la forma en que están redactadas las características genera confusión; por otra parte, se comenta que se debe acotar los elementos a los que apliquen.</w:t>
      </w:r>
    </w:p>
    <w:p w:rsidR="00086F3C" w:rsidRPr="000E4750" w:rsidRDefault="00086F3C" w:rsidP="00A13478">
      <w:pPr>
        <w:pStyle w:val="Textocomentario"/>
        <w:spacing w:after="0" w:line="276" w:lineRule="auto"/>
        <w:jc w:val="both"/>
        <w:rPr>
          <w:rFonts w:ascii="ITC Avant Garde" w:hAnsi="ITC Avant Garde"/>
          <w:sz w:val="22"/>
          <w:szCs w:val="22"/>
        </w:rPr>
      </w:pPr>
    </w:p>
    <w:p w:rsidR="00294D82" w:rsidRPr="000E4750" w:rsidRDefault="00294D82" w:rsidP="00A13478">
      <w:pPr>
        <w:spacing w:after="0"/>
        <w:jc w:val="both"/>
        <w:rPr>
          <w:rFonts w:ascii="ITC Avant Garde" w:hAnsi="ITC Avant Garde"/>
          <w:i/>
          <w:u w:val="single"/>
        </w:rPr>
      </w:pPr>
      <w:r w:rsidRPr="000E4750">
        <w:rPr>
          <w:rFonts w:ascii="ITC Avant Garde" w:hAnsi="ITC Avant Garde"/>
          <w:i/>
          <w:u w:val="single"/>
        </w:rPr>
        <w:lastRenderedPageBreak/>
        <w:t>Consideraciones</w:t>
      </w:r>
    </w:p>
    <w:p w:rsidR="00E842A7" w:rsidRPr="000E4750" w:rsidRDefault="00E842A7" w:rsidP="00A13478">
      <w:pPr>
        <w:spacing w:after="0"/>
        <w:jc w:val="both"/>
        <w:rPr>
          <w:rFonts w:ascii="ITC Avant Garde" w:hAnsi="ITC Avant Garde"/>
          <w:i/>
          <w:u w:val="single"/>
        </w:rPr>
      </w:pPr>
    </w:p>
    <w:p w:rsidR="00AA6131" w:rsidRPr="000E4750" w:rsidRDefault="00DD46FC" w:rsidP="00A13478">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 xml:space="preserve">Se considera conveniente </w:t>
      </w:r>
      <w:r w:rsidR="0059684D">
        <w:rPr>
          <w:rFonts w:ascii="ITC Avant Garde" w:hAnsi="ITC Avant Garde"/>
          <w:sz w:val="22"/>
          <w:szCs w:val="22"/>
        </w:rPr>
        <w:t>atender el comentario y se acota</w:t>
      </w:r>
      <w:r w:rsidRPr="000E4750">
        <w:rPr>
          <w:rFonts w:ascii="ITC Avant Garde" w:hAnsi="ITC Avant Garde"/>
          <w:sz w:val="22"/>
          <w:szCs w:val="22"/>
        </w:rPr>
        <w:t xml:space="preserve"> que las características definidas resultan aplicables a </w:t>
      </w:r>
      <w:r w:rsidR="0059684D">
        <w:rPr>
          <w:rFonts w:ascii="ITC Avant Garde" w:hAnsi="ITC Avant Garde"/>
          <w:sz w:val="22"/>
          <w:szCs w:val="22"/>
        </w:rPr>
        <w:t xml:space="preserve">la </w:t>
      </w:r>
      <w:r w:rsidRPr="000E4750">
        <w:rPr>
          <w:rFonts w:ascii="ITC Avant Garde" w:hAnsi="ITC Avant Garde"/>
          <w:sz w:val="22"/>
          <w:szCs w:val="22"/>
        </w:rPr>
        <w:t xml:space="preserve">publicación de la información </w:t>
      </w:r>
      <w:r w:rsidR="00EF785B" w:rsidRPr="000E4750">
        <w:rPr>
          <w:rFonts w:ascii="ITC Avant Garde" w:hAnsi="ITC Avant Garde"/>
          <w:sz w:val="22"/>
          <w:szCs w:val="22"/>
        </w:rPr>
        <w:t xml:space="preserve">que </w:t>
      </w:r>
      <w:r w:rsidRPr="000E4750">
        <w:rPr>
          <w:rFonts w:ascii="ITC Avant Garde" w:hAnsi="ITC Avant Garde"/>
          <w:sz w:val="22"/>
          <w:szCs w:val="22"/>
        </w:rPr>
        <w:t>se establece en el propio anteproyecto, motivo por el cual se efectúan las adecuaciones correspondientes. Ahora bien, es importante señalar que las características establecidas, si bien algunas están cons</w:t>
      </w:r>
      <w:r w:rsidR="00951599">
        <w:rPr>
          <w:rFonts w:ascii="ITC Avant Garde" w:hAnsi="ITC Avant Garde"/>
          <w:sz w:val="22"/>
          <w:szCs w:val="22"/>
        </w:rPr>
        <w:t>ideradas en la NOM-SCFI-184-2018</w:t>
      </w:r>
      <w:r w:rsidRPr="000E4750">
        <w:rPr>
          <w:rFonts w:ascii="ITC Avant Garde" w:hAnsi="ITC Avant Garde"/>
          <w:sz w:val="22"/>
          <w:szCs w:val="22"/>
        </w:rPr>
        <w:t>, la información a la que resulta</w:t>
      </w:r>
      <w:r w:rsidR="00EF785B" w:rsidRPr="000E4750">
        <w:rPr>
          <w:rFonts w:ascii="ITC Avant Garde" w:hAnsi="ITC Avant Garde"/>
          <w:sz w:val="22"/>
          <w:szCs w:val="22"/>
        </w:rPr>
        <w:t>n</w:t>
      </w:r>
      <w:r w:rsidRPr="000E4750">
        <w:rPr>
          <w:rFonts w:ascii="ITC Avant Garde" w:hAnsi="ITC Avant Garde"/>
          <w:sz w:val="22"/>
          <w:szCs w:val="22"/>
        </w:rPr>
        <w:t xml:space="preserve"> aplicable</w:t>
      </w:r>
      <w:r w:rsidR="00EF785B" w:rsidRPr="000E4750">
        <w:rPr>
          <w:rFonts w:ascii="ITC Avant Garde" w:hAnsi="ITC Avant Garde"/>
          <w:sz w:val="22"/>
          <w:szCs w:val="22"/>
        </w:rPr>
        <w:t>s</w:t>
      </w:r>
      <w:r w:rsidRPr="000E4750">
        <w:rPr>
          <w:rFonts w:ascii="ITC Avant Garde" w:hAnsi="ITC Avant Garde"/>
          <w:sz w:val="22"/>
          <w:szCs w:val="22"/>
        </w:rPr>
        <w:t xml:space="preserve"> no es la misma, motivo por el cual se </w:t>
      </w:r>
      <w:r w:rsidR="0059684D">
        <w:rPr>
          <w:rFonts w:ascii="ITC Avant Garde" w:hAnsi="ITC Avant Garde"/>
          <w:sz w:val="22"/>
          <w:szCs w:val="22"/>
        </w:rPr>
        <w:t>estima</w:t>
      </w:r>
      <w:r w:rsidRPr="000E4750">
        <w:rPr>
          <w:rFonts w:ascii="ITC Avant Garde" w:hAnsi="ITC Avant Garde"/>
          <w:sz w:val="22"/>
          <w:szCs w:val="22"/>
        </w:rPr>
        <w:t xml:space="preserve"> conveniente mantener la redacción de algunas de las fracciones que componen el artículo. </w:t>
      </w:r>
    </w:p>
    <w:p w:rsidR="0019333F" w:rsidRPr="000E4750" w:rsidRDefault="0019333F" w:rsidP="00A13478">
      <w:pPr>
        <w:pStyle w:val="Textocomentario"/>
        <w:spacing w:after="0" w:line="276" w:lineRule="auto"/>
        <w:jc w:val="both"/>
        <w:rPr>
          <w:rFonts w:ascii="ITC Avant Garde" w:hAnsi="ITC Avant Garde"/>
          <w:b/>
          <w:sz w:val="22"/>
          <w:szCs w:val="22"/>
        </w:rPr>
      </w:pPr>
    </w:p>
    <w:p w:rsidR="00AA6131" w:rsidRPr="000E4750" w:rsidRDefault="00DD46FC" w:rsidP="00464DB4">
      <w:pPr>
        <w:pStyle w:val="Textocomentario"/>
        <w:numPr>
          <w:ilvl w:val="0"/>
          <w:numId w:val="5"/>
        </w:numPr>
        <w:spacing w:after="0" w:line="276" w:lineRule="auto"/>
        <w:jc w:val="both"/>
        <w:rPr>
          <w:rFonts w:ascii="ITC Avant Garde" w:hAnsi="ITC Avant Garde"/>
          <w:b/>
          <w:sz w:val="22"/>
          <w:szCs w:val="22"/>
        </w:rPr>
      </w:pPr>
      <w:r w:rsidRPr="000E4750">
        <w:rPr>
          <w:rFonts w:ascii="ITC Avant Garde" w:hAnsi="ITC Avant Garde"/>
          <w:b/>
          <w:sz w:val="22"/>
          <w:szCs w:val="22"/>
        </w:rPr>
        <w:t>FRACCIÓN I DEL ARTÍCULO 7</w:t>
      </w:r>
    </w:p>
    <w:p w:rsidR="00E842A7" w:rsidRPr="000E4750" w:rsidRDefault="00E842A7" w:rsidP="00E842A7">
      <w:pPr>
        <w:pStyle w:val="Textocomentario"/>
        <w:spacing w:after="0" w:line="276" w:lineRule="auto"/>
        <w:ind w:left="720"/>
        <w:jc w:val="both"/>
        <w:rPr>
          <w:rFonts w:ascii="ITC Avant Garde" w:hAnsi="ITC Avant Garde"/>
          <w:b/>
          <w:sz w:val="22"/>
          <w:szCs w:val="22"/>
        </w:rPr>
      </w:pPr>
    </w:p>
    <w:p w:rsidR="00961F18" w:rsidRPr="000E4750" w:rsidRDefault="0054760C" w:rsidP="00A13478">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La PROFECO y la industria realizan diversas propuestas de redacción con la finalidad de señalar que la información estará en idioma español, sin menoscabo de que además pueda presentarse en otro idioma.</w:t>
      </w:r>
    </w:p>
    <w:p w:rsidR="00E842A7" w:rsidRPr="000E4750" w:rsidRDefault="00E842A7" w:rsidP="00A13478">
      <w:pPr>
        <w:pStyle w:val="Textocomentario"/>
        <w:spacing w:after="0" w:line="276" w:lineRule="auto"/>
        <w:jc w:val="both"/>
        <w:rPr>
          <w:rFonts w:ascii="ITC Avant Garde" w:hAnsi="ITC Avant Garde"/>
          <w:sz w:val="22"/>
          <w:szCs w:val="22"/>
        </w:rPr>
      </w:pPr>
    </w:p>
    <w:p w:rsidR="00961F18" w:rsidRPr="000E4750" w:rsidRDefault="00961F18" w:rsidP="00A13478">
      <w:pPr>
        <w:spacing w:after="0"/>
        <w:jc w:val="both"/>
        <w:rPr>
          <w:rFonts w:ascii="ITC Avant Garde" w:hAnsi="ITC Avant Garde"/>
          <w:i/>
          <w:u w:val="single"/>
        </w:rPr>
      </w:pPr>
      <w:r w:rsidRPr="000E4750">
        <w:rPr>
          <w:rFonts w:ascii="ITC Avant Garde" w:hAnsi="ITC Avant Garde"/>
          <w:i/>
          <w:u w:val="single"/>
        </w:rPr>
        <w:t>Consideraciones</w:t>
      </w:r>
    </w:p>
    <w:p w:rsidR="00E842A7" w:rsidRPr="000E4750" w:rsidRDefault="00E842A7" w:rsidP="00A13478">
      <w:pPr>
        <w:spacing w:after="0"/>
        <w:jc w:val="both"/>
        <w:rPr>
          <w:rFonts w:ascii="ITC Avant Garde" w:hAnsi="ITC Avant Garde"/>
          <w:i/>
          <w:u w:val="single"/>
        </w:rPr>
      </w:pPr>
    </w:p>
    <w:p w:rsidR="00961F18" w:rsidRPr="000E4750" w:rsidRDefault="00961F18" w:rsidP="00A13478">
      <w:pPr>
        <w:spacing w:after="0"/>
        <w:jc w:val="both"/>
        <w:rPr>
          <w:rFonts w:ascii="ITC Avant Garde" w:hAnsi="ITC Avant Garde"/>
        </w:rPr>
      </w:pPr>
      <w:r w:rsidRPr="000E4750">
        <w:rPr>
          <w:rFonts w:ascii="ITC Avant Garde" w:hAnsi="ITC Avant Garde"/>
        </w:rPr>
        <w:t xml:space="preserve">Se considera pertinente atender las opiniones de los operadores y </w:t>
      </w:r>
      <w:r w:rsidR="00D81A15" w:rsidRPr="000E4750">
        <w:rPr>
          <w:rFonts w:ascii="ITC Avant Garde" w:hAnsi="ITC Avant Garde"/>
        </w:rPr>
        <w:t>la PROFECO</w:t>
      </w:r>
      <w:r w:rsidRPr="000E4750">
        <w:rPr>
          <w:rFonts w:ascii="ITC Avant Garde" w:hAnsi="ITC Avant Garde"/>
        </w:rPr>
        <w:t xml:space="preserve">, </w:t>
      </w:r>
      <w:r w:rsidR="004474E2">
        <w:rPr>
          <w:rFonts w:ascii="ITC Avant Garde" w:hAnsi="ITC Avant Garde"/>
        </w:rPr>
        <w:t>por</w:t>
      </w:r>
      <w:r w:rsidR="00EF785B" w:rsidRPr="000E4750">
        <w:rPr>
          <w:rFonts w:ascii="ITC Avant Garde" w:hAnsi="ITC Avant Garde"/>
        </w:rPr>
        <w:t xml:space="preserve"> ello, se realizan adecuaciones a la </w:t>
      </w:r>
      <w:r w:rsidR="004474E2">
        <w:rPr>
          <w:rFonts w:ascii="ITC Avant Garde" w:hAnsi="ITC Avant Garde"/>
        </w:rPr>
        <w:t xml:space="preserve">redacción a fin de </w:t>
      </w:r>
      <w:r w:rsidR="00D81A15" w:rsidRPr="000E4750">
        <w:rPr>
          <w:rFonts w:ascii="ITC Avant Garde" w:hAnsi="ITC Avant Garde"/>
        </w:rPr>
        <w:t>guardar consistencia con otras disposiciones jurídicas</w:t>
      </w:r>
      <w:r w:rsidRPr="000E4750">
        <w:rPr>
          <w:rFonts w:ascii="ITC Avant Garde" w:hAnsi="ITC Avant Garde"/>
        </w:rPr>
        <w:t>.</w:t>
      </w:r>
    </w:p>
    <w:p w:rsidR="008E5720" w:rsidRPr="000E4750" w:rsidRDefault="008E5720" w:rsidP="008E5720">
      <w:pPr>
        <w:shd w:val="clear" w:color="auto" w:fill="FFFFFF"/>
        <w:spacing w:after="0"/>
        <w:rPr>
          <w:rFonts w:ascii="ITC Avant Garde" w:hAnsi="ITC Avant Garde"/>
          <w:b/>
        </w:rPr>
      </w:pPr>
    </w:p>
    <w:p w:rsidR="00D81A15" w:rsidRPr="000E4750" w:rsidRDefault="00D81A15" w:rsidP="00464DB4">
      <w:pPr>
        <w:pStyle w:val="Textocomentario"/>
        <w:numPr>
          <w:ilvl w:val="0"/>
          <w:numId w:val="5"/>
        </w:numPr>
        <w:spacing w:after="0" w:line="276" w:lineRule="auto"/>
        <w:jc w:val="both"/>
        <w:rPr>
          <w:rFonts w:ascii="ITC Avant Garde" w:hAnsi="ITC Avant Garde"/>
          <w:b/>
          <w:sz w:val="22"/>
          <w:szCs w:val="22"/>
        </w:rPr>
      </w:pPr>
      <w:r w:rsidRPr="000E4750">
        <w:rPr>
          <w:rFonts w:ascii="ITC Avant Garde" w:hAnsi="ITC Avant Garde"/>
          <w:b/>
          <w:sz w:val="22"/>
          <w:szCs w:val="22"/>
        </w:rPr>
        <w:t>FRACCIÓN II DEL ARTÍCULO 7</w:t>
      </w:r>
    </w:p>
    <w:p w:rsidR="00D81A15" w:rsidRPr="000E4750" w:rsidRDefault="00D81A15" w:rsidP="00D81A15">
      <w:pPr>
        <w:pStyle w:val="Textocomentario"/>
        <w:spacing w:after="0" w:line="276" w:lineRule="auto"/>
        <w:ind w:left="720"/>
        <w:jc w:val="both"/>
        <w:rPr>
          <w:rFonts w:ascii="ITC Avant Garde" w:hAnsi="ITC Avant Garde"/>
          <w:b/>
          <w:sz w:val="22"/>
          <w:szCs w:val="22"/>
        </w:rPr>
      </w:pPr>
    </w:p>
    <w:p w:rsidR="00D81A15" w:rsidRPr="000E4750" w:rsidRDefault="00D81A15" w:rsidP="00D81A15">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 xml:space="preserve">La industria </w:t>
      </w:r>
      <w:r w:rsidR="00670D71" w:rsidRPr="000E4750">
        <w:rPr>
          <w:rFonts w:ascii="ITC Avant Garde" w:hAnsi="ITC Avant Garde"/>
          <w:sz w:val="22"/>
          <w:szCs w:val="22"/>
        </w:rPr>
        <w:t>propone eliminar la fracción, toda vez que señalan que en la industria de las telecomunicaciones es imposible dejar</w:t>
      </w:r>
      <w:r w:rsidR="0013064F">
        <w:rPr>
          <w:rFonts w:ascii="ITC Avant Garde" w:hAnsi="ITC Avant Garde"/>
          <w:sz w:val="22"/>
          <w:szCs w:val="22"/>
        </w:rPr>
        <w:t xml:space="preserve"> de</w:t>
      </w:r>
      <w:r w:rsidR="00670D71" w:rsidRPr="000E4750">
        <w:rPr>
          <w:rFonts w:ascii="ITC Avant Garde" w:hAnsi="ITC Avant Garde"/>
          <w:sz w:val="22"/>
          <w:szCs w:val="22"/>
        </w:rPr>
        <w:t xml:space="preserve"> utilizar tecnicismos</w:t>
      </w:r>
      <w:r w:rsidRPr="000E4750">
        <w:rPr>
          <w:rFonts w:ascii="ITC Avant Garde" w:hAnsi="ITC Avant Garde"/>
          <w:sz w:val="22"/>
          <w:szCs w:val="22"/>
        </w:rPr>
        <w:t>.</w:t>
      </w:r>
    </w:p>
    <w:p w:rsidR="00D81A15" w:rsidRPr="000E4750" w:rsidRDefault="00D81A15" w:rsidP="00D81A15">
      <w:pPr>
        <w:pStyle w:val="Textocomentario"/>
        <w:spacing w:after="0" w:line="276" w:lineRule="auto"/>
        <w:jc w:val="both"/>
        <w:rPr>
          <w:rFonts w:ascii="ITC Avant Garde" w:hAnsi="ITC Avant Garde"/>
          <w:sz w:val="22"/>
          <w:szCs w:val="22"/>
        </w:rPr>
      </w:pPr>
    </w:p>
    <w:p w:rsidR="00D81A15" w:rsidRPr="000E4750" w:rsidRDefault="00D81A15" w:rsidP="00D81A15">
      <w:pPr>
        <w:spacing w:after="0"/>
        <w:jc w:val="both"/>
        <w:rPr>
          <w:rFonts w:ascii="ITC Avant Garde" w:hAnsi="ITC Avant Garde"/>
          <w:i/>
          <w:u w:val="single"/>
        </w:rPr>
      </w:pPr>
      <w:r w:rsidRPr="000E4750">
        <w:rPr>
          <w:rFonts w:ascii="ITC Avant Garde" w:hAnsi="ITC Avant Garde"/>
          <w:i/>
          <w:u w:val="single"/>
        </w:rPr>
        <w:t>Consideraciones</w:t>
      </w:r>
    </w:p>
    <w:p w:rsidR="00D81A15" w:rsidRPr="000E4750" w:rsidRDefault="00D81A15" w:rsidP="00D81A15">
      <w:pPr>
        <w:spacing w:after="0"/>
        <w:jc w:val="both"/>
        <w:rPr>
          <w:rFonts w:ascii="ITC Avant Garde" w:hAnsi="ITC Avant Garde"/>
          <w:i/>
          <w:u w:val="single"/>
        </w:rPr>
      </w:pPr>
    </w:p>
    <w:p w:rsidR="00D81A15" w:rsidRPr="000E4750" w:rsidRDefault="00D81A15" w:rsidP="00EF785B">
      <w:pPr>
        <w:shd w:val="clear" w:color="auto" w:fill="FFFFFF"/>
        <w:spacing w:after="0"/>
        <w:jc w:val="both"/>
        <w:rPr>
          <w:rFonts w:ascii="ITC Avant Garde" w:hAnsi="ITC Avant Garde"/>
          <w:b/>
        </w:rPr>
      </w:pPr>
      <w:r w:rsidRPr="000E4750">
        <w:rPr>
          <w:rFonts w:ascii="ITC Avant Garde" w:hAnsi="ITC Avant Garde"/>
        </w:rPr>
        <w:t>Se considera</w:t>
      </w:r>
      <w:r w:rsidR="00670D71" w:rsidRPr="000E4750">
        <w:rPr>
          <w:rFonts w:ascii="ITC Avant Garde" w:hAnsi="ITC Avant Garde"/>
        </w:rPr>
        <w:t xml:space="preserve"> conveniente mantener la redacción propuesta en el proyecto</w:t>
      </w:r>
      <w:r w:rsidR="00EF785B" w:rsidRPr="000E4750">
        <w:rPr>
          <w:rFonts w:ascii="ITC Avant Garde" w:hAnsi="ITC Avant Garde"/>
        </w:rPr>
        <w:t xml:space="preserve"> de Lineamientos</w:t>
      </w:r>
      <w:r w:rsidR="00670D71" w:rsidRPr="000E4750">
        <w:rPr>
          <w:rFonts w:ascii="ITC Avant Garde" w:hAnsi="ITC Avant Garde"/>
        </w:rPr>
        <w:t>, atendiendo a que</w:t>
      </w:r>
      <w:r w:rsidR="00EF785B" w:rsidRPr="000E4750">
        <w:rPr>
          <w:rFonts w:ascii="ITC Avant Garde" w:hAnsi="ITC Avant Garde"/>
        </w:rPr>
        <w:t xml:space="preserve"> en la fracción II</w:t>
      </w:r>
      <w:r w:rsidR="00670D71" w:rsidRPr="000E4750">
        <w:rPr>
          <w:rFonts w:ascii="ITC Avant Garde" w:hAnsi="ITC Avant Garde"/>
        </w:rPr>
        <w:t xml:space="preserve"> </w:t>
      </w:r>
      <w:r w:rsidR="0080197D" w:rsidRPr="000E4750">
        <w:rPr>
          <w:rFonts w:ascii="ITC Avant Garde" w:hAnsi="ITC Avant Garde"/>
        </w:rPr>
        <w:t>se</w:t>
      </w:r>
      <w:r w:rsidR="00EF785B" w:rsidRPr="000E4750">
        <w:rPr>
          <w:rFonts w:ascii="ITC Avant Garde" w:hAnsi="ITC Avant Garde"/>
        </w:rPr>
        <w:t xml:space="preserve"> establece que se</w:t>
      </w:r>
      <w:r w:rsidR="0080197D" w:rsidRPr="000E4750">
        <w:rPr>
          <w:rFonts w:ascii="ITC Avant Garde" w:hAnsi="ITC Avant Garde"/>
        </w:rPr>
        <w:t xml:space="preserve"> podrá hacer </w:t>
      </w:r>
      <w:r w:rsidR="00670D71" w:rsidRPr="000E4750">
        <w:rPr>
          <w:rFonts w:ascii="ITC Avant Garde" w:hAnsi="ITC Avant Garde"/>
        </w:rPr>
        <w:t xml:space="preserve">uso de </w:t>
      </w:r>
      <w:r w:rsidR="00627BA9" w:rsidRPr="000E4750">
        <w:rPr>
          <w:rFonts w:ascii="ITC Avant Garde" w:hAnsi="ITC Avant Garde"/>
        </w:rPr>
        <w:t>tecnicismos</w:t>
      </w:r>
      <w:r w:rsidR="00670D71" w:rsidRPr="000E4750">
        <w:rPr>
          <w:rFonts w:ascii="ITC Avant Garde" w:hAnsi="ITC Avant Garde"/>
        </w:rPr>
        <w:t>, siempre y cuando estén previamente descritos</w:t>
      </w:r>
      <w:r w:rsidR="0080197D" w:rsidRPr="000E4750">
        <w:rPr>
          <w:rFonts w:ascii="ITC Avant Garde" w:hAnsi="ITC Avant Garde"/>
        </w:rPr>
        <w:t>.</w:t>
      </w:r>
    </w:p>
    <w:p w:rsidR="00D81A15" w:rsidRPr="000E4750" w:rsidRDefault="00D81A15" w:rsidP="008E5720">
      <w:pPr>
        <w:shd w:val="clear" w:color="auto" w:fill="FFFFFF"/>
        <w:spacing w:after="0"/>
        <w:rPr>
          <w:rFonts w:ascii="ITC Avant Garde" w:hAnsi="ITC Avant Garde"/>
          <w:b/>
        </w:rPr>
      </w:pPr>
    </w:p>
    <w:p w:rsidR="00670D71" w:rsidRPr="000E4750" w:rsidRDefault="00670D71" w:rsidP="00464DB4">
      <w:pPr>
        <w:pStyle w:val="Textocomentario"/>
        <w:numPr>
          <w:ilvl w:val="0"/>
          <w:numId w:val="5"/>
        </w:numPr>
        <w:spacing w:after="0" w:line="276" w:lineRule="auto"/>
        <w:jc w:val="both"/>
        <w:rPr>
          <w:rFonts w:ascii="ITC Avant Garde" w:hAnsi="ITC Avant Garde"/>
          <w:b/>
          <w:sz w:val="22"/>
          <w:szCs w:val="22"/>
        </w:rPr>
      </w:pPr>
      <w:r w:rsidRPr="000E4750">
        <w:rPr>
          <w:rFonts w:ascii="ITC Avant Garde" w:hAnsi="ITC Avant Garde"/>
          <w:b/>
          <w:sz w:val="22"/>
          <w:szCs w:val="22"/>
        </w:rPr>
        <w:t>FRACCI</w:t>
      </w:r>
      <w:r w:rsidR="0080197D" w:rsidRPr="000E4750">
        <w:rPr>
          <w:rFonts w:ascii="ITC Avant Garde" w:hAnsi="ITC Avant Garde"/>
          <w:b/>
          <w:sz w:val="22"/>
          <w:szCs w:val="22"/>
        </w:rPr>
        <w:t>ONES III, IV, V y VI</w:t>
      </w:r>
      <w:r w:rsidRPr="000E4750">
        <w:rPr>
          <w:rFonts w:ascii="ITC Avant Garde" w:hAnsi="ITC Avant Garde"/>
          <w:b/>
          <w:sz w:val="22"/>
          <w:szCs w:val="22"/>
        </w:rPr>
        <w:t xml:space="preserve"> DEL ARTÍCULO 7</w:t>
      </w:r>
    </w:p>
    <w:p w:rsidR="00670D71" w:rsidRPr="000E4750" w:rsidRDefault="00670D71" w:rsidP="00670D71">
      <w:pPr>
        <w:pStyle w:val="Textocomentario"/>
        <w:spacing w:after="0" w:line="276" w:lineRule="auto"/>
        <w:ind w:left="720"/>
        <w:jc w:val="both"/>
        <w:rPr>
          <w:rFonts w:ascii="ITC Avant Garde" w:hAnsi="ITC Avant Garde"/>
          <w:b/>
          <w:sz w:val="22"/>
          <w:szCs w:val="22"/>
        </w:rPr>
      </w:pPr>
    </w:p>
    <w:p w:rsidR="004B4FC7" w:rsidRPr="000E4750" w:rsidRDefault="00670D71" w:rsidP="00670D71">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 xml:space="preserve">La </w:t>
      </w:r>
      <w:r w:rsidR="004B4FC7" w:rsidRPr="000E4750">
        <w:rPr>
          <w:rFonts w:ascii="ITC Avant Garde" w:hAnsi="ITC Avant Garde"/>
          <w:sz w:val="22"/>
          <w:szCs w:val="22"/>
        </w:rPr>
        <w:t>i</w:t>
      </w:r>
      <w:r w:rsidRPr="000E4750">
        <w:rPr>
          <w:rFonts w:ascii="ITC Avant Garde" w:hAnsi="ITC Avant Garde"/>
          <w:sz w:val="22"/>
          <w:szCs w:val="22"/>
        </w:rPr>
        <w:t xml:space="preserve">ndustria </w:t>
      </w:r>
      <w:r w:rsidR="004B4FC7" w:rsidRPr="000E4750">
        <w:rPr>
          <w:rFonts w:ascii="ITC Avant Garde" w:hAnsi="ITC Avant Garde"/>
          <w:sz w:val="22"/>
          <w:szCs w:val="22"/>
        </w:rPr>
        <w:t>propone eliminar las fracciones referidas, toda vez que representan cargas excesivas y atentan contra la libertad publicitaria, asimismo, señalan que dentro de las fracciones se manejan términos que resultan subjetivos</w:t>
      </w:r>
      <w:r w:rsidR="00054630" w:rsidRPr="000E4750">
        <w:rPr>
          <w:rFonts w:ascii="ITC Avant Garde" w:hAnsi="ITC Avant Garde"/>
          <w:sz w:val="22"/>
          <w:szCs w:val="22"/>
        </w:rPr>
        <w:t xml:space="preserve"> y complejos</w:t>
      </w:r>
      <w:r w:rsidR="004B4FC7" w:rsidRPr="000E4750">
        <w:rPr>
          <w:rFonts w:ascii="ITC Avant Garde" w:hAnsi="ITC Avant Garde"/>
          <w:sz w:val="22"/>
          <w:szCs w:val="22"/>
        </w:rPr>
        <w:t>.</w:t>
      </w:r>
    </w:p>
    <w:p w:rsidR="004B4FC7" w:rsidRPr="000E4750" w:rsidRDefault="004B4FC7" w:rsidP="00670D71">
      <w:pPr>
        <w:pStyle w:val="Textocomentario"/>
        <w:spacing w:after="0" w:line="276" w:lineRule="auto"/>
        <w:jc w:val="both"/>
        <w:rPr>
          <w:rFonts w:ascii="ITC Avant Garde" w:hAnsi="ITC Avant Garde"/>
          <w:sz w:val="22"/>
          <w:szCs w:val="22"/>
        </w:rPr>
      </w:pPr>
    </w:p>
    <w:p w:rsidR="00670D71" w:rsidRPr="000E4750" w:rsidRDefault="00670D71" w:rsidP="00670D71">
      <w:pPr>
        <w:spacing w:after="0"/>
        <w:jc w:val="both"/>
        <w:rPr>
          <w:rFonts w:ascii="ITC Avant Garde" w:hAnsi="ITC Avant Garde"/>
          <w:i/>
          <w:u w:val="single"/>
        </w:rPr>
      </w:pPr>
      <w:r w:rsidRPr="000E4750">
        <w:rPr>
          <w:rFonts w:ascii="ITC Avant Garde" w:hAnsi="ITC Avant Garde"/>
          <w:i/>
          <w:u w:val="single"/>
        </w:rPr>
        <w:t>Consideraciones</w:t>
      </w:r>
    </w:p>
    <w:p w:rsidR="00670D71" w:rsidRPr="000E4750" w:rsidRDefault="00670D71" w:rsidP="00670D71">
      <w:pPr>
        <w:spacing w:after="0"/>
        <w:jc w:val="both"/>
        <w:rPr>
          <w:rFonts w:ascii="ITC Avant Garde" w:hAnsi="ITC Avant Garde"/>
          <w:i/>
          <w:u w:val="single"/>
        </w:rPr>
      </w:pPr>
    </w:p>
    <w:p w:rsidR="00D81A15" w:rsidRPr="000E4750" w:rsidRDefault="004B4FC7" w:rsidP="00B83BF3">
      <w:pPr>
        <w:shd w:val="clear" w:color="auto" w:fill="FFFFFF"/>
        <w:spacing w:after="0"/>
        <w:jc w:val="both"/>
        <w:rPr>
          <w:rFonts w:ascii="ITC Avant Garde" w:hAnsi="ITC Avant Garde"/>
          <w:b/>
        </w:rPr>
      </w:pPr>
      <w:r w:rsidRPr="000E4750">
        <w:rPr>
          <w:rFonts w:ascii="ITC Avant Garde" w:hAnsi="ITC Avant Garde"/>
        </w:rPr>
        <w:t xml:space="preserve">Se atienden los comentarios formulados por la industria y se </w:t>
      </w:r>
      <w:r w:rsidRPr="00D82323">
        <w:rPr>
          <w:rFonts w:ascii="ITC Avant Garde" w:hAnsi="ITC Avant Garde"/>
        </w:rPr>
        <w:t>eliminan las fracciones III, IV, V y VI</w:t>
      </w:r>
      <w:r w:rsidR="00F201D8">
        <w:rPr>
          <w:rFonts w:ascii="ITC Avant Garde" w:hAnsi="ITC Avant Garde"/>
        </w:rPr>
        <w:t xml:space="preserve"> del artículo 7 del Anteproyecto</w:t>
      </w:r>
      <w:r w:rsidRPr="000E4750">
        <w:rPr>
          <w:rFonts w:ascii="ITC Avant Garde" w:hAnsi="ITC Avant Garde"/>
        </w:rPr>
        <w:t>, tomando en consideración que</w:t>
      </w:r>
      <w:r w:rsidR="00F201D8">
        <w:rPr>
          <w:rFonts w:ascii="ITC Avant Garde" w:hAnsi="ITC Avant Garde"/>
        </w:rPr>
        <w:t>,</w:t>
      </w:r>
      <w:r w:rsidRPr="000E4750">
        <w:rPr>
          <w:rFonts w:ascii="ITC Avant Garde" w:hAnsi="ITC Avant Garde"/>
        </w:rPr>
        <w:t xml:space="preserve"> con las adecuaciones al contenido del proyecto derivado de los comentarios recibidos en la consulta pública, se permitirá garantizar que los usuarios tengan acceso a la información </w:t>
      </w:r>
      <w:r w:rsidR="00B83BF3" w:rsidRPr="000E4750">
        <w:rPr>
          <w:rFonts w:ascii="ITC Avant Garde" w:hAnsi="ITC Avant Garde"/>
        </w:rPr>
        <w:t>de manera sencilla y fácilmente perceptible.</w:t>
      </w:r>
    </w:p>
    <w:p w:rsidR="00D81A15" w:rsidRPr="000E4750" w:rsidRDefault="00D81A15" w:rsidP="008E5720">
      <w:pPr>
        <w:shd w:val="clear" w:color="auto" w:fill="FFFFFF"/>
        <w:spacing w:after="0"/>
        <w:rPr>
          <w:rFonts w:ascii="ITC Avant Garde" w:hAnsi="ITC Avant Garde"/>
          <w:b/>
        </w:rPr>
      </w:pPr>
    </w:p>
    <w:p w:rsidR="00B83BF3" w:rsidRPr="000E4750" w:rsidRDefault="00B83BF3" w:rsidP="00464DB4">
      <w:pPr>
        <w:pStyle w:val="Textocomentario"/>
        <w:numPr>
          <w:ilvl w:val="0"/>
          <w:numId w:val="5"/>
        </w:numPr>
        <w:spacing w:after="0" w:line="276" w:lineRule="auto"/>
        <w:jc w:val="both"/>
        <w:rPr>
          <w:rFonts w:ascii="ITC Avant Garde" w:hAnsi="ITC Avant Garde"/>
          <w:b/>
          <w:sz w:val="22"/>
          <w:szCs w:val="22"/>
        </w:rPr>
      </w:pPr>
      <w:r w:rsidRPr="000E4750">
        <w:rPr>
          <w:rFonts w:ascii="ITC Avant Garde" w:hAnsi="ITC Avant Garde"/>
          <w:b/>
          <w:sz w:val="22"/>
          <w:szCs w:val="22"/>
        </w:rPr>
        <w:t>FRACCIÓN VII DEL ARTÍCULO 7</w:t>
      </w:r>
    </w:p>
    <w:p w:rsidR="00B83BF3" w:rsidRPr="000E4750" w:rsidRDefault="00B83BF3" w:rsidP="00B83BF3">
      <w:pPr>
        <w:pStyle w:val="Textocomentario"/>
        <w:spacing w:after="0" w:line="276" w:lineRule="auto"/>
        <w:ind w:left="720"/>
        <w:jc w:val="both"/>
        <w:rPr>
          <w:rFonts w:ascii="ITC Avant Garde" w:hAnsi="ITC Avant Garde"/>
          <w:b/>
          <w:sz w:val="22"/>
          <w:szCs w:val="22"/>
        </w:rPr>
      </w:pPr>
    </w:p>
    <w:p w:rsidR="00B83BF3" w:rsidRPr="000E4750" w:rsidRDefault="00B83BF3" w:rsidP="00B83BF3">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La industri</w:t>
      </w:r>
      <w:r w:rsidR="0026681E" w:rsidRPr="000E4750">
        <w:rPr>
          <w:rFonts w:ascii="ITC Avant Garde" w:hAnsi="ITC Avant Garde"/>
          <w:sz w:val="22"/>
          <w:szCs w:val="22"/>
        </w:rPr>
        <w:t>a propone eliminar la</w:t>
      </w:r>
      <w:r w:rsidR="00BA558B" w:rsidRPr="000E4750">
        <w:rPr>
          <w:rFonts w:ascii="ITC Avant Garde" w:hAnsi="ITC Avant Garde"/>
          <w:sz w:val="22"/>
          <w:szCs w:val="22"/>
        </w:rPr>
        <w:t xml:space="preserve"> fracción referida</w:t>
      </w:r>
      <w:r w:rsidRPr="000E4750">
        <w:rPr>
          <w:rFonts w:ascii="ITC Avant Garde" w:hAnsi="ITC Avant Garde"/>
          <w:sz w:val="22"/>
          <w:szCs w:val="22"/>
        </w:rPr>
        <w:t xml:space="preserve">, toda vez que </w:t>
      </w:r>
      <w:r w:rsidR="00BA558B" w:rsidRPr="000E4750">
        <w:rPr>
          <w:rFonts w:ascii="ITC Avant Garde" w:hAnsi="ITC Avant Garde"/>
          <w:sz w:val="22"/>
          <w:szCs w:val="22"/>
        </w:rPr>
        <w:t>señalan representa grandes</w:t>
      </w:r>
      <w:r w:rsidRPr="000E4750">
        <w:rPr>
          <w:rFonts w:ascii="ITC Avant Garde" w:hAnsi="ITC Avant Garde"/>
          <w:sz w:val="22"/>
          <w:szCs w:val="22"/>
        </w:rPr>
        <w:t xml:space="preserve"> cargas </w:t>
      </w:r>
      <w:r w:rsidR="00BA558B" w:rsidRPr="000E4750">
        <w:rPr>
          <w:rFonts w:ascii="ITC Avant Garde" w:hAnsi="ITC Avant Garde"/>
          <w:sz w:val="22"/>
          <w:szCs w:val="22"/>
        </w:rPr>
        <w:t xml:space="preserve">administrativas </w:t>
      </w:r>
      <w:r w:rsidRPr="000E4750">
        <w:rPr>
          <w:rFonts w:ascii="ITC Avant Garde" w:hAnsi="ITC Avant Garde"/>
          <w:sz w:val="22"/>
          <w:szCs w:val="22"/>
        </w:rPr>
        <w:t>y</w:t>
      </w:r>
      <w:r w:rsidR="00BA558B" w:rsidRPr="000E4750">
        <w:rPr>
          <w:rFonts w:ascii="ITC Avant Garde" w:hAnsi="ITC Avant Garde"/>
          <w:sz w:val="22"/>
          <w:szCs w:val="22"/>
        </w:rPr>
        <w:t xml:space="preserve"> consideran es imposible actualizar toda la información para las tarifas, asimismo, señalan que la información de la hora y fecha no garantiza la vigencia de la información.</w:t>
      </w:r>
    </w:p>
    <w:p w:rsidR="00B83BF3" w:rsidRPr="000E4750" w:rsidRDefault="00B83BF3" w:rsidP="00B83BF3">
      <w:pPr>
        <w:pStyle w:val="Textocomentario"/>
        <w:spacing w:after="0" w:line="276" w:lineRule="auto"/>
        <w:jc w:val="both"/>
        <w:rPr>
          <w:rFonts w:ascii="ITC Avant Garde" w:hAnsi="ITC Avant Garde"/>
          <w:sz w:val="22"/>
          <w:szCs w:val="22"/>
        </w:rPr>
      </w:pPr>
    </w:p>
    <w:p w:rsidR="00B83BF3" w:rsidRPr="000E4750" w:rsidRDefault="00B83BF3" w:rsidP="00B83BF3">
      <w:pPr>
        <w:spacing w:after="0"/>
        <w:jc w:val="both"/>
        <w:rPr>
          <w:rFonts w:ascii="ITC Avant Garde" w:hAnsi="ITC Avant Garde"/>
          <w:i/>
          <w:u w:val="single"/>
        </w:rPr>
      </w:pPr>
      <w:r w:rsidRPr="000E4750">
        <w:rPr>
          <w:rFonts w:ascii="ITC Avant Garde" w:hAnsi="ITC Avant Garde"/>
          <w:i/>
          <w:u w:val="single"/>
        </w:rPr>
        <w:t>Consideraciones</w:t>
      </w:r>
    </w:p>
    <w:p w:rsidR="00B83BF3" w:rsidRPr="000E4750" w:rsidRDefault="00B83BF3" w:rsidP="00B83BF3">
      <w:pPr>
        <w:spacing w:after="0"/>
        <w:jc w:val="both"/>
        <w:rPr>
          <w:rFonts w:ascii="ITC Avant Garde" w:hAnsi="ITC Avant Garde"/>
          <w:i/>
          <w:u w:val="single"/>
        </w:rPr>
      </w:pPr>
    </w:p>
    <w:p w:rsidR="00B83BF3" w:rsidRPr="000E4750" w:rsidRDefault="00B83BF3" w:rsidP="00B83BF3">
      <w:pPr>
        <w:shd w:val="clear" w:color="auto" w:fill="FFFFFF"/>
        <w:spacing w:after="0"/>
        <w:jc w:val="both"/>
        <w:rPr>
          <w:rFonts w:ascii="ITC Avant Garde" w:hAnsi="ITC Avant Garde"/>
          <w:b/>
        </w:rPr>
      </w:pPr>
      <w:r w:rsidRPr="000E4750">
        <w:rPr>
          <w:rFonts w:ascii="ITC Avant Garde" w:hAnsi="ITC Avant Garde"/>
        </w:rPr>
        <w:t xml:space="preserve">Se atienden los comentarios formulados por la industria y se </w:t>
      </w:r>
      <w:r w:rsidR="00BA558B" w:rsidRPr="000E4750">
        <w:rPr>
          <w:rFonts w:ascii="ITC Avant Garde" w:hAnsi="ITC Avant Garde"/>
        </w:rPr>
        <w:t>modifica la redacción de la obligación, en el sentido de que los concesionarios y autorizados no deberán publicar información que no dé certeza a los usuarios o suscriptores por no encontrarse vigente.</w:t>
      </w:r>
    </w:p>
    <w:p w:rsidR="00B83BF3" w:rsidRPr="000E4750" w:rsidRDefault="00B83BF3" w:rsidP="008E5720">
      <w:pPr>
        <w:shd w:val="clear" w:color="auto" w:fill="FFFFFF"/>
        <w:spacing w:after="0"/>
        <w:rPr>
          <w:rFonts w:ascii="ITC Avant Garde" w:hAnsi="ITC Avant Garde"/>
          <w:b/>
        </w:rPr>
      </w:pPr>
    </w:p>
    <w:p w:rsidR="0026681E" w:rsidRPr="000E4750" w:rsidRDefault="0026681E" w:rsidP="00464DB4">
      <w:pPr>
        <w:pStyle w:val="Textocomentario"/>
        <w:numPr>
          <w:ilvl w:val="0"/>
          <w:numId w:val="5"/>
        </w:numPr>
        <w:spacing w:after="0" w:line="276" w:lineRule="auto"/>
        <w:jc w:val="both"/>
        <w:rPr>
          <w:rFonts w:ascii="ITC Avant Garde" w:hAnsi="ITC Avant Garde"/>
          <w:b/>
          <w:sz w:val="22"/>
          <w:szCs w:val="22"/>
        </w:rPr>
      </w:pPr>
      <w:r w:rsidRPr="000E4750">
        <w:rPr>
          <w:rFonts w:ascii="ITC Avant Garde" w:hAnsi="ITC Avant Garde"/>
          <w:b/>
          <w:sz w:val="22"/>
          <w:szCs w:val="22"/>
        </w:rPr>
        <w:t>FRACCIÓN VIII DEL ARTÍCULO 7</w:t>
      </w:r>
    </w:p>
    <w:p w:rsidR="0026681E" w:rsidRPr="000E4750" w:rsidRDefault="0026681E" w:rsidP="0026681E">
      <w:pPr>
        <w:pStyle w:val="Textocomentario"/>
        <w:spacing w:after="0" w:line="276" w:lineRule="auto"/>
        <w:ind w:left="720"/>
        <w:jc w:val="both"/>
        <w:rPr>
          <w:rFonts w:ascii="ITC Avant Garde" w:hAnsi="ITC Avant Garde"/>
          <w:b/>
          <w:sz w:val="22"/>
          <w:szCs w:val="22"/>
        </w:rPr>
      </w:pPr>
    </w:p>
    <w:p w:rsidR="0026681E" w:rsidRPr="000E4750" w:rsidRDefault="0026681E" w:rsidP="0026681E">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 xml:space="preserve">La industria propone </w:t>
      </w:r>
      <w:r w:rsidR="00B64910" w:rsidRPr="000E4750">
        <w:rPr>
          <w:rFonts w:ascii="ITC Avant Garde" w:hAnsi="ITC Avant Garde"/>
          <w:sz w:val="22"/>
          <w:szCs w:val="22"/>
        </w:rPr>
        <w:t xml:space="preserve">realizar adecuaciones a la redacción propuesta a fin de </w:t>
      </w:r>
      <w:r w:rsidRPr="000E4750">
        <w:rPr>
          <w:rFonts w:ascii="ITC Avant Garde" w:hAnsi="ITC Avant Garde"/>
          <w:sz w:val="22"/>
          <w:szCs w:val="22"/>
        </w:rPr>
        <w:t xml:space="preserve">acotar el término “ser de fácil acceso” </w:t>
      </w:r>
      <w:r w:rsidR="00B64910" w:rsidRPr="000E4750">
        <w:rPr>
          <w:rFonts w:ascii="ITC Avant Garde" w:hAnsi="ITC Avant Garde"/>
          <w:sz w:val="22"/>
          <w:szCs w:val="22"/>
        </w:rPr>
        <w:t>a la posibilidad de consultar la información</w:t>
      </w:r>
      <w:r w:rsidRPr="000E4750">
        <w:rPr>
          <w:rFonts w:ascii="ITC Avant Garde" w:hAnsi="ITC Avant Garde"/>
          <w:sz w:val="22"/>
          <w:szCs w:val="22"/>
        </w:rPr>
        <w:t xml:space="preserve"> sin restricciones y eliminar “de manera sencilla” ya que esto es un término ambiguo y subjetivo.</w:t>
      </w:r>
    </w:p>
    <w:p w:rsidR="0026681E" w:rsidRPr="000E4750" w:rsidRDefault="0026681E" w:rsidP="0026681E">
      <w:pPr>
        <w:pStyle w:val="Textocomentario"/>
        <w:spacing w:after="0" w:line="276" w:lineRule="auto"/>
        <w:jc w:val="both"/>
        <w:rPr>
          <w:rFonts w:ascii="ITC Avant Garde" w:hAnsi="ITC Avant Garde"/>
          <w:sz w:val="22"/>
          <w:szCs w:val="22"/>
        </w:rPr>
      </w:pPr>
    </w:p>
    <w:p w:rsidR="0026681E" w:rsidRPr="000E4750" w:rsidRDefault="0026681E" w:rsidP="0026681E">
      <w:pPr>
        <w:spacing w:after="0"/>
        <w:jc w:val="both"/>
        <w:rPr>
          <w:rFonts w:ascii="ITC Avant Garde" w:hAnsi="ITC Avant Garde"/>
          <w:i/>
          <w:u w:val="single"/>
        </w:rPr>
      </w:pPr>
      <w:r w:rsidRPr="000E4750">
        <w:rPr>
          <w:rFonts w:ascii="ITC Avant Garde" w:hAnsi="ITC Avant Garde"/>
          <w:i/>
          <w:u w:val="single"/>
        </w:rPr>
        <w:t>Consideraciones</w:t>
      </w:r>
    </w:p>
    <w:p w:rsidR="0026681E" w:rsidRPr="000E4750" w:rsidRDefault="0026681E" w:rsidP="0026681E">
      <w:pPr>
        <w:spacing w:after="0"/>
        <w:jc w:val="both"/>
        <w:rPr>
          <w:rFonts w:ascii="ITC Avant Garde" w:hAnsi="ITC Avant Garde"/>
          <w:i/>
          <w:u w:val="single"/>
        </w:rPr>
      </w:pPr>
    </w:p>
    <w:p w:rsidR="004424D9" w:rsidRDefault="00B64910" w:rsidP="0026681E">
      <w:pPr>
        <w:shd w:val="clear" w:color="auto" w:fill="FFFFFF"/>
        <w:spacing w:after="0"/>
        <w:jc w:val="both"/>
        <w:rPr>
          <w:rFonts w:ascii="ITC Avant Garde" w:hAnsi="ITC Avant Garde"/>
        </w:rPr>
      </w:pPr>
      <w:r w:rsidRPr="000E4750">
        <w:rPr>
          <w:rFonts w:ascii="ITC Avant Garde" w:hAnsi="ITC Avant Garde"/>
        </w:rPr>
        <w:t xml:space="preserve">Con relación al comentario, se considera pertinente realizar modificaciones a la redacción con la finalidad </w:t>
      </w:r>
      <w:r w:rsidR="00CC7A2D">
        <w:rPr>
          <w:rFonts w:ascii="ITC Avant Garde" w:hAnsi="ITC Avant Garde"/>
        </w:rPr>
        <w:t>de puntualizar</w:t>
      </w:r>
      <w:r w:rsidRPr="000E4750">
        <w:rPr>
          <w:rFonts w:ascii="ITC Avant Garde" w:hAnsi="ITC Avant Garde"/>
        </w:rPr>
        <w:t xml:space="preserve"> que </w:t>
      </w:r>
      <w:r w:rsidR="004424D9">
        <w:rPr>
          <w:rFonts w:ascii="ITC Avant Garde" w:hAnsi="ITC Avant Garde"/>
        </w:rPr>
        <w:t>la información debe ser</w:t>
      </w:r>
      <w:r w:rsidR="004424D9" w:rsidRPr="009A35A2">
        <w:rPr>
          <w:rFonts w:ascii="ITC Avant Garde" w:hAnsi="ITC Avant Garde"/>
        </w:rPr>
        <w:t xml:space="preserve"> consultable y descargable por cualquier persona, sin restricciones y de manera sencilla, sin que medie solicitud para acceder a ella</w:t>
      </w:r>
      <w:r w:rsidR="004424D9">
        <w:rPr>
          <w:rFonts w:ascii="ITC Avant Garde" w:hAnsi="ITC Avant Garde"/>
        </w:rPr>
        <w:t>.</w:t>
      </w:r>
    </w:p>
    <w:p w:rsidR="00BA558B" w:rsidRDefault="00BA558B" w:rsidP="008E5720">
      <w:pPr>
        <w:shd w:val="clear" w:color="auto" w:fill="FFFFFF"/>
        <w:spacing w:after="0"/>
        <w:rPr>
          <w:rFonts w:ascii="ITC Avant Garde" w:hAnsi="ITC Avant Garde"/>
          <w:b/>
        </w:rPr>
      </w:pPr>
    </w:p>
    <w:p w:rsidR="00B64910" w:rsidRPr="000E4750" w:rsidRDefault="00B64910" w:rsidP="00464DB4">
      <w:pPr>
        <w:pStyle w:val="Textocomentario"/>
        <w:numPr>
          <w:ilvl w:val="0"/>
          <w:numId w:val="5"/>
        </w:numPr>
        <w:spacing w:after="0" w:line="276" w:lineRule="auto"/>
        <w:jc w:val="both"/>
        <w:rPr>
          <w:rFonts w:ascii="ITC Avant Garde" w:hAnsi="ITC Avant Garde"/>
          <w:b/>
          <w:sz w:val="22"/>
          <w:szCs w:val="22"/>
        </w:rPr>
      </w:pPr>
      <w:r w:rsidRPr="000E4750">
        <w:rPr>
          <w:rFonts w:ascii="ITC Avant Garde" w:hAnsi="ITC Avant Garde"/>
          <w:b/>
          <w:sz w:val="22"/>
          <w:szCs w:val="22"/>
        </w:rPr>
        <w:t>FRACCIÓN IX DEL ARTÍCULO 7</w:t>
      </w:r>
    </w:p>
    <w:p w:rsidR="00B64910" w:rsidRPr="000E4750" w:rsidRDefault="00B64910" w:rsidP="00B64910">
      <w:pPr>
        <w:pStyle w:val="Textocomentario"/>
        <w:spacing w:after="0" w:line="276" w:lineRule="auto"/>
        <w:ind w:left="720"/>
        <w:jc w:val="both"/>
        <w:rPr>
          <w:rFonts w:ascii="ITC Avant Garde" w:hAnsi="ITC Avant Garde"/>
          <w:b/>
          <w:sz w:val="22"/>
          <w:szCs w:val="22"/>
        </w:rPr>
      </w:pPr>
    </w:p>
    <w:p w:rsidR="00B6714B" w:rsidRPr="000E4750" w:rsidRDefault="00B64910" w:rsidP="00B64910">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 xml:space="preserve">La industria </w:t>
      </w:r>
      <w:r w:rsidR="00B6714B" w:rsidRPr="000E4750">
        <w:rPr>
          <w:rFonts w:ascii="ITC Avant Garde" w:hAnsi="ITC Avant Garde"/>
          <w:sz w:val="22"/>
          <w:szCs w:val="22"/>
        </w:rPr>
        <w:t>manifestó su desacuerdo con la característica establecida en la fracción antes referida, señalando que sería conveniente, atendiendo al cumulo de información, se permit</w:t>
      </w:r>
      <w:r w:rsidR="00845CD6" w:rsidRPr="000E4750">
        <w:rPr>
          <w:rFonts w:ascii="ITC Avant Garde" w:hAnsi="ITC Avant Garde"/>
          <w:sz w:val="22"/>
          <w:szCs w:val="22"/>
        </w:rPr>
        <w:t>a</w:t>
      </w:r>
      <w:r w:rsidR="00B6714B" w:rsidRPr="000E4750">
        <w:rPr>
          <w:rFonts w:ascii="ITC Avant Garde" w:hAnsi="ITC Avant Garde"/>
          <w:sz w:val="22"/>
          <w:szCs w:val="22"/>
        </w:rPr>
        <w:t xml:space="preserve"> la organización de la misma en menús y submenús, asimismo, se señaló que actualmente no existen obligaciones específicas relacionada con los canales de comunicación.</w:t>
      </w:r>
    </w:p>
    <w:p w:rsidR="00B6714B" w:rsidRPr="000E4750" w:rsidRDefault="00B6714B" w:rsidP="00B64910">
      <w:pPr>
        <w:pStyle w:val="Textocomentario"/>
        <w:spacing w:after="0" w:line="276" w:lineRule="auto"/>
        <w:jc w:val="both"/>
        <w:rPr>
          <w:rFonts w:ascii="ITC Avant Garde" w:hAnsi="ITC Avant Garde"/>
          <w:sz w:val="22"/>
          <w:szCs w:val="22"/>
        </w:rPr>
      </w:pPr>
    </w:p>
    <w:p w:rsidR="00B64910" w:rsidRPr="000E4750" w:rsidRDefault="00B64910" w:rsidP="00B64910">
      <w:pPr>
        <w:spacing w:after="0"/>
        <w:jc w:val="both"/>
        <w:rPr>
          <w:rFonts w:ascii="ITC Avant Garde" w:hAnsi="ITC Avant Garde"/>
          <w:i/>
          <w:u w:val="single"/>
        </w:rPr>
      </w:pPr>
      <w:r w:rsidRPr="000E4750">
        <w:rPr>
          <w:rFonts w:ascii="ITC Avant Garde" w:hAnsi="ITC Avant Garde"/>
          <w:i/>
          <w:u w:val="single"/>
        </w:rPr>
        <w:t>Consideraciones</w:t>
      </w:r>
    </w:p>
    <w:p w:rsidR="00B64910" w:rsidRPr="000E4750" w:rsidRDefault="00B64910" w:rsidP="00B64910">
      <w:pPr>
        <w:spacing w:after="0"/>
        <w:jc w:val="both"/>
        <w:rPr>
          <w:rFonts w:ascii="ITC Avant Garde" w:hAnsi="ITC Avant Garde"/>
          <w:i/>
          <w:u w:val="single"/>
        </w:rPr>
      </w:pPr>
    </w:p>
    <w:p w:rsidR="00845CD6" w:rsidRPr="000E4750" w:rsidRDefault="00845CD6" w:rsidP="00B64910">
      <w:pPr>
        <w:shd w:val="clear" w:color="auto" w:fill="FFFFFF"/>
        <w:spacing w:after="0"/>
        <w:jc w:val="both"/>
        <w:rPr>
          <w:rFonts w:ascii="ITC Avant Garde" w:hAnsi="ITC Avant Garde"/>
        </w:rPr>
      </w:pPr>
      <w:r w:rsidRPr="000E4750">
        <w:rPr>
          <w:rFonts w:ascii="ITC Avant Garde" w:hAnsi="ITC Avant Garde"/>
        </w:rPr>
        <w:t>En atención</w:t>
      </w:r>
      <w:r w:rsidR="00B64910" w:rsidRPr="000E4750">
        <w:rPr>
          <w:rFonts w:ascii="ITC Avant Garde" w:hAnsi="ITC Avant Garde"/>
        </w:rPr>
        <w:t xml:space="preserve"> a</w:t>
      </w:r>
      <w:r w:rsidRPr="000E4750">
        <w:rPr>
          <w:rFonts w:ascii="ITC Avant Garde" w:hAnsi="ITC Avant Garde"/>
        </w:rPr>
        <w:t xml:space="preserve"> </w:t>
      </w:r>
      <w:r w:rsidR="00B64910" w:rsidRPr="000E4750">
        <w:rPr>
          <w:rFonts w:ascii="ITC Avant Garde" w:hAnsi="ITC Avant Garde"/>
        </w:rPr>
        <w:t>l</w:t>
      </w:r>
      <w:r w:rsidRPr="000E4750">
        <w:rPr>
          <w:rFonts w:ascii="ITC Avant Garde" w:hAnsi="ITC Avant Garde"/>
        </w:rPr>
        <w:t>os</w:t>
      </w:r>
      <w:r w:rsidR="00B64910" w:rsidRPr="000E4750">
        <w:rPr>
          <w:rFonts w:ascii="ITC Avant Garde" w:hAnsi="ITC Avant Garde"/>
        </w:rPr>
        <w:t xml:space="preserve"> comentario</w:t>
      </w:r>
      <w:r w:rsidRPr="000E4750">
        <w:rPr>
          <w:rFonts w:ascii="ITC Avant Garde" w:hAnsi="ITC Avant Garde"/>
        </w:rPr>
        <w:t>s</w:t>
      </w:r>
      <w:r w:rsidR="00B64910" w:rsidRPr="000E4750">
        <w:rPr>
          <w:rFonts w:ascii="ITC Avant Garde" w:hAnsi="ITC Avant Garde"/>
        </w:rPr>
        <w:t xml:space="preserve">, se considera </w:t>
      </w:r>
      <w:r w:rsidR="00D121D9" w:rsidRPr="000E4750">
        <w:rPr>
          <w:rFonts w:ascii="ITC Avant Garde" w:hAnsi="ITC Avant Garde"/>
        </w:rPr>
        <w:t>conveniente</w:t>
      </w:r>
      <w:r w:rsidR="00B64910" w:rsidRPr="000E4750">
        <w:rPr>
          <w:rFonts w:ascii="ITC Avant Garde" w:hAnsi="ITC Avant Garde"/>
        </w:rPr>
        <w:t xml:space="preserve"> </w:t>
      </w:r>
      <w:r w:rsidR="00D121D9" w:rsidRPr="000E4750">
        <w:rPr>
          <w:rFonts w:ascii="ITC Avant Garde" w:hAnsi="ITC Avant Garde"/>
        </w:rPr>
        <w:t xml:space="preserve">eliminar la fracción, </w:t>
      </w:r>
      <w:r w:rsidRPr="000E4750">
        <w:rPr>
          <w:rFonts w:ascii="ITC Avant Garde" w:hAnsi="ITC Avant Garde"/>
        </w:rPr>
        <w:t>tomando en consideración que</w:t>
      </w:r>
      <w:r w:rsidR="005C330A">
        <w:rPr>
          <w:rFonts w:ascii="ITC Avant Garde" w:hAnsi="ITC Avant Garde"/>
        </w:rPr>
        <w:t>,</w:t>
      </w:r>
      <w:r w:rsidRPr="000E4750">
        <w:rPr>
          <w:rFonts w:ascii="ITC Avant Garde" w:hAnsi="ITC Avant Garde"/>
        </w:rPr>
        <w:t xml:space="preserve"> derivado de las adecuaciones efectuadas al proyecto de Lineamientos, se establecen obligaciones a los concesionarios y autorizados que permitirán el fácil acceso a la información sobre los servicios de telecomunicaciones por parte de los usuarios o suscriptores. </w:t>
      </w:r>
    </w:p>
    <w:p w:rsidR="00BA558B" w:rsidRPr="000E4750" w:rsidRDefault="00BA558B" w:rsidP="008E5720">
      <w:pPr>
        <w:shd w:val="clear" w:color="auto" w:fill="FFFFFF"/>
        <w:spacing w:after="0"/>
        <w:rPr>
          <w:rFonts w:ascii="ITC Avant Garde" w:hAnsi="ITC Avant Garde"/>
          <w:b/>
        </w:rPr>
      </w:pPr>
    </w:p>
    <w:p w:rsidR="00961F18" w:rsidRPr="000E4750" w:rsidRDefault="00961F18" w:rsidP="00464DB4">
      <w:pPr>
        <w:pStyle w:val="Prrafodelista"/>
        <w:numPr>
          <w:ilvl w:val="0"/>
          <w:numId w:val="5"/>
        </w:numPr>
        <w:spacing w:after="0"/>
        <w:jc w:val="both"/>
        <w:rPr>
          <w:rFonts w:ascii="ITC Avant Garde" w:hAnsi="ITC Avant Garde"/>
          <w:b/>
        </w:rPr>
      </w:pPr>
      <w:r w:rsidRPr="000E4750">
        <w:rPr>
          <w:rFonts w:ascii="ITC Avant Garde" w:hAnsi="ITC Avant Garde"/>
          <w:b/>
        </w:rPr>
        <w:t>Art</w:t>
      </w:r>
      <w:r w:rsidR="000C0E02" w:rsidRPr="000E4750">
        <w:rPr>
          <w:rFonts w:ascii="ITC Avant Garde" w:hAnsi="ITC Avant Garde"/>
          <w:b/>
        </w:rPr>
        <w:t>ículo 8</w:t>
      </w:r>
    </w:p>
    <w:p w:rsidR="00E842A7" w:rsidRPr="000E4750" w:rsidRDefault="00E842A7" w:rsidP="008E5720">
      <w:pPr>
        <w:spacing w:after="0"/>
        <w:jc w:val="both"/>
        <w:rPr>
          <w:rFonts w:ascii="ITC Avant Garde" w:hAnsi="ITC Avant Garde"/>
          <w:b/>
        </w:rPr>
      </w:pPr>
    </w:p>
    <w:p w:rsidR="00422B9C" w:rsidRPr="000E4750" w:rsidRDefault="00752152" w:rsidP="00A13478">
      <w:pPr>
        <w:spacing w:after="0"/>
        <w:jc w:val="both"/>
        <w:rPr>
          <w:rFonts w:ascii="ITC Avant Garde" w:hAnsi="ITC Avant Garde"/>
        </w:rPr>
      </w:pPr>
      <w:r w:rsidRPr="000E4750">
        <w:rPr>
          <w:rFonts w:ascii="ITC Avant Garde" w:hAnsi="ITC Avant Garde"/>
        </w:rPr>
        <w:t>La industria</w:t>
      </w:r>
      <w:r w:rsidR="00422B9C" w:rsidRPr="000E4750">
        <w:rPr>
          <w:rFonts w:ascii="ITC Avant Garde" w:hAnsi="ITC Avant Garde"/>
        </w:rPr>
        <w:t xml:space="preserve"> </w:t>
      </w:r>
      <w:r w:rsidRPr="000E4750">
        <w:rPr>
          <w:rFonts w:ascii="ITC Avant Garde" w:hAnsi="ITC Avant Garde"/>
        </w:rPr>
        <w:t>considera</w:t>
      </w:r>
      <w:r w:rsidR="00422B9C" w:rsidRPr="000E4750">
        <w:rPr>
          <w:rFonts w:ascii="ITC Avant Garde" w:hAnsi="ITC Avant Garde"/>
        </w:rPr>
        <w:t xml:space="preserve"> que</w:t>
      </w:r>
      <w:r w:rsidR="00687742" w:rsidRPr="000E4750">
        <w:rPr>
          <w:rFonts w:ascii="ITC Avant Garde" w:hAnsi="ITC Avant Garde"/>
        </w:rPr>
        <w:t xml:space="preserve"> difundir toda la información de manera impresa genera un impacto considerable en el aumento de los costos. Por ello, se propone se limite únicamente</w:t>
      </w:r>
      <w:r w:rsidRPr="000E4750">
        <w:rPr>
          <w:rFonts w:ascii="ITC Avant Garde" w:hAnsi="ITC Avant Garde"/>
        </w:rPr>
        <w:t xml:space="preserve"> a difundir la información</w:t>
      </w:r>
      <w:r w:rsidR="00687742" w:rsidRPr="000E4750">
        <w:rPr>
          <w:rFonts w:ascii="ITC Avant Garde" w:hAnsi="ITC Avant Garde"/>
        </w:rPr>
        <w:t xml:space="preserve"> de manera electrónica</w:t>
      </w:r>
      <w:r w:rsidR="00422B9C" w:rsidRPr="000E4750">
        <w:rPr>
          <w:rFonts w:ascii="ITC Avant Garde" w:hAnsi="ITC Avant Garde"/>
        </w:rPr>
        <w:t>.</w:t>
      </w:r>
    </w:p>
    <w:p w:rsidR="00E842A7" w:rsidRPr="000E4750" w:rsidRDefault="00E842A7" w:rsidP="00A13478">
      <w:pPr>
        <w:spacing w:after="0"/>
        <w:jc w:val="both"/>
        <w:rPr>
          <w:rFonts w:ascii="ITC Avant Garde" w:hAnsi="ITC Avant Garde"/>
        </w:rPr>
      </w:pPr>
    </w:p>
    <w:p w:rsidR="00422B9C" w:rsidRPr="000E4750" w:rsidRDefault="00422B9C" w:rsidP="00A13478">
      <w:pPr>
        <w:spacing w:after="0"/>
        <w:jc w:val="both"/>
        <w:rPr>
          <w:rFonts w:ascii="ITC Avant Garde" w:hAnsi="ITC Avant Garde"/>
          <w:i/>
          <w:u w:val="single"/>
        </w:rPr>
      </w:pPr>
      <w:r w:rsidRPr="000E4750">
        <w:rPr>
          <w:rFonts w:ascii="ITC Avant Garde" w:hAnsi="ITC Avant Garde"/>
          <w:i/>
          <w:u w:val="single"/>
        </w:rPr>
        <w:t>Consideraciones</w:t>
      </w:r>
    </w:p>
    <w:p w:rsidR="00E842A7" w:rsidRPr="000E4750" w:rsidRDefault="00E842A7" w:rsidP="00A13478">
      <w:pPr>
        <w:spacing w:after="0"/>
        <w:jc w:val="both"/>
        <w:rPr>
          <w:rFonts w:ascii="ITC Avant Garde" w:hAnsi="ITC Avant Garde"/>
        </w:rPr>
      </w:pPr>
    </w:p>
    <w:p w:rsidR="00687742" w:rsidRPr="000E4750" w:rsidRDefault="00422B9C" w:rsidP="00A13478">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Resulta importante l</w:t>
      </w:r>
      <w:r w:rsidR="00687742" w:rsidRPr="000E4750">
        <w:rPr>
          <w:rFonts w:ascii="ITC Avant Garde" w:hAnsi="ITC Avant Garde"/>
          <w:sz w:val="22"/>
          <w:szCs w:val="22"/>
        </w:rPr>
        <w:t>a observación de los operadores</w:t>
      </w:r>
      <w:r w:rsidR="00682143" w:rsidRPr="000E4750">
        <w:rPr>
          <w:rFonts w:ascii="ITC Avant Garde" w:hAnsi="ITC Avant Garde"/>
          <w:sz w:val="22"/>
          <w:szCs w:val="22"/>
        </w:rPr>
        <w:t>,</w:t>
      </w:r>
      <w:r w:rsidR="00687742" w:rsidRPr="000E4750">
        <w:rPr>
          <w:rFonts w:ascii="ITC Avant Garde" w:hAnsi="ITC Avant Garde"/>
          <w:sz w:val="22"/>
          <w:szCs w:val="22"/>
        </w:rPr>
        <w:t xml:space="preserve"> </w:t>
      </w:r>
      <w:r w:rsidR="00682143" w:rsidRPr="000E4750">
        <w:rPr>
          <w:rFonts w:ascii="ITC Avant Garde" w:hAnsi="ITC Avant Garde"/>
          <w:sz w:val="22"/>
          <w:szCs w:val="22"/>
        </w:rPr>
        <w:t xml:space="preserve">motivo por el cual </w:t>
      </w:r>
      <w:r w:rsidR="00687742" w:rsidRPr="000E4750">
        <w:rPr>
          <w:rFonts w:ascii="ITC Avant Garde" w:hAnsi="ITC Avant Garde"/>
          <w:sz w:val="22"/>
          <w:szCs w:val="22"/>
        </w:rPr>
        <w:t xml:space="preserve">se elimina la redacción </w:t>
      </w:r>
      <w:r w:rsidR="00682143" w:rsidRPr="000E4750">
        <w:rPr>
          <w:rFonts w:ascii="ITC Avant Garde" w:hAnsi="ITC Avant Garde"/>
          <w:sz w:val="22"/>
          <w:szCs w:val="22"/>
        </w:rPr>
        <w:t>inicial</w:t>
      </w:r>
      <w:r w:rsidR="00687742" w:rsidRPr="000E4750">
        <w:rPr>
          <w:rFonts w:ascii="ITC Avant Garde" w:hAnsi="ITC Avant Garde"/>
          <w:sz w:val="22"/>
          <w:szCs w:val="22"/>
        </w:rPr>
        <w:t xml:space="preserve"> y se</w:t>
      </w:r>
      <w:r w:rsidR="00752152" w:rsidRPr="000E4750">
        <w:rPr>
          <w:rFonts w:ascii="ITC Avant Garde" w:hAnsi="ITC Avant Garde"/>
          <w:sz w:val="22"/>
          <w:szCs w:val="22"/>
        </w:rPr>
        <w:t xml:space="preserve"> establece que en la publicidad que difundan los concesionarios y autorizados a través de </w:t>
      </w:r>
      <w:r w:rsidR="00EE7BF1">
        <w:rPr>
          <w:rFonts w:ascii="ITC Avant Garde" w:hAnsi="ITC Avant Garde"/>
          <w:sz w:val="22"/>
          <w:szCs w:val="22"/>
        </w:rPr>
        <w:t>Internet</w:t>
      </w:r>
      <w:r w:rsidR="00752152" w:rsidRPr="000E4750">
        <w:rPr>
          <w:rFonts w:ascii="ITC Avant Garde" w:hAnsi="ITC Avant Garde"/>
          <w:sz w:val="22"/>
          <w:szCs w:val="22"/>
        </w:rPr>
        <w:t xml:space="preserve">, se deberá incluir una leyenda que informe al </w:t>
      </w:r>
      <w:r w:rsidR="005C330A">
        <w:rPr>
          <w:rFonts w:ascii="ITC Avant Garde" w:hAnsi="ITC Avant Garde"/>
          <w:sz w:val="22"/>
          <w:szCs w:val="22"/>
        </w:rPr>
        <w:t>público en general</w:t>
      </w:r>
      <w:r w:rsidR="00752152" w:rsidRPr="000E4750">
        <w:rPr>
          <w:rFonts w:ascii="ITC Avant Garde" w:hAnsi="ITC Avant Garde"/>
          <w:sz w:val="22"/>
          <w:szCs w:val="22"/>
        </w:rPr>
        <w:t xml:space="preserve"> la dirección electrónica donde puede consult</w:t>
      </w:r>
      <w:r w:rsidR="005C330A">
        <w:rPr>
          <w:rFonts w:ascii="ITC Avant Garde" w:hAnsi="ITC Avant Garde"/>
          <w:sz w:val="22"/>
          <w:szCs w:val="22"/>
        </w:rPr>
        <w:t>ar la información que establece</w:t>
      </w:r>
      <w:r w:rsidR="00752152" w:rsidRPr="000E4750">
        <w:rPr>
          <w:rFonts w:ascii="ITC Avant Garde" w:hAnsi="ITC Avant Garde"/>
          <w:sz w:val="22"/>
          <w:szCs w:val="22"/>
        </w:rPr>
        <w:t xml:space="preserve"> el proyecto de Lineamientos</w:t>
      </w:r>
      <w:r w:rsidR="00687742" w:rsidRPr="000E4750">
        <w:rPr>
          <w:rFonts w:ascii="ITC Avant Garde" w:hAnsi="ITC Avant Garde"/>
          <w:sz w:val="22"/>
          <w:szCs w:val="22"/>
        </w:rPr>
        <w:t>.</w:t>
      </w:r>
    </w:p>
    <w:p w:rsidR="00422B9C" w:rsidRPr="000E4750" w:rsidRDefault="00422B9C" w:rsidP="00A13478">
      <w:pPr>
        <w:pStyle w:val="Textocomentario"/>
        <w:spacing w:after="0" w:line="276" w:lineRule="auto"/>
        <w:jc w:val="both"/>
        <w:rPr>
          <w:rFonts w:ascii="ITC Avant Garde" w:hAnsi="ITC Avant Garde"/>
          <w:sz w:val="22"/>
          <w:szCs w:val="22"/>
        </w:rPr>
      </w:pPr>
    </w:p>
    <w:p w:rsidR="007D28EB" w:rsidRPr="000E4750" w:rsidRDefault="00687742" w:rsidP="00464DB4">
      <w:pPr>
        <w:pStyle w:val="Textocomentario"/>
        <w:numPr>
          <w:ilvl w:val="0"/>
          <w:numId w:val="5"/>
        </w:numPr>
        <w:spacing w:after="0" w:line="276" w:lineRule="auto"/>
        <w:jc w:val="both"/>
        <w:rPr>
          <w:rFonts w:ascii="ITC Avant Garde" w:hAnsi="ITC Avant Garde"/>
          <w:b/>
          <w:sz w:val="22"/>
          <w:szCs w:val="22"/>
        </w:rPr>
      </w:pPr>
      <w:r w:rsidRPr="000E4750">
        <w:rPr>
          <w:rFonts w:ascii="ITC Avant Garde" w:hAnsi="ITC Avant Garde"/>
          <w:b/>
          <w:sz w:val="22"/>
          <w:szCs w:val="22"/>
        </w:rPr>
        <w:t>Artículo 9</w:t>
      </w:r>
      <w:r w:rsidR="00BA2BBB" w:rsidRPr="000E4750">
        <w:rPr>
          <w:rFonts w:ascii="ITC Avant Garde" w:hAnsi="ITC Avant Garde"/>
          <w:b/>
          <w:sz w:val="22"/>
          <w:szCs w:val="22"/>
        </w:rPr>
        <w:t xml:space="preserve"> y fracciones que lo integran.</w:t>
      </w:r>
    </w:p>
    <w:p w:rsidR="00E842A7" w:rsidRPr="000E4750" w:rsidRDefault="00E842A7" w:rsidP="00E842A7">
      <w:pPr>
        <w:pStyle w:val="Textocomentario"/>
        <w:spacing w:after="0" w:line="276" w:lineRule="auto"/>
        <w:ind w:left="720"/>
        <w:jc w:val="both"/>
        <w:rPr>
          <w:rFonts w:ascii="ITC Avant Garde" w:hAnsi="ITC Avant Garde"/>
          <w:b/>
          <w:sz w:val="22"/>
          <w:szCs w:val="22"/>
        </w:rPr>
      </w:pPr>
    </w:p>
    <w:p w:rsidR="00BA2BBB" w:rsidRPr="000E4750" w:rsidRDefault="00BA2BBB" w:rsidP="00A13478">
      <w:pPr>
        <w:spacing w:after="0"/>
        <w:jc w:val="both"/>
        <w:rPr>
          <w:rFonts w:ascii="ITC Avant Garde" w:eastAsiaTheme="minorHAnsi" w:hAnsi="ITC Avant Garde"/>
          <w:lang w:eastAsia="en-US"/>
        </w:rPr>
      </w:pPr>
      <w:r w:rsidRPr="000E4750">
        <w:rPr>
          <w:rFonts w:ascii="ITC Avant Garde" w:eastAsiaTheme="minorHAnsi" w:hAnsi="ITC Avant Garde"/>
          <w:lang w:eastAsia="en-US"/>
        </w:rPr>
        <w:t xml:space="preserve">Los integrantes de la industria </w:t>
      </w:r>
      <w:r w:rsidR="00CB50F4" w:rsidRPr="000E4750">
        <w:rPr>
          <w:rFonts w:ascii="ITC Avant Garde" w:eastAsiaTheme="minorHAnsi" w:hAnsi="ITC Avant Garde"/>
          <w:lang w:eastAsia="en-US"/>
        </w:rPr>
        <w:t>coinciden e</w:t>
      </w:r>
      <w:r w:rsidRPr="000E4750">
        <w:rPr>
          <w:rFonts w:ascii="ITC Avant Garde" w:eastAsiaTheme="minorHAnsi" w:hAnsi="ITC Avant Garde"/>
          <w:lang w:eastAsia="en-US"/>
        </w:rPr>
        <w:t>n que la información que se establece en el artículo 9 y sus fracciones, ya se encuentra regulada como parte de la obligación de registro de tarifas</w:t>
      </w:r>
      <w:r w:rsidR="00682143" w:rsidRPr="000E4750">
        <w:rPr>
          <w:rFonts w:ascii="ITC Avant Garde" w:eastAsiaTheme="minorHAnsi" w:hAnsi="ITC Avant Garde"/>
          <w:lang w:eastAsia="en-US"/>
        </w:rPr>
        <w:t xml:space="preserve"> y en otras disposiciones normativas</w:t>
      </w:r>
      <w:r w:rsidRPr="000E4750">
        <w:rPr>
          <w:rFonts w:ascii="ITC Avant Garde" w:eastAsiaTheme="minorHAnsi" w:hAnsi="ITC Avant Garde"/>
          <w:lang w:eastAsia="en-US"/>
        </w:rPr>
        <w:t>, por ello, proponen se elimine dichas disposiciones a fin de evitar una sobre regulación.</w:t>
      </w:r>
      <w:r w:rsidR="00682143" w:rsidRPr="000E4750">
        <w:rPr>
          <w:rFonts w:ascii="ITC Avant Garde" w:eastAsiaTheme="minorHAnsi" w:hAnsi="ITC Avant Garde"/>
          <w:lang w:eastAsia="en-US"/>
        </w:rPr>
        <w:t xml:space="preserve"> Asimismo, la industria señala que es imposible incluir en su publicidad toda la información que se establece en el proyecto de Lineamientos y se propone una simplificación de las variables de información.</w:t>
      </w:r>
    </w:p>
    <w:p w:rsidR="00E842A7" w:rsidRPr="000E4750" w:rsidRDefault="00E842A7" w:rsidP="00A13478">
      <w:pPr>
        <w:spacing w:after="0"/>
        <w:jc w:val="both"/>
        <w:rPr>
          <w:rFonts w:ascii="ITC Avant Garde" w:eastAsiaTheme="minorHAnsi" w:hAnsi="ITC Avant Garde"/>
          <w:lang w:eastAsia="en-US"/>
        </w:rPr>
      </w:pPr>
    </w:p>
    <w:p w:rsidR="00CB50F4" w:rsidRPr="000E4750" w:rsidRDefault="00CB50F4" w:rsidP="00A13478">
      <w:pPr>
        <w:spacing w:after="0"/>
        <w:jc w:val="both"/>
        <w:rPr>
          <w:rFonts w:ascii="ITC Avant Garde" w:hAnsi="ITC Avant Garde"/>
          <w:i/>
          <w:u w:val="single"/>
        </w:rPr>
      </w:pPr>
      <w:r w:rsidRPr="000E4750">
        <w:rPr>
          <w:rFonts w:ascii="ITC Avant Garde" w:hAnsi="ITC Avant Garde"/>
          <w:i/>
          <w:u w:val="single"/>
        </w:rPr>
        <w:t>Consideraciones</w:t>
      </w:r>
    </w:p>
    <w:p w:rsidR="005B3ACD" w:rsidRPr="000E4750" w:rsidRDefault="00C6052E" w:rsidP="00A13478">
      <w:pPr>
        <w:spacing w:after="0"/>
        <w:jc w:val="both"/>
        <w:rPr>
          <w:rFonts w:ascii="ITC Avant Garde" w:hAnsi="ITC Avant Garde"/>
        </w:rPr>
      </w:pPr>
      <w:r w:rsidRPr="000E4750">
        <w:rPr>
          <w:rFonts w:ascii="ITC Avant Garde" w:hAnsi="ITC Avant Garde"/>
        </w:rPr>
        <w:t xml:space="preserve">Atendiendo a los comentarios recibidos al anteproyecto y con la finalidad de minimizar el </w:t>
      </w:r>
      <w:r w:rsidR="00CD108B" w:rsidRPr="000E4750">
        <w:rPr>
          <w:rFonts w:ascii="ITC Avant Garde" w:hAnsi="ITC Avant Garde"/>
        </w:rPr>
        <w:t>impacto regulatorio, se realiza</w:t>
      </w:r>
      <w:r w:rsidRPr="000E4750">
        <w:rPr>
          <w:rFonts w:ascii="ITC Avant Garde" w:hAnsi="ITC Avant Garde"/>
        </w:rPr>
        <w:t xml:space="preserve">n modificaciones al proyecto de Lineamientos que permitirá que los concesionarios y autorizados publiquen la información de sus planes y tarifas en </w:t>
      </w:r>
      <w:r w:rsidR="00682143" w:rsidRPr="000E4750">
        <w:rPr>
          <w:rFonts w:ascii="ITC Avant Garde" w:hAnsi="ITC Avant Garde"/>
        </w:rPr>
        <w:t xml:space="preserve">formatos uniformes, </w:t>
      </w:r>
      <w:r w:rsidRPr="000E4750">
        <w:rPr>
          <w:rFonts w:ascii="ITC Avant Garde" w:hAnsi="ITC Avant Garde"/>
        </w:rPr>
        <w:t xml:space="preserve">los formatos </w:t>
      </w:r>
      <w:r w:rsidR="00501420" w:rsidRPr="000E4750">
        <w:rPr>
          <w:rFonts w:ascii="ITC Avant Garde" w:hAnsi="ITC Avant Garde"/>
        </w:rPr>
        <w:t>simplificados de información</w:t>
      </w:r>
      <w:r w:rsidRPr="000E4750">
        <w:rPr>
          <w:rFonts w:ascii="ITC Avant Garde" w:hAnsi="ITC Avant Garde"/>
        </w:rPr>
        <w:t xml:space="preserve"> para los usuarios, mismos que serán generados de forma automática al momento de la inscripción de tarifas en el </w:t>
      </w:r>
      <w:r w:rsidR="00682143" w:rsidRPr="000E4750">
        <w:rPr>
          <w:rFonts w:ascii="ITC Avant Garde" w:hAnsi="ITC Avant Garde"/>
        </w:rPr>
        <w:t>Registro Público de Concesiones y con las variables previamente definidas para tal efecto.</w:t>
      </w:r>
    </w:p>
    <w:p w:rsidR="00501420" w:rsidRPr="000E4750" w:rsidRDefault="00501420" w:rsidP="00A13478">
      <w:pPr>
        <w:spacing w:after="0"/>
        <w:jc w:val="both"/>
        <w:rPr>
          <w:rFonts w:ascii="ITC Avant Garde" w:hAnsi="ITC Avant Garde"/>
        </w:rPr>
      </w:pPr>
    </w:p>
    <w:p w:rsidR="00501420" w:rsidRPr="000E4750" w:rsidRDefault="005C330A" w:rsidP="00A13478">
      <w:pPr>
        <w:spacing w:after="0"/>
        <w:jc w:val="both"/>
        <w:rPr>
          <w:rFonts w:ascii="ITC Avant Garde" w:hAnsi="ITC Avant Garde"/>
        </w:rPr>
      </w:pPr>
      <w:r>
        <w:rPr>
          <w:rFonts w:ascii="ITC Avant Garde" w:hAnsi="ITC Avant Garde"/>
        </w:rPr>
        <w:lastRenderedPageBreak/>
        <w:t>Por lo anterior, y atendien</w:t>
      </w:r>
      <w:r w:rsidR="00501420" w:rsidRPr="000E4750">
        <w:rPr>
          <w:rFonts w:ascii="ITC Avant Garde" w:hAnsi="ITC Avant Garde"/>
        </w:rPr>
        <w:t xml:space="preserve">do </w:t>
      </w:r>
      <w:r w:rsidR="004424D9">
        <w:rPr>
          <w:rFonts w:ascii="ITC Avant Garde" w:hAnsi="ITC Avant Garde"/>
        </w:rPr>
        <w:t xml:space="preserve">a </w:t>
      </w:r>
      <w:r w:rsidR="00501420" w:rsidRPr="000E4750">
        <w:rPr>
          <w:rFonts w:ascii="ITC Avant Garde" w:hAnsi="ITC Avant Garde"/>
        </w:rPr>
        <w:t xml:space="preserve">que parte de la información considerada en las fracciones del artículo 9 del anteproyecto de Lineamientos ha </w:t>
      </w:r>
      <w:r w:rsidR="00501420" w:rsidRPr="00D82323">
        <w:rPr>
          <w:rFonts w:ascii="ITC Avant Garde" w:hAnsi="ITC Avant Garde"/>
        </w:rPr>
        <w:t>sido incluida en los formatos simplificados de información, se elimina la redacción propuesta inicialmente</w:t>
      </w:r>
      <w:r w:rsidR="00501420" w:rsidRPr="000E4750">
        <w:rPr>
          <w:rFonts w:ascii="ITC Avant Garde" w:hAnsi="ITC Avant Garde"/>
        </w:rPr>
        <w:t>.</w:t>
      </w:r>
    </w:p>
    <w:p w:rsidR="00610F14" w:rsidRPr="000E4750" w:rsidRDefault="00610F14" w:rsidP="00A13478">
      <w:pPr>
        <w:spacing w:after="0"/>
        <w:jc w:val="both"/>
        <w:rPr>
          <w:rFonts w:ascii="ITC Avant Garde" w:hAnsi="ITC Avant Garde"/>
        </w:rPr>
      </w:pPr>
    </w:p>
    <w:p w:rsidR="00422B9C" w:rsidRPr="000E4750" w:rsidRDefault="00422B9C" w:rsidP="00464DB4">
      <w:pPr>
        <w:pStyle w:val="Textocomentario"/>
        <w:numPr>
          <w:ilvl w:val="0"/>
          <w:numId w:val="5"/>
        </w:numPr>
        <w:spacing w:after="0" w:line="276" w:lineRule="auto"/>
        <w:jc w:val="both"/>
        <w:rPr>
          <w:rFonts w:ascii="ITC Avant Garde" w:hAnsi="ITC Avant Garde"/>
          <w:b/>
          <w:sz w:val="22"/>
          <w:szCs w:val="22"/>
        </w:rPr>
      </w:pPr>
      <w:r w:rsidRPr="000E4750">
        <w:rPr>
          <w:rFonts w:ascii="ITC Avant Garde" w:hAnsi="ITC Avant Garde"/>
          <w:b/>
          <w:sz w:val="22"/>
          <w:szCs w:val="22"/>
        </w:rPr>
        <w:t xml:space="preserve">Artículo </w:t>
      </w:r>
      <w:r w:rsidR="00CD108B" w:rsidRPr="000E4750">
        <w:rPr>
          <w:rFonts w:ascii="ITC Avant Garde" w:hAnsi="ITC Avant Garde"/>
          <w:b/>
          <w:sz w:val="22"/>
          <w:szCs w:val="22"/>
        </w:rPr>
        <w:t>10</w:t>
      </w:r>
    </w:p>
    <w:p w:rsidR="00262EB0" w:rsidRPr="000E4750" w:rsidRDefault="00262EB0" w:rsidP="00A13478">
      <w:pPr>
        <w:pStyle w:val="Textocomentario"/>
        <w:spacing w:after="0" w:line="276" w:lineRule="auto"/>
        <w:jc w:val="both"/>
        <w:rPr>
          <w:rFonts w:ascii="ITC Avant Garde" w:hAnsi="ITC Avant Garde"/>
          <w:sz w:val="22"/>
          <w:szCs w:val="22"/>
        </w:rPr>
      </w:pPr>
    </w:p>
    <w:p w:rsidR="008560AC" w:rsidRPr="000E4750" w:rsidRDefault="002E2EC6" w:rsidP="00A13478">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Se comentó</w:t>
      </w:r>
      <w:r w:rsidR="008560AC" w:rsidRPr="000E4750">
        <w:rPr>
          <w:rFonts w:ascii="ITC Avant Garde" w:hAnsi="ITC Avant Garde"/>
          <w:sz w:val="22"/>
          <w:szCs w:val="22"/>
        </w:rPr>
        <w:t xml:space="preserve"> que la información establecida en el artículo 10 del anteproyecto </w:t>
      </w:r>
      <w:r w:rsidRPr="000E4750">
        <w:rPr>
          <w:rFonts w:ascii="ITC Avant Garde" w:hAnsi="ITC Avant Garde"/>
          <w:sz w:val="22"/>
          <w:szCs w:val="22"/>
        </w:rPr>
        <w:t xml:space="preserve">de Lineamientos </w:t>
      </w:r>
      <w:r w:rsidR="008560AC" w:rsidRPr="000E4750">
        <w:rPr>
          <w:rFonts w:ascii="ITC Avant Garde" w:hAnsi="ITC Avant Garde"/>
          <w:sz w:val="22"/>
          <w:szCs w:val="22"/>
        </w:rPr>
        <w:t>ya está incluida en los Códigos de Prácticas Comerciales que son autorizados y registrados por el Instituto, y no</w:t>
      </w:r>
      <w:r w:rsidR="004424D9">
        <w:rPr>
          <w:rFonts w:ascii="ITC Avant Garde" w:hAnsi="ITC Avant Garde"/>
          <w:sz w:val="22"/>
          <w:szCs w:val="22"/>
        </w:rPr>
        <w:t xml:space="preserve"> que</w:t>
      </w:r>
      <w:r w:rsidR="008560AC" w:rsidRPr="000E4750">
        <w:rPr>
          <w:rFonts w:ascii="ITC Avant Garde" w:hAnsi="ITC Avant Garde"/>
          <w:sz w:val="22"/>
          <w:szCs w:val="22"/>
        </w:rPr>
        <w:t xml:space="preserve"> debería incluirse en otro tipo de comunicación.</w:t>
      </w:r>
    </w:p>
    <w:p w:rsidR="00E842A7" w:rsidRPr="000E4750" w:rsidRDefault="00E842A7" w:rsidP="00A13478">
      <w:pPr>
        <w:spacing w:after="0"/>
        <w:jc w:val="both"/>
        <w:rPr>
          <w:rFonts w:ascii="ITC Avant Garde" w:hAnsi="ITC Avant Garde"/>
        </w:rPr>
      </w:pPr>
    </w:p>
    <w:p w:rsidR="007D28EB" w:rsidRPr="000E4750" w:rsidRDefault="007D28EB" w:rsidP="00A13478">
      <w:pPr>
        <w:spacing w:after="0"/>
        <w:jc w:val="both"/>
        <w:rPr>
          <w:rFonts w:ascii="ITC Avant Garde" w:hAnsi="ITC Avant Garde"/>
          <w:i/>
          <w:u w:val="single"/>
        </w:rPr>
      </w:pPr>
      <w:r w:rsidRPr="000E4750">
        <w:rPr>
          <w:rFonts w:ascii="ITC Avant Garde" w:hAnsi="ITC Avant Garde"/>
          <w:i/>
          <w:u w:val="single"/>
        </w:rPr>
        <w:t>Consideraciones</w:t>
      </w:r>
    </w:p>
    <w:p w:rsidR="00E842A7" w:rsidRPr="000E4750" w:rsidRDefault="00E842A7" w:rsidP="00A13478">
      <w:pPr>
        <w:spacing w:after="0"/>
        <w:jc w:val="both"/>
        <w:rPr>
          <w:rFonts w:ascii="ITC Avant Garde" w:hAnsi="ITC Avant Garde"/>
          <w:i/>
          <w:u w:val="single"/>
        </w:rPr>
      </w:pPr>
    </w:p>
    <w:p w:rsidR="007D28EB" w:rsidRPr="000E4750" w:rsidRDefault="008560AC" w:rsidP="00A13478">
      <w:pPr>
        <w:spacing w:after="0"/>
        <w:jc w:val="both"/>
        <w:rPr>
          <w:rFonts w:ascii="ITC Avant Garde" w:hAnsi="ITC Avant Garde"/>
        </w:rPr>
      </w:pPr>
      <w:r w:rsidRPr="000E4750">
        <w:rPr>
          <w:rFonts w:ascii="ITC Avant Garde" w:hAnsi="ITC Avant Garde"/>
        </w:rPr>
        <w:t>Respecto a la consideración de la industria, es importante señalar que la información que los concesionarios y autorizados incluyen en sus Códigos de Prácticas no es homogénea, lo cual no permite a los usuarios tener acceso a la misma información y conocer la totalidad de las características de los servicios de telecomunicaciones</w:t>
      </w:r>
      <w:r w:rsidR="007D28EB" w:rsidRPr="000E4750">
        <w:rPr>
          <w:rFonts w:ascii="ITC Avant Garde" w:hAnsi="ITC Avant Garde"/>
        </w:rPr>
        <w:t>.</w:t>
      </w:r>
      <w:r w:rsidR="009313AB" w:rsidRPr="000E4750">
        <w:rPr>
          <w:rFonts w:ascii="ITC Avant Garde" w:hAnsi="ITC Avant Garde"/>
        </w:rPr>
        <w:t xml:space="preserve"> Por </w:t>
      </w:r>
      <w:r w:rsidR="008B63DB">
        <w:rPr>
          <w:rFonts w:ascii="ITC Avant Garde" w:hAnsi="ITC Avant Garde"/>
        </w:rPr>
        <w:t xml:space="preserve">lo </w:t>
      </w:r>
      <w:r w:rsidR="009313AB" w:rsidRPr="000E4750">
        <w:rPr>
          <w:rFonts w:ascii="ITC Avant Garde" w:hAnsi="ITC Avant Garde"/>
        </w:rPr>
        <w:t xml:space="preserve">anterior, </w:t>
      </w:r>
      <w:r w:rsidRPr="000E4750">
        <w:rPr>
          <w:rFonts w:ascii="ITC Avant Garde" w:hAnsi="ITC Avant Garde"/>
        </w:rPr>
        <w:t>se considera conveniente mantener la información que se describe en las fracciones del artículo</w:t>
      </w:r>
      <w:r w:rsidR="002E2EC6" w:rsidRPr="000E4750">
        <w:rPr>
          <w:rFonts w:ascii="ITC Avant Garde" w:hAnsi="ITC Avant Garde"/>
        </w:rPr>
        <w:t xml:space="preserve"> en comento con la finalidad de homogeneizar la información a la que los usuarios tendrán acceso</w:t>
      </w:r>
      <w:r w:rsidR="004424D9">
        <w:rPr>
          <w:rFonts w:ascii="ITC Avant Garde" w:hAnsi="ITC Avant Garde"/>
        </w:rPr>
        <w:t xml:space="preserve"> y facilitar la toma de decisiones</w:t>
      </w:r>
      <w:r w:rsidRPr="000E4750">
        <w:rPr>
          <w:rFonts w:ascii="ITC Avant Garde" w:hAnsi="ITC Avant Garde"/>
        </w:rPr>
        <w:t>.</w:t>
      </w:r>
    </w:p>
    <w:p w:rsidR="002E766B" w:rsidRPr="000E4750" w:rsidRDefault="002E766B" w:rsidP="00A13478">
      <w:pPr>
        <w:spacing w:after="0"/>
        <w:jc w:val="both"/>
        <w:rPr>
          <w:rFonts w:ascii="ITC Avant Garde" w:hAnsi="ITC Avant Garde"/>
        </w:rPr>
      </w:pPr>
    </w:p>
    <w:p w:rsidR="002E766B" w:rsidRPr="000E4750" w:rsidRDefault="008560AC" w:rsidP="00464DB4">
      <w:pPr>
        <w:pStyle w:val="Prrafodelista"/>
        <w:numPr>
          <w:ilvl w:val="0"/>
          <w:numId w:val="5"/>
        </w:numPr>
        <w:spacing w:after="0"/>
        <w:jc w:val="both"/>
        <w:rPr>
          <w:rFonts w:ascii="ITC Avant Garde" w:hAnsi="ITC Avant Garde"/>
          <w:b/>
        </w:rPr>
      </w:pPr>
      <w:r w:rsidRPr="000E4750">
        <w:rPr>
          <w:rFonts w:ascii="ITC Avant Garde" w:hAnsi="ITC Avant Garde"/>
          <w:b/>
        </w:rPr>
        <w:t>Fracción I del artículo 10</w:t>
      </w:r>
    </w:p>
    <w:p w:rsidR="008E5720" w:rsidRPr="000E4750" w:rsidRDefault="008E5720" w:rsidP="008E5720">
      <w:pPr>
        <w:pStyle w:val="Prrafodelista"/>
        <w:spacing w:after="0"/>
        <w:jc w:val="both"/>
        <w:rPr>
          <w:rFonts w:ascii="ITC Avant Garde" w:hAnsi="ITC Avant Garde"/>
          <w:b/>
        </w:rPr>
      </w:pPr>
    </w:p>
    <w:p w:rsidR="00480C17" w:rsidRPr="000E4750" w:rsidRDefault="00667B36" w:rsidP="00A13478">
      <w:pPr>
        <w:spacing w:after="0"/>
        <w:jc w:val="both"/>
        <w:rPr>
          <w:rFonts w:ascii="ITC Avant Garde" w:hAnsi="ITC Avant Garde"/>
        </w:rPr>
      </w:pPr>
      <w:r w:rsidRPr="000E4750">
        <w:rPr>
          <w:rFonts w:ascii="ITC Avant Garde" w:hAnsi="ITC Avant Garde"/>
        </w:rPr>
        <w:t>La industria reitera que la información contenida en la fracción I ya la incluyen en sus códigos de prácticas, adicionalmente, solicitan que la obligación de publicar la información se acote a sus páginas de Internet. Por otra parte, la PROFECO propone que dichos cargos deban estar inscritos ante este Instituto.</w:t>
      </w:r>
    </w:p>
    <w:p w:rsidR="00E842A7" w:rsidRPr="000E4750" w:rsidRDefault="00E842A7" w:rsidP="00A13478">
      <w:pPr>
        <w:spacing w:after="0"/>
        <w:jc w:val="both"/>
        <w:rPr>
          <w:rFonts w:ascii="ITC Avant Garde" w:hAnsi="ITC Avant Garde"/>
        </w:rPr>
      </w:pPr>
    </w:p>
    <w:p w:rsidR="00480C17" w:rsidRPr="000E4750" w:rsidRDefault="00480C17" w:rsidP="00A13478">
      <w:pPr>
        <w:pStyle w:val="Textocomentario"/>
        <w:spacing w:after="0" w:line="276" w:lineRule="auto"/>
        <w:jc w:val="both"/>
        <w:rPr>
          <w:rFonts w:ascii="ITC Avant Garde" w:eastAsiaTheme="minorEastAsia" w:hAnsi="ITC Avant Garde"/>
          <w:i/>
          <w:sz w:val="22"/>
          <w:szCs w:val="22"/>
          <w:u w:val="single"/>
          <w:lang w:eastAsia="es-MX"/>
        </w:rPr>
      </w:pPr>
      <w:r w:rsidRPr="000E4750">
        <w:rPr>
          <w:rFonts w:ascii="ITC Avant Garde" w:eastAsiaTheme="minorEastAsia" w:hAnsi="ITC Avant Garde"/>
          <w:i/>
          <w:sz w:val="22"/>
          <w:szCs w:val="22"/>
          <w:u w:val="single"/>
          <w:lang w:eastAsia="es-MX"/>
        </w:rPr>
        <w:t>Consideraciones</w:t>
      </w:r>
    </w:p>
    <w:p w:rsidR="00E842A7" w:rsidRPr="000E4750" w:rsidRDefault="00E842A7" w:rsidP="00A13478">
      <w:pPr>
        <w:pStyle w:val="Textocomentario"/>
        <w:spacing w:after="0" w:line="276" w:lineRule="auto"/>
        <w:jc w:val="both"/>
        <w:rPr>
          <w:rFonts w:ascii="ITC Avant Garde" w:eastAsiaTheme="minorEastAsia" w:hAnsi="ITC Avant Garde"/>
          <w:i/>
          <w:sz w:val="22"/>
          <w:szCs w:val="22"/>
          <w:u w:val="single"/>
          <w:lang w:eastAsia="es-MX"/>
        </w:rPr>
      </w:pPr>
    </w:p>
    <w:p w:rsidR="00480C17" w:rsidRPr="000E4750" w:rsidRDefault="00667B36" w:rsidP="00A13478">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eastAsiaTheme="minorEastAsia" w:hAnsi="ITC Avant Garde"/>
          <w:sz w:val="22"/>
          <w:szCs w:val="22"/>
          <w:lang w:eastAsia="es-MX"/>
        </w:rPr>
        <w:t xml:space="preserve">Al respecto, derivado de las modificaciones al contenido del proyecto, las obligaciones de publicación de información se han acotado a las páginas de Internet de los concesionarios y autorizados. Ahora bien, respecto al texto de la fracción en comento, </w:t>
      </w:r>
      <w:r w:rsidRPr="00D82323">
        <w:rPr>
          <w:rFonts w:ascii="ITC Avant Garde" w:eastAsiaTheme="minorEastAsia" w:hAnsi="ITC Avant Garde"/>
          <w:sz w:val="22"/>
          <w:szCs w:val="22"/>
          <w:lang w:eastAsia="es-MX"/>
        </w:rPr>
        <w:t xml:space="preserve">se considera conveniente su eliminación, tomando en consideración que ya existe una obligación dentro del proyecto </w:t>
      </w:r>
      <w:r w:rsidR="00D57D81" w:rsidRPr="00D82323">
        <w:rPr>
          <w:rFonts w:ascii="ITC Avant Garde" w:eastAsiaTheme="minorEastAsia" w:hAnsi="ITC Avant Garde"/>
          <w:sz w:val="22"/>
          <w:szCs w:val="22"/>
          <w:lang w:eastAsia="es-MX"/>
        </w:rPr>
        <w:t xml:space="preserve">de Lineamientos </w:t>
      </w:r>
      <w:r w:rsidRPr="00D82323">
        <w:rPr>
          <w:rFonts w:ascii="ITC Avant Garde" w:eastAsiaTheme="minorEastAsia" w:hAnsi="ITC Avant Garde"/>
          <w:sz w:val="22"/>
          <w:szCs w:val="22"/>
          <w:lang w:eastAsia="es-MX"/>
        </w:rPr>
        <w:t xml:space="preserve">que </w:t>
      </w:r>
      <w:r w:rsidR="00D57D81" w:rsidRPr="00D82323">
        <w:rPr>
          <w:rFonts w:ascii="ITC Avant Garde" w:eastAsiaTheme="minorEastAsia" w:hAnsi="ITC Avant Garde"/>
          <w:sz w:val="22"/>
          <w:szCs w:val="22"/>
          <w:lang w:eastAsia="es-MX"/>
        </w:rPr>
        <w:t>establece</w:t>
      </w:r>
      <w:r w:rsidRPr="00D82323">
        <w:rPr>
          <w:rFonts w:ascii="ITC Avant Garde" w:eastAsiaTheme="minorEastAsia" w:hAnsi="ITC Avant Garde"/>
          <w:sz w:val="22"/>
          <w:szCs w:val="22"/>
          <w:lang w:eastAsia="es-MX"/>
        </w:rPr>
        <w:t xml:space="preserve"> que los concesionarios y autorizados deben publicar cualquier información relativa a cualquier cargo registrado ante el Instituto</w:t>
      </w:r>
      <w:r w:rsidRPr="000E4750">
        <w:rPr>
          <w:rFonts w:ascii="ITC Avant Garde" w:eastAsiaTheme="minorEastAsia" w:hAnsi="ITC Avant Garde"/>
          <w:sz w:val="22"/>
          <w:szCs w:val="22"/>
          <w:lang w:eastAsia="es-MX"/>
        </w:rPr>
        <w:t xml:space="preserve"> que efectúe o pretenda efectuar al usuario o suscriptor, relacionado con la prestación de los servicios de telecomunicaciones.</w:t>
      </w:r>
    </w:p>
    <w:p w:rsidR="00013BC4" w:rsidRPr="000E4750" w:rsidRDefault="00013BC4" w:rsidP="00A13478">
      <w:pPr>
        <w:pStyle w:val="Textocomentario"/>
        <w:spacing w:after="0" w:line="276" w:lineRule="auto"/>
        <w:jc w:val="both"/>
        <w:rPr>
          <w:rFonts w:ascii="ITC Avant Garde" w:eastAsiaTheme="minorEastAsia" w:hAnsi="ITC Avant Garde"/>
          <w:sz w:val="22"/>
          <w:szCs w:val="22"/>
          <w:lang w:eastAsia="es-MX"/>
        </w:rPr>
      </w:pPr>
    </w:p>
    <w:p w:rsidR="000D7342" w:rsidRPr="000E4750" w:rsidRDefault="000D7342" w:rsidP="00464DB4">
      <w:pPr>
        <w:pStyle w:val="Prrafodelista"/>
        <w:numPr>
          <w:ilvl w:val="0"/>
          <w:numId w:val="5"/>
        </w:numPr>
        <w:spacing w:after="0"/>
        <w:jc w:val="both"/>
        <w:rPr>
          <w:rFonts w:ascii="ITC Avant Garde" w:hAnsi="ITC Avant Garde"/>
          <w:b/>
        </w:rPr>
      </w:pPr>
      <w:r w:rsidRPr="000E4750">
        <w:rPr>
          <w:rFonts w:ascii="ITC Avant Garde" w:hAnsi="ITC Avant Garde"/>
          <w:b/>
        </w:rPr>
        <w:t>Fracción II del artículo 10</w:t>
      </w:r>
    </w:p>
    <w:p w:rsidR="00E842A7" w:rsidRPr="000E4750" w:rsidRDefault="00E842A7" w:rsidP="00E842A7">
      <w:pPr>
        <w:pStyle w:val="Textocomentario"/>
        <w:spacing w:after="0" w:line="276" w:lineRule="auto"/>
        <w:ind w:left="720"/>
        <w:jc w:val="both"/>
        <w:rPr>
          <w:rFonts w:ascii="ITC Avant Garde" w:eastAsiaTheme="minorEastAsia" w:hAnsi="ITC Avant Garde"/>
          <w:b/>
          <w:sz w:val="22"/>
          <w:szCs w:val="22"/>
          <w:lang w:eastAsia="es-MX"/>
        </w:rPr>
      </w:pPr>
    </w:p>
    <w:p w:rsidR="006B0771" w:rsidRPr="000E4750" w:rsidRDefault="000D7342" w:rsidP="00A13478">
      <w:pPr>
        <w:pStyle w:val="Textocomentario"/>
        <w:spacing w:after="0" w:line="276" w:lineRule="auto"/>
        <w:jc w:val="both"/>
        <w:rPr>
          <w:rFonts w:ascii="ITC Avant Garde" w:hAnsi="ITC Avant Garde"/>
          <w:sz w:val="22"/>
          <w:szCs w:val="22"/>
        </w:rPr>
      </w:pPr>
      <w:r w:rsidRPr="000E4750">
        <w:rPr>
          <w:rFonts w:ascii="ITC Avant Garde" w:eastAsiaTheme="minorEastAsia" w:hAnsi="ITC Avant Garde"/>
          <w:sz w:val="22"/>
          <w:szCs w:val="22"/>
          <w:lang w:eastAsia="es-MX"/>
        </w:rPr>
        <w:t>La industria señala que se debe identificar la información a ser publicada en las páginas de Internet y la que deba ser publicada en los centros de atención. Asimismo, la PROFECO señala que se debe incluir en la regulación a las comercializadoras.</w:t>
      </w:r>
    </w:p>
    <w:p w:rsidR="00E842A7" w:rsidRPr="000E4750" w:rsidRDefault="00E842A7" w:rsidP="00A13478">
      <w:pPr>
        <w:pStyle w:val="Textocomentario"/>
        <w:spacing w:after="0" w:line="276" w:lineRule="auto"/>
        <w:jc w:val="both"/>
        <w:rPr>
          <w:rFonts w:ascii="ITC Avant Garde" w:hAnsi="ITC Avant Garde"/>
          <w:sz w:val="22"/>
          <w:szCs w:val="22"/>
        </w:rPr>
      </w:pPr>
    </w:p>
    <w:p w:rsidR="006B0771" w:rsidRPr="000E4750" w:rsidRDefault="006B0771" w:rsidP="00A13478">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E842A7" w:rsidRPr="000E4750" w:rsidRDefault="00E842A7" w:rsidP="00A13478">
      <w:pPr>
        <w:pStyle w:val="Textocomentario"/>
        <w:spacing w:after="0" w:line="276" w:lineRule="auto"/>
        <w:jc w:val="both"/>
        <w:rPr>
          <w:rFonts w:ascii="ITC Avant Garde" w:hAnsi="ITC Avant Garde"/>
          <w:i/>
          <w:sz w:val="22"/>
          <w:szCs w:val="22"/>
          <w:u w:val="single"/>
        </w:rPr>
      </w:pPr>
    </w:p>
    <w:p w:rsidR="006B0771" w:rsidRPr="000E4750" w:rsidRDefault="000D7342" w:rsidP="00A13478">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 xml:space="preserve">Respecto a los comentarios recibidos, </w:t>
      </w:r>
      <w:r w:rsidR="00406C74" w:rsidRPr="000E4750">
        <w:rPr>
          <w:rFonts w:ascii="ITC Avant Garde" w:hAnsi="ITC Avant Garde"/>
          <w:sz w:val="22"/>
          <w:szCs w:val="22"/>
        </w:rPr>
        <w:t>es</w:t>
      </w:r>
      <w:r w:rsidR="006B0771" w:rsidRPr="000E4750">
        <w:rPr>
          <w:rFonts w:ascii="ITC Avant Garde" w:hAnsi="ITC Avant Garde"/>
          <w:sz w:val="22"/>
          <w:szCs w:val="22"/>
        </w:rPr>
        <w:t xml:space="preserve"> importante tomar en cuenta</w:t>
      </w:r>
      <w:r w:rsidR="00BF4ACD">
        <w:rPr>
          <w:rFonts w:ascii="ITC Avant Garde" w:hAnsi="ITC Avant Garde"/>
          <w:sz w:val="22"/>
          <w:szCs w:val="22"/>
        </w:rPr>
        <w:t xml:space="preserve"> que dentro del </w:t>
      </w:r>
      <w:r w:rsidR="00406C74" w:rsidRPr="000E4750">
        <w:rPr>
          <w:rFonts w:ascii="ITC Avant Garde" w:hAnsi="ITC Avant Garde"/>
          <w:sz w:val="22"/>
          <w:szCs w:val="22"/>
        </w:rPr>
        <w:t xml:space="preserve">proyecto de Lineamientos ya son consideradas las comercializadoras como sujetos obligados al cumplimiento de las </w:t>
      </w:r>
      <w:r w:rsidR="00406C74" w:rsidRPr="00D82323">
        <w:rPr>
          <w:rFonts w:ascii="ITC Avant Garde" w:hAnsi="ITC Avant Garde"/>
          <w:sz w:val="22"/>
          <w:szCs w:val="22"/>
        </w:rPr>
        <w:t>obligacione</w:t>
      </w:r>
      <w:r w:rsidR="00406C74" w:rsidRPr="000E4750">
        <w:rPr>
          <w:rFonts w:ascii="ITC Avant Garde" w:hAnsi="ITC Avant Garde"/>
          <w:sz w:val="22"/>
          <w:szCs w:val="22"/>
        </w:rPr>
        <w:t>s que se establecen en su cuerpo, asimismo, deri</w:t>
      </w:r>
      <w:r w:rsidR="00BF4ACD">
        <w:rPr>
          <w:rFonts w:ascii="ITC Avant Garde" w:hAnsi="ITC Avant Garde"/>
          <w:sz w:val="22"/>
          <w:szCs w:val="22"/>
        </w:rPr>
        <w:t xml:space="preserve">vado de las adecuaciones al </w:t>
      </w:r>
      <w:r w:rsidR="00406C74" w:rsidRPr="000E4750">
        <w:rPr>
          <w:rFonts w:ascii="ITC Avant Garde" w:hAnsi="ITC Avant Garde"/>
          <w:sz w:val="22"/>
          <w:szCs w:val="22"/>
        </w:rPr>
        <w:t xml:space="preserve">proyecto, se ha </w:t>
      </w:r>
      <w:r w:rsidR="00406C74" w:rsidRPr="00227203">
        <w:rPr>
          <w:rFonts w:ascii="ITC Avant Garde" w:hAnsi="ITC Avant Garde"/>
          <w:sz w:val="22"/>
          <w:szCs w:val="22"/>
        </w:rPr>
        <w:t>establecido claramente los medios a través de los cuales se deberá publicar la información a los usuarios.</w:t>
      </w:r>
    </w:p>
    <w:p w:rsidR="00086F3C" w:rsidRPr="000E4750" w:rsidRDefault="00086F3C" w:rsidP="00A13478">
      <w:pPr>
        <w:pStyle w:val="Textocomentario"/>
        <w:spacing w:after="0" w:line="276" w:lineRule="auto"/>
        <w:jc w:val="both"/>
        <w:rPr>
          <w:rFonts w:ascii="ITC Avant Garde" w:hAnsi="ITC Avant Garde"/>
          <w:sz w:val="22"/>
          <w:szCs w:val="22"/>
        </w:rPr>
      </w:pPr>
    </w:p>
    <w:p w:rsidR="00406C74" w:rsidRPr="000E4750" w:rsidRDefault="00406C74" w:rsidP="00464DB4">
      <w:pPr>
        <w:pStyle w:val="Textocomentario"/>
        <w:numPr>
          <w:ilvl w:val="0"/>
          <w:numId w:val="5"/>
        </w:numPr>
        <w:spacing w:after="0" w:line="276" w:lineRule="auto"/>
        <w:jc w:val="both"/>
        <w:rPr>
          <w:rFonts w:ascii="ITC Avant Garde" w:eastAsiaTheme="minorEastAsia" w:hAnsi="ITC Avant Garde"/>
          <w:b/>
          <w:sz w:val="22"/>
          <w:szCs w:val="22"/>
          <w:lang w:eastAsia="es-MX"/>
        </w:rPr>
      </w:pPr>
      <w:r w:rsidRPr="000E4750">
        <w:rPr>
          <w:rFonts w:ascii="ITC Avant Garde" w:hAnsi="ITC Avant Garde"/>
          <w:b/>
        </w:rPr>
        <w:t>Fracción III del artículo 10</w:t>
      </w:r>
    </w:p>
    <w:p w:rsidR="007B266E" w:rsidRPr="000E4750" w:rsidRDefault="007B266E" w:rsidP="007B266E">
      <w:pPr>
        <w:pStyle w:val="Textocomentario"/>
        <w:spacing w:after="0" w:line="276" w:lineRule="auto"/>
        <w:jc w:val="both"/>
        <w:rPr>
          <w:rFonts w:ascii="ITC Avant Garde" w:hAnsi="ITC Avant Garde"/>
        </w:rPr>
      </w:pPr>
    </w:p>
    <w:p w:rsidR="009313AB" w:rsidRPr="000E4750" w:rsidRDefault="009313AB" w:rsidP="007B266E">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eastAsiaTheme="minorEastAsia" w:hAnsi="ITC Avant Garde"/>
          <w:sz w:val="22"/>
          <w:szCs w:val="22"/>
          <w:lang w:eastAsia="es-MX"/>
        </w:rPr>
        <w:t>Con relación a la fracción III, la PROFECO señala que se debe ser más precisos en el término "así como cualquier otro gasto", toda vez que considera que es ambiguo y poco claro, además, señala que cualquier gasto que se pretenda cobrar al consumidor deberá estar registrado.</w:t>
      </w:r>
    </w:p>
    <w:p w:rsidR="007B266E" w:rsidRPr="000E4750" w:rsidRDefault="007B266E" w:rsidP="007B266E">
      <w:pPr>
        <w:pStyle w:val="Textocomentario"/>
        <w:spacing w:after="0" w:line="276" w:lineRule="auto"/>
        <w:jc w:val="both"/>
        <w:rPr>
          <w:rFonts w:ascii="ITC Avant Garde" w:eastAsiaTheme="minorEastAsia" w:hAnsi="ITC Avant Garde"/>
          <w:sz w:val="22"/>
          <w:szCs w:val="22"/>
          <w:lang w:eastAsia="es-MX"/>
        </w:rPr>
      </w:pPr>
    </w:p>
    <w:p w:rsidR="009313AB" w:rsidRPr="000E4750" w:rsidRDefault="009313AB" w:rsidP="009313AB">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9313AB" w:rsidRPr="000E4750" w:rsidRDefault="009313AB" w:rsidP="009313AB">
      <w:pPr>
        <w:pStyle w:val="Textocomentario"/>
        <w:spacing w:after="0" w:line="276" w:lineRule="auto"/>
        <w:jc w:val="both"/>
        <w:rPr>
          <w:rFonts w:ascii="ITC Avant Garde" w:hAnsi="ITC Avant Garde"/>
          <w:i/>
          <w:sz w:val="22"/>
          <w:szCs w:val="22"/>
          <w:u w:val="single"/>
        </w:rPr>
      </w:pPr>
    </w:p>
    <w:p w:rsidR="00E42838" w:rsidRPr="000E4750" w:rsidRDefault="009313AB" w:rsidP="009313AB">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 xml:space="preserve">En atención a los comentarios recibidos, se debe </w:t>
      </w:r>
      <w:r w:rsidR="009E297A" w:rsidRPr="000E4750">
        <w:rPr>
          <w:rFonts w:ascii="ITC Avant Garde" w:hAnsi="ITC Avant Garde"/>
          <w:sz w:val="22"/>
          <w:szCs w:val="22"/>
        </w:rPr>
        <w:t>considerar</w:t>
      </w:r>
      <w:r w:rsidRPr="000E4750">
        <w:rPr>
          <w:rFonts w:ascii="ITC Avant Garde" w:hAnsi="ITC Avant Garde"/>
          <w:sz w:val="22"/>
          <w:szCs w:val="22"/>
        </w:rPr>
        <w:t xml:space="preserve"> en primera instancia que la </w:t>
      </w:r>
      <w:r w:rsidR="009E297A" w:rsidRPr="000E4750">
        <w:rPr>
          <w:rFonts w:ascii="ITC Avant Garde" w:hAnsi="ITC Avant Garde"/>
          <w:sz w:val="22"/>
          <w:szCs w:val="22"/>
        </w:rPr>
        <w:t>orientación de la redacción atiende a la necesidad de incluir den</w:t>
      </w:r>
      <w:r w:rsidR="005A2620" w:rsidRPr="000E4750">
        <w:rPr>
          <w:rFonts w:ascii="ITC Avant Garde" w:hAnsi="ITC Avant Garde"/>
          <w:sz w:val="22"/>
          <w:szCs w:val="22"/>
        </w:rPr>
        <w:t xml:space="preserve">tro de la obligación de publicación de información por parte </w:t>
      </w:r>
      <w:r w:rsidR="009E297A" w:rsidRPr="000E4750">
        <w:rPr>
          <w:rFonts w:ascii="ITC Avant Garde" w:hAnsi="ITC Avant Garde"/>
          <w:sz w:val="22"/>
          <w:szCs w:val="22"/>
        </w:rPr>
        <w:t xml:space="preserve">de los concesionarios y autorizados, toda aquella </w:t>
      </w:r>
      <w:r w:rsidR="005A2620" w:rsidRPr="000E4750">
        <w:rPr>
          <w:rFonts w:ascii="ITC Avant Garde" w:hAnsi="ITC Avant Garde"/>
          <w:sz w:val="22"/>
          <w:szCs w:val="22"/>
        </w:rPr>
        <w:t>relacionada con</w:t>
      </w:r>
      <w:r w:rsidR="009E297A" w:rsidRPr="000E4750">
        <w:rPr>
          <w:rFonts w:ascii="ITC Avant Garde" w:hAnsi="ITC Avant Garde"/>
          <w:sz w:val="22"/>
          <w:szCs w:val="22"/>
        </w:rPr>
        <w:t xml:space="preserve"> los cargos que </w:t>
      </w:r>
      <w:r w:rsidR="00E42838" w:rsidRPr="000E4750">
        <w:rPr>
          <w:rFonts w:ascii="ITC Avant Garde" w:hAnsi="ITC Avant Garde"/>
          <w:sz w:val="22"/>
          <w:szCs w:val="22"/>
        </w:rPr>
        <w:t>apliquen</w:t>
      </w:r>
      <w:r w:rsidR="009E297A" w:rsidRPr="000E4750">
        <w:rPr>
          <w:rFonts w:ascii="ITC Avant Garde" w:hAnsi="ITC Avant Garde"/>
          <w:sz w:val="22"/>
          <w:szCs w:val="22"/>
        </w:rPr>
        <w:t xml:space="preserve"> a los usuarios, mismos que en algunas ocasiones se encuentran definidos en diversos instrumentos como los contratos de adhesión y los códigos de pr</w:t>
      </w:r>
      <w:r w:rsidR="00E42838" w:rsidRPr="000E4750">
        <w:rPr>
          <w:rFonts w:ascii="ITC Avant Garde" w:hAnsi="ITC Avant Garde"/>
          <w:sz w:val="22"/>
          <w:szCs w:val="22"/>
        </w:rPr>
        <w:t>ácticas comerciales</w:t>
      </w:r>
      <w:r w:rsidR="00A111F1" w:rsidRPr="000E4750">
        <w:rPr>
          <w:rFonts w:ascii="ITC Avant Garde" w:hAnsi="ITC Avant Garde"/>
          <w:sz w:val="22"/>
          <w:szCs w:val="22"/>
        </w:rPr>
        <w:t>.</w:t>
      </w:r>
    </w:p>
    <w:p w:rsidR="00E42838" w:rsidRPr="000E4750" w:rsidRDefault="00E42838" w:rsidP="009313AB">
      <w:pPr>
        <w:pStyle w:val="Textocomentario"/>
        <w:spacing w:after="0" w:line="276" w:lineRule="auto"/>
        <w:jc w:val="both"/>
        <w:rPr>
          <w:rFonts w:ascii="ITC Avant Garde" w:hAnsi="ITC Avant Garde"/>
          <w:sz w:val="22"/>
          <w:szCs w:val="22"/>
        </w:rPr>
      </w:pPr>
    </w:p>
    <w:p w:rsidR="009313AB" w:rsidRPr="000E4750" w:rsidRDefault="00E42838" w:rsidP="009313AB">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hAnsi="ITC Avant Garde"/>
          <w:sz w:val="22"/>
          <w:szCs w:val="22"/>
        </w:rPr>
        <w:t xml:space="preserve">No </w:t>
      </w:r>
      <w:r w:rsidR="008B63DB" w:rsidRPr="000E4750">
        <w:rPr>
          <w:rFonts w:ascii="ITC Avant Garde" w:hAnsi="ITC Avant Garde"/>
          <w:sz w:val="22"/>
          <w:szCs w:val="22"/>
        </w:rPr>
        <w:t>obstante,</w:t>
      </w:r>
      <w:r w:rsidRPr="000E4750">
        <w:rPr>
          <w:rFonts w:ascii="ITC Avant Garde" w:hAnsi="ITC Avant Garde"/>
          <w:sz w:val="22"/>
          <w:szCs w:val="22"/>
        </w:rPr>
        <w:t xml:space="preserve"> lo anterior, se ha considerado </w:t>
      </w:r>
      <w:r w:rsidRPr="00227203">
        <w:rPr>
          <w:rFonts w:ascii="ITC Avant Garde" w:hAnsi="ITC Avant Garde"/>
          <w:sz w:val="22"/>
          <w:szCs w:val="22"/>
        </w:rPr>
        <w:t>conveniente eliminar la presente fracción</w:t>
      </w:r>
      <w:r w:rsidRPr="000E4750">
        <w:rPr>
          <w:rFonts w:ascii="ITC Avant Garde" w:hAnsi="ITC Avant Garde"/>
          <w:sz w:val="22"/>
          <w:szCs w:val="22"/>
        </w:rPr>
        <w:t>, atendiendo a que el espíritu de la obligación contenida, se encuen</w:t>
      </w:r>
      <w:r w:rsidR="00BF4ACD">
        <w:rPr>
          <w:rFonts w:ascii="ITC Avant Garde" w:hAnsi="ITC Avant Garde"/>
          <w:sz w:val="22"/>
          <w:szCs w:val="22"/>
        </w:rPr>
        <w:t>tra amparada en la fracción XVI</w:t>
      </w:r>
      <w:r w:rsidR="00CD26C6">
        <w:rPr>
          <w:rFonts w:ascii="ITC Avant Garde" w:hAnsi="ITC Avant Garde"/>
          <w:sz w:val="22"/>
          <w:szCs w:val="22"/>
        </w:rPr>
        <w:t xml:space="preserve"> del artículo 9</w:t>
      </w:r>
      <w:r w:rsidR="00BF4ACD">
        <w:rPr>
          <w:rFonts w:ascii="ITC Avant Garde" w:hAnsi="ITC Avant Garde"/>
          <w:sz w:val="22"/>
          <w:szCs w:val="22"/>
        </w:rPr>
        <w:t xml:space="preserve"> del </w:t>
      </w:r>
      <w:r w:rsidRPr="000E4750">
        <w:rPr>
          <w:rFonts w:ascii="ITC Avant Garde" w:hAnsi="ITC Avant Garde"/>
          <w:sz w:val="22"/>
          <w:szCs w:val="22"/>
        </w:rPr>
        <w:t>proyecto de Lineamientos.</w:t>
      </w:r>
    </w:p>
    <w:p w:rsidR="009313AB" w:rsidRPr="000E4750" w:rsidRDefault="009313AB" w:rsidP="007B266E">
      <w:pPr>
        <w:pStyle w:val="Textocomentario"/>
        <w:spacing w:after="0" w:line="276" w:lineRule="auto"/>
        <w:jc w:val="both"/>
        <w:rPr>
          <w:rFonts w:ascii="ITC Avant Garde" w:eastAsiaTheme="minorEastAsia" w:hAnsi="ITC Avant Garde"/>
          <w:sz w:val="22"/>
          <w:szCs w:val="22"/>
          <w:lang w:eastAsia="es-MX"/>
        </w:rPr>
      </w:pPr>
    </w:p>
    <w:p w:rsidR="00A111F1" w:rsidRPr="000E4750" w:rsidRDefault="00E42838" w:rsidP="00464DB4">
      <w:pPr>
        <w:pStyle w:val="Textocomentario"/>
        <w:numPr>
          <w:ilvl w:val="0"/>
          <w:numId w:val="5"/>
        </w:numPr>
        <w:spacing w:after="0" w:line="276" w:lineRule="auto"/>
        <w:jc w:val="both"/>
        <w:rPr>
          <w:rFonts w:ascii="ITC Avant Garde" w:eastAsiaTheme="minorEastAsia" w:hAnsi="ITC Avant Garde"/>
          <w:b/>
          <w:sz w:val="22"/>
          <w:szCs w:val="22"/>
          <w:lang w:eastAsia="es-MX"/>
        </w:rPr>
      </w:pPr>
      <w:r w:rsidRPr="000E4750">
        <w:rPr>
          <w:rFonts w:ascii="ITC Avant Garde" w:hAnsi="ITC Avant Garde"/>
          <w:b/>
        </w:rPr>
        <w:t>Artículo 11</w:t>
      </w:r>
    </w:p>
    <w:p w:rsidR="00E42838" w:rsidRPr="000E4750" w:rsidRDefault="00E42838" w:rsidP="00E42838">
      <w:pPr>
        <w:pStyle w:val="Textocomentario"/>
        <w:spacing w:after="0" w:line="276" w:lineRule="auto"/>
        <w:jc w:val="both"/>
        <w:rPr>
          <w:rFonts w:ascii="ITC Avant Garde" w:hAnsi="ITC Avant Garde"/>
          <w:b/>
        </w:rPr>
      </w:pPr>
    </w:p>
    <w:p w:rsidR="00E42838" w:rsidRPr="000E4750" w:rsidRDefault="00E42838" w:rsidP="00E42838">
      <w:pPr>
        <w:pStyle w:val="Textocomentario"/>
        <w:spacing w:after="0" w:line="276" w:lineRule="auto"/>
        <w:jc w:val="both"/>
        <w:rPr>
          <w:rFonts w:ascii="ITC Avant Garde" w:hAnsi="ITC Avant Garde"/>
          <w:sz w:val="22"/>
        </w:rPr>
      </w:pPr>
      <w:r w:rsidRPr="000E4750">
        <w:rPr>
          <w:rFonts w:ascii="ITC Avant Garde" w:hAnsi="ITC Avant Garde"/>
          <w:sz w:val="22"/>
        </w:rPr>
        <w:t xml:space="preserve">La industria coincide en que debe eliminarse el artículo 11, atendiendo a que </w:t>
      </w:r>
      <w:r w:rsidR="00563F37" w:rsidRPr="000E4750">
        <w:rPr>
          <w:rFonts w:ascii="ITC Avant Garde" w:hAnsi="ITC Avant Garde"/>
          <w:sz w:val="22"/>
        </w:rPr>
        <w:t xml:space="preserve">no es una obligación justificada y que el mercado es cambiante, </w:t>
      </w:r>
      <w:r w:rsidR="005D02BE" w:rsidRPr="000E4750">
        <w:rPr>
          <w:rFonts w:ascii="ITC Avant Garde" w:hAnsi="ITC Avant Garde"/>
          <w:sz w:val="22"/>
        </w:rPr>
        <w:t>toda vez</w:t>
      </w:r>
      <w:r w:rsidR="00563F37" w:rsidRPr="000E4750">
        <w:rPr>
          <w:rFonts w:ascii="ITC Avant Garde" w:hAnsi="ITC Avant Garde"/>
          <w:sz w:val="22"/>
        </w:rPr>
        <w:t xml:space="preserve"> que</w:t>
      </w:r>
      <w:r w:rsidR="00BF4ACD">
        <w:rPr>
          <w:rFonts w:ascii="ITC Avant Garde" w:hAnsi="ITC Avant Garde"/>
          <w:sz w:val="22"/>
        </w:rPr>
        <w:t>,</w:t>
      </w:r>
      <w:r w:rsidR="00563F37" w:rsidRPr="000E4750">
        <w:rPr>
          <w:rFonts w:ascii="ITC Avant Garde" w:hAnsi="ITC Avant Garde"/>
          <w:sz w:val="22"/>
        </w:rPr>
        <w:t xml:space="preserve"> señalan </w:t>
      </w:r>
      <w:r w:rsidR="00AA4994" w:rsidRPr="000E4750">
        <w:rPr>
          <w:rFonts w:ascii="ITC Avant Garde" w:hAnsi="ITC Avant Garde"/>
          <w:sz w:val="22"/>
        </w:rPr>
        <w:t>que,</w:t>
      </w:r>
      <w:r w:rsidRPr="000E4750">
        <w:rPr>
          <w:rFonts w:ascii="ITC Avant Garde" w:hAnsi="ITC Avant Garde"/>
          <w:sz w:val="22"/>
        </w:rPr>
        <w:t xml:space="preserve"> con ánimo de ser más competitivos, las tarifas son modificadas constantemente y el modificar las tarifas más bajas y altas </w:t>
      </w:r>
      <w:r w:rsidR="00563F37" w:rsidRPr="000E4750">
        <w:rPr>
          <w:rFonts w:ascii="ITC Avant Garde" w:hAnsi="ITC Avant Garde"/>
          <w:sz w:val="22"/>
        </w:rPr>
        <w:t xml:space="preserve">les </w:t>
      </w:r>
      <w:r w:rsidRPr="000E4750">
        <w:rPr>
          <w:rFonts w:ascii="ITC Avant Garde" w:hAnsi="ITC Avant Garde"/>
          <w:sz w:val="22"/>
        </w:rPr>
        <w:t>generaría cargas administrativas excesivas.</w:t>
      </w:r>
      <w:r w:rsidR="00563F37" w:rsidRPr="000E4750">
        <w:rPr>
          <w:rFonts w:ascii="ITC Avant Garde" w:hAnsi="ITC Avant Garde"/>
          <w:sz w:val="22"/>
        </w:rPr>
        <w:t xml:space="preserve"> Asimismo, coinciden en que los consumidores pueden comparar entre las diversas ofertas de los concesionarios por medio del Comparador de </w:t>
      </w:r>
      <w:r w:rsidR="00563F37" w:rsidRPr="000E4750">
        <w:rPr>
          <w:rFonts w:ascii="ITC Avant Garde" w:hAnsi="ITC Avant Garde"/>
          <w:sz w:val="22"/>
        </w:rPr>
        <w:lastRenderedPageBreak/>
        <w:t>Tarifas del IFT, ya que cuenta con la información suficiente y necesaria para que éstos tomen la mejor decisión de consumo.</w:t>
      </w:r>
    </w:p>
    <w:p w:rsidR="00613B36" w:rsidRPr="000E4750" w:rsidRDefault="00613B36" w:rsidP="00E42838">
      <w:pPr>
        <w:pStyle w:val="Textocomentario"/>
        <w:spacing w:after="0" w:line="276" w:lineRule="auto"/>
        <w:jc w:val="both"/>
        <w:rPr>
          <w:rFonts w:ascii="ITC Avant Garde" w:hAnsi="ITC Avant Garde"/>
          <w:sz w:val="22"/>
        </w:rPr>
      </w:pPr>
    </w:p>
    <w:p w:rsidR="00613B36" w:rsidRPr="000E4750" w:rsidRDefault="00613B36" w:rsidP="00E42838">
      <w:pPr>
        <w:pStyle w:val="Textocomentario"/>
        <w:spacing w:after="0" w:line="276" w:lineRule="auto"/>
        <w:jc w:val="both"/>
        <w:rPr>
          <w:rFonts w:ascii="ITC Avant Garde" w:hAnsi="ITC Avant Garde"/>
          <w:sz w:val="22"/>
        </w:rPr>
      </w:pPr>
      <w:r w:rsidRPr="000E4750">
        <w:rPr>
          <w:rFonts w:ascii="ITC Avant Garde" w:hAnsi="ITC Avant Garde"/>
          <w:sz w:val="22"/>
        </w:rPr>
        <w:t>Por otra parte, la PROFECO señala que el artículo 15 de la LFTR, no establece atribuciones del IFT respecto al hecho de que los concesionarios deban publicar sus tarifas mínimas y máximas.</w:t>
      </w:r>
    </w:p>
    <w:p w:rsidR="00E42838" w:rsidRPr="000E4750" w:rsidRDefault="00E42838" w:rsidP="00E42838">
      <w:pPr>
        <w:pStyle w:val="Textocomentario"/>
        <w:spacing w:after="0" w:line="276" w:lineRule="auto"/>
        <w:jc w:val="both"/>
        <w:rPr>
          <w:rFonts w:ascii="ITC Avant Garde" w:eastAsiaTheme="minorEastAsia" w:hAnsi="ITC Avant Garde"/>
          <w:b/>
          <w:sz w:val="22"/>
          <w:szCs w:val="22"/>
          <w:lang w:eastAsia="es-MX"/>
        </w:rPr>
      </w:pPr>
    </w:p>
    <w:p w:rsidR="00563F37" w:rsidRPr="000E4750" w:rsidRDefault="00563F37" w:rsidP="00563F37">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563F37" w:rsidRPr="000E4750" w:rsidRDefault="00563F37" w:rsidP="00563F37">
      <w:pPr>
        <w:pStyle w:val="Textocomentario"/>
        <w:spacing w:after="0" w:line="276" w:lineRule="auto"/>
        <w:jc w:val="both"/>
        <w:rPr>
          <w:rFonts w:ascii="ITC Avant Garde" w:hAnsi="ITC Avant Garde"/>
          <w:i/>
          <w:sz w:val="22"/>
          <w:szCs w:val="22"/>
          <w:u w:val="single"/>
        </w:rPr>
      </w:pPr>
    </w:p>
    <w:p w:rsidR="00563F37" w:rsidRPr="000E4750" w:rsidRDefault="00563F37" w:rsidP="00563F37">
      <w:pPr>
        <w:pStyle w:val="Textocomentario"/>
        <w:spacing w:after="0" w:line="276" w:lineRule="auto"/>
        <w:jc w:val="both"/>
        <w:rPr>
          <w:rFonts w:ascii="ITC Avant Garde" w:eastAsiaTheme="minorEastAsia" w:hAnsi="ITC Avant Garde"/>
          <w:b/>
          <w:sz w:val="22"/>
          <w:szCs w:val="22"/>
          <w:lang w:eastAsia="es-MX"/>
        </w:rPr>
      </w:pPr>
      <w:r w:rsidRPr="000E4750">
        <w:rPr>
          <w:rFonts w:ascii="ITC Avant Garde" w:hAnsi="ITC Avant Garde"/>
          <w:sz w:val="22"/>
          <w:szCs w:val="22"/>
        </w:rPr>
        <w:t xml:space="preserve">En atención a los comentarios recibidos, se ha considerado la </w:t>
      </w:r>
      <w:r w:rsidRPr="00227203">
        <w:rPr>
          <w:rFonts w:ascii="ITC Avant Garde" w:hAnsi="ITC Avant Garde"/>
          <w:sz w:val="22"/>
          <w:szCs w:val="22"/>
        </w:rPr>
        <w:t>eliminación del presente artículo, toda vez que se han establecido mecanismos</w:t>
      </w:r>
      <w:r w:rsidRPr="000E4750">
        <w:rPr>
          <w:rFonts w:ascii="ITC Avant Garde" w:hAnsi="ITC Avant Garde"/>
          <w:sz w:val="22"/>
          <w:szCs w:val="22"/>
        </w:rPr>
        <w:t xml:space="preserve"> dentro del proyecto de Lineamientos que permitirá a los usuarios o suscriptores comparar la oferta de cada uno de los concesionarios y autorizados.</w:t>
      </w:r>
    </w:p>
    <w:p w:rsidR="00563F37" w:rsidRPr="000E4750" w:rsidRDefault="00563F37" w:rsidP="00E42838">
      <w:pPr>
        <w:pStyle w:val="Textocomentario"/>
        <w:spacing w:after="0" w:line="276" w:lineRule="auto"/>
        <w:jc w:val="both"/>
        <w:rPr>
          <w:rFonts w:ascii="ITC Avant Garde" w:eastAsiaTheme="minorEastAsia" w:hAnsi="ITC Avant Garde"/>
          <w:b/>
          <w:sz w:val="22"/>
          <w:szCs w:val="22"/>
          <w:lang w:eastAsia="es-MX"/>
        </w:rPr>
      </w:pPr>
    </w:p>
    <w:p w:rsidR="006B0771" w:rsidRPr="000E4750" w:rsidRDefault="00563F37" w:rsidP="00464DB4">
      <w:pPr>
        <w:pStyle w:val="Textocomentario"/>
        <w:numPr>
          <w:ilvl w:val="0"/>
          <w:numId w:val="5"/>
        </w:numPr>
        <w:spacing w:after="0" w:line="276" w:lineRule="auto"/>
        <w:jc w:val="both"/>
        <w:rPr>
          <w:rFonts w:ascii="ITC Avant Garde" w:eastAsiaTheme="minorEastAsia" w:hAnsi="ITC Avant Garde"/>
          <w:b/>
          <w:sz w:val="22"/>
          <w:szCs w:val="22"/>
          <w:lang w:eastAsia="es-MX"/>
        </w:rPr>
      </w:pPr>
      <w:r w:rsidRPr="000E4750">
        <w:rPr>
          <w:rFonts w:ascii="ITC Avant Garde" w:hAnsi="ITC Avant Garde"/>
          <w:b/>
          <w:sz w:val="22"/>
          <w:szCs w:val="22"/>
        </w:rPr>
        <w:t>Artículo 12</w:t>
      </w:r>
    </w:p>
    <w:p w:rsidR="008E5720" w:rsidRPr="000E4750" w:rsidRDefault="008E5720" w:rsidP="008E5720">
      <w:pPr>
        <w:pStyle w:val="Textocomentario"/>
        <w:spacing w:after="0" w:line="276" w:lineRule="auto"/>
        <w:jc w:val="both"/>
        <w:rPr>
          <w:rFonts w:ascii="ITC Avant Garde" w:eastAsiaTheme="minorEastAsia" w:hAnsi="ITC Avant Garde"/>
          <w:b/>
          <w:sz w:val="22"/>
          <w:szCs w:val="22"/>
          <w:lang w:eastAsia="es-MX"/>
        </w:rPr>
      </w:pPr>
    </w:p>
    <w:p w:rsidR="00613B36" w:rsidRPr="000E4750" w:rsidRDefault="00613B36" w:rsidP="00613B36">
      <w:pPr>
        <w:pStyle w:val="Prrafodelista"/>
        <w:tabs>
          <w:tab w:val="left" w:pos="142"/>
        </w:tabs>
        <w:spacing w:after="0"/>
        <w:ind w:left="0"/>
        <w:jc w:val="both"/>
        <w:rPr>
          <w:rFonts w:ascii="ITC Avant Garde" w:hAnsi="ITC Avant Garde"/>
        </w:rPr>
      </w:pPr>
      <w:r w:rsidRPr="000E4750">
        <w:rPr>
          <w:rFonts w:ascii="ITC Avant Garde" w:hAnsi="ITC Avant Garde"/>
        </w:rPr>
        <w:t xml:space="preserve">Los </w:t>
      </w:r>
      <w:r w:rsidR="006B0771" w:rsidRPr="000E4750">
        <w:rPr>
          <w:rFonts w:ascii="ITC Avant Garde" w:hAnsi="ITC Avant Garde"/>
        </w:rPr>
        <w:t>ope</w:t>
      </w:r>
      <w:r w:rsidRPr="000E4750">
        <w:rPr>
          <w:rFonts w:ascii="ITC Avant Garde" w:hAnsi="ITC Avant Garde"/>
        </w:rPr>
        <w:t>radores señalan que la desagregación que se solicita en el presente artículo representa una nueva carga administrativa y regulatoria con costos elevados y poca practicidad tanto para los usuarios como para los concesionarios y autorizados. Asimismo, señalan que las características particulares de los servicios que prestan, así como su presencia en el mercado, posicionamiento, segmentos comerciales, entre otros; no hacen posible la comparación de los planes tarifarios.</w:t>
      </w:r>
    </w:p>
    <w:p w:rsidR="003806A5" w:rsidRPr="000E4750" w:rsidRDefault="003806A5" w:rsidP="00613B36">
      <w:pPr>
        <w:pStyle w:val="Prrafodelista"/>
        <w:tabs>
          <w:tab w:val="left" w:pos="142"/>
        </w:tabs>
        <w:spacing w:after="0"/>
        <w:ind w:left="0"/>
        <w:jc w:val="both"/>
        <w:rPr>
          <w:rFonts w:ascii="ITC Avant Garde" w:hAnsi="ITC Avant Garde"/>
        </w:rPr>
      </w:pPr>
    </w:p>
    <w:p w:rsidR="003806A5" w:rsidRPr="000E4750" w:rsidRDefault="003806A5" w:rsidP="00613B36">
      <w:pPr>
        <w:pStyle w:val="Prrafodelista"/>
        <w:tabs>
          <w:tab w:val="left" w:pos="142"/>
        </w:tabs>
        <w:spacing w:after="0"/>
        <w:ind w:left="0"/>
        <w:jc w:val="both"/>
        <w:rPr>
          <w:rFonts w:ascii="ITC Avant Garde" w:hAnsi="ITC Avant Garde"/>
        </w:rPr>
      </w:pPr>
      <w:r w:rsidRPr="000E4750">
        <w:rPr>
          <w:rFonts w:ascii="ITC Avant Garde" w:hAnsi="ITC Avant Garde"/>
        </w:rPr>
        <w:t xml:space="preserve">Por otra </w:t>
      </w:r>
      <w:r w:rsidR="0090710A" w:rsidRPr="000E4750">
        <w:rPr>
          <w:rFonts w:ascii="ITC Avant Garde" w:hAnsi="ITC Avant Garde"/>
        </w:rPr>
        <w:t>parte,</w:t>
      </w:r>
      <w:r w:rsidRPr="000E4750">
        <w:rPr>
          <w:rFonts w:ascii="ITC Avant Garde" w:hAnsi="ITC Avant Garde"/>
        </w:rPr>
        <w:t xml:space="preserve"> la PROFECO, realiza diversos cuestionamientos relacionados con las unidades </w:t>
      </w:r>
      <w:r w:rsidR="009D7796">
        <w:rPr>
          <w:rFonts w:ascii="ITC Avant Garde" w:hAnsi="ITC Avant Garde"/>
        </w:rPr>
        <w:t xml:space="preserve">de </w:t>
      </w:r>
      <w:r w:rsidRPr="000E4750">
        <w:rPr>
          <w:rFonts w:ascii="ITC Avant Garde" w:hAnsi="ITC Avant Garde"/>
        </w:rPr>
        <w:t>medida y si</w:t>
      </w:r>
      <w:r w:rsidR="0090710A">
        <w:rPr>
          <w:rFonts w:ascii="ITC Avant Garde" w:hAnsi="ITC Avant Garde"/>
        </w:rPr>
        <w:t xml:space="preserve"> éstas</w:t>
      </w:r>
      <w:r w:rsidRPr="000E4750">
        <w:rPr>
          <w:rFonts w:ascii="ITC Avant Garde" w:hAnsi="ITC Avant Garde"/>
        </w:rPr>
        <w:t xml:space="preserve"> deben ser incluidas en los contratos de adhesión, así como sobre</w:t>
      </w:r>
      <w:r w:rsidR="0090710A">
        <w:rPr>
          <w:rFonts w:ascii="ITC Avant Garde" w:hAnsi="ITC Avant Garde"/>
        </w:rPr>
        <w:t xml:space="preserve"> las</w:t>
      </w:r>
      <w:r w:rsidRPr="000E4750">
        <w:rPr>
          <w:rFonts w:ascii="ITC Avant Garde" w:hAnsi="ITC Avant Garde"/>
        </w:rPr>
        <w:t xml:space="preserve"> velocidades.</w:t>
      </w:r>
    </w:p>
    <w:p w:rsidR="00613B36" w:rsidRPr="000E4750" w:rsidRDefault="00613B36" w:rsidP="00613B36">
      <w:pPr>
        <w:pStyle w:val="Prrafodelista"/>
        <w:tabs>
          <w:tab w:val="left" w:pos="142"/>
        </w:tabs>
        <w:spacing w:after="0"/>
        <w:ind w:left="0"/>
        <w:jc w:val="both"/>
        <w:rPr>
          <w:rFonts w:ascii="ITC Avant Garde" w:hAnsi="ITC Avant Garde"/>
        </w:rPr>
      </w:pPr>
    </w:p>
    <w:p w:rsidR="00696D50" w:rsidRPr="000E4750" w:rsidRDefault="00696D50" w:rsidP="00A13478">
      <w:pPr>
        <w:pStyle w:val="Prrafodelista"/>
        <w:tabs>
          <w:tab w:val="left" w:pos="142"/>
        </w:tabs>
        <w:spacing w:after="0"/>
        <w:ind w:left="0"/>
        <w:jc w:val="both"/>
        <w:rPr>
          <w:rFonts w:ascii="ITC Avant Garde" w:hAnsi="ITC Avant Garde"/>
          <w:i/>
          <w:u w:val="single"/>
        </w:rPr>
      </w:pPr>
      <w:r w:rsidRPr="000E4750">
        <w:rPr>
          <w:rFonts w:ascii="ITC Avant Garde" w:hAnsi="ITC Avant Garde"/>
          <w:i/>
          <w:u w:val="single"/>
        </w:rPr>
        <w:t>Consideraciones</w:t>
      </w:r>
    </w:p>
    <w:p w:rsidR="00696D50" w:rsidRPr="000E4750" w:rsidRDefault="00696D50" w:rsidP="00A13478">
      <w:pPr>
        <w:pStyle w:val="Prrafodelista"/>
        <w:tabs>
          <w:tab w:val="left" w:pos="142"/>
        </w:tabs>
        <w:spacing w:after="0"/>
        <w:ind w:left="0"/>
        <w:jc w:val="both"/>
        <w:rPr>
          <w:rFonts w:ascii="ITC Avant Garde" w:hAnsi="ITC Avant Garde"/>
        </w:rPr>
      </w:pPr>
    </w:p>
    <w:p w:rsidR="00D67DA6" w:rsidRPr="000E4750" w:rsidRDefault="003806A5" w:rsidP="00A13478">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eastAsiaTheme="minorEastAsia" w:hAnsi="ITC Avant Garde"/>
          <w:sz w:val="22"/>
          <w:szCs w:val="22"/>
          <w:lang w:eastAsia="es-MX"/>
        </w:rPr>
        <w:t>Respecto a los comentarios de la industria y la PROFECO, se ha considerado pertinente realizar diversas adecuaciones al proyecto de L</w:t>
      </w:r>
      <w:r w:rsidR="00A44239" w:rsidRPr="000E4750">
        <w:rPr>
          <w:rFonts w:ascii="ITC Avant Garde" w:eastAsiaTheme="minorEastAsia" w:hAnsi="ITC Avant Garde"/>
          <w:sz w:val="22"/>
          <w:szCs w:val="22"/>
          <w:lang w:eastAsia="es-MX"/>
        </w:rPr>
        <w:t xml:space="preserve">ineamientos, dentro de las cuales se contempla la </w:t>
      </w:r>
      <w:r w:rsidR="00A44239" w:rsidRPr="00227203">
        <w:rPr>
          <w:rFonts w:ascii="ITC Avant Garde" w:eastAsiaTheme="minorEastAsia" w:hAnsi="ITC Avant Garde"/>
          <w:sz w:val="22"/>
          <w:szCs w:val="22"/>
          <w:lang w:eastAsia="es-MX"/>
        </w:rPr>
        <w:t>eliminación d</w:t>
      </w:r>
      <w:r w:rsidRPr="00227203">
        <w:rPr>
          <w:rFonts w:ascii="ITC Avant Garde" w:eastAsiaTheme="minorEastAsia" w:hAnsi="ITC Avant Garde"/>
          <w:sz w:val="22"/>
          <w:szCs w:val="22"/>
          <w:lang w:eastAsia="es-MX"/>
        </w:rPr>
        <w:t>el contenido del artículo 12</w:t>
      </w:r>
      <w:r w:rsidR="00A44239" w:rsidRPr="000E4750">
        <w:rPr>
          <w:rFonts w:ascii="ITC Avant Garde" w:eastAsiaTheme="minorEastAsia" w:hAnsi="ITC Avant Garde"/>
          <w:sz w:val="22"/>
          <w:szCs w:val="22"/>
          <w:lang w:eastAsia="es-MX"/>
        </w:rPr>
        <w:t xml:space="preserve"> del anteproyecto</w:t>
      </w:r>
      <w:r w:rsidRPr="000E4750">
        <w:rPr>
          <w:rFonts w:ascii="ITC Avant Garde" w:eastAsiaTheme="minorEastAsia" w:hAnsi="ITC Avant Garde"/>
          <w:sz w:val="22"/>
          <w:szCs w:val="22"/>
          <w:lang w:eastAsia="es-MX"/>
        </w:rPr>
        <w:t xml:space="preserve">, toda vez que se han establecido </w:t>
      </w:r>
      <w:r w:rsidR="00A44239" w:rsidRPr="000E4750">
        <w:rPr>
          <w:rFonts w:ascii="ITC Avant Garde" w:eastAsiaTheme="minorEastAsia" w:hAnsi="ITC Avant Garde"/>
          <w:sz w:val="22"/>
          <w:szCs w:val="22"/>
          <w:lang w:eastAsia="es-MX"/>
        </w:rPr>
        <w:t>formatos</w:t>
      </w:r>
      <w:r w:rsidRPr="000E4750">
        <w:rPr>
          <w:rFonts w:ascii="ITC Avant Garde" w:eastAsiaTheme="minorEastAsia" w:hAnsi="ITC Avant Garde"/>
          <w:sz w:val="22"/>
          <w:szCs w:val="22"/>
          <w:lang w:eastAsia="es-MX"/>
        </w:rPr>
        <w:t xml:space="preserve"> de información que permitirán al usuario conocer información </w:t>
      </w:r>
      <w:r w:rsidR="00A44239" w:rsidRPr="000E4750">
        <w:rPr>
          <w:rFonts w:ascii="ITC Avant Garde" w:eastAsiaTheme="minorEastAsia" w:hAnsi="ITC Avant Garde"/>
          <w:sz w:val="22"/>
          <w:szCs w:val="22"/>
          <w:lang w:eastAsia="es-MX"/>
        </w:rPr>
        <w:t xml:space="preserve">básica de su servicios, como son las unidades de medida; asimismo, se considera </w:t>
      </w:r>
      <w:r w:rsidR="005D02BE" w:rsidRPr="000E4750">
        <w:rPr>
          <w:rFonts w:ascii="ITC Avant Garde" w:eastAsiaTheme="minorEastAsia" w:hAnsi="ITC Avant Garde"/>
          <w:sz w:val="22"/>
          <w:szCs w:val="22"/>
          <w:lang w:eastAsia="es-MX"/>
        </w:rPr>
        <w:t xml:space="preserve">la </w:t>
      </w:r>
      <w:r w:rsidR="00A44239" w:rsidRPr="000E4750">
        <w:rPr>
          <w:rFonts w:ascii="ITC Avant Garde" w:eastAsiaTheme="minorEastAsia" w:hAnsi="ITC Avant Garde"/>
          <w:sz w:val="22"/>
          <w:szCs w:val="22"/>
          <w:lang w:eastAsia="es-MX"/>
        </w:rPr>
        <w:t>obligación de los concesionarios y autorizados de publicar las condiciones, reglas, límites o restricciones establecidas para la utilización de los servicios de telecomunicaciones.</w:t>
      </w:r>
    </w:p>
    <w:p w:rsidR="00D67DA6" w:rsidRPr="000E4750" w:rsidRDefault="00D67DA6" w:rsidP="00A13478">
      <w:pPr>
        <w:shd w:val="clear" w:color="auto" w:fill="FFFFFF"/>
        <w:spacing w:after="0"/>
        <w:jc w:val="both"/>
        <w:rPr>
          <w:rFonts w:ascii="ITC Avant Garde" w:eastAsia="Times New Roman" w:hAnsi="ITC Avant Garde" w:cs="Arial"/>
          <w:b/>
          <w:bCs/>
        </w:rPr>
      </w:pPr>
    </w:p>
    <w:p w:rsidR="00D67DA6" w:rsidRPr="000E4750" w:rsidRDefault="00A44239" w:rsidP="00464DB4">
      <w:pPr>
        <w:pStyle w:val="Prrafodelista"/>
        <w:numPr>
          <w:ilvl w:val="0"/>
          <w:numId w:val="5"/>
        </w:numPr>
        <w:shd w:val="clear" w:color="auto" w:fill="FFFFFF"/>
        <w:spacing w:after="0"/>
        <w:jc w:val="both"/>
        <w:rPr>
          <w:rFonts w:ascii="ITC Avant Garde" w:eastAsia="Times New Roman" w:hAnsi="ITC Avant Garde" w:cs="Arial"/>
          <w:b/>
          <w:bCs/>
        </w:rPr>
      </w:pPr>
      <w:r w:rsidRPr="000E4750">
        <w:rPr>
          <w:rFonts w:ascii="ITC Avant Garde" w:eastAsia="Times New Roman" w:hAnsi="ITC Avant Garde" w:cs="Arial"/>
          <w:b/>
          <w:bCs/>
        </w:rPr>
        <w:t>Artículo 13</w:t>
      </w:r>
    </w:p>
    <w:p w:rsidR="00D67DA6" w:rsidRPr="000E4750" w:rsidRDefault="00D67DA6" w:rsidP="00A13478">
      <w:pPr>
        <w:shd w:val="clear" w:color="auto" w:fill="FFFFFF"/>
        <w:spacing w:after="0"/>
        <w:jc w:val="both"/>
        <w:rPr>
          <w:rFonts w:ascii="ITC Avant Garde" w:eastAsia="Times New Roman" w:hAnsi="ITC Avant Garde" w:cs="Arial"/>
          <w:b/>
          <w:bCs/>
        </w:rPr>
      </w:pPr>
    </w:p>
    <w:p w:rsidR="0006203F" w:rsidRPr="000E4750" w:rsidRDefault="00D67DA6" w:rsidP="002E53CE">
      <w:pPr>
        <w:shd w:val="clear" w:color="auto" w:fill="FFFFFF"/>
        <w:spacing w:after="0"/>
        <w:jc w:val="both"/>
        <w:rPr>
          <w:rFonts w:ascii="ITC Avant Garde" w:eastAsia="Times New Roman" w:hAnsi="ITC Avant Garde" w:cs="Arial"/>
          <w:bCs/>
        </w:rPr>
      </w:pPr>
      <w:r w:rsidRPr="000E4750">
        <w:rPr>
          <w:rFonts w:ascii="ITC Avant Garde" w:eastAsia="Times New Roman" w:hAnsi="ITC Avant Garde" w:cs="Arial"/>
          <w:bCs/>
        </w:rPr>
        <w:t xml:space="preserve">Los operadores </w:t>
      </w:r>
      <w:r w:rsidR="00005315" w:rsidRPr="000E4750">
        <w:rPr>
          <w:rFonts w:ascii="ITC Avant Garde" w:eastAsia="Times New Roman" w:hAnsi="ITC Avant Garde" w:cs="Arial"/>
          <w:bCs/>
        </w:rPr>
        <w:t xml:space="preserve">consideran </w:t>
      </w:r>
      <w:r w:rsidR="002E53CE" w:rsidRPr="000E4750">
        <w:rPr>
          <w:rFonts w:ascii="ITC Avant Garde" w:eastAsia="Times New Roman" w:hAnsi="ITC Avant Garde" w:cs="Arial"/>
          <w:bCs/>
        </w:rPr>
        <w:t xml:space="preserve">que se está imponiendo mayor regulación en lo que respecta a la publicación de su información desagregada, asimismo, señalan que la publicación de promociones, ofertas y descuentos se genera de manera ordinaria en anuncios publicitarios, los </w:t>
      </w:r>
      <w:r w:rsidR="002E53CE" w:rsidRPr="000E4750">
        <w:rPr>
          <w:rFonts w:ascii="ITC Avant Garde" w:eastAsia="Times New Roman" w:hAnsi="ITC Avant Garde" w:cs="Arial"/>
          <w:bCs/>
        </w:rPr>
        <w:lastRenderedPageBreak/>
        <w:t>cuales, por cuestiones de mercadotecnia e impacto comercial, no pueden presentar grandes cantidades de información, y sugieren que se modifique la obligación de presentar la totalidad de la información mencionada en las publicaciones.</w:t>
      </w:r>
      <w:r w:rsidR="00B97A09" w:rsidRPr="000E4750">
        <w:rPr>
          <w:rFonts w:ascii="ITC Avant Garde" w:eastAsia="Times New Roman" w:hAnsi="ITC Avant Garde" w:cs="Arial"/>
          <w:bCs/>
        </w:rPr>
        <w:t xml:space="preserve"> Asimismo, se comenta que los casos que se deben entender como una promoción están claramente definidos en el artículo 46 de la Ley Federal de Protección al Consumidor por lo que se sugiere que se homologuen las definiciones.</w:t>
      </w:r>
    </w:p>
    <w:p w:rsidR="00D67DA6" w:rsidRPr="000E4750" w:rsidRDefault="00D67DA6" w:rsidP="00A13478">
      <w:pPr>
        <w:shd w:val="clear" w:color="auto" w:fill="FFFFFF"/>
        <w:spacing w:after="0"/>
        <w:jc w:val="both"/>
        <w:rPr>
          <w:rFonts w:ascii="ITC Avant Garde" w:eastAsia="Times New Roman" w:hAnsi="ITC Avant Garde" w:cs="Arial"/>
          <w:bCs/>
          <w:u w:val="single"/>
        </w:rPr>
      </w:pPr>
    </w:p>
    <w:p w:rsidR="00D67DA6" w:rsidRPr="000E4750" w:rsidRDefault="00D67DA6" w:rsidP="00A13478">
      <w:pPr>
        <w:shd w:val="clear" w:color="auto" w:fill="FFFFFF"/>
        <w:spacing w:after="0"/>
        <w:jc w:val="both"/>
        <w:rPr>
          <w:rFonts w:ascii="ITC Avant Garde" w:eastAsia="Times New Roman" w:hAnsi="ITC Avant Garde" w:cs="Arial"/>
          <w:bCs/>
          <w:i/>
          <w:u w:val="single"/>
        </w:rPr>
      </w:pPr>
      <w:r w:rsidRPr="000E4750">
        <w:rPr>
          <w:rFonts w:ascii="ITC Avant Garde" w:eastAsia="Times New Roman" w:hAnsi="ITC Avant Garde" w:cs="Arial"/>
          <w:bCs/>
          <w:i/>
          <w:u w:val="single"/>
        </w:rPr>
        <w:t>Consideraciones</w:t>
      </w:r>
    </w:p>
    <w:p w:rsidR="00D67DA6" w:rsidRPr="000E4750" w:rsidRDefault="00D67DA6" w:rsidP="00A13478">
      <w:pPr>
        <w:shd w:val="clear" w:color="auto" w:fill="FFFFFF"/>
        <w:spacing w:after="0"/>
        <w:jc w:val="both"/>
        <w:rPr>
          <w:rFonts w:ascii="ITC Avant Garde" w:eastAsia="Times New Roman" w:hAnsi="ITC Avant Garde" w:cs="Arial"/>
          <w:b/>
          <w:bCs/>
        </w:rPr>
      </w:pPr>
    </w:p>
    <w:p w:rsidR="00D052A5" w:rsidRPr="000E4750" w:rsidRDefault="002E53CE" w:rsidP="00A13478">
      <w:pPr>
        <w:shd w:val="clear" w:color="auto" w:fill="FFFFFF"/>
        <w:spacing w:after="0"/>
        <w:jc w:val="both"/>
        <w:rPr>
          <w:rFonts w:ascii="ITC Avant Garde" w:hAnsi="ITC Avant Garde"/>
        </w:rPr>
      </w:pPr>
      <w:r w:rsidRPr="000E4750">
        <w:rPr>
          <w:rFonts w:ascii="ITC Avant Garde" w:eastAsia="Times New Roman" w:hAnsi="ITC Avant Garde" w:cs="Arial"/>
          <w:bCs/>
        </w:rPr>
        <w:t xml:space="preserve">Tomando en consideración la definición de los formatos </w:t>
      </w:r>
      <w:r w:rsidR="00B97A09" w:rsidRPr="000E4750">
        <w:rPr>
          <w:rFonts w:ascii="ITC Avant Garde" w:eastAsia="Times New Roman" w:hAnsi="ITC Avant Garde" w:cs="Arial"/>
          <w:bCs/>
        </w:rPr>
        <w:t xml:space="preserve">simplificados </w:t>
      </w:r>
      <w:r w:rsidRPr="000E4750">
        <w:rPr>
          <w:rFonts w:ascii="ITC Avant Garde" w:eastAsia="Times New Roman" w:hAnsi="ITC Avant Garde" w:cs="Arial"/>
          <w:bCs/>
        </w:rPr>
        <w:t xml:space="preserve">de información para los usuarios </w:t>
      </w:r>
      <w:r w:rsidR="00523019" w:rsidRPr="000E4750">
        <w:rPr>
          <w:rFonts w:ascii="ITC Avant Garde" w:eastAsia="Times New Roman" w:hAnsi="ITC Avant Garde" w:cs="Arial"/>
          <w:bCs/>
        </w:rPr>
        <w:t>vinculados con el</w:t>
      </w:r>
      <w:r w:rsidR="008742D9">
        <w:rPr>
          <w:rFonts w:ascii="ITC Avant Garde" w:eastAsia="Times New Roman" w:hAnsi="ITC Avant Garde" w:cs="Arial"/>
          <w:bCs/>
        </w:rPr>
        <w:t xml:space="preserve"> proyecto de Lineamientos</w:t>
      </w:r>
      <w:r w:rsidRPr="000E4750">
        <w:rPr>
          <w:rFonts w:ascii="ITC Avant Garde" w:eastAsia="Times New Roman" w:hAnsi="ITC Avant Garde" w:cs="Arial"/>
          <w:bCs/>
        </w:rPr>
        <w:t xml:space="preserve"> y derivado de los ajustes al proyecto atendiendo a los comentarios recibidos durante la consulta pública, </w:t>
      </w:r>
      <w:r w:rsidRPr="00227203">
        <w:rPr>
          <w:rFonts w:ascii="ITC Avant Garde" w:eastAsia="Times New Roman" w:hAnsi="ITC Avant Garde" w:cs="Arial"/>
          <w:bCs/>
        </w:rPr>
        <w:t>se ha eliminado el presente artículo del proyecto de Lineamientos.</w:t>
      </w:r>
    </w:p>
    <w:p w:rsidR="00E842A7" w:rsidRPr="000E4750" w:rsidRDefault="00E842A7" w:rsidP="00A13478">
      <w:pPr>
        <w:shd w:val="clear" w:color="auto" w:fill="FFFFFF"/>
        <w:spacing w:after="0"/>
        <w:jc w:val="both"/>
        <w:rPr>
          <w:rFonts w:ascii="ITC Avant Garde" w:hAnsi="ITC Avant Garde"/>
        </w:rPr>
      </w:pPr>
    </w:p>
    <w:p w:rsidR="0006203F" w:rsidRPr="000E4750" w:rsidRDefault="0006203F" w:rsidP="00464DB4">
      <w:pPr>
        <w:pStyle w:val="Textocomentario"/>
        <w:numPr>
          <w:ilvl w:val="0"/>
          <w:numId w:val="5"/>
        </w:numPr>
        <w:spacing w:after="0" w:line="276" w:lineRule="auto"/>
        <w:jc w:val="both"/>
        <w:rPr>
          <w:rFonts w:ascii="ITC Avant Garde" w:eastAsiaTheme="minorEastAsia" w:hAnsi="ITC Avant Garde"/>
          <w:b/>
          <w:sz w:val="22"/>
          <w:szCs w:val="22"/>
          <w:lang w:eastAsia="es-MX"/>
        </w:rPr>
      </w:pPr>
      <w:r w:rsidRPr="000E4750">
        <w:rPr>
          <w:rFonts w:ascii="ITC Avant Garde" w:eastAsiaTheme="minorEastAsia" w:hAnsi="ITC Avant Garde"/>
          <w:b/>
          <w:sz w:val="22"/>
          <w:szCs w:val="22"/>
          <w:lang w:eastAsia="es-MX"/>
        </w:rPr>
        <w:t>Artículo</w:t>
      </w:r>
      <w:r w:rsidR="00BD67FB" w:rsidRPr="000E4750">
        <w:rPr>
          <w:rFonts w:ascii="ITC Avant Garde" w:eastAsiaTheme="minorEastAsia" w:hAnsi="ITC Avant Garde"/>
          <w:b/>
          <w:sz w:val="22"/>
          <w:szCs w:val="22"/>
          <w:lang w:eastAsia="es-MX"/>
        </w:rPr>
        <w:t xml:space="preserve"> </w:t>
      </w:r>
      <w:r w:rsidR="002E53CE" w:rsidRPr="000E4750">
        <w:rPr>
          <w:rFonts w:ascii="ITC Avant Garde" w:eastAsiaTheme="minorEastAsia" w:hAnsi="ITC Avant Garde"/>
          <w:b/>
          <w:sz w:val="22"/>
          <w:szCs w:val="22"/>
          <w:lang w:eastAsia="es-MX"/>
        </w:rPr>
        <w:t>14</w:t>
      </w:r>
    </w:p>
    <w:p w:rsidR="00E842A7" w:rsidRPr="000E4750" w:rsidRDefault="00E842A7" w:rsidP="00E842A7">
      <w:pPr>
        <w:pStyle w:val="Textocomentario"/>
        <w:spacing w:after="0" w:line="276" w:lineRule="auto"/>
        <w:ind w:left="720"/>
        <w:jc w:val="both"/>
        <w:rPr>
          <w:rFonts w:ascii="ITC Avant Garde" w:eastAsiaTheme="minorEastAsia" w:hAnsi="ITC Avant Garde"/>
          <w:b/>
          <w:sz w:val="22"/>
          <w:szCs w:val="22"/>
          <w:lang w:eastAsia="es-MX"/>
        </w:rPr>
      </w:pPr>
    </w:p>
    <w:p w:rsidR="00C10777" w:rsidRPr="000E4750" w:rsidRDefault="00C10777" w:rsidP="00A13478">
      <w:pPr>
        <w:spacing w:after="0"/>
        <w:jc w:val="both"/>
        <w:rPr>
          <w:rFonts w:ascii="ITC Avant Garde" w:hAnsi="ITC Avant Garde"/>
        </w:rPr>
      </w:pPr>
      <w:r w:rsidRPr="000E4750">
        <w:rPr>
          <w:rFonts w:ascii="ITC Avant Garde" w:hAnsi="ITC Avant Garde"/>
        </w:rPr>
        <w:t>Los operadores proponen una adecuación a la redacción, con la finalidad de acotar la publicación de la información a sus páginas de Internet; asimismo, se manifiesta que es información que ya se difunde de conformidad con la LFPC, la LFTR y la NOM-SCFI-184-2012, por lo que resulta una doble regulación. Por otra parte, se propone agregar al título “contrato de adhesión”.</w:t>
      </w:r>
    </w:p>
    <w:p w:rsidR="00E842A7" w:rsidRPr="000E4750" w:rsidRDefault="00E842A7" w:rsidP="00A13478">
      <w:pPr>
        <w:spacing w:after="0"/>
        <w:jc w:val="both"/>
        <w:rPr>
          <w:rFonts w:ascii="ITC Avant Garde" w:hAnsi="ITC Avant Garde"/>
          <w:i/>
          <w:u w:val="single"/>
        </w:rPr>
      </w:pPr>
    </w:p>
    <w:p w:rsidR="00B174EF" w:rsidRPr="000E4750" w:rsidRDefault="00B174EF" w:rsidP="00A13478">
      <w:pPr>
        <w:shd w:val="clear" w:color="auto" w:fill="FFFFFF"/>
        <w:spacing w:after="0"/>
        <w:jc w:val="both"/>
        <w:rPr>
          <w:rFonts w:ascii="ITC Avant Garde" w:eastAsia="Times New Roman" w:hAnsi="ITC Avant Garde" w:cs="Arial"/>
          <w:bCs/>
          <w:i/>
          <w:u w:val="single"/>
        </w:rPr>
      </w:pPr>
      <w:r w:rsidRPr="000E4750">
        <w:rPr>
          <w:rFonts w:ascii="ITC Avant Garde" w:eastAsia="Times New Roman" w:hAnsi="ITC Avant Garde" w:cs="Arial"/>
          <w:bCs/>
          <w:i/>
          <w:u w:val="single"/>
        </w:rPr>
        <w:t>Consideraciones</w:t>
      </w:r>
    </w:p>
    <w:p w:rsidR="00E842A7" w:rsidRPr="000E4750" w:rsidRDefault="00E842A7" w:rsidP="00A13478">
      <w:pPr>
        <w:shd w:val="clear" w:color="auto" w:fill="FFFFFF"/>
        <w:spacing w:after="0"/>
        <w:jc w:val="both"/>
        <w:rPr>
          <w:rFonts w:ascii="ITC Avant Garde" w:eastAsia="Times New Roman" w:hAnsi="ITC Avant Garde" w:cs="Arial"/>
          <w:bCs/>
          <w:i/>
          <w:u w:val="single"/>
        </w:rPr>
      </w:pPr>
    </w:p>
    <w:p w:rsidR="002A6F05" w:rsidRPr="000E4750" w:rsidRDefault="00C10777" w:rsidP="00A13478">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eastAsiaTheme="minorEastAsia" w:hAnsi="ITC Avant Garde"/>
          <w:sz w:val="22"/>
          <w:szCs w:val="22"/>
          <w:lang w:eastAsia="es-MX"/>
        </w:rPr>
        <w:t>Con relación a los com</w:t>
      </w:r>
      <w:r w:rsidR="001B6182" w:rsidRPr="000E4750">
        <w:rPr>
          <w:rFonts w:ascii="ITC Avant Garde" w:eastAsiaTheme="minorEastAsia" w:hAnsi="ITC Avant Garde"/>
          <w:sz w:val="22"/>
          <w:szCs w:val="22"/>
          <w:lang w:eastAsia="es-MX"/>
        </w:rPr>
        <w:t>entarios recibidos, se efectuaron</w:t>
      </w:r>
      <w:r w:rsidRPr="000E4750">
        <w:rPr>
          <w:rFonts w:ascii="ITC Avant Garde" w:eastAsiaTheme="minorEastAsia" w:hAnsi="ITC Avant Garde"/>
          <w:sz w:val="22"/>
          <w:szCs w:val="22"/>
          <w:lang w:eastAsia="es-MX"/>
        </w:rPr>
        <w:t xml:space="preserve"> adecuaciones al proyecto de Lineamientos para establecer que el medio de publicación de la información establecida en el artículo, será a través de las páginas de Internet de los concesionarios y autorizados</w:t>
      </w:r>
      <w:r w:rsidR="00AC0650" w:rsidRPr="000E4750">
        <w:rPr>
          <w:rFonts w:ascii="ITC Avant Garde" w:eastAsiaTheme="minorEastAsia" w:hAnsi="ITC Avant Garde"/>
          <w:sz w:val="22"/>
          <w:szCs w:val="22"/>
          <w:lang w:eastAsia="es-MX"/>
        </w:rPr>
        <w:t>.</w:t>
      </w:r>
      <w:r w:rsidR="002A6F05" w:rsidRPr="000E4750">
        <w:rPr>
          <w:rFonts w:ascii="ITC Avant Garde" w:eastAsiaTheme="minorEastAsia" w:hAnsi="ITC Avant Garde"/>
          <w:sz w:val="22"/>
          <w:szCs w:val="22"/>
          <w:lang w:eastAsia="es-MX"/>
        </w:rPr>
        <w:t xml:space="preserve"> Ahora bien, respecto a la inclusión de “contrato de adhesión” en el nombre del capítulo, se considera que la redacción propuesta ya se encuentra implícita en el artículo 14 del anteproyecto, motivo por el cual se mantiene la redacción inicial.</w:t>
      </w:r>
    </w:p>
    <w:p w:rsidR="002A6F05" w:rsidRPr="000E4750" w:rsidRDefault="002A6F05" w:rsidP="00A13478">
      <w:pPr>
        <w:pStyle w:val="Textocomentario"/>
        <w:spacing w:after="0" w:line="276" w:lineRule="auto"/>
        <w:jc w:val="both"/>
        <w:rPr>
          <w:rFonts w:ascii="ITC Avant Garde" w:eastAsiaTheme="minorEastAsia" w:hAnsi="ITC Avant Garde"/>
          <w:sz w:val="22"/>
          <w:szCs w:val="22"/>
          <w:lang w:eastAsia="es-MX"/>
        </w:rPr>
      </w:pPr>
    </w:p>
    <w:p w:rsidR="00076829" w:rsidRPr="000E4750" w:rsidRDefault="001B6182" w:rsidP="00A13478">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eastAsiaTheme="minorEastAsia" w:hAnsi="ITC Avant Garde"/>
          <w:sz w:val="22"/>
          <w:szCs w:val="22"/>
          <w:lang w:eastAsia="es-MX"/>
        </w:rPr>
        <w:t>Adicionalmente,</w:t>
      </w:r>
      <w:r w:rsidR="002A6F05" w:rsidRPr="000E4750">
        <w:rPr>
          <w:rFonts w:ascii="ITC Avant Garde" w:eastAsiaTheme="minorEastAsia" w:hAnsi="ITC Avant Garde"/>
          <w:sz w:val="22"/>
          <w:szCs w:val="22"/>
          <w:lang w:eastAsia="es-MX"/>
        </w:rPr>
        <w:t xml:space="preserve"> </w:t>
      </w:r>
      <w:r w:rsidRPr="000E4750">
        <w:rPr>
          <w:rFonts w:ascii="ITC Avant Garde" w:eastAsiaTheme="minorEastAsia" w:hAnsi="ITC Avant Garde"/>
          <w:sz w:val="22"/>
          <w:szCs w:val="22"/>
          <w:lang w:eastAsia="es-MX"/>
        </w:rPr>
        <w:t>es importante señalar que</w:t>
      </w:r>
      <w:r w:rsidR="00140360">
        <w:rPr>
          <w:rFonts w:ascii="ITC Avant Garde" w:eastAsiaTheme="minorEastAsia" w:hAnsi="ITC Avant Garde"/>
          <w:sz w:val="22"/>
          <w:szCs w:val="22"/>
          <w:lang w:eastAsia="es-MX"/>
        </w:rPr>
        <w:t>,</w:t>
      </w:r>
      <w:r w:rsidRPr="000E4750">
        <w:rPr>
          <w:rFonts w:ascii="ITC Avant Garde" w:eastAsiaTheme="minorEastAsia" w:hAnsi="ITC Avant Garde"/>
          <w:sz w:val="22"/>
          <w:szCs w:val="22"/>
          <w:lang w:eastAsia="es-MX"/>
        </w:rPr>
        <w:t xml:space="preserve"> si bien en algunos ordenamientos se establecen obligaciones de incluir cierta información</w:t>
      </w:r>
      <w:r w:rsidR="00470814" w:rsidRPr="000E4750">
        <w:rPr>
          <w:rFonts w:ascii="ITC Avant Garde" w:eastAsiaTheme="minorEastAsia" w:hAnsi="ITC Avant Garde"/>
          <w:sz w:val="22"/>
          <w:szCs w:val="22"/>
          <w:lang w:eastAsia="es-MX"/>
        </w:rPr>
        <w:t xml:space="preserve"> en</w:t>
      </w:r>
      <w:r w:rsidRPr="000E4750">
        <w:rPr>
          <w:rFonts w:ascii="ITC Avant Garde" w:eastAsiaTheme="minorEastAsia" w:hAnsi="ITC Avant Garde"/>
          <w:sz w:val="22"/>
          <w:szCs w:val="22"/>
          <w:lang w:eastAsia="es-MX"/>
        </w:rPr>
        <w:t xml:space="preserve"> los contratos de adhesión, con la finalidad de transparentar y hacer asequible la información al usuario, </w:t>
      </w:r>
      <w:r w:rsidR="002A6F05" w:rsidRPr="000E4750">
        <w:rPr>
          <w:rFonts w:ascii="ITC Avant Garde" w:eastAsiaTheme="minorEastAsia" w:hAnsi="ITC Avant Garde"/>
          <w:sz w:val="22"/>
          <w:szCs w:val="22"/>
          <w:lang w:eastAsia="es-MX"/>
        </w:rPr>
        <w:t>s</w:t>
      </w:r>
      <w:r w:rsidR="00470814" w:rsidRPr="000E4750">
        <w:rPr>
          <w:rFonts w:ascii="ITC Avant Garde" w:eastAsiaTheme="minorEastAsia" w:hAnsi="ITC Avant Garde"/>
          <w:sz w:val="22"/>
          <w:szCs w:val="22"/>
          <w:lang w:eastAsia="es-MX"/>
        </w:rPr>
        <w:t xml:space="preserve">e ha definido en el proyecto de Lineamientos la obligación de que sea </w:t>
      </w:r>
      <w:r w:rsidR="002A6F05" w:rsidRPr="000E4750">
        <w:rPr>
          <w:rFonts w:ascii="ITC Avant Garde" w:eastAsiaTheme="minorEastAsia" w:hAnsi="ITC Avant Garde"/>
          <w:sz w:val="22"/>
          <w:szCs w:val="22"/>
          <w:lang w:eastAsia="es-MX"/>
        </w:rPr>
        <w:t>pu</w:t>
      </w:r>
      <w:r w:rsidR="00470814" w:rsidRPr="000E4750">
        <w:rPr>
          <w:rFonts w:ascii="ITC Avant Garde" w:eastAsiaTheme="minorEastAsia" w:hAnsi="ITC Avant Garde"/>
          <w:sz w:val="22"/>
          <w:szCs w:val="22"/>
          <w:lang w:eastAsia="es-MX"/>
        </w:rPr>
        <w:t>blicada en</w:t>
      </w:r>
      <w:r w:rsidRPr="000E4750">
        <w:rPr>
          <w:rFonts w:ascii="ITC Avant Garde" w:eastAsiaTheme="minorEastAsia" w:hAnsi="ITC Avant Garde"/>
          <w:sz w:val="22"/>
          <w:szCs w:val="22"/>
          <w:lang w:eastAsia="es-MX"/>
        </w:rPr>
        <w:t xml:space="preserve"> las páginas </w:t>
      </w:r>
      <w:r w:rsidR="00BD3768">
        <w:rPr>
          <w:rFonts w:ascii="ITC Avant Garde" w:eastAsiaTheme="minorEastAsia" w:hAnsi="ITC Avant Garde"/>
          <w:sz w:val="22"/>
          <w:szCs w:val="22"/>
          <w:lang w:eastAsia="es-MX"/>
        </w:rPr>
        <w:t>d</w:t>
      </w:r>
      <w:r w:rsidRPr="000E4750">
        <w:rPr>
          <w:rFonts w:ascii="ITC Avant Garde" w:eastAsiaTheme="minorEastAsia" w:hAnsi="ITC Avant Garde"/>
          <w:sz w:val="22"/>
          <w:szCs w:val="22"/>
          <w:lang w:eastAsia="es-MX"/>
        </w:rPr>
        <w:t>e Internet</w:t>
      </w:r>
      <w:r w:rsidR="00470814" w:rsidRPr="000E4750">
        <w:rPr>
          <w:rFonts w:ascii="ITC Avant Garde" w:eastAsiaTheme="minorEastAsia" w:hAnsi="ITC Avant Garde"/>
          <w:sz w:val="22"/>
          <w:szCs w:val="22"/>
          <w:lang w:eastAsia="es-MX"/>
        </w:rPr>
        <w:t xml:space="preserve"> aquella relacionada con los gastos de terminación del contrato de adhesión.</w:t>
      </w:r>
    </w:p>
    <w:p w:rsidR="00086F3C" w:rsidRPr="000E4750" w:rsidRDefault="00086F3C" w:rsidP="00A13478">
      <w:pPr>
        <w:pStyle w:val="Textocomentario"/>
        <w:spacing w:after="0" w:line="276" w:lineRule="auto"/>
        <w:jc w:val="both"/>
        <w:rPr>
          <w:rFonts w:ascii="ITC Avant Garde" w:eastAsiaTheme="minorEastAsia" w:hAnsi="ITC Avant Garde"/>
          <w:sz w:val="22"/>
          <w:szCs w:val="22"/>
          <w:lang w:eastAsia="es-MX"/>
        </w:rPr>
      </w:pPr>
    </w:p>
    <w:p w:rsidR="00076829" w:rsidRPr="000E4750" w:rsidRDefault="009614B1" w:rsidP="00464DB4">
      <w:pPr>
        <w:pStyle w:val="Textocomentario"/>
        <w:numPr>
          <w:ilvl w:val="0"/>
          <w:numId w:val="5"/>
        </w:numPr>
        <w:spacing w:after="0" w:line="276" w:lineRule="auto"/>
        <w:jc w:val="both"/>
        <w:rPr>
          <w:rFonts w:ascii="ITC Avant Garde" w:eastAsiaTheme="minorEastAsia" w:hAnsi="ITC Avant Garde"/>
          <w:b/>
          <w:sz w:val="22"/>
          <w:szCs w:val="22"/>
          <w:lang w:eastAsia="es-MX"/>
        </w:rPr>
      </w:pPr>
      <w:r w:rsidRPr="000E4750">
        <w:rPr>
          <w:rFonts w:ascii="ITC Avant Garde" w:eastAsiaTheme="minorEastAsia" w:hAnsi="ITC Avant Garde"/>
          <w:b/>
          <w:sz w:val="22"/>
          <w:szCs w:val="22"/>
          <w:lang w:eastAsia="es-MX"/>
        </w:rPr>
        <w:t xml:space="preserve">Fracción I del </w:t>
      </w:r>
      <w:r w:rsidR="00076829" w:rsidRPr="000E4750">
        <w:rPr>
          <w:rFonts w:ascii="ITC Avant Garde" w:eastAsiaTheme="minorEastAsia" w:hAnsi="ITC Avant Garde"/>
          <w:b/>
          <w:sz w:val="22"/>
          <w:szCs w:val="22"/>
          <w:lang w:eastAsia="es-MX"/>
        </w:rPr>
        <w:t>Art</w:t>
      </w:r>
      <w:r w:rsidR="002A6F05" w:rsidRPr="000E4750">
        <w:rPr>
          <w:rFonts w:ascii="ITC Avant Garde" w:eastAsiaTheme="minorEastAsia" w:hAnsi="ITC Avant Garde"/>
          <w:b/>
          <w:sz w:val="22"/>
          <w:szCs w:val="22"/>
          <w:lang w:eastAsia="es-MX"/>
        </w:rPr>
        <w:t xml:space="preserve">ículo </w:t>
      </w:r>
      <w:r w:rsidRPr="000E4750">
        <w:rPr>
          <w:rFonts w:ascii="ITC Avant Garde" w:eastAsiaTheme="minorEastAsia" w:hAnsi="ITC Avant Garde"/>
          <w:b/>
          <w:sz w:val="22"/>
          <w:szCs w:val="22"/>
          <w:lang w:eastAsia="es-MX"/>
        </w:rPr>
        <w:t>14.</w:t>
      </w:r>
    </w:p>
    <w:p w:rsidR="00E842A7" w:rsidRPr="000E4750" w:rsidRDefault="00E842A7" w:rsidP="00E842A7">
      <w:pPr>
        <w:pStyle w:val="Textocomentario"/>
        <w:spacing w:after="0" w:line="276" w:lineRule="auto"/>
        <w:ind w:left="720"/>
        <w:jc w:val="both"/>
        <w:rPr>
          <w:rFonts w:ascii="ITC Avant Garde" w:eastAsiaTheme="minorEastAsia" w:hAnsi="ITC Avant Garde"/>
          <w:b/>
          <w:sz w:val="22"/>
          <w:szCs w:val="22"/>
          <w:lang w:eastAsia="es-MX"/>
        </w:rPr>
      </w:pPr>
    </w:p>
    <w:p w:rsidR="003F264E" w:rsidRPr="000E4750" w:rsidRDefault="009614B1" w:rsidP="00A13478">
      <w:pPr>
        <w:pStyle w:val="Textocomentario"/>
        <w:spacing w:after="0" w:line="276" w:lineRule="auto"/>
        <w:jc w:val="both"/>
        <w:rPr>
          <w:rFonts w:ascii="ITC Avant Garde" w:hAnsi="ITC Avant Garde"/>
          <w:sz w:val="22"/>
          <w:szCs w:val="22"/>
        </w:rPr>
      </w:pPr>
      <w:r w:rsidRPr="000E4750">
        <w:rPr>
          <w:rFonts w:ascii="ITC Avant Garde" w:eastAsiaTheme="minorEastAsia" w:hAnsi="ITC Avant Garde"/>
          <w:sz w:val="22"/>
          <w:szCs w:val="22"/>
          <w:lang w:eastAsia="es-MX"/>
        </w:rPr>
        <w:lastRenderedPageBreak/>
        <w:t>La PROFECO hace una propuesta de modificación en la redacción a fin de incluir “Monto de las penas convencionales mínimas y máximas”</w:t>
      </w:r>
      <w:r w:rsidR="003F264E" w:rsidRPr="000E4750">
        <w:rPr>
          <w:rFonts w:ascii="ITC Avant Garde" w:hAnsi="ITC Avant Garde"/>
          <w:sz w:val="22"/>
          <w:szCs w:val="22"/>
        </w:rPr>
        <w:t>.</w:t>
      </w:r>
    </w:p>
    <w:p w:rsidR="00E842A7" w:rsidRPr="000E4750" w:rsidRDefault="00E842A7" w:rsidP="00A13478">
      <w:pPr>
        <w:pStyle w:val="Textocomentario"/>
        <w:spacing w:after="0" w:line="276" w:lineRule="auto"/>
        <w:jc w:val="both"/>
        <w:rPr>
          <w:rFonts w:ascii="ITC Avant Garde" w:hAnsi="ITC Avant Garde"/>
          <w:sz w:val="22"/>
          <w:szCs w:val="22"/>
        </w:rPr>
      </w:pPr>
    </w:p>
    <w:p w:rsidR="00076829" w:rsidRPr="000E4750" w:rsidRDefault="003F264E" w:rsidP="00A13478">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E842A7" w:rsidRPr="000E4750" w:rsidRDefault="00E842A7" w:rsidP="00A13478">
      <w:pPr>
        <w:pStyle w:val="Textocomentario"/>
        <w:spacing w:after="0" w:line="276" w:lineRule="auto"/>
        <w:jc w:val="both"/>
        <w:rPr>
          <w:rFonts w:ascii="ITC Avant Garde" w:eastAsiaTheme="minorEastAsia" w:hAnsi="ITC Avant Garde"/>
          <w:b/>
          <w:i/>
          <w:sz w:val="22"/>
          <w:szCs w:val="22"/>
          <w:u w:val="single"/>
          <w:lang w:eastAsia="es-MX"/>
        </w:rPr>
      </w:pPr>
    </w:p>
    <w:p w:rsidR="003F264E" w:rsidRPr="000E4750" w:rsidRDefault="009614B1" w:rsidP="00A13478">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 xml:space="preserve">Se considera </w:t>
      </w:r>
      <w:r w:rsidR="00140360">
        <w:rPr>
          <w:rFonts w:ascii="ITC Avant Garde" w:hAnsi="ITC Avant Garde"/>
          <w:sz w:val="22"/>
          <w:szCs w:val="22"/>
        </w:rPr>
        <w:t xml:space="preserve">conveniente efectuar modificaciones en la redacción de la fracción, a fin de que </w:t>
      </w:r>
      <w:r w:rsidRPr="000E4750">
        <w:rPr>
          <w:rFonts w:ascii="ITC Avant Garde" w:hAnsi="ITC Avant Garde"/>
          <w:sz w:val="22"/>
          <w:szCs w:val="22"/>
        </w:rPr>
        <w:t xml:space="preserve">los concesionarios o autorizados </w:t>
      </w:r>
      <w:r w:rsidR="00140360" w:rsidRPr="000E4750">
        <w:rPr>
          <w:rFonts w:ascii="ITC Avant Garde" w:hAnsi="ITC Avant Garde"/>
          <w:sz w:val="22"/>
          <w:szCs w:val="22"/>
        </w:rPr>
        <w:t>est</w:t>
      </w:r>
      <w:r w:rsidR="00140360">
        <w:rPr>
          <w:rFonts w:ascii="ITC Avant Garde" w:hAnsi="ITC Avant Garde"/>
          <w:sz w:val="22"/>
          <w:szCs w:val="22"/>
        </w:rPr>
        <w:t>é</w:t>
      </w:r>
      <w:r w:rsidR="00140360" w:rsidRPr="000E4750">
        <w:rPr>
          <w:rFonts w:ascii="ITC Avant Garde" w:hAnsi="ITC Avant Garde"/>
          <w:sz w:val="22"/>
          <w:szCs w:val="22"/>
        </w:rPr>
        <w:t>n</w:t>
      </w:r>
      <w:r w:rsidRPr="000E4750">
        <w:rPr>
          <w:rFonts w:ascii="ITC Avant Garde" w:hAnsi="ITC Avant Garde"/>
          <w:sz w:val="22"/>
          <w:szCs w:val="22"/>
        </w:rPr>
        <w:t xml:space="preserve"> obligados </w:t>
      </w:r>
      <w:r w:rsidR="009D7796">
        <w:rPr>
          <w:rFonts w:ascii="ITC Avant Garde" w:hAnsi="ITC Avant Garde"/>
          <w:sz w:val="22"/>
          <w:szCs w:val="22"/>
        </w:rPr>
        <w:t xml:space="preserve">a </w:t>
      </w:r>
      <w:r w:rsidRPr="000E4750">
        <w:rPr>
          <w:rFonts w:ascii="ITC Avant Garde" w:hAnsi="ITC Avant Garde"/>
          <w:sz w:val="22"/>
          <w:szCs w:val="22"/>
        </w:rPr>
        <w:t xml:space="preserve">publicar la totalidad de las </w:t>
      </w:r>
      <w:r w:rsidR="00A564C1">
        <w:rPr>
          <w:rFonts w:ascii="ITC Avant Garde" w:hAnsi="ITC Avant Garde"/>
          <w:sz w:val="22"/>
          <w:szCs w:val="22"/>
        </w:rPr>
        <w:t>penalidades</w:t>
      </w:r>
      <w:r w:rsidRPr="000E4750">
        <w:rPr>
          <w:rFonts w:ascii="ITC Avant Garde" w:hAnsi="ITC Avant Garde"/>
          <w:sz w:val="22"/>
          <w:szCs w:val="22"/>
        </w:rPr>
        <w:t xml:space="preserve"> que establezcan dentro de sus contratos de adhesión, </w:t>
      </w:r>
      <w:r w:rsidR="00140360">
        <w:rPr>
          <w:rFonts w:ascii="ITC Avant Garde" w:hAnsi="ITC Avant Garde"/>
          <w:sz w:val="22"/>
          <w:szCs w:val="22"/>
        </w:rPr>
        <w:t>y no así, solo las mínimas y máximas</w:t>
      </w:r>
      <w:r w:rsidR="003F264E" w:rsidRPr="000E4750">
        <w:rPr>
          <w:rFonts w:ascii="ITC Avant Garde" w:hAnsi="ITC Avant Garde"/>
          <w:sz w:val="22"/>
          <w:szCs w:val="22"/>
        </w:rPr>
        <w:t>.</w:t>
      </w:r>
    </w:p>
    <w:p w:rsidR="003F264E" w:rsidRPr="000E4750" w:rsidRDefault="003F264E" w:rsidP="00A13478">
      <w:pPr>
        <w:pStyle w:val="Textocomentario"/>
        <w:spacing w:after="0" w:line="276" w:lineRule="auto"/>
        <w:jc w:val="both"/>
        <w:rPr>
          <w:rFonts w:ascii="ITC Avant Garde" w:hAnsi="ITC Avant Garde"/>
          <w:sz w:val="22"/>
          <w:szCs w:val="22"/>
        </w:rPr>
      </w:pPr>
    </w:p>
    <w:p w:rsidR="00550F16" w:rsidRPr="000E4750" w:rsidRDefault="009D7796" w:rsidP="00464DB4">
      <w:pPr>
        <w:pStyle w:val="Textocomentario"/>
        <w:numPr>
          <w:ilvl w:val="0"/>
          <w:numId w:val="5"/>
        </w:numPr>
        <w:spacing w:after="0" w:line="276" w:lineRule="auto"/>
        <w:jc w:val="both"/>
        <w:rPr>
          <w:rFonts w:ascii="ITC Avant Garde" w:eastAsiaTheme="minorEastAsia" w:hAnsi="ITC Avant Garde"/>
          <w:b/>
          <w:sz w:val="22"/>
          <w:szCs w:val="22"/>
          <w:lang w:eastAsia="es-MX"/>
        </w:rPr>
      </w:pPr>
      <w:r>
        <w:rPr>
          <w:rFonts w:ascii="ITC Avant Garde" w:eastAsiaTheme="minorEastAsia" w:hAnsi="ITC Avant Garde"/>
          <w:b/>
          <w:sz w:val="22"/>
          <w:szCs w:val="22"/>
          <w:lang w:eastAsia="es-MX"/>
        </w:rPr>
        <w:t xml:space="preserve"> </w:t>
      </w:r>
      <w:r w:rsidR="00550F16" w:rsidRPr="000E4750">
        <w:rPr>
          <w:rFonts w:ascii="ITC Avant Garde" w:eastAsiaTheme="minorEastAsia" w:hAnsi="ITC Avant Garde"/>
          <w:b/>
          <w:sz w:val="22"/>
          <w:szCs w:val="22"/>
          <w:lang w:eastAsia="es-MX"/>
        </w:rPr>
        <w:t>Fracción II del Artículo 14.</w:t>
      </w:r>
    </w:p>
    <w:p w:rsidR="00E842A7" w:rsidRPr="000E4750" w:rsidRDefault="00E842A7" w:rsidP="00E842A7">
      <w:pPr>
        <w:pStyle w:val="Textocomentario"/>
        <w:spacing w:after="0" w:line="276" w:lineRule="auto"/>
        <w:ind w:left="720"/>
        <w:jc w:val="both"/>
        <w:rPr>
          <w:rFonts w:ascii="ITC Avant Garde" w:eastAsiaTheme="minorEastAsia" w:hAnsi="ITC Avant Garde"/>
          <w:b/>
          <w:sz w:val="22"/>
          <w:szCs w:val="22"/>
          <w:lang w:eastAsia="es-MX"/>
        </w:rPr>
      </w:pPr>
    </w:p>
    <w:p w:rsidR="006A1B42" w:rsidRPr="000E4750" w:rsidRDefault="00550F16" w:rsidP="00A13478">
      <w:pPr>
        <w:pStyle w:val="Textocomentario"/>
        <w:spacing w:after="0" w:line="276" w:lineRule="auto"/>
        <w:jc w:val="both"/>
        <w:rPr>
          <w:rFonts w:ascii="ITC Avant Garde" w:hAnsi="ITC Avant Garde"/>
          <w:sz w:val="22"/>
          <w:szCs w:val="22"/>
        </w:rPr>
      </w:pPr>
      <w:r w:rsidRPr="000E4750">
        <w:rPr>
          <w:rFonts w:ascii="ITC Avant Garde" w:eastAsiaTheme="minorEastAsia" w:hAnsi="ITC Avant Garde"/>
          <w:sz w:val="22"/>
          <w:szCs w:val="22"/>
          <w:lang w:eastAsia="es-MX"/>
        </w:rPr>
        <w:t xml:space="preserve">La industria solicita se establezca que la factura sea un medio por el cual el proveedor pueda entregar la información correspondiente </w:t>
      </w:r>
      <w:r w:rsidR="00140360">
        <w:rPr>
          <w:rFonts w:ascii="ITC Avant Garde" w:eastAsiaTheme="minorEastAsia" w:hAnsi="ITC Avant Garde"/>
          <w:sz w:val="22"/>
          <w:szCs w:val="22"/>
          <w:lang w:eastAsia="es-MX"/>
        </w:rPr>
        <w:t>al</w:t>
      </w:r>
      <w:r w:rsidRPr="000E4750">
        <w:rPr>
          <w:rFonts w:ascii="ITC Avant Garde" w:eastAsiaTheme="minorEastAsia" w:hAnsi="ITC Avant Garde"/>
          <w:sz w:val="22"/>
          <w:szCs w:val="22"/>
          <w:lang w:eastAsia="es-MX"/>
        </w:rPr>
        <w:t xml:space="preserve"> concepto de cobro de servicios de telecomunicaciones y los adeudos pendientes por concepto de equipo terminal. Asimismo, un concesionario solicita se acote que la obligación sólo será aplicable a los que prestan servicios móviles.</w:t>
      </w:r>
    </w:p>
    <w:p w:rsidR="00E842A7" w:rsidRPr="000E4750" w:rsidRDefault="00E842A7" w:rsidP="00A13478">
      <w:pPr>
        <w:pStyle w:val="Textocomentario"/>
        <w:spacing w:after="0" w:line="276" w:lineRule="auto"/>
        <w:jc w:val="both"/>
        <w:rPr>
          <w:rFonts w:ascii="ITC Avant Garde" w:hAnsi="ITC Avant Garde"/>
          <w:sz w:val="22"/>
          <w:szCs w:val="22"/>
        </w:rPr>
      </w:pPr>
    </w:p>
    <w:p w:rsidR="006A1B42" w:rsidRPr="000E4750" w:rsidRDefault="006A1B42" w:rsidP="00A13478">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E842A7" w:rsidRPr="000E4750" w:rsidRDefault="00E842A7" w:rsidP="00A13478">
      <w:pPr>
        <w:pStyle w:val="Textocomentario"/>
        <w:spacing w:after="0" w:line="276" w:lineRule="auto"/>
        <w:jc w:val="both"/>
        <w:rPr>
          <w:rFonts w:ascii="ITC Avant Garde" w:eastAsiaTheme="minorEastAsia" w:hAnsi="ITC Avant Garde"/>
          <w:b/>
          <w:i/>
          <w:sz w:val="22"/>
          <w:szCs w:val="22"/>
          <w:u w:val="single"/>
          <w:lang w:eastAsia="es-MX"/>
        </w:rPr>
      </w:pPr>
    </w:p>
    <w:p w:rsidR="000E168D" w:rsidRDefault="000E168D" w:rsidP="006C4584">
      <w:pPr>
        <w:pStyle w:val="Textocomentario"/>
        <w:spacing w:after="0"/>
        <w:jc w:val="both"/>
        <w:rPr>
          <w:rFonts w:ascii="ITC Avant Garde" w:hAnsi="ITC Avant Garde"/>
          <w:sz w:val="22"/>
          <w:szCs w:val="22"/>
        </w:rPr>
      </w:pPr>
      <w:r>
        <w:rPr>
          <w:rFonts w:ascii="ITC Avant Garde" w:hAnsi="ITC Avant Garde"/>
          <w:sz w:val="22"/>
          <w:szCs w:val="22"/>
        </w:rPr>
        <w:t>A</w:t>
      </w:r>
      <w:r w:rsidR="006C4584">
        <w:rPr>
          <w:rFonts w:ascii="ITC Avant Garde" w:hAnsi="ITC Avant Garde"/>
          <w:sz w:val="22"/>
          <w:szCs w:val="22"/>
        </w:rPr>
        <w:t xml:space="preserve">ctualmente en la Norma </w:t>
      </w:r>
      <w:r w:rsidR="006C4584" w:rsidRPr="006C4584">
        <w:rPr>
          <w:rFonts w:ascii="ITC Avant Garde" w:hAnsi="ITC Avant Garde"/>
          <w:sz w:val="22"/>
          <w:szCs w:val="22"/>
        </w:rPr>
        <w:t>Oficial Mexicana NOM-184-SCFI-2018, Elementos normativos y obligaciones específicas que deben observar los proveedores</w:t>
      </w:r>
      <w:r w:rsidR="006C4584">
        <w:rPr>
          <w:rFonts w:ascii="ITC Avant Garde" w:hAnsi="ITC Avant Garde"/>
          <w:sz w:val="22"/>
          <w:szCs w:val="22"/>
        </w:rPr>
        <w:t xml:space="preserve"> </w:t>
      </w:r>
      <w:r w:rsidR="006C4584" w:rsidRPr="006C4584">
        <w:rPr>
          <w:rFonts w:ascii="ITC Avant Garde" w:hAnsi="ITC Avant Garde"/>
          <w:sz w:val="22"/>
          <w:szCs w:val="22"/>
        </w:rPr>
        <w:t>para la comercialización y/o prestación de los servicios de telecomunicaciones cuando utilicen una red pública de telecomunicaci</w:t>
      </w:r>
      <w:r w:rsidR="006C4584">
        <w:rPr>
          <w:rFonts w:ascii="ITC Avant Garde" w:hAnsi="ITC Avant Garde"/>
          <w:sz w:val="22"/>
          <w:szCs w:val="22"/>
        </w:rPr>
        <w:t>ones, ya se establece</w:t>
      </w:r>
      <w:r>
        <w:rPr>
          <w:rFonts w:ascii="ITC Avant Garde" w:hAnsi="ITC Avant Garde"/>
          <w:sz w:val="22"/>
          <w:szCs w:val="22"/>
        </w:rPr>
        <w:t>, entre otras obligaciones,</w:t>
      </w:r>
      <w:r w:rsidR="006C4584">
        <w:rPr>
          <w:rFonts w:ascii="ITC Avant Garde" w:hAnsi="ITC Avant Garde"/>
          <w:sz w:val="22"/>
          <w:szCs w:val="22"/>
        </w:rPr>
        <w:t xml:space="preserve"> que </w:t>
      </w:r>
      <w:r w:rsidR="006C4584" w:rsidRPr="006C4584">
        <w:rPr>
          <w:rFonts w:ascii="ITC Avant Garde" w:hAnsi="ITC Avant Garde"/>
          <w:sz w:val="22"/>
          <w:szCs w:val="22"/>
        </w:rPr>
        <w:t>en el estado de cuenta,</w:t>
      </w:r>
      <w:r w:rsidR="006C4584">
        <w:rPr>
          <w:rFonts w:ascii="ITC Avant Garde" w:hAnsi="ITC Avant Garde"/>
          <w:sz w:val="22"/>
          <w:szCs w:val="22"/>
        </w:rPr>
        <w:t xml:space="preserve"> </w:t>
      </w:r>
      <w:r w:rsidR="006C4584" w:rsidRPr="006C4584">
        <w:rPr>
          <w:rFonts w:ascii="ITC Avant Garde" w:hAnsi="ITC Avant Garde"/>
          <w:sz w:val="22"/>
          <w:szCs w:val="22"/>
        </w:rPr>
        <w:t>recibo y/o factura correspondiente, se debe transparentar la parte que corresponda al costo de los servicios y la que corresponda</w:t>
      </w:r>
      <w:r w:rsidR="006C4584">
        <w:rPr>
          <w:rFonts w:ascii="ITC Avant Garde" w:hAnsi="ITC Avant Garde"/>
          <w:sz w:val="22"/>
          <w:szCs w:val="22"/>
        </w:rPr>
        <w:t xml:space="preserve"> </w:t>
      </w:r>
      <w:r w:rsidR="006C4584" w:rsidRPr="006C4584">
        <w:rPr>
          <w:rFonts w:ascii="ITC Avant Garde" w:hAnsi="ITC Avant Garde"/>
          <w:sz w:val="22"/>
          <w:szCs w:val="22"/>
        </w:rPr>
        <w:t>al costo del Equipo</w:t>
      </w:r>
      <w:r>
        <w:rPr>
          <w:rFonts w:ascii="ITC Avant Garde" w:hAnsi="ITC Avant Garde"/>
          <w:sz w:val="22"/>
          <w:szCs w:val="22"/>
        </w:rPr>
        <w:t xml:space="preserve"> Terminal de telecomunicaciones.</w:t>
      </w:r>
    </w:p>
    <w:p w:rsidR="000E168D" w:rsidRDefault="000E168D" w:rsidP="006C4584">
      <w:pPr>
        <w:pStyle w:val="Textocomentario"/>
        <w:spacing w:after="0"/>
        <w:jc w:val="both"/>
        <w:rPr>
          <w:rFonts w:ascii="ITC Avant Garde" w:hAnsi="ITC Avant Garde"/>
          <w:sz w:val="22"/>
          <w:szCs w:val="22"/>
        </w:rPr>
      </w:pPr>
    </w:p>
    <w:p w:rsidR="000E168D" w:rsidRDefault="000E168D" w:rsidP="006C4584">
      <w:pPr>
        <w:pStyle w:val="Textocomentario"/>
        <w:spacing w:after="0"/>
        <w:jc w:val="both"/>
        <w:rPr>
          <w:rFonts w:ascii="ITC Avant Garde" w:hAnsi="ITC Avant Garde"/>
          <w:sz w:val="22"/>
          <w:szCs w:val="22"/>
        </w:rPr>
      </w:pPr>
      <w:r>
        <w:rPr>
          <w:rFonts w:ascii="ITC Avant Garde" w:hAnsi="ITC Avant Garde"/>
          <w:sz w:val="22"/>
          <w:szCs w:val="22"/>
        </w:rPr>
        <w:t>Por lo anterior, se ha considerado pertinente eliminar la fracción II del artículo 14 del anteproyecto.</w:t>
      </w:r>
    </w:p>
    <w:p w:rsidR="006C4584" w:rsidRDefault="006C4584" w:rsidP="00A13478">
      <w:pPr>
        <w:pStyle w:val="Textocomentario"/>
        <w:spacing w:after="0" w:line="276" w:lineRule="auto"/>
        <w:jc w:val="both"/>
        <w:rPr>
          <w:rFonts w:ascii="ITC Avant Garde" w:hAnsi="ITC Avant Garde"/>
          <w:sz w:val="22"/>
          <w:szCs w:val="22"/>
        </w:rPr>
      </w:pPr>
    </w:p>
    <w:p w:rsidR="00545BCA" w:rsidRPr="000E4750" w:rsidRDefault="009C5530" w:rsidP="00464DB4">
      <w:pPr>
        <w:pStyle w:val="Textocomentario"/>
        <w:numPr>
          <w:ilvl w:val="0"/>
          <w:numId w:val="5"/>
        </w:numPr>
        <w:spacing w:after="0" w:line="276" w:lineRule="auto"/>
        <w:jc w:val="both"/>
        <w:rPr>
          <w:rFonts w:ascii="ITC Avant Garde" w:eastAsiaTheme="minorEastAsia" w:hAnsi="ITC Avant Garde"/>
          <w:b/>
          <w:sz w:val="22"/>
          <w:szCs w:val="22"/>
          <w:lang w:eastAsia="es-MX"/>
        </w:rPr>
      </w:pPr>
      <w:r w:rsidRPr="000E4750">
        <w:rPr>
          <w:rFonts w:ascii="ITC Avant Garde" w:eastAsiaTheme="minorEastAsia" w:hAnsi="ITC Avant Garde"/>
          <w:b/>
          <w:sz w:val="22"/>
          <w:szCs w:val="22"/>
          <w:lang w:eastAsia="es-MX"/>
        </w:rPr>
        <w:t>Fracción III del Artículo 14.</w:t>
      </w:r>
    </w:p>
    <w:p w:rsidR="008E5720" w:rsidRPr="000E4750" w:rsidRDefault="008E5720" w:rsidP="008E5720">
      <w:pPr>
        <w:pStyle w:val="Textocomentario"/>
        <w:spacing w:after="0" w:line="276" w:lineRule="auto"/>
        <w:jc w:val="both"/>
        <w:rPr>
          <w:rFonts w:ascii="ITC Avant Garde" w:eastAsiaTheme="minorEastAsia" w:hAnsi="ITC Avant Garde"/>
          <w:b/>
          <w:sz w:val="22"/>
          <w:szCs w:val="22"/>
          <w:lang w:eastAsia="es-MX"/>
        </w:rPr>
      </w:pPr>
    </w:p>
    <w:p w:rsidR="00545BCA" w:rsidRPr="000E4750" w:rsidRDefault="009C5530" w:rsidP="00A13478">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eastAsiaTheme="minorEastAsia" w:hAnsi="ITC Avant Garde"/>
          <w:sz w:val="22"/>
          <w:szCs w:val="22"/>
          <w:lang w:eastAsia="es-MX"/>
        </w:rPr>
        <w:t>Se recibieron comentarios por parte de la industria, en el sentido de no confundir la fianza con otro tipo de garantía como lo son el depósito en garantía o las rentas por adelantado, asimismo, se propuso por parte de la PROFECO adecuaciones en la redacción para definir garantía de pago y establecer que dicha garantía debería ser justificada</w:t>
      </w:r>
      <w:r w:rsidR="00545BCA" w:rsidRPr="000E4750">
        <w:rPr>
          <w:rFonts w:ascii="ITC Avant Garde" w:eastAsiaTheme="minorEastAsia" w:hAnsi="ITC Avant Garde"/>
          <w:sz w:val="22"/>
          <w:szCs w:val="22"/>
          <w:lang w:eastAsia="es-MX"/>
        </w:rPr>
        <w:t>.</w:t>
      </w:r>
    </w:p>
    <w:p w:rsidR="00E842A7" w:rsidRPr="000E4750" w:rsidRDefault="00E842A7" w:rsidP="00A13478">
      <w:pPr>
        <w:pStyle w:val="Textocomentario"/>
        <w:spacing w:after="0" w:line="276" w:lineRule="auto"/>
        <w:jc w:val="both"/>
        <w:rPr>
          <w:rFonts w:ascii="ITC Avant Garde" w:eastAsiaTheme="minorEastAsia" w:hAnsi="ITC Avant Garde"/>
          <w:sz w:val="22"/>
          <w:szCs w:val="22"/>
          <w:lang w:eastAsia="es-MX"/>
        </w:rPr>
      </w:pPr>
    </w:p>
    <w:p w:rsidR="00545BCA" w:rsidRPr="000E4750" w:rsidRDefault="00545BCA" w:rsidP="00A13478">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E842A7" w:rsidRPr="000E4750" w:rsidRDefault="00E842A7" w:rsidP="00A13478">
      <w:pPr>
        <w:pStyle w:val="Textocomentario"/>
        <w:spacing w:after="0" w:line="276" w:lineRule="auto"/>
        <w:jc w:val="both"/>
        <w:rPr>
          <w:rFonts w:ascii="ITC Avant Garde" w:eastAsiaTheme="minorEastAsia" w:hAnsi="ITC Avant Garde"/>
          <w:b/>
          <w:sz w:val="22"/>
          <w:szCs w:val="22"/>
          <w:lang w:eastAsia="es-MX"/>
        </w:rPr>
      </w:pPr>
    </w:p>
    <w:p w:rsidR="00856EFE" w:rsidRPr="000E4750" w:rsidRDefault="00856EFE" w:rsidP="00856EFE">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eastAsiaTheme="minorEastAsia" w:hAnsi="ITC Avant Garde"/>
          <w:sz w:val="22"/>
          <w:szCs w:val="22"/>
          <w:lang w:eastAsia="es-MX"/>
        </w:rPr>
        <w:t>Al respecto, se consideró conveniente realizar adecuaciones en la redacción de la fracción con la finalidad de contemplar</w:t>
      </w:r>
      <w:r w:rsidR="009C5530" w:rsidRPr="000E4750">
        <w:rPr>
          <w:rFonts w:ascii="ITC Avant Garde" w:eastAsiaTheme="minorEastAsia" w:hAnsi="ITC Avant Garde"/>
          <w:sz w:val="22"/>
          <w:szCs w:val="22"/>
          <w:lang w:eastAsia="es-MX"/>
        </w:rPr>
        <w:t xml:space="preserve"> las fianzas y los depósitos</w:t>
      </w:r>
      <w:r w:rsidRPr="000E4750">
        <w:rPr>
          <w:rFonts w:ascii="ITC Avant Garde" w:eastAsiaTheme="minorEastAsia" w:hAnsi="ITC Avant Garde"/>
          <w:sz w:val="22"/>
          <w:szCs w:val="22"/>
          <w:lang w:eastAsia="es-MX"/>
        </w:rPr>
        <w:t xml:space="preserve">. Sin embargo, respecto a la propuesta de </w:t>
      </w:r>
      <w:r w:rsidRPr="000E4750">
        <w:rPr>
          <w:rFonts w:ascii="ITC Avant Garde" w:eastAsiaTheme="minorEastAsia" w:hAnsi="ITC Avant Garde"/>
          <w:sz w:val="22"/>
          <w:szCs w:val="22"/>
          <w:lang w:eastAsia="es-MX"/>
        </w:rPr>
        <w:lastRenderedPageBreak/>
        <w:t>establecer que las garantías deben ser justificadas, se considera oportuno señalar que la justificación y proporcionalidad de las garantías exigidas a los usuarios es un elemento que debe ser analizado al amparo del clausulado de los contratos de adhesión, no obstante, este Instituto no revisa dichos instrumentos.</w:t>
      </w:r>
    </w:p>
    <w:p w:rsidR="00B174EF" w:rsidRPr="000E4750" w:rsidRDefault="00B174EF" w:rsidP="00A13478">
      <w:pPr>
        <w:spacing w:after="0"/>
        <w:jc w:val="both"/>
        <w:rPr>
          <w:rFonts w:ascii="ITC Avant Garde" w:hAnsi="ITC Avant Garde"/>
        </w:rPr>
      </w:pPr>
    </w:p>
    <w:p w:rsidR="00B174EF" w:rsidRPr="000E4750" w:rsidRDefault="009C5530" w:rsidP="00464DB4">
      <w:pPr>
        <w:numPr>
          <w:ilvl w:val="0"/>
          <w:numId w:val="5"/>
        </w:numPr>
        <w:spacing w:after="0"/>
        <w:jc w:val="both"/>
        <w:rPr>
          <w:rFonts w:ascii="ITC Avant Garde" w:hAnsi="ITC Avant Garde"/>
          <w:b/>
        </w:rPr>
      </w:pPr>
      <w:r w:rsidRPr="000E4750">
        <w:rPr>
          <w:rFonts w:ascii="ITC Avant Garde" w:hAnsi="ITC Avant Garde"/>
          <w:b/>
        </w:rPr>
        <w:t>Fracción IV del Artículo 14.</w:t>
      </w:r>
    </w:p>
    <w:p w:rsidR="00E842A7" w:rsidRPr="000E4750" w:rsidRDefault="00E842A7" w:rsidP="00E842A7">
      <w:pPr>
        <w:spacing w:after="0"/>
        <w:ind w:left="720"/>
        <w:jc w:val="both"/>
        <w:rPr>
          <w:rFonts w:ascii="ITC Avant Garde" w:hAnsi="ITC Avant Garde"/>
          <w:b/>
        </w:rPr>
      </w:pPr>
    </w:p>
    <w:p w:rsidR="005D43F5" w:rsidRPr="000E4750" w:rsidRDefault="005D43F5" w:rsidP="00A13478">
      <w:pPr>
        <w:spacing w:after="0"/>
        <w:jc w:val="both"/>
        <w:rPr>
          <w:rFonts w:ascii="ITC Avant Garde" w:hAnsi="ITC Avant Garde"/>
        </w:rPr>
      </w:pPr>
      <w:r w:rsidRPr="000E4750">
        <w:rPr>
          <w:rFonts w:ascii="ITC Avant Garde" w:hAnsi="ITC Avant Garde"/>
        </w:rPr>
        <w:t xml:space="preserve">Los operadores consideran que </w:t>
      </w:r>
      <w:r w:rsidR="009C5530" w:rsidRPr="000E4750">
        <w:rPr>
          <w:rFonts w:ascii="ITC Avant Garde" w:hAnsi="ITC Avant Garde"/>
        </w:rPr>
        <w:t xml:space="preserve">la redacción de la fracción es confusa </w:t>
      </w:r>
      <w:r w:rsidR="00670308" w:rsidRPr="000E4750">
        <w:rPr>
          <w:rFonts w:ascii="ITC Avant Garde" w:hAnsi="ITC Avant Garde"/>
        </w:rPr>
        <w:t>y</w:t>
      </w:r>
      <w:r w:rsidR="009C5530" w:rsidRPr="000E4750">
        <w:rPr>
          <w:rFonts w:ascii="ITC Avant Garde" w:hAnsi="ITC Avant Garde"/>
        </w:rPr>
        <w:t xml:space="preserve"> </w:t>
      </w:r>
      <w:r w:rsidR="00E657F7">
        <w:rPr>
          <w:rFonts w:ascii="ITC Avant Garde" w:hAnsi="ITC Avant Garde"/>
        </w:rPr>
        <w:t xml:space="preserve">que </w:t>
      </w:r>
      <w:r w:rsidR="009C5530" w:rsidRPr="000E4750">
        <w:rPr>
          <w:rFonts w:ascii="ITC Avant Garde" w:hAnsi="ITC Avant Garde"/>
        </w:rPr>
        <w:t xml:space="preserve">da la posibilidad de que </w:t>
      </w:r>
      <w:r w:rsidR="00E657F7">
        <w:rPr>
          <w:rFonts w:ascii="ITC Avant Garde" w:hAnsi="ITC Avant Garde"/>
        </w:rPr>
        <w:t xml:space="preserve">se </w:t>
      </w:r>
      <w:r w:rsidR="00670308" w:rsidRPr="000E4750">
        <w:rPr>
          <w:rFonts w:ascii="ITC Avant Garde" w:hAnsi="ITC Avant Garde"/>
        </w:rPr>
        <w:t>realicen cargos a los usuarios</w:t>
      </w:r>
      <w:r w:rsidR="00E657F7">
        <w:rPr>
          <w:rFonts w:ascii="ITC Avant Garde" w:hAnsi="ITC Avant Garde"/>
        </w:rPr>
        <w:t xml:space="preserve"> </w:t>
      </w:r>
      <w:r w:rsidR="00E657F7" w:rsidRPr="000E4750">
        <w:rPr>
          <w:rFonts w:ascii="ITC Avant Garde" w:hAnsi="ITC Avant Garde"/>
        </w:rPr>
        <w:t>de forma arbitraria</w:t>
      </w:r>
      <w:r w:rsidR="00670308" w:rsidRPr="000E4750">
        <w:rPr>
          <w:rFonts w:ascii="ITC Avant Garde" w:hAnsi="ITC Avant Garde"/>
        </w:rPr>
        <w:t>, por lo que solicitan e</w:t>
      </w:r>
      <w:r w:rsidR="009C5530" w:rsidRPr="000E4750">
        <w:rPr>
          <w:rFonts w:ascii="ITC Avant Garde" w:hAnsi="ITC Avant Garde"/>
        </w:rPr>
        <w:t>liminarla ya que es contraria a los derechos de los consumidores</w:t>
      </w:r>
      <w:r w:rsidR="00670308" w:rsidRPr="000E4750">
        <w:rPr>
          <w:rFonts w:ascii="ITC Avant Garde" w:hAnsi="ITC Avant Garde"/>
        </w:rPr>
        <w:t>.</w:t>
      </w:r>
    </w:p>
    <w:p w:rsidR="00E842A7" w:rsidRPr="000E4750" w:rsidRDefault="00E842A7" w:rsidP="00A13478">
      <w:pPr>
        <w:spacing w:after="0"/>
        <w:jc w:val="both"/>
        <w:rPr>
          <w:rFonts w:ascii="ITC Avant Garde" w:hAnsi="ITC Avant Garde"/>
        </w:rPr>
      </w:pPr>
    </w:p>
    <w:p w:rsidR="005D43F5" w:rsidRPr="000E4750" w:rsidRDefault="005D43F5" w:rsidP="00A13478">
      <w:pPr>
        <w:spacing w:after="0"/>
        <w:jc w:val="both"/>
        <w:rPr>
          <w:rFonts w:ascii="ITC Avant Garde" w:hAnsi="ITC Avant Garde"/>
          <w:i/>
          <w:u w:val="single"/>
        </w:rPr>
      </w:pPr>
      <w:r w:rsidRPr="000E4750">
        <w:rPr>
          <w:rFonts w:ascii="ITC Avant Garde" w:hAnsi="ITC Avant Garde"/>
          <w:i/>
          <w:u w:val="single"/>
        </w:rPr>
        <w:t>Consideraciones</w:t>
      </w:r>
    </w:p>
    <w:p w:rsidR="00E842A7" w:rsidRPr="000E4750" w:rsidRDefault="00E842A7" w:rsidP="00A13478">
      <w:pPr>
        <w:spacing w:after="0"/>
        <w:jc w:val="both"/>
        <w:rPr>
          <w:rFonts w:ascii="ITC Avant Garde" w:hAnsi="ITC Avant Garde"/>
          <w:i/>
          <w:u w:val="single"/>
        </w:rPr>
      </w:pPr>
    </w:p>
    <w:p w:rsidR="005D43F5" w:rsidRPr="000E4750" w:rsidRDefault="000D30D8" w:rsidP="00A13478">
      <w:pPr>
        <w:spacing w:after="0"/>
        <w:jc w:val="both"/>
        <w:rPr>
          <w:rFonts w:ascii="ITC Avant Garde" w:hAnsi="ITC Avant Garde"/>
        </w:rPr>
      </w:pPr>
      <w:r w:rsidRPr="000E4750">
        <w:rPr>
          <w:rFonts w:ascii="ITC Avant Garde" w:hAnsi="ITC Avant Garde"/>
        </w:rPr>
        <w:t xml:space="preserve">Se considera procedente </w:t>
      </w:r>
      <w:r w:rsidR="00670308" w:rsidRPr="000E4750">
        <w:rPr>
          <w:rFonts w:ascii="ITC Avant Garde" w:hAnsi="ITC Avant Garde"/>
        </w:rPr>
        <w:t xml:space="preserve">en parte </w:t>
      </w:r>
      <w:r w:rsidRPr="000E4750">
        <w:rPr>
          <w:rFonts w:ascii="ITC Avant Garde" w:hAnsi="ITC Avant Garde"/>
        </w:rPr>
        <w:t>la opinión de los operadores,</w:t>
      </w:r>
      <w:r w:rsidR="00670308" w:rsidRPr="000E4750">
        <w:rPr>
          <w:rFonts w:ascii="ITC Avant Garde" w:hAnsi="ITC Avant Garde"/>
        </w:rPr>
        <w:t xml:space="preserve"> motivo por el cual se realizan adecuaciones en la redacción del proyecto a fin de aclarar que los cargos que se puedan efectuar por la terminación de los contratos, deberán estar previamente establecidos en dichos instrumentos.</w:t>
      </w:r>
    </w:p>
    <w:p w:rsidR="00E92F27" w:rsidRPr="000E4750" w:rsidRDefault="00E92F27" w:rsidP="00A13478">
      <w:pPr>
        <w:pStyle w:val="Textocomentario"/>
        <w:spacing w:after="0" w:line="276" w:lineRule="auto"/>
        <w:jc w:val="both"/>
        <w:rPr>
          <w:rFonts w:ascii="ITC Avant Garde" w:hAnsi="ITC Avant Garde"/>
          <w:b/>
          <w:sz w:val="22"/>
          <w:szCs w:val="22"/>
        </w:rPr>
      </w:pPr>
    </w:p>
    <w:p w:rsidR="00E92F27" w:rsidRPr="000E4750" w:rsidRDefault="00FB46F6" w:rsidP="00464DB4">
      <w:pPr>
        <w:pStyle w:val="Textocomentario"/>
        <w:numPr>
          <w:ilvl w:val="0"/>
          <w:numId w:val="5"/>
        </w:numPr>
        <w:spacing w:after="0" w:line="276" w:lineRule="auto"/>
        <w:jc w:val="both"/>
        <w:rPr>
          <w:rFonts w:ascii="ITC Avant Garde" w:hAnsi="ITC Avant Garde"/>
          <w:b/>
          <w:sz w:val="22"/>
          <w:szCs w:val="22"/>
        </w:rPr>
      </w:pPr>
      <w:r w:rsidRPr="000E4750">
        <w:rPr>
          <w:rFonts w:ascii="ITC Avant Garde" w:hAnsi="ITC Avant Garde"/>
          <w:b/>
          <w:sz w:val="22"/>
          <w:szCs w:val="22"/>
        </w:rPr>
        <w:t>Artículo 15</w:t>
      </w:r>
    </w:p>
    <w:p w:rsidR="00E842A7" w:rsidRPr="000E4750" w:rsidRDefault="00E842A7" w:rsidP="00E842A7">
      <w:pPr>
        <w:pStyle w:val="Textocomentario"/>
        <w:spacing w:after="0" w:line="276" w:lineRule="auto"/>
        <w:ind w:left="720"/>
        <w:jc w:val="both"/>
        <w:rPr>
          <w:rFonts w:ascii="ITC Avant Garde" w:hAnsi="ITC Avant Garde"/>
          <w:b/>
          <w:sz w:val="22"/>
          <w:szCs w:val="22"/>
        </w:rPr>
      </w:pPr>
    </w:p>
    <w:p w:rsidR="00E92F27" w:rsidRPr="000E4750" w:rsidRDefault="00FB46F6" w:rsidP="00A13478">
      <w:pPr>
        <w:pStyle w:val="Textocomentario"/>
        <w:spacing w:after="0" w:line="276" w:lineRule="auto"/>
        <w:jc w:val="both"/>
        <w:rPr>
          <w:rFonts w:ascii="ITC Avant Garde" w:hAnsi="ITC Avant Garde"/>
          <w:sz w:val="22"/>
          <w:szCs w:val="22"/>
        </w:rPr>
      </w:pPr>
      <w:r w:rsidRPr="000E4750">
        <w:rPr>
          <w:rFonts w:ascii="ITC Avant Garde" w:hAnsi="ITC Avant Garde"/>
          <w:sz w:val="22"/>
          <w:szCs w:val="22"/>
        </w:rPr>
        <w:t xml:space="preserve">Los operadores proponen una adecuación a la redacción, con la finalidad de acotar la publicación de la información a sus páginas de Internet; asimismo, se propone incluir un texto que mencione lo relacionado a </w:t>
      </w:r>
      <w:r w:rsidR="003504A8">
        <w:rPr>
          <w:rFonts w:ascii="ITC Avant Garde" w:hAnsi="ITC Avant Garde"/>
          <w:sz w:val="22"/>
          <w:szCs w:val="22"/>
        </w:rPr>
        <w:t xml:space="preserve">la </w:t>
      </w:r>
      <w:r w:rsidRPr="000E4750">
        <w:rPr>
          <w:rFonts w:ascii="ITC Avant Garde" w:hAnsi="ITC Avant Garde"/>
          <w:sz w:val="22"/>
          <w:szCs w:val="22"/>
        </w:rPr>
        <w:t>garantía de los equipos terminales y/o servicios ofrecidos, en caso de que aplique.</w:t>
      </w:r>
      <w:r w:rsidR="003F4ED6" w:rsidRPr="000E4750">
        <w:rPr>
          <w:rFonts w:ascii="ITC Avant Garde" w:hAnsi="ITC Avant Garde"/>
          <w:sz w:val="22"/>
          <w:szCs w:val="22"/>
        </w:rPr>
        <w:t xml:space="preserve"> Por otra parte, se indica que la información establecida en las fracciones del artículo 15 del anteproyecto, es información que ya se difunde de conformidad con la LFPC, la LFTR y la NOM-SCFI-184-2012.</w:t>
      </w:r>
    </w:p>
    <w:p w:rsidR="00E92F27" w:rsidRPr="000E4750" w:rsidRDefault="00E92F27" w:rsidP="00A13478">
      <w:pPr>
        <w:pStyle w:val="Textocomentario"/>
        <w:spacing w:after="0" w:line="276" w:lineRule="auto"/>
        <w:jc w:val="both"/>
        <w:rPr>
          <w:rFonts w:ascii="ITC Avant Garde" w:hAnsi="ITC Avant Garde"/>
          <w:sz w:val="22"/>
          <w:szCs w:val="22"/>
        </w:rPr>
      </w:pPr>
    </w:p>
    <w:p w:rsidR="00E92F27" w:rsidRPr="000E4750" w:rsidRDefault="00E92F27" w:rsidP="00A13478">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E92F27" w:rsidRPr="000E4750" w:rsidRDefault="00E92F27" w:rsidP="00A13478">
      <w:pPr>
        <w:pStyle w:val="Textocomentario"/>
        <w:spacing w:after="0" w:line="276" w:lineRule="auto"/>
        <w:jc w:val="both"/>
        <w:rPr>
          <w:rFonts w:ascii="ITC Avant Garde" w:hAnsi="ITC Avant Garde"/>
          <w:sz w:val="22"/>
          <w:szCs w:val="22"/>
        </w:rPr>
      </w:pPr>
    </w:p>
    <w:p w:rsidR="00D00709" w:rsidRPr="000E4750" w:rsidRDefault="003F4ED6" w:rsidP="003F4ED6">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eastAsiaTheme="minorEastAsia" w:hAnsi="ITC Avant Garde"/>
          <w:sz w:val="22"/>
          <w:szCs w:val="22"/>
          <w:lang w:eastAsia="es-MX"/>
        </w:rPr>
        <w:t>Con relación a los come</w:t>
      </w:r>
      <w:r w:rsidR="00BC471D" w:rsidRPr="000E4750">
        <w:rPr>
          <w:rFonts w:ascii="ITC Avant Garde" w:eastAsiaTheme="minorEastAsia" w:hAnsi="ITC Avant Garde"/>
          <w:sz w:val="22"/>
          <w:szCs w:val="22"/>
          <w:lang w:eastAsia="es-MX"/>
        </w:rPr>
        <w:t>ntarios recibidos a diversos numerales del anteproyecto de Lineamientos, se efectuaron</w:t>
      </w:r>
      <w:r w:rsidRPr="000E4750">
        <w:rPr>
          <w:rFonts w:ascii="ITC Avant Garde" w:eastAsiaTheme="minorEastAsia" w:hAnsi="ITC Avant Garde"/>
          <w:sz w:val="22"/>
          <w:szCs w:val="22"/>
          <w:lang w:eastAsia="es-MX"/>
        </w:rPr>
        <w:t xml:space="preserve"> adecuaciones </w:t>
      </w:r>
      <w:r w:rsidR="00BC471D" w:rsidRPr="000E4750">
        <w:rPr>
          <w:rFonts w:ascii="ITC Avant Garde" w:eastAsiaTheme="minorEastAsia" w:hAnsi="ITC Avant Garde"/>
          <w:sz w:val="22"/>
          <w:szCs w:val="22"/>
          <w:lang w:eastAsia="es-MX"/>
        </w:rPr>
        <w:t xml:space="preserve">en su redacción </w:t>
      </w:r>
      <w:r w:rsidRPr="000E4750">
        <w:rPr>
          <w:rFonts w:ascii="ITC Avant Garde" w:eastAsiaTheme="minorEastAsia" w:hAnsi="ITC Avant Garde"/>
          <w:sz w:val="22"/>
          <w:szCs w:val="22"/>
          <w:lang w:eastAsia="es-MX"/>
        </w:rPr>
        <w:t>para establecer que el medio de publicación de la información establecida será a través de las páginas de Internet de los concesionarios y autorizados. Ahora bien, respecto a la inclusión d</w:t>
      </w:r>
      <w:bookmarkStart w:id="0" w:name="_GoBack"/>
      <w:bookmarkEnd w:id="0"/>
      <w:r w:rsidRPr="000E4750">
        <w:rPr>
          <w:rFonts w:ascii="ITC Avant Garde" w:eastAsiaTheme="minorEastAsia" w:hAnsi="ITC Avant Garde"/>
          <w:sz w:val="22"/>
          <w:szCs w:val="22"/>
          <w:lang w:eastAsia="es-MX"/>
        </w:rPr>
        <w:t xml:space="preserve">e las garantías, </w:t>
      </w:r>
      <w:r w:rsidR="00D00709" w:rsidRPr="000E4750">
        <w:rPr>
          <w:rFonts w:ascii="ITC Avant Garde" w:eastAsiaTheme="minorEastAsia" w:hAnsi="ITC Avant Garde"/>
          <w:sz w:val="22"/>
          <w:szCs w:val="22"/>
          <w:lang w:eastAsia="es-MX"/>
        </w:rPr>
        <w:t xml:space="preserve">se efectúa adecuación a la redacción del proyecto de Lineamientos </w:t>
      </w:r>
      <w:r w:rsidR="00BC471D" w:rsidRPr="000E4750">
        <w:rPr>
          <w:rFonts w:ascii="ITC Avant Garde" w:eastAsiaTheme="minorEastAsia" w:hAnsi="ITC Avant Garde"/>
          <w:sz w:val="22"/>
          <w:szCs w:val="22"/>
          <w:lang w:eastAsia="es-MX"/>
        </w:rPr>
        <w:t>en l</w:t>
      </w:r>
      <w:r w:rsidR="00DF6186">
        <w:rPr>
          <w:rFonts w:ascii="ITC Avant Garde" w:eastAsiaTheme="minorEastAsia" w:hAnsi="ITC Avant Garde"/>
          <w:sz w:val="22"/>
          <w:szCs w:val="22"/>
          <w:lang w:eastAsia="es-MX"/>
        </w:rPr>
        <w:t>a fracción XII de su artículo 9</w:t>
      </w:r>
      <w:r w:rsidR="00283F5E">
        <w:rPr>
          <w:rFonts w:ascii="ITC Avant Garde" w:eastAsiaTheme="minorEastAsia" w:hAnsi="ITC Avant Garde"/>
          <w:sz w:val="22"/>
          <w:szCs w:val="22"/>
          <w:lang w:eastAsia="es-MX"/>
        </w:rPr>
        <w:t xml:space="preserve"> del proyecto de Lineamientos</w:t>
      </w:r>
      <w:r w:rsidR="00D00709" w:rsidRPr="000E4750">
        <w:rPr>
          <w:rFonts w:ascii="ITC Avant Garde" w:eastAsiaTheme="minorEastAsia" w:hAnsi="ITC Avant Garde"/>
          <w:sz w:val="22"/>
          <w:szCs w:val="22"/>
          <w:lang w:eastAsia="es-MX"/>
        </w:rPr>
        <w:t>.</w:t>
      </w:r>
    </w:p>
    <w:p w:rsidR="003F4ED6" w:rsidRPr="000E4750" w:rsidRDefault="003F4ED6" w:rsidP="003F4ED6">
      <w:pPr>
        <w:pStyle w:val="Textocomentario"/>
        <w:spacing w:after="0" w:line="276" w:lineRule="auto"/>
        <w:jc w:val="both"/>
        <w:rPr>
          <w:rFonts w:ascii="ITC Avant Garde" w:eastAsiaTheme="minorEastAsia" w:hAnsi="ITC Avant Garde"/>
          <w:sz w:val="22"/>
          <w:szCs w:val="22"/>
          <w:lang w:eastAsia="es-MX"/>
        </w:rPr>
      </w:pPr>
    </w:p>
    <w:p w:rsidR="003F4ED6" w:rsidRPr="000E4750" w:rsidRDefault="003F4ED6" w:rsidP="003F4ED6">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eastAsiaTheme="minorEastAsia" w:hAnsi="ITC Avant Garde"/>
          <w:sz w:val="22"/>
          <w:szCs w:val="22"/>
          <w:lang w:eastAsia="es-MX"/>
        </w:rPr>
        <w:t xml:space="preserve">Finalmente, como se ha señalado anteriormente, se debe considerar que el anteproyecto de Lineamientos, en cumplimiento a lo establecido en la LFTR, establece la forma y medios a través </w:t>
      </w:r>
      <w:r w:rsidRPr="000E4750">
        <w:rPr>
          <w:rFonts w:ascii="ITC Avant Garde" w:eastAsiaTheme="minorEastAsia" w:hAnsi="ITC Avant Garde"/>
          <w:sz w:val="22"/>
          <w:szCs w:val="22"/>
          <w:lang w:eastAsia="es-MX"/>
        </w:rPr>
        <w:lastRenderedPageBreak/>
        <w:t>de los cuales se debe publicar la información q</w:t>
      </w:r>
      <w:r w:rsidR="00BC471D" w:rsidRPr="000E4750">
        <w:rPr>
          <w:rFonts w:ascii="ITC Avant Garde" w:eastAsiaTheme="minorEastAsia" w:hAnsi="ITC Avant Garde"/>
          <w:sz w:val="22"/>
          <w:szCs w:val="22"/>
          <w:lang w:eastAsia="es-MX"/>
        </w:rPr>
        <w:t xml:space="preserve">ue </w:t>
      </w:r>
      <w:r w:rsidR="00283F5E">
        <w:rPr>
          <w:rFonts w:ascii="ITC Avant Garde" w:eastAsiaTheme="minorEastAsia" w:hAnsi="ITC Avant Garde"/>
          <w:sz w:val="22"/>
          <w:szCs w:val="22"/>
          <w:lang w:eastAsia="es-MX"/>
        </w:rPr>
        <w:t>establece dicho ordenamiento, toda vez</w:t>
      </w:r>
      <w:r w:rsidR="00BC471D" w:rsidRPr="000E4750">
        <w:rPr>
          <w:rFonts w:ascii="ITC Avant Garde" w:eastAsiaTheme="minorEastAsia" w:hAnsi="ITC Avant Garde"/>
          <w:sz w:val="22"/>
          <w:szCs w:val="22"/>
          <w:lang w:eastAsia="es-MX"/>
        </w:rPr>
        <w:t xml:space="preserve"> que</w:t>
      </w:r>
      <w:r w:rsidR="00283F5E">
        <w:rPr>
          <w:rFonts w:ascii="ITC Avant Garde" w:eastAsiaTheme="minorEastAsia" w:hAnsi="ITC Avant Garde"/>
          <w:sz w:val="22"/>
          <w:szCs w:val="22"/>
          <w:lang w:eastAsia="es-MX"/>
        </w:rPr>
        <w:t>,</w:t>
      </w:r>
      <w:r w:rsidR="00BC471D" w:rsidRPr="000E4750">
        <w:rPr>
          <w:rFonts w:ascii="ITC Avant Garde" w:eastAsiaTheme="minorEastAsia" w:hAnsi="ITC Avant Garde"/>
          <w:sz w:val="22"/>
          <w:szCs w:val="22"/>
          <w:lang w:eastAsia="es-MX"/>
        </w:rPr>
        <w:t xml:space="preserve"> si bien en algunos casos se cita información relacionada con los servicios de telecomunicaciones</w:t>
      </w:r>
      <w:r w:rsidR="00283F5E">
        <w:rPr>
          <w:rFonts w:ascii="ITC Avant Garde" w:eastAsiaTheme="minorEastAsia" w:hAnsi="ITC Avant Garde"/>
          <w:sz w:val="22"/>
          <w:szCs w:val="22"/>
          <w:lang w:eastAsia="es-MX"/>
        </w:rPr>
        <w:t xml:space="preserve"> en otros ordenamientos,</w:t>
      </w:r>
      <w:r w:rsidR="00BC471D" w:rsidRPr="000E4750">
        <w:rPr>
          <w:rFonts w:ascii="ITC Avant Garde" w:eastAsiaTheme="minorEastAsia" w:hAnsi="ITC Avant Garde"/>
          <w:sz w:val="22"/>
          <w:szCs w:val="22"/>
          <w:lang w:eastAsia="es-MX"/>
        </w:rPr>
        <w:t xml:space="preserve"> no se establecen los </w:t>
      </w:r>
      <w:r w:rsidR="00486CB9" w:rsidRPr="000E4750">
        <w:rPr>
          <w:rFonts w:ascii="ITC Avant Garde" w:eastAsiaTheme="minorEastAsia" w:hAnsi="ITC Avant Garde"/>
          <w:sz w:val="22"/>
          <w:szCs w:val="22"/>
          <w:lang w:eastAsia="es-MX"/>
        </w:rPr>
        <w:t>mecanismos claros para su difusión. Por lo anterior</w:t>
      </w:r>
      <w:r w:rsidR="00486CB9" w:rsidRPr="00227203">
        <w:rPr>
          <w:rFonts w:ascii="ITC Avant Garde" w:eastAsiaTheme="minorEastAsia" w:hAnsi="ITC Avant Garde"/>
          <w:sz w:val="22"/>
          <w:szCs w:val="22"/>
          <w:lang w:eastAsia="es-MX"/>
        </w:rPr>
        <w:t>, se c</w:t>
      </w:r>
      <w:r w:rsidR="00DF6186">
        <w:rPr>
          <w:rFonts w:ascii="ITC Avant Garde" w:eastAsiaTheme="minorEastAsia" w:hAnsi="ITC Avant Garde"/>
          <w:sz w:val="22"/>
          <w:szCs w:val="22"/>
          <w:lang w:eastAsia="es-MX"/>
        </w:rPr>
        <w:t>onsidera conveniente mantener parte de la</w:t>
      </w:r>
      <w:r w:rsidR="00486CB9" w:rsidRPr="00227203">
        <w:rPr>
          <w:rFonts w:ascii="ITC Avant Garde" w:eastAsiaTheme="minorEastAsia" w:hAnsi="ITC Avant Garde"/>
          <w:sz w:val="22"/>
          <w:szCs w:val="22"/>
          <w:lang w:eastAsia="es-MX"/>
        </w:rPr>
        <w:t xml:space="preserve"> redacción del artículo 15 del anteproyecto de Lineamientos.</w:t>
      </w:r>
    </w:p>
    <w:p w:rsidR="00E92F27" w:rsidRPr="000E4750" w:rsidRDefault="00E92F27" w:rsidP="00A13478">
      <w:pPr>
        <w:pStyle w:val="Textocomentario"/>
        <w:spacing w:after="0" w:line="276" w:lineRule="auto"/>
        <w:jc w:val="both"/>
        <w:rPr>
          <w:rFonts w:ascii="ITC Avant Garde" w:hAnsi="ITC Avant Garde"/>
          <w:sz w:val="22"/>
          <w:szCs w:val="22"/>
        </w:rPr>
      </w:pPr>
    </w:p>
    <w:p w:rsidR="00E92F27" w:rsidRPr="000E4750" w:rsidRDefault="00E92F27" w:rsidP="00A13478">
      <w:pPr>
        <w:pStyle w:val="Textocomentario"/>
        <w:spacing w:after="0" w:line="276" w:lineRule="auto"/>
        <w:jc w:val="both"/>
        <w:rPr>
          <w:rFonts w:ascii="ITC Avant Garde" w:hAnsi="ITC Avant Garde"/>
          <w:sz w:val="22"/>
          <w:szCs w:val="22"/>
        </w:rPr>
      </w:pPr>
    </w:p>
    <w:p w:rsidR="00E92F27" w:rsidRPr="000E4750" w:rsidRDefault="00D00709" w:rsidP="00464DB4">
      <w:pPr>
        <w:pStyle w:val="Textocomentario"/>
        <w:numPr>
          <w:ilvl w:val="0"/>
          <w:numId w:val="5"/>
        </w:numPr>
        <w:spacing w:after="0" w:line="276" w:lineRule="auto"/>
        <w:jc w:val="both"/>
        <w:rPr>
          <w:rFonts w:ascii="ITC Avant Garde" w:hAnsi="ITC Avant Garde"/>
          <w:b/>
          <w:sz w:val="22"/>
          <w:szCs w:val="22"/>
        </w:rPr>
      </w:pPr>
      <w:r w:rsidRPr="000E4750">
        <w:rPr>
          <w:rFonts w:ascii="ITC Avant Garde" w:hAnsi="ITC Avant Garde"/>
          <w:b/>
          <w:sz w:val="22"/>
          <w:szCs w:val="22"/>
        </w:rPr>
        <w:t>Fracción I del Artículo 15</w:t>
      </w:r>
    </w:p>
    <w:p w:rsidR="00E842A7" w:rsidRPr="000E4750" w:rsidRDefault="00E842A7" w:rsidP="00E842A7">
      <w:pPr>
        <w:pStyle w:val="Textocomentario"/>
        <w:spacing w:after="0" w:line="276" w:lineRule="auto"/>
        <w:ind w:left="720"/>
        <w:jc w:val="both"/>
        <w:rPr>
          <w:rFonts w:ascii="ITC Avant Garde" w:hAnsi="ITC Avant Garde"/>
          <w:b/>
          <w:sz w:val="22"/>
          <w:szCs w:val="22"/>
        </w:rPr>
      </w:pPr>
    </w:p>
    <w:p w:rsidR="00FB6025" w:rsidRPr="000E4750" w:rsidRDefault="00D00709" w:rsidP="00A13478">
      <w:pPr>
        <w:spacing w:after="0"/>
        <w:jc w:val="both"/>
        <w:rPr>
          <w:rFonts w:ascii="ITC Avant Garde" w:hAnsi="ITC Avant Garde"/>
        </w:rPr>
      </w:pPr>
      <w:r w:rsidRPr="000E4750">
        <w:rPr>
          <w:rFonts w:ascii="ITC Avant Garde" w:hAnsi="ITC Avant Garde"/>
        </w:rPr>
        <w:t xml:space="preserve">Los operadores proponen, con base en la NOM-SCFI-184-2012, </w:t>
      </w:r>
      <w:r w:rsidR="00FB6025" w:rsidRPr="000E4750">
        <w:rPr>
          <w:rFonts w:ascii="ITC Avant Garde" w:hAnsi="ITC Avant Garde"/>
        </w:rPr>
        <w:t>s</w:t>
      </w:r>
      <w:r w:rsidRPr="000E4750">
        <w:rPr>
          <w:rFonts w:ascii="ITC Avant Garde" w:hAnsi="ITC Avant Garde"/>
        </w:rPr>
        <w:t>e limite su obligación de publicar información de sus servicios ofrecidos, sólo de aquellos que consideren sean los principales</w:t>
      </w:r>
      <w:r w:rsidR="00FB6025" w:rsidRPr="000E4750">
        <w:rPr>
          <w:rFonts w:ascii="ITC Avant Garde" w:hAnsi="ITC Avant Garde"/>
        </w:rPr>
        <w:t>.</w:t>
      </w:r>
    </w:p>
    <w:p w:rsidR="00E842A7" w:rsidRPr="000E4750" w:rsidRDefault="00E842A7" w:rsidP="00A13478">
      <w:pPr>
        <w:spacing w:after="0"/>
        <w:jc w:val="both"/>
        <w:rPr>
          <w:rFonts w:ascii="ITC Avant Garde" w:hAnsi="ITC Avant Garde"/>
        </w:rPr>
      </w:pPr>
    </w:p>
    <w:p w:rsidR="00D50E41" w:rsidRPr="000E4750" w:rsidRDefault="00D50E41" w:rsidP="00A13478">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E842A7" w:rsidRPr="000E4750" w:rsidRDefault="00E842A7" w:rsidP="00A13478">
      <w:pPr>
        <w:pStyle w:val="Textocomentario"/>
        <w:spacing w:after="0" w:line="276" w:lineRule="auto"/>
        <w:jc w:val="both"/>
        <w:rPr>
          <w:rFonts w:ascii="ITC Avant Garde" w:hAnsi="ITC Avant Garde"/>
          <w:i/>
          <w:sz w:val="22"/>
          <w:szCs w:val="22"/>
          <w:u w:val="single"/>
        </w:rPr>
      </w:pPr>
    </w:p>
    <w:p w:rsidR="00F01235" w:rsidRPr="000E4750" w:rsidRDefault="008A3992" w:rsidP="00A13478">
      <w:pPr>
        <w:spacing w:after="0"/>
        <w:jc w:val="both"/>
        <w:rPr>
          <w:rFonts w:ascii="ITC Avant Garde" w:hAnsi="ITC Avant Garde"/>
        </w:rPr>
      </w:pPr>
      <w:r w:rsidRPr="000E4750">
        <w:rPr>
          <w:rFonts w:ascii="ITC Avant Garde" w:hAnsi="ITC Avant Garde"/>
        </w:rPr>
        <w:t>Atendiendo a las modificaciones efectuadas al anteproyecto derivado de los comentarios</w:t>
      </w:r>
      <w:r w:rsidR="00486CB9" w:rsidRPr="000E4750">
        <w:rPr>
          <w:rFonts w:ascii="ITC Avant Garde" w:hAnsi="ITC Avant Garde"/>
        </w:rPr>
        <w:t xml:space="preserve"> recibidos</w:t>
      </w:r>
      <w:r w:rsidRPr="000E4750">
        <w:rPr>
          <w:rFonts w:ascii="ITC Avant Garde" w:hAnsi="ITC Avant Garde"/>
        </w:rPr>
        <w:t xml:space="preserve">, se consideró conveniente eliminar la </w:t>
      </w:r>
      <w:r w:rsidR="008403E1" w:rsidRPr="000E4750">
        <w:rPr>
          <w:rFonts w:ascii="ITC Avant Garde" w:eastAsia="Times New Roman" w:hAnsi="ITC Avant Garde" w:cs="Arial"/>
        </w:rPr>
        <w:t>fracción I del artículo 15, lo anterior, toda vez que se emitirá a los concesionarios y autorizados un formato</w:t>
      </w:r>
      <w:r w:rsidR="00486CB9" w:rsidRPr="000E4750">
        <w:rPr>
          <w:rFonts w:ascii="ITC Avant Garde" w:eastAsia="Times New Roman" w:hAnsi="ITC Avant Garde" w:cs="Arial"/>
        </w:rPr>
        <w:t xml:space="preserve"> simplificado de información </w:t>
      </w:r>
      <w:r w:rsidR="008403E1" w:rsidRPr="000E4750">
        <w:rPr>
          <w:rFonts w:ascii="ITC Avant Garde" w:eastAsia="Times New Roman" w:hAnsi="ITC Avant Garde" w:cs="Arial"/>
        </w:rPr>
        <w:t>por cada tarifa que presente para inscripción ante este Instituto</w:t>
      </w:r>
      <w:r w:rsidR="00486CB9" w:rsidRPr="000E4750">
        <w:rPr>
          <w:rFonts w:ascii="ITC Avant Garde" w:eastAsia="Times New Roman" w:hAnsi="ITC Avant Garde" w:cs="Arial"/>
        </w:rPr>
        <w:t xml:space="preserve"> y los cuales deben ser difundidos y puestos al</w:t>
      </w:r>
      <w:r w:rsidR="00DF6186">
        <w:rPr>
          <w:rFonts w:ascii="ITC Avant Garde" w:eastAsia="Times New Roman" w:hAnsi="ITC Avant Garde" w:cs="Arial"/>
        </w:rPr>
        <w:t xml:space="preserve"> alcance de los usuarios, lo que</w:t>
      </w:r>
      <w:r w:rsidR="00486CB9" w:rsidRPr="000E4750">
        <w:rPr>
          <w:rFonts w:ascii="ITC Avant Garde" w:eastAsia="Times New Roman" w:hAnsi="ITC Avant Garde" w:cs="Arial"/>
        </w:rPr>
        <w:t xml:space="preserve"> permitirá que éstos conozcan los servicios ofertados.</w:t>
      </w:r>
    </w:p>
    <w:p w:rsidR="00E842A7" w:rsidRPr="000E4750" w:rsidRDefault="00E842A7" w:rsidP="00E842A7">
      <w:pPr>
        <w:spacing w:after="0"/>
        <w:jc w:val="center"/>
        <w:rPr>
          <w:rFonts w:ascii="ITC Avant Garde" w:hAnsi="ITC Avant Garde"/>
          <w:b/>
        </w:rPr>
      </w:pPr>
    </w:p>
    <w:p w:rsidR="00B121DE" w:rsidRPr="000E4750" w:rsidRDefault="008403E1" w:rsidP="00464DB4">
      <w:pPr>
        <w:numPr>
          <w:ilvl w:val="0"/>
          <w:numId w:val="5"/>
        </w:numPr>
        <w:spacing w:after="0"/>
        <w:jc w:val="both"/>
        <w:rPr>
          <w:rFonts w:ascii="ITC Avant Garde" w:hAnsi="ITC Avant Garde"/>
          <w:b/>
        </w:rPr>
      </w:pPr>
      <w:r w:rsidRPr="000E4750">
        <w:rPr>
          <w:rFonts w:ascii="ITC Avant Garde" w:hAnsi="ITC Avant Garde"/>
          <w:b/>
        </w:rPr>
        <w:t>Fracción II</w:t>
      </w:r>
      <w:r w:rsidR="00800D5A" w:rsidRPr="000E4750">
        <w:rPr>
          <w:rFonts w:ascii="ITC Avant Garde" w:hAnsi="ITC Avant Garde"/>
          <w:b/>
        </w:rPr>
        <w:t>I</w:t>
      </w:r>
      <w:r w:rsidRPr="000E4750">
        <w:rPr>
          <w:rFonts w:ascii="ITC Avant Garde" w:hAnsi="ITC Avant Garde"/>
          <w:b/>
        </w:rPr>
        <w:t xml:space="preserve"> del Artículo 15</w:t>
      </w:r>
    </w:p>
    <w:p w:rsidR="00D50E41" w:rsidRPr="000E4750" w:rsidRDefault="00D50E41" w:rsidP="00A13478">
      <w:pPr>
        <w:pStyle w:val="Textocomentario"/>
        <w:spacing w:after="0" w:line="276" w:lineRule="auto"/>
        <w:jc w:val="both"/>
        <w:rPr>
          <w:rFonts w:ascii="ITC Avant Garde" w:hAnsi="ITC Avant Garde"/>
          <w:sz w:val="22"/>
          <w:szCs w:val="22"/>
        </w:rPr>
      </w:pPr>
    </w:p>
    <w:p w:rsidR="005D43F5" w:rsidRPr="000E4750" w:rsidRDefault="00800D5A" w:rsidP="00800D5A">
      <w:pPr>
        <w:spacing w:after="0"/>
        <w:jc w:val="both"/>
        <w:rPr>
          <w:rFonts w:ascii="ITC Avant Garde" w:hAnsi="ITC Avant Garde"/>
        </w:rPr>
      </w:pPr>
      <w:r w:rsidRPr="000E4750">
        <w:rPr>
          <w:rFonts w:ascii="ITC Avant Garde" w:hAnsi="ITC Avant Garde"/>
        </w:rPr>
        <w:t>La PROFECO propone inclu</w:t>
      </w:r>
      <w:r w:rsidR="001857D5" w:rsidRPr="000E4750">
        <w:rPr>
          <w:rFonts w:ascii="ITC Avant Garde" w:hAnsi="ITC Avant Garde"/>
        </w:rPr>
        <w:t>ir dentro del proyecto que la c</w:t>
      </w:r>
      <w:r w:rsidR="001857D5" w:rsidRPr="00227203">
        <w:rPr>
          <w:rFonts w:ascii="ITC Avant Garde" w:hAnsi="ITC Avant Garde"/>
        </w:rPr>
        <w:t>ancelaci</w:t>
      </w:r>
      <w:r w:rsidR="001857D5" w:rsidRPr="000E4750">
        <w:rPr>
          <w:rFonts w:ascii="ITC Avant Garde" w:hAnsi="ITC Avant Garde"/>
        </w:rPr>
        <w:t xml:space="preserve">ón puede ser por </w:t>
      </w:r>
      <w:r w:rsidR="001857D5" w:rsidRPr="00227203">
        <w:rPr>
          <w:rFonts w:ascii="ITC Avant Garde" w:hAnsi="ITC Avant Garde"/>
        </w:rPr>
        <w:t>conven</w:t>
      </w:r>
      <w:r w:rsidR="001857D5" w:rsidRPr="000E4750">
        <w:rPr>
          <w:rFonts w:ascii="ITC Avant Garde" w:hAnsi="ITC Avant Garde"/>
        </w:rPr>
        <w:t>ir a lo</w:t>
      </w:r>
      <w:r w:rsidRPr="000E4750">
        <w:rPr>
          <w:rFonts w:ascii="ITC Avant Garde" w:hAnsi="ITC Avant Garde"/>
        </w:rPr>
        <w:t xml:space="preserve">s intereses </w:t>
      </w:r>
      <w:r w:rsidR="001857D5" w:rsidRPr="000E4750">
        <w:rPr>
          <w:rFonts w:ascii="ITC Avant Garde" w:hAnsi="ITC Avant Garde"/>
        </w:rPr>
        <w:t xml:space="preserve">del usuario </w:t>
      </w:r>
      <w:r w:rsidRPr="000E4750">
        <w:rPr>
          <w:rFonts w:ascii="ITC Avant Garde" w:hAnsi="ITC Avant Garde"/>
        </w:rPr>
        <w:t>o por inc</w:t>
      </w:r>
      <w:r w:rsidRPr="00227203">
        <w:rPr>
          <w:rFonts w:ascii="ITC Avant Garde" w:hAnsi="ITC Avant Garde"/>
        </w:rPr>
        <w:t>umplimie</w:t>
      </w:r>
      <w:r w:rsidRPr="000E4750">
        <w:rPr>
          <w:rFonts w:ascii="ITC Avant Garde" w:hAnsi="ITC Avant Garde"/>
        </w:rPr>
        <w:t>nto de términos y condiciones</w:t>
      </w:r>
      <w:r w:rsidR="001857D5" w:rsidRPr="000E4750">
        <w:rPr>
          <w:rFonts w:ascii="ITC Avant Garde" w:hAnsi="ITC Avant Garde"/>
        </w:rPr>
        <w:t xml:space="preserve">, así como especificar que </w:t>
      </w:r>
      <w:r w:rsidRPr="000E4750">
        <w:rPr>
          <w:rFonts w:ascii="ITC Avant Garde" w:hAnsi="ITC Avant Garde"/>
        </w:rPr>
        <w:t>la cancelación de los servicios no incluye a la cancelación de los servicios adicionales</w:t>
      </w:r>
      <w:r w:rsidR="00D07042" w:rsidRPr="000E4750">
        <w:rPr>
          <w:rFonts w:ascii="ITC Avant Garde" w:hAnsi="ITC Avant Garde"/>
        </w:rPr>
        <w:t>.</w:t>
      </w:r>
    </w:p>
    <w:p w:rsidR="00E842A7" w:rsidRPr="000E4750" w:rsidRDefault="00E842A7" w:rsidP="00A13478">
      <w:pPr>
        <w:spacing w:after="0"/>
        <w:jc w:val="both"/>
        <w:rPr>
          <w:rFonts w:ascii="ITC Avant Garde" w:hAnsi="ITC Avant Garde"/>
        </w:rPr>
      </w:pPr>
    </w:p>
    <w:p w:rsidR="00D07042" w:rsidRPr="000E4750" w:rsidRDefault="00D07042" w:rsidP="00A13478">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E842A7" w:rsidRPr="000E4750" w:rsidRDefault="00E842A7" w:rsidP="00A13478">
      <w:pPr>
        <w:pStyle w:val="Textocomentario"/>
        <w:spacing w:after="0" w:line="276" w:lineRule="auto"/>
        <w:jc w:val="both"/>
        <w:rPr>
          <w:rFonts w:ascii="ITC Avant Garde" w:hAnsi="ITC Avant Garde"/>
          <w:i/>
          <w:sz w:val="22"/>
          <w:szCs w:val="22"/>
          <w:u w:val="single"/>
        </w:rPr>
      </w:pPr>
    </w:p>
    <w:p w:rsidR="00F229D2" w:rsidRPr="000E4750" w:rsidRDefault="001857D5" w:rsidP="00A13478">
      <w:pPr>
        <w:spacing w:after="0"/>
        <w:jc w:val="both"/>
        <w:rPr>
          <w:rFonts w:ascii="ITC Avant Garde" w:eastAsia="Times New Roman" w:hAnsi="ITC Avant Garde" w:cs="Arial"/>
        </w:rPr>
      </w:pPr>
      <w:r w:rsidRPr="000E4750">
        <w:rPr>
          <w:rFonts w:ascii="ITC Avant Garde" w:eastAsia="Times New Roman" w:hAnsi="ITC Avant Garde" w:cs="Arial"/>
        </w:rPr>
        <w:t xml:space="preserve">Al respecto, se considera pertinente mantener </w:t>
      </w:r>
      <w:r w:rsidR="00DF6186">
        <w:rPr>
          <w:rFonts w:ascii="ITC Avant Garde" w:eastAsia="Times New Roman" w:hAnsi="ITC Avant Garde" w:cs="Arial"/>
        </w:rPr>
        <w:t xml:space="preserve">parte de </w:t>
      </w:r>
      <w:r w:rsidRPr="000E4750">
        <w:rPr>
          <w:rFonts w:ascii="ITC Avant Garde" w:eastAsia="Times New Roman" w:hAnsi="ITC Avant Garde" w:cs="Arial"/>
        </w:rPr>
        <w:t>la redacción inicial a fin de no incluir obligaciones específicas aplicables a los contratos de adhesión, como son cáusales de cancelación y sus alcances.</w:t>
      </w:r>
      <w:r w:rsidR="00DF6186">
        <w:rPr>
          <w:rFonts w:ascii="ITC Avant Garde" w:eastAsia="Times New Roman" w:hAnsi="ITC Avant Garde" w:cs="Arial"/>
        </w:rPr>
        <w:t xml:space="preserve"> </w:t>
      </w:r>
    </w:p>
    <w:p w:rsidR="00F229D2" w:rsidRPr="000E4750" w:rsidRDefault="00F229D2" w:rsidP="00A13478">
      <w:pPr>
        <w:spacing w:after="0"/>
        <w:jc w:val="both"/>
        <w:rPr>
          <w:rFonts w:ascii="ITC Avant Garde" w:hAnsi="ITC Avant Garde"/>
        </w:rPr>
      </w:pPr>
    </w:p>
    <w:p w:rsidR="00F229D2" w:rsidRPr="000E4750" w:rsidRDefault="001857D5" w:rsidP="00464DB4">
      <w:pPr>
        <w:pStyle w:val="Prrafodelista"/>
        <w:numPr>
          <w:ilvl w:val="0"/>
          <w:numId w:val="5"/>
        </w:numPr>
        <w:spacing w:after="0"/>
        <w:jc w:val="both"/>
        <w:rPr>
          <w:rFonts w:ascii="ITC Avant Garde" w:hAnsi="ITC Avant Garde"/>
          <w:b/>
        </w:rPr>
      </w:pPr>
      <w:r w:rsidRPr="000E4750">
        <w:rPr>
          <w:rFonts w:ascii="ITC Avant Garde" w:hAnsi="ITC Avant Garde"/>
          <w:b/>
        </w:rPr>
        <w:t xml:space="preserve">Fracción IV del </w:t>
      </w:r>
      <w:r w:rsidR="00F229D2" w:rsidRPr="000E4750">
        <w:rPr>
          <w:rFonts w:ascii="ITC Avant Garde" w:hAnsi="ITC Avant Garde"/>
          <w:b/>
        </w:rPr>
        <w:t>Artículo</w:t>
      </w:r>
      <w:r w:rsidRPr="000E4750">
        <w:rPr>
          <w:rFonts w:ascii="ITC Avant Garde" w:hAnsi="ITC Avant Garde"/>
          <w:b/>
        </w:rPr>
        <w:t xml:space="preserve"> </w:t>
      </w:r>
      <w:r w:rsidR="008C23F4" w:rsidRPr="000E4750">
        <w:rPr>
          <w:rFonts w:ascii="ITC Avant Garde" w:hAnsi="ITC Avant Garde"/>
          <w:b/>
        </w:rPr>
        <w:t>15</w:t>
      </w:r>
      <w:r w:rsidR="00F229D2" w:rsidRPr="000E4750">
        <w:rPr>
          <w:rFonts w:ascii="ITC Avant Garde" w:hAnsi="ITC Avant Garde"/>
          <w:b/>
        </w:rPr>
        <w:t>.</w:t>
      </w:r>
    </w:p>
    <w:p w:rsidR="00E842A7" w:rsidRPr="000E4750" w:rsidRDefault="00E842A7" w:rsidP="00E842A7">
      <w:pPr>
        <w:pStyle w:val="Prrafodelista"/>
        <w:spacing w:after="0"/>
        <w:jc w:val="both"/>
        <w:rPr>
          <w:rFonts w:ascii="ITC Avant Garde" w:hAnsi="ITC Avant Garde"/>
          <w:b/>
        </w:rPr>
      </w:pPr>
    </w:p>
    <w:p w:rsidR="00F64B30" w:rsidRPr="000E4750" w:rsidRDefault="008C23F4" w:rsidP="00A13478">
      <w:pPr>
        <w:spacing w:after="0"/>
        <w:jc w:val="both"/>
        <w:rPr>
          <w:rFonts w:ascii="ITC Avant Garde" w:eastAsia="Times New Roman" w:hAnsi="ITC Avant Garde" w:cs="Arial"/>
          <w:i/>
          <w:color w:val="000000"/>
        </w:rPr>
      </w:pPr>
      <w:r w:rsidRPr="000E4750">
        <w:rPr>
          <w:rFonts w:ascii="ITC Avant Garde" w:hAnsi="ITC Avant Garde"/>
        </w:rPr>
        <w:t>La PROFECO propone se realice una adecuación a la redacción para eliminar el término “del servicio”, asimismo, propone la inclusión de los costos de instalación y los supuestos de cancelación.</w:t>
      </w:r>
    </w:p>
    <w:p w:rsidR="00E842A7" w:rsidRPr="000E4750" w:rsidRDefault="00E842A7" w:rsidP="00A13478">
      <w:pPr>
        <w:spacing w:after="0"/>
        <w:jc w:val="both"/>
        <w:rPr>
          <w:rFonts w:ascii="ITC Avant Garde" w:eastAsia="Times New Roman" w:hAnsi="ITC Avant Garde" w:cs="Arial"/>
          <w:i/>
          <w:color w:val="000000"/>
        </w:rPr>
      </w:pPr>
    </w:p>
    <w:p w:rsidR="00F64B30" w:rsidRPr="000E4750" w:rsidRDefault="00F64B30" w:rsidP="00A13478">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lastRenderedPageBreak/>
        <w:t>Consideraciones</w:t>
      </w:r>
    </w:p>
    <w:p w:rsidR="00E842A7" w:rsidRPr="000E4750" w:rsidRDefault="00E842A7" w:rsidP="00A13478">
      <w:pPr>
        <w:pStyle w:val="Textocomentario"/>
        <w:spacing w:after="0" w:line="276" w:lineRule="auto"/>
        <w:jc w:val="both"/>
        <w:rPr>
          <w:rFonts w:ascii="ITC Avant Garde" w:hAnsi="ITC Avant Garde"/>
          <w:i/>
          <w:sz w:val="22"/>
          <w:szCs w:val="22"/>
          <w:u w:val="single"/>
        </w:rPr>
      </w:pPr>
    </w:p>
    <w:p w:rsidR="008C23F4" w:rsidRPr="000E4750" w:rsidRDefault="008C23F4" w:rsidP="008C23F4">
      <w:pPr>
        <w:spacing w:after="0"/>
        <w:jc w:val="both"/>
        <w:rPr>
          <w:rFonts w:ascii="ITC Avant Garde" w:hAnsi="ITC Avant Garde"/>
        </w:rPr>
      </w:pPr>
      <w:r w:rsidRPr="000E4750">
        <w:rPr>
          <w:rFonts w:ascii="ITC Avant Garde" w:hAnsi="ITC Avant Garde"/>
        </w:rPr>
        <w:t>De</w:t>
      </w:r>
      <w:r w:rsidR="0076746E" w:rsidRPr="000E4750">
        <w:rPr>
          <w:rFonts w:ascii="ITC Avant Garde" w:hAnsi="ITC Avant Garde"/>
        </w:rPr>
        <w:t xml:space="preserve"> acuerdo</w:t>
      </w:r>
      <w:r w:rsidRPr="000E4750">
        <w:rPr>
          <w:rFonts w:ascii="ITC Avant Garde" w:hAnsi="ITC Avant Garde"/>
        </w:rPr>
        <w:t xml:space="preserve"> al comentario de PROFECO</w:t>
      </w:r>
      <w:r w:rsidR="0076746E" w:rsidRPr="000E4750">
        <w:rPr>
          <w:rFonts w:ascii="ITC Avant Garde" w:hAnsi="ITC Avant Garde"/>
        </w:rPr>
        <w:t>,</w:t>
      </w:r>
      <w:r w:rsidRPr="000E4750">
        <w:rPr>
          <w:rFonts w:ascii="ITC Avant Garde" w:hAnsi="ITC Avant Garde"/>
        </w:rPr>
        <w:t xml:space="preserve"> se efectúa la adecuación a la redacción propuesta, por otra parte, respecto a la propuesta de inclusión de los costos de instalación, dicha información ya se encuentra considerada dentro de la redacción del proyecto de Lineamientos.</w:t>
      </w:r>
    </w:p>
    <w:p w:rsidR="008C23F4" w:rsidRPr="000E4750" w:rsidRDefault="008C23F4" w:rsidP="008C23F4">
      <w:pPr>
        <w:spacing w:after="0"/>
        <w:jc w:val="both"/>
        <w:rPr>
          <w:rFonts w:ascii="ITC Avant Garde" w:hAnsi="ITC Avant Garde"/>
        </w:rPr>
      </w:pPr>
    </w:p>
    <w:p w:rsidR="008C23F4" w:rsidRPr="000E4750" w:rsidRDefault="008C23F4" w:rsidP="008C23F4">
      <w:pPr>
        <w:spacing w:after="0"/>
        <w:jc w:val="both"/>
        <w:rPr>
          <w:rFonts w:ascii="ITC Avant Garde" w:hAnsi="ITC Avant Garde"/>
        </w:rPr>
      </w:pPr>
      <w:r w:rsidRPr="000E4750">
        <w:rPr>
          <w:rFonts w:ascii="ITC Avant Garde" w:hAnsi="ITC Avant Garde"/>
        </w:rPr>
        <w:t xml:space="preserve">Finalmente, en lo tocante a la propuesta de inclusión de los supuestos de cancelación, se considera </w:t>
      </w:r>
      <w:r w:rsidR="003145BC" w:rsidRPr="000E4750">
        <w:rPr>
          <w:rFonts w:ascii="ITC Avant Garde" w:hAnsi="ITC Avant Garde"/>
        </w:rPr>
        <w:t>que los mismos son definidos por los propios concesionarios y autorizad</w:t>
      </w:r>
      <w:r w:rsidR="0076746E" w:rsidRPr="000E4750">
        <w:rPr>
          <w:rFonts w:ascii="ITC Avant Garde" w:hAnsi="ITC Avant Garde"/>
        </w:rPr>
        <w:t>os en los contratos de adhesión, motivo por el cual no son adicionados</w:t>
      </w:r>
      <w:r w:rsidR="003145BC" w:rsidRPr="000E4750">
        <w:rPr>
          <w:rFonts w:ascii="ITC Avant Garde" w:hAnsi="ITC Avant Garde"/>
        </w:rPr>
        <w:t>.</w:t>
      </w:r>
    </w:p>
    <w:p w:rsidR="00F229D2" w:rsidRPr="000E4750" w:rsidRDefault="00F229D2" w:rsidP="00A13478">
      <w:pPr>
        <w:spacing w:after="0"/>
        <w:jc w:val="both"/>
        <w:rPr>
          <w:rFonts w:ascii="ITC Avant Garde" w:hAnsi="ITC Avant Garde"/>
          <w:b/>
        </w:rPr>
      </w:pPr>
    </w:p>
    <w:p w:rsidR="0052777C" w:rsidRPr="000E4750" w:rsidRDefault="00BA3A80" w:rsidP="00464DB4">
      <w:pPr>
        <w:pStyle w:val="Prrafodelista"/>
        <w:numPr>
          <w:ilvl w:val="0"/>
          <w:numId w:val="5"/>
        </w:numPr>
        <w:spacing w:after="0"/>
        <w:jc w:val="both"/>
        <w:rPr>
          <w:rFonts w:ascii="ITC Avant Garde" w:hAnsi="ITC Avant Garde"/>
          <w:b/>
        </w:rPr>
      </w:pPr>
      <w:r w:rsidRPr="000E4750">
        <w:rPr>
          <w:rFonts w:ascii="ITC Avant Garde" w:hAnsi="ITC Avant Garde"/>
          <w:b/>
        </w:rPr>
        <w:t xml:space="preserve">Fracciones </w:t>
      </w:r>
      <w:r w:rsidR="00F135A3" w:rsidRPr="000E4750">
        <w:rPr>
          <w:rFonts w:ascii="ITC Avant Garde" w:hAnsi="ITC Avant Garde"/>
          <w:b/>
        </w:rPr>
        <w:t>V,</w:t>
      </w:r>
      <w:r w:rsidRPr="000E4750">
        <w:rPr>
          <w:rFonts w:ascii="ITC Avant Garde" w:hAnsi="ITC Avant Garde"/>
          <w:b/>
        </w:rPr>
        <w:t xml:space="preserve"> VI</w:t>
      </w:r>
      <w:r w:rsidR="00F135A3" w:rsidRPr="000E4750">
        <w:rPr>
          <w:rFonts w:ascii="ITC Avant Garde" w:hAnsi="ITC Avant Garde"/>
          <w:b/>
        </w:rPr>
        <w:t xml:space="preserve"> y VII</w:t>
      </w:r>
      <w:r w:rsidRPr="000E4750">
        <w:rPr>
          <w:rFonts w:ascii="ITC Avant Garde" w:hAnsi="ITC Avant Garde"/>
          <w:b/>
        </w:rPr>
        <w:t xml:space="preserve"> del Artículo 15</w:t>
      </w:r>
      <w:r w:rsidR="00F135A3" w:rsidRPr="000E4750">
        <w:rPr>
          <w:rFonts w:ascii="ITC Avant Garde" w:hAnsi="ITC Avant Garde"/>
          <w:b/>
        </w:rPr>
        <w:t>.</w:t>
      </w:r>
    </w:p>
    <w:p w:rsidR="00E842A7" w:rsidRPr="000E4750" w:rsidRDefault="00E842A7" w:rsidP="00E842A7">
      <w:pPr>
        <w:pStyle w:val="Prrafodelista"/>
        <w:spacing w:after="0"/>
        <w:jc w:val="both"/>
        <w:rPr>
          <w:rFonts w:ascii="ITC Avant Garde" w:hAnsi="ITC Avant Garde"/>
          <w:b/>
        </w:rPr>
      </w:pPr>
    </w:p>
    <w:p w:rsidR="00BA3A80" w:rsidRPr="000E4750" w:rsidRDefault="00BA3A80" w:rsidP="00BA3A80">
      <w:pPr>
        <w:spacing w:after="0"/>
        <w:jc w:val="both"/>
        <w:rPr>
          <w:rFonts w:ascii="ITC Avant Garde" w:hAnsi="ITC Avant Garde"/>
        </w:rPr>
      </w:pPr>
      <w:r w:rsidRPr="000E4750">
        <w:rPr>
          <w:rFonts w:ascii="ITC Avant Garde" w:hAnsi="ITC Avant Garde"/>
        </w:rPr>
        <w:t xml:space="preserve">Los operadores proponen se eliminen </w:t>
      </w:r>
      <w:r w:rsidR="0076746E" w:rsidRPr="000E4750">
        <w:rPr>
          <w:rFonts w:ascii="ITC Avant Garde" w:hAnsi="ITC Avant Garde"/>
        </w:rPr>
        <w:t>la</w:t>
      </w:r>
      <w:r w:rsidRPr="000E4750">
        <w:rPr>
          <w:rFonts w:ascii="ITC Avant Garde" w:hAnsi="ITC Avant Garde"/>
        </w:rPr>
        <w:t>s fracciones, toda vez que el tiempo para la emisión de respuesta y las condiciones dependen del tipo de f</w:t>
      </w:r>
      <w:r w:rsidR="00311AE3">
        <w:rPr>
          <w:rFonts w:ascii="ITC Avant Garde" w:hAnsi="ITC Avant Garde"/>
        </w:rPr>
        <w:t>alla que presente el suscriptor</w:t>
      </w:r>
      <w:r w:rsidRPr="000E4750">
        <w:rPr>
          <w:rFonts w:ascii="ITC Avant Garde" w:hAnsi="ITC Avant Garde"/>
        </w:rPr>
        <w:t xml:space="preserve"> y</w:t>
      </w:r>
      <w:r w:rsidR="00311AE3">
        <w:rPr>
          <w:rFonts w:ascii="ITC Avant Garde" w:hAnsi="ITC Avant Garde"/>
        </w:rPr>
        <w:t xml:space="preserve">, </w:t>
      </w:r>
      <w:r w:rsidRPr="000E4750">
        <w:rPr>
          <w:rFonts w:ascii="ITC Avant Garde" w:hAnsi="ITC Avant Garde"/>
        </w:rPr>
        <w:t xml:space="preserve">señalan </w:t>
      </w:r>
      <w:r w:rsidR="00311AE3">
        <w:rPr>
          <w:rFonts w:ascii="ITC Avant Garde" w:hAnsi="ITC Avant Garde"/>
        </w:rPr>
        <w:t xml:space="preserve">que </w:t>
      </w:r>
      <w:r w:rsidRPr="000E4750">
        <w:rPr>
          <w:rFonts w:ascii="ITC Avant Garde" w:hAnsi="ITC Avant Garde"/>
        </w:rPr>
        <w:t>no existe obligación legal, ni lógica para que el concesionario o autorizado proporcione un tiempo límite de respuesta y solución a cada uno de los trámites que se puedan ventilar ante su área de atención a clientes.</w:t>
      </w:r>
    </w:p>
    <w:p w:rsidR="00F135A3" w:rsidRPr="000E4750" w:rsidRDefault="00F135A3" w:rsidP="00BA3A80">
      <w:pPr>
        <w:spacing w:after="0"/>
        <w:jc w:val="both"/>
        <w:rPr>
          <w:rFonts w:ascii="ITC Avant Garde" w:hAnsi="ITC Avant Garde"/>
        </w:rPr>
      </w:pPr>
    </w:p>
    <w:p w:rsidR="00F135A3" w:rsidRPr="000E4750" w:rsidRDefault="00F135A3" w:rsidP="00BA3A80">
      <w:pPr>
        <w:spacing w:after="0"/>
        <w:jc w:val="both"/>
        <w:rPr>
          <w:rFonts w:ascii="ITC Avant Garde" w:hAnsi="ITC Avant Garde"/>
        </w:rPr>
      </w:pPr>
      <w:r w:rsidRPr="000E4750">
        <w:rPr>
          <w:rFonts w:ascii="ITC Avant Garde" w:hAnsi="ITC Avant Garde"/>
        </w:rPr>
        <w:t>Asimismo, respecto a la información de quejas, la industria propone se elimine, toda vez que existe el portal “Soy Usuario” y está disponible para el público en general los 365 días del año, las 24 horas del día.</w:t>
      </w:r>
    </w:p>
    <w:p w:rsidR="00BA3A80" w:rsidRPr="000E4750" w:rsidRDefault="00BA3A80" w:rsidP="00BA3A80">
      <w:pPr>
        <w:spacing w:after="0"/>
        <w:jc w:val="both"/>
        <w:rPr>
          <w:rFonts w:ascii="ITC Avant Garde" w:hAnsi="ITC Avant Garde"/>
        </w:rPr>
      </w:pPr>
    </w:p>
    <w:p w:rsidR="00BA3A80" w:rsidRPr="000E4750" w:rsidRDefault="00BA3A80" w:rsidP="00BA3A80">
      <w:pPr>
        <w:spacing w:after="0"/>
        <w:jc w:val="both"/>
        <w:rPr>
          <w:rFonts w:ascii="ITC Avant Garde" w:eastAsia="Times New Roman" w:hAnsi="ITC Avant Garde" w:cs="Arial"/>
          <w:i/>
          <w:color w:val="000000"/>
        </w:rPr>
      </w:pPr>
      <w:r w:rsidRPr="000E4750">
        <w:rPr>
          <w:rFonts w:ascii="ITC Avant Garde" w:hAnsi="ITC Avant Garde"/>
        </w:rPr>
        <w:t>Por otra parte, la PROFECO propone se incluyan los tiempos máximos de atención en aclaración de dudas.</w:t>
      </w:r>
    </w:p>
    <w:p w:rsidR="00E842A7" w:rsidRPr="000E4750" w:rsidRDefault="00E842A7" w:rsidP="00E842A7">
      <w:pPr>
        <w:spacing w:after="0"/>
        <w:jc w:val="both"/>
        <w:rPr>
          <w:rFonts w:ascii="ITC Avant Garde" w:hAnsi="ITC Avant Garde"/>
        </w:rPr>
      </w:pPr>
    </w:p>
    <w:p w:rsidR="0053731A" w:rsidRPr="000E4750" w:rsidRDefault="0053731A" w:rsidP="00E842A7">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E842A7" w:rsidRPr="000E4750" w:rsidRDefault="00E842A7" w:rsidP="00E842A7">
      <w:pPr>
        <w:pStyle w:val="Textocomentario"/>
        <w:spacing w:after="0" w:line="276" w:lineRule="auto"/>
        <w:ind w:firstLine="360"/>
        <w:jc w:val="both"/>
        <w:rPr>
          <w:rFonts w:ascii="ITC Avant Garde" w:hAnsi="ITC Avant Garde"/>
          <w:i/>
          <w:sz w:val="22"/>
          <w:szCs w:val="22"/>
          <w:u w:val="single"/>
        </w:rPr>
      </w:pPr>
    </w:p>
    <w:p w:rsidR="0053731A" w:rsidRPr="000E4750" w:rsidRDefault="00F9466A" w:rsidP="00E842A7">
      <w:pPr>
        <w:spacing w:after="0"/>
        <w:jc w:val="both"/>
        <w:rPr>
          <w:rFonts w:ascii="ITC Avant Garde" w:hAnsi="ITC Avant Garde"/>
        </w:rPr>
      </w:pPr>
      <w:r w:rsidRPr="000E4750">
        <w:rPr>
          <w:rFonts w:ascii="ITC Avant Garde" w:hAnsi="ITC Avant Garde"/>
        </w:rPr>
        <w:t xml:space="preserve">En atención a los comentarios recibidos, se efectuaron adecuaciones a la redacción manteniendo las obligaciones de información que permitan a los usuarios conocer </w:t>
      </w:r>
      <w:r w:rsidR="00BA3A80" w:rsidRPr="000E4750">
        <w:rPr>
          <w:rFonts w:ascii="ITC Avant Garde" w:hAnsi="ITC Avant Garde"/>
        </w:rPr>
        <w:t xml:space="preserve">los mecanismos de atención </w:t>
      </w:r>
      <w:r w:rsidRPr="000E4750">
        <w:rPr>
          <w:rFonts w:ascii="ITC Avant Garde" w:hAnsi="ITC Avant Garde"/>
        </w:rPr>
        <w:t xml:space="preserve">establecidos </w:t>
      </w:r>
      <w:r w:rsidR="00BA3A80" w:rsidRPr="000E4750">
        <w:rPr>
          <w:rFonts w:ascii="ITC Avant Garde" w:hAnsi="ITC Avant Garde"/>
        </w:rPr>
        <w:t>por l</w:t>
      </w:r>
      <w:r w:rsidRPr="000E4750">
        <w:rPr>
          <w:rFonts w:ascii="ITC Avant Garde" w:hAnsi="ITC Avant Garde"/>
        </w:rPr>
        <w:t>os concesionarios y autorizados</w:t>
      </w:r>
      <w:r w:rsidR="000E563E">
        <w:rPr>
          <w:rFonts w:ascii="ITC Avant Garde" w:hAnsi="ITC Avant Garde"/>
        </w:rPr>
        <w:t xml:space="preserve">, así como los plazos de atención de los trámites </w:t>
      </w:r>
      <w:r w:rsidR="00BF214B">
        <w:rPr>
          <w:rFonts w:ascii="ITC Avant Garde" w:hAnsi="ITC Avant Garde"/>
        </w:rPr>
        <w:t xml:space="preserve">y quejas que presente </w:t>
      </w:r>
      <w:r w:rsidR="000E563E">
        <w:rPr>
          <w:rFonts w:ascii="ITC Avant Garde" w:hAnsi="ITC Avant Garde"/>
        </w:rPr>
        <w:t>a</w:t>
      </w:r>
      <w:r w:rsidR="00BF214B">
        <w:rPr>
          <w:rFonts w:ascii="ITC Avant Garde" w:hAnsi="ITC Avant Garde"/>
        </w:rPr>
        <w:t>nte su proveedor de servicios</w:t>
      </w:r>
      <w:r w:rsidR="00BA3A80" w:rsidRPr="000E4750">
        <w:rPr>
          <w:rFonts w:ascii="ITC Avant Garde" w:hAnsi="ITC Avant Garde"/>
        </w:rPr>
        <w:t>.</w:t>
      </w:r>
    </w:p>
    <w:p w:rsidR="00F9466A" w:rsidRPr="000E4750" w:rsidRDefault="00F9466A" w:rsidP="00E842A7">
      <w:pPr>
        <w:spacing w:after="0"/>
        <w:jc w:val="both"/>
        <w:rPr>
          <w:rFonts w:ascii="ITC Avant Garde" w:hAnsi="ITC Avant Garde"/>
        </w:rPr>
      </w:pPr>
    </w:p>
    <w:p w:rsidR="00F9466A" w:rsidRPr="000E4750" w:rsidRDefault="00F9466A" w:rsidP="00E842A7">
      <w:pPr>
        <w:spacing w:after="0"/>
        <w:jc w:val="both"/>
        <w:rPr>
          <w:rFonts w:ascii="ITC Avant Garde" w:hAnsi="ITC Avant Garde"/>
        </w:rPr>
      </w:pPr>
      <w:r w:rsidRPr="000E4750">
        <w:rPr>
          <w:rFonts w:ascii="ITC Avant Garde" w:hAnsi="ITC Avant Garde"/>
        </w:rPr>
        <w:t xml:space="preserve">Asimismo, respecto </w:t>
      </w:r>
      <w:r w:rsidRPr="00227203">
        <w:rPr>
          <w:rFonts w:ascii="ITC Avant Garde" w:hAnsi="ITC Avant Garde"/>
        </w:rPr>
        <w:t>a la eliminación de la información de quejas</w:t>
      </w:r>
      <w:r w:rsidR="00311AE3">
        <w:rPr>
          <w:rFonts w:ascii="ITC Avant Garde" w:hAnsi="ITC Avant Garde"/>
        </w:rPr>
        <w:t>,</w:t>
      </w:r>
      <w:r w:rsidRPr="00227203">
        <w:rPr>
          <w:rFonts w:ascii="ITC Avant Garde" w:hAnsi="ITC Avant Garde"/>
        </w:rPr>
        <w:t xml:space="preserve"> toda vez que existe el sistema Soy</w:t>
      </w:r>
      <w:r w:rsidRPr="000E4750">
        <w:rPr>
          <w:rFonts w:ascii="ITC Avant Garde" w:hAnsi="ITC Avant Garde"/>
        </w:rPr>
        <w:t xml:space="preserve"> Usuario, es importante señalar que actualmente los operadore</w:t>
      </w:r>
      <w:r w:rsidR="004F2D7E" w:rsidRPr="000E4750">
        <w:rPr>
          <w:rFonts w:ascii="ITC Avant Garde" w:hAnsi="ITC Avant Garde"/>
        </w:rPr>
        <w:t>s se encuentran obligados a con</w:t>
      </w:r>
      <w:r w:rsidRPr="000E4750">
        <w:rPr>
          <w:rFonts w:ascii="ITC Avant Garde" w:hAnsi="ITC Avant Garde"/>
        </w:rPr>
        <w:t xml:space="preserve">tar con sistemas de atención de quejas de sus usuarios y </w:t>
      </w:r>
      <w:r w:rsidR="004F2D7E" w:rsidRPr="000E4750">
        <w:rPr>
          <w:rFonts w:ascii="ITC Avant Garde" w:hAnsi="ITC Avant Garde"/>
        </w:rPr>
        <w:t>se considera relevante que el usuario conozca y tengan acceso a las principales características de estos sistemas.</w:t>
      </w:r>
    </w:p>
    <w:p w:rsidR="00495C8D" w:rsidRPr="000E4750" w:rsidRDefault="00495C8D" w:rsidP="00A13478">
      <w:pPr>
        <w:spacing w:after="0"/>
        <w:ind w:left="360"/>
        <w:jc w:val="both"/>
        <w:rPr>
          <w:rFonts w:ascii="ITC Avant Garde" w:hAnsi="ITC Avant Garde"/>
        </w:rPr>
      </w:pPr>
    </w:p>
    <w:p w:rsidR="00495C8D" w:rsidRPr="000E4750" w:rsidRDefault="00455334" w:rsidP="00464DB4">
      <w:pPr>
        <w:pStyle w:val="Prrafodelista"/>
        <w:numPr>
          <w:ilvl w:val="0"/>
          <w:numId w:val="5"/>
        </w:numPr>
        <w:spacing w:after="0"/>
        <w:jc w:val="both"/>
        <w:rPr>
          <w:rFonts w:ascii="ITC Avant Garde" w:hAnsi="ITC Avant Garde"/>
          <w:b/>
        </w:rPr>
      </w:pPr>
      <w:r w:rsidRPr="000E4750">
        <w:rPr>
          <w:rFonts w:ascii="ITC Avant Garde" w:hAnsi="ITC Avant Garde"/>
          <w:b/>
        </w:rPr>
        <w:t>Fracci</w:t>
      </w:r>
      <w:r w:rsidR="00890EBC" w:rsidRPr="000E4750">
        <w:rPr>
          <w:rFonts w:ascii="ITC Avant Garde" w:hAnsi="ITC Avant Garde"/>
          <w:b/>
        </w:rPr>
        <w:t>ones</w:t>
      </w:r>
      <w:r w:rsidRPr="000E4750">
        <w:rPr>
          <w:rFonts w:ascii="ITC Avant Garde" w:hAnsi="ITC Avant Garde"/>
          <w:b/>
        </w:rPr>
        <w:t xml:space="preserve"> VIII y IX del Artículo 15.</w:t>
      </w:r>
    </w:p>
    <w:p w:rsidR="00E842A7" w:rsidRPr="000E4750" w:rsidRDefault="00E842A7" w:rsidP="00E842A7">
      <w:pPr>
        <w:pStyle w:val="Prrafodelista"/>
        <w:spacing w:after="0"/>
        <w:jc w:val="both"/>
        <w:rPr>
          <w:rFonts w:ascii="ITC Avant Garde" w:hAnsi="ITC Avant Garde"/>
          <w:b/>
        </w:rPr>
      </w:pPr>
    </w:p>
    <w:p w:rsidR="00495C8D" w:rsidRPr="000E4750" w:rsidRDefault="001B634F" w:rsidP="00A13478">
      <w:pPr>
        <w:spacing w:after="0"/>
        <w:jc w:val="both"/>
        <w:rPr>
          <w:rFonts w:ascii="ITC Avant Garde" w:hAnsi="ITC Avant Garde"/>
          <w:i/>
        </w:rPr>
      </w:pPr>
      <w:r w:rsidRPr="000E4750">
        <w:rPr>
          <w:rFonts w:ascii="ITC Avant Garde" w:hAnsi="ITC Avant Garde"/>
        </w:rPr>
        <w:t>La industria manifestó su desacuerdo con la inclusión de las obligaciones contenidas en las fracciones VIII y IX, entre otras cuestiones, por considerar</w:t>
      </w:r>
      <w:r w:rsidR="00495C8D" w:rsidRPr="000E4750">
        <w:rPr>
          <w:rFonts w:ascii="ITC Avant Garde" w:hAnsi="ITC Avant Garde"/>
        </w:rPr>
        <w:t xml:space="preserve"> que </w:t>
      </w:r>
      <w:r w:rsidR="00455334" w:rsidRPr="000E4750">
        <w:rPr>
          <w:rFonts w:ascii="ITC Avant Garde" w:hAnsi="ITC Avant Garde"/>
        </w:rPr>
        <w:t xml:space="preserve">estas obligaciones no existen en el Plan </w:t>
      </w:r>
      <w:r w:rsidR="004F2D7E" w:rsidRPr="000E4750">
        <w:rPr>
          <w:rFonts w:ascii="ITC Avant Garde" w:hAnsi="ITC Avant Garde"/>
        </w:rPr>
        <w:t xml:space="preserve">Técnico Fundamental </w:t>
      </w:r>
      <w:r w:rsidR="00455334" w:rsidRPr="000E4750">
        <w:rPr>
          <w:rFonts w:ascii="ITC Avant Garde" w:hAnsi="ITC Avant Garde"/>
        </w:rPr>
        <w:t xml:space="preserve">de Calidad </w:t>
      </w:r>
      <w:r w:rsidR="00C33FC9" w:rsidRPr="000E4750">
        <w:rPr>
          <w:rFonts w:ascii="ITC Avant Garde" w:hAnsi="ITC Avant Garde"/>
        </w:rPr>
        <w:t>del Servicio Local Móvil</w:t>
      </w:r>
      <w:r w:rsidRPr="000E4750">
        <w:rPr>
          <w:rFonts w:ascii="ITC Avant Garde" w:hAnsi="ITC Avant Garde"/>
        </w:rPr>
        <w:t xml:space="preserve"> y por ello deben ser eliminadas</w:t>
      </w:r>
      <w:r w:rsidR="00455334" w:rsidRPr="000E4750">
        <w:rPr>
          <w:rFonts w:ascii="ITC Avant Garde" w:hAnsi="ITC Avant Garde"/>
        </w:rPr>
        <w:t xml:space="preserve">. Asimismo, </w:t>
      </w:r>
      <w:r w:rsidRPr="000E4750">
        <w:rPr>
          <w:rFonts w:ascii="ITC Avant Garde" w:hAnsi="ITC Avant Garde"/>
        </w:rPr>
        <w:t xml:space="preserve">algunos operadores </w:t>
      </w:r>
      <w:r w:rsidR="00455334" w:rsidRPr="000E4750">
        <w:rPr>
          <w:rFonts w:ascii="ITC Avant Garde" w:hAnsi="ITC Avant Garde"/>
        </w:rPr>
        <w:t>sugiere</w:t>
      </w:r>
      <w:r w:rsidRPr="000E4750">
        <w:rPr>
          <w:rFonts w:ascii="ITC Avant Garde" w:hAnsi="ITC Avant Garde"/>
        </w:rPr>
        <w:t>n</w:t>
      </w:r>
      <w:r w:rsidR="00455334" w:rsidRPr="000E4750">
        <w:rPr>
          <w:rFonts w:ascii="ITC Avant Garde" w:hAnsi="ITC Avant Garde"/>
        </w:rPr>
        <w:t xml:space="preserve"> modificar la redacción, a fin de que la obligación de</w:t>
      </w:r>
      <w:r w:rsidRPr="000E4750">
        <w:rPr>
          <w:rFonts w:ascii="ITC Avant Garde" w:hAnsi="ITC Avant Garde"/>
        </w:rPr>
        <w:t xml:space="preserve"> </w:t>
      </w:r>
      <w:r w:rsidR="00455334" w:rsidRPr="000E4750">
        <w:rPr>
          <w:rFonts w:ascii="ITC Avant Garde" w:hAnsi="ITC Avant Garde"/>
        </w:rPr>
        <w:t>l</w:t>
      </w:r>
      <w:r w:rsidRPr="000E4750">
        <w:rPr>
          <w:rFonts w:ascii="ITC Avant Garde" w:hAnsi="ITC Avant Garde"/>
        </w:rPr>
        <w:t>os</w:t>
      </w:r>
      <w:r w:rsidR="00455334" w:rsidRPr="000E4750">
        <w:rPr>
          <w:rFonts w:ascii="ITC Avant Garde" w:hAnsi="ITC Avant Garde"/>
        </w:rPr>
        <w:t xml:space="preserve"> concesionario</w:t>
      </w:r>
      <w:r w:rsidR="00311AE3">
        <w:rPr>
          <w:rFonts w:ascii="ITC Avant Garde" w:hAnsi="ITC Avant Garde"/>
        </w:rPr>
        <w:t>s</w:t>
      </w:r>
      <w:r w:rsidR="00455334" w:rsidRPr="000E4750">
        <w:rPr>
          <w:rFonts w:ascii="ITC Avant Garde" w:hAnsi="ITC Avant Garde"/>
        </w:rPr>
        <w:t xml:space="preserve"> o autorizado</w:t>
      </w:r>
      <w:r w:rsidR="00311AE3">
        <w:rPr>
          <w:rFonts w:ascii="ITC Avant Garde" w:hAnsi="ITC Avant Garde"/>
        </w:rPr>
        <w:t>s</w:t>
      </w:r>
      <w:r w:rsidR="00455334" w:rsidRPr="000E4750">
        <w:rPr>
          <w:rFonts w:ascii="ITC Avant Garde" w:hAnsi="ITC Avant Garde"/>
        </w:rPr>
        <w:t xml:space="preserve"> sólo sea comunicar la velocidad máxima de transferencia ofrecida, ya que existen condiciones técnicas que pueden hacer que varíe para cada cliente en particular</w:t>
      </w:r>
      <w:r w:rsidRPr="000E4750">
        <w:rPr>
          <w:rFonts w:ascii="ITC Avant Garde" w:hAnsi="ITC Avant Garde"/>
        </w:rPr>
        <w:t>.</w:t>
      </w:r>
    </w:p>
    <w:p w:rsidR="00E842A7" w:rsidRPr="000E4750" w:rsidRDefault="00E842A7" w:rsidP="00A13478">
      <w:pPr>
        <w:spacing w:after="0"/>
        <w:jc w:val="both"/>
        <w:rPr>
          <w:rFonts w:ascii="ITC Avant Garde" w:hAnsi="ITC Avant Garde"/>
          <w:i/>
        </w:rPr>
      </w:pPr>
    </w:p>
    <w:p w:rsidR="00495C8D" w:rsidRPr="000E4750" w:rsidRDefault="00495C8D" w:rsidP="00A13478">
      <w:pPr>
        <w:pStyle w:val="Textocomentario"/>
        <w:spacing w:after="0" w:line="276" w:lineRule="auto"/>
        <w:ind w:firstLine="360"/>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1B634F" w:rsidRPr="000E4750" w:rsidRDefault="001B634F" w:rsidP="00A13478">
      <w:pPr>
        <w:spacing w:after="0"/>
        <w:jc w:val="both"/>
        <w:rPr>
          <w:rFonts w:ascii="ITC Avant Garde" w:hAnsi="ITC Avant Garde"/>
        </w:rPr>
      </w:pPr>
    </w:p>
    <w:p w:rsidR="001B634F" w:rsidRPr="000E4750" w:rsidRDefault="001B634F" w:rsidP="00A13478">
      <w:pPr>
        <w:spacing w:after="0"/>
        <w:jc w:val="both"/>
        <w:rPr>
          <w:rFonts w:ascii="ITC Avant Garde" w:hAnsi="ITC Avant Garde"/>
        </w:rPr>
      </w:pPr>
      <w:r w:rsidRPr="000E4750">
        <w:rPr>
          <w:rFonts w:ascii="ITC Avant Garde" w:hAnsi="ITC Avant Garde"/>
        </w:rPr>
        <w:t>En atención a los comentarios vertidos, es importante señalar que las obligaciones tiene</w:t>
      </w:r>
      <w:r w:rsidR="001B1A43">
        <w:rPr>
          <w:rFonts w:ascii="ITC Avant Garde" w:hAnsi="ITC Avant Garde"/>
        </w:rPr>
        <w:t>n</w:t>
      </w:r>
      <w:r w:rsidRPr="000E4750">
        <w:rPr>
          <w:rFonts w:ascii="ITC Avant Garde" w:hAnsi="ITC Avant Garde"/>
        </w:rPr>
        <w:t xml:space="preserve"> un fundamento expreso en el propio artículo 195 de la LFTR, en el cual se establece la obligación a cargo de los concesionarios y autorizados de informar y respetar, entre otros, la calidad de los servicios de telecomunicaciones conforme a la cual se hubiera ofrecido, obligado o convenido con el usuario o suscriptor.</w:t>
      </w:r>
    </w:p>
    <w:p w:rsidR="001B634F" w:rsidRPr="000E4750" w:rsidRDefault="001B634F" w:rsidP="00A13478">
      <w:pPr>
        <w:spacing w:after="0"/>
        <w:jc w:val="both"/>
        <w:rPr>
          <w:rFonts w:ascii="ITC Avant Garde" w:hAnsi="ITC Avant Garde"/>
        </w:rPr>
      </w:pPr>
    </w:p>
    <w:p w:rsidR="00495C8D" w:rsidRPr="000E4750" w:rsidRDefault="001B634F" w:rsidP="00A10AEB">
      <w:pPr>
        <w:spacing w:after="0"/>
        <w:jc w:val="both"/>
        <w:rPr>
          <w:rFonts w:ascii="ITC Avant Garde" w:hAnsi="ITC Avant Garde"/>
        </w:rPr>
      </w:pPr>
      <w:r w:rsidRPr="000E4750">
        <w:rPr>
          <w:rFonts w:ascii="ITC Avant Garde" w:hAnsi="ITC Avant Garde"/>
        </w:rPr>
        <w:t>Por lo anterior, se considera pertinente mantener la fracción VIII</w:t>
      </w:r>
      <w:r w:rsidR="001B1A43">
        <w:rPr>
          <w:rFonts w:ascii="ITC Avant Garde" w:hAnsi="ITC Avant Garde"/>
        </w:rPr>
        <w:t xml:space="preserve">, efectuando adecuaciones en su redacción para establecer que </w:t>
      </w:r>
      <w:r w:rsidR="00A10AEB">
        <w:rPr>
          <w:rFonts w:ascii="ITC Avant Garde" w:hAnsi="ITC Avant Garde"/>
        </w:rPr>
        <w:t xml:space="preserve">los </w:t>
      </w:r>
      <w:r w:rsidR="00A10AEB" w:rsidRPr="009A35A2">
        <w:rPr>
          <w:rFonts w:ascii="ITC Avant Garde" w:hAnsi="ITC Avant Garde"/>
        </w:rPr>
        <w:t xml:space="preserve">concesionarios y autorizados deberán publicar los parámetros de calidad con los que ofrecen los servicios, </w:t>
      </w:r>
      <w:r w:rsidR="00A10AEB">
        <w:rPr>
          <w:rFonts w:ascii="ITC Avant Garde" w:hAnsi="ITC Avant Garde"/>
        </w:rPr>
        <w:t>de conformidad con</w:t>
      </w:r>
      <w:r w:rsidR="00A10AEB" w:rsidRPr="009A35A2">
        <w:rPr>
          <w:rFonts w:ascii="ITC Avant Garde" w:hAnsi="ITC Avant Garde"/>
        </w:rPr>
        <w:t xml:space="preserve"> los </w:t>
      </w:r>
      <w:r w:rsidR="00A10AEB">
        <w:rPr>
          <w:rFonts w:ascii="ITC Avant Garde" w:hAnsi="ITC Avant Garde"/>
        </w:rPr>
        <w:t xml:space="preserve">parámetros </w:t>
      </w:r>
      <w:r w:rsidR="00A10AEB" w:rsidRPr="009A35A2">
        <w:rPr>
          <w:rFonts w:ascii="ITC Avant Garde" w:hAnsi="ITC Avant Garde"/>
        </w:rPr>
        <w:t>establecidos en las disposiciones de carácter general vigentes</w:t>
      </w:r>
      <w:r w:rsidR="00A10AEB">
        <w:rPr>
          <w:rFonts w:ascii="ITC Avant Garde" w:hAnsi="ITC Avant Garde"/>
        </w:rPr>
        <w:t xml:space="preserve"> emitidas por el Instituto.</w:t>
      </w:r>
    </w:p>
    <w:p w:rsidR="00F47CA2" w:rsidRPr="000E4750" w:rsidRDefault="00F47CA2" w:rsidP="00F47CA2">
      <w:pPr>
        <w:spacing w:after="0"/>
        <w:jc w:val="both"/>
        <w:rPr>
          <w:rFonts w:ascii="ITC Avant Garde" w:hAnsi="ITC Avant Garde"/>
        </w:rPr>
      </w:pPr>
    </w:p>
    <w:p w:rsidR="00495C8D" w:rsidRPr="000E4750" w:rsidRDefault="00890EBC" w:rsidP="00464DB4">
      <w:pPr>
        <w:pStyle w:val="Prrafodelista"/>
        <w:numPr>
          <w:ilvl w:val="0"/>
          <w:numId w:val="5"/>
        </w:numPr>
        <w:spacing w:after="0"/>
        <w:jc w:val="both"/>
        <w:rPr>
          <w:rFonts w:ascii="ITC Avant Garde" w:hAnsi="ITC Avant Garde"/>
          <w:b/>
        </w:rPr>
      </w:pPr>
      <w:r w:rsidRPr="000E4750">
        <w:rPr>
          <w:rFonts w:ascii="ITC Avant Garde" w:hAnsi="ITC Avant Garde"/>
          <w:b/>
        </w:rPr>
        <w:t>Fracción X del artículo 15.</w:t>
      </w:r>
    </w:p>
    <w:p w:rsidR="00E842A7" w:rsidRPr="000E4750" w:rsidRDefault="00E842A7" w:rsidP="00E842A7">
      <w:pPr>
        <w:pStyle w:val="Prrafodelista"/>
        <w:spacing w:after="0"/>
        <w:jc w:val="both"/>
        <w:rPr>
          <w:rFonts w:ascii="ITC Avant Garde" w:hAnsi="ITC Avant Garde"/>
          <w:b/>
        </w:rPr>
      </w:pPr>
    </w:p>
    <w:p w:rsidR="00495C8D" w:rsidRPr="000E4750" w:rsidRDefault="00890EBC" w:rsidP="00A13478">
      <w:pPr>
        <w:spacing w:after="0"/>
        <w:jc w:val="both"/>
        <w:rPr>
          <w:rFonts w:ascii="ITC Avant Garde" w:hAnsi="ITC Avant Garde"/>
        </w:rPr>
      </w:pPr>
      <w:r w:rsidRPr="000E4750">
        <w:rPr>
          <w:rFonts w:ascii="ITC Avant Garde" w:hAnsi="ITC Avant Garde"/>
        </w:rPr>
        <w:t>Algunos integrantes de la industria proponen establecer en la definición de “mapas de cobertura” que la publicación de éstos es en cumplimiento al Plan Técnico Fundamental de Calidad del Servicio Local Móvil, o la normativa que lo sustituya</w:t>
      </w:r>
      <w:r w:rsidR="00495C8D" w:rsidRPr="000E4750">
        <w:rPr>
          <w:rFonts w:ascii="ITC Avant Garde" w:hAnsi="ITC Avant Garde"/>
        </w:rPr>
        <w:t>.</w:t>
      </w:r>
      <w:r w:rsidRPr="000E4750">
        <w:rPr>
          <w:rFonts w:ascii="ITC Avant Garde" w:hAnsi="ITC Avant Garde"/>
        </w:rPr>
        <w:t xml:space="preserve"> Asimismo, un operador propone elimine dicha obligación al estar considerada en el Plan Técnico antes referido.</w:t>
      </w:r>
    </w:p>
    <w:p w:rsidR="00890EBC" w:rsidRPr="000E4750" w:rsidRDefault="00890EBC" w:rsidP="00A13478">
      <w:pPr>
        <w:spacing w:after="0"/>
        <w:jc w:val="both"/>
        <w:rPr>
          <w:rFonts w:ascii="ITC Avant Garde" w:hAnsi="ITC Avant Garde"/>
        </w:rPr>
      </w:pPr>
    </w:p>
    <w:p w:rsidR="00890EBC" w:rsidRPr="000E4750" w:rsidRDefault="00890EBC" w:rsidP="00A13478">
      <w:pPr>
        <w:spacing w:after="0"/>
        <w:jc w:val="both"/>
        <w:rPr>
          <w:rFonts w:ascii="ITC Avant Garde" w:hAnsi="ITC Avant Garde"/>
        </w:rPr>
      </w:pPr>
      <w:r w:rsidRPr="000E4750">
        <w:rPr>
          <w:rFonts w:ascii="ITC Avant Garde" w:hAnsi="ITC Avant Garde"/>
        </w:rPr>
        <w:t>Por otra parte, la PROFECO propone establecer que los mapas de cobertura deben estar publicados en formato descargable y actualizados.</w:t>
      </w:r>
    </w:p>
    <w:p w:rsidR="00E842A7" w:rsidRPr="000E4750" w:rsidRDefault="00E842A7" w:rsidP="00A13478">
      <w:pPr>
        <w:spacing w:after="0"/>
        <w:jc w:val="both"/>
        <w:rPr>
          <w:rFonts w:ascii="ITC Avant Garde" w:hAnsi="ITC Avant Garde"/>
        </w:rPr>
      </w:pPr>
    </w:p>
    <w:p w:rsidR="00495C8D" w:rsidRPr="000E4750" w:rsidRDefault="00495C8D" w:rsidP="00A13478">
      <w:pPr>
        <w:pStyle w:val="Textocomentario"/>
        <w:spacing w:after="0" w:line="276" w:lineRule="auto"/>
        <w:jc w:val="both"/>
        <w:rPr>
          <w:rFonts w:ascii="ITC Avant Garde" w:hAnsi="ITC Avant Garde"/>
          <w:i/>
          <w:sz w:val="22"/>
          <w:szCs w:val="22"/>
          <w:u w:val="single"/>
        </w:rPr>
      </w:pPr>
      <w:r w:rsidRPr="000E4750">
        <w:rPr>
          <w:rFonts w:ascii="ITC Avant Garde" w:hAnsi="ITC Avant Garde"/>
          <w:i/>
          <w:sz w:val="22"/>
          <w:szCs w:val="22"/>
          <w:u w:val="single"/>
        </w:rPr>
        <w:t>Consideraciones</w:t>
      </w:r>
    </w:p>
    <w:p w:rsidR="00E842A7" w:rsidRPr="000E4750" w:rsidRDefault="00E842A7" w:rsidP="00A13478">
      <w:pPr>
        <w:pStyle w:val="Textocomentario"/>
        <w:spacing w:after="0" w:line="276" w:lineRule="auto"/>
        <w:jc w:val="both"/>
        <w:rPr>
          <w:rFonts w:ascii="ITC Avant Garde" w:hAnsi="ITC Avant Garde"/>
          <w:sz w:val="22"/>
          <w:szCs w:val="22"/>
        </w:rPr>
      </w:pPr>
    </w:p>
    <w:p w:rsidR="00495C8D" w:rsidRPr="000E4750" w:rsidRDefault="00890EBC" w:rsidP="00A13478">
      <w:pPr>
        <w:pStyle w:val="Textocomentario"/>
        <w:spacing w:after="0" w:line="276" w:lineRule="auto"/>
        <w:jc w:val="both"/>
        <w:rPr>
          <w:rFonts w:ascii="ITC Avant Garde" w:eastAsiaTheme="minorEastAsia" w:hAnsi="ITC Avant Garde"/>
          <w:sz w:val="22"/>
          <w:szCs w:val="22"/>
          <w:lang w:eastAsia="es-MX"/>
        </w:rPr>
      </w:pPr>
      <w:r w:rsidRPr="000E4750">
        <w:rPr>
          <w:rFonts w:ascii="ITC Avant Garde" w:eastAsiaTheme="minorEastAsia" w:hAnsi="ITC Avant Garde"/>
          <w:sz w:val="22"/>
          <w:szCs w:val="22"/>
          <w:lang w:eastAsia="es-MX"/>
        </w:rPr>
        <w:t xml:space="preserve">En atención a los comentarios formulados, es importante señalar que se mantiene la redacción del proyecto, atendiendo en primera instancia a que la obligación no se debe limitar exclusivamente a los servicios móviles, y en segunda, considerando que el formato y características de </w:t>
      </w:r>
      <w:r w:rsidR="003C66B1" w:rsidRPr="000E4750">
        <w:rPr>
          <w:rFonts w:ascii="ITC Avant Garde" w:eastAsiaTheme="minorEastAsia" w:hAnsi="ITC Avant Garde"/>
          <w:sz w:val="22"/>
          <w:szCs w:val="22"/>
          <w:lang w:eastAsia="es-MX"/>
        </w:rPr>
        <w:t xml:space="preserve">los mapas de cobertura, para el caso de los servicios móviles, ya </w:t>
      </w:r>
      <w:r w:rsidRPr="000E4750">
        <w:rPr>
          <w:rFonts w:ascii="ITC Avant Garde" w:eastAsiaTheme="minorEastAsia" w:hAnsi="ITC Avant Garde"/>
          <w:sz w:val="22"/>
          <w:szCs w:val="22"/>
          <w:lang w:eastAsia="es-MX"/>
        </w:rPr>
        <w:t>se encuentra definida en otro ordenamiento, motivo por el cual</w:t>
      </w:r>
      <w:r w:rsidR="003C66B1" w:rsidRPr="000E4750">
        <w:rPr>
          <w:rFonts w:ascii="ITC Avant Garde" w:eastAsiaTheme="minorEastAsia" w:hAnsi="ITC Avant Garde"/>
          <w:sz w:val="22"/>
          <w:szCs w:val="22"/>
          <w:lang w:eastAsia="es-MX"/>
        </w:rPr>
        <w:t xml:space="preserve"> no</w:t>
      </w:r>
      <w:r w:rsidRPr="000E4750">
        <w:rPr>
          <w:rFonts w:ascii="ITC Avant Garde" w:eastAsiaTheme="minorEastAsia" w:hAnsi="ITC Avant Garde"/>
          <w:sz w:val="22"/>
          <w:szCs w:val="22"/>
          <w:lang w:eastAsia="es-MX"/>
        </w:rPr>
        <w:t xml:space="preserve"> se considera conveniente modificar el alcance de dicha obligación.</w:t>
      </w:r>
    </w:p>
    <w:p w:rsidR="00495C8D" w:rsidRPr="000E4750" w:rsidRDefault="00495C8D" w:rsidP="00A13478">
      <w:pPr>
        <w:pStyle w:val="Textocomentario"/>
        <w:spacing w:after="0" w:line="276" w:lineRule="auto"/>
        <w:jc w:val="both"/>
        <w:rPr>
          <w:rFonts w:ascii="ITC Avant Garde" w:eastAsiaTheme="minorEastAsia" w:hAnsi="ITC Avant Garde"/>
          <w:sz w:val="22"/>
          <w:szCs w:val="22"/>
          <w:lang w:eastAsia="es-MX"/>
        </w:rPr>
      </w:pPr>
    </w:p>
    <w:p w:rsidR="00495C8D" w:rsidRPr="000E4750" w:rsidRDefault="003C66B1" w:rsidP="00464DB4">
      <w:pPr>
        <w:pStyle w:val="Prrafodelista"/>
        <w:numPr>
          <w:ilvl w:val="0"/>
          <w:numId w:val="5"/>
        </w:numPr>
        <w:spacing w:after="0"/>
        <w:jc w:val="both"/>
        <w:rPr>
          <w:rFonts w:ascii="ITC Avant Garde" w:hAnsi="ITC Avant Garde"/>
          <w:b/>
        </w:rPr>
      </w:pPr>
      <w:r w:rsidRPr="000E4750">
        <w:rPr>
          <w:rFonts w:ascii="ITC Avant Garde" w:hAnsi="ITC Avant Garde"/>
          <w:b/>
        </w:rPr>
        <w:t xml:space="preserve">Fracción XI del </w:t>
      </w:r>
      <w:r w:rsidR="00495C8D" w:rsidRPr="000E4750">
        <w:rPr>
          <w:rFonts w:ascii="ITC Avant Garde" w:hAnsi="ITC Avant Garde"/>
          <w:b/>
        </w:rPr>
        <w:t>Artí</w:t>
      </w:r>
      <w:r w:rsidRPr="000E4750">
        <w:rPr>
          <w:rFonts w:ascii="ITC Avant Garde" w:hAnsi="ITC Avant Garde"/>
          <w:b/>
        </w:rPr>
        <w:t>culo 15</w:t>
      </w:r>
    </w:p>
    <w:p w:rsidR="00E842A7" w:rsidRPr="000E4750" w:rsidRDefault="00E842A7" w:rsidP="00E842A7">
      <w:pPr>
        <w:pStyle w:val="Prrafodelista"/>
        <w:spacing w:after="0"/>
        <w:jc w:val="both"/>
        <w:rPr>
          <w:rFonts w:ascii="ITC Avant Garde" w:hAnsi="ITC Avant Garde"/>
          <w:b/>
        </w:rPr>
      </w:pPr>
    </w:p>
    <w:p w:rsidR="00FA30C6" w:rsidRPr="000E4750" w:rsidRDefault="00FA30C6" w:rsidP="00A13478">
      <w:pPr>
        <w:spacing w:after="0"/>
        <w:jc w:val="both"/>
        <w:rPr>
          <w:rFonts w:ascii="ITC Avant Garde" w:hAnsi="ITC Avant Garde"/>
          <w:bCs/>
        </w:rPr>
      </w:pPr>
      <w:r w:rsidRPr="000E4750">
        <w:rPr>
          <w:rFonts w:ascii="ITC Avant Garde" w:hAnsi="ITC Avant Garde"/>
        </w:rPr>
        <w:t>Algunos de los operadores</w:t>
      </w:r>
      <w:r w:rsidR="003C66B1" w:rsidRPr="000E4750">
        <w:rPr>
          <w:rFonts w:ascii="ITC Avant Garde" w:hAnsi="ITC Avant Garde"/>
        </w:rPr>
        <w:t xml:space="preserve"> proponen efectuar modificaciones a la redacción a fin de señalar que los obligados al cumplimiento de dicha fracción son los prestadores de servicios móviles</w:t>
      </w:r>
      <w:r w:rsidRPr="000E4750">
        <w:rPr>
          <w:rFonts w:ascii="ITC Avant Garde" w:hAnsi="ITC Avant Garde"/>
          <w:bCs/>
        </w:rPr>
        <w:t>.</w:t>
      </w:r>
      <w:r w:rsidR="003C66B1" w:rsidRPr="000E4750">
        <w:rPr>
          <w:rFonts w:ascii="ITC Avant Garde" w:hAnsi="ITC Avant Garde"/>
          <w:bCs/>
        </w:rPr>
        <w:t xml:space="preserve"> Asimismo, la PROFECO propone incluir la obligación de informar previamente a los usuarios la zona de “roamming”.</w:t>
      </w:r>
    </w:p>
    <w:p w:rsidR="00E842A7" w:rsidRPr="000E4750" w:rsidRDefault="00E842A7" w:rsidP="00A13478">
      <w:pPr>
        <w:spacing w:after="0"/>
        <w:jc w:val="both"/>
        <w:rPr>
          <w:rFonts w:ascii="ITC Avant Garde" w:hAnsi="ITC Avant Garde"/>
        </w:rPr>
      </w:pPr>
    </w:p>
    <w:p w:rsidR="00FA30C6" w:rsidRPr="000E4750" w:rsidRDefault="00FA30C6" w:rsidP="00A13478">
      <w:pPr>
        <w:spacing w:after="0"/>
        <w:jc w:val="both"/>
        <w:rPr>
          <w:rFonts w:ascii="ITC Avant Garde" w:hAnsi="ITC Avant Garde"/>
          <w:i/>
          <w:u w:val="single"/>
        </w:rPr>
      </w:pPr>
      <w:r w:rsidRPr="000E4750">
        <w:rPr>
          <w:rFonts w:ascii="ITC Avant Garde" w:hAnsi="ITC Avant Garde"/>
          <w:i/>
          <w:u w:val="single"/>
        </w:rPr>
        <w:t>Consideraciones</w:t>
      </w:r>
    </w:p>
    <w:p w:rsidR="00E842A7" w:rsidRPr="000E4750" w:rsidRDefault="00E842A7" w:rsidP="00A13478">
      <w:pPr>
        <w:spacing w:after="0"/>
        <w:jc w:val="both"/>
        <w:rPr>
          <w:rFonts w:ascii="ITC Avant Garde" w:hAnsi="ITC Avant Garde"/>
          <w:i/>
          <w:u w:val="single"/>
        </w:rPr>
      </w:pPr>
    </w:p>
    <w:p w:rsidR="00FA30C6" w:rsidRPr="000E4750" w:rsidRDefault="003C66B1" w:rsidP="00A13478">
      <w:pPr>
        <w:spacing w:after="0"/>
        <w:jc w:val="both"/>
        <w:rPr>
          <w:rFonts w:ascii="ITC Avant Garde" w:hAnsi="ITC Avant Garde"/>
          <w:bCs/>
        </w:rPr>
      </w:pPr>
      <w:r w:rsidRPr="000E4750">
        <w:rPr>
          <w:rFonts w:ascii="ITC Avant Garde" w:hAnsi="ITC Avant Garde"/>
        </w:rPr>
        <w:t xml:space="preserve">Atendiendo a los comentarios </w:t>
      </w:r>
      <w:r w:rsidR="002C7BF3" w:rsidRPr="000E4750">
        <w:rPr>
          <w:rFonts w:ascii="ITC Avant Garde" w:hAnsi="ITC Avant Garde"/>
        </w:rPr>
        <w:t>recibidos, se considera conveniente realizar adecuaciones a la redacción a fin de acotar la obligación a los prestadores de servicios móviles</w:t>
      </w:r>
      <w:r w:rsidR="00FA30C6" w:rsidRPr="000E4750">
        <w:rPr>
          <w:rFonts w:ascii="ITC Avant Garde" w:hAnsi="ITC Avant Garde"/>
        </w:rPr>
        <w:t>.</w:t>
      </w:r>
      <w:r w:rsidR="002C7BF3" w:rsidRPr="000E4750">
        <w:rPr>
          <w:rFonts w:ascii="ITC Avant Garde" w:hAnsi="ITC Avant Garde"/>
        </w:rPr>
        <w:t xml:space="preserve"> Ahora bien, respecto a la obligación de informar previamente a los usuarios la zona de cobertura de los servicios fuera del país, es importante señalar que actualmente los concesionarios y autorizados al momento de inscribir sus tarifas ante este Instituto, señalan las zonas en donde sus servicios pueden ser u</w:t>
      </w:r>
      <w:r w:rsidR="004852D5">
        <w:rPr>
          <w:rFonts w:ascii="ITC Avant Garde" w:hAnsi="ITC Avant Garde"/>
        </w:rPr>
        <w:t>tilizados, motivo por el cual no se incluye.</w:t>
      </w:r>
    </w:p>
    <w:p w:rsidR="00A82634" w:rsidRPr="000E4750" w:rsidRDefault="00A82634" w:rsidP="00A13478">
      <w:pPr>
        <w:spacing w:after="0"/>
        <w:jc w:val="both"/>
        <w:rPr>
          <w:rFonts w:ascii="ITC Avant Garde" w:hAnsi="ITC Avant Garde"/>
        </w:rPr>
      </w:pPr>
    </w:p>
    <w:p w:rsidR="00F105A0" w:rsidRPr="000E4750" w:rsidRDefault="00A82634" w:rsidP="00464DB4">
      <w:pPr>
        <w:pStyle w:val="Prrafodelista"/>
        <w:numPr>
          <w:ilvl w:val="0"/>
          <w:numId w:val="5"/>
        </w:numPr>
        <w:spacing w:after="0"/>
        <w:jc w:val="both"/>
        <w:rPr>
          <w:rFonts w:ascii="ITC Avant Garde" w:hAnsi="ITC Avant Garde"/>
          <w:b/>
        </w:rPr>
      </w:pPr>
      <w:r w:rsidRPr="000E4750">
        <w:rPr>
          <w:rFonts w:ascii="ITC Avant Garde" w:hAnsi="ITC Avant Garde"/>
          <w:b/>
        </w:rPr>
        <w:t>Fracción XIII del Artículo 15</w:t>
      </w:r>
    </w:p>
    <w:p w:rsidR="00E842A7" w:rsidRPr="000E4750" w:rsidRDefault="00E842A7" w:rsidP="00E842A7">
      <w:pPr>
        <w:pStyle w:val="Prrafodelista"/>
        <w:spacing w:after="0"/>
        <w:jc w:val="both"/>
        <w:rPr>
          <w:rFonts w:ascii="ITC Avant Garde" w:hAnsi="ITC Avant Garde"/>
          <w:b/>
        </w:rPr>
      </w:pPr>
    </w:p>
    <w:p w:rsidR="00F105A0" w:rsidRPr="000E4750" w:rsidRDefault="00423A5B" w:rsidP="00A13478">
      <w:pPr>
        <w:spacing w:after="0"/>
        <w:jc w:val="both"/>
        <w:rPr>
          <w:rFonts w:ascii="ITC Avant Garde" w:hAnsi="ITC Avant Garde"/>
          <w:b/>
        </w:rPr>
      </w:pPr>
      <w:r w:rsidRPr="000E4750">
        <w:rPr>
          <w:rFonts w:ascii="ITC Avant Garde" w:hAnsi="ITC Avant Garde"/>
        </w:rPr>
        <w:t xml:space="preserve">Un operador propone </w:t>
      </w:r>
      <w:r w:rsidR="00AD4425">
        <w:rPr>
          <w:rFonts w:ascii="ITC Avant Garde" w:hAnsi="ITC Avant Garde"/>
        </w:rPr>
        <w:t xml:space="preserve">se elimine la presente fracción, </w:t>
      </w:r>
      <w:r w:rsidRPr="000E4750">
        <w:rPr>
          <w:rFonts w:ascii="ITC Avant Garde" w:hAnsi="ITC Avant Garde"/>
        </w:rPr>
        <w:t>toda vez que la publ</w:t>
      </w:r>
      <w:r w:rsidR="00AE4807">
        <w:rPr>
          <w:rFonts w:ascii="ITC Avant Garde" w:hAnsi="ITC Avant Garde"/>
        </w:rPr>
        <w:t>icación de información sobre el</w:t>
      </w:r>
      <w:r w:rsidRPr="000E4750">
        <w:rPr>
          <w:rFonts w:ascii="ITC Avant Garde" w:hAnsi="ITC Avant Garde"/>
        </w:rPr>
        <w:t xml:space="preserve"> proceso de portabilidad, ya se encuentra regulada en otro ordenamiento específico</w:t>
      </w:r>
      <w:r w:rsidR="00F105A0" w:rsidRPr="000E4750">
        <w:rPr>
          <w:rFonts w:ascii="ITC Avant Garde" w:hAnsi="ITC Avant Garde"/>
        </w:rPr>
        <w:t>.</w:t>
      </w:r>
      <w:r w:rsidR="00F105A0" w:rsidRPr="000E4750">
        <w:rPr>
          <w:rFonts w:ascii="ITC Avant Garde" w:hAnsi="ITC Avant Garde"/>
          <w:b/>
        </w:rPr>
        <w:t xml:space="preserve"> </w:t>
      </w:r>
      <w:r w:rsidRPr="000E4750">
        <w:rPr>
          <w:rFonts w:ascii="ITC Avant Garde" w:hAnsi="ITC Avant Garde"/>
        </w:rPr>
        <w:t>Asimismo, PROFECO propone adecuaciones a la redacción.</w:t>
      </w:r>
    </w:p>
    <w:p w:rsidR="00E842A7" w:rsidRPr="000E4750" w:rsidRDefault="00E842A7" w:rsidP="00A13478">
      <w:pPr>
        <w:spacing w:after="0"/>
        <w:jc w:val="both"/>
        <w:rPr>
          <w:rFonts w:ascii="ITC Avant Garde" w:hAnsi="ITC Avant Garde"/>
          <w:b/>
        </w:rPr>
      </w:pPr>
    </w:p>
    <w:p w:rsidR="00F105A0" w:rsidRPr="000E4750" w:rsidRDefault="00F105A0" w:rsidP="00A13478">
      <w:pPr>
        <w:spacing w:after="0"/>
        <w:jc w:val="both"/>
        <w:rPr>
          <w:rFonts w:ascii="ITC Avant Garde" w:hAnsi="ITC Avant Garde"/>
          <w:i/>
          <w:u w:val="single"/>
        </w:rPr>
      </w:pPr>
      <w:r w:rsidRPr="000E4750">
        <w:rPr>
          <w:rFonts w:ascii="ITC Avant Garde" w:hAnsi="ITC Avant Garde"/>
          <w:i/>
          <w:u w:val="single"/>
        </w:rPr>
        <w:t>Consideraciones</w:t>
      </w:r>
    </w:p>
    <w:p w:rsidR="00F105A0" w:rsidRPr="000E4750" w:rsidRDefault="00F105A0" w:rsidP="00A13478">
      <w:pPr>
        <w:spacing w:after="0"/>
        <w:jc w:val="both"/>
        <w:rPr>
          <w:rFonts w:ascii="ITC Avant Garde" w:hAnsi="ITC Avant Garde"/>
          <w:b/>
        </w:rPr>
      </w:pPr>
    </w:p>
    <w:p w:rsidR="00F105A0" w:rsidRPr="000E4750" w:rsidRDefault="00423A5B" w:rsidP="00A13478">
      <w:pPr>
        <w:spacing w:after="0"/>
        <w:jc w:val="both"/>
        <w:rPr>
          <w:rFonts w:ascii="ITC Avant Garde" w:hAnsi="ITC Avant Garde"/>
        </w:rPr>
      </w:pPr>
      <w:r w:rsidRPr="000E4750">
        <w:rPr>
          <w:rFonts w:ascii="ITC Avant Garde" w:hAnsi="ITC Avant Garde"/>
        </w:rPr>
        <w:t>Al respecto, se considera procedente la eliminación de la fracción, atendiendo a que en la Reglas de Portabilidad Numérica se establecen obligaciones específicas de publicación de información</w:t>
      </w:r>
      <w:r w:rsidR="000D357E" w:rsidRPr="000E4750">
        <w:rPr>
          <w:rFonts w:ascii="ITC Avant Garde" w:hAnsi="ITC Avant Garde"/>
        </w:rPr>
        <w:t xml:space="preserve"> relacionada con dicho proceso</w:t>
      </w:r>
      <w:r w:rsidRPr="000E4750">
        <w:rPr>
          <w:rFonts w:ascii="ITC Avant Garde" w:hAnsi="ITC Avant Garde"/>
        </w:rPr>
        <w:t>.</w:t>
      </w:r>
    </w:p>
    <w:p w:rsidR="00F105A0" w:rsidRPr="000E4750" w:rsidRDefault="00F105A0" w:rsidP="00A13478">
      <w:pPr>
        <w:spacing w:after="0"/>
        <w:jc w:val="both"/>
        <w:rPr>
          <w:rFonts w:ascii="ITC Avant Garde" w:hAnsi="ITC Avant Garde"/>
        </w:rPr>
      </w:pPr>
    </w:p>
    <w:p w:rsidR="00423A5B" w:rsidRPr="000E4750" w:rsidRDefault="00423A5B" w:rsidP="00464DB4">
      <w:pPr>
        <w:pStyle w:val="Prrafodelista"/>
        <w:numPr>
          <w:ilvl w:val="0"/>
          <w:numId w:val="5"/>
        </w:numPr>
        <w:spacing w:after="0"/>
        <w:jc w:val="both"/>
        <w:rPr>
          <w:rFonts w:ascii="ITC Avant Garde" w:hAnsi="ITC Avant Garde"/>
          <w:b/>
        </w:rPr>
      </w:pPr>
      <w:r w:rsidRPr="000E4750">
        <w:rPr>
          <w:rFonts w:ascii="ITC Avant Garde" w:hAnsi="ITC Avant Garde"/>
          <w:b/>
        </w:rPr>
        <w:t>Fracción XIV del Artículo 15</w:t>
      </w:r>
    </w:p>
    <w:p w:rsidR="00423A5B" w:rsidRPr="000E4750" w:rsidRDefault="00423A5B" w:rsidP="00423A5B">
      <w:pPr>
        <w:pStyle w:val="Prrafodelista"/>
        <w:spacing w:after="0"/>
        <w:jc w:val="both"/>
        <w:rPr>
          <w:rFonts w:ascii="ITC Avant Garde" w:hAnsi="ITC Avant Garde"/>
          <w:b/>
        </w:rPr>
      </w:pPr>
    </w:p>
    <w:p w:rsidR="00423A5B" w:rsidRPr="000E4750" w:rsidRDefault="00423A5B" w:rsidP="00423A5B">
      <w:pPr>
        <w:spacing w:after="0"/>
        <w:jc w:val="both"/>
        <w:rPr>
          <w:rFonts w:ascii="ITC Avant Garde" w:hAnsi="ITC Avant Garde"/>
          <w:b/>
        </w:rPr>
      </w:pPr>
      <w:r w:rsidRPr="000E4750">
        <w:rPr>
          <w:rFonts w:ascii="ITC Avant Garde" w:hAnsi="ITC Avant Garde"/>
        </w:rPr>
        <w:t>La PROFECO propone diversas adecuaciones a la redacción para mayor claridad</w:t>
      </w:r>
      <w:r w:rsidR="00AA1D0C">
        <w:rPr>
          <w:rFonts w:ascii="ITC Avant Garde" w:hAnsi="ITC Avant Garde"/>
        </w:rPr>
        <w:t xml:space="preserve"> sobre el tema de cancelación de los servicios adicionales</w:t>
      </w:r>
      <w:r w:rsidRPr="000E4750">
        <w:rPr>
          <w:rFonts w:ascii="ITC Avant Garde" w:hAnsi="ITC Avant Garde"/>
        </w:rPr>
        <w:t>.</w:t>
      </w:r>
    </w:p>
    <w:p w:rsidR="00423A5B" w:rsidRPr="000E4750" w:rsidRDefault="00423A5B" w:rsidP="00423A5B">
      <w:pPr>
        <w:spacing w:after="0"/>
        <w:jc w:val="both"/>
        <w:rPr>
          <w:rFonts w:ascii="ITC Avant Garde" w:hAnsi="ITC Avant Garde"/>
          <w:b/>
        </w:rPr>
      </w:pPr>
    </w:p>
    <w:p w:rsidR="00423A5B" w:rsidRPr="000E4750" w:rsidRDefault="00423A5B" w:rsidP="00423A5B">
      <w:pPr>
        <w:spacing w:after="0"/>
        <w:jc w:val="both"/>
        <w:rPr>
          <w:rFonts w:ascii="ITC Avant Garde" w:hAnsi="ITC Avant Garde"/>
          <w:i/>
          <w:u w:val="single"/>
        </w:rPr>
      </w:pPr>
      <w:r w:rsidRPr="000E4750">
        <w:rPr>
          <w:rFonts w:ascii="ITC Avant Garde" w:hAnsi="ITC Avant Garde"/>
          <w:i/>
          <w:u w:val="single"/>
        </w:rPr>
        <w:t>Consideraciones</w:t>
      </w:r>
    </w:p>
    <w:p w:rsidR="00423A5B" w:rsidRPr="000E4750" w:rsidRDefault="00423A5B" w:rsidP="00423A5B">
      <w:pPr>
        <w:spacing w:after="0"/>
        <w:jc w:val="both"/>
        <w:rPr>
          <w:rFonts w:ascii="ITC Avant Garde" w:hAnsi="ITC Avant Garde"/>
          <w:b/>
        </w:rPr>
      </w:pPr>
    </w:p>
    <w:p w:rsidR="00423A5B" w:rsidRPr="000E4750" w:rsidRDefault="000D357E" w:rsidP="00423A5B">
      <w:pPr>
        <w:spacing w:after="0"/>
        <w:jc w:val="both"/>
        <w:rPr>
          <w:rFonts w:ascii="ITC Avant Garde" w:hAnsi="ITC Avant Garde"/>
        </w:rPr>
      </w:pPr>
      <w:r w:rsidRPr="000E4750">
        <w:rPr>
          <w:rFonts w:ascii="ITC Avant Garde" w:hAnsi="ITC Avant Garde"/>
        </w:rPr>
        <w:t>Al respecto, se considera</w:t>
      </w:r>
      <w:r w:rsidR="00423A5B" w:rsidRPr="000E4750">
        <w:rPr>
          <w:rFonts w:ascii="ITC Avant Garde" w:hAnsi="ITC Avant Garde"/>
        </w:rPr>
        <w:t xml:space="preserve"> pertinente efectuar adecuaciones en la redacción de la fracción</w:t>
      </w:r>
      <w:r w:rsidR="00AA1D0C">
        <w:rPr>
          <w:rFonts w:ascii="ITC Avant Garde" w:hAnsi="ITC Avant Garde"/>
        </w:rPr>
        <w:t xml:space="preserve"> con la finalidad de atender en parte la propuesta de la PROFECO.</w:t>
      </w:r>
    </w:p>
    <w:p w:rsidR="00423A5B" w:rsidRPr="000E4750" w:rsidRDefault="00423A5B" w:rsidP="00A13478">
      <w:pPr>
        <w:spacing w:after="0"/>
        <w:jc w:val="both"/>
        <w:rPr>
          <w:rFonts w:ascii="ITC Avant Garde" w:hAnsi="ITC Avant Garde"/>
        </w:rPr>
      </w:pPr>
    </w:p>
    <w:p w:rsidR="00423A5B" w:rsidRPr="000E4750" w:rsidRDefault="00423A5B" w:rsidP="00464DB4">
      <w:pPr>
        <w:pStyle w:val="Prrafodelista"/>
        <w:numPr>
          <w:ilvl w:val="0"/>
          <w:numId w:val="5"/>
        </w:numPr>
        <w:spacing w:after="0"/>
        <w:jc w:val="both"/>
        <w:rPr>
          <w:rFonts w:ascii="ITC Avant Garde" w:hAnsi="ITC Avant Garde"/>
          <w:b/>
        </w:rPr>
      </w:pPr>
      <w:r w:rsidRPr="000E4750">
        <w:rPr>
          <w:rFonts w:ascii="ITC Avant Garde" w:hAnsi="ITC Avant Garde"/>
          <w:b/>
        </w:rPr>
        <w:t>Fracción XV del Artículo 15</w:t>
      </w:r>
    </w:p>
    <w:p w:rsidR="00423A5B" w:rsidRPr="000E4750" w:rsidRDefault="00423A5B" w:rsidP="00423A5B">
      <w:pPr>
        <w:pStyle w:val="Prrafodelista"/>
        <w:spacing w:after="0"/>
        <w:jc w:val="both"/>
        <w:rPr>
          <w:rFonts w:ascii="ITC Avant Garde" w:hAnsi="ITC Avant Garde"/>
          <w:b/>
        </w:rPr>
      </w:pPr>
    </w:p>
    <w:p w:rsidR="00423A5B" w:rsidRPr="000E4750" w:rsidRDefault="00423A5B" w:rsidP="00423A5B">
      <w:pPr>
        <w:spacing w:after="0"/>
        <w:jc w:val="both"/>
        <w:rPr>
          <w:rFonts w:ascii="ITC Avant Garde" w:hAnsi="ITC Avant Garde"/>
          <w:b/>
        </w:rPr>
      </w:pPr>
      <w:r w:rsidRPr="000E4750">
        <w:rPr>
          <w:rFonts w:ascii="ITC Avant Garde" w:hAnsi="ITC Avant Garde"/>
        </w:rPr>
        <w:t xml:space="preserve">La industria manifiesta su </w:t>
      </w:r>
      <w:r w:rsidRPr="00227203">
        <w:rPr>
          <w:rFonts w:ascii="ITC Avant Garde" w:hAnsi="ITC Avant Garde"/>
        </w:rPr>
        <w:t>inconformidad con el establecimiento</w:t>
      </w:r>
      <w:r w:rsidRPr="000E4750">
        <w:rPr>
          <w:rFonts w:ascii="ITC Avant Garde" w:hAnsi="ITC Avant Garde"/>
        </w:rPr>
        <w:t xml:space="preserve"> de </w:t>
      </w:r>
      <w:r w:rsidRPr="00227203">
        <w:rPr>
          <w:rFonts w:ascii="ITC Avant Garde" w:hAnsi="ITC Avant Garde"/>
        </w:rPr>
        <w:t>la obligación de publicar información relacionada con los servicios prestados por terceros a través</w:t>
      </w:r>
      <w:r w:rsidRPr="000E4750">
        <w:rPr>
          <w:rFonts w:ascii="ITC Avant Garde" w:hAnsi="ITC Avant Garde"/>
        </w:rPr>
        <w:t xml:space="preserve"> de las </w:t>
      </w:r>
      <w:r w:rsidRPr="00227203">
        <w:rPr>
          <w:rFonts w:ascii="ITC Avant Garde" w:hAnsi="ITC Avant Garde"/>
        </w:rPr>
        <w:t>redes públicas</w:t>
      </w:r>
      <w:r w:rsidRPr="000E4750">
        <w:rPr>
          <w:rFonts w:ascii="ITC Avant Garde" w:hAnsi="ITC Avant Garde"/>
        </w:rPr>
        <w:t xml:space="preserve"> de telecomunicaciones, toda vez que señalan es totalmente contraria a derecho al pretender obligar a los concesionarios y autorizados a publicar información de servicios prestados por terceros,</w:t>
      </w:r>
      <w:r w:rsidR="00F75D86" w:rsidRPr="000E4750">
        <w:rPr>
          <w:rFonts w:ascii="ITC Avant Garde" w:hAnsi="ITC Avant Garde"/>
        </w:rPr>
        <w:t xml:space="preserve"> siendo é</w:t>
      </w:r>
      <w:r w:rsidRPr="000E4750">
        <w:rPr>
          <w:rFonts w:ascii="ITC Avant Garde" w:hAnsi="ITC Avant Garde"/>
        </w:rPr>
        <w:t xml:space="preserve">stos últimos los únicos responsables del servicio de cara al usuario. Por otra parte, se propone definir dentro de la </w:t>
      </w:r>
      <w:r w:rsidRPr="00227203">
        <w:rPr>
          <w:rFonts w:ascii="ITC Avant Garde" w:hAnsi="ITC Avant Garde"/>
        </w:rPr>
        <w:t>obligación quién será el responsable frente a los usuarios por la prestación de los servicios y cómo se autoriza el cobro.</w:t>
      </w:r>
    </w:p>
    <w:p w:rsidR="00423A5B" w:rsidRPr="000E4750" w:rsidRDefault="00423A5B" w:rsidP="00423A5B">
      <w:pPr>
        <w:spacing w:after="0"/>
        <w:jc w:val="both"/>
        <w:rPr>
          <w:rFonts w:ascii="ITC Avant Garde" w:hAnsi="ITC Avant Garde"/>
          <w:b/>
        </w:rPr>
      </w:pPr>
    </w:p>
    <w:p w:rsidR="00423A5B" w:rsidRPr="000E4750" w:rsidRDefault="00423A5B" w:rsidP="00423A5B">
      <w:pPr>
        <w:spacing w:after="0"/>
        <w:jc w:val="both"/>
        <w:rPr>
          <w:rFonts w:ascii="ITC Avant Garde" w:hAnsi="ITC Avant Garde"/>
          <w:i/>
          <w:u w:val="single"/>
        </w:rPr>
      </w:pPr>
      <w:r w:rsidRPr="000E4750">
        <w:rPr>
          <w:rFonts w:ascii="ITC Avant Garde" w:hAnsi="ITC Avant Garde"/>
          <w:i/>
          <w:u w:val="single"/>
        </w:rPr>
        <w:t>Consideraciones</w:t>
      </w:r>
    </w:p>
    <w:p w:rsidR="00423A5B" w:rsidRPr="000E4750" w:rsidRDefault="00423A5B" w:rsidP="00423A5B">
      <w:pPr>
        <w:spacing w:after="0"/>
        <w:jc w:val="both"/>
        <w:rPr>
          <w:rFonts w:ascii="ITC Avant Garde" w:hAnsi="ITC Avant Garde"/>
          <w:b/>
        </w:rPr>
      </w:pPr>
    </w:p>
    <w:p w:rsidR="00423A5B" w:rsidRPr="000E4750" w:rsidRDefault="00423A5B" w:rsidP="00423A5B">
      <w:pPr>
        <w:spacing w:after="0"/>
        <w:jc w:val="both"/>
        <w:rPr>
          <w:rFonts w:ascii="ITC Avant Garde" w:hAnsi="ITC Avant Garde"/>
        </w:rPr>
      </w:pPr>
      <w:r w:rsidRPr="000E4750">
        <w:rPr>
          <w:rFonts w:ascii="ITC Avant Garde" w:hAnsi="ITC Avant Garde"/>
        </w:rPr>
        <w:t xml:space="preserve">En atención a los comentarios, se debe tomar en cuenta que </w:t>
      </w:r>
      <w:r w:rsidR="000914A8" w:rsidRPr="000E4750">
        <w:rPr>
          <w:rFonts w:ascii="ITC Avant Garde" w:hAnsi="ITC Avant Garde"/>
        </w:rPr>
        <w:t xml:space="preserve">los </w:t>
      </w:r>
      <w:r w:rsidR="000914A8" w:rsidRPr="00227203">
        <w:rPr>
          <w:rFonts w:ascii="ITC Avant Garde" w:hAnsi="ITC Avant Garde"/>
        </w:rPr>
        <w:t>servicios de terceros son facturados a los usuarios</w:t>
      </w:r>
      <w:r w:rsidR="000914A8" w:rsidRPr="000E4750">
        <w:rPr>
          <w:rFonts w:ascii="ITC Avant Garde" w:hAnsi="ITC Avant Garde"/>
        </w:rPr>
        <w:t xml:space="preserve">, en la mayoría de las ocasiones, </w:t>
      </w:r>
      <w:r w:rsidRPr="000E4750">
        <w:rPr>
          <w:rFonts w:ascii="ITC Avant Garde" w:hAnsi="ITC Avant Garde"/>
        </w:rPr>
        <w:t>por los</w:t>
      </w:r>
      <w:r w:rsidR="000914A8" w:rsidRPr="000E4750">
        <w:rPr>
          <w:rFonts w:ascii="ITC Avant Garde" w:hAnsi="ITC Avant Garde"/>
        </w:rPr>
        <w:t xml:space="preserve"> propios</w:t>
      </w:r>
      <w:r w:rsidRPr="000E4750">
        <w:rPr>
          <w:rFonts w:ascii="ITC Avant Garde" w:hAnsi="ITC Avant Garde"/>
        </w:rPr>
        <w:t xml:space="preserve"> concesionarios, y en muchos casos, se han hacen cobros recurrentes y el usuario no cuenta con la información suficiente para efectuar la cancelación de dichos servicios.</w:t>
      </w:r>
    </w:p>
    <w:p w:rsidR="00423A5B" w:rsidRPr="000E4750" w:rsidRDefault="00423A5B" w:rsidP="00423A5B">
      <w:pPr>
        <w:spacing w:after="0"/>
        <w:jc w:val="both"/>
        <w:rPr>
          <w:rFonts w:ascii="ITC Avant Garde" w:hAnsi="ITC Avant Garde"/>
        </w:rPr>
      </w:pPr>
    </w:p>
    <w:p w:rsidR="000914A8" w:rsidRPr="000E4750" w:rsidRDefault="00423A5B" w:rsidP="00423A5B">
      <w:pPr>
        <w:spacing w:after="0"/>
        <w:jc w:val="both"/>
        <w:rPr>
          <w:rFonts w:ascii="ITC Avant Garde" w:hAnsi="ITC Avant Garde"/>
        </w:rPr>
      </w:pPr>
      <w:r w:rsidRPr="000E4750">
        <w:rPr>
          <w:rFonts w:ascii="ITC Avant Garde" w:hAnsi="ITC Avant Garde"/>
        </w:rPr>
        <w:t>Adicionalmente, se considera procedente establecer la presente obligación a los concesionarios y autorizados, tomando en consideración que son</w:t>
      </w:r>
      <w:r w:rsidR="00BB2ECF">
        <w:rPr>
          <w:rFonts w:ascii="ITC Avant Garde" w:hAnsi="ITC Avant Garde"/>
        </w:rPr>
        <w:t xml:space="preserve"> éstos</w:t>
      </w:r>
      <w:r w:rsidRPr="000E4750">
        <w:rPr>
          <w:rFonts w:ascii="ITC Avant Garde" w:hAnsi="ITC Avant Garde"/>
        </w:rPr>
        <w:t xml:space="preserve"> los que realizan los cargos por </w:t>
      </w:r>
      <w:r w:rsidR="00BB2ECF">
        <w:rPr>
          <w:rFonts w:ascii="ITC Avant Garde" w:hAnsi="ITC Avant Garde"/>
        </w:rPr>
        <w:t xml:space="preserve">los </w:t>
      </w:r>
      <w:r w:rsidRPr="000E4750">
        <w:rPr>
          <w:rFonts w:ascii="ITC Avant Garde" w:hAnsi="ITC Avant Garde"/>
        </w:rPr>
        <w:t xml:space="preserve">servicios </w:t>
      </w:r>
      <w:r w:rsidR="000914A8" w:rsidRPr="000E4750">
        <w:rPr>
          <w:rFonts w:ascii="ITC Avant Garde" w:hAnsi="ITC Avant Garde"/>
        </w:rPr>
        <w:t xml:space="preserve">en las facturas de </w:t>
      </w:r>
      <w:r w:rsidRPr="000E4750">
        <w:rPr>
          <w:rFonts w:ascii="ITC Avant Garde" w:hAnsi="ITC Avant Garde"/>
        </w:rPr>
        <w:t>los usuarios.</w:t>
      </w:r>
    </w:p>
    <w:p w:rsidR="000914A8" w:rsidRPr="000E4750" w:rsidRDefault="000914A8" w:rsidP="00423A5B">
      <w:pPr>
        <w:spacing w:after="0"/>
        <w:jc w:val="both"/>
        <w:rPr>
          <w:rFonts w:ascii="ITC Avant Garde" w:hAnsi="ITC Avant Garde"/>
        </w:rPr>
      </w:pPr>
    </w:p>
    <w:p w:rsidR="00423A5B" w:rsidRPr="000E4750" w:rsidRDefault="000914A8" w:rsidP="00423A5B">
      <w:pPr>
        <w:spacing w:after="0"/>
        <w:jc w:val="both"/>
        <w:rPr>
          <w:rFonts w:ascii="ITC Avant Garde" w:hAnsi="ITC Avant Garde"/>
        </w:rPr>
      </w:pPr>
      <w:r w:rsidRPr="000E4750">
        <w:rPr>
          <w:rFonts w:ascii="ITC Avant Garde" w:hAnsi="ITC Avant Garde"/>
        </w:rPr>
        <w:t xml:space="preserve">Por ello, </w:t>
      </w:r>
      <w:r w:rsidR="00BB2ECF">
        <w:rPr>
          <w:rFonts w:ascii="ITC Avant Garde" w:hAnsi="ITC Avant Garde"/>
        </w:rPr>
        <w:t>es</w:t>
      </w:r>
      <w:r w:rsidRPr="000E4750">
        <w:rPr>
          <w:rFonts w:ascii="ITC Avant Garde" w:hAnsi="ITC Avant Garde"/>
        </w:rPr>
        <w:t xml:space="preserve"> pertinente mantener la obligación y efectuar modificaciones a la redacción para señalar claramente que los operadores, que permitan, a través de su red pública de telecomunicaciones o la red pública que utilizan para la prestación de sus servicios de telecomunicaciones, la comercialización de servicios por parte de terceros </w:t>
      </w:r>
      <w:r w:rsidRPr="000E4750">
        <w:rPr>
          <w:rFonts w:ascii="ITC Avant Garde" w:hAnsi="ITC Avant Garde"/>
          <w:bCs/>
        </w:rPr>
        <w:t>y, facturen o realicen cargos a los usuarios por concepto de estos servicios</w:t>
      </w:r>
      <w:r w:rsidR="00691C01">
        <w:rPr>
          <w:rFonts w:ascii="ITC Avant Garde" w:hAnsi="ITC Avant Garde"/>
        </w:rPr>
        <w:t>, deberán hacer disponible al usuario información asociada a estos servicios.</w:t>
      </w:r>
    </w:p>
    <w:p w:rsidR="00423A5B" w:rsidRPr="000E4750" w:rsidRDefault="00423A5B" w:rsidP="00423A5B">
      <w:pPr>
        <w:spacing w:after="0"/>
        <w:jc w:val="both"/>
        <w:rPr>
          <w:rFonts w:ascii="ITC Avant Garde" w:hAnsi="ITC Avant Garde"/>
        </w:rPr>
      </w:pPr>
    </w:p>
    <w:p w:rsidR="001B17D4" w:rsidRPr="000E4750" w:rsidRDefault="001B17D4" w:rsidP="00464DB4">
      <w:pPr>
        <w:pStyle w:val="Prrafodelista"/>
        <w:numPr>
          <w:ilvl w:val="0"/>
          <w:numId w:val="5"/>
        </w:numPr>
        <w:spacing w:after="0"/>
        <w:jc w:val="both"/>
        <w:rPr>
          <w:rFonts w:ascii="ITC Avant Garde" w:hAnsi="ITC Avant Garde"/>
          <w:b/>
        </w:rPr>
      </w:pPr>
      <w:r w:rsidRPr="000E4750">
        <w:rPr>
          <w:rFonts w:ascii="ITC Avant Garde" w:hAnsi="ITC Avant Garde"/>
          <w:b/>
        </w:rPr>
        <w:t>Fracción XVI del Artículo 15.</w:t>
      </w:r>
    </w:p>
    <w:p w:rsidR="001B17D4" w:rsidRPr="000E4750" w:rsidRDefault="001B17D4" w:rsidP="001B17D4">
      <w:pPr>
        <w:pStyle w:val="Prrafodelista"/>
        <w:spacing w:after="0"/>
        <w:jc w:val="both"/>
        <w:rPr>
          <w:rFonts w:ascii="ITC Avant Garde" w:hAnsi="ITC Avant Garde"/>
          <w:b/>
        </w:rPr>
      </w:pPr>
    </w:p>
    <w:p w:rsidR="001B17D4" w:rsidRPr="000E4750" w:rsidRDefault="001B17D4" w:rsidP="001B17D4">
      <w:pPr>
        <w:spacing w:after="0"/>
        <w:jc w:val="both"/>
        <w:rPr>
          <w:rFonts w:ascii="ITC Avant Garde" w:hAnsi="ITC Avant Garde"/>
          <w:b/>
        </w:rPr>
      </w:pPr>
      <w:r w:rsidRPr="000E4750">
        <w:rPr>
          <w:rFonts w:ascii="ITC Avant Garde" w:hAnsi="ITC Avant Garde"/>
        </w:rPr>
        <w:t>La industria manifiesta su inconformidad con el establecimiento de la obligación de publicar información relacionada con el monto mínimo y máximo de las bonificaciones o compensaciones, toda vez que señalan dependen de diversos factores como el tipo de falla, duración de la falla, servicios afectados, servicios contratados, entre otros; asimismo, señalan que dicha información ya se establece en la LFTR y la LFPC.</w:t>
      </w:r>
    </w:p>
    <w:p w:rsidR="001B17D4" w:rsidRPr="000E4750" w:rsidRDefault="001B17D4" w:rsidP="001B17D4">
      <w:pPr>
        <w:spacing w:after="0"/>
        <w:jc w:val="both"/>
        <w:rPr>
          <w:rFonts w:ascii="ITC Avant Garde" w:hAnsi="ITC Avant Garde"/>
          <w:b/>
        </w:rPr>
      </w:pPr>
    </w:p>
    <w:p w:rsidR="001B17D4" w:rsidRPr="000E4750" w:rsidRDefault="001B17D4" w:rsidP="001B17D4">
      <w:pPr>
        <w:spacing w:after="0"/>
        <w:jc w:val="both"/>
        <w:rPr>
          <w:rFonts w:ascii="ITC Avant Garde" w:hAnsi="ITC Avant Garde"/>
          <w:i/>
          <w:u w:val="single"/>
        </w:rPr>
      </w:pPr>
      <w:r w:rsidRPr="000E4750">
        <w:rPr>
          <w:rFonts w:ascii="ITC Avant Garde" w:hAnsi="ITC Avant Garde"/>
          <w:i/>
          <w:u w:val="single"/>
        </w:rPr>
        <w:t>Consideraciones</w:t>
      </w:r>
    </w:p>
    <w:p w:rsidR="001B17D4" w:rsidRPr="000E4750" w:rsidRDefault="001B17D4" w:rsidP="00423A5B">
      <w:pPr>
        <w:spacing w:after="0"/>
        <w:jc w:val="both"/>
        <w:rPr>
          <w:rFonts w:ascii="ITC Avant Garde" w:hAnsi="ITC Avant Garde"/>
        </w:rPr>
      </w:pPr>
    </w:p>
    <w:p w:rsidR="001B17D4" w:rsidRPr="000E4750" w:rsidRDefault="001B17D4" w:rsidP="00423A5B">
      <w:pPr>
        <w:spacing w:after="0"/>
        <w:jc w:val="both"/>
        <w:rPr>
          <w:rFonts w:ascii="ITC Avant Garde" w:hAnsi="ITC Avant Garde"/>
        </w:rPr>
      </w:pPr>
      <w:r w:rsidRPr="000E4750">
        <w:rPr>
          <w:rFonts w:ascii="ITC Avant Garde" w:hAnsi="ITC Avant Garde"/>
        </w:rPr>
        <w:t>Al respecto, en atención a los comentarios recibidos y considerando que la LFPC establece disposiciones relacionadas con el monto de las bonificaciones y compensaciones, así como considerando que dicho monto, en la mayoría de las ocasiones depende las propias características de la falla, se elimina el inciso ii) de la fracción XVI</w:t>
      </w:r>
      <w:r w:rsidR="000C50DB">
        <w:rPr>
          <w:rFonts w:ascii="ITC Avant Garde" w:hAnsi="ITC Avant Garde"/>
        </w:rPr>
        <w:t xml:space="preserve"> del anteproyecto de Lineamientos</w:t>
      </w:r>
      <w:r w:rsidRPr="000E4750">
        <w:rPr>
          <w:rFonts w:ascii="ITC Avant Garde" w:hAnsi="ITC Avant Garde"/>
        </w:rPr>
        <w:t>.</w:t>
      </w:r>
    </w:p>
    <w:p w:rsidR="001B17D4" w:rsidRPr="000E4750" w:rsidRDefault="001B17D4" w:rsidP="00423A5B">
      <w:pPr>
        <w:spacing w:after="0"/>
        <w:jc w:val="both"/>
        <w:rPr>
          <w:rFonts w:ascii="ITC Avant Garde" w:hAnsi="ITC Avant Garde"/>
        </w:rPr>
      </w:pPr>
    </w:p>
    <w:p w:rsidR="00E842A7" w:rsidRPr="000E4750" w:rsidRDefault="00E842A7" w:rsidP="00E842A7">
      <w:pPr>
        <w:spacing w:after="0"/>
        <w:jc w:val="center"/>
        <w:rPr>
          <w:rFonts w:ascii="ITC Avant Garde" w:hAnsi="ITC Avant Garde"/>
          <w:b/>
        </w:rPr>
      </w:pPr>
    </w:p>
    <w:p w:rsidR="00F105A0" w:rsidRPr="000E4750" w:rsidRDefault="00F105A0" w:rsidP="00464DB4">
      <w:pPr>
        <w:pStyle w:val="Prrafodelista"/>
        <w:numPr>
          <w:ilvl w:val="0"/>
          <w:numId w:val="5"/>
        </w:numPr>
        <w:spacing w:after="0"/>
        <w:jc w:val="both"/>
        <w:rPr>
          <w:rFonts w:ascii="ITC Avant Garde" w:hAnsi="ITC Avant Garde"/>
          <w:b/>
        </w:rPr>
      </w:pPr>
      <w:r w:rsidRPr="000E4750">
        <w:rPr>
          <w:rFonts w:ascii="ITC Avant Garde" w:hAnsi="ITC Avant Garde"/>
          <w:b/>
        </w:rPr>
        <w:t>Artículo</w:t>
      </w:r>
      <w:r w:rsidR="007B7113" w:rsidRPr="000E4750">
        <w:rPr>
          <w:rFonts w:ascii="ITC Avant Garde" w:hAnsi="ITC Avant Garde"/>
          <w:b/>
        </w:rPr>
        <w:t>s 16, 17 y 18.</w:t>
      </w:r>
    </w:p>
    <w:p w:rsidR="00E842A7" w:rsidRPr="000E4750" w:rsidRDefault="00E842A7" w:rsidP="00E842A7">
      <w:pPr>
        <w:pStyle w:val="Prrafodelista"/>
        <w:spacing w:after="0"/>
        <w:jc w:val="both"/>
        <w:rPr>
          <w:rFonts w:ascii="ITC Avant Garde" w:hAnsi="ITC Avant Garde"/>
          <w:b/>
        </w:rPr>
      </w:pPr>
    </w:p>
    <w:p w:rsidR="007B7113" w:rsidRPr="000E4750" w:rsidRDefault="007B7113" w:rsidP="00A13478">
      <w:pPr>
        <w:autoSpaceDE w:val="0"/>
        <w:autoSpaceDN w:val="0"/>
        <w:adjustRightInd w:val="0"/>
        <w:spacing w:after="0"/>
        <w:jc w:val="both"/>
        <w:rPr>
          <w:rFonts w:ascii="ITC Avant Garde" w:hAnsi="ITC Avant Garde" w:cs="Helvetica"/>
        </w:rPr>
      </w:pPr>
      <w:r w:rsidRPr="000E4750">
        <w:rPr>
          <w:rFonts w:ascii="ITC Avant Garde" w:hAnsi="ITC Avant Garde" w:cs="Helvetica"/>
        </w:rPr>
        <w:t xml:space="preserve">Con relación a los artículos referidos, se han recibido comentarios </w:t>
      </w:r>
      <w:r w:rsidR="006D4AFF" w:rsidRPr="000E4750">
        <w:rPr>
          <w:rFonts w:ascii="ITC Avant Garde" w:hAnsi="ITC Avant Garde" w:cs="Helvetica"/>
        </w:rPr>
        <w:t>señalando</w:t>
      </w:r>
      <w:r w:rsidRPr="000E4750">
        <w:rPr>
          <w:rFonts w:ascii="ITC Avant Garde" w:hAnsi="ITC Avant Garde" w:cs="Helvetica"/>
        </w:rPr>
        <w:t xml:space="preserve"> una duplicidad de facultades entre la PROFECO y este Instituto, motivo por el cual solicitan la eliminación del capítulo. Asimismo, se ha propuesto que el Instituto se auxilie de un órgano de apoyo externo de usuarios para la provisión de información adicional.</w:t>
      </w:r>
    </w:p>
    <w:p w:rsidR="007B7113" w:rsidRPr="000E4750" w:rsidRDefault="007B7113" w:rsidP="00A13478">
      <w:pPr>
        <w:autoSpaceDE w:val="0"/>
        <w:autoSpaceDN w:val="0"/>
        <w:adjustRightInd w:val="0"/>
        <w:spacing w:after="0"/>
        <w:jc w:val="both"/>
        <w:rPr>
          <w:rFonts w:ascii="ITC Avant Garde" w:hAnsi="ITC Avant Garde" w:cs="Helvetica"/>
        </w:rPr>
      </w:pPr>
    </w:p>
    <w:p w:rsidR="007B7113" w:rsidRPr="000E4750" w:rsidRDefault="007B7113" w:rsidP="00A13478">
      <w:pPr>
        <w:autoSpaceDE w:val="0"/>
        <w:autoSpaceDN w:val="0"/>
        <w:adjustRightInd w:val="0"/>
        <w:spacing w:after="0"/>
        <w:jc w:val="both"/>
        <w:rPr>
          <w:rFonts w:ascii="ITC Avant Garde" w:hAnsi="ITC Avant Garde" w:cs="Helvetica"/>
        </w:rPr>
      </w:pPr>
      <w:r w:rsidRPr="000E4750">
        <w:rPr>
          <w:rFonts w:ascii="ITC Avant Garde" w:hAnsi="ITC Avant Garde" w:cs="Helvetica"/>
        </w:rPr>
        <w:t xml:space="preserve">Por otra parte, se ha manifestado que </w:t>
      </w:r>
      <w:r w:rsidR="00642B4C" w:rsidRPr="000E4750">
        <w:rPr>
          <w:rFonts w:ascii="ITC Avant Garde" w:hAnsi="ITC Avant Garde" w:cs="Helvetica"/>
        </w:rPr>
        <w:t>sería conveniente señalar que también la PROFECO puede supervisar y verificar la información o publicidad relacionada sobre productos o servicios, y no solo el Instituto.</w:t>
      </w:r>
    </w:p>
    <w:p w:rsidR="007B7113" w:rsidRPr="000E4750" w:rsidRDefault="007B7113" w:rsidP="00A13478">
      <w:pPr>
        <w:autoSpaceDE w:val="0"/>
        <w:autoSpaceDN w:val="0"/>
        <w:adjustRightInd w:val="0"/>
        <w:spacing w:after="0"/>
        <w:jc w:val="both"/>
        <w:rPr>
          <w:rFonts w:ascii="ITC Avant Garde" w:hAnsi="ITC Avant Garde" w:cs="Helvetica"/>
        </w:rPr>
      </w:pPr>
    </w:p>
    <w:p w:rsidR="00642B4C" w:rsidRPr="000E4750" w:rsidRDefault="00642B4C" w:rsidP="00A13478">
      <w:pPr>
        <w:autoSpaceDE w:val="0"/>
        <w:autoSpaceDN w:val="0"/>
        <w:adjustRightInd w:val="0"/>
        <w:spacing w:after="0"/>
        <w:jc w:val="both"/>
        <w:rPr>
          <w:rFonts w:ascii="ITC Avant Garde" w:hAnsi="ITC Avant Garde" w:cs="Helvetica"/>
        </w:rPr>
      </w:pPr>
      <w:r w:rsidRPr="000E4750">
        <w:rPr>
          <w:rFonts w:ascii="ITC Avant Garde" w:hAnsi="ITC Avant Garde" w:cs="Helvetica"/>
        </w:rPr>
        <w:t>Asimismo, respecto a los informes semestrales sobre el cumplimiento de los Lineamientos, se propone se modifique la temporalidad, a fin de que se publique de forma anual.</w:t>
      </w:r>
    </w:p>
    <w:p w:rsidR="00E842A7" w:rsidRPr="000E4750" w:rsidRDefault="00E842A7" w:rsidP="00A13478">
      <w:pPr>
        <w:autoSpaceDE w:val="0"/>
        <w:autoSpaceDN w:val="0"/>
        <w:adjustRightInd w:val="0"/>
        <w:spacing w:after="0"/>
        <w:jc w:val="both"/>
        <w:rPr>
          <w:rFonts w:ascii="ITC Avant Garde" w:hAnsi="ITC Avant Garde" w:cs="Helvetica"/>
        </w:rPr>
      </w:pPr>
    </w:p>
    <w:p w:rsidR="00A12CF4" w:rsidRPr="000E4750" w:rsidRDefault="00A12CF4" w:rsidP="00A13478">
      <w:pPr>
        <w:autoSpaceDE w:val="0"/>
        <w:autoSpaceDN w:val="0"/>
        <w:adjustRightInd w:val="0"/>
        <w:spacing w:after="0"/>
        <w:jc w:val="both"/>
        <w:rPr>
          <w:rFonts w:ascii="ITC Avant Garde" w:hAnsi="ITC Avant Garde"/>
          <w:i/>
          <w:u w:val="single"/>
        </w:rPr>
      </w:pPr>
      <w:r w:rsidRPr="000E4750">
        <w:rPr>
          <w:rFonts w:ascii="ITC Avant Garde" w:hAnsi="ITC Avant Garde"/>
          <w:i/>
          <w:u w:val="single"/>
        </w:rPr>
        <w:t>Consideraciones</w:t>
      </w:r>
    </w:p>
    <w:p w:rsidR="00A12CF4" w:rsidRPr="000E4750" w:rsidRDefault="00A12CF4" w:rsidP="00A13478">
      <w:pPr>
        <w:autoSpaceDE w:val="0"/>
        <w:autoSpaceDN w:val="0"/>
        <w:adjustRightInd w:val="0"/>
        <w:spacing w:after="0"/>
        <w:jc w:val="both"/>
        <w:rPr>
          <w:rFonts w:ascii="ITC Avant Garde" w:hAnsi="ITC Avant Garde"/>
          <w:i/>
          <w:u w:val="single"/>
        </w:rPr>
      </w:pPr>
    </w:p>
    <w:p w:rsidR="00642B4C" w:rsidRPr="000E4750" w:rsidRDefault="00642B4C" w:rsidP="00642B4C">
      <w:pPr>
        <w:autoSpaceDE w:val="0"/>
        <w:autoSpaceDN w:val="0"/>
        <w:adjustRightInd w:val="0"/>
        <w:spacing w:after="0"/>
        <w:jc w:val="both"/>
        <w:rPr>
          <w:rFonts w:ascii="ITC Avant Garde" w:hAnsi="ITC Avant Garde"/>
        </w:rPr>
      </w:pPr>
      <w:r w:rsidRPr="000E4750">
        <w:rPr>
          <w:rFonts w:ascii="ITC Avant Garde" w:hAnsi="ITC Avant Garde"/>
        </w:rPr>
        <w:t>En atención a los comentarios recibidos, se debe considerar que el Instituto de conformidad con lo establecido en los artículos 195 y 293 de la LFTR, se encuentra plenamente facultado para emitir, supervisar y verificar las obligaciones establecida</w:t>
      </w:r>
      <w:r w:rsidR="00AE63FF" w:rsidRPr="000E4750">
        <w:rPr>
          <w:rFonts w:ascii="ITC Avant Garde" w:hAnsi="ITC Avant Garde"/>
        </w:rPr>
        <w:t xml:space="preserve">s en los presentes Lineamientos, con independencia de las atribuciones correspondientes a </w:t>
      </w:r>
      <w:r w:rsidR="00D700BA">
        <w:rPr>
          <w:rFonts w:ascii="ITC Avant Garde" w:hAnsi="ITC Avant Garde"/>
        </w:rPr>
        <w:t>la PROFECO; motivo por el cual se efectúa di</w:t>
      </w:r>
      <w:r w:rsidR="00E64F4E">
        <w:rPr>
          <w:rFonts w:ascii="ITC Avant Garde" w:hAnsi="ITC Avant Garde"/>
        </w:rPr>
        <w:t>cha aclaración en el artículo 10</w:t>
      </w:r>
      <w:r w:rsidR="00D700BA">
        <w:rPr>
          <w:rFonts w:ascii="ITC Avant Garde" w:hAnsi="ITC Avant Garde"/>
        </w:rPr>
        <w:t xml:space="preserve"> del proyecto de Lineamientos.</w:t>
      </w:r>
    </w:p>
    <w:p w:rsidR="00642B4C" w:rsidRPr="000E4750" w:rsidRDefault="00642B4C" w:rsidP="00642B4C">
      <w:pPr>
        <w:autoSpaceDE w:val="0"/>
        <w:autoSpaceDN w:val="0"/>
        <w:adjustRightInd w:val="0"/>
        <w:spacing w:after="0"/>
        <w:jc w:val="both"/>
        <w:rPr>
          <w:rFonts w:ascii="ITC Avant Garde" w:hAnsi="ITC Avant Garde"/>
        </w:rPr>
      </w:pPr>
    </w:p>
    <w:p w:rsidR="00A12CF4" w:rsidRPr="000E4750" w:rsidRDefault="00642B4C" w:rsidP="00642B4C">
      <w:pPr>
        <w:autoSpaceDE w:val="0"/>
        <w:autoSpaceDN w:val="0"/>
        <w:adjustRightInd w:val="0"/>
        <w:spacing w:after="0"/>
        <w:jc w:val="both"/>
        <w:rPr>
          <w:rFonts w:ascii="ITC Avant Garde" w:hAnsi="ITC Avant Garde" w:cs="Helvetica"/>
        </w:rPr>
      </w:pPr>
      <w:r w:rsidRPr="000E4750">
        <w:rPr>
          <w:rFonts w:ascii="ITC Avant Garde" w:hAnsi="ITC Avant Garde"/>
        </w:rPr>
        <w:t>Por otra parte, tomando en consideración los comentarios vertidos y</w:t>
      </w:r>
      <w:r w:rsidR="00C655F9">
        <w:rPr>
          <w:rFonts w:ascii="ITC Avant Garde" w:hAnsi="ITC Avant Garde"/>
        </w:rPr>
        <w:t>,</w:t>
      </w:r>
      <w:r w:rsidRPr="000E4750">
        <w:rPr>
          <w:rFonts w:ascii="ITC Avant Garde" w:hAnsi="ITC Avant Garde"/>
        </w:rPr>
        <w:t xml:space="preserve"> considerando </w:t>
      </w:r>
      <w:r w:rsidR="00AE63FF" w:rsidRPr="000E4750">
        <w:rPr>
          <w:rFonts w:ascii="ITC Avant Garde" w:hAnsi="ITC Avant Garde"/>
        </w:rPr>
        <w:t>los</w:t>
      </w:r>
      <w:r w:rsidR="006D4AFF" w:rsidRPr="000E4750">
        <w:rPr>
          <w:rFonts w:ascii="ITC Avant Garde" w:hAnsi="ITC Avant Garde"/>
        </w:rPr>
        <w:t xml:space="preserve"> términos</w:t>
      </w:r>
      <w:r w:rsidR="00C655F9">
        <w:rPr>
          <w:rFonts w:ascii="ITC Avant Garde" w:hAnsi="ITC Avant Garde"/>
        </w:rPr>
        <w:t xml:space="preserve"> y plazos</w:t>
      </w:r>
      <w:r w:rsidR="006D4AFF" w:rsidRPr="000E4750">
        <w:rPr>
          <w:rFonts w:ascii="ITC Avant Garde" w:hAnsi="ITC Avant Garde"/>
        </w:rPr>
        <w:t xml:space="preserve"> </w:t>
      </w:r>
      <w:r w:rsidR="00C655F9">
        <w:rPr>
          <w:rFonts w:ascii="ITC Avant Garde" w:hAnsi="ITC Avant Garde"/>
        </w:rPr>
        <w:t>de</w:t>
      </w:r>
      <w:r w:rsidR="006D4AFF" w:rsidRPr="000E4750">
        <w:rPr>
          <w:rFonts w:ascii="ITC Avant Garde" w:hAnsi="ITC Avant Garde"/>
        </w:rPr>
        <w:t xml:space="preserve"> los</w:t>
      </w:r>
      <w:r w:rsidRPr="000E4750">
        <w:rPr>
          <w:rFonts w:ascii="ITC Avant Garde" w:hAnsi="ITC Avant Garde"/>
        </w:rPr>
        <w:t xml:space="preserve"> </w:t>
      </w:r>
      <w:r w:rsidR="00AE63FF" w:rsidRPr="000E4750">
        <w:rPr>
          <w:rFonts w:ascii="ITC Avant Garde" w:hAnsi="ITC Avant Garde"/>
        </w:rPr>
        <w:t>procedimientos de supervisión y verificación</w:t>
      </w:r>
      <w:r w:rsidR="00D700BA">
        <w:rPr>
          <w:rFonts w:ascii="ITC Avant Garde" w:hAnsi="ITC Avant Garde"/>
        </w:rPr>
        <w:t xml:space="preserve"> de las obligaciones regulatorias</w:t>
      </w:r>
      <w:r w:rsidRPr="000E4750">
        <w:rPr>
          <w:rFonts w:ascii="ITC Avant Garde" w:hAnsi="ITC Avant Garde"/>
        </w:rPr>
        <w:t xml:space="preserve">, se considera conveniente realizar una modificación a la </w:t>
      </w:r>
      <w:r w:rsidR="00AE63FF" w:rsidRPr="000E4750">
        <w:rPr>
          <w:rFonts w:ascii="ITC Avant Garde" w:hAnsi="ITC Avant Garde"/>
        </w:rPr>
        <w:t>redacción y eliminar la</w:t>
      </w:r>
      <w:r w:rsidR="000404CE">
        <w:rPr>
          <w:rFonts w:ascii="ITC Avant Garde" w:hAnsi="ITC Avant Garde"/>
        </w:rPr>
        <w:t xml:space="preserve"> incl</w:t>
      </w:r>
      <w:r w:rsidR="008D4BF5">
        <w:rPr>
          <w:rFonts w:ascii="ITC Avant Garde" w:hAnsi="ITC Avant Garde"/>
        </w:rPr>
        <w:t>usión de dicha información en un</w:t>
      </w:r>
      <w:r w:rsidR="000404CE">
        <w:rPr>
          <w:rFonts w:ascii="ITC Avant Garde" w:hAnsi="ITC Avant Garde"/>
        </w:rPr>
        <w:t xml:space="preserve"> informe</w:t>
      </w:r>
      <w:r w:rsidR="00A12CF4" w:rsidRPr="000E4750">
        <w:rPr>
          <w:rFonts w:ascii="ITC Avant Garde" w:hAnsi="ITC Avant Garde"/>
        </w:rPr>
        <w:t>.</w:t>
      </w:r>
    </w:p>
    <w:p w:rsidR="00A12CF4" w:rsidRPr="000E4750" w:rsidRDefault="00A12CF4" w:rsidP="00A13478">
      <w:pPr>
        <w:autoSpaceDE w:val="0"/>
        <w:autoSpaceDN w:val="0"/>
        <w:adjustRightInd w:val="0"/>
        <w:spacing w:after="0"/>
        <w:jc w:val="both"/>
        <w:rPr>
          <w:rFonts w:ascii="ITC Avant Garde" w:hAnsi="ITC Avant Garde" w:cs="Helvetica"/>
        </w:rPr>
      </w:pPr>
    </w:p>
    <w:p w:rsidR="0017331F" w:rsidRPr="000E4750" w:rsidRDefault="0078384F" w:rsidP="00464DB4">
      <w:pPr>
        <w:pStyle w:val="Prrafodelista"/>
        <w:numPr>
          <w:ilvl w:val="0"/>
          <w:numId w:val="5"/>
        </w:numPr>
        <w:spacing w:after="0"/>
        <w:jc w:val="both"/>
        <w:rPr>
          <w:rFonts w:ascii="ITC Avant Garde" w:hAnsi="ITC Avant Garde"/>
          <w:b/>
        </w:rPr>
      </w:pPr>
      <w:r w:rsidRPr="000E4750">
        <w:rPr>
          <w:rFonts w:ascii="ITC Avant Garde" w:hAnsi="ITC Avant Garde"/>
          <w:b/>
        </w:rPr>
        <w:t>Transitorio - Único</w:t>
      </w:r>
    </w:p>
    <w:p w:rsidR="00F105A0" w:rsidRPr="000E4750" w:rsidRDefault="0078384F" w:rsidP="00A13478">
      <w:pPr>
        <w:spacing w:after="0"/>
        <w:jc w:val="both"/>
        <w:rPr>
          <w:rFonts w:ascii="ITC Avant Garde" w:hAnsi="ITC Avant Garde"/>
        </w:rPr>
      </w:pPr>
      <w:r w:rsidRPr="000E4750">
        <w:rPr>
          <w:rFonts w:ascii="ITC Avant Garde" w:hAnsi="ITC Avant Garde"/>
        </w:rPr>
        <w:t>La mayoría de los</w:t>
      </w:r>
      <w:r w:rsidR="008A05E1" w:rsidRPr="000E4750">
        <w:rPr>
          <w:rFonts w:ascii="ITC Avant Garde" w:hAnsi="ITC Avant Garde"/>
        </w:rPr>
        <w:t xml:space="preserve"> operadores</w:t>
      </w:r>
      <w:r w:rsidRPr="000E4750">
        <w:rPr>
          <w:rFonts w:ascii="ITC Avant Garde" w:hAnsi="ITC Avant Garde"/>
        </w:rPr>
        <w:t xml:space="preserve"> </w:t>
      </w:r>
      <w:r w:rsidR="006D4AFF" w:rsidRPr="000E4750">
        <w:rPr>
          <w:rFonts w:ascii="ITC Avant Garde" w:hAnsi="ITC Avant Garde"/>
        </w:rPr>
        <w:t xml:space="preserve">participantes </w:t>
      </w:r>
      <w:r w:rsidRPr="000E4750">
        <w:rPr>
          <w:rFonts w:ascii="ITC Avant Garde" w:hAnsi="ITC Avant Garde"/>
        </w:rPr>
        <w:t xml:space="preserve">solicitan una ampliación </w:t>
      </w:r>
      <w:r w:rsidR="006D4AFF" w:rsidRPr="000E4750">
        <w:rPr>
          <w:rFonts w:ascii="ITC Avant Garde" w:hAnsi="ITC Avant Garde"/>
        </w:rPr>
        <w:t>d</w:t>
      </w:r>
      <w:r w:rsidRPr="000E4750">
        <w:rPr>
          <w:rFonts w:ascii="ITC Avant Garde" w:hAnsi="ITC Avant Garde"/>
        </w:rPr>
        <w:t>el término establecido para la entrada en vigor de</w:t>
      </w:r>
      <w:r w:rsidR="00AE4807">
        <w:rPr>
          <w:rFonts w:ascii="ITC Avant Garde" w:hAnsi="ITC Avant Garde"/>
        </w:rPr>
        <w:t xml:space="preserve"> los Lineamientos, se propone 9</w:t>
      </w:r>
      <w:r w:rsidRPr="000E4750">
        <w:rPr>
          <w:rFonts w:ascii="ITC Avant Garde" w:hAnsi="ITC Avant Garde"/>
        </w:rPr>
        <w:t>0 días naturales</w:t>
      </w:r>
      <w:r w:rsidR="00DC015D" w:rsidRPr="000E4750">
        <w:rPr>
          <w:rFonts w:ascii="ITC Avant Garde" w:hAnsi="ITC Avant Garde"/>
        </w:rPr>
        <w:t>.</w:t>
      </w:r>
    </w:p>
    <w:p w:rsidR="00E842A7" w:rsidRPr="000E4750" w:rsidRDefault="00E842A7" w:rsidP="00A13478">
      <w:pPr>
        <w:spacing w:after="0"/>
        <w:jc w:val="both"/>
        <w:rPr>
          <w:rFonts w:ascii="ITC Avant Garde" w:hAnsi="ITC Avant Garde"/>
          <w:b/>
        </w:rPr>
      </w:pPr>
    </w:p>
    <w:p w:rsidR="004D4A88" w:rsidRPr="000E4750" w:rsidRDefault="004D4A88" w:rsidP="00A13478">
      <w:pPr>
        <w:spacing w:after="0"/>
        <w:jc w:val="both"/>
        <w:rPr>
          <w:rFonts w:ascii="ITC Avant Garde" w:hAnsi="ITC Avant Garde"/>
          <w:i/>
          <w:u w:val="single"/>
        </w:rPr>
      </w:pPr>
      <w:r w:rsidRPr="000E4750">
        <w:rPr>
          <w:rFonts w:ascii="ITC Avant Garde" w:hAnsi="ITC Avant Garde"/>
          <w:i/>
          <w:u w:val="single"/>
        </w:rPr>
        <w:t>Consideraciones</w:t>
      </w:r>
    </w:p>
    <w:p w:rsidR="00E842A7" w:rsidRPr="000E4750" w:rsidRDefault="00E842A7" w:rsidP="00A13478">
      <w:pPr>
        <w:spacing w:after="0"/>
        <w:jc w:val="both"/>
        <w:rPr>
          <w:rFonts w:ascii="ITC Avant Garde" w:hAnsi="ITC Avant Garde"/>
          <w:i/>
          <w:u w:val="single"/>
        </w:rPr>
      </w:pPr>
    </w:p>
    <w:p w:rsidR="006A7D8B" w:rsidRPr="00F47CA2" w:rsidRDefault="0078384F" w:rsidP="00F47CA2">
      <w:pPr>
        <w:autoSpaceDE w:val="0"/>
        <w:autoSpaceDN w:val="0"/>
        <w:adjustRightInd w:val="0"/>
        <w:spacing w:after="0"/>
        <w:jc w:val="both"/>
        <w:rPr>
          <w:rFonts w:ascii="ITC Avant Garde" w:hAnsi="ITC Avant Garde" w:cs="Helvetica"/>
        </w:rPr>
      </w:pPr>
      <w:r w:rsidRPr="000E4750">
        <w:rPr>
          <w:rFonts w:ascii="ITC Avant Garde" w:hAnsi="ITC Avant Garde" w:cs="Helvetica"/>
        </w:rPr>
        <w:t>Al respecto, con la finalidad de atender los comentarios vertidos al p</w:t>
      </w:r>
      <w:r w:rsidR="00C33FC9" w:rsidRPr="000E4750">
        <w:rPr>
          <w:rFonts w:ascii="ITC Avant Garde" w:hAnsi="ITC Avant Garde" w:cs="Helvetica"/>
        </w:rPr>
        <w:t>royecto</w:t>
      </w:r>
      <w:r w:rsidR="00660A72" w:rsidRPr="000E4750">
        <w:rPr>
          <w:rFonts w:ascii="ITC Avant Garde" w:hAnsi="ITC Avant Garde" w:cs="Helvetica"/>
        </w:rPr>
        <w:t xml:space="preserve"> y considerando la </w:t>
      </w:r>
      <w:r w:rsidR="00C655F9">
        <w:rPr>
          <w:rFonts w:ascii="ITC Avant Garde" w:hAnsi="ITC Avant Garde" w:cs="Helvetica"/>
        </w:rPr>
        <w:t xml:space="preserve">obligación de publicar </w:t>
      </w:r>
      <w:r w:rsidR="00660A72" w:rsidRPr="000E4750">
        <w:rPr>
          <w:rFonts w:ascii="ITC Avant Garde" w:hAnsi="ITC Avant Garde" w:cs="Helvetica"/>
        </w:rPr>
        <w:t xml:space="preserve">los formatos de información simplificada para los </w:t>
      </w:r>
      <w:r w:rsidR="00A31487" w:rsidRPr="000E4750">
        <w:rPr>
          <w:rFonts w:ascii="ITC Avant Garde" w:hAnsi="ITC Avant Garde" w:cs="Helvetica"/>
        </w:rPr>
        <w:t>usuarios,</w:t>
      </w:r>
      <w:r w:rsidR="00660A72" w:rsidRPr="000E4750">
        <w:rPr>
          <w:rFonts w:ascii="ITC Avant Garde" w:hAnsi="ITC Avant Garde" w:cs="Helvetica"/>
        </w:rPr>
        <w:t xml:space="preserve"> así como la publicación de la información adicional establecida en el proyecto de Lineamientos</w:t>
      </w:r>
      <w:r w:rsidR="00AE4807">
        <w:rPr>
          <w:rFonts w:ascii="ITC Avant Garde" w:hAnsi="ITC Avant Garde" w:cs="Helvetica"/>
        </w:rPr>
        <w:t>, se incrementa de 60 a 9</w:t>
      </w:r>
      <w:r w:rsidRPr="000E4750">
        <w:rPr>
          <w:rFonts w:ascii="ITC Avant Garde" w:hAnsi="ITC Avant Garde" w:cs="Helvetica"/>
        </w:rPr>
        <w:t>0 días naturales para la entrada en vigor de los Lineamientos</w:t>
      </w:r>
      <w:r w:rsidR="00F47CA2" w:rsidRPr="000E4750">
        <w:rPr>
          <w:rFonts w:ascii="ITC Avant Garde" w:hAnsi="ITC Avant Garde" w:cs="Helvetica"/>
        </w:rPr>
        <w:t>.</w:t>
      </w:r>
    </w:p>
    <w:sectPr w:rsidR="006A7D8B" w:rsidRPr="00F47CA2" w:rsidSect="00655007">
      <w:headerReference w:type="default" r:id="rId8"/>
      <w:footerReference w:type="default" r:id="rId9"/>
      <w:pgSz w:w="12240" w:h="15840"/>
      <w:pgMar w:top="2515" w:right="758" w:bottom="425" w:left="993" w:header="720" w:footer="720" w:gutter="0"/>
      <w:cols w:space="720" w:equalWidth="0">
        <w:col w:w="1048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1F" w:rsidRDefault="0006561F">
      <w:pPr>
        <w:spacing w:after="0" w:line="240" w:lineRule="auto"/>
      </w:pPr>
      <w:r>
        <w:separator/>
      </w:r>
    </w:p>
  </w:endnote>
  <w:endnote w:type="continuationSeparator" w:id="0">
    <w:p w:rsidR="0006561F" w:rsidRDefault="0006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544165"/>
      <w:docPartObj>
        <w:docPartGallery w:val="Page Numbers (Bottom of Page)"/>
        <w:docPartUnique/>
      </w:docPartObj>
    </w:sdtPr>
    <w:sdtEndPr>
      <w:rPr>
        <w:rFonts w:ascii="ITC Avant Garde" w:hAnsi="ITC Avant Garde"/>
        <w:sz w:val="18"/>
      </w:rPr>
    </w:sdtEndPr>
    <w:sdtContent>
      <w:p w:rsidR="009D7796" w:rsidRPr="00A74D5F" w:rsidRDefault="009D7796">
        <w:pPr>
          <w:pStyle w:val="Piedepgina"/>
          <w:jc w:val="right"/>
          <w:rPr>
            <w:rFonts w:ascii="ITC Avant Garde" w:hAnsi="ITC Avant Garde"/>
            <w:sz w:val="18"/>
          </w:rPr>
        </w:pPr>
        <w:r w:rsidRPr="00A74D5F">
          <w:rPr>
            <w:rFonts w:ascii="ITC Avant Garde" w:hAnsi="ITC Avant Garde"/>
            <w:sz w:val="18"/>
          </w:rPr>
          <w:fldChar w:fldCharType="begin"/>
        </w:r>
        <w:r w:rsidRPr="00A74D5F">
          <w:rPr>
            <w:rFonts w:ascii="ITC Avant Garde" w:hAnsi="ITC Avant Garde"/>
            <w:sz w:val="18"/>
          </w:rPr>
          <w:instrText>PAGE   \* MERGEFORMAT</w:instrText>
        </w:r>
        <w:r w:rsidRPr="00A74D5F">
          <w:rPr>
            <w:rFonts w:ascii="ITC Avant Garde" w:hAnsi="ITC Avant Garde"/>
            <w:sz w:val="18"/>
          </w:rPr>
          <w:fldChar w:fldCharType="separate"/>
        </w:r>
        <w:r w:rsidR="00C67760" w:rsidRPr="00C67760">
          <w:rPr>
            <w:rFonts w:ascii="ITC Avant Garde" w:hAnsi="ITC Avant Garde"/>
            <w:noProof/>
            <w:sz w:val="18"/>
            <w:lang w:val="es-ES"/>
          </w:rPr>
          <w:t>20</w:t>
        </w:r>
        <w:r w:rsidRPr="00A74D5F">
          <w:rPr>
            <w:rFonts w:ascii="ITC Avant Garde" w:hAnsi="ITC Avant Garde"/>
            <w:sz w:val="18"/>
          </w:rPr>
          <w:fldChar w:fldCharType="end"/>
        </w:r>
      </w:p>
    </w:sdtContent>
  </w:sdt>
  <w:p w:rsidR="009D7796" w:rsidRDefault="009D7796" w:rsidP="00CE1292">
    <w:pPr>
      <w:widowControl w:val="0"/>
      <w:autoSpaceDE w:val="0"/>
      <w:autoSpaceDN w:val="0"/>
      <w:adjustRightInd w:val="0"/>
      <w:spacing w:after="0" w:line="240" w:lineRule="auto"/>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1F" w:rsidRDefault="0006561F">
      <w:pPr>
        <w:spacing w:after="0" w:line="240" w:lineRule="auto"/>
      </w:pPr>
      <w:r>
        <w:separator/>
      </w:r>
    </w:p>
  </w:footnote>
  <w:footnote w:type="continuationSeparator" w:id="0">
    <w:p w:rsidR="0006561F" w:rsidRDefault="0006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96" w:rsidRPr="00CE1292" w:rsidRDefault="0006561F" w:rsidP="00CE1292">
    <w:pPr>
      <w:pStyle w:val="Encabezado"/>
    </w:pPr>
    <w:r>
      <w:rPr>
        <w:noProof/>
      </w:rPr>
      <w:pict w14:anchorId="4687D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margin-left:-50.25pt;margin-top:-125.1pt;width:612pt;height:11in;z-index:-25165875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3005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209665E"/>
    <w:multiLevelType w:val="hybridMultilevel"/>
    <w:tmpl w:val="E8A8F8CA"/>
    <w:lvl w:ilvl="0" w:tplc="C2B648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E66417"/>
    <w:multiLevelType w:val="hybridMultilevel"/>
    <w:tmpl w:val="8DF210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A64523"/>
    <w:multiLevelType w:val="hybridMultilevel"/>
    <w:tmpl w:val="4B38176C"/>
    <w:lvl w:ilvl="0" w:tplc="5CB64992">
      <w:start w:val="1"/>
      <w:numFmt w:val="bullet"/>
      <w:lvlText w:val="•"/>
      <w:lvlJc w:val="left"/>
      <w:pPr>
        <w:tabs>
          <w:tab w:val="num" w:pos="720"/>
        </w:tabs>
        <w:ind w:left="720" w:hanging="360"/>
      </w:pPr>
      <w:rPr>
        <w:rFonts w:ascii="Arial" w:hAnsi="Arial" w:hint="default"/>
      </w:rPr>
    </w:lvl>
    <w:lvl w:ilvl="1" w:tplc="080A0001">
      <w:start w:val="1"/>
      <w:numFmt w:val="bullet"/>
      <w:lvlText w:val=""/>
      <w:lvlJc w:val="left"/>
      <w:pPr>
        <w:tabs>
          <w:tab w:val="num" w:pos="1440"/>
        </w:tabs>
        <w:ind w:left="1440" w:hanging="360"/>
      </w:pPr>
      <w:rPr>
        <w:rFonts w:ascii="Symbol" w:hAnsi="Symbol" w:hint="default"/>
      </w:rPr>
    </w:lvl>
    <w:lvl w:ilvl="2" w:tplc="78BAE706" w:tentative="1">
      <w:start w:val="1"/>
      <w:numFmt w:val="bullet"/>
      <w:lvlText w:val="•"/>
      <w:lvlJc w:val="left"/>
      <w:pPr>
        <w:tabs>
          <w:tab w:val="num" w:pos="2160"/>
        </w:tabs>
        <w:ind w:left="2160" w:hanging="360"/>
      </w:pPr>
      <w:rPr>
        <w:rFonts w:ascii="Arial" w:hAnsi="Arial" w:hint="default"/>
      </w:rPr>
    </w:lvl>
    <w:lvl w:ilvl="3" w:tplc="6A524CF0" w:tentative="1">
      <w:start w:val="1"/>
      <w:numFmt w:val="bullet"/>
      <w:lvlText w:val="•"/>
      <w:lvlJc w:val="left"/>
      <w:pPr>
        <w:tabs>
          <w:tab w:val="num" w:pos="2880"/>
        </w:tabs>
        <w:ind w:left="2880" w:hanging="360"/>
      </w:pPr>
      <w:rPr>
        <w:rFonts w:ascii="Arial" w:hAnsi="Arial" w:hint="default"/>
      </w:rPr>
    </w:lvl>
    <w:lvl w:ilvl="4" w:tplc="01789D1E" w:tentative="1">
      <w:start w:val="1"/>
      <w:numFmt w:val="bullet"/>
      <w:lvlText w:val="•"/>
      <w:lvlJc w:val="left"/>
      <w:pPr>
        <w:tabs>
          <w:tab w:val="num" w:pos="3600"/>
        </w:tabs>
        <w:ind w:left="3600" w:hanging="360"/>
      </w:pPr>
      <w:rPr>
        <w:rFonts w:ascii="Arial" w:hAnsi="Arial" w:hint="default"/>
      </w:rPr>
    </w:lvl>
    <w:lvl w:ilvl="5" w:tplc="0D1ADFBE" w:tentative="1">
      <w:start w:val="1"/>
      <w:numFmt w:val="bullet"/>
      <w:lvlText w:val="•"/>
      <w:lvlJc w:val="left"/>
      <w:pPr>
        <w:tabs>
          <w:tab w:val="num" w:pos="4320"/>
        </w:tabs>
        <w:ind w:left="4320" w:hanging="360"/>
      </w:pPr>
      <w:rPr>
        <w:rFonts w:ascii="Arial" w:hAnsi="Arial" w:hint="default"/>
      </w:rPr>
    </w:lvl>
    <w:lvl w:ilvl="6" w:tplc="3E5E30BE" w:tentative="1">
      <w:start w:val="1"/>
      <w:numFmt w:val="bullet"/>
      <w:lvlText w:val="•"/>
      <w:lvlJc w:val="left"/>
      <w:pPr>
        <w:tabs>
          <w:tab w:val="num" w:pos="5040"/>
        </w:tabs>
        <w:ind w:left="5040" w:hanging="360"/>
      </w:pPr>
      <w:rPr>
        <w:rFonts w:ascii="Arial" w:hAnsi="Arial" w:hint="default"/>
      </w:rPr>
    </w:lvl>
    <w:lvl w:ilvl="7" w:tplc="3D789586" w:tentative="1">
      <w:start w:val="1"/>
      <w:numFmt w:val="bullet"/>
      <w:lvlText w:val="•"/>
      <w:lvlJc w:val="left"/>
      <w:pPr>
        <w:tabs>
          <w:tab w:val="num" w:pos="5760"/>
        </w:tabs>
        <w:ind w:left="5760" w:hanging="360"/>
      </w:pPr>
      <w:rPr>
        <w:rFonts w:ascii="Arial" w:hAnsi="Arial" w:hint="default"/>
      </w:rPr>
    </w:lvl>
    <w:lvl w:ilvl="8" w:tplc="B0B8F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7E2767B"/>
    <w:multiLevelType w:val="hybridMultilevel"/>
    <w:tmpl w:val="77740A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07"/>
    <w:rsid w:val="00000327"/>
    <w:rsid w:val="00002F0A"/>
    <w:rsid w:val="00004B36"/>
    <w:rsid w:val="00005315"/>
    <w:rsid w:val="00011554"/>
    <w:rsid w:val="00012D93"/>
    <w:rsid w:val="00013BC4"/>
    <w:rsid w:val="00014A84"/>
    <w:rsid w:val="00015B00"/>
    <w:rsid w:val="00016A64"/>
    <w:rsid w:val="00023D16"/>
    <w:rsid w:val="00024388"/>
    <w:rsid w:val="00024DF3"/>
    <w:rsid w:val="00026611"/>
    <w:rsid w:val="00030274"/>
    <w:rsid w:val="00030EA4"/>
    <w:rsid w:val="00030EE3"/>
    <w:rsid w:val="000404CE"/>
    <w:rsid w:val="00046D8C"/>
    <w:rsid w:val="00051988"/>
    <w:rsid w:val="00053491"/>
    <w:rsid w:val="00054630"/>
    <w:rsid w:val="00054B91"/>
    <w:rsid w:val="00060186"/>
    <w:rsid w:val="00060926"/>
    <w:rsid w:val="000614EC"/>
    <w:rsid w:val="0006203F"/>
    <w:rsid w:val="000622F0"/>
    <w:rsid w:val="000641BE"/>
    <w:rsid w:val="0006561F"/>
    <w:rsid w:val="00071F5A"/>
    <w:rsid w:val="000744B4"/>
    <w:rsid w:val="00076829"/>
    <w:rsid w:val="0008212E"/>
    <w:rsid w:val="00086F3C"/>
    <w:rsid w:val="00087928"/>
    <w:rsid w:val="000914A8"/>
    <w:rsid w:val="00094F75"/>
    <w:rsid w:val="000957E3"/>
    <w:rsid w:val="0009612C"/>
    <w:rsid w:val="00096CCF"/>
    <w:rsid w:val="000A311F"/>
    <w:rsid w:val="000A3530"/>
    <w:rsid w:val="000B501B"/>
    <w:rsid w:val="000C0E02"/>
    <w:rsid w:val="000C2C0A"/>
    <w:rsid w:val="000C3CC7"/>
    <w:rsid w:val="000C50DB"/>
    <w:rsid w:val="000D2FDE"/>
    <w:rsid w:val="000D30D8"/>
    <w:rsid w:val="000D357E"/>
    <w:rsid w:val="000D5B3F"/>
    <w:rsid w:val="000D6D5F"/>
    <w:rsid w:val="000D72D9"/>
    <w:rsid w:val="000D7342"/>
    <w:rsid w:val="000E168D"/>
    <w:rsid w:val="000E23B2"/>
    <w:rsid w:val="000E2D0B"/>
    <w:rsid w:val="000E2D1B"/>
    <w:rsid w:val="000E304A"/>
    <w:rsid w:val="000E419A"/>
    <w:rsid w:val="000E4750"/>
    <w:rsid w:val="000E563E"/>
    <w:rsid w:val="000E64A5"/>
    <w:rsid w:val="000F15AF"/>
    <w:rsid w:val="000F3CD5"/>
    <w:rsid w:val="000F48CC"/>
    <w:rsid w:val="00105DF5"/>
    <w:rsid w:val="00107F3A"/>
    <w:rsid w:val="00110812"/>
    <w:rsid w:val="00110FD9"/>
    <w:rsid w:val="0011435C"/>
    <w:rsid w:val="00124027"/>
    <w:rsid w:val="00124D71"/>
    <w:rsid w:val="0012525A"/>
    <w:rsid w:val="001259B8"/>
    <w:rsid w:val="001265D2"/>
    <w:rsid w:val="001265DA"/>
    <w:rsid w:val="0013064F"/>
    <w:rsid w:val="001355DF"/>
    <w:rsid w:val="00136187"/>
    <w:rsid w:val="00140360"/>
    <w:rsid w:val="00140F0B"/>
    <w:rsid w:val="00142619"/>
    <w:rsid w:val="00152EEC"/>
    <w:rsid w:val="00153F0E"/>
    <w:rsid w:val="0016603D"/>
    <w:rsid w:val="00166B1B"/>
    <w:rsid w:val="0017331F"/>
    <w:rsid w:val="00181BD9"/>
    <w:rsid w:val="001857D5"/>
    <w:rsid w:val="00186730"/>
    <w:rsid w:val="001916A9"/>
    <w:rsid w:val="00192931"/>
    <w:rsid w:val="00193087"/>
    <w:rsid w:val="0019333F"/>
    <w:rsid w:val="00193C7E"/>
    <w:rsid w:val="001A0292"/>
    <w:rsid w:val="001A65A1"/>
    <w:rsid w:val="001B17D4"/>
    <w:rsid w:val="001B1A43"/>
    <w:rsid w:val="001B1ECD"/>
    <w:rsid w:val="001B2C63"/>
    <w:rsid w:val="001B6182"/>
    <w:rsid w:val="001B634F"/>
    <w:rsid w:val="001C7AC9"/>
    <w:rsid w:val="001D1CFA"/>
    <w:rsid w:val="001D30D2"/>
    <w:rsid w:val="001D550C"/>
    <w:rsid w:val="001D66FD"/>
    <w:rsid w:val="001E1A07"/>
    <w:rsid w:val="001E2484"/>
    <w:rsid w:val="001E368E"/>
    <w:rsid w:val="001E45B1"/>
    <w:rsid w:val="001E466B"/>
    <w:rsid w:val="001E723E"/>
    <w:rsid w:val="001F0CCF"/>
    <w:rsid w:val="001F6B54"/>
    <w:rsid w:val="00200490"/>
    <w:rsid w:val="002021EC"/>
    <w:rsid w:val="0020290B"/>
    <w:rsid w:val="0020339F"/>
    <w:rsid w:val="0020430C"/>
    <w:rsid w:val="00204DD8"/>
    <w:rsid w:val="002064A0"/>
    <w:rsid w:val="00211A2F"/>
    <w:rsid w:val="0021239C"/>
    <w:rsid w:val="002130CD"/>
    <w:rsid w:val="00215097"/>
    <w:rsid w:val="00216E4C"/>
    <w:rsid w:val="00217682"/>
    <w:rsid w:val="00220727"/>
    <w:rsid w:val="002222C5"/>
    <w:rsid w:val="00227203"/>
    <w:rsid w:val="002376A8"/>
    <w:rsid w:val="002416AF"/>
    <w:rsid w:val="002435CB"/>
    <w:rsid w:val="0024419C"/>
    <w:rsid w:val="00246AAC"/>
    <w:rsid w:val="00250DE4"/>
    <w:rsid w:val="00251100"/>
    <w:rsid w:val="002541D9"/>
    <w:rsid w:val="00254A2A"/>
    <w:rsid w:val="0026112E"/>
    <w:rsid w:val="00262181"/>
    <w:rsid w:val="00262EB0"/>
    <w:rsid w:val="0026681E"/>
    <w:rsid w:val="00266D61"/>
    <w:rsid w:val="00267B91"/>
    <w:rsid w:val="00270194"/>
    <w:rsid w:val="00271025"/>
    <w:rsid w:val="00274243"/>
    <w:rsid w:val="00277C06"/>
    <w:rsid w:val="00277CD7"/>
    <w:rsid w:val="00283F5E"/>
    <w:rsid w:val="00284A84"/>
    <w:rsid w:val="0029106F"/>
    <w:rsid w:val="00294D82"/>
    <w:rsid w:val="00295AB5"/>
    <w:rsid w:val="002979CE"/>
    <w:rsid w:val="002A1CDD"/>
    <w:rsid w:val="002A4777"/>
    <w:rsid w:val="002A6F05"/>
    <w:rsid w:val="002A784B"/>
    <w:rsid w:val="002B0940"/>
    <w:rsid w:val="002B0E52"/>
    <w:rsid w:val="002B197E"/>
    <w:rsid w:val="002B7259"/>
    <w:rsid w:val="002C08BE"/>
    <w:rsid w:val="002C7BF3"/>
    <w:rsid w:val="002D3E37"/>
    <w:rsid w:val="002D517B"/>
    <w:rsid w:val="002E2EC6"/>
    <w:rsid w:val="002E53CE"/>
    <w:rsid w:val="002E766B"/>
    <w:rsid w:val="002F036B"/>
    <w:rsid w:val="002F5597"/>
    <w:rsid w:val="002F635F"/>
    <w:rsid w:val="002F7183"/>
    <w:rsid w:val="002F72B7"/>
    <w:rsid w:val="002F7514"/>
    <w:rsid w:val="0030070A"/>
    <w:rsid w:val="003027E6"/>
    <w:rsid w:val="00303730"/>
    <w:rsid w:val="00304C15"/>
    <w:rsid w:val="00304F58"/>
    <w:rsid w:val="00311381"/>
    <w:rsid w:val="003118D0"/>
    <w:rsid w:val="00311AE3"/>
    <w:rsid w:val="003145BC"/>
    <w:rsid w:val="0031654A"/>
    <w:rsid w:val="00323261"/>
    <w:rsid w:val="00323B78"/>
    <w:rsid w:val="00327A78"/>
    <w:rsid w:val="00332081"/>
    <w:rsid w:val="00341772"/>
    <w:rsid w:val="00342369"/>
    <w:rsid w:val="003447C9"/>
    <w:rsid w:val="00345E42"/>
    <w:rsid w:val="00347549"/>
    <w:rsid w:val="003504A8"/>
    <w:rsid w:val="00350725"/>
    <w:rsid w:val="00352240"/>
    <w:rsid w:val="003522C2"/>
    <w:rsid w:val="003544E0"/>
    <w:rsid w:val="00354974"/>
    <w:rsid w:val="0036061A"/>
    <w:rsid w:val="003671E2"/>
    <w:rsid w:val="003765D7"/>
    <w:rsid w:val="00376ECE"/>
    <w:rsid w:val="003806A5"/>
    <w:rsid w:val="00381F85"/>
    <w:rsid w:val="003844B4"/>
    <w:rsid w:val="00394185"/>
    <w:rsid w:val="003955C4"/>
    <w:rsid w:val="00395D12"/>
    <w:rsid w:val="003A33E0"/>
    <w:rsid w:val="003A440D"/>
    <w:rsid w:val="003A4772"/>
    <w:rsid w:val="003A7B62"/>
    <w:rsid w:val="003B10E3"/>
    <w:rsid w:val="003B2183"/>
    <w:rsid w:val="003B30DC"/>
    <w:rsid w:val="003B346A"/>
    <w:rsid w:val="003B4CB9"/>
    <w:rsid w:val="003B4F72"/>
    <w:rsid w:val="003C1088"/>
    <w:rsid w:val="003C29BC"/>
    <w:rsid w:val="003C35AC"/>
    <w:rsid w:val="003C6434"/>
    <w:rsid w:val="003C644A"/>
    <w:rsid w:val="003C66B1"/>
    <w:rsid w:val="003D058F"/>
    <w:rsid w:val="003D49BA"/>
    <w:rsid w:val="003E4E2A"/>
    <w:rsid w:val="003E605A"/>
    <w:rsid w:val="003E69DA"/>
    <w:rsid w:val="003F264E"/>
    <w:rsid w:val="003F3069"/>
    <w:rsid w:val="003F4ED6"/>
    <w:rsid w:val="004057D1"/>
    <w:rsid w:val="00406C74"/>
    <w:rsid w:val="00413C6B"/>
    <w:rsid w:val="0041578B"/>
    <w:rsid w:val="0042240B"/>
    <w:rsid w:val="00422B9C"/>
    <w:rsid w:val="00422F43"/>
    <w:rsid w:val="00423A5B"/>
    <w:rsid w:val="00423F08"/>
    <w:rsid w:val="00424271"/>
    <w:rsid w:val="0042773D"/>
    <w:rsid w:val="00431A95"/>
    <w:rsid w:val="0043220C"/>
    <w:rsid w:val="004351A9"/>
    <w:rsid w:val="00436F7D"/>
    <w:rsid w:val="00437A81"/>
    <w:rsid w:val="004424D9"/>
    <w:rsid w:val="00444B08"/>
    <w:rsid w:val="00446D1A"/>
    <w:rsid w:val="004474E2"/>
    <w:rsid w:val="00447524"/>
    <w:rsid w:val="0045164D"/>
    <w:rsid w:val="00453628"/>
    <w:rsid w:val="00453D69"/>
    <w:rsid w:val="00455241"/>
    <w:rsid w:val="00455334"/>
    <w:rsid w:val="00455503"/>
    <w:rsid w:val="00464DB4"/>
    <w:rsid w:val="004672CC"/>
    <w:rsid w:val="0046799C"/>
    <w:rsid w:val="00470814"/>
    <w:rsid w:val="004736C0"/>
    <w:rsid w:val="00473753"/>
    <w:rsid w:val="00480C17"/>
    <w:rsid w:val="00483B67"/>
    <w:rsid w:val="004852D5"/>
    <w:rsid w:val="00486CB9"/>
    <w:rsid w:val="00487635"/>
    <w:rsid w:val="004958A7"/>
    <w:rsid w:val="00495C8D"/>
    <w:rsid w:val="004972CA"/>
    <w:rsid w:val="004A1DE1"/>
    <w:rsid w:val="004A3A35"/>
    <w:rsid w:val="004A469D"/>
    <w:rsid w:val="004B1568"/>
    <w:rsid w:val="004B2BB2"/>
    <w:rsid w:val="004B4FC7"/>
    <w:rsid w:val="004B5591"/>
    <w:rsid w:val="004B5AD8"/>
    <w:rsid w:val="004B67B3"/>
    <w:rsid w:val="004C0354"/>
    <w:rsid w:val="004C5DD1"/>
    <w:rsid w:val="004D02D0"/>
    <w:rsid w:val="004D1D23"/>
    <w:rsid w:val="004D219D"/>
    <w:rsid w:val="004D4A88"/>
    <w:rsid w:val="004D52E7"/>
    <w:rsid w:val="004E4B75"/>
    <w:rsid w:val="004F2D7E"/>
    <w:rsid w:val="004F44F5"/>
    <w:rsid w:val="00500C5B"/>
    <w:rsid w:val="00501420"/>
    <w:rsid w:val="00502CB1"/>
    <w:rsid w:val="00504009"/>
    <w:rsid w:val="00506C6E"/>
    <w:rsid w:val="00510FD2"/>
    <w:rsid w:val="00511F4D"/>
    <w:rsid w:val="00523019"/>
    <w:rsid w:val="00523FDA"/>
    <w:rsid w:val="0052423F"/>
    <w:rsid w:val="0052777C"/>
    <w:rsid w:val="0053731A"/>
    <w:rsid w:val="005415B7"/>
    <w:rsid w:val="00542FB4"/>
    <w:rsid w:val="005431CF"/>
    <w:rsid w:val="005456AC"/>
    <w:rsid w:val="00545BCA"/>
    <w:rsid w:val="00547025"/>
    <w:rsid w:val="0054760C"/>
    <w:rsid w:val="00550F16"/>
    <w:rsid w:val="00554625"/>
    <w:rsid w:val="005555FF"/>
    <w:rsid w:val="00563F37"/>
    <w:rsid w:val="00564D4C"/>
    <w:rsid w:val="0056561B"/>
    <w:rsid w:val="00566606"/>
    <w:rsid w:val="00567194"/>
    <w:rsid w:val="005677F1"/>
    <w:rsid w:val="00573B92"/>
    <w:rsid w:val="00587A35"/>
    <w:rsid w:val="00587AB6"/>
    <w:rsid w:val="005924C8"/>
    <w:rsid w:val="00595895"/>
    <w:rsid w:val="0059684D"/>
    <w:rsid w:val="005973D9"/>
    <w:rsid w:val="005A0442"/>
    <w:rsid w:val="005A11A7"/>
    <w:rsid w:val="005A1586"/>
    <w:rsid w:val="005A2620"/>
    <w:rsid w:val="005A4674"/>
    <w:rsid w:val="005A5773"/>
    <w:rsid w:val="005B0727"/>
    <w:rsid w:val="005B0AF9"/>
    <w:rsid w:val="005B11BA"/>
    <w:rsid w:val="005B37FF"/>
    <w:rsid w:val="005B3ACD"/>
    <w:rsid w:val="005B484D"/>
    <w:rsid w:val="005C05D7"/>
    <w:rsid w:val="005C330A"/>
    <w:rsid w:val="005D02BE"/>
    <w:rsid w:val="005D43F5"/>
    <w:rsid w:val="005E0058"/>
    <w:rsid w:val="005E3057"/>
    <w:rsid w:val="005F748F"/>
    <w:rsid w:val="005F7D1A"/>
    <w:rsid w:val="00610F14"/>
    <w:rsid w:val="006121BE"/>
    <w:rsid w:val="0061340F"/>
    <w:rsid w:val="00613B36"/>
    <w:rsid w:val="0061713C"/>
    <w:rsid w:val="00621F62"/>
    <w:rsid w:val="00623822"/>
    <w:rsid w:val="0062411E"/>
    <w:rsid w:val="00627BA9"/>
    <w:rsid w:val="00633992"/>
    <w:rsid w:val="006425C5"/>
    <w:rsid w:val="00642B4C"/>
    <w:rsid w:val="00644B35"/>
    <w:rsid w:val="00647413"/>
    <w:rsid w:val="00655007"/>
    <w:rsid w:val="00660A72"/>
    <w:rsid w:val="006629C8"/>
    <w:rsid w:val="00664ADE"/>
    <w:rsid w:val="00665500"/>
    <w:rsid w:val="00665B44"/>
    <w:rsid w:val="00667B36"/>
    <w:rsid w:val="00670308"/>
    <w:rsid w:val="00670D71"/>
    <w:rsid w:val="00673B18"/>
    <w:rsid w:val="00676539"/>
    <w:rsid w:val="00682143"/>
    <w:rsid w:val="00682B3C"/>
    <w:rsid w:val="00685758"/>
    <w:rsid w:val="00685F7D"/>
    <w:rsid w:val="00686D5A"/>
    <w:rsid w:val="00687742"/>
    <w:rsid w:val="00690AC9"/>
    <w:rsid w:val="00691C01"/>
    <w:rsid w:val="00695E50"/>
    <w:rsid w:val="00696D50"/>
    <w:rsid w:val="006A0E48"/>
    <w:rsid w:val="006A1B42"/>
    <w:rsid w:val="006A3805"/>
    <w:rsid w:val="006A47A7"/>
    <w:rsid w:val="006A68F6"/>
    <w:rsid w:val="006A7D8B"/>
    <w:rsid w:val="006B0771"/>
    <w:rsid w:val="006B6C58"/>
    <w:rsid w:val="006C07E3"/>
    <w:rsid w:val="006C0D92"/>
    <w:rsid w:val="006C116F"/>
    <w:rsid w:val="006C13A9"/>
    <w:rsid w:val="006C1451"/>
    <w:rsid w:val="006C1C0A"/>
    <w:rsid w:val="006C24CC"/>
    <w:rsid w:val="006C25E9"/>
    <w:rsid w:val="006C3530"/>
    <w:rsid w:val="006C3EF7"/>
    <w:rsid w:val="006C4584"/>
    <w:rsid w:val="006C499C"/>
    <w:rsid w:val="006D0073"/>
    <w:rsid w:val="006D385E"/>
    <w:rsid w:val="006D4AFF"/>
    <w:rsid w:val="006D5C9C"/>
    <w:rsid w:val="006D766F"/>
    <w:rsid w:val="006E0D46"/>
    <w:rsid w:val="006E6154"/>
    <w:rsid w:val="006F7B24"/>
    <w:rsid w:val="0070128F"/>
    <w:rsid w:val="00707FBA"/>
    <w:rsid w:val="00712510"/>
    <w:rsid w:val="007127DE"/>
    <w:rsid w:val="00713F78"/>
    <w:rsid w:val="00716852"/>
    <w:rsid w:val="00721112"/>
    <w:rsid w:val="0072664C"/>
    <w:rsid w:val="00726CC9"/>
    <w:rsid w:val="00730CA4"/>
    <w:rsid w:val="007311FB"/>
    <w:rsid w:val="00731BA5"/>
    <w:rsid w:val="00734589"/>
    <w:rsid w:val="00734DCC"/>
    <w:rsid w:val="0074272C"/>
    <w:rsid w:val="00743A00"/>
    <w:rsid w:val="00747BB3"/>
    <w:rsid w:val="007507B4"/>
    <w:rsid w:val="00752152"/>
    <w:rsid w:val="0075555D"/>
    <w:rsid w:val="0075757C"/>
    <w:rsid w:val="00757952"/>
    <w:rsid w:val="00760CCE"/>
    <w:rsid w:val="0076464B"/>
    <w:rsid w:val="0076746E"/>
    <w:rsid w:val="00777DD6"/>
    <w:rsid w:val="007821F2"/>
    <w:rsid w:val="0078384F"/>
    <w:rsid w:val="00784E1A"/>
    <w:rsid w:val="00785643"/>
    <w:rsid w:val="00786703"/>
    <w:rsid w:val="00787553"/>
    <w:rsid w:val="007A57A7"/>
    <w:rsid w:val="007A6A3B"/>
    <w:rsid w:val="007B266E"/>
    <w:rsid w:val="007B7113"/>
    <w:rsid w:val="007C315D"/>
    <w:rsid w:val="007C4360"/>
    <w:rsid w:val="007D0247"/>
    <w:rsid w:val="007D28EB"/>
    <w:rsid w:val="007D5A46"/>
    <w:rsid w:val="007E2891"/>
    <w:rsid w:val="007E3044"/>
    <w:rsid w:val="007E34A6"/>
    <w:rsid w:val="007E353D"/>
    <w:rsid w:val="007E4CB8"/>
    <w:rsid w:val="007F1FA8"/>
    <w:rsid w:val="007F5185"/>
    <w:rsid w:val="007F5E79"/>
    <w:rsid w:val="007F7DD4"/>
    <w:rsid w:val="00800D5A"/>
    <w:rsid w:val="0080197D"/>
    <w:rsid w:val="00801B45"/>
    <w:rsid w:val="00804FCF"/>
    <w:rsid w:val="00806F50"/>
    <w:rsid w:val="008074C3"/>
    <w:rsid w:val="008078F1"/>
    <w:rsid w:val="00807C71"/>
    <w:rsid w:val="00810AC3"/>
    <w:rsid w:val="0081142C"/>
    <w:rsid w:val="00814A42"/>
    <w:rsid w:val="00826954"/>
    <w:rsid w:val="008274AA"/>
    <w:rsid w:val="00831C60"/>
    <w:rsid w:val="008326CA"/>
    <w:rsid w:val="00833397"/>
    <w:rsid w:val="00836789"/>
    <w:rsid w:val="00836EC2"/>
    <w:rsid w:val="008403E1"/>
    <w:rsid w:val="00842F48"/>
    <w:rsid w:val="00842F94"/>
    <w:rsid w:val="00845406"/>
    <w:rsid w:val="00845CD6"/>
    <w:rsid w:val="00847991"/>
    <w:rsid w:val="008560AC"/>
    <w:rsid w:val="00856EFE"/>
    <w:rsid w:val="00864D6B"/>
    <w:rsid w:val="00870BC9"/>
    <w:rsid w:val="008742D9"/>
    <w:rsid w:val="00875E46"/>
    <w:rsid w:val="008760C2"/>
    <w:rsid w:val="008765EC"/>
    <w:rsid w:val="00877545"/>
    <w:rsid w:val="00877BC8"/>
    <w:rsid w:val="00882FF1"/>
    <w:rsid w:val="00883E3D"/>
    <w:rsid w:val="00885741"/>
    <w:rsid w:val="0088692B"/>
    <w:rsid w:val="00890EBC"/>
    <w:rsid w:val="008914F3"/>
    <w:rsid w:val="00895662"/>
    <w:rsid w:val="00896A97"/>
    <w:rsid w:val="008A05E1"/>
    <w:rsid w:val="008A278E"/>
    <w:rsid w:val="008A2BE7"/>
    <w:rsid w:val="008A3992"/>
    <w:rsid w:val="008B050F"/>
    <w:rsid w:val="008B4CE8"/>
    <w:rsid w:val="008B60BE"/>
    <w:rsid w:val="008B63DB"/>
    <w:rsid w:val="008C23F4"/>
    <w:rsid w:val="008C26E6"/>
    <w:rsid w:val="008C3FAF"/>
    <w:rsid w:val="008D006B"/>
    <w:rsid w:val="008D1B8D"/>
    <w:rsid w:val="008D4BF5"/>
    <w:rsid w:val="008D6C67"/>
    <w:rsid w:val="008E5720"/>
    <w:rsid w:val="008F32AF"/>
    <w:rsid w:val="008F67EB"/>
    <w:rsid w:val="008F6CC5"/>
    <w:rsid w:val="008F7495"/>
    <w:rsid w:val="008F7BF7"/>
    <w:rsid w:val="00906BF8"/>
    <w:rsid w:val="0090710A"/>
    <w:rsid w:val="009132C6"/>
    <w:rsid w:val="009204C0"/>
    <w:rsid w:val="009205CD"/>
    <w:rsid w:val="00923CAD"/>
    <w:rsid w:val="009309AC"/>
    <w:rsid w:val="009313AB"/>
    <w:rsid w:val="009334FD"/>
    <w:rsid w:val="009375AA"/>
    <w:rsid w:val="009416C8"/>
    <w:rsid w:val="00942AAB"/>
    <w:rsid w:val="00945B24"/>
    <w:rsid w:val="00946A05"/>
    <w:rsid w:val="00946C90"/>
    <w:rsid w:val="00951599"/>
    <w:rsid w:val="009524C4"/>
    <w:rsid w:val="00952C82"/>
    <w:rsid w:val="00953D30"/>
    <w:rsid w:val="00955002"/>
    <w:rsid w:val="009614B1"/>
    <w:rsid w:val="00961F18"/>
    <w:rsid w:val="009632DE"/>
    <w:rsid w:val="00964284"/>
    <w:rsid w:val="00966E15"/>
    <w:rsid w:val="00976CBB"/>
    <w:rsid w:val="00977261"/>
    <w:rsid w:val="00985329"/>
    <w:rsid w:val="009859D1"/>
    <w:rsid w:val="0099164E"/>
    <w:rsid w:val="0099176F"/>
    <w:rsid w:val="009929EA"/>
    <w:rsid w:val="00996972"/>
    <w:rsid w:val="00997615"/>
    <w:rsid w:val="009A337C"/>
    <w:rsid w:val="009A5DB2"/>
    <w:rsid w:val="009A6116"/>
    <w:rsid w:val="009B2710"/>
    <w:rsid w:val="009B4055"/>
    <w:rsid w:val="009C05AA"/>
    <w:rsid w:val="009C524E"/>
    <w:rsid w:val="009C5530"/>
    <w:rsid w:val="009D364D"/>
    <w:rsid w:val="009D3BDF"/>
    <w:rsid w:val="009D424D"/>
    <w:rsid w:val="009D4A0B"/>
    <w:rsid w:val="009D7035"/>
    <w:rsid w:val="009D75C2"/>
    <w:rsid w:val="009D7796"/>
    <w:rsid w:val="009E1180"/>
    <w:rsid w:val="009E297A"/>
    <w:rsid w:val="009E50BC"/>
    <w:rsid w:val="009E7563"/>
    <w:rsid w:val="009F0128"/>
    <w:rsid w:val="009F02CF"/>
    <w:rsid w:val="00A05B76"/>
    <w:rsid w:val="00A10AEB"/>
    <w:rsid w:val="00A111F1"/>
    <w:rsid w:val="00A12CF4"/>
    <w:rsid w:val="00A13478"/>
    <w:rsid w:val="00A14353"/>
    <w:rsid w:val="00A14B19"/>
    <w:rsid w:val="00A20388"/>
    <w:rsid w:val="00A22AC3"/>
    <w:rsid w:val="00A232FF"/>
    <w:rsid w:val="00A257A3"/>
    <w:rsid w:val="00A261BC"/>
    <w:rsid w:val="00A31487"/>
    <w:rsid w:val="00A31E01"/>
    <w:rsid w:val="00A36B8F"/>
    <w:rsid w:val="00A44239"/>
    <w:rsid w:val="00A4465C"/>
    <w:rsid w:val="00A461DA"/>
    <w:rsid w:val="00A5528F"/>
    <w:rsid w:val="00A55D87"/>
    <w:rsid w:val="00A564C1"/>
    <w:rsid w:val="00A60C76"/>
    <w:rsid w:val="00A615A1"/>
    <w:rsid w:val="00A629C9"/>
    <w:rsid w:val="00A6568E"/>
    <w:rsid w:val="00A74D5F"/>
    <w:rsid w:val="00A74DF2"/>
    <w:rsid w:val="00A75AA2"/>
    <w:rsid w:val="00A768E2"/>
    <w:rsid w:val="00A80869"/>
    <w:rsid w:val="00A82634"/>
    <w:rsid w:val="00A841D3"/>
    <w:rsid w:val="00A86B8D"/>
    <w:rsid w:val="00A914C7"/>
    <w:rsid w:val="00AA033B"/>
    <w:rsid w:val="00AA1D0C"/>
    <w:rsid w:val="00AA2BBD"/>
    <w:rsid w:val="00AA4994"/>
    <w:rsid w:val="00AA4FD1"/>
    <w:rsid w:val="00AA5B62"/>
    <w:rsid w:val="00AA6131"/>
    <w:rsid w:val="00AB038E"/>
    <w:rsid w:val="00AB09C1"/>
    <w:rsid w:val="00AB5348"/>
    <w:rsid w:val="00AB577C"/>
    <w:rsid w:val="00AC0650"/>
    <w:rsid w:val="00AC0BEF"/>
    <w:rsid w:val="00AC171B"/>
    <w:rsid w:val="00AC2745"/>
    <w:rsid w:val="00AC56B1"/>
    <w:rsid w:val="00AC68D2"/>
    <w:rsid w:val="00AD174F"/>
    <w:rsid w:val="00AD26A2"/>
    <w:rsid w:val="00AD4425"/>
    <w:rsid w:val="00AE4807"/>
    <w:rsid w:val="00AE63FF"/>
    <w:rsid w:val="00AE7D1D"/>
    <w:rsid w:val="00AF0810"/>
    <w:rsid w:val="00AF219E"/>
    <w:rsid w:val="00AF6BD0"/>
    <w:rsid w:val="00B02817"/>
    <w:rsid w:val="00B06925"/>
    <w:rsid w:val="00B06AD6"/>
    <w:rsid w:val="00B121DE"/>
    <w:rsid w:val="00B12E8B"/>
    <w:rsid w:val="00B12FB9"/>
    <w:rsid w:val="00B133CF"/>
    <w:rsid w:val="00B16644"/>
    <w:rsid w:val="00B174EF"/>
    <w:rsid w:val="00B20C62"/>
    <w:rsid w:val="00B24708"/>
    <w:rsid w:val="00B27F43"/>
    <w:rsid w:val="00B3075D"/>
    <w:rsid w:val="00B31CDD"/>
    <w:rsid w:val="00B361C0"/>
    <w:rsid w:val="00B400A9"/>
    <w:rsid w:val="00B42B18"/>
    <w:rsid w:val="00B46CEA"/>
    <w:rsid w:val="00B479AB"/>
    <w:rsid w:val="00B50AE6"/>
    <w:rsid w:val="00B516A0"/>
    <w:rsid w:val="00B57622"/>
    <w:rsid w:val="00B61EC4"/>
    <w:rsid w:val="00B64910"/>
    <w:rsid w:val="00B66AE9"/>
    <w:rsid w:val="00B6714B"/>
    <w:rsid w:val="00B677E0"/>
    <w:rsid w:val="00B70AAE"/>
    <w:rsid w:val="00B7574D"/>
    <w:rsid w:val="00B7775B"/>
    <w:rsid w:val="00B77AC8"/>
    <w:rsid w:val="00B81265"/>
    <w:rsid w:val="00B82B3D"/>
    <w:rsid w:val="00B83BF3"/>
    <w:rsid w:val="00B852EA"/>
    <w:rsid w:val="00B86604"/>
    <w:rsid w:val="00B9188A"/>
    <w:rsid w:val="00B91D9A"/>
    <w:rsid w:val="00B924FF"/>
    <w:rsid w:val="00B96429"/>
    <w:rsid w:val="00B97A09"/>
    <w:rsid w:val="00BA1299"/>
    <w:rsid w:val="00BA2333"/>
    <w:rsid w:val="00BA2BBB"/>
    <w:rsid w:val="00BA3A80"/>
    <w:rsid w:val="00BA558B"/>
    <w:rsid w:val="00BB2AB7"/>
    <w:rsid w:val="00BB2ECF"/>
    <w:rsid w:val="00BC1940"/>
    <w:rsid w:val="00BC471D"/>
    <w:rsid w:val="00BC616C"/>
    <w:rsid w:val="00BC733C"/>
    <w:rsid w:val="00BD3768"/>
    <w:rsid w:val="00BD6285"/>
    <w:rsid w:val="00BD67FB"/>
    <w:rsid w:val="00BE4C04"/>
    <w:rsid w:val="00BE62A6"/>
    <w:rsid w:val="00BE751F"/>
    <w:rsid w:val="00BF060C"/>
    <w:rsid w:val="00BF0C4A"/>
    <w:rsid w:val="00BF214B"/>
    <w:rsid w:val="00BF4ACD"/>
    <w:rsid w:val="00BF7441"/>
    <w:rsid w:val="00C007A1"/>
    <w:rsid w:val="00C02630"/>
    <w:rsid w:val="00C034D2"/>
    <w:rsid w:val="00C1059F"/>
    <w:rsid w:val="00C10777"/>
    <w:rsid w:val="00C12618"/>
    <w:rsid w:val="00C12932"/>
    <w:rsid w:val="00C15C06"/>
    <w:rsid w:val="00C25D93"/>
    <w:rsid w:val="00C2620B"/>
    <w:rsid w:val="00C265E7"/>
    <w:rsid w:val="00C32129"/>
    <w:rsid w:val="00C32F20"/>
    <w:rsid w:val="00C33FC9"/>
    <w:rsid w:val="00C35258"/>
    <w:rsid w:val="00C37130"/>
    <w:rsid w:val="00C4565F"/>
    <w:rsid w:val="00C474B8"/>
    <w:rsid w:val="00C51ABC"/>
    <w:rsid w:val="00C51CB4"/>
    <w:rsid w:val="00C5369C"/>
    <w:rsid w:val="00C54BF6"/>
    <w:rsid w:val="00C54EE3"/>
    <w:rsid w:val="00C56E4C"/>
    <w:rsid w:val="00C602D1"/>
    <w:rsid w:val="00C6052E"/>
    <w:rsid w:val="00C60CB5"/>
    <w:rsid w:val="00C655F9"/>
    <w:rsid w:val="00C6583B"/>
    <w:rsid w:val="00C67760"/>
    <w:rsid w:val="00C7402B"/>
    <w:rsid w:val="00C7595D"/>
    <w:rsid w:val="00C772E3"/>
    <w:rsid w:val="00C810DD"/>
    <w:rsid w:val="00C85D95"/>
    <w:rsid w:val="00C87495"/>
    <w:rsid w:val="00C90D59"/>
    <w:rsid w:val="00C95FF7"/>
    <w:rsid w:val="00C9766D"/>
    <w:rsid w:val="00CA0CC4"/>
    <w:rsid w:val="00CA1E27"/>
    <w:rsid w:val="00CA3857"/>
    <w:rsid w:val="00CA5150"/>
    <w:rsid w:val="00CA5695"/>
    <w:rsid w:val="00CA6774"/>
    <w:rsid w:val="00CB3013"/>
    <w:rsid w:val="00CB50F4"/>
    <w:rsid w:val="00CB7E76"/>
    <w:rsid w:val="00CC031E"/>
    <w:rsid w:val="00CC133F"/>
    <w:rsid w:val="00CC495D"/>
    <w:rsid w:val="00CC7A2D"/>
    <w:rsid w:val="00CC7F7B"/>
    <w:rsid w:val="00CD108B"/>
    <w:rsid w:val="00CD188E"/>
    <w:rsid w:val="00CD26C6"/>
    <w:rsid w:val="00CD38C3"/>
    <w:rsid w:val="00CD5995"/>
    <w:rsid w:val="00CD7006"/>
    <w:rsid w:val="00CE1292"/>
    <w:rsid w:val="00CE50C7"/>
    <w:rsid w:val="00CE5FEC"/>
    <w:rsid w:val="00CE7BCE"/>
    <w:rsid w:val="00CF2F0A"/>
    <w:rsid w:val="00D0050E"/>
    <w:rsid w:val="00D00709"/>
    <w:rsid w:val="00D01BF0"/>
    <w:rsid w:val="00D052A5"/>
    <w:rsid w:val="00D0679E"/>
    <w:rsid w:val="00D07042"/>
    <w:rsid w:val="00D0743D"/>
    <w:rsid w:val="00D10328"/>
    <w:rsid w:val="00D10C08"/>
    <w:rsid w:val="00D121D9"/>
    <w:rsid w:val="00D1336D"/>
    <w:rsid w:val="00D17CB5"/>
    <w:rsid w:val="00D23B8B"/>
    <w:rsid w:val="00D27C2D"/>
    <w:rsid w:val="00D30973"/>
    <w:rsid w:val="00D31371"/>
    <w:rsid w:val="00D41064"/>
    <w:rsid w:val="00D4316F"/>
    <w:rsid w:val="00D44BE8"/>
    <w:rsid w:val="00D501BC"/>
    <w:rsid w:val="00D50E41"/>
    <w:rsid w:val="00D57D81"/>
    <w:rsid w:val="00D6154E"/>
    <w:rsid w:val="00D63DB9"/>
    <w:rsid w:val="00D6786A"/>
    <w:rsid w:val="00D679CF"/>
    <w:rsid w:val="00D67DA6"/>
    <w:rsid w:val="00D700BA"/>
    <w:rsid w:val="00D7216D"/>
    <w:rsid w:val="00D721E1"/>
    <w:rsid w:val="00D74294"/>
    <w:rsid w:val="00D751F0"/>
    <w:rsid w:val="00D815AF"/>
    <w:rsid w:val="00D81A15"/>
    <w:rsid w:val="00D82323"/>
    <w:rsid w:val="00D84527"/>
    <w:rsid w:val="00D84B62"/>
    <w:rsid w:val="00D874D7"/>
    <w:rsid w:val="00D90432"/>
    <w:rsid w:val="00D91A35"/>
    <w:rsid w:val="00D91E44"/>
    <w:rsid w:val="00D9255D"/>
    <w:rsid w:val="00D96D68"/>
    <w:rsid w:val="00DA2B90"/>
    <w:rsid w:val="00DA3133"/>
    <w:rsid w:val="00DA3FA7"/>
    <w:rsid w:val="00DA4E4B"/>
    <w:rsid w:val="00DA7AF5"/>
    <w:rsid w:val="00DB1426"/>
    <w:rsid w:val="00DB1A8D"/>
    <w:rsid w:val="00DB1F1B"/>
    <w:rsid w:val="00DB471F"/>
    <w:rsid w:val="00DC015D"/>
    <w:rsid w:val="00DC79D0"/>
    <w:rsid w:val="00DD46FC"/>
    <w:rsid w:val="00DF16FA"/>
    <w:rsid w:val="00DF449D"/>
    <w:rsid w:val="00DF6186"/>
    <w:rsid w:val="00DF6A54"/>
    <w:rsid w:val="00E00B18"/>
    <w:rsid w:val="00E01A57"/>
    <w:rsid w:val="00E04965"/>
    <w:rsid w:val="00E17D69"/>
    <w:rsid w:val="00E20360"/>
    <w:rsid w:val="00E2063C"/>
    <w:rsid w:val="00E25B2F"/>
    <w:rsid w:val="00E26572"/>
    <w:rsid w:val="00E330EE"/>
    <w:rsid w:val="00E34476"/>
    <w:rsid w:val="00E362E1"/>
    <w:rsid w:val="00E36455"/>
    <w:rsid w:val="00E3735C"/>
    <w:rsid w:val="00E42838"/>
    <w:rsid w:val="00E43FD5"/>
    <w:rsid w:val="00E53F4C"/>
    <w:rsid w:val="00E55C6B"/>
    <w:rsid w:val="00E55CAE"/>
    <w:rsid w:val="00E56445"/>
    <w:rsid w:val="00E578E1"/>
    <w:rsid w:val="00E6017E"/>
    <w:rsid w:val="00E64F4E"/>
    <w:rsid w:val="00E657F7"/>
    <w:rsid w:val="00E72103"/>
    <w:rsid w:val="00E726BE"/>
    <w:rsid w:val="00E747A1"/>
    <w:rsid w:val="00E770AC"/>
    <w:rsid w:val="00E8413B"/>
    <w:rsid w:val="00E842A7"/>
    <w:rsid w:val="00E91ECC"/>
    <w:rsid w:val="00E92AD0"/>
    <w:rsid w:val="00E92B34"/>
    <w:rsid w:val="00E92F27"/>
    <w:rsid w:val="00E95796"/>
    <w:rsid w:val="00EB05AF"/>
    <w:rsid w:val="00EB102F"/>
    <w:rsid w:val="00EB1EFB"/>
    <w:rsid w:val="00EB5934"/>
    <w:rsid w:val="00EB676D"/>
    <w:rsid w:val="00EC12BF"/>
    <w:rsid w:val="00EC21BB"/>
    <w:rsid w:val="00EC249E"/>
    <w:rsid w:val="00ED1A0E"/>
    <w:rsid w:val="00ED42C0"/>
    <w:rsid w:val="00EE234A"/>
    <w:rsid w:val="00EE3AD4"/>
    <w:rsid w:val="00EE3B1C"/>
    <w:rsid w:val="00EE7BF1"/>
    <w:rsid w:val="00EF74DD"/>
    <w:rsid w:val="00EF785B"/>
    <w:rsid w:val="00EF7A85"/>
    <w:rsid w:val="00F006B5"/>
    <w:rsid w:val="00F01235"/>
    <w:rsid w:val="00F035ED"/>
    <w:rsid w:val="00F0421E"/>
    <w:rsid w:val="00F05AE4"/>
    <w:rsid w:val="00F07647"/>
    <w:rsid w:val="00F105A0"/>
    <w:rsid w:val="00F135A3"/>
    <w:rsid w:val="00F15A62"/>
    <w:rsid w:val="00F17FD1"/>
    <w:rsid w:val="00F201D8"/>
    <w:rsid w:val="00F20DAF"/>
    <w:rsid w:val="00F21612"/>
    <w:rsid w:val="00F229D2"/>
    <w:rsid w:val="00F230F6"/>
    <w:rsid w:val="00F30B6B"/>
    <w:rsid w:val="00F34F45"/>
    <w:rsid w:val="00F37062"/>
    <w:rsid w:val="00F37AE0"/>
    <w:rsid w:val="00F416C9"/>
    <w:rsid w:val="00F41F0E"/>
    <w:rsid w:val="00F43745"/>
    <w:rsid w:val="00F43FA4"/>
    <w:rsid w:val="00F47CA2"/>
    <w:rsid w:val="00F53DE2"/>
    <w:rsid w:val="00F62826"/>
    <w:rsid w:val="00F64B30"/>
    <w:rsid w:val="00F708B5"/>
    <w:rsid w:val="00F75D86"/>
    <w:rsid w:val="00F76626"/>
    <w:rsid w:val="00F81AFC"/>
    <w:rsid w:val="00F829C1"/>
    <w:rsid w:val="00F848F5"/>
    <w:rsid w:val="00F855D2"/>
    <w:rsid w:val="00F9145D"/>
    <w:rsid w:val="00F92AA7"/>
    <w:rsid w:val="00F9466A"/>
    <w:rsid w:val="00FA0153"/>
    <w:rsid w:val="00FA17AB"/>
    <w:rsid w:val="00FA3045"/>
    <w:rsid w:val="00FA30C6"/>
    <w:rsid w:val="00FA6764"/>
    <w:rsid w:val="00FA7D51"/>
    <w:rsid w:val="00FB28D4"/>
    <w:rsid w:val="00FB2C94"/>
    <w:rsid w:val="00FB46F6"/>
    <w:rsid w:val="00FB4943"/>
    <w:rsid w:val="00FB4B63"/>
    <w:rsid w:val="00FB6025"/>
    <w:rsid w:val="00FC0AEF"/>
    <w:rsid w:val="00FC5D58"/>
    <w:rsid w:val="00FC6202"/>
    <w:rsid w:val="00FD31FE"/>
    <w:rsid w:val="00FD55AE"/>
    <w:rsid w:val="00FE05B1"/>
    <w:rsid w:val="00FE297C"/>
    <w:rsid w:val="00FE7F69"/>
    <w:rsid w:val="00FF3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871D19"/>
  <w15:docId w15:val="{F0D8A72F-5AC8-40DB-B03D-1015DA19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007"/>
    <w:rPr>
      <w:rFonts w:eastAsiaTheme="minorEastAsia"/>
      <w:lang w:eastAsia="es-MX"/>
    </w:rPr>
  </w:style>
  <w:style w:type="paragraph" w:styleId="Ttulo1">
    <w:name w:val="heading 1"/>
    <w:basedOn w:val="Normal"/>
    <w:link w:val="Ttulo1Car"/>
    <w:uiPriority w:val="9"/>
    <w:qFormat/>
    <w:rsid w:val="00B51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unhideWhenUsed/>
    <w:qFormat/>
    <w:rsid w:val="007579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049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16A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57952"/>
    <w:rPr>
      <w:rFonts w:asciiTheme="majorHAnsi" w:eastAsiaTheme="majorEastAsia" w:hAnsiTheme="majorHAnsi" w:cstheme="majorBidi"/>
      <w:color w:val="365F91" w:themeColor="accent1" w:themeShade="BF"/>
      <w:sz w:val="26"/>
      <w:szCs w:val="26"/>
      <w:lang w:eastAsia="es-MX"/>
    </w:rPr>
  </w:style>
  <w:style w:type="character" w:customStyle="1" w:styleId="Ttulo3Car">
    <w:name w:val="Título 3 Car"/>
    <w:basedOn w:val="Fuentedeprrafopredeter"/>
    <w:link w:val="Ttulo3"/>
    <w:uiPriority w:val="9"/>
    <w:rsid w:val="00E04965"/>
    <w:rPr>
      <w:rFonts w:asciiTheme="majorHAnsi" w:eastAsiaTheme="majorEastAsia" w:hAnsiTheme="majorHAnsi" w:cstheme="majorBidi"/>
      <w:color w:val="243F60" w:themeColor="accent1" w:themeShade="7F"/>
      <w:sz w:val="24"/>
      <w:szCs w:val="24"/>
      <w:lang w:eastAsia="es-MX"/>
    </w:rPr>
  </w:style>
  <w:style w:type="paragraph" w:styleId="Encabezado">
    <w:name w:val="header"/>
    <w:basedOn w:val="Normal"/>
    <w:link w:val="EncabezadoCar"/>
    <w:uiPriority w:val="99"/>
    <w:unhideWhenUsed/>
    <w:rsid w:val="00655007"/>
    <w:pPr>
      <w:tabs>
        <w:tab w:val="center" w:pos="4419"/>
        <w:tab w:val="right" w:pos="8838"/>
      </w:tabs>
    </w:pPr>
  </w:style>
  <w:style w:type="character" w:customStyle="1" w:styleId="EncabezadoCar">
    <w:name w:val="Encabezado Car"/>
    <w:basedOn w:val="Fuentedeprrafopredeter"/>
    <w:link w:val="Encabezado"/>
    <w:uiPriority w:val="99"/>
    <w:rsid w:val="00655007"/>
    <w:rPr>
      <w:rFonts w:eastAsiaTheme="minorEastAsia"/>
      <w:lang w:eastAsia="es-MX"/>
    </w:rPr>
  </w:style>
  <w:style w:type="paragraph" w:styleId="Textoindependiente2">
    <w:name w:val="Body Text 2"/>
    <w:basedOn w:val="Normal"/>
    <w:link w:val="Textoindependiente2Car"/>
    <w:rsid w:val="00655007"/>
    <w:pPr>
      <w:spacing w:after="0" w:line="240" w:lineRule="auto"/>
      <w:ind w:right="3826"/>
      <w:jc w:val="both"/>
    </w:pPr>
    <w:rPr>
      <w:rFonts w:ascii="Arial" w:eastAsia="Times New Roman" w:hAnsi="Arial" w:cs="Times New Roman"/>
      <w:b/>
      <w:sz w:val="24"/>
      <w:szCs w:val="20"/>
      <w:lang w:eastAsia="es-ES"/>
    </w:rPr>
  </w:style>
  <w:style w:type="character" w:customStyle="1" w:styleId="Textoindependiente2Car">
    <w:name w:val="Texto independiente 2 Car"/>
    <w:basedOn w:val="Fuentedeprrafopredeter"/>
    <w:link w:val="Textoindependiente2"/>
    <w:rsid w:val="00655007"/>
    <w:rPr>
      <w:rFonts w:ascii="Arial" w:eastAsia="Times New Roman" w:hAnsi="Arial" w:cs="Times New Roman"/>
      <w:b/>
      <w:sz w:val="24"/>
      <w:szCs w:val="20"/>
      <w:lang w:eastAsia="es-ES"/>
    </w:rPr>
  </w:style>
  <w:style w:type="paragraph" w:styleId="Sinespaciado">
    <w:name w:val="No Spacing"/>
    <w:uiPriority w:val="1"/>
    <w:qFormat/>
    <w:rsid w:val="00655007"/>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unhideWhenUsed/>
    <w:qFormat/>
    <w:rsid w:val="00655007"/>
    <w:pPr>
      <w:spacing w:after="120"/>
    </w:pPr>
  </w:style>
  <w:style w:type="character" w:customStyle="1" w:styleId="TextoindependienteCar">
    <w:name w:val="Texto independiente Car"/>
    <w:basedOn w:val="Fuentedeprrafopredeter"/>
    <w:link w:val="Textoindependiente"/>
    <w:uiPriority w:val="1"/>
    <w:rsid w:val="00655007"/>
    <w:rPr>
      <w:rFonts w:eastAsiaTheme="minorEastAsia"/>
      <w:lang w:eastAsia="es-MX"/>
    </w:rPr>
  </w:style>
  <w:style w:type="table" w:styleId="Tablaconcuadrcula">
    <w:name w:val="Table Grid"/>
    <w:basedOn w:val="Tablanormal"/>
    <w:uiPriority w:val="59"/>
    <w:rsid w:val="0065500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46A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6A05"/>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CE12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292"/>
    <w:rPr>
      <w:rFonts w:eastAsiaTheme="minorEastAsia"/>
      <w:lang w:eastAsia="es-MX"/>
    </w:rPr>
  </w:style>
  <w:style w:type="paragraph" w:customStyle="1" w:styleId="Texto">
    <w:name w:val="Texto"/>
    <w:basedOn w:val="Normal"/>
    <w:link w:val="TextoCar"/>
    <w:rsid w:val="00D501B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501BC"/>
    <w:rPr>
      <w:rFonts w:ascii="Arial" w:eastAsia="Times New Roman" w:hAnsi="Arial" w:cs="Arial"/>
      <w:sz w:val="18"/>
      <w:szCs w:val="20"/>
      <w:lang w:val="es-ES" w:eastAsia="es-ES"/>
    </w:rPr>
  </w:style>
  <w:style w:type="character" w:styleId="Textoennegrita">
    <w:name w:val="Strong"/>
    <w:basedOn w:val="Fuentedeprrafopredeter"/>
    <w:uiPriority w:val="22"/>
    <w:qFormat/>
    <w:rsid w:val="00D0679E"/>
    <w:rPr>
      <w:b/>
      <w:bCs/>
    </w:rPr>
  </w:style>
  <w:style w:type="character" w:customStyle="1" w:styleId="apple-converted-space">
    <w:name w:val="apple-converted-space"/>
    <w:basedOn w:val="Fuentedeprrafopredeter"/>
    <w:rsid w:val="00D0679E"/>
  </w:style>
  <w:style w:type="paragraph" w:styleId="Prrafodelista">
    <w:name w:val="List Paragraph"/>
    <w:basedOn w:val="Normal"/>
    <w:uiPriority w:val="1"/>
    <w:qFormat/>
    <w:rsid w:val="00FC6202"/>
    <w:pPr>
      <w:ind w:left="720"/>
      <w:contextualSpacing/>
    </w:pPr>
  </w:style>
  <w:style w:type="character" w:styleId="nfasis">
    <w:name w:val="Emphasis"/>
    <w:basedOn w:val="Fuentedeprrafopredeter"/>
    <w:uiPriority w:val="20"/>
    <w:qFormat/>
    <w:rsid w:val="00BC733C"/>
    <w:rPr>
      <w:i/>
      <w:iCs/>
    </w:rPr>
  </w:style>
  <w:style w:type="paragraph" w:styleId="NormalWeb">
    <w:name w:val="Normal (Web)"/>
    <w:basedOn w:val="Normal"/>
    <w:uiPriority w:val="99"/>
    <w:semiHidden/>
    <w:unhideWhenUsed/>
    <w:rsid w:val="00A768E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5555FF"/>
    <w:rPr>
      <w:color w:val="0000FF"/>
      <w:u w:val="single"/>
    </w:rPr>
  </w:style>
  <w:style w:type="character" w:styleId="Textodelmarcadordeposicin">
    <w:name w:val="Placeholder Text"/>
    <w:basedOn w:val="Fuentedeprrafopredeter"/>
    <w:uiPriority w:val="99"/>
    <w:semiHidden/>
    <w:rsid w:val="00F41F0E"/>
    <w:rPr>
      <w:color w:val="808080"/>
    </w:rPr>
  </w:style>
  <w:style w:type="character" w:styleId="Refdecomentario">
    <w:name w:val="annotation reference"/>
    <w:basedOn w:val="Fuentedeprrafopredeter"/>
    <w:uiPriority w:val="99"/>
    <w:semiHidden/>
    <w:unhideWhenUsed/>
    <w:rsid w:val="00D874D7"/>
    <w:rPr>
      <w:sz w:val="16"/>
      <w:szCs w:val="16"/>
    </w:rPr>
  </w:style>
  <w:style w:type="paragraph" w:styleId="TtuloTDC">
    <w:name w:val="TOC Heading"/>
    <w:basedOn w:val="Ttulo1"/>
    <w:next w:val="Normal"/>
    <w:uiPriority w:val="39"/>
    <w:unhideWhenUsed/>
    <w:qFormat/>
    <w:rsid w:val="00DA3FA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extocomentario">
    <w:name w:val="annotation text"/>
    <w:basedOn w:val="Normal"/>
    <w:link w:val="TextocomentarioCar"/>
    <w:uiPriority w:val="99"/>
    <w:unhideWhenUsed/>
    <w:rsid w:val="006A7D8B"/>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rsid w:val="006A7D8B"/>
    <w:rPr>
      <w:sz w:val="20"/>
      <w:szCs w:val="20"/>
    </w:rPr>
  </w:style>
  <w:style w:type="paragraph" w:customStyle="1" w:styleId="Estilo1">
    <w:name w:val="Estilo1"/>
    <w:basedOn w:val="Ttulo2"/>
    <w:link w:val="Estilo1Car"/>
    <w:qFormat/>
    <w:rsid w:val="00757952"/>
    <w:rPr>
      <w:color w:val="9BBB59" w:themeColor="accent3"/>
      <w:lang w:val="es-ES"/>
    </w:rPr>
  </w:style>
  <w:style w:type="character" w:customStyle="1" w:styleId="Estilo1Car">
    <w:name w:val="Estilo1 Car"/>
    <w:basedOn w:val="Ttulo2Car"/>
    <w:link w:val="Estilo1"/>
    <w:rsid w:val="00757952"/>
    <w:rPr>
      <w:rFonts w:asciiTheme="majorHAnsi" w:eastAsiaTheme="majorEastAsia" w:hAnsiTheme="majorHAnsi" w:cstheme="majorBidi"/>
      <w:color w:val="9BBB59" w:themeColor="accent3"/>
      <w:sz w:val="26"/>
      <w:szCs w:val="26"/>
      <w:lang w:val="es-ES" w:eastAsia="es-MX"/>
    </w:rPr>
  </w:style>
  <w:style w:type="paragraph" w:styleId="TDC2">
    <w:name w:val="toc 2"/>
    <w:basedOn w:val="Normal"/>
    <w:next w:val="Normal"/>
    <w:autoRedefine/>
    <w:uiPriority w:val="39"/>
    <w:unhideWhenUsed/>
    <w:rsid w:val="00323261"/>
    <w:pPr>
      <w:spacing w:after="100" w:line="259" w:lineRule="auto"/>
      <w:ind w:left="220"/>
    </w:pPr>
    <w:rPr>
      <w:rFonts w:cs="Times New Roman"/>
    </w:rPr>
  </w:style>
  <w:style w:type="paragraph" w:styleId="TDC1">
    <w:name w:val="toc 1"/>
    <w:basedOn w:val="Normal"/>
    <w:next w:val="Normal"/>
    <w:autoRedefine/>
    <w:uiPriority w:val="39"/>
    <w:unhideWhenUsed/>
    <w:rsid w:val="00323261"/>
    <w:pPr>
      <w:spacing w:after="100" w:line="259" w:lineRule="auto"/>
    </w:pPr>
    <w:rPr>
      <w:rFonts w:cs="Times New Roman"/>
    </w:rPr>
  </w:style>
  <w:style w:type="paragraph" w:styleId="TDC3">
    <w:name w:val="toc 3"/>
    <w:basedOn w:val="Normal"/>
    <w:next w:val="Normal"/>
    <w:autoRedefine/>
    <w:uiPriority w:val="39"/>
    <w:unhideWhenUsed/>
    <w:rsid w:val="00323261"/>
    <w:pPr>
      <w:spacing w:after="100" w:line="259" w:lineRule="auto"/>
      <w:ind w:left="440"/>
    </w:pPr>
    <w:rPr>
      <w:rFonts w:cs="Times New Roman"/>
    </w:rPr>
  </w:style>
  <w:style w:type="paragraph" w:customStyle="1" w:styleId="TableParagraph">
    <w:name w:val="Table Paragraph"/>
    <w:basedOn w:val="Normal"/>
    <w:uiPriority w:val="1"/>
    <w:qFormat/>
    <w:rsid w:val="003544E0"/>
    <w:pPr>
      <w:widowControl w:val="0"/>
      <w:spacing w:after="0" w:line="240" w:lineRule="auto"/>
    </w:pPr>
    <w:rPr>
      <w:rFonts w:eastAsiaTheme="minorHAnsi"/>
      <w:lang w:val="en-US" w:eastAsia="en-US"/>
    </w:rPr>
  </w:style>
  <w:style w:type="paragraph" w:styleId="Listaconvietas">
    <w:name w:val="List Bullet"/>
    <w:basedOn w:val="Normal"/>
    <w:uiPriority w:val="99"/>
    <w:unhideWhenUsed/>
    <w:rsid w:val="00FE05B1"/>
    <w:pPr>
      <w:numPr>
        <w:numId w:val="4"/>
      </w:numPr>
      <w:contextualSpacing/>
    </w:pPr>
  </w:style>
  <w:style w:type="character" w:styleId="nfasisintenso">
    <w:name w:val="Intense Emphasis"/>
    <w:basedOn w:val="Fuentedeprrafopredeter"/>
    <w:uiPriority w:val="21"/>
    <w:qFormat/>
    <w:rsid w:val="0078384F"/>
    <w:rPr>
      <w:i/>
      <w:iCs/>
      <w:color w:val="4F81BD" w:themeColor="accent1"/>
    </w:rPr>
  </w:style>
  <w:style w:type="paragraph" w:styleId="Asuntodelcomentario">
    <w:name w:val="annotation subject"/>
    <w:basedOn w:val="Textocomentario"/>
    <w:next w:val="Textocomentario"/>
    <w:link w:val="AsuntodelcomentarioCar"/>
    <w:uiPriority w:val="99"/>
    <w:semiHidden/>
    <w:unhideWhenUsed/>
    <w:rsid w:val="00587AB6"/>
    <w:pPr>
      <w:spacing w:after="200"/>
    </w:pPr>
    <w:rPr>
      <w:rFonts w:eastAsiaTheme="minorEastAsia"/>
      <w:b/>
      <w:bCs/>
      <w:lang w:eastAsia="es-MX"/>
    </w:rPr>
  </w:style>
  <w:style w:type="character" w:customStyle="1" w:styleId="AsuntodelcomentarioCar">
    <w:name w:val="Asunto del comentario Car"/>
    <w:basedOn w:val="TextocomentarioCar"/>
    <w:link w:val="Asuntodelcomentario"/>
    <w:uiPriority w:val="99"/>
    <w:semiHidden/>
    <w:rsid w:val="00587AB6"/>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5238">
      <w:bodyDiv w:val="1"/>
      <w:marLeft w:val="0"/>
      <w:marRight w:val="0"/>
      <w:marTop w:val="0"/>
      <w:marBottom w:val="0"/>
      <w:divBdr>
        <w:top w:val="none" w:sz="0" w:space="0" w:color="auto"/>
        <w:left w:val="none" w:sz="0" w:space="0" w:color="auto"/>
        <w:bottom w:val="none" w:sz="0" w:space="0" w:color="auto"/>
        <w:right w:val="none" w:sz="0" w:space="0" w:color="auto"/>
      </w:divBdr>
    </w:div>
    <w:div w:id="40832384">
      <w:bodyDiv w:val="1"/>
      <w:marLeft w:val="0"/>
      <w:marRight w:val="0"/>
      <w:marTop w:val="0"/>
      <w:marBottom w:val="0"/>
      <w:divBdr>
        <w:top w:val="none" w:sz="0" w:space="0" w:color="auto"/>
        <w:left w:val="none" w:sz="0" w:space="0" w:color="auto"/>
        <w:bottom w:val="none" w:sz="0" w:space="0" w:color="auto"/>
        <w:right w:val="none" w:sz="0" w:space="0" w:color="auto"/>
      </w:divBdr>
    </w:div>
    <w:div w:id="57023294">
      <w:bodyDiv w:val="1"/>
      <w:marLeft w:val="0"/>
      <w:marRight w:val="0"/>
      <w:marTop w:val="0"/>
      <w:marBottom w:val="0"/>
      <w:divBdr>
        <w:top w:val="none" w:sz="0" w:space="0" w:color="auto"/>
        <w:left w:val="none" w:sz="0" w:space="0" w:color="auto"/>
        <w:bottom w:val="none" w:sz="0" w:space="0" w:color="auto"/>
        <w:right w:val="none" w:sz="0" w:space="0" w:color="auto"/>
      </w:divBdr>
    </w:div>
    <w:div w:id="66463322">
      <w:bodyDiv w:val="1"/>
      <w:marLeft w:val="0"/>
      <w:marRight w:val="0"/>
      <w:marTop w:val="0"/>
      <w:marBottom w:val="0"/>
      <w:divBdr>
        <w:top w:val="none" w:sz="0" w:space="0" w:color="auto"/>
        <w:left w:val="none" w:sz="0" w:space="0" w:color="auto"/>
        <w:bottom w:val="none" w:sz="0" w:space="0" w:color="auto"/>
        <w:right w:val="none" w:sz="0" w:space="0" w:color="auto"/>
      </w:divBdr>
    </w:div>
    <w:div w:id="80877401">
      <w:bodyDiv w:val="1"/>
      <w:marLeft w:val="0"/>
      <w:marRight w:val="0"/>
      <w:marTop w:val="0"/>
      <w:marBottom w:val="0"/>
      <w:divBdr>
        <w:top w:val="none" w:sz="0" w:space="0" w:color="auto"/>
        <w:left w:val="none" w:sz="0" w:space="0" w:color="auto"/>
        <w:bottom w:val="none" w:sz="0" w:space="0" w:color="auto"/>
        <w:right w:val="none" w:sz="0" w:space="0" w:color="auto"/>
      </w:divBdr>
    </w:div>
    <w:div w:id="85155070">
      <w:bodyDiv w:val="1"/>
      <w:marLeft w:val="0"/>
      <w:marRight w:val="0"/>
      <w:marTop w:val="0"/>
      <w:marBottom w:val="0"/>
      <w:divBdr>
        <w:top w:val="none" w:sz="0" w:space="0" w:color="auto"/>
        <w:left w:val="none" w:sz="0" w:space="0" w:color="auto"/>
        <w:bottom w:val="none" w:sz="0" w:space="0" w:color="auto"/>
        <w:right w:val="none" w:sz="0" w:space="0" w:color="auto"/>
      </w:divBdr>
    </w:div>
    <w:div w:id="90392451">
      <w:bodyDiv w:val="1"/>
      <w:marLeft w:val="0"/>
      <w:marRight w:val="0"/>
      <w:marTop w:val="0"/>
      <w:marBottom w:val="0"/>
      <w:divBdr>
        <w:top w:val="none" w:sz="0" w:space="0" w:color="auto"/>
        <w:left w:val="none" w:sz="0" w:space="0" w:color="auto"/>
        <w:bottom w:val="none" w:sz="0" w:space="0" w:color="auto"/>
        <w:right w:val="none" w:sz="0" w:space="0" w:color="auto"/>
      </w:divBdr>
    </w:div>
    <w:div w:id="108934798">
      <w:bodyDiv w:val="1"/>
      <w:marLeft w:val="0"/>
      <w:marRight w:val="0"/>
      <w:marTop w:val="0"/>
      <w:marBottom w:val="0"/>
      <w:divBdr>
        <w:top w:val="none" w:sz="0" w:space="0" w:color="auto"/>
        <w:left w:val="none" w:sz="0" w:space="0" w:color="auto"/>
        <w:bottom w:val="none" w:sz="0" w:space="0" w:color="auto"/>
        <w:right w:val="none" w:sz="0" w:space="0" w:color="auto"/>
      </w:divBdr>
    </w:div>
    <w:div w:id="165051058">
      <w:bodyDiv w:val="1"/>
      <w:marLeft w:val="0"/>
      <w:marRight w:val="0"/>
      <w:marTop w:val="0"/>
      <w:marBottom w:val="0"/>
      <w:divBdr>
        <w:top w:val="none" w:sz="0" w:space="0" w:color="auto"/>
        <w:left w:val="none" w:sz="0" w:space="0" w:color="auto"/>
        <w:bottom w:val="none" w:sz="0" w:space="0" w:color="auto"/>
        <w:right w:val="none" w:sz="0" w:space="0" w:color="auto"/>
      </w:divBdr>
    </w:div>
    <w:div w:id="176386696">
      <w:bodyDiv w:val="1"/>
      <w:marLeft w:val="0"/>
      <w:marRight w:val="0"/>
      <w:marTop w:val="0"/>
      <w:marBottom w:val="0"/>
      <w:divBdr>
        <w:top w:val="none" w:sz="0" w:space="0" w:color="auto"/>
        <w:left w:val="none" w:sz="0" w:space="0" w:color="auto"/>
        <w:bottom w:val="none" w:sz="0" w:space="0" w:color="auto"/>
        <w:right w:val="none" w:sz="0" w:space="0" w:color="auto"/>
      </w:divBdr>
    </w:div>
    <w:div w:id="188875965">
      <w:bodyDiv w:val="1"/>
      <w:marLeft w:val="0"/>
      <w:marRight w:val="0"/>
      <w:marTop w:val="0"/>
      <w:marBottom w:val="0"/>
      <w:divBdr>
        <w:top w:val="none" w:sz="0" w:space="0" w:color="auto"/>
        <w:left w:val="none" w:sz="0" w:space="0" w:color="auto"/>
        <w:bottom w:val="none" w:sz="0" w:space="0" w:color="auto"/>
        <w:right w:val="none" w:sz="0" w:space="0" w:color="auto"/>
      </w:divBdr>
    </w:div>
    <w:div w:id="373848586">
      <w:bodyDiv w:val="1"/>
      <w:marLeft w:val="0"/>
      <w:marRight w:val="0"/>
      <w:marTop w:val="0"/>
      <w:marBottom w:val="0"/>
      <w:divBdr>
        <w:top w:val="none" w:sz="0" w:space="0" w:color="auto"/>
        <w:left w:val="none" w:sz="0" w:space="0" w:color="auto"/>
        <w:bottom w:val="none" w:sz="0" w:space="0" w:color="auto"/>
        <w:right w:val="none" w:sz="0" w:space="0" w:color="auto"/>
      </w:divBdr>
    </w:div>
    <w:div w:id="402879314">
      <w:bodyDiv w:val="1"/>
      <w:marLeft w:val="0"/>
      <w:marRight w:val="0"/>
      <w:marTop w:val="0"/>
      <w:marBottom w:val="0"/>
      <w:divBdr>
        <w:top w:val="none" w:sz="0" w:space="0" w:color="auto"/>
        <w:left w:val="none" w:sz="0" w:space="0" w:color="auto"/>
        <w:bottom w:val="none" w:sz="0" w:space="0" w:color="auto"/>
        <w:right w:val="none" w:sz="0" w:space="0" w:color="auto"/>
      </w:divBdr>
    </w:div>
    <w:div w:id="406342234">
      <w:bodyDiv w:val="1"/>
      <w:marLeft w:val="0"/>
      <w:marRight w:val="0"/>
      <w:marTop w:val="0"/>
      <w:marBottom w:val="0"/>
      <w:divBdr>
        <w:top w:val="none" w:sz="0" w:space="0" w:color="auto"/>
        <w:left w:val="none" w:sz="0" w:space="0" w:color="auto"/>
        <w:bottom w:val="none" w:sz="0" w:space="0" w:color="auto"/>
        <w:right w:val="none" w:sz="0" w:space="0" w:color="auto"/>
      </w:divBdr>
    </w:div>
    <w:div w:id="415175766">
      <w:bodyDiv w:val="1"/>
      <w:marLeft w:val="0"/>
      <w:marRight w:val="0"/>
      <w:marTop w:val="0"/>
      <w:marBottom w:val="0"/>
      <w:divBdr>
        <w:top w:val="none" w:sz="0" w:space="0" w:color="auto"/>
        <w:left w:val="none" w:sz="0" w:space="0" w:color="auto"/>
        <w:bottom w:val="none" w:sz="0" w:space="0" w:color="auto"/>
        <w:right w:val="none" w:sz="0" w:space="0" w:color="auto"/>
      </w:divBdr>
    </w:div>
    <w:div w:id="420151828">
      <w:bodyDiv w:val="1"/>
      <w:marLeft w:val="0"/>
      <w:marRight w:val="0"/>
      <w:marTop w:val="0"/>
      <w:marBottom w:val="0"/>
      <w:divBdr>
        <w:top w:val="none" w:sz="0" w:space="0" w:color="auto"/>
        <w:left w:val="none" w:sz="0" w:space="0" w:color="auto"/>
        <w:bottom w:val="none" w:sz="0" w:space="0" w:color="auto"/>
        <w:right w:val="none" w:sz="0" w:space="0" w:color="auto"/>
      </w:divBdr>
    </w:div>
    <w:div w:id="452602864">
      <w:bodyDiv w:val="1"/>
      <w:marLeft w:val="0"/>
      <w:marRight w:val="0"/>
      <w:marTop w:val="0"/>
      <w:marBottom w:val="0"/>
      <w:divBdr>
        <w:top w:val="none" w:sz="0" w:space="0" w:color="auto"/>
        <w:left w:val="none" w:sz="0" w:space="0" w:color="auto"/>
        <w:bottom w:val="none" w:sz="0" w:space="0" w:color="auto"/>
        <w:right w:val="none" w:sz="0" w:space="0" w:color="auto"/>
      </w:divBdr>
    </w:div>
    <w:div w:id="487404028">
      <w:bodyDiv w:val="1"/>
      <w:marLeft w:val="0"/>
      <w:marRight w:val="0"/>
      <w:marTop w:val="0"/>
      <w:marBottom w:val="0"/>
      <w:divBdr>
        <w:top w:val="none" w:sz="0" w:space="0" w:color="auto"/>
        <w:left w:val="none" w:sz="0" w:space="0" w:color="auto"/>
        <w:bottom w:val="none" w:sz="0" w:space="0" w:color="auto"/>
        <w:right w:val="none" w:sz="0" w:space="0" w:color="auto"/>
      </w:divBdr>
    </w:div>
    <w:div w:id="548758771">
      <w:bodyDiv w:val="1"/>
      <w:marLeft w:val="0"/>
      <w:marRight w:val="0"/>
      <w:marTop w:val="0"/>
      <w:marBottom w:val="0"/>
      <w:divBdr>
        <w:top w:val="none" w:sz="0" w:space="0" w:color="auto"/>
        <w:left w:val="none" w:sz="0" w:space="0" w:color="auto"/>
        <w:bottom w:val="none" w:sz="0" w:space="0" w:color="auto"/>
        <w:right w:val="none" w:sz="0" w:space="0" w:color="auto"/>
      </w:divBdr>
    </w:div>
    <w:div w:id="563872992">
      <w:bodyDiv w:val="1"/>
      <w:marLeft w:val="0"/>
      <w:marRight w:val="0"/>
      <w:marTop w:val="0"/>
      <w:marBottom w:val="0"/>
      <w:divBdr>
        <w:top w:val="none" w:sz="0" w:space="0" w:color="auto"/>
        <w:left w:val="none" w:sz="0" w:space="0" w:color="auto"/>
        <w:bottom w:val="none" w:sz="0" w:space="0" w:color="auto"/>
        <w:right w:val="none" w:sz="0" w:space="0" w:color="auto"/>
      </w:divBdr>
    </w:div>
    <w:div w:id="565149542">
      <w:bodyDiv w:val="1"/>
      <w:marLeft w:val="0"/>
      <w:marRight w:val="0"/>
      <w:marTop w:val="0"/>
      <w:marBottom w:val="0"/>
      <w:divBdr>
        <w:top w:val="none" w:sz="0" w:space="0" w:color="auto"/>
        <w:left w:val="none" w:sz="0" w:space="0" w:color="auto"/>
        <w:bottom w:val="none" w:sz="0" w:space="0" w:color="auto"/>
        <w:right w:val="none" w:sz="0" w:space="0" w:color="auto"/>
      </w:divBdr>
    </w:div>
    <w:div w:id="573008756">
      <w:bodyDiv w:val="1"/>
      <w:marLeft w:val="0"/>
      <w:marRight w:val="0"/>
      <w:marTop w:val="0"/>
      <w:marBottom w:val="0"/>
      <w:divBdr>
        <w:top w:val="none" w:sz="0" w:space="0" w:color="auto"/>
        <w:left w:val="none" w:sz="0" w:space="0" w:color="auto"/>
        <w:bottom w:val="none" w:sz="0" w:space="0" w:color="auto"/>
        <w:right w:val="none" w:sz="0" w:space="0" w:color="auto"/>
      </w:divBdr>
    </w:div>
    <w:div w:id="573778992">
      <w:bodyDiv w:val="1"/>
      <w:marLeft w:val="0"/>
      <w:marRight w:val="0"/>
      <w:marTop w:val="0"/>
      <w:marBottom w:val="0"/>
      <w:divBdr>
        <w:top w:val="none" w:sz="0" w:space="0" w:color="auto"/>
        <w:left w:val="none" w:sz="0" w:space="0" w:color="auto"/>
        <w:bottom w:val="none" w:sz="0" w:space="0" w:color="auto"/>
        <w:right w:val="none" w:sz="0" w:space="0" w:color="auto"/>
      </w:divBdr>
    </w:div>
    <w:div w:id="584538053">
      <w:bodyDiv w:val="1"/>
      <w:marLeft w:val="0"/>
      <w:marRight w:val="0"/>
      <w:marTop w:val="0"/>
      <w:marBottom w:val="0"/>
      <w:divBdr>
        <w:top w:val="none" w:sz="0" w:space="0" w:color="auto"/>
        <w:left w:val="none" w:sz="0" w:space="0" w:color="auto"/>
        <w:bottom w:val="none" w:sz="0" w:space="0" w:color="auto"/>
        <w:right w:val="none" w:sz="0" w:space="0" w:color="auto"/>
      </w:divBdr>
    </w:div>
    <w:div w:id="585960749">
      <w:bodyDiv w:val="1"/>
      <w:marLeft w:val="0"/>
      <w:marRight w:val="0"/>
      <w:marTop w:val="0"/>
      <w:marBottom w:val="0"/>
      <w:divBdr>
        <w:top w:val="none" w:sz="0" w:space="0" w:color="auto"/>
        <w:left w:val="none" w:sz="0" w:space="0" w:color="auto"/>
        <w:bottom w:val="none" w:sz="0" w:space="0" w:color="auto"/>
        <w:right w:val="none" w:sz="0" w:space="0" w:color="auto"/>
      </w:divBdr>
    </w:div>
    <w:div w:id="590622619">
      <w:bodyDiv w:val="1"/>
      <w:marLeft w:val="0"/>
      <w:marRight w:val="0"/>
      <w:marTop w:val="0"/>
      <w:marBottom w:val="0"/>
      <w:divBdr>
        <w:top w:val="none" w:sz="0" w:space="0" w:color="auto"/>
        <w:left w:val="none" w:sz="0" w:space="0" w:color="auto"/>
        <w:bottom w:val="none" w:sz="0" w:space="0" w:color="auto"/>
        <w:right w:val="none" w:sz="0" w:space="0" w:color="auto"/>
      </w:divBdr>
    </w:div>
    <w:div w:id="602999993">
      <w:bodyDiv w:val="1"/>
      <w:marLeft w:val="0"/>
      <w:marRight w:val="0"/>
      <w:marTop w:val="0"/>
      <w:marBottom w:val="0"/>
      <w:divBdr>
        <w:top w:val="none" w:sz="0" w:space="0" w:color="auto"/>
        <w:left w:val="none" w:sz="0" w:space="0" w:color="auto"/>
        <w:bottom w:val="none" w:sz="0" w:space="0" w:color="auto"/>
        <w:right w:val="none" w:sz="0" w:space="0" w:color="auto"/>
      </w:divBdr>
    </w:div>
    <w:div w:id="625038826">
      <w:bodyDiv w:val="1"/>
      <w:marLeft w:val="0"/>
      <w:marRight w:val="0"/>
      <w:marTop w:val="0"/>
      <w:marBottom w:val="0"/>
      <w:divBdr>
        <w:top w:val="none" w:sz="0" w:space="0" w:color="auto"/>
        <w:left w:val="none" w:sz="0" w:space="0" w:color="auto"/>
        <w:bottom w:val="none" w:sz="0" w:space="0" w:color="auto"/>
        <w:right w:val="none" w:sz="0" w:space="0" w:color="auto"/>
      </w:divBdr>
    </w:div>
    <w:div w:id="640112793">
      <w:bodyDiv w:val="1"/>
      <w:marLeft w:val="0"/>
      <w:marRight w:val="0"/>
      <w:marTop w:val="0"/>
      <w:marBottom w:val="0"/>
      <w:divBdr>
        <w:top w:val="none" w:sz="0" w:space="0" w:color="auto"/>
        <w:left w:val="none" w:sz="0" w:space="0" w:color="auto"/>
        <w:bottom w:val="none" w:sz="0" w:space="0" w:color="auto"/>
        <w:right w:val="none" w:sz="0" w:space="0" w:color="auto"/>
      </w:divBdr>
    </w:div>
    <w:div w:id="702169173">
      <w:bodyDiv w:val="1"/>
      <w:marLeft w:val="0"/>
      <w:marRight w:val="0"/>
      <w:marTop w:val="0"/>
      <w:marBottom w:val="0"/>
      <w:divBdr>
        <w:top w:val="none" w:sz="0" w:space="0" w:color="auto"/>
        <w:left w:val="none" w:sz="0" w:space="0" w:color="auto"/>
        <w:bottom w:val="none" w:sz="0" w:space="0" w:color="auto"/>
        <w:right w:val="none" w:sz="0" w:space="0" w:color="auto"/>
      </w:divBdr>
    </w:div>
    <w:div w:id="802044955">
      <w:bodyDiv w:val="1"/>
      <w:marLeft w:val="0"/>
      <w:marRight w:val="0"/>
      <w:marTop w:val="0"/>
      <w:marBottom w:val="0"/>
      <w:divBdr>
        <w:top w:val="none" w:sz="0" w:space="0" w:color="auto"/>
        <w:left w:val="none" w:sz="0" w:space="0" w:color="auto"/>
        <w:bottom w:val="none" w:sz="0" w:space="0" w:color="auto"/>
        <w:right w:val="none" w:sz="0" w:space="0" w:color="auto"/>
      </w:divBdr>
    </w:div>
    <w:div w:id="816455624">
      <w:bodyDiv w:val="1"/>
      <w:marLeft w:val="0"/>
      <w:marRight w:val="0"/>
      <w:marTop w:val="0"/>
      <w:marBottom w:val="0"/>
      <w:divBdr>
        <w:top w:val="none" w:sz="0" w:space="0" w:color="auto"/>
        <w:left w:val="none" w:sz="0" w:space="0" w:color="auto"/>
        <w:bottom w:val="none" w:sz="0" w:space="0" w:color="auto"/>
        <w:right w:val="none" w:sz="0" w:space="0" w:color="auto"/>
      </w:divBdr>
    </w:div>
    <w:div w:id="826894936">
      <w:bodyDiv w:val="1"/>
      <w:marLeft w:val="0"/>
      <w:marRight w:val="0"/>
      <w:marTop w:val="0"/>
      <w:marBottom w:val="0"/>
      <w:divBdr>
        <w:top w:val="none" w:sz="0" w:space="0" w:color="auto"/>
        <w:left w:val="none" w:sz="0" w:space="0" w:color="auto"/>
        <w:bottom w:val="none" w:sz="0" w:space="0" w:color="auto"/>
        <w:right w:val="none" w:sz="0" w:space="0" w:color="auto"/>
      </w:divBdr>
    </w:div>
    <w:div w:id="833683622">
      <w:bodyDiv w:val="1"/>
      <w:marLeft w:val="0"/>
      <w:marRight w:val="0"/>
      <w:marTop w:val="0"/>
      <w:marBottom w:val="0"/>
      <w:divBdr>
        <w:top w:val="none" w:sz="0" w:space="0" w:color="auto"/>
        <w:left w:val="none" w:sz="0" w:space="0" w:color="auto"/>
        <w:bottom w:val="none" w:sz="0" w:space="0" w:color="auto"/>
        <w:right w:val="none" w:sz="0" w:space="0" w:color="auto"/>
      </w:divBdr>
    </w:div>
    <w:div w:id="841820477">
      <w:bodyDiv w:val="1"/>
      <w:marLeft w:val="0"/>
      <w:marRight w:val="0"/>
      <w:marTop w:val="0"/>
      <w:marBottom w:val="0"/>
      <w:divBdr>
        <w:top w:val="none" w:sz="0" w:space="0" w:color="auto"/>
        <w:left w:val="none" w:sz="0" w:space="0" w:color="auto"/>
        <w:bottom w:val="none" w:sz="0" w:space="0" w:color="auto"/>
        <w:right w:val="none" w:sz="0" w:space="0" w:color="auto"/>
      </w:divBdr>
    </w:div>
    <w:div w:id="883519773">
      <w:bodyDiv w:val="1"/>
      <w:marLeft w:val="0"/>
      <w:marRight w:val="0"/>
      <w:marTop w:val="0"/>
      <w:marBottom w:val="0"/>
      <w:divBdr>
        <w:top w:val="none" w:sz="0" w:space="0" w:color="auto"/>
        <w:left w:val="none" w:sz="0" w:space="0" w:color="auto"/>
        <w:bottom w:val="none" w:sz="0" w:space="0" w:color="auto"/>
        <w:right w:val="none" w:sz="0" w:space="0" w:color="auto"/>
      </w:divBdr>
    </w:div>
    <w:div w:id="900360584">
      <w:bodyDiv w:val="1"/>
      <w:marLeft w:val="0"/>
      <w:marRight w:val="0"/>
      <w:marTop w:val="0"/>
      <w:marBottom w:val="0"/>
      <w:divBdr>
        <w:top w:val="none" w:sz="0" w:space="0" w:color="auto"/>
        <w:left w:val="none" w:sz="0" w:space="0" w:color="auto"/>
        <w:bottom w:val="none" w:sz="0" w:space="0" w:color="auto"/>
        <w:right w:val="none" w:sz="0" w:space="0" w:color="auto"/>
      </w:divBdr>
    </w:div>
    <w:div w:id="926304967">
      <w:bodyDiv w:val="1"/>
      <w:marLeft w:val="0"/>
      <w:marRight w:val="0"/>
      <w:marTop w:val="0"/>
      <w:marBottom w:val="0"/>
      <w:divBdr>
        <w:top w:val="none" w:sz="0" w:space="0" w:color="auto"/>
        <w:left w:val="none" w:sz="0" w:space="0" w:color="auto"/>
        <w:bottom w:val="none" w:sz="0" w:space="0" w:color="auto"/>
        <w:right w:val="none" w:sz="0" w:space="0" w:color="auto"/>
      </w:divBdr>
    </w:div>
    <w:div w:id="927231316">
      <w:bodyDiv w:val="1"/>
      <w:marLeft w:val="0"/>
      <w:marRight w:val="0"/>
      <w:marTop w:val="0"/>
      <w:marBottom w:val="0"/>
      <w:divBdr>
        <w:top w:val="none" w:sz="0" w:space="0" w:color="auto"/>
        <w:left w:val="none" w:sz="0" w:space="0" w:color="auto"/>
        <w:bottom w:val="none" w:sz="0" w:space="0" w:color="auto"/>
        <w:right w:val="none" w:sz="0" w:space="0" w:color="auto"/>
      </w:divBdr>
    </w:div>
    <w:div w:id="939723753">
      <w:bodyDiv w:val="1"/>
      <w:marLeft w:val="0"/>
      <w:marRight w:val="0"/>
      <w:marTop w:val="0"/>
      <w:marBottom w:val="0"/>
      <w:divBdr>
        <w:top w:val="none" w:sz="0" w:space="0" w:color="auto"/>
        <w:left w:val="none" w:sz="0" w:space="0" w:color="auto"/>
        <w:bottom w:val="none" w:sz="0" w:space="0" w:color="auto"/>
        <w:right w:val="none" w:sz="0" w:space="0" w:color="auto"/>
      </w:divBdr>
    </w:div>
    <w:div w:id="945380502">
      <w:bodyDiv w:val="1"/>
      <w:marLeft w:val="0"/>
      <w:marRight w:val="0"/>
      <w:marTop w:val="0"/>
      <w:marBottom w:val="0"/>
      <w:divBdr>
        <w:top w:val="none" w:sz="0" w:space="0" w:color="auto"/>
        <w:left w:val="none" w:sz="0" w:space="0" w:color="auto"/>
        <w:bottom w:val="none" w:sz="0" w:space="0" w:color="auto"/>
        <w:right w:val="none" w:sz="0" w:space="0" w:color="auto"/>
      </w:divBdr>
    </w:div>
    <w:div w:id="1002119854">
      <w:bodyDiv w:val="1"/>
      <w:marLeft w:val="0"/>
      <w:marRight w:val="0"/>
      <w:marTop w:val="0"/>
      <w:marBottom w:val="0"/>
      <w:divBdr>
        <w:top w:val="none" w:sz="0" w:space="0" w:color="auto"/>
        <w:left w:val="none" w:sz="0" w:space="0" w:color="auto"/>
        <w:bottom w:val="none" w:sz="0" w:space="0" w:color="auto"/>
        <w:right w:val="none" w:sz="0" w:space="0" w:color="auto"/>
      </w:divBdr>
    </w:div>
    <w:div w:id="1045831867">
      <w:bodyDiv w:val="1"/>
      <w:marLeft w:val="0"/>
      <w:marRight w:val="0"/>
      <w:marTop w:val="0"/>
      <w:marBottom w:val="0"/>
      <w:divBdr>
        <w:top w:val="none" w:sz="0" w:space="0" w:color="auto"/>
        <w:left w:val="none" w:sz="0" w:space="0" w:color="auto"/>
        <w:bottom w:val="none" w:sz="0" w:space="0" w:color="auto"/>
        <w:right w:val="none" w:sz="0" w:space="0" w:color="auto"/>
      </w:divBdr>
    </w:div>
    <w:div w:id="1125079545">
      <w:bodyDiv w:val="1"/>
      <w:marLeft w:val="0"/>
      <w:marRight w:val="0"/>
      <w:marTop w:val="0"/>
      <w:marBottom w:val="0"/>
      <w:divBdr>
        <w:top w:val="none" w:sz="0" w:space="0" w:color="auto"/>
        <w:left w:val="none" w:sz="0" w:space="0" w:color="auto"/>
        <w:bottom w:val="none" w:sz="0" w:space="0" w:color="auto"/>
        <w:right w:val="none" w:sz="0" w:space="0" w:color="auto"/>
      </w:divBdr>
    </w:div>
    <w:div w:id="1129131847">
      <w:bodyDiv w:val="1"/>
      <w:marLeft w:val="0"/>
      <w:marRight w:val="0"/>
      <w:marTop w:val="0"/>
      <w:marBottom w:val="0"/>
      <w:divBdr>
        <w:top w:val="none" w:sz="0" w:space="0" w:color="auto"/>
        <w:left w:val="none" w:sz="0" w:space="0" w:color="auto"/>
        <w:bottom w:val="none" w:sz="0" w:space="0" w:color="auto"/>
        <w:right w:val="none" w:sz="0" w:space="0" w:color="auto"/>
      </w:divBdr>
    </w:div>
    <w:div w:id="1208689011">
      <w:bodyDiv w:val="1"/>
      <w:marLeft w:val="0"/>
      <w:marRight w:val="0"/>
      <w:marTop w:val="0"/>
      <w:marBottom w:val="0"/>
      <w:divBdr>
        <w:top w:val="none" w:sz="0" w:space="0" w:color="auto"/>
        <w:left w:val="none" w:sz="0" w:space="0" w:color="auto"/>
        <w:bottom w:val="none" w:sz="0" w:space="0" w:color="auto"/>
        <w:right w:val="none" w:sz="0" w:space="0" w:color="auto"/>
      </w:divBdr>
    </w:div>
    <w:div w:id="1234386776">
      <w:bodyDiv w:val="1"/>
      <w:marLeft w:val="0"/>
      <w:marRight w:val="0"/>
      <w:marTop w:val="0"/>
      <w:marBottom w:val="0"/>
      <w:divBdr>
        <w:top w:val="none" w:sz="0" w:space="0" w:color="auto"/>
        <w:left w:val="none" w:sz="0" w:space="0" w:color="auto"/>
        <w:bottom w:val="none" w:sz="0" w:space="0" w:color="auto"/>
        <w:right w:val="none" w:sz="0" w:space="0" w:color="auto"/>
      </w:divBdr>
    </w:div>
    <w:div w:id="1275331704">
      <w:bodyDiv w:val="1"/>
      <w:marLeft w:val="0"/>
      <w:marRight w:val="0"/>
      <w:marTop w:val="0"/>
      <w:marBottom w:val="0"/>
      <w:divBdr>
        <w:top w:val="none" w:sz="0" w:space="0" w:color="auto"/>
        <w:left w:val="none" w:sz="0" w:space="0" w:color="auto"/>
        <w:bottom w:val="none" w:sz="0" w:space="0" w:color="auto"/>
        <w:right w:val="none" w:sz="0" w:space="0" w:color="auto"/>
      </w:divBdr>
    </w:div>
    <w:div w:id="1366557457">
      <w:bodyDiv w:val="1"/>
      <w:marLeft w:val="0"/>
      <w:marRight w:val="0"/>
      <w:marTop w:val="0"/>
      <w:marBottom w:val="0"/>
      <w:divBdr>
        <w:top w:val="none" w:sz="0" w:space="0" w:color="auto"/>
        <w:left w:val="none" w:sz="0" w:space="0" w:color="auto"/>
        <w:bottom w:val="none" w:sz="0" w:space="0" w:color="auto"/>
        <w:right w:val="none" w:sz="0" w:space="0" w:color="auto"/>
      </w:divBdr>
    </w:div>
    <w:div w:id="1379889852">
      <w:bodyDiv w:val="1"/>
      <w:marLeft w:val="0"/>
      <w:marRight w:val="0"/>
      <w:marTop w:val="0"/>
      <w:marBottom w:val="0"/>
      <w:divBdr>
        <w:top w:val="none" w:sz="0" w:space="0" w:color="auto"/>
        <w:left w:val="none" w:sz="0" w:space="0" w:color="auto"/>
        <w:bottom w:val="none" w:sz="0" w:space="0" w:color="auto"/>
        <w:right w:val="none" w:sz="0" w:space="0" w:color="auto"/>
      </w:divBdr>
    </w:div>
    <w:div w:id="1462843069">
      <w:bodyDiv w:val="1"/>
      <w:marLeft w:val="0"/>
      <w:marRight w:val="0"/>
      <w:marTop w:val="0"/>
      <w:marBottom w:val="0"/>
      <w:divBdr>
        <w:top w:val="none" w:sz="0" w:space="0" w:color="auto"/>
        <w:left w:val="none" w:sz="0" w:space="0" w:color="auto"/>
        <w:bottom w:val="none" w:sz="0" w:space="0" w:color="auto"/>
        <w:right w:val="none" w:sz="0" w:space="0" w:color="auto"/>
      </w:divBdr>
      <w:divsChild>
        <w:div w:id="1945573897">
          <w:marLeft w:val="547"/>
          <w:marRight w:val="0"/>
          <w:marTop w:val="0"/>
          <w:marBottom w:val="0"/>
          <w:divBdr>
            <w:top w:val="none" w:sz="0" w:space="0" w:color="auto"/>
            <w:left w:val="none" w:sz="0" w:space="0" w:color="auto"/>
            <w:bottom w:val="none" w:sz="0" w:space="0" w:color="auto"/>
            <w:right w:val="none" w:sz="0" w:space="0" w:color="auto"/>
          </w:divBdr>
        </w:div>
        <w:div w:id="1247619376">
          <w:marLeft w:val="1166"/>
          <w:marRight w:val="0"/>
          <w:marTop w:val="0"/>
          <w:marBottom w:val="0"/>
          <w:divBdr>
            <w:top w:val="none" w:sz="0" w:space="0" w:color="auto"/>
            <w:left w:val="none" w:sz="0" w:space="0" w:color="auto"/>
            <w:bottom w:val="none" w:sz="0" w:space="0" w:color="auto"/>
            <w:right w:val="none" w:sz="0" w:space="0" w:color="auto"/>
          </w:divBdr>
        </w:div>
        <w:div w:id="1776359562">
          <w:marLeft w:val="1166"/>
          <w:marRight w:val="0"/>
          <w:marTop w:val="0"/>
          <w:marBottom w:val="0"/>
          <w:divBdr>
            <w:top w:val="none" w:sz="0" w:space="0" w:color="auto"/>
            <w:left w:val="none" w:sz="0" w:space="0" w:color="auto"/>
            <w:bottom w:val="none" w:sz="0" w:space="0" w:color="auto"/>
            <w:right w:val="none" w:sz="0" w:space="0" w:color="auto"/>
          </w:divBdr>
        </w:div>
        <w:div w:id="1110512696">
          <w:marLeft w:val="1166"/>
          <w:marRight w:val="0"/>
          <w:marTop w:val="0"/>
          <w:marBottom w:val="0"/>
          <w:divBdr>
            <w:top w:val="none" w:sz="0" w:space="0" w:color="auto"/>
            <w:left w:val="none" w:sz="0" w:space="0" w:color="auto"/>
            <w:bottom w:val="none" w:sz="0" w:space="0" w:color="auto"/>
            <w:right w:val="none" w:sz="0" w:space="0" w:color="auto"/>
          </w:divBdr>
        </w:div>
        <w:div w:id="274605614">
          <w:marLeft w:val="1166"/>
          <w:marRight w:val="0"/>
          <w:marTop w:val="0"/>
          <w:marBottom w:val="0"/>
          <w:divBdr>
            <w:top w:val="none" w:sz="0" w:space="0" w:color="auto"/>
            <w:left w:val="none" w:sz="0" w:space="0" w:color="auto"/>
            <w:bottom w:val="none" w:sz="0" w:space="0" w:color="auto"/>
            <w:right w:val="none" w:sz="0" w:space="0" w:color="auto"/>
          </w:divBdr>
        </w:div>
      </w:divsChild>
    </w:div>
    <w:div w:id="1483233658">
      <w:bodyDiv w:val="1"/>
      <w:marLeft w:val="0"/>
      <w:marRight w:val="0"/>
      <w:marTop w:val="0"/>
      <w:marBottom w:val="0"/>
      <w:divBdr>
        <w:top w:val="none" w:sz="0" w:space="0" w:color="auto"/>
        <w:left w:val="none" w:sz="0" w:space="0" w:color="auto"/>
        <w:bottom w:val="none" w:sz="0" w:space="0" w:color="auto"/>
        <w:right w:val="none" w:sz="0" w:space="0" w:color="auto"/>
      </w:divBdr>
    </w:div>
    <w:div w:id="1491172074">
      <w:bodyDiv w:val="1"/>
      <w:marLeft w:val="0"/>
      <w:marRight w:val="0"/>
      <w:marTop w:val="0"/>
      <w:marBottom w:val="0"/>
      <w:divBdr>
        <w:top w:val="none" w:sz="0" w:space="0" w:color="auto"/>
        <w:left w:val="none" w:sz="0" w:space="0" w:color="auto"/>
        <w:bottom w:val="none" w:sz="0" w:space="0" w:color="auto"/>
        <w:right w:val="none" w:sz="0" w:space="0" w:color="auto"/>
      </w:divBdr>
    </w:div>
    <w:div w:id="1516385724">
      <w:bodyDiv w:val="1"/>
      <w:marLeft w:val="0"/>
      <w:marRight w:val="0"/>
      <w:marTop w:val="0"/>
      <w:marBottom w:val="0"/>
      <w:divBdr>
        <w:top w:val="none" w:sz="0" w:space="0" w:color="auto"/>
        <w:left w:val="none" w:sz="0" w:space="0" w:color="auto"/>
        <w:bottom w:val="none" w:sz="0" w:space="0" w:color="auto"/>
        <w:right w:val="none" w:sz="0" w:space="0" w:color="auto"/>
      </w:divBdr>
      <w:divsChild>
        <w:div w:id="1463427260">
          <w:marLeft w:val="0"/>
          <w:marRight w:val="0"/>
          <w:marTop w:val="0"/>
          <w:marBottom w:val="0"/>
          <w:divBdr>
            <w:top w:val="none" w:sz="0" w:space="0" w:color="auto"/>
            <w:left w:val="none" w:sz="0" w:space="0" w:color="auto"/>
            <w:bottom w:val="none" w:sz="0" w:space="0" w:color="auto"/>
            <w:right w:val="none" w:sz="0" w:space="0" w:color="auto"/>
          </w:divBdr>
        </w:div>
        <w:div w:id="1291934401">
          <w:marLeft w:val="0"/>
          <w:marRight w:val="0"/>
          <w:marTop w:val="0"/>
          <w:marBottom w:val="0"/>
          <w:divBdr>
            <w:top w:val="none" w:sz="0" w:space="0" w:color="auto"/>
            <w:left w:val="none" w:sz="0" w:space="0" w:color="auto"/>
            <w:bottom w:val="none" w:sz="0" w:space="0" w:color="auto"/>
            <w:right w:val="none" w:sz="0" w:space="0" w:color="auto"/>
          </w:divBdr>
        </w:div>
        <w:div w:id="1374235553">
          <w:marLeft w:val="0"/>
          <w:marRight w:val="0"/>
          <w:marTop w:val="0"/>
          <w:marBottom w:val="0"/>
          <w:divBdr>
            <w:top w:val="none" w:sz="0" w:space="0" w:color="auto"/>
            <w:left w:val="none" w:sz="0" w:space="0" w:color="auto"/>
            <w:bottom w:val="none" w:sz="0" w:space="0" w:color="auto"/>
            <w:right w:val="none" w:sz="0" w:space="0" w:color="auto"/>
          </w:divBdr>
        </w:div>
      </w:divsChild>
    </w:div>
    <w:div w:id="1534077829">
      <w:bodyDiv w:val="1"/>
      <w:marLeft w:val="0"/>
      <w:marRight w:val="0"/>
      <w:marTop w:val="0"/>
      <w:marBottom w:val="0"/>
      <w:divBdr>
        <w:top w:val="none" w:sz="0" w:space="0" w:color="auto"/>
        <w:left w:val="none" w:sz="0" w:space="0" w:color="auto"/>
        <w:bottom w:val="none" w:sz="0" w:space="0" w:color="auto"/>
        <w:right w:val="none" w:sz="0" w:space="0" w:color="auto"/>
      </w:divBdr>
    </w:div>
    <w:div w:id="1537545016">
      <w:bodyDiv w:val="1"/>
      <w:marLeft w:val="0"/>
      <w:marRight w:val="0"/>
      <w:marTop w:val="0"/>
      <w:marBottom w:val="0"/>
      <w:divBdr>
        <w:top w:val="none" w:sz="0" w:space="0" w:color="auto"/>
        <w:left w:val="none" w:sz="0" w:space="0" w:color="auto"/>
        <w:bottom w:val="none" w:sz="0" w:space="0" w:color="auto"/>
        <w:right w:val="none" w:sz="0" w:space="0" w:color="auto"/>
      </w:divBdr>
    </w:div>
    <w:div w:id="1539275944">
      <w:bodyDiv w:val="1"/>
      <w:marLeft w:val="0"/>
      <w:marRight w:val="0"/>
      <w:marTop w:val="0"/>
      <w:marBottom w:val="0"/>
      <w:divBdr>
        <w:top w:val="none" w:sz="0" w:space="0" w:color="auto"/>
        <w:left w:val="none" w:sz="0" w:space="0" w:color="auto"/>
        <w:bottom w:val="none" w:sz="0" w:space="0" w:color="auto"/>
        <w:right w:val="none" w:sz="0" w:space="0" w:color="auto"/>
      </w:divBdr>
    </w:div>
    <w:div w:id="1552418692">
      <w:bodyDiv w:val="1"/>
      <w:marLeft w:val="0"/>
      <w:marRight w:val="0"/>
      <w:marTop w:val="0"/>
      <w:marBottom w:val="0"/>
      <w:divBdr>
        <w:top w:val="none" w:sz="0" w:space="0" w:color="auto"/>
        <w:left w:val="none" w:sz="0" w:space="0" w:color="auto"/>
        <w:bottom w:val="none" w:sz="0" w:space="0" w:color="auto"/>
        <w:right w:val="none" w:sz="0" w:space="0" w:color="auto"/>
      </w:divBdr>
    </w:div>
    <w:div w:id="1595624249">
      <w:bodyDiv w:val="1"/>
      <w:marLeft w:val="0"/>
      <w:marRight w:val="0"/>
      <w:marTop w:val="0"/>
      <w:marBottom w:val="0"/>
      <w:divBdr>
        <w:top w:val="none" w:sz="0" w:space="0" w:color="auto"/>
        <w:left w:val="none" w:sz="0" w:space="0" w:color="auto"/>
        <w:bottom w:val="none" w:sz="0" w:space="0" w:color="auto"/>
        <w:right w:val="none" w:sz="0" w:space="0" w:color="auto"/>
      </w:divBdr>
    </w:div>
    <w:div w:id="1624071183">
      <w:bodyDiv w:val="1"/>
      <w:marLeft w:val="0"/>
      <w:marRight w:val="0"/>
      <w:marTop w:val="0"/>
      <w:marBottom w:val="0"/>
      <w:divBdr>
        <w:top w:val="none" w:sz="0" w:space="0" w:color="auto"/>
        <w:left w:val="none" w:sz="0" w:space="0" w:color="auto"/>
        <w:bottom w:val="none" w:sz="0" w:space="0" w:color="auto"/>
        <w:right w:val="none" w:sz="0" w:space="0" w:color="auto"/>
      </w:divBdr>
    </w:div>
    <w:div w:id="1640108510">
      <w:bodyDiv w:val="1"/>
      <w:marLeft w:val="0"/>
      <w:marRight w:val="0"/>
      <w:marTop w:val="0"/>
      <w:marBottom w:val="0"/>
      <w:divBdr>
        <w:top w:val="none" w:sz="0" w:space="0" w:color="auto"/>
        <w:left w:val="none" w:sz="0" w:space="0" w:color="auto"/>
        <w:bottom w:val="none" w:sz="0" w:space="0" w:color="auto"/>
        <w:right w:val="none" w:sz="0" w:space="0" w:color="auto"/>
      </w:divBdr>
    </w:div>
    <w:div w:id="1642268464">
      <w:bodyDiv w:val="1"/>
      <w:marLeft w:val="0"/>
      <w:marRight w:val="0"/>
      <w:marTop w:val="0"/>
      <w:marBottom w:val="0"/>
      <w:divBdr>
        <w:top w:val="none" w:sz="0" w:space="0" w:color="auto"/>
        <w:left w:val="none" w:sz="0" w:space="0" w:color="auto"/>
        <w:bottom w:val="none" w:sz="0" w:space="0" w:color="auto"/>
        <w:right w:val="none" w:sz="0" w:space="0" w:color="auto"/>
      </w:divBdr>
    </w:div>
    <w:div w:id="1677659128">
      <w:bodyDiv w:val="1"/>
      <w:marLeft w:val="0"/>
      <w:marRight w:val="0"/>
      <w:marTop w:val="0"/>
      <w:marBottom w:val="0"/>
      <w:divBdr>
        <w:top w:val="none" w:sz="0" w:space="0" w:color="auto"/>
        <w:left w:val="none" w:sz="0" w:space="0" w:color="auto"/>
        <w:bottom w:val="none" w:sz="0" w:space="0" w:color="auto"/>
        <w:right w:val="none" w:sz="0" w:space="0" w:color="auto"/>
      </w:divBdr>
    </w:div>
    <w:div w:id="1700353111">
      <w:bodyDiv w:val="1"/>
      <w:marLeft w:val="0"/>
      <w:marRight w:val="0"/>
      <w:marTop w:val="0"/>
      <w:marBottom w:val="0"/>
      <w:divBdr>
        <w:top w:val="none" w:sz="0" w:space="0" w:color="auto"/>
        <w:left w:val="none" w:sz="0" w:space="0" w:color="auto"/>
        <w:bottom w:val="none" w:sz="0" w:space="0" w:color="auto"/>
        <w:right w:val="none" w:sz="0" w:space="0" w:color="auto"/>
      </w:divBdr>
    </w:div>
    <w:div w:id="1707441842">
      <w:bodyDiv w:val="1"/>
      <w:marLeft w:val="0"/>
      <w:marRight w:val="0"/>
      <w:marTop w:val="0"/>
      <w:marBottom w:val="0"/>
      <w:divBdr>
        <w:top w:val="none" w:sz="0" w:space="0" w:color="auto"/>
        <w:left w:val="none" w:sz="0" w:space="0" w:color="auto"/>
        <w:bottom w:val="none" w:sz="0" w:space="0" w:color="auto"/>
        <w:right w:val="none" w:sz="0" w:space="0" w:color="auto"/>
      </w:divBdr>
    </w:div>
    <w:div w:id="1719746239">
      <w:bodyDiv w:val="1"/>
      <w:marLeft w:val="0"/>
      <w:marRight w:val="0"/>
      <w:marTop w:val="0"/>
      <w:marBottom w:val="0"/>
      <w:divBdr>
        <w:top w:val="none" w:sz="0" w:space="0" w:color="auto"/>
        <w:left w:val="none" w:sz="0" w:space="0" w:color="auto"/>
        <w:bottom w:val="none" w:sz="0" w:space="0" w:color="auto"/>
        <w:right w:val="none" w:sz="0" w:space="0" w:color="auto"/>
      </w:divBdr>
    </w:div>
    <w:div w:id="1728528064">
      <w:bodyDiv w:val="1"/>
      <w:marLeft w:val="0"/>
      <w:marRight w:val="0"/>
      <w:marTop w:val="0"/>
      <w:marBottom w:val="0"/>
      <w:divBdr>
        <w:top w:val="none" w:sz="0" w:space="0" w:color="auto"/>
        <w:left w:val="none" w:sz="0" w:space="0" w:color="auto"/>
        <w:bottom w:val="none" w:sz="0" w:space="0" w:color="auto"/>
        <w:right w:val="none" w:sz="0" w:space="0" w:color="auto"/>
      </w:divBdr>
    </w:div>
    <w:div w:id="1752967702">
      <w:bodyDiv w:val="1"/>
      <w:marLeft w:val="0"/>
      <w:marRight w:val="0"/>
      <w:marTop w:val="0"/>
      <w:marBottom w:val="0"/>
      <w:divBdr>
        <w:top w:val="none" w:sz="0" w:space="0" w:color="auto"/>
        <w:left w:val="none" w:sz="0" w:space="0" w:color="auto"/>
        <w:bottom w:val="none" w:sz="0" w:space="0" w:color="auto"/>
        <w:right w:val="none" w:sz="0" w:space="0" w:color="auto"/>
      </w:divBdr>
    </w:div>
    <w:div w:id="1764105846">
      <w:bodyDiv w:val="1"/>
      <w:marLeft w:val="0"/>
      <w:marRight w:val="0"/>
      <w:marTop w:val="0"/>
      <w:marBottom w:val="0"/>
      <w:divBdr>
        <w:top w:val="none" w:sz="0" w:space="0" w:color="auto"/>
        <w:left w:val="none" w:sz="0" w:space="0" w:color="auto"/>
        <w:bottom w:val="none" w:sz="0" w:space="0" w:color="auto"/>
        <w:right w:val="none" w:sz="0" w:space="0" w:color="auto"/>
      </w:divBdr>
    </w:div>
    <w:div w:id="1772314722">
      <w:bodyDiv w:val="1"/>
      <w:marLeft w:val="0"/>
      <w:marRight w:val="0"/>
      <w:marTop w:val="0"/>
      <w:marBottom w:val="0"/>
      <w:divBdr>
        <w:top w:val="none" w:sz="0" w:space="0" w:color="auto"/>
        <w:left w:val="none" w:sz="0" w:space="0" w:color="auto"/>
        <w:bottom w:val="none" w:sz="0" w:space="0" w:color="auto"/>
        <w:right w:val="none" w:sz="0" w:space="0" w:color="auto"/>
      </w:divBdr>
    </w:div>
    <w:div w:id="1793210069">
      <w:bodyDiv w:val="1"/>
      <w:marLeft w:val="0"/>
      <w:marRight w:val="0"/>
      <w:marTop w:val="0"/>
      <w:marBottom w:val="0"/>
      <w:divBdr>
        <w:top w:val="none" w:sz="0" w:space="0" w:color="auto"/>
        <w:left w:val="none" w:sz="0" w:space="0" w:color="auto"/>
        <w:bottom w:val="none" w:sz="0" w:space="0" w:color="auto"/>
        <w:right w:val="none" w:sz="0" w:space="0" w:color="auto"/>
      </w:divBdr>
    </w:div>
    <w:div w:id="1802504282">
      <w:bodyDiv w:val="1"/>
      <w:marLeft w:val="0"/>
      <w:marRight w:val="0"/>
      <w:marTop w:val="0"/>
      <w:marBottom w:val="0"/>
      <w:divBdr>
        <w:top w:val="none" w:sz="0" w:space="0" w:color="auto"/>
        <w:left w:val="none" w:sz="0" w:space="0" w:color="auto"/>
        <w:bottom w:val="none" w:sz="0" w:space="0" w:color="auto"/>
        <w:right w:val="none" w:sz="0" w:space="0" w:color="auto"/>
      </w:divBdr>
    </w:div>
    <w:div w:id="1824589688">
      <w:bodyDiv w:val="1"/>
      <w:marLeft w:val="0"/>
      <w:marRight w:val="0"/>
      <w:marTop w:val="0"/>
      <w:marBottom w:val="0"/>
      <w:divBdr>
        <w:top w:val="none" w:sz="0" w:space="0" w:color="auto"/>
        <w:left w:val="none" w:sz="0" w:space="0" w:color="auto"/>
        <w:bottom w:val="none" w:sz="0" w:space="0" w:color="auto"/>
        <w:right w:val="none" w:sz="0" w:space="0" w:color="auto"/>
      </w:divBdr>
    </w:div>
    <w:div w:id="1826971465">
      <w:bodyDiv w:val="1"/>
      <w:marLeft w:val="0"/>
      <w:marRight w:val="0"/>
      <w:marTop w:val="0"/>
      <w:marBottom w:val="0"/>
      <w:divBdr>
        <w:top w:val="none" w:sz="0" w:space="0" w:color="auto"/>
        <w:left w:val="none" w:sz="0" w:space="0" w:color="auto"/>
        <w:bottom w:val="none" w:sz="0" w:space="0" w:color="auto"/>
        <w:right w:val="none" w:sz="0" w:space="0" w:color="auto"/>
      </w:divBdr>
    </w:div>
    <w:div w:id="1851068037">
      <w:bodyDiv w:val="1"/>
      <w:marLeft w:val="0"/>
      <w:marRight w:val="0"/>
      <w:marTop w:val="0"/>
      <w:marBottom w:val="0"/>
      <w:divBdr>
        <w:top w:val="none" w:sz="0" w:space="0" w:color="auto"/>
        <w:left w:val="none" w:sz="0" w:space="0" w:color="auto"/>
        <w:bottom w:val="none" w:sz="0" w:space="0" w:color="auto"/>
        <w:right w:val="none" w:sz="0" w:space="0" w:color="auto"/>
      </w:divBdr>
    </w:div>
    <w:div w:id="1876119049">
      <w:bodyDiv w:val="1"/>
      <w:marLeft w:val="0"/>
      <w:marRight w:val="0"/>
      <w:marTop w:val="0"/>
      <w:marBottom w:val="0"/>
      <w:divBdr>
        <w:top w:val="none" w:sz="0" w:space="0" w:color="auto"/>
        <w:left w:val="none" w:sz="0" w:space="0" w:color="auto"/>
        <w:bottom w:val="none" w:sz="0" w:space="0" w:color="auto"/>
        <w:right w:val="none" w:sz="0" w:space="0" w:color="auto"/>
      </w:divBdr>
    </w:div>
    <w:div w:id="1920021507">
      <w:bodyDiv w:val="1"/>
      <w:marLeft w:val="0"/>
      <w:marRight w:val="0"/>
      <w:marTop w:val="0"/>
      <w:marBottom w:val="0"/>
      <w:divBdr>
        <w:top w:val="none" w:sz="0" w:space="0" w:color="auto"/>
        <w:left w:val="none" w:sz="0" w:space="0" w:color="auto"/>
        <w:bottom w:val="none" w:sz="0" w:space="0" w:color="auto"/>
        <w:right w:val="none" w:sz="0" w:space="0" w:color="auto"/>
      </w:divBdr>
    </w:div>
    <w:div w:id="1937324372">
      <w:bodyDiv w:val="1"/>
      <w:marLeft w:val="0"/>
      <w:marRight w:val="0"/>
      <w:marTop w:val="0"/>
      <w:marBottom w:val="0"/>
      <w:divBdr>
        <w:top w:val="none" w:sz="0" w:space="0" w:color="auto"/>
        <w:left w:val="none" w:sz="0" w:space="0" w:color="auto"/>
        <w:bottom w:val="none" w:sz="0" w:space="0" w:color="auto"/>
        <w:right w:val="none" w:sz="0" w:space="0" w:color="auto"/>
      </w:divBdr>
    </w:div>
    <w:div w:id="1938639107">
      <w:bodyDiv w:val="1"/>
      <w:marLeft w:val="0"/>
      <w:marRight w:val="0"/>
      <w:marTop w:val="0"/>
      <w:marBottom w:val="0"/>
      <w:divBdr>
        <w:top w:val="none" w:sz="0" w:space="0" w:color="auto"/>
        <w:left w:val="none" w:sz="0" w:space="0" w:color="auto"/>
        <w:bottom w:val="none" w:sz="0" w:space="0" w:color="auto"/>
        <w:right w:val="none" w:sz="0" w:space="0" w:color="auto"/>
      </w:divBdr>
    </w:div>
    <w:div w:id="2046372057">
      <w:bodyDiv w:val="1"/>
      <w:marLeft w:val="0"/>
      <w:marRight w:val="0"/>
      <w:marTop w:val="0"/>
      <w:marBottom w:val="0"/>
      <w:divBdr>
        <w:top w:val="none" w:sz="0" w:space="0" w:color="auto"/>
        <w:left w:val="none" w:sz="0" w:space="0" w:color="auto"/>
        <w:bottom w:val="none" w:sz="0" w:space="0" w:color="auto"/>
        <w:right w:val="none" w:sz="0" w:space="0" w:color="auto"/>
      </w:divBdr>
    </w:div>
    <w:div w:id="2090805171">
      <w:bodyDiv w:val="1"/>
      <w:marLeft w:val="0"/>
      <w:marRight w:val="0"/>
      <w:marTop w:val="0"/>
      <w:marBottom w:val="0"/>
      <w:divBdr>
        <w:top w:val="none" w:sz="0" w:space="0" w:color="auto"/>
        <w:left w:val="none" w:sz="0" w:space="0" w:color="auto"/>
        <w:bottom w:val="none" w:sz="0" w:space="0" w:color="auto"/>
        <w:right w:val="none" w:sz="0" w:space="0" w:color="auto"/>
      </w:divBdr>
    </w:div>
    <w:div w:id="211813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16B8-B35F-4A91-85D6-F92D6D0A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7630</Words>
  <Characters>41965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2</cp:revision>
  <cp:lastPrinted>2015-02-10T19:31:00Z</cp:lastPrinted>
  <dcterms:created xsi:type="dcterms:W3CDTF">2020-01-21T23:57:00Z</dcterms:created>
  <dcterms:modified xsi:type="dcterms:W3CDTF">2020-01-21T23:57:00Z</dcterms:modified>
</cp:coreProperties>
</file>