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3578" w14:textId="2C7B5E6C" w:rsidR="00581BC7" w:rsidRPr="00225268" w:rsidRDefault="00844996" w:rsidP="00157CDB">
      <w:pPr>
        <w:suppressAutoHyphens/>
        <w:spacing w:after="0" w:line="240" w:lineRule="auto"/>
        <w:jc w:val="both"/>
        <w:rPr>
          <w:rFonts w:ascii="ITC Avant Garde" w:eastAsia="Times New Roman" w:hAnsi="ITC Avant Garde"/>
          <w:b/>
          <w:kern w:val="1"/>
          <w:sz w:val="20"/>
          <w:szCs w:val="20"/>
          <w:lang w:eastAsia="ar-SA"/>
        </w:rPr>
      </w:pPr>
      <w:r w:rsidRPr="00225268">
        <w:rPr>
          <w:rFonts w:ascii="ITC Avant Garde" w:eastAsia="Times New Roman" w:hAnsi="ITC Avant Garde"/>
          <w:b/>
          <w:kern w:val="1"/>
          <w:sz w:val="20"/>
          <w:szCs w:val="20"/>
          <w:lang w:eastAsia="ar-SA"/>
        </w:rPr>
        <w:t xml:space="preserve">ACUERDO </w:t>
      </w:r>
      <w:r w:rsidR="004E219F" w:rsidRPr="00225268">
        <w:rPr>
          <w:rFonts w:ascii="ITC Avant Garde" w:eastAsia="Times New Roman" w:hAnsi="ITC Avant Garde"/>
          <w:b/>
          <w:kern w:val="1"/>
          <w:sz w:val="20"/>
          <w:szCs w:val="20"/>
          <w:lang w:eastAsia="ar-SA"/>
        </w:rPr>
        <w:t xml:space="preserve">MEDIANTE EL CUAL </w:t>
      </w:r>
      <w:r w:rsidRPr="00225268">
        <w:rPr>
          <w:rFonts w:ascii="ITC Avant Garde" w:eastAsia="Times New Roman" w:hAnsi="ITC Avant Garde"/>
          <w:b/>
          <w:kern w:val="1"/>
          <w:sz w:val="20"/>
          <w:szCs w:val="20"/>
          <w:lang w:eastAsia="ar-SA"/>
        </w:rPr>
        <w:t xml:space="preserve">EL PLENO DEL INSTITUTO FEDERAL DE TELECOMUNICACIONES </w:t>
      </w:r>
      <w:r w:rsidR="004E219F" w:rsidRPr="00225268">
        <w:rPr>
          <w:rFonts w:ascii="ITC Avant Garde" w:eastAsia="Times New Roman" w:hAnsi="ITC Avant Garde"/>
          <w:b/>
          <w:kern w:val="1"/>
          <w:sz w:val="20"/>
          <w:szCs w:val="20"/>
          <w:lang w:eastAsia="ar-SA"/>
        </w:rPr>
        <w:t xml:space="preserve">APRUEBA Y </w:t>
      </w:r>
      <w:r w:rsidR="00641297">
        <w:rPr>
          <w:rFonts w:ascii="ITC Avant Garde" w:eastAsia="Times New Roman" w:hAnsi="ITC Avant Garde"/>
          <w:b/>
          <w:kern w:val="1"/>
          <w:sz w:val="20"/>
          <w:szCs w:val="20"/>
          <w:lang w:eastAsia="ar-SA"/>
        </w:rPr>
        <w:t>EXPIDE</w:t>
      </w:r>
      <w:r w:rsidR="00641297" w:rsidRPr="00225268">
        <w:rPr>
          <w:rFonts w:ascii="ITC Avant Garde" w:eastAsia="Times New Roman" w:hAnsi="ITC Avant Garde"/>
          <w:b/>
          <w:kern w:val="1"/>
          <w:sz w:val="20"/>
          <w:szCs w:val="20"/>
          <w:lang w:eastAsia="ar-SA"/>
        </w:rPr>
        <w:t xml:space="preserve"> </w:t>
      </w:r>
      <w:r w:rsidRPr="00225268">
        <w:rPr>
          <w:rFonts w:ascii="ITC Avant Garde" w:eastAsia="Times New Roman" w:hAnsi="ITC Avant Garde"/>
          <w:b/>
          <w:kern w:val="1"/>
          <w:sz w:val="20"/>
          <w:szCs w:val="20"/>
          <w:lang w:eastAsia="ar-SA"/>
        </w:rPr>
        <w:t>LOS “</w:t>
      </w:r>
      <w:r w:rsidR="006B6CF5" w:rsidRPr="00225268">
        <w:rPr>
          <w:rFonts w:ascii="ITC Avant Garde" w:eastAsia="Times New Roman" w:hAnsi="ITC Avant Garde"/>
          <w:b/>
          <w:kern w:val="1"/>
          <w:sz w:val="20"/>
          <w:szCs w:val="20"/>
          <w:lang w:eastAsia="ar-SA"/>
        </w:rPr>
        <w:t>LINEAMIENTOS GENERALES PARA LA ASIGNACIÓN DE CANALES VIRTUALES DE TELEVISIÓN RADIODIFUNDIDA</w:t>
      </w:r>
      <w:r w:rsidRPr="00225268">
        <w:rPr>
          <w:rFonts w:ascii="ITC Avant Garde" w:eastAsia="Times New Roman" w:hAnsi="ITC Avant Garde"/>
          <w:b/>
          <w:kern w:val="1"/>
          <w:sz w:val="20"/>
          <w:szCs w:val="20"/>
          <w:lang w:eastAsia="ar-SA"/>
        </w:rPr>
        <w:t>”</w:t>
      </w:r>
      <w:r w:rsidR="002E1BAA" w:rsidRPr="00225268">
        <w:rPr>
          <w:rFonts w:ascii="ITC Avant Garde" w:eastAsia="Times New Roman" w:hAnsi="ITC Avant Garde"/>
          <w:b/>
          <w:kern w:val="1"/>
          <w:sz w:val="20"/>
          <w:szCs w:val="20"/>
          <w:lang w:eastAsia="ar-SA"/>
        </w:rPr>
        <w:t>.</w:t>
      </w:r>
    </w:p>
    <w:p w14:paraId="705A3500" w14:textId="77777777" w:rsidR="00581BC7" w:rsidRPr="00225268" w:rsidRDefault="00581BC7" w:rsidP="00157CDB">
      <w:pPr>
        <w:suppressAutoHyphens/>
        <w:spacing w:after="0" w:line="240" w:lineRule="auto"/>
        <w:jc w:val="both"/>
        <w:rPr>
          <w:rFonts w:ascii="ITC Avant Garde" w:eastAsia="Times New Roman" w:hAnsi="ITC Avant Garde"/>
          <w:b/>
          <w:kern w:val="1"/>
          <w:sz w:val="20"/>
          <w:szCs w:val="20"/>
          <w:lang w:eastAsia="ar-SA"/>
        </w:rPr>
      </w:pPr>
    </w:p>
    <w:p w14:paraId="4FB03D3B" w14:textId="77777777" w:rsidR="00844996" w:rsidRPr="00225268" w:rsidRDefault="00844996" w:rsidP="00157CDB">
      <w:pPr>
        <w:suppressAutoHyphens/>
        <w:spacing w:after="0" w:line="240" w:lineRule="auto"/>
        <w:jc w:val="center"/>
        <w:rPr>
          <w:rFonts w:ascii="ITC Avant Garde" w:eastAsia="Times New Roman" w:hAnsi="ITC Avant Garde"/>
          <w:b/>
          <w:kern w:val="1"/>
          <w:sz w:val="20"/>
          <w:szCs w:val="20"/>
          <w:lang w:eastAsia="ar-SA"/>
        </w:rPr>
      </w:pPr>
      <w:r w:rsidRPr="00225268">
        <w:rPr>
          <w:rFonts w:ascii="ITC Avant Garde" w:eastAsia="Times New Roman" w:hAnsi="ITC Avant Garde"/>
          <w:b/>
          <w:kern w:val="1"/>
          <w:sz w:val="20"/>
          <w:szCs w:val="20"/>
          <w:lang w:eastAsia="ar-SA"/>
        </w:rPr>
        <w:t>ANTECEDENTES</w:t>
      </w:r>
    </w:p>
    <w:p w14:paraId="3729E091" w14:textId="77777777" w:rsidR="00844996" w:rsidRPr="00225268" w:rsidRDefault="00844996" w:rsidP="00157CDB">
      <w:pPr>
        <w:suppressAutoHyphens/>
        <w:spacing w:after="0" w:line="240" w:lineRule="auto"/>
        <w:jc w:val="both"/>
        <w:rPr>
          <w:rFonts w:ascii="ITC Avant Garde" w:hAnsi="ITC Avant Garde"/>
          <w:kern w:val="1"/>
          <w:sz w:val="20"/>
          <w:szCs w:val="20"/>
          <w:lang w:val="es-ES" w:eastAsia="ar-SA"/>
        </w:rPr>
      </w:pPr>
    </w:p>
    <w:p w14:paraId="5C98F63D" w14:textId="77777777" w:rsidR="00844996" w:rsidRPr="00225268" w:rsidRDefault="00844996" w:rsidP="00157CDB">
      <w:pPr>
        <w:pStyle w:val="Prrafodelista"/>
        <w:numPr>
          <w:ilvl w:val="0"/>
          <w:numId w:val="2"/>
        </w:numPr>
        <w:suppressAutoHyphens/>
        <w:ind w:left="709"/>
        <w:jc w:val="both"/>
        <w:rPr>
          <w:rFonts w:ascii="ITC Avant Garde" w:hAnsi="ITC Avant Garde"/>
          <w:color w:val="000000"/>
          <w:kern w:val="1"/>
          <w:sz w:val="20"/>
          <w:lang w:eastAsia="ar-SA"/>
        </w:rPr>
      </w:pPr>
      <w:r w:rsidRPr="00225268">
        <w:rPr>
          <w:rFonts w:ascii="ITC Avant Garde" w:hAnsi="ITC Avant Garde"/>
          <w:color w:val="000000"/>
          <w:kern w:val="1"/>
          <w:sz w:val="20"/>
          <w:lang w:eastAsia="ar-SA"/>
        </w:rPr>
        <w:t>El 11 de junio de 2013</w:t>
      </w:r>
      <w:r w:rsidR="00157CDB" w:rsidRPr="00225268">
        <w:rPr>
          <w:rFonts w:ascii="ITC Avant Garde" w:hAnsi="ITC Avant Garde"/>
          <w:color w:val="000000"/>
          <w:kern w:val="1"/>
          <w:sz w:val="20"/>
          <w:lang w:eastAsia="ar-SA"/>
        </w:rPr>
        <w:t>,</w:t>
      </w:r>
      <w:r w:rsidRPr="00225268">
        <w:rPr>
          <w:rFonts w:ascii="ITC Avant Garde" w:hAnsi="ITC Avant Garde"/>
          <w:color w:val="000000"/>
          <w:kern w:val="1"/>
          <w:sz w:val="20"/>
          <w:lang w:eastAsia="ar-SA"/>
        </w:rPr>
        <w:t xml:space="preserve"> se publicó en el D</w:t>
      </w:r>
      <w:r w:rsidR="00277B88" w:rsidRPr="00225268">
        <w:rPr>
          <w:rFonts w:ascii="ITC Avant Garde" w:hAnsi="ITC Avant Garde"/>
          <w:color w:val="000000"/>
          <w:kern w:val="1"/>
          <w:sz w:val="20"/>
          <w:lang w:eastAsia="ar-SA"/>
        </w:rPr>
        <w:t xml:space="preserve">iario </w:t>
      </w:r>
      <w:r w:rsidRPr="00225268">
        <w:rPr>
          <w:rFonts w:ascii="ITC Avant Garde" w:hAnsi="ITC Avant Garde"/>
          <w:color w:val="000000"/>
          <w:kern w:val="1"/>
          <w:sz w:val="20"/>
          <w:lang w:eastAsia="ar-SA"/>
        </w:rPr>
        <w:t>O</w:t>
      </w:r>
      <w:r w:rsidR="00277B88" w:rsidRPr="00225268">
        <w:rPr>
          <w:rFonts w:ascii="ITC Avant Garde" w:hAnsi="ITC Avant Garde"/>
          <w:color w:val="000000"/>
          <w:kern w:val="1"/>
          <w:sz w:val="20"/>
          <w:lang w:eastAsia="ar-SA"/>
        </w:rPr>
        <w:t xml:space="preserve">ficial de la </w:t>
      </w:r>
      <w:r w:rsidRPr="00225268">
        <w:rPr>
          <w:rFonts w:ascii="ITC Avant Garde" w:hAnsi="ITC Avant Garde"/>
          <w:color w:val="000000"/>
          <w:kern w:val="1"/>
          <w:sz w:val="20"/>
          <w:lang w:eastAsia="ar-SA"/>
        </w:rPr>
        <w:t>F</w:t>
      </w:r>
      <w:r w:rsidR="00277B88" w:rsidRPr="00225268">
        <w:rPr>
          <w:rFonts w:ascii="ITC Avant Garde" w:hAnsi="ITC Avant Garde"/>
          <w:color w:val="000000"/>
          <w:kern w:val="1"/>
          <w:sz w:val="20"/>
          <w:lang w:eastAsia="ar-SA"/>
        </w:rPr>
        <w:t>ederación (DOF)</w:t>
      </w:r>
      <w:r w:rsidRPr="00225268">
        <w:rPr>
          <w:rFonts w:ascii="ITC Avant Garde" w:hAnsi="ITC Avant Garde"/>
          <w:color w:val="000000"/>
          <w:kern w:val="1"/>
          <w:sz w:val="20"/>
          <w:lang w:eastAsia="ar-SA"/>
        </w:rPr>
        <w:t>,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r w:rsidR="006D1783" w:rsidRPr="00225268">
        <w:rPr>
          <w:rFonts w:ascii="ITC Avant Garde" w:hAnsi="ITC Avant Garde"/>
          <w:color w:val="000000"/>
          <w:kern w:val="1"/>
          <w:sz w:val="20"/>
          <w:lang w:eastAsia="ar-SA"/>
        </w:rPr>
        <w:t>;</w:t>
      </w:r>
      <w:bookmarkStart w:id="0" w:name="_GoBack"/>
      <w:bookmarkEnd w:id="0"/>
    </w:p>
    <w:p w14:paraId="732B5AA6" w14:textId="77777777" w:rsidR="00844996" w:rsidRPr="00225268" w:rsidRDefault="00844996" w:rsidP="00157CDB">
      <w:pPr>
        <w:suppressAutoHyphens/>
        <w:spacing w:after="0" w:line="240" w:lineRule="auto"/>
        <w:jc w:val="both"/>
        <w:rPr>
          <w:rFonts w:ascii="ITC Avant Garde" w:hAnsi="ITC Avant Garde"/>
          <w:kern w:val="1"/>
          <w:sz w:val="20"/>
          <w:szCs w:val="20"/>
          <w:lang w:eastAsia="ar-SA"/>
        </w:rPr>
      </w:pPr>
    </w:p>
    <w:p w14:paraId="61417FFF" w14:textId="77777777" w:rsidR="0016223C" w:rsidRPr="00225268" w:rsidRDefault="00844996" w:rsidP="00157CDB">
      <w:pPr>
        <w:pStyle w:val="Prrafodelista"/>
        <w:numPr>
          <w:ilvl w:val="0"/>
          <w:numId w:val="2"/>
        </w:numPr>
        <w:suppressAutoHyphens/>
        <w:ind w:left="709"/>
        <w:jc w:val="both"/>
        <w:rPr>
          <w:rFonts w:ascii="ITC Avant Garde" w:hAnsi="ITC Avant Garde"/>
          <w:color w:val="000000"/>
          <w:kern w:val="1"/>
          <w:sz w:val="20"/>
          <w:lang w:eastAsia="ar-SA"/>
        </w:rPr>
      </w:pPr>
      <w:r w:rsidRPr="00225268">
        <w:rPr>
          <w:rFonts w:ascii="ITC Avant Garde" w:hAnsi="ITC Avant Garde"/>
          <w:kern w:val="1"/>
          <w:sz w:val="20"/>
          <w:lang w:eastAsia="ar-SA"/>
        </w:rPr>
        <w:t>El 14 de julio de 2014</w:t>
      </w:r>
      <w:r w:rsidR="00157CDB" w:rsidRPr="00225268">
        <w:rPr>
          <w:rFonts w:ascii="ITC Avant Garde" w:hAnsi="ITC Avant Garde"/>
          <w:kern w:val="1"/>
          <w:sz w:val="20"/>
          <w:lang w:eastAsia="ar-SA"/>
        </w:rPr>
        <w:t>,</w:t>
      </w:r>
      <w:r w:rsidRPr="00225268">
        <w:rPr>
          <w:rFonts w:ascii="ITC Avant Garde" w:hAnsi="ITC Avant Garde"/>
          <w:kern w:val="1"/>
          <w:sz w:val="20"/>
          <w:lang w:eastAsia="ar-SA"/>
        </w:rPr>
        <w:t xml:space="preserve">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mismo que de conformidad con el artículo Primero Transitorio entró en vigor 30 días naturales siguientes a su publicación, es decir, el 13 de agosto de 2014</w:t>
      </w:r>
      <w:r w:rsidR="006D1783" w:rsidRPr="00225268">
        <w:rPr>
          <w:rFonts w:ascii="ITC Avant Garde" w:hAnsi="ITC Avant Garde"/>
          <w:kern w:val="1"/>
          <w:sz w:val="20"/>
          <w:lang w:eastAsia="ar-SA"/>
        </w:rPr>
        <w:t>;</w:t>
      </w:r>
    </w:p>
    <w:p w14:paraId="28D856D8" w14:textId="77777777" w:rsidR="0016223C" w:rsidRPr="00225268" w:rsidRDefault="0016223C" w:rsidP="00157CDB">
      <w:pPr>
        <w:pStyle w:val="Prrafodelista"/>
        <w:suppressAutoHyphens/>
        <w:ind w:left="709"/>
        <w:jc w:val="both"/>
        <w:rPr>
          <w:rFonts w:ascii="ITC Avant Garde" w:hAnsi="ITC Avant Garde"/>
          <w:color w:val="000000"/>
          <w:kern w:val="1"/>
          <w:sz w:val="20"/>
          <w:lang w:eastAsia="ar-SA"/>
        </w:rPr>
      </w:pPr>
    </w:p>
    <w:p w14:paraId="0E8863F4" w14:textId="77777777" w:rsidR="0016223C" w:rsidRPr="00225268" w:rsidRDefault="0016223C" w:rsidP="00157CDB">
      <w:pPr>
        <w:pStyle w:val="Prrafodelista"/>
        <w:numPr>
          <w:ilvl w:val="0"/>
          <w:numId w:val="2"/>
        </w:numPr>
        <w:suppressAutoHyphens/>
        <w:ind w:left="709"/>
        <w:jc w:val="both"/>
        <w:rPr>
          <w:rFonts w:ascii="ITC Avant Garde" w:hAnsi="ITC Avant Garde"/>
          <w:color w:val="000000"/>
          <w:kern w:val="1"/>
          <w:sz w:val="20"/>
          <w:lang w:eastAsia="ar-SA"/>
        </w:rPr>
      </w:pPr>
      <w:r w:rsidRPr="00225268">
        <w:rPr>
          <w:rFonts w:ascii="ITC Avant Garde" w:hAnsi="ITC Avant Garde"/>
          <w:color w:val="000000"/>
          <w:kern w:val="1"/>
          <w:sz w:val="20"/>
          <w:lang w:eastAsia="ar-SA"/>
        </w:rPr>
        <w:t>El 4 de septiembre de 2014</w:t>
      </w:r>
      <w:r w:rsidR="00157CDB" w:rsidRPr="00225268">
        <w:rPr>
          <w:rFonts w:ascii="ITC Avant Garde" w:hAnsi="ITC Avant Garde"/>
          <w:color w:val="000000"/>
          <w:kern w:val="1"/>
          <w:sz w:val="20"/>
          <w:lang w:eastAsia="ar-SA"/>
        </w:rPr>
        <w:t>,</w:t>
      </w:r>
      <w:r w:rsidRPr="00225268">
        <w:rPr>
          <w:rFonts w:ascii="ITC Avant Garde" w:hAnsi="ITC Avant Garde"/>
          <w:color w:val="000000"/>
          <w:kern w:val="1"/>
          <w:sz w:val="20"/>
          <w:lang w:eastAsia="ar-SA"/>
        </w:rPr>
        <w:t xml:space="preserve"> se publicó en el DOF el “Estatuto Orgánico del Instituto Federal de Telecomunicaciones” (Estatuto Orgánico), el cual se modificó por diverso acuerdo publicado en el mismo medio de difusión el 17 de octubre del mismo año;</w:t>
      </w:r>
    </w:p>
    <w:p w14:paraId="216F460F" w14:textId="77777777" w:rsidR="0016223C" w:rsidRPr="00225268" w:rsidRDefault="0016223C" w:rsidP="00157CDB">
      <w:pPr>
        <w:pStyle w:val="Prrafodelista"/>
        <w:suppressAutoHyphens/>
        <w:ind w:left="709"/>
        <w:jc w:val="both"/>
        <w:rPr>
          <w:rFonts w:ascii="ITC Avant Garde" w:hAnsi="ITC Avant Garde"/>
          <w:color w:val="000000"/>
          <w:kern w:val="1"/>
          <w:sz w:val="20"/>
          <w:lang w:eastAsia="ar-SA"/>
        </w:rPr>
      </w:pPr>
    </w:p>
    <w:p w14:paraId="44DF6CB0" w14:textId="77777777" w:rsidR="006D1783" w:rsidRPr="00225268" w:rsidRDefault="00623F73" w:rsidP="00157CDB">
      <w:pPr>
        <w:pStyle w:val="Prrafodelista"/>
        <w:numPr>
          <w:ilvl w:val="0"/>
          <w:numId w:val="2"/>
        </w:numPr>
        <w:suppressAutoHyphens/>
        <w:ind w:left="709"/>
        <w:jc w:val="both"/>
        <w:rPr>
          <w:rFonts w:ascii="ITC Avant Garde" w:hAnsi="ITC Avant Garde"/>
          <w:color w:val="000000"/>
          <w:kern w:val="1"/>
          <w:sz w:val="20"/>
          <w:lang w:eastAsia="ar-SA"/>
        </w:rPr>
      </w:pPr>
      <w:r w:rsidRPr="00225268">
        <w:rPr>
          <w:rFonts w:ascii="ITC Avant Garde" w:hAnsi="ITC Avant Garde"/>
          <w:color w:val="000000"/>
          <w:kern w:val="1"/>
          <w:sz w:val="20"/>
          <w:lang w:eastAsia="ar-SA"/>
        </w:rPr>
        <w:t>El 11 de septiembre de 2014</w:t>
      </w:r>
      <w:r w:rsidR="006D1783" w:rsidRPr="00225268">
        <w:rPr>
          <w:rFonts w:ascii="ITC Avant Garde" w:hAnsi="ITC Avant Garde"/>
          <w:color w:val="000000"/>
          <w:kern w:val="1"/>
          <w:sz w:val="20"/>
          <w:lang w:eastAsia="ar-SA"/>
        </w:rPr>
        <w:t xml:space="preserve"> se publicó en el DOF</w:t>
      </w:r>
      <w:r w:rsidRPr="00225268">
        <w:rPr>
          <w:rFonts w:ascii="ITC Avant Garde" w:hAnsi="ITC Avant Garde"/>
          <w:color w:val="000000"/>
          <w:kern w:val="1"/>
          <w:sz w:val="20"/>
          <w:lang w:eastAsia="ar-SA"/>
        </w:rPr>
        <w:t xml:space="preserve"> la “Política para la Transición a la Televisión Digital Terrestre” (Política TDT) mediante la cual se abroga el “Acuerdo por el que se Adopta el Estándar Tecnológico de Televisión Digital Terrestre y se establece la Política para la Transición a la Televisión Digital Terrestre en México”, publicado originalmente en el DOF el 2 de julio de 2004 y cuya última modificación fue publicada en el mismo medio d</w:t>
      </w:r>
      <w:r w:rsidR="006D1783" w:rsidRPr="00225268">
        <w:rPr>
          <w:rFonts w:ascii="ITC Avant Garde" w:hAnsi="ITC Avant Garde"/>
          <w:color w:val="000000"/>
          <w:kern w:val="1"/>
          <w:sz w:val="20"/>
          <w:lang w:eastAsia="ar-SA"/>
        </w:rPr>
        <w:t>e difusión el 7 de mayo de 2014;</w:t>
      </w:r>
    </w:p>
    <w:p w14:paraId="4A598177" w14:textId="77777777" w:rsidR="006D1783" w:rsidRPr="00225268" w:rsidRDefault="006D1783" w:rsidP="00157CDB">
      <w:pPr>
        <w:pStyle w:val="Prrafodelista"/>
        <w:rPr>
          <w:rFonts w:ascii="ITC Avant Garde" w:hAnsi="ITC Avant Garde"/>
          <w:kern w:val="1"/>
          <w:sz w:val="20"/>
          <w:lang w:val="es-ES" w:eastAsia="ar-SA"/>
        </w:rPr>
      </w:pPr>
    </w:p>
    <w:p w14:paraId="66C890CA" w14:textId="77777777" w:rsidR="0008599C" w:rsidRPr="00225268" w:rsidRDefault="006D1783" w:rsidP="00157CDB">
      <w:pPr>
        <w:pStyle w:val="Prrafodelista"/>
        <w:numPr>
          <w:ilvl w:val="0"/>
          <w:numId w:val="2"/>
        </w:numPr>
        <w:suppressAutoHyphens/>
        <w:ind w:left="709"/>
        <w:jc w:val="both"/>
        <w:rPr>
          <w:rFonts w:ascii="ITC Avant Garde" w:hAnsi="ITC Avant Garde"/>
          <w:color w:val="000000"/>
          <w:kern w:val="1"/>
          <w:sz w:val="20"/>
          <w:lang w:eastAsia="ar-SA"/>
        </w:rPr>
      </w:pPr>
      <w:r w:rsidRPr="00225268">
        <w:rPr>
          <w:rFonts w:ascii="ITC Avant Garde" w:hAnsi="ITC Avant Garde"/>
          <w:kern w:val="1"/>
          <w:sz w:val="20"/>
          <w:lang w:val="es-ES" w:eastAsia="ar-SA"/>
        </w:rPr>
        <w:t>El 18 de diciembre de 2015</w:t>
      </w:r>
      <w:r w:rsidR="00157CDB" w:rsidRPr="00225268">
        <w:rPr>
          <w:rFonts w:ascii="ITC Avant Garde" w:hAnsi="ITC Avant Garde"/>
          <w:kern w:val="1"/>
          <w:sz w:val="20"/>
          <w:lang w:val="es-ES" w:eastAsia="ar-SA"/>
        </w:rPr>
        <w:t>,</w:t>
      </w:r>
      <w:r w:rsidRPr="00225268">
        <w:rPr>
          <w:rFonts w:ascii="ITC Avant Garde" w:hAnsi="ITC Avant Garde"/>
          <w:kern w:val="1"/>
          <w:sz w:val="20"/>
          <w:lang w:val="es-ES" w:eastAsia="ar-SA"/>
        </w:rPr>
        <w:t xml:space="preserve"> mediante acuerdo </w:t>
      </w:r>
      <w:r w:rsidRPr="00225268">
        <w:rPr>
          <w:rFonts w:ascii="ITC Avant Garde" w:hAnsi="ITC Avant Garde"/>
          <w:b/>
          <w:kern w:val="1"/>
          <w:sz w:val="20"/>
          <w:lang w:val="es-ES" w:eastAsia="ar-SA"/>
        </w:rPr>
        <w:t>P/IFT/EXT/181215/190</w:t>
      </w:r>
      <w:r w:rsidRPr="00225268">
        <w:rPr>
          <w:rFonts w:ascii="ITC Avant Garde" w:hAnsi="ITC Avant Garde"/>
          <w:kern w:val="1"/>
          <w:sz w:val="20"/>
          <w:lang w:val="es-ES" w:eastAsia="ar-SA"/>
        </w:rPr>
        <w:t>, el Pleno del Instituto aprobó someter a consulta pública el “Anteproyecto de Lineamientos Generales para la Asignación de Canales Virtuales de Televisión Radiodifundida” (</w:t>
      </w:r>
      <w:r w:rsidR="00115212" w:rsidRPr="00225268">
        <w:rPr>
          <w:rFonts w:ascii="ITC Avant Garde" w:hAnsi="ITC Avant Garde"/>
          <w:kern w:val="1"/>
          <w:sz w:val="20"/>
          <w:lang w:val="es-ES" w:eastAsia="ar-SA"/>
        </w:rPr>
        <w:t>Anteproyecto de Lineamientos</w:t>
      </w:r>
      <w:r w:rsidRPr="00225268">
        <w:rPr>
          <w:rFonts w:ascii="ITC Avant Garde" w:hAnsi="ITC Avant Garde"/>
          <w:kern w:val="1"/>
          <w:sz w:val="20"/>
          <w:lang w:val="es-ES" w:eastAsia="ar-SA"/>
        </w:rPr>
        <w:t>), y determinó que dicha consulta pública se realizaría en el periodo del 21 de diciembre de 2015 al 29 de enero de 2016;</w:t>
      </w:r>
      <w:r w:rsidR="0008599C" w:rsidRPr="00225268">
        <w:rPr>
          <w:rFonts w:ascii="ITC Avant Garde" w:hAnsi="ITC Avant Garde"/>
          <w:kern w:val="1"/>
          <w:sz w:val="20"/>
          <w:lang w:val="es-ES" w:eastAsia="ar-SA"/>
        </w:rPr>
        <w:t xml:space="preserve"> </w:t>
      </w:r>
    </w:p>
    <w:p w14:paraId="37677810" w14:textId="77777777" w:rsidR="006013A9" w:rsidRPr="00225268" w:rsidRDefault="006013A9" w:rsidP="00157CDB">
      <w:pPr>
        <w:pStyle w:val="Prrafodelista"/>
        <w:suppressAutoHyphens/>
        <w:ind w:left="709"/>
        <w:jc w:val="both"/>
        <w:rPr>
          <w:rFonts w:ascii="ITC Avant Garde" w:hAnsi="ITC Avant Garde"/>
          <w:kern w:val="1"/>
          <w:sz w:val="20"/>
          <w:lang w:val="es-ES" w:eastAsia="ar-SA"/>
        </w:rPr>
      </w:pPr>
    </w:p>
    <w:p w14:paraId="1775E01F" w14:textId="77777777" w:rsidR="006F4E57" w:rsidRPr="00225268" w:rsidRDefault="006F4E57" w:rsidP="00157CDB">
      <w:pPr>
        <w:pStyle w:val="Prrafodelista"/>
        <w:numPr>
          <w:ilvl w:val="0"/>
          <w:numId w:val="2"/>
        </w:numPr>
        <w:suppressAutoHyphens/>
        <w:ind w:left="709"/>
        <w:jc w:val="both"/>
        <w:rPr>
          <w:rFonts w:ascii="ITC Avant Garde" w:hAnsi="ITC Avant Garde"/>
          <w:kern w:val="1"/>
          <w:sz w:val="20"/>
          <w:lang w:val="es-ES" w:eastAsia="ar-SA"/>
        </w:rPr>
      </w:pPr>
      <w:r w:rsidRPr="00225268">
        <w:rPr>
          <w:rFonts w:ascii="ITC Avant Garde" w:hAnsi="ITC Avant Garde"/>
          <w:kern w:val="1"/>
          <w:sz w:val="20"/>
          <w:lang w:val="es-ES" w:eastAsia="ar-SA"/>
        </w:rPr>
        <w:t xml:space="preserve">Durante la consulta pública se recibieron un total de </w:t>
      </w:r>
      <w:r w:rsidR="00115212" w:rsidRPr="00225268">
        <w:rPr>
          <w:rFonts w:ascii="ITC Avant Garde" w:hAnsi="ITC Avant Garde"/>
          <w:kern w:val="1"/>
          <w:sz w:val="20"/>
          <w:lang w:val="es-ES" w:eastAsia="ar-SA"/>
        </w:rPr>
        <w:t xml:space="preserve">13 </w:t>
      </w:r>
      <w:r w:rsidRPr="00225268">
        <w:rPr>
          <w:rFonts w:ascii="ITC Avant Garde" w:hAnsi="ITC Avant Garde"/>
          <w:kern w:val="1"/>
          <w:sz w:val="20"/>
          <w:lang w:val="es-ES" w:eastAsia="ar-SA"/>
        </w:rPr>
        <w:t>participaciones</w:t>
      </w:r>
      <w:r w:rsidR="0032096A" w:rsidRPr="00225268">
        <w:rPr>
          <w:rFonts w:ascii="ITC Avant Garde" w:hAnsi="ITC Avant Garde"/>
          <w:kern w:val="1"/>
          <w:sz w:val="20"/>
          <w:lang w:val="es-ES" w:eastAsia="ar-SA"/>
        </w:rPr>
        <w:t xml:space="preserve">, en las que diversos interesados expusieron sus comentarios, </w:t>
      </w:r>
      <w:r w:rsidR="00103FE2" w:rsidRPr="00225268">
        <w:rPr>
          <w:rFonts w:ascii="ITC Avant Garde" w:hAnsi="ITC Avant Garde"/>
          <w:kern w:val="1"/>
          <w:sz w:val="20"/>
          <w:lang w:val="es-ES" w:eastAsia="ar-SA"/>
        </w:rPr>
        <w:t xml:space="preserve">observaciones, propuestas y/o adiciones </w:t>
      </w:r>
      <w:r w:rsidR="00115212" w:rsidRPr="00225268">
        <w:rPr>
          <w:rFonts w:ascii="ITC Avant Garde" w:hAnsi="ITC Avant Garde"/>
          <w:kern w:val="1"/>
          <w:sz w:val="20"/>
          <w:lang w:val="es-ES" w:eastAsia="ar-SA"/>
        </w:rPr>
        <w:t xml:space="preserve">al </w:t>
      </w:r>
      <w:r w:rsidR="0032096A" w:rsidRPr="00225268">
        <w:rPr>
          <w:rFonts w:ascii="ITC Avant Garde" w:hAnsi="ITC Avant Garde"/>
          <w:kern w:val="1"/>
          <w:sz w:val="20"/>
          <w:lang w:val="es-ES" w:eastAsia="ar-SA"/>
        </w:rPr>
        <w:t>Anteproyecto</w:t>
      </w:r>
      <w:r w:rsidR="00115212" w:rsidRPr="00225268">
        <w:rPr>
          <w:rFonts w:ascii="ITC Avant Garde" w:hAnsi="ITC Avant Garde"/>
          <w:kern w:val="1"/>
          <w:sz w:val="20"/>
          <w:lang w:val="es-ES" w:eastAsia="ar-SA"/>
        </w:rPr>
        <w:t xml:space="preserve"> de Lineamientos.</w:t>
      </w:r>
    </w:p>
    <w:p w14:paraId="2023C4BA" w14:textId="77777777" w:rsidR="006F4E57" w:rsidRPr="00225268" w:rsidRDefault="006F4E57" w:rsidP="00157CDB">
      <w:pPr>
        <w:pStyle w:val="Prrafodelista"/>
        <w:suppressAutoHyphens/>
        <w:ind w:left="709"/>
        <w:jc w:val="both"/>
        <w:rPr>
          <w:rFonts w:ascii="ITC Avant Garde" w:hAnsi="ITC Avant Garde"/>
          <w:kern w:val="1"/>
          <w:sz w:val="20"/>
          <w:lang w:val="es-ES" w:eastAsia="ar-SA"/>
        </w:rPr>
      </w:pPr>
    </w:p>
    <w:p w14:paraId="173EE7A5" w14:textId="77777777" w:rsidR="009F4A66" w:rsidRPr="00225268" w:rsidRDefault="0032096A" w:rsidP="00157CDB">
      <w:pPr>
        <w:pStyle w:val="Prrafodelista"/>
        <w:suppressAutoHyphens/>
        <w:ind w:left="709"/>
        <w:jc w:val="both"/>
        <w:rPr>
          <w:rFonts w:ascii="ITC Avant Garde" w:hAnsi="ITC Avant Garde"/>
          <w:kern w:val="1"/>
          <w:sz w:val="20"/>
          <w:lang w:val="es-ES" w:eastAsia="ar-SA"/>
        </w:rPr>
      </w:pPr>
      <w:r w:rsidRPr="00225268">
        <w:rPr>
          <w:rFonts w:ascii="ITC Avant Garde" w:hAnsi="ITC Avant Garde"/>
          <w:kern w:val="1"/>
          <w:sz w:val="20"/>
          <w:lang w:val="es-ES" w:eastAsia="ar-SA"/>
        </w:rPr>
        <w:t xml:space="preserve">Una vez cerrada la consulta pública, el Instituto </w:t>
      </w:r>
      <w:r w:rsidR="002B5127" w:rsidRPr="00225268">
        <w:rPr>
          <w:rFonts w:ascii="ITC Avant Garde" w:hAnsi="ITC Avant Garde"/>
          <w:kern w:val="1"/>
          <w:sz w:val="20"/>
          <w:lang w:val="es-ES" w:eastAsia="ar-SA"/>
        </w:rPr>
        <w:t xml:space="preserve">hizo una relación de los </w:t>
      </w:r>
      <w:r w:rsidR="00DF0B6A" w:rsidRPr="00225268">
        <w:rPr>
          <w:rFonts w:ascii="ITC Avant Garde" w:hAnsi="ITC Avant Garde"/>
          <w:bCs/>
          <w:sz w:val="20"/>
          <w:lang w:val="es-ES_tradnl"/>
        </w:rPr>
        <w:t>comentarios, observaciones, propuestas y/o adiciones</w:t>
      </w:r>
      <w:r w:rsidR="00DF0B6A" w:rsidRPr="00225268">
        <w:rPr>
          <w:rFonts w:ascii="ITC Avant Garde" w:hAnsi="ITC Avant Garde"/>
          <w:kern w:val="2"/>
          <w:sz w:val="20"/>
          <w:lang w:val="es-ES" w:eastAsia="ar-SA"/>
        </w:rPr>
        <w:t xml:space="preserve"> recibidas</w:t>
      </w:r>
      <w:r w:rsidR="002B5127" w:rsidRPr="00225268">
        <w:rPr>
          <w:rFonts w:ascii="ITC Avant Garde" w:hAnsi="ITC Avant Garde"/>
          <w:kern w:val="1"/>
          <w:sz w:val="20"/>
          <w:lang w:val="es-ES" w:eastAsia="ar-SA"/>
        </w:rPr>
        <w:t>, a efecto de dar respuesta a l</w:t>
      </w:r>
      <w:r w:rsidR="00DC2EED" w:rsidRPr="00225268">
        <w:rPr>
          <w:rFonts w:ascii="ITC Avant Garde" w:hAnsi="ITC Avant Garde"/>
          <w:kern w:val="1"/>
          <w:sz w:val="20"/>
          <w:lang w:val="es-ES" w:eastAsia="ar-SA"/>
        </w:rPr>
        <w:t>a</w:t>
      </w:r>
      <w:r w:rsidR="002B5127" w:rsidRPr="00225268">
        <w:rPr>
          <w:rFonts w:ascii="ITC Avant Garde" w:hAnsi="ITC Avant Garde"/>
          <w:kern w:val="1"/>
          <w:sz w:val="20"/>
          <w:lang w:val="es-ES" w:eastAsia="ar-SA"/>
        </w:rPr>
        <w:t>s mism</w:t>
      </w:r>
      <w:r w:rsidR="00DC2EED" w:rsidRPr="00225268">
        <w:rPr>
          <w:rFonts w:ascii="ITC Avant Garde" w:hAnsi="ITC Avant Garde"/>
          <w:kern w:val="1"/>
          <w:sz w:val="20"/>
          <w:lang w:val="es-ES" w:eastAsia="ar-SA"/>
        </w:rPr>
        <w:t>a</w:t>
      </w:r>
      <w:r w:rsidR="002B5127" w:rsidRPr="00225268">
        <w:rPr>
          <w:rFonts w:ascii="ITC Avant Garde" w:hAnsi="ITC Avant Garde"/>
          <w:kern w:val="1"/>
          <w:sz w:val="20"/>
          <w:lang w:val="es-ES" w:eastAsia="ar-SA"/>
        </w:rPr>
        <w:t xml:space="preserve">s por temas relacionados entre </w:t>
      </w:r>
      <w:r w:rsidRPr="00225268">
        <w:rPr>
          <w:rFonts w:ascii="ITC Avant Garde" w:hAnsi="ITC Avant Garde"/>
          <w:kern w:val="1"/>
          <w:sz w:val="20"/>
          <w:lang w:val="es-ES" w:eastAsia="ar-SA"/>
        </w:rPr>
        <w:t xml:space="preserve">sí, </w:t>
      </w:r>
      <w:r w:rsidR="002B5127" w:rsidRPr="00225268">
        <w:rPr>
          <w:rFonts w:ascii="ITC Avant Garde" w:hAnsi="ITC Avant Garde"/>
          <w:kern w:val="1"/>
          <w:sz w:val="20"/>
          <w:lang w:val="es-ES" w:eastAsia="ar-SA"/>
        </w:rPr>
        <w:t xml:space="preserve">algunos de los </w:t>
      </w:r>
      <w:r w:rsidRPr="00225268">
        <w:rPr>
          <w:rFonts w:ascii="ITC Avant Garde" w:hAnsi="ITC Avant Garde"/>
          <w:kern w:val="1"/>
          <w:sz w:val="20"/>
          <w:lang w:val="es-ES" w:eastAsia="ar-SA"/>
        </w:rPr>
        <w:t>cuales se tomaron en consideración para hacer modificaciones y/o adecuaciones al Anteproyecto</w:t>
      </w:r>
      <w:r w:rsidR="00115212" w:rsidRPr="00225268">
        <w:rPr>
          <w:rFonts w:ascii="ITC Avant Garde" w:hAnsi="ITC Avant Garde"/>
          <w:kern w:val="1"/>
          <w:sz w:val="20"/>
          <w:lang w:val="es-ES" w:eastAsia="ar-SA"/>
        </w:rPr>
        <w:t xml:space="preserve"> de Lineamientos</w:t>
      </w:r>
      <w:r w:rsidRPr="00225268">
        <w:rPr>
          <w:rFonts w:ascii="ITC Avant Garde" w:hAnsi="ITC Avant Garde"/>
          <w:kern w:val="1"/>
          <w:sz w:val="20"/>
          <w:lang w:val="es-ES" w:eastAsia="ar-SA"/>
        </w:rPr>
        <w:t>.</w:t>
      </w:r>
      <w:r w:rsidR="009F4A66" w:rsidRPr="00225268">
        <w:rPr>
          <w:rFonts w:ascii="ITC Avant Garde" w:hAnsi="ITC Avant Garde"/>
          <w:kern w:val="1"/>
          <w:sz w:val="20"/>
          <w:lang w:val="es-ES" w:eastAsia="ar-SA"/>
        </w:rPr>
        <w:t xml:space="preserve"> </w:t>
      </w:r>
    </w:p>
    <w:p w14:paraId="634950C6" w14:textId="77777777" w:rsidR="009F4A66" w:rsidRPr="00225268" w:rsidRDefault="009F4A66" w:rsidP="00157CDB">
      <w:pPr>
        <w:pStyle w:val="Prrafodelista"/>
        <w:suppressAutoHyphens/>
        <w:ind w:left="709"/>
        <w:jc w:val="both"/>
        <w:rPr>
          <w:rFonts w:ascii="ITC Avant Garde" w:hAnsi="ITC Avant Garde"/>
          <w:kern w:val="1"/>
          <w:sz w:val="20"/>
          <w:lang w:val="es-ES" w:eastAsia="ar-SA"/>
        </w:rPr>
      </w:pPr>
    </w:p>
    <w:p w14:paraId="0EAC9FBD" w14:textId="649D5CF9" w:rsidR="0032096A" w:rsidRPr="00225268" w:rsidRDefault="0032096A" w:rsidP="00157CDB">
      <w:pPr>
        <w:pStyle w:val="Prrafodelista"/>
        <w:suppressAutoHyphens/>
        <w:ind w:left="709"/>
        <w:jc w:val="both"/>
        <w:rPr>
          <w:rFonts w:ascii="ITC Avant Garde" w:hAnsi="ITC Avant Garde"/>
          <w:kern w:val="1"/>
          <w:sz w:val="20"/>
          <w:lang w:val="es-ES" w:eastAsia="ar-SA"/>
        </w:rPr>
      </w:pPr>
      <w:r w:rsidRPr="00225268">
        <w:rPr>
          <w:rFonts w:ascii="ITC Avant Garde" w:hAnsi="ITC Avant Garde"/>
          <w:kern w:val="1"/>
          <w:sz w:val="20"/>
          <w:lang w:val="es-ES" w:eastAsia="ar-SA"/>
        </w:rPr>
        <w:t xml:space="preserve">El pronunciamiento respecto de los </w:t>
      </w:r>
      <w:r w:rsidR="00DC2EED" w:rsidRPr="00225268">
        <w:rPr>
          <w:rFonts w:ascii="ITC Avant Garde" w:hAnsi="ITC Avant Garde"/>
          <w:bCs/>
          <w:sz w:val="20"/>
          <w:lang w:val="es-ES_tradnl"/>
        </w:rPr>
        <w:t>comentarios, observaciones, propuestas y/o adiciones</w:t>
      </w:r>
      <w:r w:rsidRPr="00225268">
        <w:rPr>
          <w:rFonts w:ascii="ITC Avant Garde" w:hAnsi="ITC Avant Garde"/>
          <w:kern w:val="1"/>
          <w:sz w:val="20"/>
          <w:lang w:val="es-ES" w:eastAsia="ar-SA"/>
        </w:rPr>
        <w:t xml:space="preserve"> recibidas</w:t>
      </w:r>
      <w:r w:rsidR="009F4A66" w:rsidRPr="00225268">
        <w:rPr>
          <w:rFonts w:ascii="ITC Avant Garde" w:hAnsi="ITC Avant Garde"/>
          <w:kern w:val="1"/>
          <w:sz w:val="20"/>
          <w:lang w:val="es-ES" w:eastAsia="ar-SA"/>
        </w:rPr>
        <w:t>,</w:t>
      </w:r>
      <w:r w:rsidRPr="00225268">
        <w:rPr>
          <w:rFonts w:ascii="ITC Avant Garde" w:hAnsi="ITC Avant Garde"/>
          <w:kern w:val="1"/>
          <w:sz w:val="20"/>
          <w:lang w:val="es-ES" w:eastAsia="ar-SA"/>
        </w:rPr>
        <w:t xml:space="preserve"> se encontrará disponible en </w:t>
      </w:r>
      <w:r w:rsidR="00A126F5" w:rsidRPr="00225268">
        <w:rPr>
          <w:rFonts w:ascii="ITC Avant Garde" w:hAnsi="ITC Avant Garde"/>
          <w:kern w:val="2"/>
          <w:sz w:val="20"/>
          <w:lang w:val="es-ES" w:eastAsia="ar-SA"/>
        </w:rPr>
        <w:t xml:space="preserve">el portal de </w:t>
      </w:r>
      <w:r w:rsidR="00144F9C">
        <w:rPr>
          <w:rFonts w:ascii="ITC Avant Garde" w:hAnsi="ITC Avant Garde"/>
          <w:kern w:val="2"/>
          <w:sz w:val="20"/>
          <w:lang w:val="es-ES" w:eastAsia="ar-SA"/>
        </w:rPr>
        <w:t>I</w:t>
      </w:r>
      <w:r w:rsidR="00A126F5" w:rsidRPr="00225268">
        <w:rPr>
          <w:rFonts w:ascii="ITC Avant Garde" w:hAnsi="ITC Avant Garde"/>
          <w:kern w:val="2"/>
          <w:sz w:val="20"/>
          <w:lang w:val="es-ES" w:eastAsia="ar-SA"/>
        </w:rPr>
        <w:t xml:space="preserve">nternet </w:t>
      </w:r>
      <w:r w:rsidRPr="00225268">
        <w:rPr>
          <w:rFonts w:ascii="ITC Avant Garde" w:hAnsi="ITC Avant Garde"/>
          <w:kern w:val="1"/>
          <w:sz w:val="20"/>
          <w:lang w:val="es-ES" w:eastAsia="ar-SA"/>
        </w:rPr>
        <w:t>del Instituto.</w:t>
      </w:r>
    </w:p>
    <w:p w14:paraId="0F78C70B" w14:textId="77777777" w:rsidR="00115212" w:rsidRPr="00225268" w:rsidRDefault="00115212" w:rsidP="00157CDB">
      <w:pPr>
        <w:pStyle w:val="Prrafodelista"/>
        <w:autoSpaceDE w:val="0"/>
        <w:autoSpaceDN w:val="0"/>
        <w:adjustRightInd w:val="0"/>
        <w:ind w:left="709"/>
        <w:jc w:val="both"/>
        <w:rPr>
          <w:rFonts w:ascii="ITC Avant Garde" w:hAnsi="ITC Avant Garde"/>
          <w:kern w:val="2"/>
          <w:sz w:val="20"/>
          <w:lang w:val="es-ES" w:eastAsia="ar-SA"/>
        </w:rPr>
      </w:pPr>
    </w:p>
    <w:p w14:paraId="27789902" w14:textId="77777777" w:rsidR="0032096A" w:rsidRPr="00225268" w:rsidRDefault="00D27BCF" w:rsidP="00157CDB">
      <w:pPr>
        <w:pStyle w:val="Prrafodelista"/>
        <w:numPr>
          <w:ilvl w:val="0"/>
          <w:numId w:val="2"/>
        </w:numPr>
        <w:autoSpaceDE w:val="0"/>
        <w:autoSpaceDN w:val="0"/>
        <w:adjustRightInd w:val="0"/>
        <w:ind w:left="709"/>
        <w:jc w:val="both"/>
        <w:rPr>
          <w:rFonts w:ascii="ITC Avant Garde" w:hAnsi="ITC Avant Garde"/>
          <w:kern w:val="2"/>
          <w:sz w:val="20"/>
          <w:lang w:val="es-ES" w:eastAsia="ar-SA"/>
        </w:rPr>
      </w:pPr>
      <w:r w:rsidRPr="00225268">
        <w:rPr>
          <w:rFonts w:ascii="ITC Avant Garde" w:hAnsi="ITC Avant Garde"/>
          <w:kern w:val="2"/>
          <w:sz w:val="20"/>
          <w:lang w:val="es-ES" w:eastAsia="ar-SA"/>
        </w:rPr>
        <w:lastRenderedPageBreak/>
        <w:t>De conformidad con el segundo párrafo del artículo 51 de la Ley</w:t>
      </w:r>
      <w:r w:rsidR="00157CDB" w:rsidRPr="00225268">
        <w:rPr>
          <w:rFonts w:ascii="ITC Avant Garde" w:hAnsi="ITC Avant Garde"/>
          <w:kern w:val="2"/>
          <w:sz w:val="20"/>
          <w:lang w:val="es-ES" w:eastAsia="ar-SA"/>
        </w:rPr>
        <w:t xml:space="preserve"> Federal de Telecomunicaciones y Radiodifusión (LFTR)</w:t>
      </w:r>
      <w:r w:rsidRPr="00225268">
        <w:rPr>
          <w:rFonts w:ascii="ITC Avant Garde" w:hAnsi="ITC Avant Garde"/>
          <w:kern w:val="2"/>
          <w:sz w:val="20"/>
          <w:lang w:val="es-ES" w:eastAsia="ar-SA"/>
        </w:rPr>
        <w:t xml:space="preserve">, </w:t>
      </w:r>
      <w:r w:rsidR="0032096A" w:rsidRPr="00225268">
        <w:rPr>
          <w:rFonts w:ascii="ITC Avant Garde" w:hAnsi="ITC Avant Garde"/>
          <w:kern w:val="2"/>
          <w:sz w:val="20"/>
          <w:lang w:val="es-ES" w:eastAsia="ar-SA"/>
        </w:rPr>
        <w:t xml:space="preserve">la Unidad de Medios y Contenidos </w:t>
      </w:r>
      <w:r w:rsidR="009F4A66" w:rsidRPr="00225268">
        <w:rPr>
          <w:rFonts w:ascii="ITC Avant Garde" w:hAnsi="ITC Avant Garde"/>
          <w:kern w:val="2"/>
          <w:sz w:val="20"/>
          <w:lang w:val="es-ES" w:eastAsia="ar-SA"/>
        </w:rPr>
        <w:t xml:space="preserve">Audiovisuales, mediante oficio </w:t>
      </w:r>
      <w:r w:rsidR="00157CDB" w:rsidRPr="00225268">
        <w:rPr>
          <w:rFonts w:ascii="ITC Avant Garde" w:hAnsi="ITC Avant Garde"/>
          <w:b/>
          <w:sz w:val="20"/>
        </w:rPr>
        <w:t>IFT/224/UMCA/DG-PPRMCA/068/2016</w:t>
      </w:r>
      <w:r w:rsidR="009F4A66" w:rsidRPr="00225268">
        <w:rPr>
          <w:rFonts w:ascii="ITC Avant Garde" w:hAnsi="ITC Avant Garde"/>
          <w:kern w:val="2"/>
          <w:sz w:val="20"/>
          <w:lang w:val="es-ES" w:eastAsia="ar-SA"/>
        </w:rPr>
        <w:t xml:space="preserve">, de fecha </w:t>
      </w:r>
      <w:r w:rsidR="00157CDB" w:rsidRPr="00225268">
        <w:rPr>
          <w:rFonts w:ascii="ITC Avant Garde" w:hAnsi="ITC Avant Garde"/>
          <w:kern w:val="2"/>
          <w:sz w:val="20"/>
          <w:lang w:val="es-ES" w:eastAsia="ar-SA"/>
        </w:rPr>
        <w:t>8 de junio de 2016</w:t>
      </w:r>
      <w:r w:rsidR="009F4A66" w:rsidRPr="00225268">
        <w:rPr>
          <w:rFonts w:ascii="ITC Avant Garde" w:hAnsi="ITC Avant Garde"/>
          <w:kern w:val="2"/>
          <w:sz w:val="20"/>
          <w:lang w:val="es-ES" w:eastAsia="ar-SA"/>
        </w:rPr>
        <w:t xml:space="preserve">, </w:t>
      </w:r>
      <w:r w:rsidR="0032096A" w:rsidRPr="00225268">
        <w:rPr>
          <w:rFonts w:ascii="ITC Avant Garde" w:hAnsi="ITC Avant Garde"/>
          <w:kern w:val="2"/>
          <w:sz w:val="20"/>
          <w:lang w:val="es-ES" w:eastAsia="ar-SA"/>
        </w:rPr>
        <w:t xml:space="preserve">remitió a la Coordinación </w:t>
      </w:r>
      <w:r w:rsidR="0032096A" w:rsidRPr="00225268">
        <w:rPr>
          <w:rFonts w:ascii="ITC Avant Garde" w:hAnsi="ITC Avant Garde"/>
          <w:bCs/>
          <w:sz w:val="20"/>
          <w:lang w:val="es-ES_tradnl"/>
        </w:rPr>
        <w:t>General de Mejora Regulatoria (CGMR)</w:t>
      </w:r>
      <w:r w:rsidRPr="00225268">
        <w:rPr>
          <w:rFonts w:ascii="ITC Avant Garde" w:hAnsi="ITC Avant Garde"/>
          <w:bCs/>
          <w:sz w:val="20"/>
          <w:lang w:val="es-ES_tradnl"/>
        </w:rPr>
        <w:t xml:space="preserve"> </w:t>
      </w:r>
      <w:r w:rsidR="0032096A" w:rsidRPr="00225268">
        <w:rPr>
          <w:rFonts w:ascii="ITC Avant Garde" w:hAnsi="ITC Avant Garde"/>
          <w:bCs/>
          <w:sz w:val="20"/>
          <w:lang w:val="es-ES_tradnl"/>
        </w:rPr>
        <w:t>de este Instituto</w:t>
      </w:r>
      <w:r w:rsidR="009F4A66" w:rsidRPr="00225268">
        <w:rPr>
          <w:rFonts w:ascii="ITC Avant Garde" w:hAnsi="ITC Avant Garde"/>
          <w:bCs/>
          <w:sz w:val="20"/>
          <w:lang w:val="es-ES_tradnl"/>
        </w:rPr>
        <w:t>,</w:t>
      </w:r>
      <w:r w:rsidR="009F4A66" w:rsidRPr="00225268">
        <w:rPr>
          <w:rFonts w:ascii="ITC Avant Garde" w:hAnsi="ITC Avant Garde"/>
          <w:kern w:val="2"/>
          <w:sz w:val="20"/>
          <w:lang w:val="es-ES" w:eastAsia="ar-SA"/>
        </w:rPr>
        <w:t xml:space="preserve"> </w:t>
      </w:r>
      <w:r w:rsidR="0032096A" w:rsidRPr="00225268">
        <w:rPr>
          <w:rFonts w:ascii="ITC Avant Garde" w:hAnsi="ITC Avant Garde"/>
          <w:bCs/>
          <w:sz w:val="20"/>
          <w:lang w:val="es-ES_tradnl"/>
        </w:rPr>
        <w:t>el Análisis de Impacto Regulatorio del Anteproyecto</w:t>
      </w:r>
      <w:r w:rsidR="00A77F8A" w:rsidRPr="00225268">
        <w:rPr>
          <w:rFonts w:ascii="ITC Avant Garde" w:hAnsi="ITC Avant Garde"/>
          <w:bCs/>
          <w:sz w:val="20"/>
          <w:lang w:val="es-ES_tradnl"/>
        </w:rPr>
        <w:t>, con objeto de</w:t>
      </w:r>
      <w:r w:rsidR="0032096A" w:rsidRPr="00225268">
        <w:rPr>
          <w:rFonts w:ascii="ITC Avant Garde" w:hAnsi="ITC Avant Garde"/>
          <w:bCs/>
          <w:sz w:val="20"/>
          <w:lang w:val="es-ES_tradnl"/>
        </w:rPr>
        <w:t xml:space="preserve"> que dicha Coordinación emitiera su opinión no vinculante con relación al mismo. </w:t>
      </w:r>
    </w:p>
    <w:p w14:paraId="5892BB6A" w14:textId="77777777" w:rsidR="0032096A" w:rsidRPr="00225268" w:rsidRDefault="0032096A" w:rsidP="00157CDB">
      <w:pPr>
        <w:pStyle w:val="Prrafodelista"/>
        <w:autoSpaceDE w:val="0"/>
        <w:autoSpaceDN w:val="0"/>
        <w:adjustRightInd w:val="0"/>
        <w:ind w:left="709"/>
        <w:jc w:val="both"/>
        <w:rPr>
          <w:rFonts w:ascii="ITC Avant Garde" w:hAnsi="ITC Avant Garde"/>
          <w:kern w:val="2"/>
          <w:sz w:val="20"/>
          <w:lang w:val="es-ES" w:eastAsia="ar-SA"/>
        </w:rPr>
      </w:pPr>
    </w:p>
    <w:p w14:paraId="102CBB9C" w14:textId="77777777" w:rsidR="0032096A" w:rsidRPr="00225268" w:rsidRDefault="00E9209C" w:rsidP="00157CDB">
      <w:pPr>
        <w:pStyle w:val="Prrafodelista"/>
        <w:autoSpaceDE w:val="0"/>
        <w:autoSpaceDN w:val="0"/>
        <w:adjustRightInd w:val="0"/>
        <w:ind w:left="709"/>
        <w:jc w:val="both"/>
        <w:rPr>
          <w:rFonts w:ascii="ITC Avant Garde" w:hAnsi="ITC Avant Garde"/>
          <w:kern w:val="2"/>
          <w:sz w:val="20"/>
          <w:lang w:val="es-ES" w:eastAsia="ar-SA"/>
        </w:rPr>
      </w:pPr>
      <w:r w:rsidRPr="001A63B9">
        <w:rPr>
          <w:rFonts w:ascii="ITC Avant Garde" w:hAnsi="ITC Avant Garde"/>
          <w:kern w:val="2"/>
          <w:sz w:val="20"/>
          <w:lang w:val="es-ES" w:eastAsia="ar-SA"/>
        </w:rPr>
        <w:t>Mediante</w:t>
      </w:r>
      <w:r w:rsidR="0032096A" w:rsidRPr="001A63B9">
        <w:rPr>
          <w:rFonts w:ascii="ITC Avant Garde" w:hAnsi="ITC Avant Garde"/>
          <w:kern w:val="2"/>
          <w:sz w:val="20"/>
          <w:lang w:val="es-ES" w:eastAsia="ar-SA"/>
        </w:rPr>
        <w:t xml:space="preserve"> oficio </w:t>
      </w:r>
      <w:r w:rsidR="001A63B9" w:rsidRPr="001A63B9">
        <w:rPr>
          <w:rFonts w:ascii="ITC Avant Garde" w:hAnsi="ITC Avant Garde"/>
          <w:b/>
          <w:sz w:val="20"/>
        </w:rPr>
        <w:t>IFT/211/CGMR/072/2016</w:t>
      </w:r>
      <w:r w:rsidR="0032096A" w:rsidRPr="001A63B9">
        <w:rPr>
          <w:rFonts w:ascii="ITC Avant Garde" w:hAnsi="ITC Avant Garde"/>
          <w:kern w:val="2"/>
          <w:sz w:val="20"/>
          <w:lang w:val="es-ES" w:eastAsia="ar-SA"/>
        </w:rPr>
        <w:t xml:space="preserve">, de fecha </w:t>
      </w:r>
      <w:r w:rsidR="001A63B9" w:rsidRPr="001A63B9">
        <w:rPr>
          <w:rFonts w:ascii="ITC Avant Garde" w:hAnsi="ITC Avant Garde"/>
          <w:kern w:val="2"/>
          <w:sz w:val="20"/>
          <w:lang w:val="es-ES" w:eastAsia="ar-SA"/>
        </w:rPr>
        <w:t>9 de junio de 2016</w:t>
      </w:r>
      <w:r w:rsidRPr="001A63B9">
        <w:rPr>
          <w:rFonts w:ascii="ITC Avant Garde" w:hAnsi="ITC Avant Garde"/>
          <w:kern w:val="2"/>
          <w:sz w:val="20"/>
          <w:lang w:val="es-ES" w:eastAsia="ar-SA"/>
        </w:rPr>
        <w:t>, la CGM</w:t>
      </w:r>
      <w:r w:rsidR="0032096A" w:rsidRPr="001A63B9">
        <w:rPr>
          <w:rFonts w:ascii="ITC Avant Garde" w:hAnsi="ITC Avant Garde"/>
          <w:kern w:val="2"/>
          <w:sz w:val="20"/>
          <w:lang w:val="es-ES" w:eastAsia="ar-SA"/>
        </w:rPr>
        <w:t>R emitió opinión no vinculante en relación con el Análisis de Impacto Regulatorio del Anteproyecto.</w:t>
      </w:r>
      <w:r w:rsidR="0032096A" w:rsidRPr="00225268">
        <w:rPr>
          <w:rFonts w:ascii="ITC Avant Garde" w:hAnsi="ITC Avant Garde"/>
          <w:kern w:val="2"/>
          <w:sz w:val="20"/>
          <w:lang w:val="es-ES" w:eastAsia="ar-SA"/>
        </w:rPr>
        <w:t xml:space="preserve"> </w:t>
      </w:r>
    </w:p>
    <w:p w14:paraId="1F260AF1" w14:textId="77777777" w:rsidR="0032096A" w:rsidRPr="00225268" w:rsidRDefault="0032096A" w:rsidP="00157CDB">
      <w:pPr>
        <w:spacing w:after="0" w:line="240" w:lineRule="auto"/>
        <w:ind w:right="-58"/>
        <w:jc w:val="both"/>
        <w:rPr>
          <w:rFonts w:ascii="ITC Avant Garde" w:hAnsi="ITC Avant Garde"/>
          <w:bCs/>
          <w:sz w:val="20"/>
          <w:szCs w:val="20"/>
          <w:lang w:val="es-ES_tradnl"/>
        </w:rPr>
      </w:pPr>
    </w:p>
    <w:p w14:paraId="117E8D08" w14:textId="42E0A6EC" w:rsidR="0032096A" w:rsidRPr="00225268" w:rsidRDefault="0032096A" w:rsidP="00157CDB">
      <w:pPr>
        <w:pStyle w:val="Prrafodelista"/>
        <w:autoSpaceDE w:val="0"/>
        <w:autoSpaceDN w:val="0"/>
        <w:adjustRightInd w:val="0"/>
        <w:ind w:left="709"/>
        <w:jc w:val="both"/>
        <w:rPr>
          <w:rFonts w:ascii="ITC Avant Garde" w:hAnsi="ITC Avant Garde"/>
          <w:kern w:val="2"/>
          <w:sz w:val="20"/>
          <w:lang w:val="es-ES" w:eastAsia="ar-SA"/>
        </w:rPr>
      </w:pPr>
      <w:r w:rsidRPr="00225268">
        <w:rPr>
          <w:rFonts w:ascii="ITC Avant Garde" w:hAnsi="ITC Avant Garde"/>
          <w:kern w:val="2"/>
          <w:sz w:val="20"/>
          <w:lang w:val="es-ES" w:eastAsia="ar-SA"/>
        </w:rPr>
        <w:t xml:space="preserve">El Análisis de Impacto Regulatorio fue debidamente publicado en </w:t>
      </w:r>
      <w:r w:rsidR="00A126F5" w:rsidRPr="00225268">
        <w:rPr>
          <w:rFonts w:ascii="ITC Avant Garde" w:hAnsi="ITC Avant Garde"/>
          <w:kern w:val="2"/>
          <w:sz w:val="20"/>
          <w:lang w:val="es-ES" w:eastAsia="ar-SA"/>
        </w:rPr>
        <w:t xml:space="preserve">el portal de </w:t>
      </w:r>
      <w:r w:rsidR="00144F9C">
        <w:rPr>
          <w:rFonts w:ascii="ITC Avant Garde" w:hAnsi="ITC Avant Garde"/>
          <w:kern w:val="2"/>
          <w:sz w:val="20"/>
          <w:lang w:val="es-ES" w:eastAsia="ar-SA"/>
        </w:rPr>
        <w:t>I</w:t>
      </w:r>
      <w:r w:rsidR="00A126F5" w:rsidRPr="00225268">
        <w:rPr>
          <w:rFonts w:ascii="ITC Avant Garde" w:hAnsi="ITC Avant Garde"/>
          <w:kern w:val="2"/>
          <w:sz w:val="20"/>
          <w:lang w:val="es-ES" w:eastAsia="ar-SA"/>
        </w:rPr>
        <w:t>nternet</w:t>
      </w:r>
      <w:r w:rsidRPr="00225268">
        <w:rPr>
          <w:rFonts w:ascii="ITC Avant Garde" w:hAnsi="ITC Avant Garde"/>
          <w:kern w:val="2"/>
          <w:sz w:val="20"/>
          <w:lang w:val="es-ES" w:eastAsia="ar-SA"/>
        </w:rPr>
        <w:t xml:space="preserve"> del Instituto, en el espacio destinado para los procesos de consultas públicas a efecto de darle debida publicidad.</w:t>
      </w:r>
    </w:p>
    <w:p w14:paraId="3EF51857" w14:textId="77777777" w:rsidR="006013A9" w:rsidRPr="00225268" w:rsidRDefault="006013A9" w:rsidP="00157CDB">
      <w:pPr>
        <w:pStyle w:val="Prrafodelista"/>
        <w:autoSpaceDE w:val="0"/>
        <w:autoSpaceDN w:val="0"/>
        <w:adjustRightInd w:val="0"/>
        <w:ind w:left="0"/>
        <w:jc w:val="both"/>
        <w:rPr>
          <w:rFonts w:ascii="ITC Avant Garde" w:hAnsi="ITC Avant Garde"/>
          <w:kern w:val="1"/>
          <w:sz w:val="20"/>
          <w:lang w:val="es-ES" w:eastAsia="ar-SA"/>
        </w:rPr>
      </w:pPr>
    </w:p>
    <w:p w14:paraId="5BB3906E" w14:textId="77777777" w:rsidR="00844996" w:rsidRPr="00225268" w:rsidRDefault="00DA558C" w:rsidP="00157CDB">
      <w:pPr>
        <w:suppressAutoHyphens/>
        <w:spacing w:after="0" w:line="240" w:lineRule="auto"/>
        <w:jc w:val="center"/>
        <w:rPr>
          <w:rFonts w:ascii="ITC Avant Garde" w:hAnsi="ITC Avant Garde"/>
          <w:b/>
          <w:kern w:val="1"/>
          <w:sz w:val="20"/>
          <w:szCs w:val="20"/>
          <w:lang w:eastAsia="ar-SA"/>
        </w:rPr>
      </w:pPr>
      <w:r w:rsidRPr="00225268">
        <w:rPr>
          <w:rFonts w:ascii="ITC Avant Garde" w:hAnsi="ITC Avant Garde"/>
          <w:b/>
          <w:kern w:val="1"/>
          <w:sz w:val="20"/>
          <w:szCs w:val="20"/>
          <w:lang w:eastAsia="ar-SA"/>
        </w:rPr>
        <w:t>CONSIDERANDO</w:t>
      </w:r>
      <w:r w:rsidR="00157CDB" w:rsidRPr="00225268">
        <w:rPr>
          <w:rFonts w:ascii="ITC Avant Garde" w:hAnsi="ITC Avant Garde"/>
          <w:b/>
          <w:kern w:val="1"/>
          <w:sz w:val="20"/>
          <w:szCs w:val="20"/>
          <w:lang w:eastAsia="ar-SA"/>
        </w:rPr>
        <w:t>S</w:t>
      </w:r>
    </w:p>
    <w:p w14:paraId="12B8A91A" w14:textId="77777777" w:rsidR="00844996" w:rsidRPr="00225268" w:rsidRDefault="00844996" w:rsidP="00157CDB">
      <w:pPr>
        <w:adjustRightInd w:val="0"/>
        <w:spacing w:after="0" w:line="240" w:lineRule="auto"/>
        <w:jc w:val="both"/>
        <w:rPr>
          <w:rFonts w:ascii="ITC Avant Garde" w:eastAsia="Times New Roman" w:hAnsi="ITC Avant Garde" w:cs="Calibri"/>
          <w:bCs/>
          <w:sz w:val="20"/>
          <w:szCs w:val="20"/>
          <w:lang w:val="es-ES" w:eastAsia="es-ES"/>
        </w:rPr>
      </w:pPr>
    </w:p>
    <w:p w14:paraId="513BF574" w14:textId="77777777" w:rsidR="000C780D" w:rsidRPr="00225268" w:rsidRDefault="00844996" w:rsidP="00157CDB">
      <w:pPr>
        <w:suppressAutoHyphens/>
        <w:spacing w:after="0" w:line="240" w:lineRule="auto"/>
        <w:ind w:right="-62"/>
        <w:jc w:val="both"/>
        <w:rPr>
          <w:rFonts w:ascii="ITC Avant Garde" w:hAnsi="ITC Avant Garde"/>
          <w:sz w:val="20"/>
          <w:szCs w:val="20"/>
        </w:rPr>
      </w:pPr>
      <w:r w:rsidRPr="00225268">
        <w:rPr>
          <w:rFonts w:ascii="ITC Avant Garde" w:hAnsi="ITC Avant Garde" w:cs="TimesNewRomanPS-BoldMT"/>
          <w:b/>
          <w:bCs/>
          <w:color w:val="000000"/>
          <w:sz w:val="20"/>
          <w:szCs w:val="20"/>
        </w:rPr>
        <w:t xml:space="preserve">PRIMERO. </w:t>
      </w:r>
      <w:r w:rsidRPr="00225268">
        <w:rPr>
          <w:rFonts w:ascii="ITC Avant Garde" w:hAnsi="ITC Avant Garde"/>
          <w:b/>
          <w:sz w:val="20"/>
          <w:szCs w:val="20"/>
        </w:rPr>
        <w:t>Competencia del Instituto</w:t>
      </w:r>
      <w:r w:rsidRPr="00225268">
        <w:rPr>
          <w:rFonts w:ascii="ITC Avant Garde" w:hAnsi="ITC Avant Garde"/>
          <w:sz w:val="20"/>
          <w:szCs w:val="20"/>
        </w:rPr>
        <w:t xml:space="preserve">. </w:t>
      </w:r>
      <w:r w:rsidR="000C780D" w:rsidRPr="00225268">
        <w:rPr>
          <w:rFonts w:ascii="ITC Avant Garde" w:hAnsi="ITC Avant Garde"/>
          <w:sz w:val="20"/>
          <w:szCs w:val="20"/>
          <w:lang w:val="es-ES"/>
        </w:rPr>
        <w:t xml:space="preserve">De conformidad con el artículo 28, párrafo décimo quinto, de la Constitución Política de los Estados Unidos Mexicanos (Constitución), </w:t>
      </w:r>
      <w:r w:rsidR="00A37933" w:rsidRPr="00225268">
        <w:rPr>
          <w:rFonts w:ascii="ITC Avant Garde" w:hAnsi="ITC Avant Garde"/>
          <w:sz w:val="20"/>
          <w:szCs w:val="20"/>
          <w:lang w:val="es-ES"/>
        </w:rPr>
        <w:t xml:space="preserve">el </w:t>
      </w:r>
      <w:r w:rsidR="000C780D" w:rsidRPr="00225268">
        <w:rPr>
          <w:rFonts w:ascii="ITC Avant Garde" w:hAnsi="ITC Avant Garde"/>
          <w:sz w:val="20"/>
          <w:szCs w:val="20"/>
          <w:lang w:val="es-ES"/>
        </w:rPr>
        <w:t>Instituto es un órgano autónomo con personalidad jurídica y patrimonio propio, que tiene por objeto el desarrollo eficiente de la radiodifusión y las tel</w:t>
      </w:r>
      <w:r w:rsidR="00A37933" w:rsidRPr="00225268">
        <w:rPr>
          <w:rFonts w:ascii="ITC Avant Garde" w:hAnsi="ITC Avant Garde"/>
          <w:sz w:val="20"/>
          <w:szCs w:val="20"/>
          <w:lang w:val="es-ES"/>
        </w:rPr>
        <w:t>ecomunicaciones</w:t>
      </w:r>
      <w:r w:rsidR="000C780D" w:rsidRPr="00225268">
        <w:rPr>
          <w:rFonts w:ascii="ITC Avant Garde" w:hAnsi="ITC Avant Garde"/>
          <w:sz w:val="20"/>
          <w:szCs w:val="20"/>
          <w:lang w:val="es-ES"/>
        </w:rPr>
        <w:t xml:space="preserve"> conforme a lo dispuesto en la propia Constitución y en los términos que fijen las leyes. </w:t>
      </w:r>
    </w:p>
    <w:p w14:paraId="04444706" w14:textId="77777777" w:rsidR="000C780D" w:rsidRPr="00225268" w:rsidRDefault="000C780D" w:rsidP="00157CDB">
      <w:pPr>
        <w:suppressAutoHyphens/>
        <w:spacing w:after="0" w:line="240" w:lineRule="auto"/>
        <w:ind w:right="-62"/>
        <w:jc w:val="both"/>
        <w:rPr>
          <w:rFonts w:ascii="ITC Avant Garde" w:hAnsi="ITC Avant Garde"/>
          <w:sz w:val="20"/>
          <w:szCs w:val="20"/>
          <w:lang w:val="es-ES"/>
        </w:rPr>
      </w:pPr>
    </w:p>
    <w:p w14:paraId="4A656987" w14:textId="77777777" w:rsidR="000C780D" w:rsidRPr="00225268" w:rsidRDefault="000C780D" w:rsidP="00157CDB">
      <w:pPr>
        <w:suppressAutoHyphens/>
        <w:spacing w:after="0" w:line="240" w:lineRule="auto"/>
        <w:ind w:right="-62"/>
        <w:jc w:val="both"/>
        <w:rPr>
          <w:rFonts w:ascii="ITC Avant Garde" w:hAnsi="ITC Avant Garde"/>
          <w:sz w:val="20"/>
          <w:szCs w:val="20"/>
          <w:lang w:val="es-ES"/>
        </w:rPr>
      </w:pPr>
      <w:r w:rsidRPr="00225268">
        <w:rPr>
          <w:rFonts w:ascii="ITC Avant Garde" w:hAnsi="ITC Avant Garde"/>
          <w:sz w:val="20"/>
          <w:szCs w:val="20"/>
          <w:lang w:val="es-ES"/>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el acceso a la infraestructura activa, pasiva y otros insumos esenciales, en términos del precepto constitucional invocado, así como del artículo 7 de la </w:t>
      </w:r>
      <w:r w:rsidR="00157CDB" w:rsidRPr="00225268">
        <w:rPr>
          <w:rFonts w:ascii="ITC Avant Garde" w:hAnsi="ITC Avant Garde"/>
          <w:sz w:val="20"/>
          <w:szCs w:val="20"/>
          <w:lang w:val="es-ES"/>
        </w:rPr>
        <w:t>LFTR</w:t>
      </w:r>
      <w:r w:rsidRPr="00225268">
        <w:rPr>
          <w:rFonts w:ascii="ITC Avant Garde" w:hAnsi="ITC Avant Garde"/>
          <w:sz w:val="20"/>
          <w:szCs w:val="20"/>
          <w:lang w:val="es-ES"/>
        </w:rPr>
        <w:t xml:space="preserve">, garantizando lo establecido en los artículos 6° y 7° de la Constitución. </w:t>
      </w:r>
    </w:p>
    <w:p w14:paraId="2F8E2A4C" w14:textId="77777777" w:rsidR="000C780D" w:rsidRPr="00225268" w:rsidRDefault="000C780D" w:rsidP="00157CDB">
      <w:pPr>
        <w:suppressAutoHyphens/>
        <w:spacing w:after="0" w:line="240" w:lineRule="auto"/>
        <w:ind w:right="-62"/>
        <w:jc w:val="both"/>
        <w:rPr>
          <w:rFonts w:ascii="ITC Avant Garde" w:hAnsi="ITC Avant Garde"/>
          <w:sz w:val="20"/>
          <w:szCs w:val="20"/>
          <w:lang w:val="es-ES"/>
        </w:rPr>
      </w:pPr>
    </w:p>
    <w:p w14:paraId="7BF97FAB" w14:textId="77777777" w:rsidR="00581BC7" w:rsidRPr="00225268" w:rsidRDefault="000C780D" w:rsidP="00157CDB">
      <w:pPr>
        <w:spacing w:after="0" w:line="240" w:lineRule="auto"/>
        <w:jc w:val="both"/>
        <w:rPr>
          <w:rFonts w:ascii="ITC Avant Garde" w:hAnsi="ITC Avant Garde"/>
          <w:sz w:val="20"/>
          <w:szCs w:val="20"/>
          <w:lang w:val="es-ES"/>
        </w:rPr>
      </w:pPr>
      <w:r w:rsidRPr="00225268">
        <w:rPr>
          <w:rFonts w:ascii="ITC Avant Garde" w:hAnsi="ITC Avant Garde"/>
          <w:sz w:val="20"/>
          <w:szCs w:val="20"/>
          <w:lang w:val="es-ES"/>
        </w:rPr>
        <w:t>Asimismo, de acuerdo con el artículo 28, párrafo décimo sexto, de la Constitución</w:t>
      </w:r>
      <w:r w:rsidR="00A37933" w:rsidRPr="00225268">
        <w:rPr>
          <w:rFonts w:ascii="ITC Avant Garde" w:hAnsi="ITC Avant Garde"/>
          <w:sz w:val="20"/>
          <w:szCs w:val="20"/>
          <w:lang w:val="es-ES"/>
        </w:rPr>
        <w:t>,</w:t>
      </w:r>
      <w:r w:rsidRPr="00225268">
        <w:rPr>
          <w:rFonts w:ascii="ITC Avant Garde" w:hAnsi="ITC Avant Garde"/>
          <w:sz w:val="20"/>
          <w:szCs w:val="20"/>
          <w:lang w:val="es-ES"/>
        </w:rPr>
        <w:t xml:space="preserve"> el Instituto también </w:t>
      </w:r>
      <w:r w:rsidR="00A37933" w:rsidRPr="00225268">
        <w:rPr>
          <w:rFonts w:ascii="ITC Avant Garde" w:hAnsi="ITC Avant Garde"/>
          <w:sz w:val="20"/>
          <w:szCs w:val="20"/>
          <w:lang w:val="es-ES"/>
        </w:rPr>
        <w:t xml:space="preserve">es </w:t>
      </w:r>
      <w:r w:rsidRPr="00225268">
        <w:rPr>
          <w:rFonts w:ascii="ITC Avant Garde" w:hAnsi="ITC Avant Garde"/>
          <w:sz w:val="20"/>
          <w:szCs w:val="20"/>
          <w:lang w:val="es-ES"/>
        </w:rPr>
        <w:t>autoridad en materia de competencia económica de los sectores de radiodifusión y telecomunicaciones, por lo que en éstos ejercerá en forma exclusiva las facultades que establecen el artículo 28 de la Constitución, la LFTR y la Ley Federal de Competencia Económica.</w:t>
      </w:r>
    </w:p>
    <w:p w14:paraId="2DA3D010" w14:textId="77777777" w:rsidR="008368E2" w:rsidRPr="00225268" w:rsidRDefault="008368E2" w:rsidP="00157CDB">
      <w:pPr>
        <w:spacing w:after="0" w:line="240" w:lineRule="auto"/>
        <w:jc w:val="both"/>
        <w:rPr>
          <w:rFonts w:ascii="ITC Avant Garde" w:hAnsi="ITC Avant Garde"/>
          <w:sz w:val="20"/>
          <w:szCs w:val="20"/>
        </w:rPr>
      </w:pPr>
    </w:p>
    <w:p w14:paraId="0071C2EB" w14:textId="77777777" w:rsidR="00DF2505" w:rsidRPr="00225268" w:rsidRDefault="003B0562"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En particular, </w:t>
      </w:r>
      <w:r w:rsidR="00DF2505" w:rsidRPr="00225268">
        <w:rPr>
          <w:rFonts w:ascii="ITC Avant Garde" w:hAnsi="ITC Avant Garde"/>
          <w:sz w:val="20"/>
          <w:szCs w:val="20"/>
        </w:rPr>
        <w:t xml:space="preserve">los artículos </w:t>
      </w:r>
      <w:r w:rsidRPr="00225268">
        <w:rPr>
          <w:rFonts w:ascii="ITC Avant Garde" w:hAnsi="ITC Avant Garde"/>
          <w:sz w:val="20"/>
          <w:szCs w:val="20"/>
        </w:rPr>
        <w:t>15</w:t>
      </w:r>
      <w:r w:rsidR="00DF2505" w:rsidRPr="00225268">
        <w:rPr>
          <w:rFonts w:ascii="ITC Avant Garde" w:hAnsi="ITC Avant Garde"/>
          <w:sz w:val="20"/>
          <w:szCs w:val="20"/>
        </w:rPr>
        <w:t>, fracción I y 51</w:t>
      </w:r>
      <w:r w:rsidRPr="00225268">
        <w:rPr>
          <w:rFonts w:ascii="ITC Avant Garde" w:hAnsi="ITC Avant Garde"/>
          <w:sz w:val="20"/>
          <w:szCs w:val="20"/>
        </w:rPr>
        <w:t xml:space="preserve"> de la </w:t>
      </w:r>
      <w:r w:rsidR="00DF2505" w:rsidRPr="00225268">
        <w:rPr>
          <w:rFonts w:ascii="ITC Avant Garde" w:hAnsi="ITC Avant Garde"/>
          <w:sz w:val="20"/>
          <w:szCs w:val="20"/>
        </w:rPr>
        <w:t>LFTR señalan, respectivamente, que el I</w:t>
      </w:r>
      <w:r w:rsidRPr="00225268">
        <w:rPr>
          <w:rFonts w:ascii="ITC Avant Garde" w:hAnsi="ITC Avant Garde"/>
          <w:sz w:val="20"/>
          <w:szCs w:val="20"/>
        </w:rPr>
        <w:t xml:space="preserve">nstituto </w:t>
      </w:r>
      <w:r w:rsidR="00DF2505" w:rsidRPr="00225268">
        <w:rPr>
          <w:rFonts w:ascii="ITC Avant Garde" w:hAnsi="ITC Avant Garde"/>
          <w:sz w:val="20"/>
          <w:szCs w:val="20"/>
        </w:rPr>
        <w:t>podrá expedir lineamientos en materia de telecomunicaciones y radiodifusión y que para la emisión y modificación de éstos deberá realizar consultas públicas bajo los principios de transparencia y participación ciudadana.</w:t>
      </w:r>
    </w:p>
    <w:p w14:paraId="274F6154" w14:textId="77777777" w:rsidR="00DF2505" w:rsidRPr="00225268" w:rsidRDefault="00DF2505" w:rsidP="00157CDB">
      <w:pPr>
        <w:spacing w:after="0" w:line="240" w:lineRule="auto"/>
        <w:jc w:val="both"/>
        <w:rPr>
          <w:rFonts w:ascii="ITC Avant Garde" w:hAnsi="ITC Avant Garde"/>
          <w:sz w:val="20"/>
          <w:szCs w:val="20"/>
        </w:rPr>
      </w:pPr>
    </w:p>
    <w:p w14:paraId="2B559096" w14:textId="77777777" w:rsidR="00691E61" w:rsidRPr="00225268" w:rsidRDefault="00DF2505" w:rsidP="00157CDB">
      <w:pPr>
        <w:spacing w:after="0" w:line="240" w:lineRule="auto"/>
        <w:jc w:val="both"/>
        <w:rPr>
          <w:rFonts w:ascii="ITC Avant Garde" w:hAnsi="ITC Avant Garde"/>
          <w:sz w:val="20"/>
          <w:szCs w:val="20"/>
        </w:rPr>
      </w:pPr>
      <w:r w:rsidRPr="00225268">
        <w:rPr>
          <w:rFonts w:ascii="ITC Avant Garde" w:hAnsi="ITC Avant Garde"/>
          <w:sz w:val="20"/>
          <w:szCs w:val="20"/>
        </w:rPr>
        <w:t>Por lo anterior, y con fundamento</w:t>
      </w:r>
      <w:r w:rsidR="00A37933" w:rsidRPr="00225268">
        <w:rPr>
          <w:rFonts w:ascii="ITC Avant Garde" w:hAnsi="ITC Avant Garde"/>
          <w:sz w:val="20"/>
          <w:szCs w:val="20"/>
        </w:rPr>
        <w:t xml:space="preserve"> en </w:t>
      </w:r>
      <w:r w:rsidRPr="00225268">
        <w:rPr>
          <w:rFonts w:ascii="ITC Avant Garde" w:hAnsi="ITC Avant Garde"/>
          <w:sz w:val="20"/>
          <w:szCs w:val="20"/>
        </w:rPr>
        <w:t>los artículos 6o. y 28, párrafos décimo quinto y décimo sexto, de la Constitución, 1, 2, 7, 15, fracción I, 17, fracci</w:t>
      </w:r>
      <w:r w:rsidR="0016223C" w:rsidRPr="00225268">
        <w:rPr>
          <w:rFonts w:ascii="ITC Avant Garde" w:hAnsi="ITC Avant Garde"/>
          <w:sz w:val="20"/>
          <w:szCs w:val="20"/>
        </w:rPr>
        <w:t xml:space="preserve">ón I y 51 de la LFTR, </w:t>
      </w:r>
      <w:r w:rsidRPr="00225268">
        <w:rPr>
          <w:rFonts w:ascii="ITC Avant Garde" w:hAnsi="ITC Avant Garde"/>
          <w:sz w:val="20"/>
          <w:szCs w:val="20"/>
        </w:rPr>
        <w:t>1, 4, fracción I y 6, fracciones I y XXXVII</w:t>
      </w:r>
      <w:r w:rsidR="0016223C" w:rsidRPr="00225268">
        <w:rPr>
          <w:rFonts w:ascii="ITC Avant Garde" w:hAnsi="ITC Avant Garde"/>
          <w:sz w:val="20"/>
          <w:szCs w:val="20"/>
        </w:rPr>
        <w:t>,</w:t>
      </w:r>
      <w:r w:rsidRPr="00225268">
        <w:rPr>
          <w:rFonts w:ascii="ITC Avant Garde" w:hAnsi="ITC Avant Garde"/>
          <w:sz w:val="20"/>
          <w:szCs w:val="20"/>
        </w:rPr>
        <w:t xml:space="preserve"> del Estatuto Orgánico, el Pleno</w:t>
      </w:r>
      <w:r w:rsidR="00A37933" w:rsidRPr="00225268">
        <w:rPr>
          <w:rFonts w:ascii="ITC Avant Garde" w:hAnsi="ITC Avant Garde"/>
          <w:sz w:val="20"/>
          <w:szCs w:val="20"/>
        </w:rPr>
        <w:t>,</w:t>
      </w:r>
      <w:r w:rsidRPr="00225268">
        <w:rPr>
          <w:rFonts w:ascii="ITC Avant Garde" w:hAnsi="ITC Avant Garde"/>
          <w:sz w:val="20"/>
          <w:szCs w:val="20"/>
        </w:rPr>
        <w:t xml:space="preserve"> como órgano máximo de gobierno del Instituto</w:t>
      </w:r>
      <w:r w:rsidR="00A37933" w:rsidRPr="00225268">
        <w:rPr>
          <w:rFonts w:ascii="ITC Avant Garde" w:hAnsi="ITC Avant Garde"/>
          <w:sz w:val="20"/>
          <w:szCs w:val="20"/>
        </w:rPr>
        <w:t>,</w:t>
      </w:r>
      <w:r w:rsidRPr="00225268">
        <w:rPr>
          <w:rFonts w:ascii="ITC Avant Garde" w:hAnsi="ITC Avant Garde"/>
          <w:sz w:val="20"/>
          <w:szCs w:val="20"/>
        </w:rPr>
        <w:t xml:space="preserve"> </w:t>
      </w:r>
      <w:r w:rsidR="00A37933" w:rsidRPr="00225268">
        <w:rPr>
          <w:rFonts w:ascii="ITC Avant Garde" w:hAnsi="ITC Avant Garde"/>
          <w:sz w:val="20"/>
          <w:szCs w:val="20"/>
        </w:rPr>
        <w:t xml:space="preserve">resulta </w:t>
      </w:r>
      <w:r w:rsidRPr="00225268">
        <w:rPr>
          <w:rFonts w:ascii="ITC Avant Garde" w:hAnsi="ITC Avant Garde"/>
          <w:sz w:val="20"/>
          <w:szCs w:val="20"/>
        </w:rPr>
        <w:t xml:space="preserve">competente para </w:t>
      </w:r>
      <w:r w:rsidR="00A37933" w:rsidRPr="00225268">
        <w:rPr>
          <w:rFonts w:ascii="ITC Avant Garde" w:hAnsi="ITC Avant Garde"/>
          <w:sz w:val="20"/>
          <w:szCs w:val="20"/>
        </w:rPr>
        <w:t xml:space="preserve">expedir </w:t>
      </w:r>
      <w:r w:rsidR="004F17CA" w:rsidRPr="00225268">
        <w:rPr>
          <w:rFonts w:ascii="ITC Avant Garde" w:hAnsi="ITC Avant Garde"/>
          <w:sz w:val="20"/>
          <w:szCs w:val="20"/>
        </w:rPr>
        <w:t xml:space="preserve">los </w:t>
      </w:r>
      <w:r w:rsidR="00ED4E8C" w:rsidRPr="00225268">
        <w:rPr>
          <w:rFonts w:ascii="ITC Avant Garde" w:hAnsi="ITC Avant Garde"/>
          <w:sz w:val="20"/>
          <w:szCs w:val="20"/>
        </w:rPr>
        <w:t xml:space="preserve">presentes </w:t>
      </w:r>
      <w:r w:rsidR="00A37933" w:rsidRPr="00225268">
        <w:rPr>
          <w:rFonts w:ascii="ITC Avant Garde" w:hAnsi="ITC Avant Garde"/>
          <w:sz w:val="20"/>
          <w:szCs w:val="20"/>
        </w:rPr>
        <w:t>Lineamientos Generales para la Asignación de Canales Virtuales de Televisión Radiodifundida</w:t>
      </w:r>
      <w:r w:rsidR="004F17CA" w:rsidRPr="00225268">
        <w:rPr>
          <w:rFonts w:ascii="ITC Avant Garde" w:hAnsi="ITC Avant Garde"/>
          <w:sz w:val="20"/>
          <w:szCs w:val="20"/>
        </w:rPr>
        <w:t xml:space="preserve"> (Lineamientos).</w:t>
      </w:r>
    </w:p>
    <w:p w14:paraId="0C988AE6" w14:textId="77777777" w:rsidR="00691E61" w:rsidRPr="00225268" w:rsidRDefault="00691E61" w:rsidP="00157CDB">
      <w:pPr>
        <w:pStyle w:val="Default"/>
        <w:jc w:val="both"/>
        <w:rPr>
          <w:rFonts w:ascii="ITC Avant Garde" w:hAnsi="ITC Avant Garde"/>
          <w:sz w:val="20"/>
          <w:szCs w:val="20"/>
          <w:highlight w:val="yellow"/>
        </w:rPr>
      </w:pPr>
    </w:p>
    <w:p w14:paraId="53153E75" w14:textId="77777777" w:rsidR="00DD616D" w:rsidRPr="00225268" w:rsidRDefault="00D27BCF" w:rsidP="00157CDB">
      <w:pPr>
        <w:suppressAutoHyphens/>
        <w:spacing w:after="0" w:line="240" w:lineRule="auto"/>
        <w:jc w:val="both"/>
        <w:rPr>
          <w:rFonts w:ascii="ITC Avant Garde" w:eastAsia="Times New Roman" w:hAnsi="ITC Avant Garde" w:cs="Calibri"/>
          <w:kern w:val="1"/>
          <w:sz w:val="20"/>
          <w:szCs w:val="20"/>
          <w:lang w:val="es-ES" w:eastAsia="ar-SA"/>
        </w:rPr>
      </w:pPr>
      <w:r w:rsidRPr="00225268">
        <w:rPr>
          <w:rFonts w:ascii="ITC Avant Garde" w:eastAsia="Times New Roman" w:hAnsi="ITC Avant Garde" w:cs="Calibri"/>
          <w:b/>
          <w:kern w:val="1"/>
          <w:sz w:val="20"/>
          <w:szCs w:val="20"/>
          <w:lang w:val="es-ES" w:eastAsia="ar-SA"/>
        </w:rPr>
        <w:t>SEGUNDO</w:t>
      </w:r>
      <w:r w:rsidR="00844996" w:rsidRPr="00225268">
        <w:rPr>
          <w:rFonts w:ascii="ITC Avant Garde" w:eastAsia="Times New Roman" w:hAnsi="ITC Avant Garde" w:cs="Calibri"/>
          <w:b/>
          <w:kern w:val="1"/>
          <w:sz w:val="20"/>
          <w:szCs w:val="20"/>
          <w:lang w:val="es-ES" w:eastAsia="ar-SA"/>
        </w:rPr>
        <w:t xml:space="preserve">. </w:t>
      </w:r>
      <w:r w:rsidR="00EA00DF" w:rsidRPr="00225268">
        <w:rPr>
          <w:rFonts w:ascii="ITC Avant Garde" w:eastAsia="Times New Roman" w:hAnsi="ITC Avant Garde" w:cs="Calibri"/>
          <w:b/>
          <w:kern w:val="1"/>
          <w:sz w:val="20"/>
          <w:szCs w:val="20"/>
          <w:lang w:val="es-ES" w:eastAsia="ar-SA"/>
        </w:rPr>
        <w:t>Consulta Pública.</w:t>
      </w:r>
      <w:r w:rsidR="00EA00DF" w:rsidRPr="00225268">
        <w:rPr>
          <w:rFonts w:ascii="ITC Avant Garde" w:eastAsia="Times New Roman" w:hAnsi="ITC Avant Garde" w:cs="Calibri"/>
          <w:kern w:val="1"/>
          <w:sz w:val="20"/>
          <w:szCs w:val="20"/>
          <w:lang w:val="es-ES" w:eastAsia="ar-SA"/>
        </w:rPr>
        <w:t xml:space="preserve"> En cumplimiento a lo establecido </w:t>
      </w:r>
      <w:r w:rsidR="00642D26" w:rsidRPr="00225268">
        <w:rPr>
          <w:rFonts w:ascii="ITC Avant Garde" w:eastAsia="Times New Roman" w:hAnsi="ITC Avant Garde" w:cs="Calibri"/>
          <w:kern w:val="1"/>
          <w:sz w:val="20"/>
          <w:szCs w:val="20"/>
          <w:lang w:val="es-ES" w:eastAsia="ar-SA"/>
        </w:rPr>
        <w:t xml:space="preserve">en </w:t>
      </w:r>
      <w:r w:rsidR="00EA00DF" w:rsidRPr="00225268">
        <w:rPr>
          <w:rFonts w:ascii="ITC Avant Garde" w:eastAsia="Times New Roman" w:hAnsi="ITC Avant Garde" w:cs="Calibri"/>
          <w:kern w:val="1"/>
          <w:sz w:val="20"/>
          <w:szCs w:val="20"/>
          <w:lang w:val="es-ES" w:eastAsia="ar-SA"/>
        </w:rPr>
        <w:t xml:space="preserve">el artículo 51 de la </w:t>
      </w:r>
      <w:r w:rsidR="00642D26" w:rsidRPr="00225268">
        <w:rPr>
          <w:rFonts w:ascii="ITC Avant Garde" w:eastAsia="Times New Roman" w:hAnsi="ITC Avant Garde" w:cs="Calibri"/>
          <w:kern w:val="1"/>
          <w:sz w:val="20"/>
          <w:szCs w:val="20"/>
          <w:lang w:val="es-ES" w:eastAsia="ar-SA"/>
        </w:rPr>
        <w:t>LFTR</w:t>
      </w:r>
      <w:r w:rsidR="00EA00DF" w:rsidRPr="00225268">
        <w:rPr>
          <w:rFonts w:ascii="ITC Avant Garde" w:eastAsia="Times New Roman" w:hAnsi="ITC Avant Garde" w:cs="Calibri"/>
          <w:kern w:val="1"/>
          <w:sz w:val="20"/>
          <w:szCs w:val="20"/>
          <w:lang w:val="es-ES" w:eastAsia="ar-SA"/>
        </w:rPr>
        <w:t xml:space="preserve">, y </w:t>
      </w:r>
      <w:r w:rsidR="0016223C" w:rsidRPr="00225268">
        <w:rPr>
          <w:rFonts w:ascii="ITC Avant Garde" w:eastAsia="Times New Roman" w:hAnsi="ITC Avant Garde" w:cs="Calibri"/>
          <w:kern w:val="1"/>
          <w:sz w:val="20"/>
          <w:szCs w:val="20"/>
          <w:lang w:val="es-ES" w:eastAsia="ar-SA"/>
        </w:rPr>
        <w:t>en</w:t>
      </w:r>
      <w:r w:rsidR="00642D26" w:rsidRPr="00225268">
        <w:rPr>
          <w:rFonts w:ascii="ITC Avant Garde" w:eastAsia="Times New Roman" w:hAnsi="ITC Avant Garde" w:cs="Calibri"/>
          <w:kern w:val="1"/>
          <w:sz w:val="20"/>
          <w:szCs w:val="20"/>
          <w:lang w:val="es-ES" w:eastAsia="ar-SA"/>
        </w:rPr>
        <w:t xml:space="preserve"> relación a lo</w:t>
      </w:r>
      <w:r w:rsidR="00EA00DF" w:rsidRPr="00225268">
        <w:rPr>
          <w:rFonts w:ascii="ITC Avant Garde" w:eastAsia="Times New Roman" w:hAnsi="ITC Avant Garde" w:cs="Calibri"/>
          <w:kern w:val="1"/>
          <w:sz w:val="20"/>
          <w:szCs w:val="20"/>
          <w:lang w:val="es-ES" w:eastAsia="ar-SA"/>
        </w:rPr>
        <w:t xml:space="preserve"> señala</w:t>
      </w:r>
      <w:r w:rsidR="00642D26" w:rsidRPr="00225268">
        <w:rPr>
          <w:rFonts w:ascii="ITC Avant Garde" w:eastAsia="Times New Roman" w:hAnsi="ITC Avant Garde" w:cs="Calibri"/>
          <w:kern w:val="1"/>
          <w:sz w:val="20"/>
          <w:szCs w:val="20"/>
          <w:lang w:val="es-ES" w:eastAsia="ar-SA"/>
        </w:rPr>
        <w:t>do</w:t>
      </w:r>
      <w:r w:rsidR="00EA00DF" w:rsidRPr="00225268">
        <w:rPr>
          <w:rFonts w:ascii="ITC Avant Garde" w:eastAsia="Times New Roman" w:hAnsi="ITC Avant Garde" w:cs="Calibri"/>
          <w:kern w:val="1"/>
          <w:sz w:val="20"/>
          <w:szCs w:val="20"/>
          <w:lang w:val="es-ES" w:eastAsia="ar-SA"/>
        </w:rPr>
        <w:t xml:space="preserve"> en los </w:t>
      </w:r>
      <w:r w:rsidR="00642D26" w:rsidRPr="00225268">
        <w:rPr>
          <w:rFonts w:ascii="ITC Avant Garde" w:eastAsia="Times New Roman" w:hAnsi="ITC Avant Garde" w:cs="Calibri"/>
          <w:kern w:val="1"/>
          <w:sz w:val="20"/>
          <w:szCs w:val="20"/>
          <w:lang w:val="es-ES" w:eastAsia="ar-SA"/>
        </w:rPr>
        <w:t xml:space="preserve">antecedentes </w:t>
      </w:r>
      <w:r w:rsidR="0016223C" w:rsidRPr="00225268">
        <w:rPr>
          <w:rFonts w:ascii="ITC Avant Garde" w:eastAsia="Times New Roman" w:hAnsi="ITC Avant Garde" w:cs="Calibri"/>
          <w:kern w:val="1"/>
          <w:sz w:val="20"/>
          <w:szCs w:val="20"/>
          <w:lang w:val="es-ES" w:eastAsia="ar-SA"/>
        </w:rPr>
        <w:t xml:space="preserve">5 </w:t>
      </w:r>
      <w:r w:rsidR="00EA00DF" w:rsidRPr="00225268">
        <w:rPr>
          <w:rFonts w:ascii="ITC Avant Garde" w:eastAsia="Times New Roman" w:hAnsi="ITC Avant Garde" w:cs="Calibri"/>
          <w:kern w:val="1"/>
          <w:sz w:val="20"/>
          <w:szCs w:val="20"/>
          <w:lang w:val="es-ES" w:eastAsia="ar-SA"/>
        </w:rPr>
        <w:t xml:space="preserve">y </w:t>
      </w:r>
      <w:r w:rsidR="0016223C" w:rsidRPr="00225268">
        <w:rPr>
          <w:rFonts w:ascii="ITC Avant Garde" w:eastAsia="Times New Roman" w:hAnsi="ITC Avant Garde" w:cs="Calibri"/>
          <w:kern w:val="1"/>
          <w:sz w:val="20"/>
          <w:szCs w:val="20"/>
          <w:lang w:val="es-ES" w:eastAsia="ar-SA"/>
        </w:rPr>
        <w:t xml:space="preserve">6 </w:t>
      </w:r>
      <w:r w:rsidR="00EA00DF" w:rsidRPr="00225268">
        <w:rPr>
          <w:rFonts w:ascii="ITC Avant Garde" w:eastAsia="Times New Roman" w:hAnsi="ITC Avant Garde" w:cs="Calibri"/>
          <w:kern w:val="1"/>
          <w:sz w:val="20"/>
          <w:szCs w:val="20"/>
          <w:lang w:val="es-ES" w:eastAsia="ar-SA"/>
        </w:rPr>
        <w:t>del presente Acuerdo, el Instituto llevó a cabo una consulta pública sobre el Anteproyecto</w:t>
      </w:r>
      <w:r w:rsidR="00642D26" w:rsidRPr="00225268">
        <w:rPr>
          <w:rFonts w:ascii="ITC Avant Garde" w:eastAsia="Times New Roman" w:hAnsi="ITC Avant Garde" w:cs="Calibri"/>
          <w:kern w:val="1"/>
          <w:sz w:val="20"/>
          <w:szCs w:val="20"/>
          <w:lang w:val="es-ES" w:eastAsia="ar-SA"/>
        </w:rPr>
        <w:t xml:space="preserve"> de Lineamientos</w:t>
      </w:r>
      <w:r w:rsidR="00EA00DF" w:rsidRPr="00225268">
        <w:rPr>
          <w:rFonts w:ascii="ITC Avant Garde" w:eastAsia="Times New Roman" w:hAnsi="ITC Avant Garde" w:cs="Calibri"/>
          <w:kern w:val="1"/>
          <w:sz w:val="20"/>
          <w:szCs w:val="20"/>
          <w:lang w:val="es-ES" w:eastAsia="ar-SA"/>
        </w:rPr>
        <w:t xml:space="preserve"> bajo los principios de transparencia y participación ciudadana. </w:t>
      </w:r>
    </w:p>
    <w:p w14:paraId="7109E6BB" w14:textId="77777777" w:rsidR="00DD616D" w:rsidRPr="00225268" w:rsidRDefault="00DD616D" w:rsidP="00157CDB">
      <w:pPr>
        <w:suppressAutoHyphens/>
        <w:spacing w:after="0" w:line="240" w:lineRule="auto"/>
        <w:jc w:val="both"/>
        <w:rPr>
          <w:rFonts w:ascii="ITC Avant Garde" w:eastAsia="Times New Roman" w:hAnsi="ITC Avant Garde" w:cs="Calibri"/>
          <w:kern w:val="1"/>
          <w:sz w:val="20"/>
          <w:szCs w:val="20"/>
          <w:lang w:val="es-ES" w:eastAsia="ar-SA"/>
        </w:rPr>
      </w:pPr>
    </w:p>
    <w:p w14:paraId="23E57C63" w14:textId="77777777" w:rsidR="00EA00DF" w:rsidRPr="00225268" w:rsidRDefault="00DD616D" w:rsidP="00157CDB">
      <w:pPr>
        <w:suppressAutoHyphens/>
        <w:spacing w:after="0" w:line="240" w:lineRule="auto"/>
        <w:jc w:val="both"/>
        <w:rPr>
          <w:rFonts w:ascii="ITC Avant Garde" w:eastAsia="Times New Roman" w:hAnsi="ITC Avant Garde" w:cs="Calibri"/>
          <w:kern w:val="1"/>
          <w:sz w:val="20"/>
          <w:szCs w:val="20"/>
          <w:lang w:val="es-ES" w:eastAsia="ar-SA"/>
        </w:rPr>
      </w:pPr>
      <w:r w:rsidRPr="00225268">
        <w:rPr>
          <w:rFonts w:ascii="ITC Avant Garde" w:eastAsia="Times New Roman" w:hAnsi="ITC Avant Garde" w:cs="Calibri"/>
          <w:kern w:val="1"/>
          <w:sz w:val="20"/>
          <w:szCs w:val="20"/>
          <w:lang w:val="es-ES" w:eastAsia="ar-SA"/>
        </w:rPr>
        <w:t xml:space="preserve">En dicha consulta </w:t>
      </w:r>
      <w:r w:rsidR="00EA00DF" w:rsidRPr="00225268">
        <w:rPr>
          <w:rFonts w:ascii="ITC Avant Garde" w:eastAsia="Times New Roman" w:hAnsi="ITC Avant Garde" w:cs="Calibri"/>
          <w:kern w:val="1"/>
          <w:sz w:val="20"/>
          <w:szCs w:val="20"/>
          <w:lang w:val="es-ES" w:eastAsia="ar-SA"/>
        </w:rPr>
        <w:t xml:space="preserve">se recibieron </w:t>
      </w:r>
      <w:r w:rsidR="00642D26" w:rsidRPr="00225268">
        <w:rPr>
          <w:rFonts w:ascii="ITC Avant Garde" w:eastAsia="Times New Roman" w:hAnsi="ITC Avant Garde" w:cs="Calibri"/>
          <w:kern w:val="1"/>
          <w:sz w:val="20"/>
          <w:szCs w:val="20"/>
          <w:lang w:val="es-ES" w:eastAsia="ar-SA"/>
        </w:rPr>
        <w:t xml:space="preserve">13 </w:t>
      </w:r>
      <w:r w:rsidR="00EA00DF" w:rsidRPr="00225268">
        <w:rPr>
          <w:rFonts w:ascii="ITC Avant Garde" w:eastAsia="Times New Roman" w:hAnsi="ITC Avant Garde" w:cs="Calibri"/>
          <w:kern w:val="1"/>
          <w:sz w:val="20"/>
          <w:szCs w:val="20"/>
          <w:lang w:val="es-ES" w:eastAsia="ar-SA"/>
        </w:rPr>
        <w:t xml:space="preserve">participaciones de diversos actores, entre ellos, sujetos regulados, </w:t>
      </w:r>
      <w:r w:rsidR="002E2AEA" w:rsidRPr="00225268">
        <w:rPr>
          <w:rFonts w:ascii="ITC Avant Garde" w:eastAsia="Times New Roman" w:hAnsi="ITC Avant Garde" w:cs="Calibri"/>
          <w:kern w:val="1"/>
          <w:sz w:val="20"/>
          <w:szCs w:val="20"/>
          <w:lang w:val="es-ES" w:eastAsia="ar-SA"/>
        </w:rPr>
        <w:t>miembros</w:t>
      </w:r>
      <w:r w:rsidR="00EA00DF" w:rsidRPr="00225268">
        <w:rPr>
          <w:rFonts w:ascii="ITC Avant Garde" w:eastAsia="Times New Roman" w:hAnsi="ITC Avant Garde" w:cs="Calibri"/>
          <w:kern w:val="1"/>
          <w:sz w:val="20"/>
          <w:szCs w:val="20"/>
          <w:lang w:val="es-ES" w:eastAsia="ar-SA"/>
        </w:rPr>
        <w:t xml:space="preserve"> de la sociedad civil, </w:t>
      </w:r>
      <w:r w:rsidR="004A6DBC" w:rsidRPr="00225268">
        <w:rPr>
          <w:rFonts w:ascii="ITC Avant Garde" w:eastAsia="Times New Roman" w:hAnsi="ITC Avant Garde" w:cs="Calibri"/>
          <w:kern w:val="1"/>
          <w:sz w:val="20"/>
          <w:szCs w:val="20"/>
          <w:lang w:val="es-ES" w:eastAsia="ar-SA"/>
        </w:rPr>
        <w:t>académica</w:t>
      </w:r>
      <w:r w:rsidR="00EA00DF" w:rsidRPr="00225268">
        <w:rPr>
          <w:rFonts w:ascii="ITC Avant Garde" w:eastAsia="Times New Roman" w:hAnsi="ITC Avant Garde" w:cs="Calibri"/>
          <w:kern w:val="1"/>
          <w:sz w:val="20"/>
          <w:szCs w:val="20"/>
          <w:lang w:val="es-ES" w:eastAsia="ar-SA"/>
        </w:rPr>
        <w:t xml:space="preserve"> e interesados en </w:t>
      </w:r>
      <w:r w:rsidR="00CD3B05" w:rsidRPr="00225268">
        <w:rPr>
          <w:rFonts w:ascii="ITC Avant Garde" w:eastAsia="Times New Roman" w:hAnsi="ITC Avant Garde" w:cs="Calibri"/>
          <w:kern w:val="1"/>
          <w:sz w:val="20"/>
          <w:szCs w:val="20"/>
          <w:lang w:val="es-ES" w:eastAsia="ar-SA"/>
        </w:rPr>
        <w:t>la materia</w:t>
      </w:r>
      <w:r w:rsidR="00EA00DF" w:rsidRPr="00225268">
        <w:rPr>
          <w:rFonts w:ascii="ITC Avant Garde" w:eastAsia="Times New Roman" w:hAnsi="ITC Avant Garde" w:cs="Calibri"/>
          <w:kern w:val="1"/>
          <w:sz w:val="20"/>
          <w:szCs w:val="20"/>
          <w:lang w:val="es-ES" w:eastAsia="ar-SA"/>
        </w:rPr>
        <w:t>.</w:t>
      </w:r>
    </w:p>
    <w:p w14:paraId="35E19D89" w14:textId="77777777" w:rsidR="00B27653" w:rsidRPr="00225268" w:rsidRDefault="00B27653" w:rsidP="00157CDB">
      <w:pPr>
        <w:suppressAutoHyphens/>
        <w:spacing w:after="0" w:line="240" w:lineRule="auto"/>
        <w:jc w:val="both"/>
        <w:rPr>
          <w:rFonts w:ascii="ITC Avant Garde" w:eastAsia="Times New Roman" w:hAnsi="ITC Avant Garde" w:cs="Calibri"/>
          <w:kern w:val="1"/>
          <w:sz w:val="20"/>
          <w:szCs w:val="20"/>
          <w:lang w:val="es-ES" w:eastAsia="ar-SA"/>
        </w:rPr>
      </w:pPr>
    </w:p>
    <w:p w14:paraId="2B6553C2" w14:textId="77777777" w:rsidR="003E7CEA" w:rsidRPr="00225268" w:rsidRDefault="00B27653" w:rsidP="00157CDB">
      <w:pPr>
        <w:suppressAutoHyphens/>
        <w:spacing w:after="0" w:line="240" w:lineRule="auto"/>
        <w:jc w:val="both"/>
        <w:rPr>
          <w:rFonts w:ascii="ITC Avant Garde" w:eastAsia="Times New Roman" w:hAnsi="ITC Avant Garde" w:cs="Calibri"/>
          <w:kern w:val="1"/>
          <w:sz w:val="20"/>
          <w:szCs w:val="20"/>
          <w:lang w:val="es-ES" w:eastAsia="ar-SA"/>
        </w:rPr>
      </w:pPr>
      <w:r w:rsidRPr="00225268">
        <w:rPr>
          <w:rFonts w:ascii="ITC Avant Garde" w:eastAsia="Times New Roman" w:hAnsi="ITC Avant Garde" w:cs="Calibri"/>
          <w:kern w:val="1"/>
          <w:sz w:val="20"/>
          <w:szCs w:val="20"/>
          <w:lang w:val="es-ES" w:eastAsia="ar-SA"/>
        </w:rPr>
        <w:t>Las participaciones fueron publicadas en el portal de Internet del Instituto y se dio respuesta a las mismas de manera general, agrupando las respuesta</w:t>
      </w:r>
      <w:r w:rsidR="003E7CEA" w:rsidRPr="00225268">
        <w:rPr>
          <w:rFonts w:ascii="ITC Avant Garde" w:eastAsia="Times New Roman" w:hAnsi="ITC Avant Garde" w:cs="Calibri"/>
          <w:kern w:val="1"/>
          <w:sz w:val="20"/>
          <w:szCs w:val="20"/>
          <w:lang w:val="es-ES" w:eastAsia="ar-SA"/>
        </w:rPr>
        <w:t>s</w:t>
      </w:r>
      <w:r w:rsidRPr="00225268">
        <w:rPr>
          <w:rFonts w:ascii="ITC Avant Garde" w:eastAsia="Times New Roman" w:hAnsi="ITC Avant Garde" w:cs="Calibri"/>
          <w:kern w:val="1"/>
          <w:sz w:val="20"/>
          <w:szCs w:val="20"/>
          <w:lang w:val="es-ES" w:eastAsia="ar-SA"/>
        </w:rPr>
        <w:t xml:space="preserve"> por temas relacionados entre sí</w:t>
      </w:r>
      <w:r w:rsidR="003E7CEA" w:rsidRPr="00225268">
        <w:rPr>
          <w:rFonts w:ascii="ITC Avant Garde" w:eastAsia="Times New Roman" w:hAnsi="ITC Avant Garde" w:cs="Calibri"/>
          <w:kern w:val="1"/>
          <w:sz w:val="20"/>
          <w:szCs w:val="20"/>
          <w:lang w:val="es-ES" w:eastAsia="ar-SA"/>
        </w:rPr>
        <w:t>, en el documento de repuestas que se hará público en el portal del Instituto.</w:t>
      </w:r>
    </w:p>
    <w:p w14:paraId="694AFBC9" w14:textId="77777777" w:rsidR="00131120" w:rsidRPr="00225268" w:rsidRDefault="00131120" w:rsidP="00157CDB">
      <w:pPr>
        <w:suppressAutoHyphens/>
        <w:spacing w:after="0" w:line="240" w:lineRule="auto"/>
        <w:jc w:val="both"/>
        <w:rPr>
          <w:rFonts w:ascii="ITC Avant Garde" w:eastAsia="Times New Roman" w:hAnsi="ITC Avant Garde" w:cs="Calibri"/>
          <w:kern w:val="1"/>
          <w:sz w:val="20"/>
          <w:szCs w:val="20"/>
          <w:lang w:val="es-ES" w:eastAsia="ar-SA"/>
        </w:rPr>
      </w:pPr>
    </w:p>
    <w:p w14:paraId="7CAA44B4" w14:textId="77777777" w:rsidR="00C26D25" w:rsidRPr="00225268" w:rsidRDefault="00FB61DF" w:rsidP="00157CDB">
      <w:pPr>
        <w:suppressAutoHyphens/>
        <w:spacing w:after="0" w:line="240" w:lineRule="auto"/>
        <w:ind w:right="-62"/>
        <w:jc w:val="both"/>
        <w:rPr>
          <w:rFonts w:ascii="ITC Avant Garde" w:hAnsi="ITC Avant Garde"/>
          <w:sz w:val="20"/>
          <w:szCs w:val="20"/>
        </w:rPr>
      </w:pPr>
      <w:r w:rsidRPr="00225268">
        <w:rPr>
          <w:rFonts w:ascii="ITC Avant Garde" w:hAnsi="ITC Avant Garde"/>
          <w:b/>
          <w:sz w:val="20"/>
          <w:szCs w:val="20"/>
        </w:rPr>
        <w:t>TERCERO</w:t>
      </w:r>
      <w:r w:rsidR="00BB1A98" w:rsidRPr="00225268">
        <w:rPr>
          <w:rFonts w:ascii="ITC Avant Garde" w:hAnsi="ITC Avant Garde"/>
          <w:b/>
          <w:sz w:val="20"/>
          <w:szCs w:val="20"/>
        </w:rPr>
        <w:t xml:space="preserve">. </w:t>
      </w:r>
      <w:r w:rsidR="00C26D25" w:rsidRPr="00225268">
        <w:rPr>
          <w:rFonts w:ascii="ITC Avant Garde" w:hAnsi="ITC Avant Garde"/>
          <w:b/>
          <w:sz w:val="20"/>
          <w:szCs w:val="20"/>
        </w:rPr>
        <w:t>Contenido de</w:t>
      </w:r>
      <w:r w:rsidR="00C90489" w:rsidRPr="00225268">
        <w:rPr>
          <w:rFonts w:ascii="ITC Avant Garde" w:hAnsi="ITC Avant Garde"/>
          <w:b/>
          <w:sz w:val="20"/>
          <w:szCs w:val="20"/>
        </w:rPr>
        <w:t xml:space="preserve"> </w:t>
      </w:r>
      <w:r w:rsidR="00844996" w:rsidRPr="00225268">
        <w:rPr>
          <w:rFonts w:ascii="ITC Avant Garde" w:hAnsi="ITC Avant Garde"/>
          <w:b/>
          <w:sz w:val="20"/>
          <w:szCs w:val="20"/>
        </w:rPr>
        <w:t xml:space="preserve">los </w:t>
      </w:r>
      <w:r w:rsidR="00DF0B6A" w:rsidRPr="00225268">
        <w:rPr>
          <w:rFonts w:ascii="ITC Avant Garde" w:hAnsi="ITC Avant Garde"/>
          <w:b/>
          <w:sz w:val="20"/>
          <w:szCs w:val="20"/>
        </w:rPr>
        <w:t>Lineamientos.</w:t>
      </w:r>
      <w:r w:rsidR="00C26D25" w:rsidRPr="00225268">
        <w:rPr>
          <w:rFonts w:ascii="ITC Avant Garde" w:hAnsi="ITC Avant Garde"/>
          <w:b/>
          <w:sz w:val="20"/>
          <w:szCs w:val="20"/>
        </w:rPr>
        <w:t xml:space="preserve"> </w:t>
      </w:r>
      <w:r w:rsidR="00C26D25" w:rsidRPr="00225268">
        <w:rPr>
          <w:rFonts w:ascii="ITC Avant Garde" w:hAnsi="ITC Avant Garde"/>
          <w:sz w:val="20"/>
          <w:szCs w:val="20"/>
        </w:rPr>
        <w:t>En términos de lo expuesto, se considera procedente emitir los Lineamientos con las siguientes características y contenido:</w:t>
      </w:r>
    </w:p>
    <w:p w14:paraId="2B1AA2CE" w14:textId="77777777" w:rsidR="00157CDB" w:rsidRPr="00225268" w:rsidRDefault="00157CDB" w:rsidP="00157CDB">
      <w:pPr>
        <w:suppressAutoHyphens/>
        <w:spacing w:after="0" w:line="240" w:lineRule="auto"/>
        <w:ind w:right="-62"/>
        <w:jc w:val="both"/>
        <w:rPr>
          <w:rFonts w:ascii="ITC Avant Garde" w:hAnsi="ITC Avant Garde"/>
          <w:sz w:val="20"/>
          <w:szCs w:val="20"/>
        </w:rPr>
      </w:pPr>
    </w:p>
    <w:p w14:paraId="37E48497" w14:textId="77777777" w:rsidR="00196508" w:rsidRPr="00225268" w:rsidRDefault="00157CDB" w:rsidP="00157CDB">
      <w:pPr>
        <w:suppressAutoHyphens/>
        <w:spacing w:after="0" w:line="240" w:lineRule="auto"/>
        <w:jc w:val="both"/>
        <w:rPr>
          <w:rFonts w:ascii="ITC Avant Garde" w:hAnsi="ITC Avant Garde"/>
          <w:sz w:val="20"/>
          <w:szCs w:val="20"/>
        </w:rPr>
      </w:pPr>
      <w:r w:rsidRPr="00225268">
        <w:rPr>
          <w:rFonts w:ascii="ITC Avant Garde" w:hAnsi="ITC Avant Garde"/>
          <w:sz w:val="20"/>
          <w:szCs w:val="20"/>
        </w:rPr>
        <w:t xml:space="preserve">Los Lineamientos </w:t>
      </w:r>
      <w:r w:rsidR="00B72EAA">
        <w:rPr>
          <w:rFonts w:ascii="ITC Avant Garde" w:hAnsi="ITC Avant Garde"/>
          <w:sz w:val="20"/>
          <w:szCs w:val="20"/>
        </w:rPr>
        <w:t>constan de 13 artículos distribuidos en III</w:t>
      </w:r>
      <w:r w:rsidR="00196508" w:rsidRPr="00225268">
        <w:rPr>
          <w:rFonts w:ascii="ITC Avant Garde" w:hAnsi="ITC Avant Garde"/>
          <w:sz w:val="20"/>
          <w:szCs w:val="20"/>
        </w:rPr>
        <w:t xml:space="preserve"> Capítulos y </w:t>
      </w:r>
      <w:r w:rsidRPr="00225268">
        <w:rPr>
          <w:rFonts w:ascii="ITC Avant Garde" w:hAnsi="ITC Avant Garde"/>
          <w:sz w:val="20"/>
          <w:szCs w:val="20"/>
        </w:rPr>
        <w:t>5 artículos t</w:t>
      </w:r>
      <w:r w:rsidR="00196508" w:rsidRPr="00225268">
        <w:rPr>
          <w:rFonts w:ascii="ITC Avant Garde" w:hAnsi="ITC Avant Garde"/>
          <w:sz w:val="20"/>
          <w:szCs w:val="20"/>
        </w:rPr>
        <w:t>ransitorios, a saber:</w:t>
      </w:r>
    </w:p>
    <w:p w14:paraId="54BF60D5" w14:textId="77777777" w:rsidR="00D279CA" w:rsidRPr="00225268" w:rsidRDefault="00D279CA" w:rsidP="00157CDB">
      <w:pPr>
        <w:suppressAutoHyphens/>
        <w:spacing w:after="0" w:line="240" w:lineRule="auto"/>
        <w:jc w:val="center"/>
        <w:rPr>
          <w:rFonts w:ascii="ITC Avant Garde" w:hAnsi="ITC Avant Garde"/>
          <w:b/>
          <w:sz w:val="20"/>
          <w:szCs w:val="20"/>
        </w:rPr>
      </w:pPr>
      <w:r w:rsidRPr="00225268">
        <w:rPr>
          <w:rFonts w:ascii="ITC Avant Garde" w:hAnsi="ITC Avant Garde"/>
          <w:b/>
          <w:sz w:val="20"/>
          <w:szCs w:val="20"/>
        </w:rPr>
        <w:t xml:space="preserve">Capítulo I </w:t>
      </w:r>
    </w:p>
    <w:p w14:paraId="4CF2AC43" w14:textId="77777777" w:rsidR="00D279CA" w:rsidRPr="00225268" w:rsidRDefault="00D279CA" w:rsidP="00157CDB">
      <w:pPr>
        <w:suppressAutoHyphens/>
        <w:spacing w:after="0" w:line="240" w:lineRule="auto"/>
        <w:jc w:val="center"/>
        <w:rPr>
          <w:rFonts w:ascii="ITC Avant Garde" w:hAnsi="ITC Avant Garde"/>
          <w:b/>
          <w:sz w:val="20"/>
          <w:szCs w:val="20"/>
        </w:rPr>
      </w:pPr>
      <w:r w:rsidRPr="00225268">
        <w:rPr>
          <w:rFonts w:ascii="ITC Avant Garde" w:hAnsi="ITC Avant Garde"/>
          <w:b/>
          <w:sz w:val="20"/>
          <w:szCs w:val="20"/>
        </w:rPr>
        <w:t>Disposiciones Generales</w:t>
      </w:r>
    </w:p>
    <w:p w14:paraId="14C75ADD" w14:textId="77777777" w:rsidR="00D279CA" w:rsidRPr="00225268" w:rsidRDefault="00D279CA" w:rsidP="00157CDB">
      <w:pPr>
        <w:pStyle w:val="Prrafodelista"/>
        <w:suppressAutoHyphens/>
        <w:ind w:left="720"/>
        <w:jc w:val="both"/>
        <w:rPr>
          <w:rFonts w:ascii="ITC Avant Garde" w:hAnsi="ITC Avant Garde"/>
          <w:sz w:val="20"/>
        </w:rPr>
      </w:pPr>
    </w:p>
    <w:p w14:paraId="3EF57F91" w14:textId="77777777"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El Capítulo I denominado </w:t>
      </w:r>
      <w:r w:rsidRPr="00225268">
        <w:rPr>
          <w:rFonts w:ascii="ITC Avant Garde" w:hAnsi="ITC Avant Garde"/>
          <w:b/>
          <w:sz w:val="20"/>
          <w:szCs w:val="20"/>
        </w:rPr>
        <w:t>“Disposiciones Generales”</w:t>
      </w:r>
      <w:r w:rsidRPr="00225268">
        <w:rPr>
          <w:rFonts w:ascii="ITC Avant Garde" w:hAnsi="ITC Avant Garde"/>
          <w:sz w:val="20"/>
          <w:szCs w:val="20"/>
        </w:rPr>
        <w:t xml:space="preserve"> se integra por 5 artículos, referentes al objeto de los Lineamientos, definiciones necesarias para la correcta interpretación de los mismos, la operación técnica y vigencia para la utilización de los Canales Virtuales, así como la autoridad competente para realizar la asignación.</w:t>
      </w:r>
    </w:p>
    <w:p w14:paraId="6B2BA8C0" w14:textId="77777777" w:rsidR="00D279CA" w:rsidRPr="00225268" w:rsidRDefault="00D279CA" w:rsidP="00157CDB">
      <w:pPr>
        <w:spacing w:after="0" w:line="240" w:lineRule="auto"/>
        <w:jc w:val="both"/>
        <w:rPr>
          <w:rFonts w:ascii="ITC Avant Garde" w:hAnsi="ITC Avant Garde"/>
          <w:sz w:val="20"/>
          <w:szCs w:val="20"/>
        </w:rPr>
      </w:pPr>
    </w:p>
    <w:p w14:paraId="04F5CE1B" w14:textId="77777777"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El artículo 1 establece como objeto de los Lineamientos la regulación del uso de los Canales Virtuales, los requisitos para su asignación y sus condiciones de funcionamiento.</w:t>
      </w:r>
    </w:p>
    <w:p w14:paraId="64F09B20" w14:textId="77777777" w:rsidR="00D279CA" w:rsidRPr="00225268" w:rsidRDefault="00D279CA" w:rsidP="00157CDB">
      <w:pPr>
        <w:spacing w:after="0" w:line="240" w:lineRule="auto"/>
        <w:jc w:val="both"/>
        <w:rPr>
          <w:rFonts w:ascii="ITC Avant Garde" w:hAnsi="ITC Avant Garde"/>
          <w:sz w:val="20"/>
          <w:szCs w:val="20"/>
        </w:rPr>
      </w:pPr>
    </w:p>
    <w:p w14:paraId="7D7C191A" w14:textId="77777777" w:rsidR="00D279CA" w:rsidRPr="00225268" w:rsidRDefault="00D279CA" w:rsidP="00157CDB">
      <w:pPr>
        <w:suppressAutoHyphens/>
        <w:spacing w:after="0" w:line="240" w:lineRule="auto"/>
        <w:ind w:right="-62"/>
        <w:jc w:val="both"/>
        <w:rPr>
          <w:rFonts w:ascii="ITC Avant Garde" w:hAnsi="ITC Avant Garde"/>
          <w:sz w:val="20"/>
          <w:szCs w:val="20"/>
        </w:rPr>
      </w:pPr>
      <w:r w:rsidRPr="00225268">
        <w:rPr>
          <w:rFonts w:ascii="ITC Avant Garde" w:eastAsia="Times New Roman" w:hAnsi="ITC Avant Garde" w:cs="Calibri"/>
          <w:color w:val="000000"/>
          <w:kern w:val="1"/>
          <w:sz w:val="20"/>
          <w:szCs w:val="20"/>
          <w:lang w:eastAsia="ar-SA"/>
        </w:rPr>
        <w:t xml:space="preserve">Con la realización de transmisiones digitales de televisión radiodifundida se genera la posibilidad de utilizar los Canales Virtuales, por ello, el Instituto, como parte de la política pública generada para la transición a la televisión digital terrestre, asignará a los concesionarios del país los Canales Virtuales que deberán utilizar, ello en beneficio directo de las audiencias a quienes se brindará claridad para la ubicación y posterior recepción de la programación de su elección, así como de los propios concesionarios, pues verán reconocida en dicho proceso su identidad programática a nivel nacional, regional y local, en ese sentido, la delimitación </w:t>
      </w:r>
      <w:r w:rsidRPr="00225268">
        <w:rPr>
          <w:rFonts w:ascii="ITC Avant Garde" w:hAnsi="ITC Avant Garde"/>
          <w:sz w:val="20"/>
          <w:szCs w:val="20"/>
        </w:rPr>
        <w:t>del objeto de los Lineamientos se encuentra alineada de manera directa con las atribuciones del Instituto al tutelar el interés general de las audiencias de radiodifusión y de los concesionarios de dicho sector.</w:t>
      </w:r>
    </w:p>
    <w:p w14:paraId="1CDBEBAA" w14:textId="77777777" w:rsidR="00D279CA" w:rsidRPr="00225268" w:rsidRDefault="00D279CA" w:rsidP="00157CDB">
      <w:pPr>
        <w:suppressAutoHyphens/>
        <w:spacing w:after="0" w:line="240" w:lineRule="auto"/>
        <w:ind w:right="-62"/>
        <w:jc w:val="both"/>
        <w:rPr>
          <w:rFonts w:ascii="ITC Avant Garde" w:hAnsi="ITC Avant Garde"/>
          <w:sz w:val="20"/>
          <w:szCs w:val="20"/>
        </w:rPr>
      </w:pPr>
    </w:p>
    <w:p w14:paraId="3BEC9DEB" w14:textId="77777777" w:rsidR="00D279CA"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Posteriormente, el artículo 2 contiene diversas definiciones que pretenden dotar de coherencia e </w:t>
      </w:r>
      <w:r w:rsidR="00321CCC" w:rsidRPr="00225268">
        <w:rPr>
          <w:rFonts w:ascii="ITC Avant Garde" w:hAnsi="ITC Avant Garde"/>
          <w:sz w:val="20"/>
          <w:szCs w:val="20"/>
        </w:rPr>
        <w:t>ilación</w:t>
      </w:r>
      <w:r w:rsidRPr="00225268">
        <w:rPr>
          <w:rFonts w:ascii="ITC Avant Garde" w:hAnsi="ITC Avant Garde"/>
          <w:sz w:val="20"/>
          <w:szCs w:val="20"/>
        </w:rPr>
        <w:t xml:space="preserve"> conceptual a los Lineamientos, muchas de las cuales se extraen de la </w:t>
      </w:r>
      <w:r w:rsidR="00157CDB" w:rsidRPr="00225268">
        <w:rPr>
          <w:rFonts w:ascii="ITC Avant Garde" w:hAnsi="ITC Avant Garde"/>
          <w:sz w:val="20"/>
          <w:szCs w:val="20"/>
        </w:rPr>
        <w:t>LFTR</w:t>
      </w:r>
      <w:r w:rsidRPr="00225268">
        <w:rPr>
          <w:rFonts w:ascii="ITC Avant Garde" w:hAnsi="ITC Avant Garde"/>
          <w:sz w:val="20"/>
          <w:szCs w:val="20"/>
        </w:rPr>
        <w:t xml:space="preserve"> (canal de programación, canal de transmisión de televisión, concesionar</w:t>
      </w:r>
      <w:r w:rsidR="00163185" w:rsidRPr="00225268">
        <w:rPr>
          <w:rFonts w:ascii="ITC Avant Garde" w:hAnsi="ITC Avant Garde"/>
          <w:sz w:val="20"/>
          <w:szCs w:val="20"/>
        </w:rPr>
        <w:t>io de televisión radiodifundida o</w:t>
      </w:r>
      <w:r w:rsidRPr="00225268">
        <w:rPr>
          <w:rFonts w:ascii="ITC Avant Garde" w:hAnsi="ITC Avant Garde"/>
          <w:sz w:val="20"/>
          <w:szCs w:val="20"/>
        </w:rPr>
        <w:t xml:space="preserve"> servicio de televisión radiodifundida) u otros cuerpos normativos aplicables y vigentes (ATSC, Identidad, Polític</w:t>
      </w:r>
      <w:r w:rsidR="00163185" w:rsidRPr="00225268">
        <w:rPr>
          <w:rFonts w:ascii="ITC Avant Garde" w:hAnsi="ITC Avant Garde"/>
          <w:sz w:val="20"/>
          <w:szCs w:val="20"/>
        </w:rPr>
        <w:t xml:space="preserve">a TDT, transmisiones digitales o </w:t>
      </w:r>
      <w:r w:rsidRPr="00225268">
        <w:rPr>
          <w:rFonts w:ascii="ITC Avant Garde" w:hAnsi="ITC Avant Garde"/>
          <w:sz w:val="20"/>
          <w:szCs w:val="20"/>
        </w:rPr>
        <w:t>zona de cobertura) adecuándolas en algunos casos a la materia de los Lineamientos, sin contravenir el sentido que se les otorga en el documento original de referencia.</w:t>
      </w:r>
    </w:p>
    <w:p w14:paraId="7F730CF2" w14:textId="77777777" w:rsidR="00D279CA" w:rsidRPr="00225268" w:rsidRDefault="00D279CA" w:rsidP="00157CDB">
      <w:pPr>
        <w:spacing w:after="0" w:line="240" w:lineRule="auto"/>
        <w:jc w:val="both"/>
        <w:rPr>
          <w:rFonts w:ascii="ITC Avant Garde" w:hAnsi="ITC Avant Garde"/>
          <w:sz w:val="20"/>
          <w:szCs w:val="20"/>
        </w:rPr>
      </w:pPr>
    </w:p>
    <w:p w14:paraId="7BC4922D" w14:textId="77777777" w:rsidR="00D279CA" w:rsidRPr="00225268" w:rsidRDefault="00D279CA" w:rsidP="00163185">
      <w:pPr>
        <w:spacing w:after="0" w:line="240" w:lineRule="auto"/>
        <w:jc w:val="both"/>
        <w:rPr>
          <w:rFonts w:ascii="ITC Avant Garde" w:hAnsi="ITC Avant Garde"/>
          <w:sz w:val="20"/>
          <w:szCs w:val="20"/>
        </w:rPr>
      </w:pPr>
      <w:r w:rsidRPr="00225268">
        <w:rPr>
          <w:rFonts w:ascii="ITC Avant Garde" w:hAnsi="ITC Avant Garde"/>
          <w:sz w:val="20"/>
          <w:szCs w:val="20"/>
        </w:rPr>
        <w:t>Es importante resaltar que la definición de Canal Virtual ha requerido un ejercicio de construcción regulatoria por parte del Instituto a fin de garantizar su eficacia</w:t>
      </w:r>
      <w:r w:rsidR="00163185" w:rsidRPr="00225268">
        <w:rPr>
          <w:rFonts w:ascii="ITC Avant Garde" w:hAnsi="ITC Avant Garde"/>
          <w:sz w:val="20"/>
          <w:szCs w:val="20"/>
        </w:rPr>
        <w:t>, el cual ha tomado en cuenta las disposiciones técnicas y regulatorias de otros países a fin de generar un concepto claro y aplicable.</w:t>
      </w:r>
    </w:p>
    <w:p w14:paraId="3F28C8B3" w14:textId="77777777" w:rsidR="00D279CA" w:rsidRPr="00225268" w:rsidRDefault="00D279CA" w:rsidP="00157CDB">
      <w:pPr>
        <w:spacing w:after="0" w:line="240" w:lineRule="auto"/>
        <w:contextualSpacing/>
        <w:jc w:val="both"/>
        <w:rPr>
          <w:rFonts w:ascii="ITC Avant Garde" w:hAnsi="ITC Avant Garde"/>
          <w:sz w:val="20"/>
          <w:szCs w:val="20"/>
        </w:rPr>
      </w:pPr>
    </w:p>
    <w:p w14:paraId="1AA85AB7" w14:textId="77777777" w:rsidR="00D279CA" w:rsidRPr="00225268" w:rsidRDefault="00D279CA" w:rsidP="00157CDB">
      <w:pPr>
        <w:spacing w:after="0" w:line="240" w:lineRule="auto"/>
        <w:contextualSpacing/>
        <w:jc w:val="both"/>
        <w:rPr>
          <w:rFonts w:ascii="ITC Avant Garde" w:hAnsi="ITC Avant Garde"/>
          <w:sz w:val="20"/>
          <w:szCs w:val="20"/>
        </w:rPr>
      </w:pPr>
      <w:r w:rsidRPr="00225268">
        <w:rPr>
          <w:rFonts w:ascii="ITC Avant Garde" w:hAnsi="ITC Avant Garde"/>
          <w:sz w:val="20"/>
          <w:szCs w:val="20"/>
        </w:rPr>
        <w:t>El artículo 3 señala que la operación técnica para la utilización de los Canales Virtuales deberá realizarse de conformidad con lo establecido en el estándar A/53 de ATSC adoptado en la Política TDT, incluyendo sus mejoras y desarrollos, entre otros el A/72 y A/153, así como en el estándar A/65:2013 de ATSC o efectuarse en términos de cualquier disposición vigente que supla o modifique las mencionadas.</w:t>
      </w:r>
    </w:p>
    <w:p w14:paraId="47ACD03C" w14:textId="77777777" w:rsidR="00D279CA" w:rsidRDefault="00D279CA" w:rsidP="00157CDB">
      <w:pPr>
        <w:spacing w:after="0" w:line="240" w:lineRule="auto"/>
        <w:jc w:val="both"/>
        <w:rPr>
          <w:rFonts w:ascii="ITC Avant Garde" w:hAnsi="ITC Avant Garde"/>
          <w:sz w:val="20"/>
          <w:szCs w:val="20"/>
        </w:rPr>
      </w:pPr>
    </w:p>
    <w:p w14:paraId="6B49D4E4" w14:textId="62C290B5" w:rsidR="003E00CC" w:rsidRDefault="00641297" w:rsidP="00157CDB">
      <w:pPr>
        <w:spacing w:after="0" w:line="240" w:lineRule="auto"/>
        <w:jc w:val="both"/>
        <w:rPr>
          <w:rFonts w:ascii="ITC Avant Garde" w:hAnsi="ITC Avant Garde"/>
          <w:sz w:val="20"/>
          <w:szCs w:val="20"/>
        </w:rPr>
      </w:pPr>
      <w:r>
        <w:rPr>
          <w:rFonts w:ascii="ITC Avant Garde" w:hAnsi="ITC Avant Garde"/>
          <w:sz w:val="20"/>
          <w:szCs w:val="20"/>
        </w:rPr>
        <w:t>L</w:t>
      </w:r>
      <w:r w:rsidR="00FC0626">
        <w:rPr>
          <w:rFonts w:ascii="ITC Avant Garde" w:hAnsi="ITC Avant Garde"/>
          <w:sz w:val="20"/>
          <w:szCs w:val="20"/>
        </w:rPr>
        <w:t xml:space="preserve">a asignación de </w:t>
      </w:r>
      <w:r w:rsidR="009A3BD4">
        <w:rPr>
          <w:rFonts w:ascii="ITC Avant Garde" w:hAnsi="ITC Avant Garde"/>
          <w:sz w:val="20"/>
          <w:szCs w:val="20"/>
        </w:rPr>
        <w:t xml:space="preserve">los canales </w:t>
      </w:r>
      <w:r>
        <w:rPr>
          <w:rFonts w:ascii="ITC Avant Garde" w:hAnsi="ITC Avant Garde"/>
          <w:sz w:val="20"/>
          <w:szCs w:val="20"/>
        </w:rPr>
        <w:t>v</w:t>
      </w:r>
      <w:r w:rsidR="009A3BD4">
        <w:rPr>
          <w:rFonts w:ascii="ITC Avant Garde" w:hAnsi="ITC Avant Garde"/>
          <w:sz w:val="20"/>
          <w:szCs w:val="20"/>
        </w:rPr>
        <w:t>irtuales</w:t>
      </w:r>
      <w:r w:rsidR="00FC0626">
        <w:rPr>
          <w:rFonts w:ascii="ITC Avant Garde" w:hAnsi="ITC Avant Garde"/>
          <w:sz w:val="20"/>
          <w:szCs w:val="20"/>
        </w:rPr>
        <w:t xml:space="preserve"> deriva de</w:t>
      </w:r>
      <w:r w:rsidR="00FC0626" w:rsidRPr="00225268">
        <w:rPr>
          <w:rFonts w:ascii="ITC Avant Garde" w:eastAsia="Times New Roman" w:hAnsi="ITC Avant Garde" w:cs="Calibri"/>
          <w:color w:val="000000"/>
          <w:kern w:val="1"/>
          <w:sz w:val="20"/>
          <w:szCs w:val="20"/>
          <w:lang w:eastAsia="ar-SA"/>
        </w:rPr>
        <w:t xml:space="preserve"> la </w:t>
      </w:r>
      <w:r w:rsidR="009A3BD4">
        <w:rPr>
          <w:rFonts w:ascii="ITC Avant Garde" w:eastAsia="Times New Roman" w:hAnsi="ITC Avant Garde" w:cs="Calibri"/>
          <w:color w:val="000000"/>
          <w:kern w:val="1"/>
          <w:sz w:val="20"/>
          <w:szCs w:val="20"/>
          <w:lang w:eastAsia="ar-SA"/>
        </w:rPr>
        <w:t xml:space="preserve">aplicación y ejecución de la </w:t>
      </w:r>
      <w:r w:rsidR="009A3BD4" w:rsidRPr="00225268">
        <w:rPr>
          <w:rFonts w:ascii="ITC Avant Garde" w:eastAsia="Times New Roman" w:hAnsi="ITC Avant Garde" w:cs="Calibri"/>
          <w:color w:val="000000"/>
          <w:kern w:val="1"/>
          <w:sz w:val="20"/>
          <w:szCs w:val="20"/>
          <w:lang w:eastAsia="ar-SA"/>
        </w:rPr>
        <w:t xml:space="preserve">Política </w:t>
      </w:r>
      <w:r w:rsidR="009A3BD4">
        <w:rPr>
          <w:rFonts w:ascii="ITC Avant Garde" w:eastAsia="Times New Roman" w:hAnsi="ITC Avant Garde" w:cs="Calibri"/>
          <w:color w:val="000000"/>
          <w:kern w:val="1"/>
          <w:sz w:val="20"/>
          <w:szCs w:val="20"/>
          <w:lang w:eastAsia="ar-SA"/>
        </w:rPr>
        <w:t xml:space="preserve">TDT, por lo tanto, </w:t>
      </w:r>
      <w:r w:rsidR="000A2BFD">
        <w:rPr>
          <w:rFonts w:ascii="ITC Avant Garde" w:hAnsi="ITC Avant Garde"/>
          <w:sz w:val="20"/>
          <w:szCs w:val="20"/>
        </w:rPr>
        <w:t>el hecho de que los estándares mencionados</w:t>
      </w:r>
      <w:r>
        <w:rPr>
          <w:rFonts w:ascii="ITC Avant Garde" w:hAnsi="ITC Avant Garde"/>
          <w:sz w:val="20"/>
          <w:szCs w:val="20"/>
        </w:rPr>
        <w:t xml:space="preserve"> </w:t>
      </w:r>
      <w:r w:rsidR="00543959">
        <w:rPr>
          <w:rFonts w:ascii="ITC Avant Garde" w:hAnsi="ITC Avant Garde"/>
          <w:sz w:val="20"/>
          <w:szCs w:val="20"/>
        </w:rPr>
        <w:t>s</w:t>
      </w:r>
      <w:r w:rsidR="009A3BD4">
        <w:rPr>
          <w:rFonts w:ascii="ITC Avant Garde" w:hAnsi="ITC Avant Garde"/>
          <w:sz w:val="20"/>
          <w:szCs w:val="20"/>
        </w:rPr>
        <w:t>ean</w:t>
      </w:r>
      <w:r w:rsidR="00543959">
        <w:rPr>
          <w:rFonts w:ascii="ITC Avant Garde" w:hAnsi="ITC Avant Garde"/>
          <w:sz w:val="20"/>
          <w:szCs w:val="20"/>
        </w:rPr>
        <w:t xml:space="preserve"> los que se establecen en la </w:t>
      </w:r>
      <w:r w:rsidR="009A3BD4">
        <w:rPr>
          <w:rFonts w:ascii="ITC Avant Garde" w:hAnsi="ITC Avant Garde"/>
          <w:sz w:val="20"/>
          <w:szCs w:val="20"/>
        </w:rPr>
        <w:t>referida política pública</w:t>
      </w:r>
      <w:r w:rsidR="00FB1531">
        <w:rPr>
          <w:rFonts w:ascii="ITC Avant Garde" w:hAnsi="ITC Avant Garde"/>
          <w:sz w:val="20"/>
          <w:szCs w:val="20"/>
        </w:rPr>
        <w:t xml:space="preserve">, </w:t>
      </w:r>
      <w:r w:rsidR="009A3BD4">
        <w:rPr>
          <w:rFonts w:ascii="ITC Avant Garde" w:hAnsi="ITC Avant Garde"/>
          <w:sz w:val="20"/>
          <w:szCs w:val="20"/>
        </w:rPr>
        <w:t>reflejan coherencia en el actuar normativo de la autoridad reguladora.</w:t>
      </w:r>
    </w:p>
    <w:p w14:paraId="30F209D0" w14:textId="77777777" w:rsidR="00543959" w:rsidRPr="00225268" w:rsidRDefault="00543959" w:rsidP="00157CDB">
      <w:pPr>
        <w:spacing w:after="0" w:line="240" w:lineRule="auto"/>
        <w:jc w:val="both"/>
        <w:rPr>
          <w:rFonts w:ascii="ITC Avant Garde" w:hAnsi="ITC Avant Garde"/>
          <w:sz w:val="20"/>
          <w:szCs w:val="20"/>
        </w:rPr>
      </w:pPr>
    </w:p>
    <w:p w14:paraId="465F7A4E" w14:textId="2E76AD8F" w:rsidR="001B5605"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El artículo 4 establece la prohibición para los Concesionarios de Televisión Radiodifundida que realicen Transmisiones Digitales de hacer uso de algún Canal Virtual sin previa asignación por parte del Instituto</w:t>
      </w:r>
      <w:r w:rsidR="00B51102">
        <w:rPr>
          <w:rFonts w:ascii="ITC Avant Garde" w:hAnsi="ITC Avant Garde"/>
          <w:sz w:val="20"/>
          <w:szCs w:val="20"/>
        </w:rPr>
        <w:t>, esto con la finalidad de</w:t>
      </w:r>
      <w:r w:rsidR="00B51102">
        <w:rPr>
          <w:rFonts w:ascii="ITC Avant Garde" w:hAnsi="ITC Avant Garde"/>
          <w:bCs/>
          <w:sz w:val="20"/>
          <w:szCs w:val="20"/>
        </w:rPr>
        <w:t xml:space="preserve"> </w:t>
      </w:r>
      <w:r w:rsidR="00B51102">
        <w:rPr>
          <w:rFonts w:ascii="ITC Avant Garde" w:hAnsi="ITC Avant Garde"/>
          <w:sz w:val="20"/>
          <w:szCs w:val="20"/>
        </w:rPr>
        <w:t>evitar u</w:t>
      </w:r>
      <w:r w:rsidR="00B51102" w:rsidRPr="001B5605">
        <w:rPr>
          <w:rFonts w:ascii="ITC Avant Garde" w:hAnsi="ITC Avant Garde"/>
          <w:sz w:val="20"/>
          <w:szCs w:val="20"/>
        </w:rPr>
        <w:t>n uso desordenado de dichos canales generando “interferencias” lógicas por el uso del mismo canal virtual</w:t>
      </w:r>
      <w:r w:rsidR="00B51102">
        <w:rPr>
          <w:rFonts w:ascii="ITC Avant Garde" w:hAnsi="ITC Avant Garde"/>
          <w:sz w:val="20"/>
          <w:szCs w:val="20"/>
        </w:rPr>
        <w:t xml:space="preserve">, esto es, </w:t>
      </w:r>
      <w:r w:rsidR="00B51102">
        <w:rPr>
          <w:rFonts w:ascii="ITC Avant Garde" w:hAnsi="ITC Avant Garde"/>
          <w:bCs/>
          <w:sz w:val="20"/>
          <w:szCs w:val="20"/>
        </w:rPr>
        <w:t>generar condiciones óptimas de orden entre los diversos concesionarios del país, evitando duplicidades o complicaciones para su sintonización, lo cual redunda en claridad y simplicidad para el acceso a contenidos radiodifundidos por parte de las audiencias.</w:t>
      </w:r>
    </w:p>
    <w:p w14:paraId="6E60F74E" w14:textId="77777777" w:rsidR="00B51102" w:rsidRDefault="00B51102" w:rsidP="00157CDB">
      <w:pPr>
        <w:spacing w:after="0" w:line="240" w:lineRule="auto"/>
        <w:jc w:val="both"/>
        <w:rPr>
          <w:rFonts w:ascii="ITC Avant Garde" w:hAnsi="ITC Avant Garde"/>
          <w:sz w:val="20"/>
          <w:szCs w:val="20"/>
        </w:rPr>
      </w:pPr>
    </w:p>
    <w:p w14:paraId="7DA888B8" w14:textId="672EFDD5"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En este orden, el artículo 5 refiere que una vez asignado un Canal Virtual, podrá hacerse uso del mismo durante el periodo de vigencia simultáneo al de la concesión del Canal de Transmisión de Televisión que corresponda, pudiendo también ser prorrogado por el Instituto de manera simultánea.</w:t>
      </w:r>
      <w:r w:rsidR="00DA4B52">
        <w:rPr>
          <w:rFonts w:ascii="ITC Avant Garde" w:hAnsi="ITC Avant Garde"/>
          <w:sz w:val="20"/>
          <w:szCs w:val="20"/>
        </w:rPr>
        <w:t xml:space="preserve"> Este artículo también contempla la posibilidad de que el Instituto analice la viabilidad de modificar los canales virtuales asignados en caso de cambio de identidad y/o de la información comercial con la que se cuente respecto al canal de programación específico</w:t>
      </w:r>
      <w:r w:rsidR="00434C09">
        <w:rPr>
          <w:rFonts w:ascii="ITC Avant Garde" w:hAnsi="ITC Avant Garde"/>
          <w:sz w:val="20"/>
          <w:szCs w:val="20"/>
        </w:rPr>
        <w:t>,</w:t>
      </w:r>
      <w:r w:rsidR="00330C0F" w:rsidRPr="00330C0F">
        <w:rPr>
          <w:rFonts w:ascii="ITC Avant Garde" w:hAnsi="ITC Avant Garde"/>
          <w:sz w:val="20"/>
          <w:szCs w:val="20"/>
        </w:rPr>
        <w:t xml:space="preserve"> </w:t>
      </w:r>
      <w:r w:rsidR="00330C0F" w:rsidRPr="001B5605">
        <w:rPr>
          <w:rFonts w:ascii="ITC Avant Garde" w:hAnsi="ITC Avant Garde"/>
          <w:sz w:val="20"/>
          <w:szCs w:val="20"/>
        </w:rPr>
        <w:t xml:space="preserve">lo </w:t>
      </w:r>
      <w:r w:rsidR="00330C0F">
        <w:rPr>
          <w:rFonts w:ascii="ITC Avant Garde" w:hAnsi="ITC Avant Garde"/>
          <w:sz w:val="20"/>
          <w:szCs w:val="20"/>
        </w:rPr>
        <w:t>anterior con la finalidad de tutelar</w:t>
      </w:r>
      <w:r w:rsidR="00330C0F" w:rsidRPr="001B5605">
        <w:rPr>
          <w:rFonts w:ascii="ITC Avant Garde" w:hAnsi="ITC Avant Garde"/>
          <w:sz w:val="20"/>
          <w:szCs w:val="20"/>
        </w:rPr>
        <w:t xml:space="preserve"> el derecho de las audiencias consistente en contar con la adecuada y constante prestación del servicio de radiodifusión</w:t>
      </w:r>
      <w:r w:rsidR="00434C09">
        <w:rPr>
          <w:rFonts w:ascii="ITC Avant Garde" w:hAnsi="ITC Avant Garde"/>
          <w:sz w:val="20"/>
          <w:szCs w:val="20"/>
        </w:rPr>
        <w:t xml:space="preserve">, así como </w:t>
      </w:r>
      <w:r w:rsidR="00434C09" w:rsidRPr="00225268">
        <w:rPr>
          <w:rFonts w:ascii="ITC Avant Garde" w:eastAsia="Times New Roman" w:hAnsi="ITC Avant Garde" w:cs="Calibri"/>
          <w:color w:val="000000"/>
          <w:kern w:val="1"/>
          <w:sz w:val="20"/>
          <w:szCs w:val="20"/>
          <w:lang w:eastAsia="ar-SA"/>
        </w:rPr>
        <w:t xml:space="preserve">brindar claridad para la ubicación y posterior recepción de la programación de su elección, así como </w:t>
      </w:r>
      <w:r w:rsidR="00372643">
        <w:rPr>
          <w:rFonts w:ascii="ITC Avant Garde" w:eastAsia="Times New Roman" w:hAnsi="ITC Avant Garde" w:cs="Calibri"/>
          <w:color w:val="000000"/>
          <w:kern w:val="1"/>
          <w:sz w:val="20"/>
          <w:szCs w:val="20"/>
          <w:lang w:eastAsia="ar-SA"/>
        </w:rPr>
        <w:t xml:space="preserve">que </w:t>
      </w:r>
      <w:r w:rsidR="00434C09" w:rsidRPr="00225268">
        <w:rPr>
          <w:rFonts w:ascii="ITC Avant Garde" w:eastAsia="Times New Roman" w:hAnsi="ITC Avant Garde" w:cs="Calibri"/>
          <w:color w:val="000000"/>
          <w:kern w:val="1"/>
          <w:sz w:val="20"/>
          <w:szCs w:val="20"/>
          <w:lang w:eastAsia="ar-SA"/>
        </w:rPr>
        <w:t xml:space="preserve">los </w:t>
      </w:r>
      <w:r w:rsidR="00653F0A">
        <w:rPr>
          <w:rFonts w:ascii="ITC Avant Garde" w:eastAsia="Times New Roman" w:hAnsi="ITC Avant Garde" w:cs="Calibri"/>
          <w:color w:val="000000"/>
          <w:kern w:val="1"/>
          <w:sz w:val="20"/>
          <w:szCs w:val="20"/>
          <w:lang w:eastAsia="ar-SA"/>
        </w:rPr>
        <w:t>concesionarios tengan certeza</w:t>
      </w:r>
      <w:r w:rsidR="00653F0A" w:rsidRPr="00EA1892">
        <w:rPr>
          <w:rFonts w:ascii="ITC Avant Garde" w:hAnsi="ITC Avant Garde"/>
          <w:sz w:val="20"/>
          <w:szCs w:val="20"/>
        </w:rPr>
        <w:t xml:space="preserve"> jurídica </w:t>
      </w:r>
      <w:r w:rsidR="00653F0A">
        <w:rPr>
          <w:rFonts w:ascii="ITC Avant Garde" w:hAnsi="ITC Avant Garde"/>
          <w:sz w:val="20"/>
          <w:szCs w:val="20"/>
        </w:rPr>
        <w:t>en relación con la</w:t>
      </w:r>
      <w:r w:rsidR="00653F0A" w:rsidRPr="00EA1892">
        <w:rPr>
          <w:rFonts w:ascii="ITC Avant Garde" w:hAnsi="ITC Avant Garde"/>
          <w:sz w:val="20"/>
          <w:szCs w:val="20"/>
        </w:rPr>
        <w:t xml:space="preserve"> asignación y vigencia del uso del canal virtual con el que </w:t>
      </w:r>
      <w:r w:rsidR="00653F0A" w:rsidRPr="00EA1892">
        <w:rPr>
          <w:rFonts w:ascii="ITC Avant Garde" w:eastAsia="Times New Roman" w:hAnsi="ITC Avant Garde" w:cs="Calibri"/>
          <w:color w:val="000000"/>
          <w:kern w:val="1"/>
          <w:sz w:val="20"/>
          <w:szCs w:val="20"/>
          <w:lang w:eastAsia="ar-SA"/>
        </w:rPr>
        <w:t>verán reconocida su identidad programática a nivel nacional, regional y local</w:t>
      </w:r>
      <w:r w:rsidR="00DE1F18">
        <w:rPr>
          <w:rFonts w:ascii="ITC Avant Garde" w:eastAsia="Times New Roman" w:hAnsi="ITC Avant Garde" w:cs="Calibri"/>
          <w:color w:val="000000"/>
          <w:kern w:val="1"/>
          <w:sz w:val="20"/>
          <w:szCs w:val="20"/>
          <w:lang w:eastAsia="ar-SA"/>
        </w:rPr>
        <w:t>.</w:t>
      </w:r>
    </w:p>
    <w:p w14:paraId="4591F13B" w14:textId="77777777" w:rsidR="00D279CA" w:rsidRPr="00225268" w:rsidRDefault="00D279CA" w:rsidP="00157CDB">
      <w:pPr>
        <w:spacing w:after="0" w:line="240" w:lineRule="auto"/>
        <w:ind w:right="-7"/>
        <w:jc w:val="center"/>
        <w:rPr>
          <w:rFonts w:ascii="ITC Avant Garde" w:hAnsi="ITC Avant Garde"/>
          <w:b/>
          <w:sz w:val="20"/>
          <w:szCs w:val="20"/>
        </w:rPr>
      </w:pPr>
    </w:p>
    <w:p w14:paraId="0AE03DFA" w14:textId="77777777" w:rsidR="00D279CA" w:rsidRPr="00225268" w:rsidRDefault="00D279CA" w:rsidP="00157CDB">
      <w:pPr>
        <w:spacing w:after="0" w:line="240" w:lineRule="auto"/>
        <w:ind w:right="-7"/>
        <w:jc w:val="center"/>
        <w:rPr>
          <w:rFonts w:ascii="ITC Avant Garde" w:hAnsi="ITC Avant Garde"/>
          <w:b/>
          <w:sz w:val="20"/>
          <w:szCs w:val="20"/>
        </w:rPr>
      </w:pPr>
      <w:r w:rsidRPr="00225268">
        <w:rPr>
          <w:rFonts w:ascii="ITC Avant Garde" w:hAnsi="ITC Avant Garde"/>
          <w:b/>
          <w:sz w:val="20"/>
          <w:szCs w:val="20"/>
        </w:rPr>
        <w:t>Capítulo II</w:t>
      </w:r>
    </w:p>
    <w:p w14:paraId="57B6559E" w14:textId="77777777" w:rsidR="00D279CA" w:rsidRPr="00225268" w:rsidRDefault="00D279CA" w:rsidP="00157CDB">
      <w:pPr>
        <w:spacing w:after="0" w:line="240" w:lineRule="auto"/>
        <w:jc w:val="center"/>
        <w:rPr>
          <w:rFonts w:ascii="ITC Avant Garde" w:hAnsi="ITC Avant Garde"/>
          <w:b/>
          <w:sz w:val="20"/>
          <w:szCs w:val="20"/>
        </w:rPr>
      </w:pPr>
      <w:r w:rsidRPr="00225268">
        <w:rPr>
          <w:rFonts w:ascii="ITC Avant Garde" w:hAnsi="ITC Avant Garde"/>
          <w:b/>
          <w:sz w:val="20"/>
          <w:szCs w:val="20"/>
        </w:rPr>
        <w:t>Asignación de Canales Virtuales</w:t>
      </w:r>
    </w:p>
    <w:p w14:paraId="08FF7847" w14:textId="77777777" w:rsidR="00D279CA" w:rsidRPr="00225268" w:rsidRDefault="00D279CA" w:rsidP="00157CDB">
      <w:pPr>
        <w:spacing w:after="0" w:line="240" w:lineRule="auto"/>
        <w:jc w:val="both"/>
        <w:rPr>
          <w:rFonts w:ascii="ITC Avant Garde" w:hAnsi="ITC Avant Garde"/>
          <w:sz w:val="20"/>
          <w:szCs w:val="20"/>
        </w:rPr>
      </w:pPr>
    </w:p>
    <w:p w14:paraId="4BB5E228" w14:textId="77777777"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El Capítulo II, denominado </w:t>
      </w:r>
      <w:r w:rsidRPr="00225268">
        <w:rPr>
          <w:rFonts w:ascii="ITC Avant Garde" w:hAnsi="ITC Avant Garde"/>
          <w:b/>
          <w:sz w:val="20"/>
          <w:szCs w:val="20"/>
        </w:rPr>
        <w:t>“Asignación de Canales Virtuales”,</w:t>
      </w:r>
      <w:r w:rsidR="00CF3C3B">
        <w:rPr>
          <w:rFonts w:ascii="ITC Avant Garde" w:hAnsi="ITC Avant Garde"/>
          <w:sz w:val="20"/>
          <w:szCs w:val="20"/>
        </w:rPr>
        <w:t xml:space="preserve"> se integra por 6</w:t>
      </w:r>
      <w:r w:rsidRPr="00225268">
        <w:rPr>
          <w:rFonts w:ascii="ITC Avant Garde" w:hAnsi="ITC Avant Garde"/>
          <w:sz w:val="20"/>
          <w:szCs w:val="20"/>
        </w:rPr>
        <w:t xml:space="preserve"> artículos, mismos que establecen las reglas para la asignación y utilización de los Canales Virtuales.</w:t>
      </w:r>
    </w:p>
    <w:p w14:paraId="1BB1F25F" w14:textId="77777777" w:rsidR="00D279CA" w:rsidRPr="00225268" w:rsidRDefault="00D279CA" w:rsidP="00157CDB">
      <w:pPr>
        <w:spacing w:after="0" w:line="240" w:lineRule="auto"/>
        <w:jc w:val="both"/>
        <w:rPr>
          <w:rFonts w:ascii="ITC Avant Garde" w:hAnsi="ITC Avant Garde"/>
          <w:sz w:val="20"/>
          <w:szCs w:val="20"/>
        </w:rPr>
      </w:pPr>
    </w:p>
    <w:p w14:paraId="14ABF830" w14:textId="10CCB604"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El artículo 6 faculta a la Unidad de Medios y Contenidos Audiovisuales (UMCA) de este Instituto para asignar de oficio a todos los Concesionarios de Televisión Radiodifundida los correspondientes Canales Virtuales, a efecto de que las audiencias puedan recibir el Servicio de Televisión Radiodifundida</w:t>
      </w:r>
      <w:r w:rsidR="00AF7A03">
        <w:rPr>
          <w:rFonts w:ascii="ITC Avant Garde" w:hAnsi="ITC Avant Garde"/>
          <w:sz w:val="20"/>
          <w:szCs w:val="20"/>
        </w:rPr>
        <w:t>,</w:t>
      </w:r>
      <w:r w:rsidR="00AF7A03" w:rsidRPr="00AF7A03">
        <w:rPr>
          <w:rFonts w:ascii="ITC Avant Garde" w:hAnsi="ITC Avant Garde"/>
          <w:sz w:val="20"/>
          <w:szCs w:val="20"/>
        </w:rPr>
        <w:t xml:space="preserve"> </w:t>
      </w:r>
      <w:r w:rsidR="00785F11">
        <w:rPr>
          <w:rFonts w:ascii="ITC Avant Garde" w:hAnsi="ITC Avant Garde"/>
          <w:sz w:val="20"/>
          <w:szCs w:val="20"/>
        </w:rPr>
        <w:t xml:space="preserve">esto </w:t>
      </w:r>
      <w:r w:rsidR="00785F11" w:rsidRPr="00EA1892">
        <w:rPr>
          <w:rFonts w:ascii="ITC Avant Garde" w:hAnsi="ITC Avant Garde"/>
          <w:sz w:val="20"/>
          <w:szCs w:val="20"/>
        </w:rPr>
        <w:t>garantiza la existencia de mecanismos para que se brinde un trato equitativo y no discriminatorio a todos los concesionarios de televisión radiodifundida</w:t>
      </w:r>
      <w:r w:rsidR="00912F0B">
        <w:rPr>
          <w:rFonts w:ascii="ITC Avant Garde" w:hAnsi="ITC Avant Garde"/>
          <w:sz w:val="20"/>
          <w:szCs w:val="20"/>
        </w:rPr>
        <w:t>, aunado a la</w:t>
      </w:r>
      <w:r w:rsidR="00912F0B" w:rsidRPr="00912F0B">
        <w:rPr>
          <w:rFonts w:ascii="ITC Avant Garde" w:hAnsi="ITC Avant Garde"/>
          <w:sz w:val="20"/>
          <w:szCs w:val="20"/>
        </w:rPr>
        <w:t xml:space="preserve"> </w:t>
      </w:r>
      <w:r w:rsidR="00912F0B">
        <w:rPr>
          <w:rFonts w:ascii="ITC Avant Garde" w:hAnsi="ITC Avant Garde"/>
          <w:sz w:val="20"/>
          <w:szCs w:val="20"/>
        </w:rPr>
        <w:t xml:space="preserve">cuestión que de no ser así, como se ha mencionado, pudiera generar un uso desordenado de los </w:t>
      </w:r>
      <w:r w:rsidR="00413D80">
        <w:rPr>
          <w:rFonts w:ascii="ITC Avant Garde" w:hAnsi="ITC Avant Garde"/>
          <w:sz w:val="20"/>
          <w:szCs w:val="20"/>
        </w:rPr>
        <w:t>c</w:t>
      </w:r>
      <w:r w:rsidR="00912F0B">
        <w:rPr>
          <w:rFonts w:ascii="ITC Avant Garde" w:hAnsi="ITC Avant Garde"/>
          <w:sz w:val="20"/>
          <w:szCs w:val="20"/>
        </w:rPr>
        <w:t xml:space="preserve">anales </w:t>
      </w:r>
      <w:r w:rsidR="00413D80">
        <w:rPr>
          <w:rFonts w:ascii="ITC Avant Garde" w:hAnsi="ITC Avant Garde"/>
          <w:sz w:val="20"/>
          <w:szCs w:val="20"/>
        </w:rPr>
        <w:t>v</w:t>
      </w:r>
      <w:r w:rsidR="00912F0B">
        <w:rPr>
          <w:rFonts w:ascii="ITC Avant Garde" w:hAnsi="ITC Avant Garde"/>
          <w:sz w:val="20"/>
          <w:szCs w:val="20"/>
        </w:rPr>
        <w:t xml:space="preserve">irtuales, dando lugar </w:t>
      </w:r>
      <w:r w:rsidR="00364443">
        <w:rPr>
          <w:rFonts w:ascii="ITC Avant Garde" w:hAnsi="ITC Avant Garde"/>
          <w:sz w:val="20"/>
          <w:szCs w:val="20"/>
        </w:rPr>
        <w:t>entre otras</w:t>
      </w:r>
      <w:r w:rsidR="00B54158">
        <w:rPr>
          <w:rFonts w:ascii="ITC Avant Garde" w:hAnsi="ITC Avant Garde"/>
          <w:sz w:val="20"/>
          <w:szCs w:val="20"/>
        </w:rPr>
        <w:t xml:space="preserve"> circunstancias</w:t>
      </w:r>
      <w:r w:rsidR="00364443">
        <w:rPr>
          <w:rFonts w:ascii="ITC Avant Garde" w:hAnsi="ITC Avant Garde"/>
          <w:sz w:val="20"/>
          <w:szCs w:val="20"/>
        </w:rPr>
        <w:t xml:space="preserve">, </w:t>
      </w:r>
      <w:r w:rsidR="00912F0B">
        <w:rPr>
          <w:rFonts w:ascii="ITC Avant Garde" w:hAnsi="ITC Avant Garde"/>
          <w:sz w:val="20"/>
          <w:szCs w:val="20"/>
        </w:rPr>
        <w:t>a interferencias lógicas por el uso de un mismo canal.</w:t>
      </w:r>
    </w:p>
    <w:p w14:paraId="245CFC77" w14:textId="77777777" w:rsidR="00D279CA" w:rsidRPr="00225268" w:rsidRDefault="00D279CA" w:rsidP="00157CDB">
      <w:pPr>
        <w:spacing w:after="0" w:line="240" w:lineRule="auto"/>
        <w:jc w:val="both"/>
        <w:rPr>
          <w:rFonts w:ascii="ITC Avant Garde" w:hAnsi="ITC Avant Garde"/>
          <w:sz w:val="20"/>
          <w:szCs w:val="20"/>
        </w:rPr>
      </w:pPr>
    </w:p>
    <w:p w14:paraId="1E4E2F75" w14:textId="77777777"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Asimismo, el segundo párrafo del artículo 6 establece </w:t>
      </w:r>
      <w:r w:rsidR="00AD145A" w:rsidRPr="00225268">
        <w:rPr>
          <w:rFonts w:ascii="ITC Avant Garde" w:hAnsi="ITC Avant Garde"/>
          <w:sz w:val="20"/>
          <w:szCs w:val="20"/>
        </w:rPr>
        <w:t>el periodo específico de tiempo</w:t>
      </w:r>
      <w:r w:rsidRPr="00225268">
        <w:rPr>
          <w:rFonts w:ascii="ITC Avant Garde" w:hAnsi="ITC Avant Garde"/>
          <w:sz w:val="20"/>
          <w:szCs w:val="20"/>
        </w:rPr>
        <w:t xml:space="preserve"> en que los Concesionarios de Televisión Radiodifundida deberán comenzar a utilizar el Canal Virtual asignado </w:t>
      </w:r>
      <w:r w:rsidR="00AD145A" w:rsidRPr="00225268">
        <w:rPr>
          <w:rFonts w:ascii="ITC Avant Garde" w:hAnsi="ITC Avant Garde"/>
          <w:sz w:val="20"/>
          <w:szCs w:val="20"/>
        </w:rPr>
        <w:t>y un plazo máximo para hacerlo de manera permanente</w:t>
      </w:r>
      <w:r w:rsidRPr="00225268">
        <w:rPr>
          <w:rFonts w:ascii="ITC Avant Garde" w:hAnsi="ITC Avant Garde"/>
          <w:sz w:val="20"/>
          <w:szCs w:val="20"/>
        </w:rPr>
        <w:t>.</w:t>
      </w:r>
    </w:p>
    <w:p w14:paraId="387F6742" w14:textId="77777777" w:rsidR="00D279CA" w:rsidRPr="00225268" w:rsidRDefault="00D279CA" w:rsidP="00157CDB">
      <w:pPr>
        <w:spacing w:after="0" w:line="240" w:lineRule="auto"/>
        <w:jc w:val="both"/>
        <w:rPr>
          <w:rFonts w:ascii="ITC Avant Garde" w:hAnsi="ITC Avant Garde"/>
          <w:sz w:val="20"/>
          <w:szCs w:val="20"/>
        </w:rPr>
      </w:pPr>
    </w:p>
    <w:p w14:paraId="0AA91AF5" w14:textId="77777777"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Posteriormente, el artículo 7 establece que para definir la asignación de los Canales Virtuales, el Instituto utilizará la información programática y/o comercial con</w:t>
      </w:r>
      <w:r w:rsidR="00AD145A" w:rsidRPr="00225268">
        <w:rPr>
          <w:rFonts w:ascii="ITC Avant Garde" w:hAnsi="ITC Avant Garde"/>
          <w:sz w:val="20"/>
          <w:szCs w:val="20"/>
        </w:rPr>
        <w:t xml:space="preserve"> la que cuenta o pueda obtener. También se establece que </w:t>
      </w:r>
      <w:r w:rsidRPr="00225268">
        <w:rPr>
          <w:rFonts w:ascii="ITC Avant Garde" w:hAnsi="ITC Avant Garde"/>
          <w:sz w:val="20"/>
          <w:szCs w:val="20"/>
        </w:rPr>
        <w:t xml:space="preserve">de acuerdo con la cobertura de cada Canal de Programación, los Canales Virtuales serán nacionales, regionales o locales, siguiendo el orden indicado y tomando en cuenta para ello la Identidad del Canal de Programación. </w:t>
      </w:r>
    </w:p>
    <w:p w14:paraId="147BE387" w14:textId="77777777" w:rsidR="00D279CA" w:rsidRDefault="00D279CA" w:rsidP="00157CDB">
      <w:pPr>
        <w:spacing w:after="0" w:line="240" w:lineRule="auto"/>
        <w:jc w:val="both"/>
        <w:rPr>
          <w:rFonts w:ascii="ITC Avant Garde" w:hAnsi="ITC Avant Garde"/>
          <w:sz w:val="20"/>
          <w:szCs w:val="20"/>
        </w:rPr>
      </w:pPr>
    </w:p>
    <w:p w14:paraId="3ED9389D" w14:textId="56B826A3" w:rsidR="00AB2FF6" w:rsidRDefault="00AB2FF6" w:rsidP="00157CDB">
      <w:pPr>
        <w:spacing w:after="0" w:line="240" w:lineRule="auto"/>
        <w:jc w:val="both"/>
        <w:rPr>
          <w:rFonts w:ascii="ITC Avant Garde" w:hAnsi="ITC Avant Garde"/>
          <w:sz w:val="20"/>
          <w:szCs w:val="20"/>
        </w:rPr>
      </w:pPr>
      <w:r>
        <w:rPr>
          <w:rFonts w:ascii="ITC Avant Garde" w:hAnsi="ITC Avant Garde"/>
          <w:sz w:val="20"/>
          <w:szCs w:val="20"/>
        </w:rPr>
        <w:t xml:space="preserve">Lo </w:t>
      </w:r>
      <w:r w:rsidR="007530C6">
        <w:rPr>
          <w:rFonts w:ascii="ITC Avant Garde" w:hAnsi="ITC Avant Garde"/>
          <w:sz w:val="20"/>
          <w:szCs w:val="20"/>
        </w:rPr>
        <w:t xml:space="preserve">anterior para efectos de </w:t>
      </w:r>
      <w:r w:rsidRPr="00EA1892">
        <w:rPr>
          <w:rFonts w:ascii="ITC Avant Garde" w:hAnsi="ITC Avant Garde"/>
          <w:sz w:val="20"/>
          <w:szCs w:val="20"/>
        </w:rPr>
        <w:t>precisa</w:t>
      </w:r>
      <w:r w:rsidR="007530C6">
        <w:rPr>
          <w:rFonts w:ascii="ITC Avant Garde" w:hAnsi="ITC Avant Garde"/>
          <w:sz w:val="20"/>
          <w:szCs w:val="20"/>
        </w:rPr>
        <w:t>r</w:t>
      </w:r>
      <w:r w:rsidRPr="00EA1892">
        <w:rPr>
          <w:rFonts w:ascii="ITC Avant Garde" w:hAnsi="ITC Avant Garde"/>
          <w:sz w:val="20"/>
          <w:szCs w:val="20"/>
        </w:rPr>
        <w:t xml:space="preserve"> y da</w:t>
      </w:r>
      <w:r w:rsidR="007530C6">
        <w:rPr>
          <w:rFonts w:ascii="ITC Avant Garde" w:hAnsi="ITC Avant Garde"/>
          <w:sz w:val="20"/>
          <w:szCs w:val="20"/>
        </w:rPr>
        <w:t>r</w:t>
      </w:r>
      <w:r w:rsidRPr="00EA1892">
        <w:rPr>
          <w:rFonts w:ascii="ITC Avant Garde" w:hAnsi="ITC Avant Garde"/>
          <w:sz w:val="20"/>
          <w:szCs w:val="20"/>
        </w:rPr>
        <w:t xml:space="preserve"> certeza jurídica a los concesionarios de televisión radiodifundida sobre las condiciones integrales de funcionamiento</w:t>
      </w:r>
      <w:r>
        <w:rPr>
          <w:rFonts w:ascii="ITC Avant Garde" w:hAnsi="ITC Avant Garde"/>
          <w:sz w:val="20"/>
          <w:szCs w:val="20"/>
        </w:rPr>
        <w:t xml:space="preserve"> y</w:t>
      </w:r>
      <w:r w:rsidRPr="00EA1892">
        <w:rPr>
          <w:rFonts w:ascii="ITC Avant Garde" w:hAnsi="ITC Avant Garde"/>
          <w:sz w:val="20"/>
          <w:szCs w:val="20"/>
        </w:rPr>
        <w:t xml:space="preserve"> asignación del canal virtual con el que </w:t>
      </w:r>
      <w:r w:rsidRPr="00EA1892">
        <w:rPr>
          <w:rFonts w:ascii="ITC Avant Garde" w:eastAsia="Times New Roman" w:hAnsi="ITC Avant Garde" w:cs="Calibri"/>
          <w:color w:val="000000"/>
          <w:kern w:val="1"/>
          <w:sz w:val="20"/>
          <w:szCs w:val="20"/>
          <w:lang w:eastAsia="ar-SA"/>
        </w:rPr>
        <w:t>verán reconocida su identidad programática a nivel nacional, regional y local</w:t>
      </w:r>
      <w:r>
        <w:rPr>
          <w:rFonts w:ascii="ITC Avant Garde" w:eastAsia="Times New Roman" w:hAnsi="ITC Avant Garde" w:cs="Calibri"/>
          <w:color w:val="000000"/>
          <w:kern w:val="1"/>
          <w:sz w:val="20"/>
          <w:szCs w:val="20"/>
          <w:lang w:eastAsia="ar-SA"/>
        </w:rPr>
        <w:t>.</w:t>
      </w:r>
    </w:p>
    <w:p w14:paraId="2E5DA6E5" w14:textId="77777777" w:rsidR="00AB2FF6" w:rsidRDefault="00AB2FF6" w:rsidP="00157CDB">
      <w:pPr>
        <w:spacing w:after="0" w:line="240" w:lineRule="auto"/>
        <w:jc w:val="both"/>
        <w:rPr>
          <w:rFonts w:ascii="ITC Avant Garde" w:hAnsi="ITC Avant Garde"/>
          <w:sz w:val="20"/>
          <w:szCs w:val="20"/>
        </w:rPr>
      </w:pPr>
    </w:p>
    <w:p w14:paraId="48092F6C" w14:textId="2D506BAF" w:rsidR="00BE5B25" w:rsidRPr="00BE5B25" w:rsidRDefault="00BE5B25" w:rsidP="00BE5B25">
      <w:pPr>
        <w:spacing w:after="0" w:line="240" w:lineRule="auto"/>
        <w:jc w:val="both"/>
        <w:rPr>
          <w:rFonts w:ascii="ITC Avant Garde" w:hAnsi="ITC Avant Garde"/>
          <w:sz w:val="20"/>
          <w:szCs w:val="20"/>
        </w:rPr>
      </w:pPr>
      <w:r>
        <w:rPr>
          <w:rFonts w:ascii="ITC Avant Garde" w:hAnsi="ITC Avant Garde"/>
          <w:sz w:val="20"/>
          <w:szCs w:val="20"/>
        </w:rPr>
        <w:t>E</w:t>
      </w:r>
      <w:r w:rsidRPr="00BE5B25">
        <w:rPr>
          <w:rFonts w:ascii="ITC Avant Garde" w:hAnsi="ITC Avant Garde"/>
          <w:sz w:val="20"/>
          <w:szCs w:val="20"/>
        </w:rPr>
        <w:t xml:space="preserve">n aras de tutelar el interés general de las audiencias de radiodifusión y de los propios concesionarios de dicho sector, se </w:t>
      </w:r>
      <w:r>
        <w:rPr>
          <w:rFonts w:ascii="ITC Avant Garde" w:hAnsi="ITC Avant Garde"/>
          <w:sz w:val="20"/>
          <w:szCs w:val="20"/>
        </w:rPr>
        <w:t>pretende valorar elementos que repercuta</w:t>
      </w:r>
      <w:r w:rsidRPr="00BE5B25">
        <w:rPr>
          <w:rFonts w:ascii="ITC Avant Garde" w:hAnsi="ITC Avant Garde"/>
          <w:sz w:val="20"/>
          <w:szCs w:val="20"/>
        </w:rPr>
        <w:t xml:space="preserve">n en beneficio de ambos. </w:t>
      </w:r>
      <w:r>
        <w:rPr>
          <w:rFonts w:ascii="ITC Avant Garde" w:hAnsi="ITC Avant Garde"/>
          <w:sz w:val="20"/>
          <w:szCs w:val="20"/>
        </w:rPr>
        <w:t>Para ello,</w:t>
      </w:r>
      <w:r w:rsidRPr="00BE5B25">
        <w:rPr>
          <w:rFonts w:ascii="ITC Avant Garde" w:hAnsi="ITC Avant Garde"/>
          <w:sz w:val="20"/>
          <w:szCs w:val="20"/>
        </w:rPr>
        <w:t xml:space="preserve"> la mecánica de asignación</w:t>
      </w:r>
      <w:r>
        <w:rPr>
          <w:rFonts w:ascii="ITC Avant Garde" w:hAnsi="ITC Avant Garde"/>
          <w:sz w:val="20"/>
          <w:szCs w:val="20"/>
        </w:rPr>
        <w:t xml:space="preserve"> se enfoca en el análisis de</w:t>
      </w:r>
      <w:r w:rsidRPr="00BE5B25">
        <w:rPr>
          <w:rFonts w:ascii="ITC Avant Garde" w:hAnsi="ITC Avant Garde"/>
          <w:sz w:val="20"/>
          <w:szCs w:val="20"/>
        </w:rPr>
        <w:t xml:space="preserve"> la identidad del canal de programación, la cual se constituye entre otras características, por el nombre, logotipo y la programación, las cuales permiten su conocimiento e identificación por parte de las audiencias, lo cual permitirá también, clasificar canales de programación cuyo alcance es nacional, regional o local.</w:t>
      </w:r>
    </w:p>
    <w:p w14:paraId="236D2A29" w14:textId="77777777" w:rsidR="00BE5B25" w:rsidRPr="00BE5B25" w:rsidRDefault="00BE5B25" w:rsidP="00BE5B25">
      <w:pPr>
        <w:spacing w:after="0" w:line="240" w:lineRule="auto"/>
        <w:jc w:val="both"/>
        <w:rPr>
          <w:rFonts w:ascii="ITC Avant Garde" w:hAnsi="ITC Avant Garde"/>
          <w:sz w:val="20"/>
          <w:szCs w:val="20"/>
        </w:rPr>
      </w:pPr>
    </w:p>
    <w:p w14:paraId="5F354BEC" w14:textId="2DF73E43" w:rsidR="00BE5B25" w:rsidRDefault="00BE5B25" w:rsidP="00BE5B25">
      <w:pPr>
        <w:spacing w:after="0" w:line="240" w:lineRule="auto"/>
        <w:jc w:val="both"/>
        <w:rPr>
          <w:rFonts w:ascii="ITC Avant Garde" w:hAnsi="ITC Avant Garde"/>
          <w:sz w:val="20"/>
          <w:szCs w:val="20"/>
        </w:rPr>
      </w:pPr>
      <w:r w:rsidRPr="00BE5B25">
        <w:rPr>
          <w:rFonts w:ascii="ITC Avant Garde" w:hAnsi="ITC Avant Garde"/>
          <w:sz w:val="20"/>
          <w:szCs w:val="20"/>
        </w:rPr>
        <w:t>Con lo anterior, se garantiza un trato equitativo y no discriminatorio a todos los concesionarios de televisión radiodifundida, propiciando que a nivel nacional, regional y local sea reconocida su identidad programática con las repercusiones positivas que ello implica, así como facilitando a las audiencias la identificación de los canales virtuales que pueden sintonizar con dichos alcances geográficos, brindando claridad para la recepción de la programación de su elección independientemente de su ubicación.</w:t>
      </w:r>
    </w:p>
    <w:p w14:paraId="013FE11C" w14:textId="77777777" w:rsidR="00BE5B25" w:rsidRPr="00225268" w:rsidRDefault="00BE5B25" w:rsidP="00BE5B25">
      <w:pPr>
        <w:spacing w:after="0" w:line="240" w:lineRule="auto"/>
        <w:jc w:val="both"/>
        <w:rPr>
          <w:rFonts w:ascii="ITC Avant Garde" w:hAnsi="ITC Avant Garde"/>
          <w:sz w:val="20"/>
          <w:szCs w:val="20"/>
        </w:rPr>
      </w:pPr>
    </w:p>
    <w:p w14:paraId="6FD46032" w14:textId="77777777" w:rsidR="00D279CA" w:rsidRPr="00225268" w:rsidRDefault="00CF3C3B" w:rsidP="00157CDB">
      <w:pPr>
        <w:spacing w:after="0" w:line="240" w:lineRule="auto"/>
        <w:jc w:val="both"/>
        <w:rPr>
          <w:rFonts w:ascii="ITC Avant Garde" w:hAnsi="ITC Avant Garde"/>
          <w:sz w:val="20"/>
          <w:szCs w:val="20"/>
        </w:rPr>
      </w:pPr>
      <w:r>
        <w:rPr>
          <w:rFonts w:ascii="ITC Avant Garde" w:hAnsi="ITC Avant Garde"/>
          <w:sz w:val="20"/>
          <w:szCs w:val="20"/>
        </w:rPr>
        <w:t>Los</w:t>
      </w:r>
      <w:r w:rsidR="00D279CA" w:rsidRPr="00225268">
        <w:rPr>
          <w:rFonts w:ascii="ITC Avant Garde" w:hAnsi="ITC Avant Garde"/>
          <w:sz w:val="20"/>
          <w:szCs w:val="20"/>
        </w:rPr>
        <w:t xml:space="preserve"> artículo</w:t>
      </w:r>
      <w:r>
        <w:rPr>
          <w:rFonts w:ascii="ITC Avant Garde" w:hAnsi="ITC Avant Garde"/>
          <w:sz w:val="20"/>
          <w:szCs w:val="20"/>
        </w:rPr>
        <w:t>s</w:t>
      </w:r>
      <w:r w:rsidR="00D279CA" w:rsidRPr="00225268">
        <w:rPr>
          <w:rFonts w:ascii="ITC Avant Garde" w:hAnsi="ITC Avant Garde"/>
          <w:sz w:val="20"/>
          <w:szCs w:val="20"/>
        </w:rPr>
        <w:t xml:space="preserve"> 8</w:t>
      </w:r>
      <w:r>
        <w:rPr>
          <w:rFonts w:ascii="ITC Avant Garde" w:hAnsi="ITC Avant Garde"/>
          <w:sz w:val="20"/>
          <w:szCs w:val="20"/>
        </w:rPr>
        <w:t xml:space="preserve"> y 9</w:t>
      </w:r>
      <w:r w:rsidR="00D279CA" w:rsidRPr="00225268">
        <w:rPr>
          <w:rFonts w:ascii="ITC Avant Garde" w:hAnsi="ITC Avant Garde"/>
          <w:sz w:val="20"/>
          <w:szCs w:val="20"/>
        </w:rPr>
        <w:t xml:space="preserve"> establece</w:t>
      </w:r>
      <w:r>
        <w:rPr>
          <w:rFonts w:ascii="ITC Avant Garde" w:hAnsi="ITC Avant Garde"/>
          <w:sz w:val="20"/>
          <w:szCs w:val="20"/>
        </w:rPr>
        <w:t>n</w:t>
      </w:r>
      <w:r w:rsidR="00D279CA" w:rsidRPr="00225268">
        <w:rPr>
          <w:rFonts w:ascii="ITC Avant Garde" w:hAnsi="ITC Avant Garde"/>
          <w:sz w:val="20"/>
          <w:szCs w:val="20"/>
        </w:rPr>
        <w:t xml:space="preserve"> las acciones que deberán ejercerse una vez que culmine el proceso de asignación de Canales Virtuales</w:t>
      </w:r>
      <w:r w:rsidR="00AD145A" w:rsidRPr="00225268">
        <w:rPr>
          <w:rFonts w:ascii="ITC Avant Garde" w:hAnsi="ITC Avant Garde"/>
          <w:sz w:val="20"/>
          <w:szCs w:val="20"/>
        </w:rPr>
        <w:t>, a saber</w:t>
      </w:r>
      <w:r w:rsidR="00D279CA" w:rsidRPr="00225268">
        <w:rPr>
          <w:rFonts w:ascii="ITC Avant Garde" w:hAnsi="ITC Avant Garde"/>
          <w:sz w:val="20"/>
          <w:szCs w:val="20"/>
        </w:rPr>
        <w:t>:</w:t>
      </w:r>
    </w:p>
    <w:p w14:paraId="417B5A2C" w14:textId="77777777" w:rsidR="00D279CA" w:rsidRPr="00225268" w:rsidRDefault="00D279CA" w:rsidP="00157CDB">
      <w:pPr>
        <w:spacing w:after="0" w:line="240" w:lineRule="auto"/>
        <w:jc w:val="both"/>
        <w:rPr>
          <w:rFonts w:ascii="ITC Avant Garde" w:hAnsi="ITC Avant Garde"/>
          <w:sz w:val="20"/>
          <w:szCs w:val="20"/>
        </w:rPr>
      </w:pPr>
    </w:p>
    <w:p w14:paraId="343F1523" w14:textId="142DC56F" w:rsidR="00D279CA" w:rsidRPr="00225268" w:rsidRDefault="00D279CA" w:rsidP="00157CDB">
      <w:pPr>
        <w:pStyle w:val="Prrafodelista"/>
        <w:numPr>
          <w:ilvl w:val="0"/>
          <w:numId w:val="27"/>
        </w:numPr>
        <w:jc w:val="both"/>
        <w:rPr>
          <w:rFonts w:ascii="ITC Avant Garde" w:hAnsi="ITC Avant Garde"/>
          <w:sz w:val="20"/>
        </w:rPr>
      </w:pPr>
      <w:r w:rsidRPr="00225268">
        <w:rPr>
          <w:rFonts w:ascii="ITC Avant Garde" w:hAnsi="ITC Avant Garde"/>
          <w:sz w:val="20"/>
        </w:rPr>
        <w:t>El Instituto</w:t>
      </w:r>
      <w:r w:rsidR="00CF3C3B">
        <w:rPr>
          <w:rFonts w:ascii="ITC Avant Garde" w:hAnsi="ITC Avant Garde"/>
          <w:sz w:val="20"/>
        </w:rPr>
        <w:t xml:space="preserve"> cuando</w:t>
      </w:r>
      <w:r w:rsidRPr="00225268">
        <w:rPr>
          <w:rFonts w:ascii="ITC Avant Garde" w:hAnsi="ITC Avant Garde"/>
          <w:sz w:val="20"/>
        </w:rPr>
        <w:t xml:space="preserve"> culmine el proceso referido, publicar</w:t>
      </w:r>
      <w:r w:rsidR="00CF3C3B">
        <w:rPr>
          <w:rFonts w:ascii="ITC Avant Garde" w:hAnsi="ITC Avant Garde"/>
          <w:sz w:val="20"/>
        </w:rPr>
        <w:t>á</w:t>
      </w:r>
      <w:r w:rsidRPr="00225268">
        <w:rPr>
          <w:rFonts w:ascii="ITC Avant Garde" w:hAnsi="ITC Avant Garde"/>
          <w:sz w:val="20"/>
        </w:rPr>
        <w:t xml:space="preserve"> en su sitio electrónico el listado de los Canales Virtuales, diferenciándolos por niveles (nacional, regional y local), mismo que se actualiza</w:t>
      </w:r>
      <w:r w:rsidR="00C11902" w:rsidRPr="00225268">
        <w:rPr>
          <w:rFonts w:ascii="ITC Avant Garde" w:hAnsi="ITC Avant Garde"/>
          <w:sz w:val="20"/>
        </w:rPr>
        <w:t>rá</w:t>
      </w:r>
      <w:r w:rsidRPr="00225268">
        <w:rPr>
          <w:rFonts w:ascii="ITC Avant Garde" w:hAnsi="ITC Avant Garde"/>
          <w:sz w:val="20"/>
        </w:rPr>
        <w:t xml:space="preserve"> cada vez que se asigne, modifique o interrumpa la utilización de un Canal Virtual</w:t>
      </w:r>
      <w:r w:rsidR="007530C6">
        <w:rPr>
          <w:rFonts w:ascii="ITC Avant Garde" w:hAnsi="ITC Avant Garde"/>
          <w:sz w:val="20"/>
        </w:rPr>
        <w:t xml:space="preserve">, esto facilitará a las audiencias la identificación de los </w:t>
      </w:r>
      <w:r w:rsidR="000F5D76">
        <w:rPr>
          <w:rFonts w:ascii="ITC Avant Garde" w:hAnsi="ITC Avant Garde"/>
          <w:sz w:val="20"/>
        </w:rPr>
        <w:t>c</w:t>
      </w:r>
      <w:r w:rsidR="007530C6">
        <w:rPr>
          <w:rFonts w:ascii="ITC Avant Garde" w:hAnsi="ITC Avant Garde"/>
          <w:sz w:val="20"/>
        </w:rPr>
        <w:t xml:space="preserve">anales </w:t>
      </w:r>
      <w:r w:rsidR="000F5D76">
        <w:rPr>
          <w:rFonts w:ascii="ITC Avant Garde" w:hAnsi="ITC Avant Garde"/>
          <w:sz w:val="20"/>
        </w:rPr>
        <w:t>v</w:t>
      </w:r>
      <w:r w:rsidR="007530C6">
        <w:rPr>
          <w:rFonts w:ascii="ITC Avant Garde" w:hAnsi="ITC Avant Garde"/>
          <w:sz w:val="20"/>
        </w:rPr>
        <w:t>irtuales que pueden sintonizar</w:t>
      </w:r>
      <w:r w:rsidR="001301B4">
        <w:rPr>
          <w:rFonts w:ascii="ITC Avant Garde" w:hAnsi="ITC Avant Garde"/>
          <w:sz w:val="20"/>
        </w:rPr>
        <w:t>, esto es, brinda</w:t>
      </w:r>
      <w:r w:rsidR="007530C6">
        <w:rPr>
          <w:rFonts w:ascii="ITC Avant Garde" w:hAnsi="ITC Avant Garde"/>
          <w:sz w:val="20"/>
        </w:rPr>
        <w:t xml:space="preserve"> </w:t>
      </w:r>
      <w:r w:rsidR="001301B4" w:rsidRPr="00EA1892">
        <w:rPr>
          <w:rFonts w:ascii="ITC Avant Garde" w:hAnsi="ITC Avant Garde"/>
          <w:sz w:val="20"/>
        </w:rPr>
        <w:t>claridad para la ubicación y recepción de la programación de su elección</w:t>
      </w:r>
      <w:r w:rsidR="001301B4">
        <w:rPr>
          <w:rFonts w:ascii="ITC Avant Garde" w:hAnsi="ITC Avant Garde"/>
          <w:sz w:val="20"/>
        </w:rPr>
        <w:t xml:space="preserve"> </w:t>
      </w:r>
      <w:r w:rsidR="007530C6">
        <w:rPr>
          <w:rFonts w:ascii="ITC Avant Garde" w:hAnsi="ITC Avant Garde"/>
          <w:sz w:val="20"/>
        </w:rPr>
        <w:t xml:space="preserve">y de igual forma permitirá a los concesionarios de televisión radiodifundida </w:t>
      </w:r>
      <w:r w:rsidR="007530C6" w:rsidRPr="00225268">
        <w:rPr>
          <w:rFonts w:ascii="ITC Avant Garde" w:hAnsi="ITC Avant Garde"/>
          <w:sz w:val="20"/>
        </w:rPr>
        <w:t>solicit</w:t>
      </w:r>
      <w:r w:rsidR="007530C6">
        <w:rPr>
          <w:rFonts w:ascii="ITC Avant Garde" w:hAnsi="ITC Avant Garde"/>
          <w:sz w:val="20"/>
        </w:rPr>
        <w:t>ar</w:t>
      </w:r>
      <w:r w:rsidR="007530C6" w:rsidRPr="00225268">
        <w:rPr>
          <w:rFonts w:ascii="ITC Avant Garde" w:hAnsi="ITC Avant Garde"/>
          <w:sz w:val="20"/>
        </w:rPr>
        <w:t xml:space="preserve"> al Instituto la asignación de un Canal Virtual disponible teniendo en cuenta la lista</w:t>
      </w:r>
      <w:r w:rsidR="007530C6">
        <w:rPr>
          <w:rFonts w:ascii="ITC Avant Garde" w:hAnsi="ITC Avant Garde"/>
          <w:sz w:val="20"/>
        </w:rPr>
        <w:t>, de conformidad con lo que establece el artículo 10 de los Lineamientos</w:t>
      </w:r>
      <w:r w:rsidRPr="00225268">
        <w:rPr>
          <w:rFonts w:ascii="ITC Avant Garde" w:hAnsi="ITC Avant Garde"/>
          <w:sz w:val="20"/>
        </w:rPr>
        <w:t>.</w:t>
      </w:r>
    </w:p>
    <w:p w14:paraId="731AC0AB" w14:textId="77777777" w:rsidR="00D279CA" w:rsidRPr="00225268" w:rsidRDefault="00D279CA" w:rsidP="00157CDB">
      <w:pPr>
        <w:pStyle w:val="Prrafodelista"/>
        <w:ind w:left="720"/>
        <w:jc w:val="both"/>
        <w:rPr>
          <w:rFonts w:ascii="ITC Avant Garde" w:hAnsi="ITC Avant Garde"/>
          <w:sz w:val="20"/>
        </w:rPr>
      </w:pPr>
    </w:p>
    <w:p w14:paraId="645E61F8" w14:textId="244C6B21" w:rsidR="00D279CA" w:rsidRPr="00413D80" w:rsidRDefault="00D279CA" w:rsidP="00157CDB">
      <w:pPr>
        <w:pStyle w:val="Prrafodelista"/>
        <w:numPr>
          <w:ilvl w:val="0"/>
          <w:numId w:val="27"/>
        </w:numPr>
        <w:jc w:val="both"/>
        <w:rPr>
          <w:rFonts w:ascii="ITC Avant Garde" w:hAnsi="ITC Avant Garde"/>
          <w:sz w:val="20"/>
        </w:rPr>
      </w:pPr>
      <w:r w:rsidRPr="00413D80">
        <w:rPr>
          <w:rFonts w:ascii="ITC Avant Garde" w:hAnsi="ITC Avant Garde"/>
          <w:sz w:val="20"/>
        </w:rPr>
        <w:t>Los Concesionarios de Televisión Radiodifundida, deberán dar aviso a las audiencias a través de su programación del comienzo de la utilización del Canal Virtual</w:t>
      </w:r>
      <w:r w:rsidR="008520F0" w:rsidRPr="00413D80">
        <w:rPr>
          <w:rFonts w:ascii="ITC Avant Garde" w:hAnsi="ITC Avant Garde"/>
          <w:sz w:val="20"/>
        </w:rPr>
        <w:t>, para efectos de la tutela de los derechos de éstas</w:t>
      </w:r>
      <w:r w:rsidR="00F8762E" w:rsidRPr="00413D80">
        <w:rPr>
          <w:rFonts w:ascii="ITC Avant Garde" w:hAnsi="ITC Avant Garde"/>
          <w:sz w:val="20"/>
        </w:rPr>
        <w:t>.</w:t>
      </w:r>
    </w:p>
    <w:p w14:paraId="13E15F0F" w14:textId="77777777" w:rsidR="00D279CA" w:rsidRPr="00225268" w:rsidRDefault="00D279CA" w:rsidP="00157CDB">
      <w:pPr>
        <w:pStyle w:val="Prrafodelista"/>
        <w:rPr>
          <w:rFonts w:ascii="ITC Avant Garde" w:hAnsi="ITC Avant Garde"/>
          <w:sz w:val="20"/>
        </w:rPr>
      </w:pPr>
    </w:p>
    <w:p w14:paraId="48086E82" w14:textId="60EDED8C" w:rsidR="00D279CA" w:rsidRPr="00225268" w:rsidRDefault="00D279CA" w:rsidP="00157CDB">
      <w:pPr>
        <w:pStyle w:val="Prrafodelista"/>
        <w:numPr>
          <w:ilvl w:val="0"/>
          <w:numId w:val="27"/>
        </w:numPr>
        <w:jc w:val="both"/>
        <w:rPr>
          <w:rFonts w:ascii="ITC Avant Garde" w:hAnsi="ITC Avant Garde"/>
          <w:sz w:val="20"/>
        </w:rPr>
      </w:pPr>
      <w:r w:rsidRPr="00225268">
        <w:rPr>
          <w:rFonts w:ascii="ITC Avant Garde" w:hAnsi="ITC Avant Garde"/>
          <w:sz w:val="20"/>
        </w:rPr>
        <w:t xml:space="preserve">Por último, los Concesionarios de Televisión Radiodifundida deberán informar a la UMCA dentro del plazo de 10 días hábiles siguientes al comienzo de la utilización del Canal Virtual </w:t>
      </w:r>
      <w:r w:rsidRPr="00225268">
        <w:rPr>
          <w:rFonts w:ascii="ITC Avant Garde" w:hAnsi="ITC Avant Garde" w:cs="Arial"/>
          <w:sz w:val="20"/>
          <w:lang w:val="es-ES_tradnl"/>
        </w:rPr>
        <w:t>el modo, tiempo y lugar con que han realizado las acciones</w:t>
      </w:r>
      <w:r w:rsidR="00AD145A" w:rsidRPr="00225268">
        <w:rPr>
          <w:rFonts w:ascii="ITC Avant Garde" w:hAnsi="ITC Avant Garde" w:cs="Arial"/>
          <w:sz w:val="20"/>
          <w:lang w:val="es-ES_tradnl"/>
        </w:rPr>
        <w:t xml:space="preserve"> de difusión</w:t>
      </w:r>
      <w:r w:rsidRPr="00225268">
        <w:rPr>
          <w:rFonts w:ascii="ITC Avant Garde" w:hAnsi="ITC Avant Garde" w:cs="Arial"/>
          <w:sz w:val="20"/>
          <w:lang w:val="es-ES_tradnl"/>
        </w:rPr>
        <w:t xml:space="preserve"> </w:t>
      </w:r>
      <w:r w:rsidR="00AD145A" w:rsidRPr="00225268">
        <w:rPr>
          <w:rFonts w:ascii="ITC Avant Garde" w:hAnsi="ITC Avant Garde" w:cs="Arial"/>
          <w:sz w:val="20"/>
          <w:lang w:val="es-ES_tradnl"/>
        </w:rPr>
        <w:t>referidas en el numeral anterior</w:t>
      </w:r>
      <w:r w:rsidR="00D504B7">
        <w:rPr>
          <w:rFonts w:ascii="ITC Avant Garde" w:hAnsi="ITC Avant Garde" w:cs="Arial"/>
          <w:sz w:val="20"/>
          <w:lang w:val="es-ES_tradnl"/>
        </w:rPr>
        <w:t>, esto permitirá al Instituto, mantener la supervisión adecuada y en su caso aplicar las sanciones correspondientes</w:t>
      </w:r>
      <w:r w:rsidRPr="00225268">
        <w:rPr>
          <w:rFonts w:ascii="ITC Avant Garde" w:hAnsi="ITC Avant Garde" w:cs="Arial"/>
          <w:sz w:val="20"/>
          <w:lang w:val="es-ES_tradnl"/>
        </w:rPr>
        <w:t>.</w:t>
      </w:r>
    </w:p>
    <w:p w14:paraId="0DC50D0B" w14:textId="77777777" w:rsidR="00317329" w:rsidRPr="00225268" w:rsidRDefault="00317329" w:rsidP="00157CDB">
      <w:pPr>
        <w:spacing w:after="0" w:line="240" w:lineRule="auto"/>
        <w:jc w:val="both"/>
        <w:rPr>
          <w:rFonts w:ascii="ITC Avant Garde" w:hAnsi="ITC Avant Garde"/>
          <w:sz w:val="20"/>
          <w:szCs w:val="20"/>
        </w:rPr>
      </w:pPr>
    </w:p>
    <w:p w14:paraId="1B2129C8" w14:textId="77777777" w:rsidR="00D279CA" w:rsidRPr="00225268" w:rsidRDefault="00CF3C3B" w:rsidP="00AD145A">
      <w:pPr>
        <w:spacing w:after="0" w:line="240" w:lineRule="auto"/>
        <w:ind w:right="-7"/>
        <w:jc w:val="both"/>
        <w:rPr>
          <w:rFonts w:ascii="ITC Avant Garde" w:hAnsi="ITC Avant Garde"/>
          <w:sz w:val="20"/>
          <w:szCs w:val="20"/>
        </w:rPr>
      </w:pPr>
      <w:r w:rsidRPr="00CF3C3B">
        <w:rPr>
          <w:rFonts w:ascii="ITC Avant Garde" w:hAnsi="ITC Avant Garde"/>
          <w:sz w:val="20"/>
          <w:szCs w:val="20"/>
        </w:rPr>
        <w:t>E</w:t>
      </w:r>
      <w:r>
        <w:rPr>
          <w:rFonts w:ascii="ITC Avant Garde" w:hAnsi="ITC Avant Garde"/>
          <w:sz w:val="20"/>
          <w:szCs w:val="20"/>
        </w:rPr>
        <w:t>l artículo 10</w:t>
      </w:r>
      <w:r w:rsidR="00D279CA" w:rsidRPr="00225268">
        <w:rPr>
          <w:rFonts w:ascii="ITC Avant Garde" w:hAnsi="ITC Avant Garde"/>
          <w:sz w:val="20"/>
          <w:szCs w:val="20"/>
        </w:rPr>
        <w:t xml:space="preserve"> prevé la posibilidad de que los Concesionarios de Televisión Radiodifundida soliciten al Instituto la asignación de un Canal Virtual disponible teniendo en cuenta la lista de Canales Virtuales asignados publicada en el sitio electrónico del Instituto, cuando así convenga a sus intereses.</w:t>
      </w:r>
    </w:p>
    <w:p w14:paraId="624CAD27" w14:textId="77777777" w:rsidR="00D279CA" w:rsidRPr="00225268" w:rsidRDefault="00D279CA" w:rsidP="00157CDB">
      <w:pPr>
        <w:spacing w:after="0" w:line="240" w:lineRule="auto"/>
        <w:jc w:val="both"/>
        <w:rPr>
          <w:rFonts w:ascii="ITC Avant Garde" w:hAnsi="ITC Avant Garde"/>
          <w:sz w:val="20"/>
          <w:szCs w:val="20"/>
        </w:rPr>
      </w:pPr>
    </w:p>
    <w:p w14:paraId="329BA6A8" w14:textId="77777777"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D</w:t>
      </w:r>
      <w:r w:rsidR="00AD145A" w:rsidRPr="00225268">
        <w:rPr>
          <w:rFonts w:ascii="ITC Avant Garde" w:hAnsi="ITC Avant Garde"/>
          <w:sz w:val="20"/>
          <w:szCs w:val="20"/>
        </w:rPr>
        <w:t>e conformida</w:t>
      </w:r>
      <w:r w:rsidR="00CF3C3B">
        <w:rPr>
          <w:rFonts w:ascii="ITC Avant Garde" w:hAnsi="ITC Avant Garde"/>
          <w:sz w:val="20"/>
          <w:szCs w:val="20"/>
        </w:rPr>
        <w:t>d con el artículo 11</w:t>
      </w:r>
      <w:r w:rsidRPr="00225268">
        <w:rPr>
          <w:rFonts w:ascii="ITC Avant Garde" w:hAnsi="ITC Avant Garde"/>
          <w:sz w:val="20"/>
          <w:szCs w:val="20"/>
        </w:rPr>
        <w:t>, la UMCA analizará la solicitud presentada en un plazo máximo de 30 días hábiles contados a partir del día siguiente a aquel en que se presente la misma, y la determinación correspondiente se notificará personalmente al solicitante.</w:t>
      </w:r>
    </w:p>
    <w:p w14:paraId="18554DAE" w14:textId="77777777" w:rsidR="00D279CA" w:rsidRDefault="00D279CA" w:rsidP="00157CDB">
      <w:pPr>
        <w:spacing w:after="0" w:line="240" w:lineRule="auto"/>
        <w:ind w:right="-7"/>
        <w:jc w:val="both"/>
        <w:rPr>
          <w:rFonts w:ascii="ITC Avant Garde" w:hAnsi="ITC Avant Garde"/>
          <w:sz w:val="20"/>
          <w:szCs w:val="20"/>
        </w:rPr>
      </w:pPr>
    </w:p>
    <w:p w14:paraId="22BEFE09" w14:textId="0D3B0389" w:rsidR="00D504B7" w:rsidRDefault="00D504B7" w:rsidP="00157CDB">
      <w:pPr>
        <w:spacing w:after="0" w:line="240" w:lineRule="auto"/>
        <w:ind w:right="-7"/>
        <w:jc w:val="both"/>
        <w:rPr>
          <w:rFonts w:ascii="ITC Avant Garde" w:hAnsi="ITC Avant Garde"/>
          <w:sz w:val="20"/>
          <w:szCs w:val="20"/>
        </w:rPr>
      </w:pPr>
      <w:r>
        <w:rPr>
          <w:rFonts w:ascii="ITC Avant Garde" w:hAnsi="ITC Avant Garde"/>
          <w:sz w:val="20"/>
          <w:szCs w:val="20"/>
        </w:rPr>
        <w:t xml:space="preserve">El procedimiento anterior </w:t>
      </w:r>
      <w:r w:rsidR="00FB77AD" w:rsidRPr="00EA1892">
        <w:rPr>
          <w:rFonts w:ascii="ITC Avant Garde" w:hAnsi="ITC Avant Garde"/>
          <w:sz w:val="20"/>
          <w:szCs w:val="20"/>
        </w:rPr>
        <w:t>garantiza la existencia de mecanismos para que se brinde un trato equitativo y no discriminatorio a todos los concesionarios de televisión radiodifundida</w:t>
      </w:r>
      <w:r w:rsidR="00B4437B">
        <w:rPr>
          <w:rFonts w:ascii="ITC Avant Garde" w:hAnsi="ITC Avant Garde"/>
          <w:sz w:val="20"/>
          <w:szCs w:val="20"/>
        </w:rPr>
        <w:t>.</w:t>
      </w:r>
    </w:p>
    <w:p w14:paraId="14246182" w14:textId="77777777" w:rsidR="00D504B7" w:rsidRPr="00225268" w:rsidRDefault="00D504B7" w:rsidP="00157CDB">
      <w:pPr>
        <w:spacing w:after="0" w:line="240" w:lineRule="auto"/>
        <w:ind w:right="-7"/>
        <w:jc w:val="both"/>
        <w:rPr>
          <w:rFonts w:ascii="ITC Avant Garde" w:hAnsi="ITC Avant Garde"/>
          <w:sz w:val="20"/>
          <w:szCs w:val="20"/>
        </w:rPr>
      </w:pPr>
    </w:p>
    <w:p w14:paraId="1B91CD1A" w14:textId="77777777" w:rsidR="00D279CA" w:rsidRPr="00225268" w:rsidRDefault="00D279CA" w:rsidP="00157CDB">
      <w:pPr>
        <w:spacing w:after="0" w:line="240" w:lineRule="auto"/>
        <w:ind w:right="-7"/>
        <w:jc w:val="center"/>
        <w:rPr>
          <w:rFonts w:ascii="ITC Avant Garde" w:hAnsi="ITC Avant Garde"/>
          <w:b/>
          <w:sz w:val="20"/>
          <w:szCs w:val="20"/>
        </w:rPr>
      </w:pPr>
      <w:r w:rsidRPr="00225268">
        <w:rPr>
          <w:rFonts w:ascii="ITC Avant Garde" w:hAnsi="ITC Avant Garde"/>
          <w:b/>
          <w:sz w:val="20"/>
          <w:szCs w:val="20"/>
        </w:rPr>
        <w:t>Capítulo IV</w:t>
      </w:r>
    </w:p>
    <w:p w14:paraId="43761D76" w14:textId="77777777" w:rsidR="00D279CA" w:rsidRPr="00225268" w:rsidRDefault="00D279CA" w:rsidP="00157CDB">
      <w:pPr>
        <w:spacing w:after="0" w:line="240" w:lineRule="auto"/>
        <w:ind w:right="-7"/>
        <w:jc w:val="center"/>
        <w:rPr>
          <w:rFonts w:ascii="ITC Avant Garde" w:hAnsi="ITC Avant Garde"/>
          <w:b/>
          <w:sz w:val="20"/>
          <w:szCs w:val="20"/>
        </w:rPr>
      </w:pPr>
      <w:r w:rsidRPr="00225268">
        <w:rPr>
          <w:rFonts w:ascii="ITC Avant Garde" w:hAnsi="ITC Avant Garde"/>
          <w:b/>
          <w:sz w:val="20"/>
          <w:szCs w:val="20"/>
        </w:rPr>
        <w:t>Verificación, Supervisión y Sanciones</w:t>
      </w:r>
    </w:p>
    <w:p w14:paraId="2555087E" w14:textId="77777777" w:rsidR="00D279CA" w:rsidRPr="00225268" w:rsidRDefault="00D279CA" w:rsidP="00157CDB">
      <w:pPr>
        <w:spacing w:after="0" w:line="240" w:lineRule="auto"/>
        <w:ind w:right="-7"/>
        <w:jc w:val="center"/>
        <w:rPr>
          <w:rFonts w:ascii="ITC Avant Garde" w:hAnsi="ITC Avant Garde"/>
          <w:b/>
          <w:sz w:val="20"/>
          <w:szCs w:val="20"/>
        </w:rPr>
      </w:pPr>
    </w:p>
    <w:p w14:paraId="4A338E55" w14:textId="77777777" w:rsidR="00D279CA" w:rsidRPr="00225268" w:rsidRDefault="00225268" w:rsidP="00157CDB">
      <w:pPr>
        <w:spacing w:after="0" w:line="240" w:lineRule="auto"/>
        <w:jc w:val="both"/>
        <w:rPr>
          <w:rFonts w:ascii="ITC Avant Garde" w:hAnsi="ITC Avant Garde"/>
          <w:sz w:val="20"/>
          <w:szCs w:val="20"/>
        </w:rPr>
      </w:pPr>
      <w:r w:rsidRPr="00225268">
        <w:rPr>
          <w:rFonts w:ascii="ITC Avant Garde" w:hAnsi="ITC Avant Garde"/>
          <w:sz w:val="20"/>
          <w:szCs w:val="20"/>
        </w:rPr>
        <w:t>El Capítulo IV</w:t>
      </w:r>
      <w:r w:rsidR="00D279CA" w:rsidRPr="00225268">
        <w:rPr>
          <w:rFonts w:ascii="ITC Avant Garde" w:hAnsi="ITC Avant Garde"/>
          <w:sz w:val="20"/>
          <w:szCs w:val="20"/>
        </w:rPr>
        <w:t xml:space="preserve"> denominado “</w:t>
      </w:r>
      <w:r w:rsidR="00D279CA" w:rsidRPr="00225268">
        <w:rPr>
          <w:rFonts w:ascii="ITC Avant Garde" w:hAnsi="ITC Avant Garde"/>
          <w:b/>
          <w:sz w:val="20"/>
          <w:szCs w:val="20"/>
        </w:rPr>
        <w:t>Verificación, Supervisión y Sanciones”</w:t>
      </w:r>
      <w:r w:rsidR="00C04801" w:rsidRPr="00225268">
        <w:rPr>
          <w:rFonts w:ascii="ITC Avant Garde" w:hAnsi="ITC Avant Garde"/>
          <w:sz w:val="20"/>
          <w:szCs w:val="20"/>
        </w:rPr>
        <w:t>, se integra por 2 artículos de los cuales se desprende que el Instituto, e</w:t>
      </w:r>
      <w:r w:rsidR="00D279CA" w:rsidRPr="00225268">
        <w:rPr>
          <w:rFonts w:ascii="ITC Avant Garde" w:hAnsi="ITC Avant Garde"/>
          <w:sz w:val="20"/>
          <w:szCs w:val="20"/>
        </w:rPr>
        <w:t>n ejercicio de las atribuciones conferidas por el artículo 15, fracciones XXVII y XXX de la LFT</w:t>
      </w:r>
      <w:r w:rsidR="00F02201" w:rsidRPr="00225268">
        <w:rPr>
          <w:rFonts w:ascii="ITC Avant Garde" w:hAnsi="ITC Avant Garde"/>
          <w:sz w:val="20"/>
          <w:szCs w:val="20"/>
        </w:rPr>
        <w:t>R</w:t>
      </w:r>
      <w:r w:rsidR="00C04801" w:rsidRPr="00225268">
        <w:rPr>
          <w:rFonts w:ascii="ITC Avant Garde" w:hAnsi="ITC Avant Garde"/>
          <w:sz w:val="20"/>
          <w:szCs w:val="20"/>
        </w:rPr>
        <w:t>,</w:t>
      </w:r>
      <w:r w:rsidR="00D279CA" w:rsidRPr="00225268">
        <w:rPr>
          <w:rFonts w:ascii="ITC Avant Garde" w:hAnsi="ITC Avant Garde"/>
          <w:sz w:val="20"/>
          <w:szCs w:val="20"/>
        </w:rPr>
        <w:t xml:space="preserve"> podrá llevar a cabo </w:t>
      </w:r>
      <w:r w:rsidR="00C04801" w:rsidRPr="00225268">
        <w:rPr>
          <w:rFonts w:ascii="ITC Avant Garde" w:hAnsi="ITC Avant Garde"/>
          <w:sz w:val="20"/>
          <w:szCs w:val="20"/>
        </w:rPr>
        <w:t>los procedimientos de</w:t>
      </w:r>
      <w:r w:rsidR="00D279CA" w:rsidRPr="00225268">
        <w:rPr>
          <w:rFonts w:ascii="ITC Avant Garde" w:hAnsi="ITC Avant Garde"/>
          <w:sz w:val="20"/>
          <w:szCs w:val="20"/>
        </w:rPr>
        <w:t xml:space="preserve"> verificaci</w:t>
      </w:r>
      <w:r w:rsidR="0012676D" w:rsidRPr="00225268">
        <w:rPr>
          <w:rFonts w:ascii="ITC Avant Garde" w:hAnsi="ITC Avant Garde"/>
          <w:sz w:val="20"/>
          <w:szCs w:val="20"/>
        </w:rPr>
        <w:t xml:space="preserve">ón </w:t>
      </w:r>
      <w:r w:rsidR="00D279CA" w:rsidRPr="00225268">
        <w:rPr>
          <w:rFonts w:ascii="ITC Avant Garde" w:hAnsi="ITC Avant Garde"/>
          <w:sz w:val="20"/>
          <w:szCs w:val="20"/>
        </w:rPr>
        <w:t>correspondientes y emitir las sanciones a que haya lugar.</w:t>
      </w:r>
    </w:p>
    <w:p w14:paraId="36E83470" w14:textId="77777777" w:rsidR="00D279CA" w:rsidRPr="00225268" w:rsidRDefault="00D279CA" w:rsidP="00157CDB">
      <w:pPr>
        <w:spacing w:after="0" w:line="240" w:lineRule="auto"/>
        <w:jc w:val="both"/>
        <w:rPr>
          <w:rFonts w:ascii="ITC Avant Garde" w:hAnsi="ITC Avant Garde"/>
          <w:sz w:val="20"/>
          <w:szCs w:val="20"/>
        </w:rPr>
      </w:pPr>
    </w:p>
    <w:p w14:paraId="05307333" w14:textId="77777777" w:rsidR="00D279CA" w:rsidRPr="00225268" w:rsidRDefault="00CF3C3B" w:rsidP="00157CDB">
      <w:pPr>
        <w:spacing w:after="0" w:line="240" w:lineRule="auto"/>
        <w:jc w:val="both"/>
        <w:rPr>
          <w:rFonts w:ascii="ITC Avant Garde" w:hAnsi="ITC Avant Garde"/>
          <w:sz w:val="20"/>
          <w:szCs w:val="20"/>
        </w:rPr>
      </w:pPr>
      <w:r>
        <w:rPr>
          <w:rFonts w:ascii="ITC Avant Garde" w:hAnsi="ITC Avant Garde"/>
          <w:sz w:val="20"/>
          <w:szCs w:val="20"/>
        </w:rPr>
        <w:t>El artículo 12</w:t>
      </w:r>
      <w:r w:rsidR="00D279CA" w:rsidRPr="00225268">
        <w:rPr>
          <w:rFonts w:ascii="ITC Avant Garde" w:hAnsi="ITC Avant Garde"/>
          <w:sz w:val="20"/>
          <w:szCs w:val="20"/>
        </w:rPr>
        <w:t xml:space="preserve"> establece que en materia de Canales Virtuales el Instituto podrá verificar y supervisar en cualquier momento el cumplimiento de las obligaciones por parte de los Concesionarios de Televisión Radiodifundida.</w:t>
      </w:r>
    </w:p>
    <w:p w14:paraId="73864CCC" w14:textId="77777777" w:rsidR="007A37EB" w:rsidRDefault="007A37EB" w:rsidP="00B74D37">
      <w:pPr>
        <w:spacing w:after="0" w:line="240" w:lineRule="auto"/>
        <w:jc w:val="both"/>
        <w:rPr>
          <w:rFonts w:ascii="ITC Avant Garde" w:hAnsi="ITC Avant Garde"/>
          <w:sz w:val="20"/>
          <w:szCs w:val="20"/>
        </w:rPr>
      </w:pPr>
    </w:p>
    <w:p w14:paraId="282C45EE" w14:textId="7B9E62B4" w:rsidR="007A37EB" w:rsidRPr="00663D46" w:rsidRDefault="007A37EB" w:rsidP="00B74D37">
      <w:pPr>
        <w:spacing w:after="0" w:line="240" w:lineRule="auto"/>
        <w:jc w:val="both"/>
        <w:rPr>
          <w:rFonts w:ascii="ITC Avant Garde" w:hAnsi="ITC Avant Garde"/>
          <w:sz w:val="20"/>
          <w:szCs w:val="20"/>
        </w:rPr>
      </w:pPr>
      <w:r w:rsidRPr="00663D46">
        <w:rPr>
          <w:rFonts w:ascii="ITC Avant Garde" w:hAnsi="ITC Avant Garde"/>
          <w:sz w:val="20"/>
          <w:szCs w:val="20"/>
        </w:rPr>
        <w:t xml:space="preserve">Para asegurar el cumplimiento de las medidas propuestas se </w:t>
      </w:r>
      <w:r>
        <w:rPr>
          <w:rFonts w:ascii="ITC Avant Garde" w:hAnsi="ITC Avant Garde"/>
          <w:sz w:val="20"/>
          <w:szCs w:val="20"/>
        </w:rPr>
        <w:t>podrán implementar acciones que impliquen revisiones de gabinete, visitas de inspección y/o monitoreo de contenidos audiovisuales.</w:t>
      </w:r>
    </w:p>
    <w:p w14:paraId="45837A40" w14:textId="77777777" w:rsidR="007A37EB" w:rsidRPr="00663D46" w:rsidRDefault="007A37EB" w:rsidP="00B74D37">
      <w:pPr>
        <w:spacing w:after="0" w:line="240" w:lineRule="auto"/>
        <w:jc w:val="both"/>
        <w:rPr>
          <w:rFonts w:ascii="ITC Avant Garde" w:hAnsi="ITC Avant Garde"/>
          <w:sz w:val="20"/>
          <w:szCs w:val="20"/>
        </w:rPr>
      </w:pPr>
    </w:p>
    <w:p w14:paraId="2EC01C15" w14:textId="5FF5CB54" w:rsidR="00D279CA" w:rsidRPr="00225268" w:rsidRDefault="007A37EB" w:rsidP="007A37EB">
      <w:pPr>
        <w:spacing w:after="0" w:line="240" w:lineRule="auto"/>
        <w:jc w:val="both"/>
        <w:rPr>
          <w:rFonts w:ascii="ITC Avant Garde" w:hAnsi="ITC Avant Garde"/>
          <w:sz w:val="20"/>
          <w:szCs w:val="20"/>
        </w:rPr>
      </w:pPr>
      <w:r>
        <w:rPr>
          <w:rFonts w:ascii="ITC Avant Garde" w:hAnsi="ITC Avant Garde"/>
          <w:sz w:val="20"/>
          <w:szCs w:val="20"/>
        </w:rPr>
        <w:t xml:space="preserve">La LFTR </w:t>
      </w:r>
      <w:r w:rsidRPr="00663D46">
        <w:rPr>
          <w:rFonts w:ascii="ITC Avant Garde" w:hAnsi="ITC Avant Garde"/>
          <w:sz w:val="20"/>
          <w:szCs w:val="20"/>
        </w:rPr>
        <w:t>faculta a</w:t>
      </w:r>
      <w:r>
        <w:rPr>
          <w:rFonts w:ascii="ITC Avant Garde" w:hAnsi="ITC Avant Garde"/>
          <w:sz w:val="20"/>
          <w:szCs w:val="20"/>
        </w:rPr>
        <w:t xml:space="preserve">l </w:t>
      </w:r>
      <w:r w:rsidRPr="00663D46">
        <w:rPr>
          <w:rFonts w:ascii="ITC Avant Garde" w:hAnsi="ITC Avant Garde"/>
          <w:sz w:val="20"/>
          <w:szCs w:val="20"/>
        </w:rPr>
        <w:t xml:space="preserve">Instituto en </w:t>
      </w:r>
      <w:r>
        <w:rPr>
          <w:rFonts w:ascii="ITC Avant Garde" w:hAnsi="ITC Avant Garde"/>
          <w:sz w:val="20"/>
          <w:szCs w:val="20"/>
        </w:rPr>
        <w:t>su</w:t>
      </w:r>
      <w:r w:rsidRPr="00663D46">
        <w:rPr>
          <w:rFonts w:ascii="ITC Avant Garde" w:hAnsi="ITC Avant Garde"/>
          <w:sz w:val="20"/>
          <w:szCs w:val="20"/>
        </w:rPr>
        <w:t xml:space="preserve"> artículo 15, fracciones XXVII y XXX para llevar a cabo las verificaciones correspondientes y emitir las sanciones a que haya lugar</w:t>
      </w:r>
    </w:p>
    <w:p w14:paraId="2FBA4E13" w14:textId="77777777" w:rsidR="00D36512" w:rsidRDefault="00D36512" w:rsidP="00157CDB">
      <w:pPr>
        <w:spacing w:after="0" w:line="240" w:lineRule="auto"/>
        <w:jc w:val="both"/>
        <w:rPr>
          <w:rFonts w:ascii="ITC Avant Garde" w:hAnsi="ITC Avant Garde"/>
          <w:sz w:val="20"/>
          <w:szCs w:val="20"/>
        </w:rPr>
      </w:pPr>
    </w:p>
    <w:p w14:paraId="1B022015" w14:textId="77777777" w:rsidR="00B2469F"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En este orden de ideas, si derivado del procedimiento de verificación y supervisión pudiera advertirse la existencia de </w:t>
      </w:r>
      <w:r w:rsidR="00AD145A" w:rsidRPr="00225268">
        <w:rPr>
          <w:rFonts w:ascii="ITC Avant Garde" w:hAnsi="ITC Avant Garde"/>
          <w:sz w:val="20"/>
          <w:szCs w:val="20"/>
        </w:rPr>
        <w:t>alguna violación, el</w:t>
      </w:r>
      <w:r w:rsidR="00CF3C3B">
        <w:rPr>
          <w:rFonts w:ascii="ITC Avant Garde" w:hAnsi="ITC Avant Garde"/>
          <w:sz w:val="20"/>
          <w:szCs w:val="20"/>
        </w:rPr>
        <w:t xml:space="preserve"> artículo 13</w:t>
      </w:r>
      <w:r w:rsidRPr="00225268">
        <w:rPr>
          <w:rFonts w:ascii="ITC Avant Garde" w:hAnsi="ITC Avant Garde"/>
          <w:sz w:val="20"/>
          <w:szCs w:val="20"/>
        </w:rPr>
        <w:t xml:space="preserve"> refiere que el Instituto podría imponer sanciones en términos del artículo 298, inciso B), fracción IV de </w:t>
      </w:r>
      <w:r w:rsidR="00A432DA" w:rsidRPr="00225268">
        <w:rPr>
          <w:rFonts w:ascii="ITC Avant Garde" w:hAnsi="ITC Avant Garde"/>
          <w:sz w:val="20"/>
          <w:szCs w:val="20"/>
        </w:rPr>
        <w:t>la LFTR</w:t>
      </w:r>
      <w:r w:rsidR="00225268" w:rsidRPr="00225268">
        <w:rPr>
          <w:rFonts w:ascii="ITC Avant Garde" w:hAnsi="ITC Avant Garde"/>
          <w:sz w:val="20"/>
          <w:szCs w:val="20"/>
        </w:rPr>
        <w:t>.</w:t>
      </w:r>
    </w:p>
    <w:p w14:paraId="3B957FEC" w14:textId="77777777" w:rsidR="00B2469F" w:rsidRDefault="00B2469F" w:rsidP="00157CDB">
      <w:pPr>
        <w:spacing w:after="0" w:line="240" w:lineRule="auto"/>
        <w:jc w:val="both"/>
        <w:rPr>
          <w:rFonts w:ascii="ITC Avant Garde" w:hAnsi="ITC Avant Garde" w:cs="Arial"/>
          <w:bCs/>
          <w:sz w:val="20"/>
          <w:szCs w:val="20"/>
        </w:rPr>
      </w:pPr>
    </w:p>
    <w:p w14:paraId="27301E8F" w14:textId="7ADCB616" w:rsidR="00F70753" w:rsidRPr="00225268" w:rsidRDefault="00F70753" w:rsidP="00157CDB">
      <w:pPr>
        <w:spacing w:after="0" w:line="240" w:lineRule="auto"/>
        <w:jc w:val="both"/>
        <w:rPr>
          <w:rFonts w:ascii="ITC Avant Garde" w:hAnsi="ITC Avant Garde" w:cs="Arial"/>
          <w:bCs/>
          <w:sz w:val="20"/>
          <w:szCs w:val="20"/>
        </w:rPr>
      </w:pPr>
      <w:r>
        <w:rPr>
          <w:rFonts w:ascii="ITC Avant Garde" w:hAnsi="ITC Avant Garde" w:cs="Arial"/>
          <w:bCs/>
          <w:sz w:val="20"/>
          <w:szCs w:val="20"/>
        </w:rPr>
        <w:t>Lo anterior en estricto cumplimiento al</w:t>
      </w:r>
      <w:r w:rsidRPr="00663D46">
        <w:rPr>
          <w:rFonts w:ascii="ITC Avant Garde" w:hAnsi="ITC Avant Garde"/>
          <w:sz w:val="20"/>
          <w:szCs w:val="20"/>
        </w:rPr>
        <w:t xml:space="preserve"> ejercicio de</w:t>
      </w:r>
      <w:r>
        <w:rPr>
          <w:rFonts w:ascii="ITC Avant Garde" w:hAnsi="ITC Avant Garde"/>
          <w:sz w:val="20"/>
          <w:szCs w:val="20"/>
        </w:rPr>
        <w:t>l Instituto de sus</w:t>
      </w:r>
      <w:r w:rsidRPr="00663D46">
        <w:rPr>
          <w:rFonts w:ascii="ITC Avant Garde" w:hAnsi="ITC Avant Garde"/>
          <w:sz w:val="20"/>
          <w:szCs w:val="20"/>
        </w:rPr>
        <w:t xml:space="preserve"> atribuciones de verificación y supervisión</w:t>
      </w:r>
      <w:r w:rsidR="00486C5B">
        <w:rPr>
          <w:rFonts w:ascii="ITC Avant Garde" w:hAnsi="ITC Avant Garde"/>
          <w:sz w:val="20"/>
          <w:szCs w:val="20"/>
        </w:rPr>
        <w:t xml:space="preserve"> e imposición de las sanciones correspondientes</w:t>
      </w:r>
      <w:r>
        <w:rPr>
          <w:rFonts w:ascii="ITC Avant Garde" w:hAnsi="ITC Avant Garde"/>
          <w:sz w:val="20"/>
          <w:szCs w:val="20"/>
        </w:rPr>
        <w:t>.</w:t>
      </w:r>
    </w:p>
    <w:p w14:paraId="06DE8064" w14:textId="77777777" w:rsidR="00F70753" w:rsidRDefault="00F70753" w:rsidP="00157CDB">
      <w:pPr>
        <w:autoSpaceDE w:val="0"/>
        <w:autoSpaceDN w:val="0"/>
        <w:adjustRightInd w:val="0"/>
        <w:spacing w:after="0" w:line="240" w:lineRule="auto"/>
        <w:jc w:val="center"/>
        <w:rPr>
          <w:rFonts w:ascii="ITC Avant Garde" w:hAnsi="ITC Avant Garde"/>
          <w:b/>
          <w:sz w:val="20"/>
          <w:szCs w:val="20"/>
        </w:rPr>
      </w:pPr>
    </w:p>
    <w:p w14:paraId="715966B6" w14:textId="77777777" w:rsidR="00D279CA" w:rsidRPr="00225268" w:rsidRDefault="00D279CA" w:rsidP="00157CDB">
      <w:pPr>
        <w:autoSpaceDE w:val="0"/>
        <w:autoSpaceDN w:val="0"/>
        <w:adjustRightInd w:val="0"/>
        <w:spacing w:after="0" w:line="240" w:lineRule="auto"/>
        <w:jc w:val="center"/>
        <w:rPr>
          <w:rFonts w:ascii="ITC Avant Garde" w:hAnsi="ITC Avant Garde"/>
          <w:b/>
          <w:sz w:val="20"/>
          <w:szCs w:val="20"/>
        </w:rPr>
      </w:pPr>
      <w:r w:rsidRPr="00225268">
        <w:rPr>
          <w:rFonts w:ascii="ITC Avant Garde" w:hAnsi="ITC Avant Garde"/>
          <w:b/>
          <w:sz w:val="20"/>
          <w:szCs w:val="20"/>
        </w:rPr>
        <w:t>TRANSITORIOS</w:t>
      </w:r>
    </w:p>
    <w:p w14:paraId="0DC63620" w14:textId="77777777" w:rsidR="00D279CA" w:rsidRPr="00225268" w:rsidRDefault="00D279CA" w:rsidP="00157CDB">
      <w:pPr>
        <w:spacing w:after="0" w:line="240" w:lineRule="auto"/>
        <w:jc w:val="both"/>
        <w:rPr>
          <w:rFonts w:ascii="ITC Avant Garde" w:hAnsi="ITC Avant Garde"/>
          <w:sz w:val="20"/>
          <w:szCs w:val="20"/>
        </w:rPr>
      </w:pPr>
    </w:p>
    <w:p w14:paraId="08173395" w14:textId="7BE5D380" w:rsidR="00D279CA" w:rsidRPr="00225268" w:rsidRDefault="00D279CA" w:rsidP="00157CDB">
      <w:pPr>
        <w:spacing w:after="0" w:line="240" w:lineRule="auto"/>
        <w:jc w:val="both"/>
        <w:rPr>
          <w:rFonts w:ascii="ITC Avant Garde" w:hAnsi="ITC Avant Garde"/>
          <w:sz w:val="20"/>
          <w:szCs w:val="20"/>
        </w:rPr>
      </w:pPr>
      <w:r w:rsidRPr="00225268">
        <w:rPr>
          <w:rFonts w:ascii="ITC Avant Garde" w:hAnsi="ITC Avant Garde"/>
          <w:sz w:val="20"/>
          <w:szCs w:val="20"/>
        </w:rPr>
        <w:t xml:space="preserve">En último lugar, en los Lineamientos se observa una sección transitoria compuesta por </w:t>
      </w:r>
      <w:r w:rsidR="00225268" w:rsidRPr="00225268">
        <w:rPr>
          <w:rFonts w:ascii="ITC Avant Garde" w:hAnsi="ITC Avant Garde"/>
          <w:sz w:val="20"/>
          <w:szCs w:val="20"/>
        </w:rPr>
        <w:t>5</w:t>
      </w:r>
      <w:r w:rsidRPr="00225268">
        <w:rPr>
          <w:rFonts w:ascii="ITC Avant Garde" w:hAnsi="ITC Avant Garde"/>
          <w:sz w:val="20"/>
          <w:szCs w:val="20"/>
        </w:rPr>
        <w:t xml:space="preserve"> artículos en los que se fija, entre otras cuestiones, la fecha de entrada en vigor de los Lineamientos y lo </w:t>
      </w:r>
      <w:r w:rsidR="006856FD" w:rsidRPr="00225268">
        <w:rPr>
          <w:rFonts w:ascii="ITC Avant Garde" w:hAnsi="ITC Avant Garde"/>
          <w:sz w:val="20"/>
          <w:szCs w:val="20"/>
        </w:rPr>
        <w:t xml:space="preserve">referente </w:t>
      </w:r>
      <w:r w:rsidRPr="00225268">
        <w:rPr>
          <w:rFonts w:ascii="ITC Avant Garde" w:hAnsi="ITC Avant Garde"/>
          <w:sz w:val="20"/>
          <w:szCs w:val="20"/>
        </w:rPr>
        <w:t>a su aplicación, como lo es el plazo y el procedimiento de asignación de Canales Virtuales por parte del Instituto, el momento en que los Concesionarios de Televisión Radiodifundida deberán usar los Canales Virtuales asignados</w:t>
      </w:r>
      <w:r w:rsidR="006C28C2">
        <w:rPr>
          <w:rFonts w:ascii="ITC Avant Garde" w:hAnsi="ITC Avant Garde"/>
          <w:sz w:val="20"/>
          <w:szCs w:val="20"/>
        </w:rPr>
        <w:t xml:space="preserve">, lo cual como se ha mencionado </w:t>
      </w:r>
      <w:r w:rsidR="006C28C2" w:rsidRPr="00EA1892">
        <w:rPr>
          <w:rFonts w:ascii="ITC Avant Garde" w:hAnsi="ITC Avant Garde"/>
          <w:sz w:val="20"/>
          <w:szCs w:val="20"/>
        </w:rPr>
        <w:t xml:space="preserve">precisa y da certeza jurídica a </w:t>
      </w:r>
      <w:r w:rsidR="006C28C2">
        <w:rPr>
          <w:rFonts w:ascii="ITC Avant Garde" w:hAnsi="ITC Avant Garde"/>
          <w:sz w:val="20"/>
          <w:szCs w:val="20"/>
        </w:rPr>
        <w:t>estos</w:t>
      </w:r>
      <w:r w:rsidR="006C28C2" w:rsidRPr="00EA1892">
        <w:rPr>
          <w:rFonts w:ascii="ITC Avant Garde" w:hAnsi="ITC Avant Garde"/>
          <w:sz w:val="20"/>
          <w:szCs w:val="20"/>
        </w:rPr>
        <w:t xml:space="preserve"> sobre las condiciones integrales de funcionamiento, asignación y vigencia del uso del canal virtual con el que </w:t>
      </w:r>
      <w:r w:rsidR="006C28C2" w:rsidRPr="00EA1892">
        <w:rPr>
          <w:rFonts w:ascii="ITC Avant Garde" w:eastAsia="Times New Roman" w:hAnsi="ITC Avant Garde" w:cs="Calibri"/>
          <w:color w:val="000000"/>
          <w:kern w:val="1"/>
          <w:sz w:val="20"/>
          <w:szCs w:val="20"/>
          <w:lang w:eastAsia="ar-SA"/>
        </w:rPr>
        <w:t>verán reconocida su identidad programática a nivel nacional, regional y local</w:t>
      </w:r>
      <w:r w:rsidRPr="00225268">
        <w:rPr>
          <w:rFonts w:ascii="ITC Avant Garde" w:hAnsi="ITC Avant Garde"/>
          <w:sz w:val="20"/>
          <w:szCs w:val="20"/>
        </w:rPr>
        <w:t>.</w:t>
      </w:r>
    </w:p>
    <w:p w14:paraId="7D229951" w14:textId="77777777" w:rsidR="004464E8" w:rsidRPr="00225268" w:rsidRDefault="004464E8" w:rsidP="00157CDB">
      <w:pPr>
        <w:suppressAutoHyphens/>
        <w:spacing w:after="0" w:line="240" w:lineRule="auto"/>
        <w:ind w:right="-62"/>
        <w:jc w:val="both"/>
        <w:rPr>
          <w:rFonts w:ascii="ITC Avant Garde" w:hAnsi="ITC Avant Garde"/>
          <w:sz w:val="20"/>
          <w:szCs w:val="20"/>
        </w:rPr>
      </w:pPr>
    </w:p>
    <w:p w14:paraId="3360AF7D" w14:textId="77777777" w:rsidR="004F17CA" w:rsidRPr="00225268" w:rsidRDefault="00844996" w:rsidP="00157CDB">
      <w:pPr>
        <w:suppressAutoHyphens/>
        <w:spacing w:after="0" w:line="240" w:lineRule="auto"/>
        <w:ind w:right="-62"/>
        <w:jc w:val="both"/>
        <w:rPr>
          <w:rFonts w:ascii="ITC Avant Garde" w:eastAsia="Times New Roman" w:hAnsi="ITC Avant Garde"/>
          <w:b/>
          <w:kern w:val="1"/>
          <w:sz w:val="20"/>
          <w:szCs w:val="20"/>
          <w:lang w:val="es-ES" w:eastAsia="ar-SA"/>
        </w:rPr>
      </w:pPr>
      <w:r w:rsidRPr="00225268">
        <w:rPr>
          <w:rFonts w:ascii="ITC Avant Garde" w:eastAsia="Times New Roman" w:hAnsi="ITC Avant Garde"/>
          <w:kern w:val="2"/>
          <w:sz w:val="20"/>
          <w:szCs w:val="20"/>
          <w:lang w:val="es-ES" w:eastAsia="ar-SA"/>
        </w:rPr>
        <w:t xml:space="preserve">Por lo anterior, </w:t>
      </w:r>
      <w:r w:rsidR="00A05A15" w:rsidRPr="00225268">
        <w:rPr>
          <w:rFonts w:ascii="ITC Avant Garde" w:hAnsi="ITC Avant Garde"/>
          <w:sz w:val="20"/>
          <w:szCs w:val="20"/>
        </w:rPr>
        <w:t xml:space="preserve">con fundamento en los artículos </w:t>
      </w:r>
      <w:r w:rsidR="00742D5F" w:rsidRPr="00225268">
        <w:rPr>
          <w:rFonts w:ascii="ITC Avant Garde" w:hAnsi="ITC Avant Garde"/>
          <w:sz w:val="20"/>
          <w:szCs w:val="20"/>
        </w:rPr>
        <w:t>6o. y 28, párrafos décimo quinto y décimo sexto, de la Constitución Política de los Estado Unidos Mexicanos, 1, 2, 7, 15, fracción I, 17, fracción I y 51 de la Ley Federal de Telecomunicaciones y Radiodifusión, 1, 4, fracción I y 6, fracciones I y XXXVII, del Estatuto Orgánico</w:t>
      </w:r>
      <w:r w:rsidR="004F17CA" w:rsidRPr="00225268">
        <w:rPr>
          <w:rFonts w:ascii="ITC Avant Garde" w:hAnsi="ITC Avant Garde"/>
          <w:sz w:val="20"/>
          <w:szCs w:val="20"/>
        </w:rPr>
        <w:t xml:space="preserve"> del Instituto Federal de Telecomunicaciones, el </w:t>
      </w:r>
      <w:r w:rsidR="00CC426D" w:rsidRPr="00225268">
        <w:rPr>
          <w:rFonts w:ascii="ITC Avant Garde" w:hAnsi="ITC Avant Garde"/>
          <w:sz w:val="20"/>
          <w:szCs w:val="20"/>
        </w:rPr>
        <w:t>Pleno del Instituto</w:t>
      </w:r>
      <w:r w:rsidR="00742D5F" w:rsidRPr="00225268">
        <w:rPr>
          <w:rFonts w:ascii="ITC Avant Garde" w:hAnsi="ITC Avant Garde"/>
          <w:sz w:val="20"/>
          <w:szCs w:val="20"/>
        </w:rPr>
        <w:t xml:space="preserve"> Federal de Telecomunicaciones </w:t>
      </w:r>
      <w:r w:rsidR="00CC426D" w:rsidRPr="00225268">
        <w:rPr>
          <w:rFonts w:ascii="ITC Avant Garde" w:hAnsi="ITC Avant Garde"/>
          <w:sz w:val="20"/>
          <w:szCs w:val="20"/>
        </w:rPr>
        <w:t>emite los siguientes:</w:t>
      </w:r>
    </w:p>
    <w:p w14:paraId="1F391A04" w14:textId="77777777" w:rsidR="00B13BB8" w:rsidRPr="00225268" w:rsidRDefault="00B13BB8" w:rsidP="00157CDB">
      <w:pPr>
        <w:suppressAutoHyphens/>
        <w:spacing w:after="0" w:line="240" w:lineRule="auto"/>
        <w:ind w:right="-62"/>
        <w:jc w:val="center"/>
        <w:rPr>
          <w:rFonts w:ascii="ITC Avant Garde" w:eastAsia="Times New Roman" w:hAnsi="ITC Avant Garde"/>
          <w:b/>
          <w:kern w:val="1"/>
          <w:sz w:val="20"/>
          <w:szCs w:val="20"/>
          <w:lang w:val="es-ES" w:eastAsia="ar-SA"/>
        </w:rPr>
      </w:pPr>
    </w:p>
    <w:p w14:paraId="6CA7C97E" w14:textId="77777777" w:rsidR="00844996" w:rsidRPr="00225268" w:rsidRDefault="00844996" w:rsidP="00157CDB">
      <w:pPr>
        <w:suppressAutoHyphens/>
        <w:spacing w:after="0" w:line="240" w:lineRule="auto"/>
        <w:ind w:right="-62"/>
        <w:jc w:val="center"/>
        <w:rPr>
          <w:rFonts w:ascii="ITC Avant Garde" w:eastAsia="Times New Roman" w:hAnsi="ITC Avant Garde"/>
          <w:b/>
          <w:kern w:val="1"/>
          <w:sz w:val="20"/>
          <w:szCs w:val="20"/>
          <w:lang w:val="es-ES" w:eastAsia="ar-SA"/>
        </w:rPr>
      </w:pPr>
      <w:r w:rsidRPr="00225268">
        <w:rPr>
          <w:rFonts w:ascii="ITC Avant Garde" w:eastAsia="Times New Roman" w:hAnsi="ITC Avant Garde"/>
          <w:b/>
          <w:kern w:val="1"/>
          <w:sz w:val="20"/>
          <w:szCs w:val="20"/>
          <w:lang w:val="es-ES" w:eastAsia="ar-SA"/>
        </w:rPr>
        <w:t>ACUERDO</w:t>
      </w:r>
      <w:r w:rsidR="00FB61DF" w:rsidRPr="00225268">
        <w:rPr>
          <w:rFonts w:ascii="ITC Avant Garde" w:eastAsia="Times New Roman" w:hAnsi="ITC Avant Garde"/>
          <w:b/>
          <w:kern w:val="1"/>
          <w:sz w:val="20"/>
          <w:szCs w:val="20"/>
          <w:lang w:val="es-ES" w:eastAsia="ar-SA"/>
        </w:rPr>
        <w:t>S</w:t>
      </w:r>
    </w:p>
    <w:p w14:paraId="7BE9CFE5" w14:textId="77777777" w:rsidR="00844996" w:rsidRPr="00225268" w:rsidRDefault="00844996" w:rsidP="00157CDB">
      <w:pPr>
        <w:suppressAutoHyphens/>
        <w:spacing w:after="0" w:line="240" w:lineRule="auto"/>
        <w:ind w:right="-62"/>
        <w:jc w:val="center"/>
        <w:rPr>
          <w:rFonts w:ascii="ITC Avant Garde" w:eastAsia="Times New Roman" w:hAnsi="ITC Avant Garde"/>
          <w:b/>
          <w:kern w:val="1"/>
          <w:sz w:val="20"/>
          <w:szCs w:val="20"/>
          <w:lang w:val="es-ES" w:eastAsia="ar-SA"/>
        </w:rPr>
      </w:pPr>
    </w:p>
    <w:p w14:paraId="53D97E66" w14:textId="77777777" w:rsidR="00844996" w:rsidRPr="00225268" w:rsidRDefault="00844996" w:rsidP="00157CDB">
      <w:pPr>
        <w:pStyle w:val="Default"/>
        <w:jc w:val="both"/>
        <w:rPr>
          <w:rFonts w:ascii="ITC Avant Garde" w:hAnsi="ITC Avant Garde"/>
          <w:kern w:val="2"/>
          <w:sz w:val="20"/>
          <w:szCs w:val="20"/>
          <w:lang w:val="es-ES" w:eastAsia="ar-SA"/>
        </w:rPr>
      </w:pPr>
      <w:r w:rsidRPr="00225268">
        <w:rPr>
          <w:rFonts w:ascii="ITC Avant Garde" w:eastAsia="Times New Roman" w:hAnsi="ITC Avant Garde"/>
          <w:b/>
          <w:kern w:val="1"/>
          <w:sz w:val="20"/>
          <w:szCs w:val="20"/>
          <w:lang w:val="es-ES" w:eastAsia="ar-SA"/>
        </w:rPr>
        <w:t>PRIMERO</w:t>
      </w:r>
      <w:r w:rsidR="00F12768" w:rsidRPr="00225268">
        <w:rPr>
          <w:rFonts w:ascii="ITC Avant Garde" w:eastAsia="Times New Roman" w:hAnsi="ITC Avant Garde"/>
          <w:kern w:val="1"/>
          <w:sz w:val="20"/>
          <w:szCs w:val="20"/>
          <w:lang w:val="es-ES" w:eastAsia="ar-SA"/>
        </w:rPr>
        <w:t xml:space="preserve">. </w:t>
      </w:r>
      <w:r w:rsidRPr="00225268">
        <w:rPr>
          <w:rFonts w:ascii="ITC Avant Garde" w:eastAsia="Times New Roman" w:hAnsi="ITC Avant Garde" w:cs="Times New Roman"/>
          <w:color w:val="auto"/>
          <w:kern w:val="2"/>
          <w:sz w:val="20"/>
          <w:szCs w:val="20"/>
          <w:lang w:val="es-ES" w:eastAsia="ar-SA"/>
        </w:rPr>
        <w:t>Se</w:t>
      </w:r>
      <w:r w:rsidRPr="00225268">
        <w:rPr>
          <w:rFonts w:ascii="ITC Avant Garde" w:eastAsia="Times New Roman" w:hAnsi="ITC Avant Garde" w:cs="Times New Roman"/>
          <w:b/>
          <w:color w:val="auto"/>
          <w:kern w:val="2"/>
          <w:sz w:val="20"/>
          <w:szCs w:val="20"/>
          <w:lang w:val="es-ES" w:eastAsia="ar-SA"/>
        </w:rPr>
        <w:t xml:space="preserve"> </w:t>
      </w:r>
      <w:r w:rsidR="00966699" w:rsidRPr="00225268">
        <w:rPr>
          <w:rFonts w:ascii="ITC Avant Garde" w:eastAsia="Times New Roman" w:hAnsi="ITC Avant Garde" w:cs="Times New Roman"/>
          <w:color w:val="auto"/>
          <w:kern w:val="2"/>
          <w:sz w:val="20"/>
          <w:szCs w:val="20"/>
          <w:lang w:val="es-ES" w:eastAsia="ar-SA"/>
        </w:rPr>
        <w:t>aprueban y emiten</w:t>
      </w:r>
      <w:r w:rsidRPr="00225268">
        <w:rPr>
          <w:rFonts w:ascii="ITC Avant Garde" w:eastAsia="Times New Roman" w:hAnsi="ITC Avant Garde" w:cs="Times New Roman"/>
          <w:b/>
          <w:color w:val="auto"/>
          <w:kern w:val="2"/>
          <w:sz w:val="20"/>
          <w:szCs w:val="20"/>
          <w:lang w:val="es-ES" w:eastAsia="ar-SA"/>
        </w:rPr>
        <w:t xml:space="preserve"> </w:t>
      </w:r>
      <w:r w:rsidRPr="00225268">
        <w:rPr>
          <w:rFonts w:ascii="ITC Avant Garde" w:eastAsia="Times New Roman" w:hAnsi="ITC Avant Garde" w:cs="Times New Roman"/>
          <w:color w:val="auto"/>
          <w:kern w:val="2"/>
          <w:sz w:val="20"/>
          <w:szCs w:val="20"/>
          <w:lang w:val="es-ES" w:eastAsia="ar-SA"/>
        </w:rPr>
        <w:t xml:space="preserve">los </w:t>
      </w:r>
      <w:r w:rsidR="00DF0B6A" w:rsidRPr="00225268">
        <w:rPr>
          <w:rFonts w:ascii="ITC Avant Garde" w:eastAsia="Times New Roman" w:hAnsi="ITC Avant Garde" w:cs="Times New Roman"/>
          <w:color w:val="auto"/>
          <w:kern w:val="2"/>
          <w:sz w:val="20"/>
          <w:szCs w:val="20"/>
          <w:lang w:eastAsia="ar-SA"/>
        </w:rPr>
        <w:t>Lineamientos Generales para la Asignación de Canales Virtuales de Televisión Radiodifundida</w:t>
      </w:r>
      <w:r w:rsidRPr="00225268">
        <w:rPr>
          <w:rFonts w:ascii="ITC Avant Garde" w:hAnsi="ITC Avant Garde"/>
          <w:kern w:val="2"/>
          <w:sz w:val="20"/>
          <w:szCs w:val="20"/>
          <w:lang w:val="es-ES" w:eastAsia="ar-SA"/>
        </w:rPr>
        <w:t xml:space="preserve">, al tenor de lo expuesto en </w:t>
      </w:r>
      <w:r w:rsidR="006F5085" w:rsidRPr="00225268">
        <w:rPr>
          <w:rFonts w:ascii="ITC Avant Garde" w:hAnsi="ITC Avant Garde"/>
          <w:kern w:val="2"/>
          <w:sz w:val="20"/>
          <w:szCs w:val="20"/>
          <w:lang w:val="es-ES" w:eastAsia="ar-SA"/>
        </w:rPr>
        <w:t>los considerandos</w:t>
      </w:r>
      <w:r w:rsidRPr="00225268">
        <w:rPr>
          <w:rFonts w:ascii="ITC Avant Garde" w:hAnsi="ITC Avant Garde"/>
          <w:kern w:val="2"/>
          <w:sz w:val="20"/>
          <w:szCs w:val="20"/>
          <w:lang w:val="es-ES" w:eastAsia="ar-SA"/>
        </w:rPr>
        <w:t xml:space="preserve"> del presente Acuerdo.</w:t>
      </w:r>
    </w:p>
    <w:p w14:paraId="59D2F2C8" w14:textId="77777777" w:rsidR="00844996" w:rsidRPr="00225268" w:rsidRDefault="00844996" w:rsidP="00157CDB">
      <w:pPr>
        <w:pStyle w:val="Default"/>
        <w:jc w:val="both"/>
        <w:rPr>
          <w:rFonts w:ascii="ITC Avant Garde" w:hAnsi="ITC Avant Garde"/>
          <w:kern w:val="2"/>
          <w:sz w:val="20"/>
          <w:szCs w:val="20"/>
          <w:lang w:val="es-ES" w:eastAsia="ar-SA"/>
        </w:rPr>
      </w:pPr>
    </w:p>
    <w:p w14:paraId="0CB8D9CC" w14:textId="5B9300A2" w:rsidR="00844996" w:rsidRPr="00225268" w:rsidRDefault="00844996" w:rsidP="00157CDB">
      <w:pPr>
        <w:pStyle w:val="Default"/>
        <w:jc w:val="both"/>
        <w:rPr>
          <w:rFonts w:ascii="ITC Avant Garde" w:eastAsia="Times New Roman" w:hAnsi="ITC Avant Garde" w:cs="Times New Roman"/>
          <w:color w:val="auto"/>
          <w:kern w:val="2"/>
          <w:sz w:val="20"/>
          <w:szCs w:val="20"/>
          <w:lang w:val="es-ES" w:eastAsia="ar-SA"/>
        </w:rPr>
      </w:pPr>
      <w:r w:rsidRPr="00225268">
        <w:rPr>
          <w:rFonts w:ascii="ITC Avant Garde" w:eastAsia="Times New Roman" w:hAnsi="ITC Avant Garde" w:cs="Times New Roman"/>
          <w:b/>
          <w:color w:val="auto"/>
          <w:kern w:val="2"/>
          <w:sz w:val="20"/>
          <w:szCs w:val="20"/>
          <w:lang w:val="es-ES" w:eastAsia="ar-SA"/>
        </w:rPr>
        <w:t>SEGUNDO</w:t>
      </w:r>
      <w:r w:rsidR="00F12768" w:rsidRPr="00225268">
        <w:rPr>
          <w:rFonts w:ascii="ITC Avant Garde" w:eastAsia="Times New Roman" w:hAnsi="ITC Avant Garde" w:cs="Times New Roman"/>
          <w:color w:val="auto"/>
          <w:kern w:val="2"/>
          <w:sz w:val="20"/>
          <w:szCs w:val="20"/>
          <w:lang w:val="es-ES" w:eastAsia="ar-SA"/>
        </w:rPr>
        <w:t xml:space="preserve">. </w:t>
      </w:r>
      <w:r w:rsidRPr="00225268">
        <w:rPr>
          <w:rFonts w:ascii="ITC Avant Garde" w:eastAsia="Times New Roman" w:hAnsi="ITC Avant Garde" w:cs="Times New Roman"/>
          <w:color w:val="auto"/>
          <w:kern w:val="2"/>
          <w:sz w:val="20"/>
          <w:szCs w:val="20"/>
          <w:lang w:val="es-ES" w:eastAsia="ar-SA"/>
        </w:rPr>
        <w:t>Publíque</w:t>
      </w:r>
      <w:r w:rsidR="00F12768" w:rsidRPr="00225268">
        <w:rPr>
          <w:rFonts w:ascii="ITC Avant Garde" w:eastAsia="Times New Roman" w:hAnsi="ITC Avant Garde" w:cs="Times New Roman"/>
          <w:color w:val="auto"/>
          <w:kern w:val="2"/>
          <w:sz w:val="20"/>
          <w:szCs w:val="20"/>
          <w:lang w:val="es-ES" w:eastAsia="ar-SA"/>
        </w:rPr>
        <w:t>n</w:t>
      </w:r>
      <w:r w:rsidRPr="00225268">
        <w:rPr>
          <w:rFonts w:ascii="ITC Avant Garde" w:eastAsia="Times New Roman" w:hAnsi="ITC Avant Garde" w:cs="Times New Roman"/>
          <w:color w:val="auto"/>
          <w:kern w:val="2"/>
          <w:sz w:val="20"/>
          <w:szCs w:val="20"/>
          <w:lang w:val="es-ES" w:eastAsia="ar-SA"/>
        </w:rPr>
        <w:t xml:space="preserve">se </w:t>
      </w:r>
      <w:r w:rsidR="00F12768" w:rsidRPr="00225268">
        <w:rPr>
          <w:rFonts w:ascii="ITC Avant Garde" w:eastAsia="Times New Roman" w:hAnsi="ITC Avant Garde" w:cs="Times New Roman"/>
          <w:color w:val="auto"/>
          <w:kern w:val="2"/>
          <w:sz w:val="20"/>
          <w:szCs w:val="20"/>
          <w:lang w:val="es-ES" w:eastAsia="ar-SA"/>
        </w:rPr>
        <w:t xml:space="preserve">los </w:t>
      </w:r>
      <w:r w:rsidR="00DF0B6A" w:rsidRPr="00225268">
        <w:rPr>
          <w:rFonts w:ascii="ITC Avant Garde" w:eastAsia="Times New Roman" w:hAnsi="ITC Avant Garde" w:cs="Times New Roman"/>
          <w:color w:val="auto"/>
          <w:kern w:val="2"/>
          <w:sz w:val="20"/>
          <w:szCs w:val="20"/>
          <w:lang w:eastAsia="ar-SA"/>
        </w:rPr>
        <w:t>Lineamientos Generales para la Asignación de Canales Virtuales de Televisión Radiodifundida</w:t>
      </w:r>
      <w:r w:rsidR="00F12768" w:rsidRPr="00225268">
        <w:rPr>
          <w:rFonts w:ascii="ITC Avant Garde" w:eastAsia="Times New Roman" w:hAnsi="ITC Avant Garde" w:cs="Times New Roman"/>
          <w:color w:val="auto"/>
          <w:kern w:val="2"/>
          <w:sz w:val="20"/>
          <w:szCs w:val="20"/>
          <w:lang w:val="es-ES" w:eastAsia="ar-SA"/>
        </w:rPr>
        <w:t xml:space="preserve"> y </w:t>
      </w:r>
      <w:r w:rsidRPr="00225268">
        <w:rPr>
          <w:rFonts w:ascii="ITC Avant Garde" w:eastAsia="Times New Roman" w:hAnsi="ITC Avant Garde" w:cs="Times New Roman"/>
          <w:color w:val="auto"/>
          <w:kern w:val="2"/>
          <w:sz w:val="20"/>
          <w:szCs w:val="20"/>
          <w:lang w:val="es-ES" w:eastAsia="ar-SA"/>
        </w:rPr>
        <w:t xml:space="preserve">el presente Acuerdo en </w:t>
      </w:r>
      <w:r w:rsidR="00CC426D" w:rsidRPr="00225268">
        <w:rPr>
          <w:rFonts w:ascii="ITC Avant Garde" w:eastAsia="Times New Roman" w:hAnsi="ITC Avant Garde" w:cs="Times New Roman"/>
          <w:color w:val="auto"/>
          <w:kern w:val="2"/>
          <w:sz w:val="20"/>
          <w:szCs w:val="20"/>
          <w:lang w:val="es-ES" w:eastAsia="ar-SA"/>
        </w:rPr>
        <w:t>el portal</w:t>
      </w:r>
      <w:r w:rsidR="00144F9C">
        <w:rPr>
          <w:rFonts w:ascii="ITC Avant Garde" w:eastAsia="Times New Roman" w:hAnsi="ITC Avant Garde" w:cs="Times New Roman"/>
          <w:color w:val="auto"/>
          <w:kern w:val="2"/>
          <w:sz w:val="20"/>
          <w:szCs w:val="20"/>
          <w:lang w:val="es-ES" w:eastAsia="ar-SA"/>
        </w:rPr>
        <w:t xml:space="preserve"> de I</w:t>
      </w:r>
      <w:r w:rsidRPr="00225268">
        <w:rPr>
          <w:rFonts w:ascii="ITC Avant Garde" w:eastAsia="Times New Roman" w:hAnsi="ITC Avant Garde" w:cs="Times New Roman"/>
          <w:color w:val="auto"/>
          <w:kern w:val="2"/>
          <w:sz w:val="20"/>
          <w:szCs w:val="20"/>
          <w:lang w:val="es-ES" w:eastAsia="ar-SA"/>
        </w:rPr>
        <w:t>nternet del Instituto y en el Diario Oficial de la Federación.</w:t>
      </w:r>
    </w:p>
    <w:p w14:paraId="2A88133E" w14:textId="77777777" w:rsidR="00F12768" w:rsidRPr="00225268" w:rsidRDefault="00F12768" w:rsidP="00157CDB">
      <w:pPr>
        <w:pStyle w:val="Default"/>
        <w:jc w:val="both"/>
        <w:rPr>
          <w:rFonts w:ascii="ITC Avant Garde" w:eastAsia="Times New Roman" w:hAnsi="ITC Avant Garde" w:cs="Times New Roman"/>
          <w:color w:val="auto"/>
          <w:kern w:val="2"/>
          <w:sz w:val="20"/>
          <w:szCs w:val="20"/>
          <w:lang w:val="es-ES" w:eastAsia="ar-SA"/>
        </w:rPr>
      </w:pPr>
    </w:p>
    <w:p w14:paraId="41570AD7" w14:textId="68A68E45" w:rsidR="00F12768" w:rsidRPr="00225268" w:rsidRDefault="00F12768" w:rsidP="00157CDB">
      <w:pPr>
        <w:pStyle w:val="Default"/>
        <w:jc w:val="both"/>
        <w:rPr>
          <w:rFonts w:ascii="ITC Avant Garde" w:eastAsia="Times New Roman" w:hAnsi="ITC Avant Garde" w:cs="Times New Roman"/>
          <w:color w:val="auto"/>
          <w:kern w:val="2"/>
          <w:sz w:val="20"/>
          <w:szCs w:val="20"/>
          <w:lang w:val="es-ES" w:eastAsia="ar-SA"/>
        </w:rPr>
      </w:pPr>
      <w:r w:rsidRPr="00225268">
        <w:rPr>
          <w:rFonts w:ascii="ITC Avant Garde" w:eastAsia="Times New Roman" w:hAnsi="ITC Avant Garde" w:cs="Times New Roman"/>
          <w:b/>
          <w:color w:val="auto"/>
          <w:kern w:val="2"/>
          <w:sz w:val="20"/>
          <w:szCs w:val="20"/>
          <w:lang w:val="es-ES" w:eastAsia="ar-SA"/>
        </w:rPr>
        <w:t xml:space="preserve">TERCERO. </w:t>
      </w:r>
      <w:r w:rsidRPr="00225268">
        <w:rPr>
          <w:rFonts w:ascii="ITC Avant Garde" w:eastAsia="Times New Roman" w:hAnsi="ITC Avant Garde" w:cs="Times New Roman"/>
          <w:color w:val="auto"/>
          <w:kern w:val="2"/>
          <w:sz w:val="20"/>
          <w:szCs w:val="20"/>
          <w:lang w:val="es-ES" w:eastAsia="ar-SA"/>
        </w:rPr>
        <w:t>Publíquese el documento de respuestas</w:t>
      </w:r>
      <w:r w:rsidR="00D23671" w:rsidRPr="00225268">
        <w:rPr>
          <w:rFonts w:ascii="ITC Avant Garde" w:eastAsia="Times New Roman" w:hAnsi="ITC Avant Garde" w:cs="Times New Roman"/>
          <w:color w:val="auto"/>
          <w:kern w:val="2"/>
          <w:sz w:val="20"/>
          <w:szCs w:val="20"/>
          <w:lang w:val="es-ES" w:eastAsia="ar-SA"/>
        </w:rPr>
        <w:t xml:space="preserve"> </w:t>
      </w:r>
      <w:r w:rsidRPr="00225268">
        <w:rPr>
          <w:rFonts w:ascii="ITC Avant Garde" w:eastAsia="Times New Roman" w:hAnsi="ITC Avant Garde" w:cs="Times New Roman"/>
          <w:color w:val="auto"/>
          <w:kern w:val="2"/>
          <w:sz w:val="20"/>
          <w:szCs w:val="20"/>
          <w:lang w:val="es-ES" w:eastAsia="ar-SA"/>
        </w:rPr>
        <w:t xml:space="preserve">a los </w:t>
      </w:r>
      <w:r w:rsidR="00970B5D" w:rsidRPr="00225268">
        <w:rPr>
          <w:rFonts w:ascii="ITC Avant Garde" w:hAnsi="ITC Avant Garde"/>
          <w:bCs/>
          <w:sz w:val="20"/>
          <w:szCs w:val="20"/>
          <w:lang w:val="es-ES_tradnl"/>
        </w:rPr>
        <w:t>comentarios, observaciones, propuestas y/o adiciones</w:t>
      </w:r>
      <w:r w:rsidR="00970B5D" w:rsidRPr="00225268">
        <w:rPr>
          <w:rFonts w:ascii="ITC Avant Garde" w:hAnsi="ITC Avant Garde"/>
          <w:kern w:val="2"/>
          <w:sz w:val="20"/>
          <w:szCs w:val="20"/>
          <w:lang w:val="es-ES" w:eastAsia="ar-SA"/>
        </w:rPr>
        <w:t xml:space="preserve"> </w:t>
      </w:r>
      <w:r w:rsidR="00302DA1" w:rsidRPr="00225268">
        <w:rPr>
          <w:rFonts w:ascii="ITC Avant Garde" w:eastAsia="Times New Roman" w:hAnsi="ITC Avant Garde" w:cs="Times New Roman"/>
          <w:color w:val="auto"/>
          <w:kern w:val="2"/>
          <w:sz w:val="20"/>
          <w:szCs w:val="20"/>
          <w:lang w:val="es-ES" w:eastAsia="ar-SA"/>
        </w:rPr>
        <w:t>recibido</w:t>
      </w:r>
      <w:r w:rsidRPr="00225268">
        <w:rPr>
          <w:rFonts w:ascii="ITC Avant Garde" w:eastAsia="Times New Roman" w:hAnsi="ITC Avant Garde" w:cs="Times New Roman"/>
          <w:color w:val="auto"/>
          <w:kern w:val="2"/>
          <w:sz w:val="20"/>
          <w:szCs w:val="20"/>
          <w:lang w:val="es-ES" w:eastAsia="ar-SA"/>
        </w:rPr>
        <w:t xml:space="preserve">s durante la Consulta Pública en el </w:t>
      </w:r>
      <w:r w:rsidR="00144F9C">
        <w:rPr>
          <w:rFonts w:ascii="ITC Avant Garde" w:eastAsia="Times New Roman" w:hAnsi="ITC Avant Garde" w:cs="Times New Roman"/>
          <w:color w:val="auto"/>
          <w:kern w:val="2"/>
          <w:sz w:val="20"/>
          <w:szCs w:val="20"/>
          <w:lang w:val="es-ES" w:eastAsia="ar-SA"/>
        </w:rPr>
        <w:t>portal de I</w:t>
      </w:r>
      <w:r w:rsidRPr="00225268">
        <w:rPr>
          <w:rFonts w:ascii="ITC Avant Garde" w:eastAsia="Times New Roman" w:hAnsi="ITC Avant Garde" w:cs="Times New Roman"/>
          <w:color w:val="auto"/>
          <w:kern w:val="2"/>
          <w:sz w:val="20"/>
          <w:szCs w:val="20"/>
          <w:lang w:val="es-ES" w:eastAsia="ar-SA"/>
        </w:rPr>
        <w:t>nternet del Instituto.</w:t>
      </w:r>
    </w:p>
    <w:p w14:paraId="4347A15D" w14:textId="77777777" w:rsidR="000735A0" w:rsidRPr="00225268" w:rsidRDefault="000735A0" w:rsidP="00157CDB">
      <w:pPr>
        <w:spacing w:after="0" w:line="240" w:lineRule="auto"/>
        <w:ind w:right="-661"/>
        <w:jc w:val="center"/>
        <w:rPr>
          <w:rFonts w:ascii="ITC Avant Garde" w:hAnsi="ITC Avant Garde" w:cs="Arial"/>
          <w:b/>
          <w:bCs/>
          <w:sz w:val="20"/>
          <w:szCs w:val="20"/>
        </w:rPr>
      </w:pPr>
    </w:p>
    <w:p w14:paraId="2E063CA9" w14:textId="77777777" w:rsidR="00C04801" w:rsidRPr="00225268" w:rsidRDefault="00C04801" w:rsidP="00157CDB">
      <w:pPr>
        <w:spacing w:after="0" w:line="240" w:lineRule="auto"/>
        <w:ind w:right="-661"/>
        <w:jc w:val="center"/>
        <w:rPr>
          <w:rFonts w:ascii="ITC Avant Garde" w:hAnsi="ITC Avant Garde" w:cs="Arial"/>
          <w:b/>
          <w:bCs/>
          <w:sz w:val="20"/>
          <w:szCs w:val="20"/>
        </w:rPr>
      </w:pPr>
    </w:p>
    <w:p w14:paraId="4051EAFF" w14:textId="77777777" w:rsidR="00C04801" w:rsidRPr="00225268" w:rsidRDefault="00C04801" w:rsidP="00157CDB">
      <w:pPr>
        <w:spacing w:after="0" w:line="240" w:lineRule="auto"/>
        <w:ind w:right="-661"/>
        <w:jc w:val="center"/>
        <w:rPr>
          <w:rFonts w:ascii="ITC Avant Garde" w:hAnsi="ITC Avant Garde" w:cs="Arial"/>
          <w:b/>
          <w:bCs/>
          <w:sz w:val="20"/>
          <w:szCs w:val="20"/>
        </w:rPr>
      </w:pPr>
    </w:p>
    <w:p w14:paraId="21B11D0B" w14:textId="77777777" w:rsidR="00844996" w:rsidRPr="00225268" w:rsidRDefault="00844996"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Gabriel Oswaldo Contreras Saldívar</w:t>
      </w:r>
    </w:p>
    <w:p w14:paraId="22B3F1C2" w14:textId="77777777" w:rsidR="00844996" w:rsidRPr="00225268" w:rsidRDefault="00844996"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Presidente</w:t>
      </w:r>
    </w:p>
    <w:p w14:paraId="6C4E733E" w14:textId="77777777" w:rsidR="00844996" w:rsidRPr="00225268" w:rsidRDefault="00844996" w:rsidP="00157CDB">
      <w:pPr>
        <w:spacing w:after="0" w:line="240" w:lineRule="auto"/>
        <w:ind w:right="-661"/>
        <w:jc w:val="center"/>
        <w:rPr>
          <w:rFonts w:ascii="ITC Avant Garde" w:hAnsi="ITC Avant Garde" w:cs="Arial"/>
          <w:b/>
          <w:bCs/>
          <w:sz w:val="20"/>
          <w:szCs w:val="20"/>
        </w:rPr>
      </w:pPr>
    </w:p>
    <w:p w14:paraId="18A81493"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032A1968"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011D61A2"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5F3735D4"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6418FCC5" w14:textId="77777777" w:rsidR="00225268" w:rsidRPr="00225268" w:rsidRDefault="00225268" w:rsidP="00157CDB">
      <w:pPr>
        <w:spacing w:after="0" w:line="240" w:lineRule="auto"/>
        <w:ind w:right="-661"/>
        <w:jc w:val="center"/>
        <w:rPr>
          <w:rFonts w:ascii="ITC Avant Garde" w:hAnsi="ITC Avant Garde" w:cs="Arial"/>
          <w:b/>
          <w:bCs/>
          <w:sz w:val="20"/>
          <w:szCs w:val="20"/>
        </w:rPr>
      </w:pPr>
    </w:p>
    <w:tbl>
      <w:tblPr>
        <w:tblW w:w="4993" w:type="pct"/>
        <w:tblCellMar>
          <w:left w:w="70" w:type="dxa"/>
          <w:right w:w="70" w:type="dxa"/>
        </w:tblCellMar>
        <w:tblLook w:val="04A0" w:firstRow="1" w:lastRow="0" w:firstColumn="1" w:lastColumn="0" w:noHBand="0" w:noVBand="1"/>
      </w:tblPr>
      <w:tblGrid>
        <w:gridCol w:w="4063"/>
        <w:gridCol w:w="319"/>
        <w:gridCol w:w="5009"/>
      </w:tblGrid>
      <w:tr w:rsidR="00844996" w:rsidRPr="00225268" w14:paraId="75A6AC64" w14:textId="77777777" w:rsidTr="00E9209C">
        <w:trPr>
          <w:trHeight w:val="1653"/>
        </w:trPr>
        <w:tc>
          <w:tcPr>
            <w:tcW w:w="2163" w:type="pct"/>
            <w:hideMark/>
          </w:tcPr>
          <w:p w14:paraId="2DA5FAD8" w14:textId="77777777" w:rsidR="00767621"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Ernesto Estrada González</w:t>
            </w:r>
          </w:p>
          <w:p w14:paraId="5394EBD0" w14:textId="77777777" w:rsidR="00767621"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Comisionado</w:t>
            </w:r>
          </w:p>
          <w:p w14:paraId="13275F02"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c>
          <w:tcPr>
            <w:tcW w:w="170" w:type="pct"/>
          </w:tcPr>
          <w:p w14:paraId="68749E66"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c>
          <w:tcPr>
            <w:tcW w:w="2667" w:type="pct"/>
          </w:tcPr>
          <w:p w14:paraId="5CEDA49E" w14:textId="77777777" w:rsidR="00767621"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 xml:space="preserve">Adriana Sofía Labardini Inzunza </w:t>
            </w:r>
          </w:p>
          <w:p w14:paraId="23D11B04" w14:textId="77777777" w:rsidR="00767621"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Comisionada</w:t>
            </w:r>
          </w:p>
          <w:p w14:paraId="28062539" w14:textId="77777777" w:rsidR="00844996" w:rsidRPr="00225268" w:rsidRDefault="00844996" w:rsidP="00157CDB">
            <w:pPr>
              <w:spacing w:after="0" w:line="240" w:lineRule="auto"/>
              <w:ind w:right="-661"/>
              <w:jc w:val="center"/>
              <w:rPr>
                <w:rFonts w:ascii="ITC Avant Garde" w:hAnsi="ITC Avant Garde" w:cs="Arial"/>
                <w:b/>
                <w:bCs/>
                <w:sz w:val="20"/>
                <w:szCs w:val="20"/>
              </w:rPr>
            </w:pPr>
          </w:p>
          <w:p w14:paraId="0ECEBB1A"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2BEC7B2F"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2A3E9065"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3D362FC2" w14:textId="77777777" w:rsidR="00844996" w:rsidRPr="00225268" w:rsidRDefault="00844996" w:rsidP="00157CDB">
            <w:pPr>
              <w:spacing w:after="0" w:line="240" w:lineRule="auto"/>
              <w:ind w:right="-661"/>
              <w:jc w:val="center"/>
              <w:rPr>
                <w:rFonts w:ascii="ITC Avant Garde" w:hAnsi="ITC Avant Garde" w:cs="Arial"/>
                <w:b/>
                <w:bCs/>
                <w:sz w:val="20"/>
                <w:szCs w:val="20"/>
              </w:rPr>
            </w:pPr>
          </w:p>
          <w:p w14:paraId="62D300BD" w14:textId="77777777" w:rsidR="00844996" w:rsidRPr="00225268" w:rsidRDefault="00844996" w:rsidP="00157CDB">
            <w:pPr>
              <w:spacing w:after="0" w:line="240" w:lineRule="auto"/>
              <w:ind w:right="-661"/>
              <w:jc w:val="center"/>
              <w:rPr>
                <w:rFonts w:ascii="ITC Avant Garde" w:hAnsi="ITC Avant Garde" w:cs="Arial"/>
                <w:b/>
                <w:bCs/>
                <w:sz w:val="20"/>
                <w:szCs w:val="20"/>
              </w:rPr>
            </w:pPr>
          </w:p>
          <w:p w14:paraId="53D035A4"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r>
      <w:tr w:rsidR="00844996" w:rsidRPr="00225268" w14:paraId="580AE85B" w14:textId="77777777" w:rsidTr="00E9209C">
        <w:trPr>
          <w:trHeight w:val="1425"/>
        </w:trPr>
        <w:tc>
          <w:tcPr>
            <w:tcW w:w="2163" w:type="pct"/>
          </w:tcPr>
          <w:p w14:paraId="1630740A" w14:textId="77777777" w:rsidR="00767621"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María Elena Estavillo Flores</w:t>
            </w:r>
          </w:p>
          <w:p w14:paraId="5BE052E9" w14:textId="77777777" w:rsidR="00844996"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Comisionada</w:t>
            </w:r>
          </w:p>
        </w:tc>
        <w:tc>
          <w:tcPr>
            <w:tcW w:w="170" w:type="pct"/>
          </w:tcPr>
          <w:p w14:paraId="47D9A616"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c>
          <w:tcPr>
            <w:tcW w:w="2667" w:type="pct"/>
          </w:tcPr>
          <w:p w14:paraId="03C573FC" w14:textId="77777777" w:rsidR="00767621"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 xml:space="preserve">Mario Germán Fromow Rangel </w:t>
            </w:r>
          </w:p>
          <w:p w14:paraId="48FF43CB" w14:textId="77777777" w:rsidR="00844996" w:rsidRPr="00225268" w:rsidRDefault="00767621" w:rsidP="00157CDB">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Comisionado</w:t>
            </w:r>
          </w:p>
          <w:p w14:paraId="03D893E6" w14:textId="77777777" w:rsidR="00844996" w:rsidRPr="00225268" w:rsidRDefault="00844996" w:rsidP="00157CDB">
            <w:pPr>
              <w:spacing w:after="0" w:line="240" w:lineRule="auto"/>
              <w:ind w:right="-661"/>
              <w:jc w:val="center"/>
              <w:rPr>
                <w:rFonts w:ascii="ITC Avant Garde" w:hAnsi="ITC Avant Garde" w:cs="Arial"/>
                <w:b/>
                <w:bCs/>
                <w:sz w:val="20"/>
                <w:szCs w:val="20"/>
              </w:rPr>
            </w:pPr>
          </w:p>
          <w:p w14:paraId="26AE872B" w14:textId="77777777" w:rsidR="00225268" w:rsidRPr="00225268" w:rsidRDefault="00225268" w:rsidP="00157CDB">
            <w:pPr>
              <w:spacing w:after="0" w:line="240" w:lineRule="auto"/>
              <w:ind w:right="-661"/>
              <w:jc w:val="center"/>
              <w:rPr>
                <w:rFonts w:ascii="ITC Avant Garde" w:hAnsi="ITC Avant Garde" w:cs="Arial"/>
                <w:b/>
                <w:bCs/>
                <w:sz w:val="20"/>
                <w:szCs w:val="20"/>
              </w:rPr>
            </w:pPr>
          </w:p>
          <w:p w14:paraId="10844155" w14:textId="77777777" w:rsidR="00844996" w:rsidRPr="00225268" w:rsidRDefault="00844996" w:rsidP="00157CDB">
            <w:pPr>
              <w:spacing w:after="0" w:line="240" w:lineRule="auto"/>
              <w:ind w:right="-661"/>
              <w:jc w:val="center"/>
              <w:rPr>
                <w:rFonts w:ascii="ITC Avant Garde" w:hAnsi="ITC Avant Garde" w:cs="Arial"/>
                <w:b/>
                <w:bCs/>
                <w:sz w:val="20"/>
                <w:szCs w:val="20"/>
              </w:rPr>
            </w:pPr>
          </w:p>
          <w:p w14:paraId="3CCB2302"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r>
      <w:tr w:rsidR="00844996" w:rsidRPr="00225268" w14:paraId="2D71AE37" w14:textId="77777777" w:rsidTr="00E9209C">
        <w:trPr>
          <w:trHeight w:val="470"/>
        </w:trPr>
        <w:tc>
          <w:tcPr>
            <w:tcW w:w="2163" w:type="pct"/>
            <w:hideMark/>
          </w:tcPr>
          <w:p w14:paraId="3580C2BA"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c>
          <w:tcPr>
            <w:tcW w:w="170" w:type="pct"/>
          </w:tcPr>
          <w:p w14:paraId="27BB20FB"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c>
          <w:tcPr>
            <w:tcW w:w="2667" w:type="pct"/>
            <w:hideMark/>
          </w:tcPr>
          <w:p w14:paraId="50ECF4A1" w14:textId="77777777" w:rsidR="00844996" w:rsidRPr="00225268" w:rsidRDefault="00844996" w:rsidP="00157CDB">
            <w:pPr>
              <w:spacing w:after="0" w:line="240" w:lineRule="auto"/>
              <w:ind w:right="-661"/>
              <w:jc w:val="center"/>
              <w:rPr>
                <w:rFonts w:ascii="ITC Avant Garde" w:hAnsi="ITC Avant Garde" w:cs="Arial"/>
                <w:b/>
                <w:bCs/>
                <w:sz w:val="20"/>
                <w:szCs w:val="20"/>
              </w:rPr>
            </w:pPr>
          </w:p>
        </w:tc>
      </w:tr>
    </w:tbl>
    <w:p w14:paraId="7D3532C4" w14:textId="77777777" w:rsidR="00767621" w:rsidRPr="00225268" w:rsidRDefault="00767621" w:rsidP="00225268">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Adolfo Cuevas Teja</w:t>
      </w:r>
    </w:p>
    <w:p w14:paraId="7CE991A5" w14:textId="77777777" w:rsidR="005C67DF" w:rsidRPr="00225268" w:rsidRDefault="00767621" w:rsidP="00225268">
      <w:pPr>
        <w:spacing w:after="0" w:line="240" w:lineRule="auto"/>
        <w:ind w:right="-661"/>
        <w:jc w:val="center"/>
        <w:rPr>
          <w:rFonts w:ascii="ITC Avant Garde" w:hAnsi="ITC Avant Garde" w:cs="Arial"/>
          <w:b/>
          <w:bCs/>
          <w:sz w:val="20"/>
          <w:szCs w:val="20"/>
        </w:rPr>
      </w:pPr>
      <w:r w:rsidRPr="00225268">
        <w:rPr>
          <w:rFonts w:ascii="ITC Avant Garde" w:hAnsi="ITC Avant Garde" w:cs="Arial"/>
          <w:b/>
          <w:bCs/>
          <w:sz w:val="20"/>
          <w:szCs w:val="20"/>
        </w:rPr>
        <w:t>Comisionado</w:t>
      </w:r>
    </w:p>
    <w:p w14:paraId="27855E4E" w14:textId="77777777" w:rsidR="00741A65" w:rsidRPr="00225268" w:rsidRDefault="00741A65" w:rsidP="00157CDB">
      <w:pPr>
        <w:spacing w:after="0" w:line="240" w:lineRule="auto"/>
        <w:jc w:val="center"/>
        <w:rPr>
          <w:rFonts w:ascii="ITC Avant Garde" w:hAnsi="ITC Avant Garde" w:cs="Arial"/>
          <w:b/>
          <w:bCs/>
          <w:sz w:val="20"/>
          <w:szCs w:val="20"/>
        </w:rPr>
      </w:pPr>
    </w:p>
    <w:p w14:paraId="427F9773" w14:textId="77777777" w:rsidR="00741A65" w:rsidRPr="00225268" w:rsidRDefault="00741A65" w:rsidP="00157CDB">
      <w:pPr>
        <w:spacing w:after="0" w:line="240" w:lineRule="auto"/>
        <w:jc w:val="center"/>
        <w:rPr>
          <w:rFonts w:ascii="ITC Avant Garde" w:hAnsi="ITC Avant Garde" w:cs="Arial"/>
          <w:b/>
          <w:bCs/>
          <w:sz w:val="20"/>
          <w:szCs w:val="20"/>
        </w:rPr>
      </w:pPr>
    </w:p>
    <w:p w14:paraId="33E1EAB3" w14:textId="77777777" w:rsidR="00741A65" w:rsidRPr="00225268" w:rsidRDefault="00741A65" w:rsidP="00157CDB">
      <w:pPr>
        <w:spacing w:after="0" w:line="240" w:lineRule="auto"/>
        <w:jc w:val="center"/>
        <w:rPr>
          <w:rFonts w:ascii="ITC Avant Garde" w:hAnsi="ITC Avant Garde"/>
          <w:sz w:val="20"/>
          <w:szCs w:val="20"/>
        </w:rPr>
      </w:pPr>
    </w:p>
    <w:sectPr w:rsidR="00741A65" w:rsidRPr="00225268" w:rsidSect="00E9209C">
      <w:headerReference w:type="even" r:id="rId8"/>
      <w:headerReference w:type="default" r:id="rId9"/>
      <w:footerReference w:type="default" r:id="rId10"/>
      <w:headerReference w:type="first" r:id="rId11"/>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6FC33" w14:textId="77777777" w:rsidR="006540E3" w:rsidRDefault="006540E3" w:rsidP="00844996">
      <w:pPr>
        <w:spacing w:after="0" w:line="240" w:lineRule="auto"/>
      </w:pPr>
      <w:r>
        <w:separator/>
      </w:r>
    </w:p>
  </w:endnote>
  <w:endnote w:type="continuationSeparator" w:id="0">
    <w:p w14:paraId="5E3BDFFE" w14:textId="77777777" w:rsidR="006540E3" w:rsidRDefault="006540E3" w:rsidP="008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9560" w14:textId="77777777" w:rsidR="00742D5F" w:rsidRPr="00CE61F7" w:rsidRDefault="00742D5F" w:rsidP="00E9209C">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6540E3">
      <w:rPr>
        <w:rFonts w:ascii="ITC Avant Garde" w:hAnsi="ITC Avant Garde"/>
        <w:noProof/>
        <w:sz w:val="14"/>
        <w:szCs w:val="14"/>
      </w:rPr>
      <w:t>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6540E3">
      <w:rPr>
        <w:rFonts w:ascii="ITC Avant Garde" w:hAnsi="ITC Avant Garde"/>
        <w:noProof/>
        <w:sz w:val="14"/>
        <w:szCs w:val="14"/>
      </w:rPr>
      <w:t>1</w:t>
    </w:r>
    <w:r w:rsidRPr="00CE61F7">
      <w:rPr>
        <w:rFonts w:ascii="ITC Avant Garde" w:hAnsi="ITC Avant Garde"/>
        <w:sz w:val="14"/>
        <w:szCs w:val="14"/>
      </w:rPr>
      <w:fldChar w:fldCharType="end"/>
    </w:r>
  </w:p>
  <w:p w14:paraId="65244E5A" w14:textId="77777777" w:rsidR="00742D5F" w:rsidRDefault="00742D5F" w:rsidP="00E9209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C0000" w14:textId="77777777" w:rsidR="006540E3" w:rsidRDefault="006540E3" w:rsidP="00844996">
      <w:pPr>
        <w:spacing w:after="0" w:line="240" w:lineRule="auto"/>
      </w:pPr>
      <w:r>
        <w:separator/>
      </w:r>
    </w:p>
  </w:footnote>
  <w:footnote w:type="continuationSeparator" w:id="0">
    <w:p w14:paraId="1933B78A" w14:textId="77777777" w:rsidR="006540E3" w:rsidRDefault="006540E3" w:rsidP="0084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020F" w14:textId="77777777" w:rsidR="00742D5F" w:rsidRDefault="006540E3">
    <w:pPr>
      <w:pStyle w:val="Encabezado"/>
    </w:pPr>
    <w:r>
      <w:rPr>
        <w:noProof/>
        <w:lang w:eastAsia="es-MX"/>
      </w:rPr>
      <w:pict w14:anchorId="64578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B7278" w14:textId="77777777" w:rsidR="00742D5F" w:rsidRDefault="006540E3">
    <w:pPr>
      <w:pStyle w:val="Encabezado"/>
    </w:pPr>
    <w:r>
      <w:rPr>
        <w:noProof/>
        <w:lang w:eastAsia="es-MX"/>
      </w:rPr>
      <w:pict w14:anchorId="0CF9F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0.9pt;margin-top:-113.9pt;width:612pt;height:11in;z-index:-25165875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70F9" w14:textId="77777777" w:rsidR="00742D5F" w:rsidRDefault="006540E3">
    <w:pPr>
      <w:pStyle w:val="Encabezado"/>
    </w:pPr>
    <w:r>
      <w:rPr>
        <w:noProof/>
        <w:lang w:eastAsia="es-MX"/>
      </w:rPr>
      <w:pict w14:anchorId="6DC9D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670ED9A6"/>
    <w:name w:val="WWNum25"/>
    <w:lvl w:ilvl="0">
      <w:start w:val="1"/>
      <w:numFmt w:val="decimal"/>
      <w:lvlText w:val="%1."/>
      <w:lvlJc w:val="left"/>
      <w:pPr>
        <w:tabs>
          <w:tab w:val="num" w:pos="1484"/>
        </w:tabs>
        <w:ind w:left="2204" w:hanging="360"/>
      </w:pPr>
      <w:rPr>
        <w:b w:val="0"/>
      </w:rPr>
    </w:lvl>
    <w:lvl w:ilvl="1">
      <w:start w:val="1"/>
      <w:numFmt w:val="lowerLetter"/>
      <w:lvlText w:val="%2."/>
      <w:lvlJc w:val="left"/>
      <w:pPr>
        <w:tabs>
          <w:tab w:val="num" w:pos="1484"/>
        </w:tabs>
        <w:ind w:left="2924" w:hanging="360"/>
      </w:pPr>
    </w:lvl>
    <w:lvl w:ilvl="2">
      <w:start w:val="1"/>
      <w:numFmt w:val="lowerRoman"/>
      <w:lvlText w:val="%3."/>
      <w:lvlJc w:val="left"/>
      <w:pPr>
        <w:tabs>
          <w:tab w:val="num" w:pos="1484"/>
        </w:tabs>
        <w:ind w:left="3644" w:hanging="180"/>
      </w:pPr>
    </w:lvl>
    <w:lvl w:ilvl="3">
      <w:start w:val="1"/>
      <w:numFmt w:val="decimal"/>
      <w:lvlText w:val="%4."/>
      <w:lvlJc w:val="left"/>
      <w:pPr>
        <w:tabs>
          <w:tab w:val="num" w:pos="1484"/>
        </w:tabs>
        <w:ind w:left="4364" w:hanging="360"/>
      </w:pPr>
    </w:lvl>
    <w:lvl w:ilvl="4">
      <w:start w:val="1"/>
      <w:numFmt w:val="lowerLetter"/>
      <w:lvlText w:val="%5."/>
      <w:lvlJc w:val="left"/>
      <w:pPr>
        <w:tabs>
          <w:tab w:val="num" w:pos="1484"/>
        </w:tabs>
        <w:ind w:left="5084" w:hanging="360"/>
      </w:pPr>
    </w:lvl>
    <w:lvl w:ilvl="5">
      <w:start w:val="1"/>
      <w:numFmt w:val="lowerRoman"/>
      <w:lvlText w:val="%6."/>
      <w:lvlJc w:val="left"/>
      <w:pPr>
        <w:tabs>
          <w:tab w:val="num" w:pos="1484"/>
        </w:tabs>
        <w:ind w:left="5804" w:hanging="180"/>
      </w:pPr>
    </w:lvl>
    <w:lvl w:ilvl="6">
      <w:start w:val="1"/>
      <w:numFmt w:val="decimal"/>
      <w:lvlText w:val="%7."/>
      <w:lvlJc w:val="left"/>
      <w:pPr>
        <w:tabs>
          <w:tab w:val="num" w:pos="1484"/>
        </w:tabs>
        <w:ind w:left="6524" w:hanging="360"/>
      </w:pPr>
    </w:lvl>
    <w:lvl w:ilvl="7">
      <w:start w:val="1"/>
      <w:numFmt w:val="lowerLetter"/>
      <w:lvlText w:val="%8."/>
      <w:lvlJc w:val="left"/>
      <w:pPr>
        <w:tabs>
          <w:tab w:val="num" w:pos="1484"/>
        </w:tabs>
        <w:ind w:left="7244" w:hanging="360"/>
      </w:pPr>
    </w:lvl>
    <w:lvl w:ilvl="8">
      <w:start w:val="1"/>
      <w:numFmt w:val="lowerRoman"/>
      <w:lvlText w:val="%9."/>
      <w:lvlJc w:val="left"/>
      <w:pPr>
        <w:tabs>
          <w:tab w:val="num" w:pos="1484"/>
        </w:tabs>
        <w:ind w:left="7964" w:hanging="180"/>
      </w:pPr>
    </w:lvl>
  </w:abstractNum>
  <w:abstractNum w:abstractNumId="2" w15:restartNumberingAfterBreak="0">
    <w:nsid w:val="053035DE"/>
    <w:multiLevelType w:val="hybridMultilevel"/>
    <w:tmpl w:val="31D2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70675"/>
    <w:multiLevelType w:val="hybridMultilevel"/>
    <w:tmpl w:val="6570D8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A3CA4"/>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0F2CA6"/>
    <w:multiLevelType w:val="hybridMultilevel"/>
    <w:tmpl w:val="1A628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2C66F1"/>
    <w:multiLevelType w:val="hybridMultilevel"/>
    <w:tmpl w:val="509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534AE"/>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1C4AF8"/>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352D3B47"/>
    <w:multiLevelType w:val="hybridMultilevel"/>
    <w:tmpl w:val="8514E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1B4321"/>
    <w:multiLevelType w:val="hybridMultilevel"/>
    <w:tmpl w:val="F2FE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7D5090"/>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681EA0"/>
    <w:multiLevelType w:val="hybridMultilevel"/>
    <w:tmpl w:val="5110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5700C"/>
    <w:multiLevelType w:val="hybridMultilevel"/>
    <w:tmpl w:val="6066B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5825A9"/>
    <w:multiLevelType w:val="hybridMultilevel"/>
    <w:tmpl w:val="6D7A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4518A"/>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49A90DE2"/>
    <w:multiLevelType w:val="hybridMultilevel"/>
    <w:tmpl w:val="2B9C8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CE76E6"/>
    <w:multiLevelType w:val="hybridMultilevel"/>
    <w:tmpl w:val="D9E4B0FA"/>
    <w:lvl w:ilvl="0" w:tplc="02C46DAC">
      <w:start w:val="1"/>
      <w:numFmt w:val="upperRoman"/>
      <w:lvlText w:val="%1."/>
      <w:lvlJc w:val="righ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F733C4"/>
    <w:multiLevelType w:val="hybridMultilevel"/>
    <w:tmpl w:val="626C3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9B511D"/>
    <w:multiLevelType w:val="hybridMultilevel"/>
    <w:tmpl w:val="FE62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5A7AE4"/>
    <w:multiLevelType w:val="hybridMultilevel"/>
    <w:tmpl w:val="850A6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907685"/>
    <w:multiLevelType w:val="hybridMultilevel"/>
    <w:tmpl w:val="1B68A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5345FB"/>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68479F"/>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757D5C"/>
    <w:multiLevelType w:val="hybridMultilevel"/>
    <w:tmpl w:val="E6107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2424EE"/>
    <w:multiLevelType w:val="hybridMultilevel"/>
    <w:tmpl w:val="F064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2"/>
  </w:num>
  <w:num w:numId="5">
    <w:abstractNumId w:val="23"/>
  </w:num>
  <w:num w:numId="6">
    <w:abstractNumId w:val="7"/>
  </w:num>
  <w:num w:numId="7">
    <w:abstractNumId w:val="25"/>
  </w:num>
  <w:num w:numId="8">
    <w:abstractNumId w:val="24"/>
  </w:num>
  <w:num w:numId="9">
    <w:abstractNumId w:val="8"/>
  </w:num>
  <w:num w:numId="10">
    <w:abstractNumId w:val="14"/>
  </w:num>
  <w:num w:numId="11">
    <w:abstractNumId w:val="16"/>
  </w:num>
  <w:num w:numId="12">
    <w:abstractNumId w:val="17"/>
  </w:num>
  <w:num w:numId="13">
    <w:abstractNumId w:val="2"/>
  </w:num>
  <w:num w:numId="14">
    <w:abstractNumId w:val="21"/>
  </w:num>
  <w:num w:numId="15">
    <w:abstractNumId w:val="6"/>
  </w:num>
  <w:num w:numId="16">
    <w:abstractNumId w:val="26"/>
  </w:num>
  <w:num w:numId="17">
    <w:abstractNumId w:val="18"/>
  </w:num>
  <w:num w:numId="18">
    <w:abstractNumId w:val="13"/>
  </w:num>
  <w:num w:numId="19">
    <w:abstractNumId w:val="22"/>
  </w:num>
  <w:num w:numId="20">
    <w:abstractNumId w:val="11"/>
  </w:num>
  <w:num w:numId="21">
    <w:abstractNumId w:val="19"/>
  </w:num>
  <w:num w:numId="22">
    <w:abstractNumId w:val="15"/>
  </w:num>
  <w:num w:numId="23">
    <w:abstractNumId w:val="10"/>
  </w:num>
  <w:num w:numId="24">
    <w:abstractNumId w:val="5"/>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trackRevisions/>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96"/>
    <w:rsid w:val="00002523"/>
    <w:rsid w:val="00002570"/>
    <w:rsid w:val="00005895"/>
    <w:rsid w:val="000160B5"/>
    <w:rsid w:val="0002798D"/>
    <w:rsid w:val="0004640E"/>
    <w:rsid w:val="00047DC7"/>
    <w:rsid w:val="00072448"/>
    <w:rsid w:val="000735A0"/>
    <w:rsid w:val="000808A3"/>
    <w:rsid w:val="00081619"/>
    <w:rsid w:val="0008599C"/>
    <w:rsid w:val="00091D49"/>
    <w:rsid w:val="00091DF7"/>
    <w:rsid w:val="00096C80"/>
    <w:rsid w:val="000A2BFD"/>
    <w:rsid w:val="000A7064"/>
    <w:rsid w:val="000A7E2C"/>
    <w:rsid w:val="000C780D"/>
    <w:rsid w:val="000D64A8"/>
    <w:rsid w:val="000E1252"/>
    <w:rsid w:val="000F1AFA"/>
    <w:rsid w:val="000F5D76"/>
    <w:rsid w:val="00103FE2"/>
    <w:rsid w:val="00111164"/>
    <w:rsid w:val="00113530"/>
    <w:rsid w:val="00115212"/>
    <w:rsid w:val="001162EA"/>
    <w:rsid w:val="0012293A"/>
    <w:rsid w:val="0012676D"/>
    <w:rsid w:val="00130192"/>
    <w:rsid w:val="001301B4"/>
    <w:rsid w:val="00131120"/>
    <w:rsid w:val="001370D6"/>
    <w:rsid w:val="00143A7A"/>
    <w:rsid w:val="00144F9C"/>
    <w:rsid w:val="00157CDB"/>
    <w:rsid w:val="0016223C"/>
    <w:rsid w:val="00163185"/>
    <w:rsid w:val="001754E7"/>
    <w:rsid w:val="00187E17"/>
    <w:rsid w:val="00195D4B"/>
    <w:rsid w:val="00196508"/>
    <w:rsid w:val="001A4240"/>
    <w:rsid w:val="001A59B9"/>
    <w:rsid w:val="001A63B9"/>
    <w:rsid w:val="001B140D"/>
    <w:rsid w:val="001B372B"/>
    <w:rsid w:val="001B5605"/>
    <w:rsid w:val="001C21DC"/>
    <w:rsid w:val="001C4F33"/>
    <w:rsid w:val="001C6497"/>
    <w:rsid w:val="001C6B42"/>
    <w:rsid w:val="001E0072"/>
    <w:rsid w:val="001E2892"/>
    <w:rsid w:val="001E6DCC"/>
    <w:rsid w:val="001F5102"/>
    <w:rsid w:val="00204BB1"/>
    <w:rsid w:val="00205E85"/>
    <w:rsid w:val="00211148"/>
    <w:rsid w:val="0022447B"/>
    <w:rsid w:val="00225268"/>
    <w:rsid w:val="00232FE1"/>
    <w:rsid w:val="002361DE"/>
    <w:rsid w:val="00236CAE"/>
    <w:rsid w:val="002653C0"/>
    <w:rsid w:val="002718F3"/>
    <w:rsid w:val="00272684"/>
    <w:rsid w:val="00277B88"/>
    <w:rsid w:val="00281FFE"/>
    <w:rsid w:val="00283AC9"/>
    <w:rsid w:val="00294ADC"/>
    <w:rsid w:val="002950CF"/>
    <w:rsid w:val="002A3485"/>
    <w:rsid w:val="002B3C30"/>
    <w:rsid w:val="002B5127"/>
    <w:rsid w:val="002B7771"/>
    <w:rsid w:val="002C0AF5"/>
    <w:rsid w:val="002C5B70"/>
    <w:rsid w:val="002C663C"/>
    <w:rsid w:val="002D1562"/>
    <w:rsid w:val="002E159C"/>
    <w:rsid w:val="002E1BAA"/>
    <w:rsid w:val="002E2AEA"/>
    <w:rsid w:val="002E3664"/>
    <w:rsid w:val="002E5B38"/>
    <w:rsid w:val="002F1634"/>
    <w:rsid w:val="002F5354"/>
    <w:rsid w:val="00302DA1"/>
    <w:rsid w:val="00317329"/>
    <w:rsid w:val="0032096A"/>
    <w:rsid w:val="00321CCC"/>
    <w:rsid w:val="0032678D"/>
    <w:rsid w:val="00330C0F"/>
    <w:rsid w:val="00353D77"/>
    <w:rsid w:val="00364443"/>
    <w:rsid w:val="00372643"/>
    <w:rsid w:val="00390E4A"/>
    <w:rsid w:val="003A13B8"/>
    <w:rsid w:val="003A254C"/>
    <w:rsid w:val="003A28D6"/>
    <w:rsid w:val="003A5987"/>
    <w:rsid w:val="003B0562"/>
    <w:rsid w:val="003D5662"/>
    <w:rsid w:val="003E00CC"/>
    <w:rsid w:val="003E6E97"/>
    <w:rsid w:val="003E7CEA"/>
    <w:rsid w:val="003F201B"/>
    <w:rsid w:val="00411E92"/>
    <w:rsid w:val="00412B04"/>
    <w:rsid w:val="00413D80"/>
    <w:rsid w:val="0042671B"/>
    <w:rsid w:val="00427CF5"/>
    <w:rsid w:val="00431650"/>
    <w:rsid w:val="00431B2B"/>
    <w:rsid w:val="00434420"/>
    <w:rsid w:val="00434C09"/>
    <w:rsid w:val="004376BE"/>
    <w:rsid w:val="004464E8"/>
    <w:rsid w:val="00452E0F"/>
    <w:rsid w:val="00455FF1"/>
    <w:rsid w:val="00461C27"/>
    <w:rsid w:val="00465488"/>
    <w:rsid w:val="00465966"/>
    <w:rsid w:val="00467448"/>
    <w:rsid w:val="00477090"/>
    <w:rsid w:val="00483AEA"/>
    <w:rsid w:val="00486AB9"/>
    <w:rsid w:val="00486C5B"/>
    <w:rsid w:val="00495965"/>
    <w:rsid w:val="00497AE4"/>
    <w:rsid w:val="00497EF2"/>
    <w:rsid w:val="004A0FDE"/>
    <w:rsid w:val="004A4F9B"/>
    <w:rsid w:val="004A6DBC"/>
    <w:rsid w:val="004C657A"/>
    <w:rsid w:val="004E0AF5"/>
    <w:rsid w:val="004E219F"/>
    <w:rsid w:val="004F17CA"/>
    <w:rsid w:val="004F2CFD"/>
    <w:rsid w:val="004F2EFA"/>
    <w:rsid w:val="004F31D1"/>
    <w:rsid w:val="004F46D1"/>
    <w:rsid w:val="004F5FF7"/>
    <w:rsid w:val="00503DA2"/>
    <w:rsid w:val="00505574"/>
    <w:rsid w:val="00512213"/>
    <w:rsid w:val="00542EAD"/>
    <w:rsid w:val="00543959"/>
    <w:rsid w:val="00553358"/>
    <w:rsid w:val="00555300"/>
    <w:rsid w:val="00566B3A"/>
    <w:rsid w:val="00576AD3"/>
    <w:rsid w:val="00580496"/>
    <w:rsid w:val="00581BC7"/>
    <w:rsid w:val="00592517"/>
    <w:rsid w:val="00597C8B"/>
    <w:rsid w:val="005A69E7"/>
    <w:rsid w:val="005B3534"/>
    <w:rsid w:val="005C07E6"/>
    <w:rsid w:val="005C2604"/>
    <w:rsid w:val="005C3AE2"/>
    <w:rsid w:val="005C3E9E"/>
    <w:rsid w:val="005C67DF"/>
    <w:rsid w:val="005C6D31"/>
    <w:rsid w:val="005D3900"/>
    <w:rsid w:val="005E31E7"/>
    <w:rsid w:val="005E6730"/>
    <w:rsid w:val="005F7221"/>
    <w:rsid w:val="006013A9"/>
    <w:rsid w:val="0060271E"/>
    <w:rsid w:val="00610F5F"/>
    <w:rsid w:val="00611871"/>
    <w:rsid w:val="00612371"/>
    <w:rsid w:val="00615311"/>
    <w:rsid w:val="00623201"/>
    <w:rsid w:val="00623F73"/>
    <w:rsid w:val="00637444"/>
    <w:rsid w:val="00641297"/>
    <w:rsid w:val="00642D26"/>
    <w:rsid w:val="00650DB3"/>
    <w:rsid w:val="00651942"/>
    <w:rsid w:val="00653F0A"/>
    <w:rsid w:val="006540E3"/>
    <w:rsid w:val="00681A85"/>
    <w:rsid w:val="00682A57"/>
    <w:rsid w:val="006856FD"/>
    <w:rsid w:val="00686EA7"/>
    <w:rsid w:val="00691E61"/>
    <w:rsid w:val="00692AD2"/>
    <w:rsid w:val="006945BE"/>
    <w:rsid w:val="00694FB2"/>
    <w:rsid w:val="006B1913"/>
    <w:rsid w:val="006B6CF5"/>
    <w:rsid w:val="006C134B"/>
    <w:rsid w:val="006C28C2"/>
    <w:rsid w:val="006D1783"/>
    <w:rsid w:val="006D6C5C"/>
    <w:rsid w:val="006E5223"/>
    <w:rsid w:val="006F038A"/>
    <w:rsid w:val="006F4E57"/>
    <w:rsid w:val="006F5085"/>
    <w:rsid w:val="006F644E"/>
    <w:rsid w:val="007004FF"/>
    <w:rsid w:val="00701BE8"/>
    <w:rsid w:val="007116A0"/>
    <w:rsid w:val="007372C0"/>
    <w:rsid w:val="0074034D"/>
    <w:rsid w:val="00741A65"/>
    <w:rsid w:val="00742D5F"/>
    <w:rsid w:val="00750FD3"/>
    <w:rsid w:val="007530C6"/>
    <w:rsid w:val="00757156"/>
    <w:rsid w:val="00762795"/>
    <w:rsid w:val="00766066"/>
    <w:rsid w:val="00767621"/>
    <w:rsid w:val="007775B9"/>
    <w:rsid w:val="0078319C"/>
    <w:rsid w:val="007831FE"/>
    <w:rsid w:val="00785F11"/>
    <w:rsid w:val="007879E1"/>
    <w:rsid w:val="00796A50"/>
    <w:rsid w:val="007A0C7F"/>
    <w:rsid w:val="007A37EB"/>
    <w:rsid w:val="007B4BD9"/>
    <w:rsid w:val="007D4942"/>
    <w:rsid w:val="007E25E8"/>
    <w:rsid w:val="007E69F0"/>
    <w:rsid w:val="007F660D"/>
    <w:rsid w:val="007F6883"/>
    <w:rsid w:val="008064AC"/>
    <w:rsid w:val="00807595"/>
    <w:rsid w:val="00807D70"/>
    <w:rsid w:val="008151B6"/>
    <w:rsid w:val="00815FA9"/>
    <w:rsid w:val="00824278"/>
    <w:rsid w:val="008317A4"/>
    <w:rsid w:val="00833439"/>
    <w:rsid w:val="008349A2"/>
    <w:rsid w:val="008368E2"/>
    <w:rsid w:val="00844996"/>
    <w:rsid w:val="008513DF"/>
    <w:rsid w:val="00851FF2"/>
    <w:rsid w:val="008520F0"/>
    <w:rsid w:val="00866145"/>
    <w:rsid w:val="00871BA8"/>
    <w:rsid w:val="00873D90"/>
    <w:rsid w:val="00874ABA"/>
    <w:rsid w:val="008864D5"/>
    <w:rsid w:val="008866B5"/>
    <w:rsid w:val="008A74F0"/>
    <w:rsid w:val="008C2DDA"/>
    <w:rsid w:val="008D091F"/>
    <w:rsid w:val="008D0DB5"/>
    <w:rsid w:val="008E733C"/>
    <w:rsid w:val="008F3CA3"/>
    <w:rsid w:val="00912F0B"/>
    <w:rsid w:val="0092100D"/>
    <w:rsid w:val="0092337E"/>
    <w:rsid w:val="00923AEB"/>
    <w:rsid w:val="00924945"/>
    <w:rsid w:val="00930A15"/>
    <w:rsid w:val="009314F0"/>
    <w:rsid w:val="00936755"/>
    <w:rsid w:val="0094005F"/>
    <w:rsid w:val="009436FF"/>
    <w:rsid w:val="009558B7"/>
    <w:rsid w:val="009619FE"/>
    <w:rsid w:val="00964D68"/>
    <w:rsid w:val="00966699"/>
    <w:rsid w:val="00966FF5"/>
    <w:rsid w:val="00970B5D"/>
    <w:rsid w:val="00971BC0"/>
    <w:rsid w:val="009812D4"/>
    <w:rsid w:val="0098253C"/>
    <w:rsid w:val="0099409D"/>
    <w:rsid w:val="009A26DB"/>
    <w:rsid w:val="009A3BD4"/>
    <w:rsid w:val="009E3C93"/>
    <w:rsid w:val="009F4A66"/>
    <w:rsid w:val="009F51BD"/>
    <w:rsid w:val="009F7737"/>
    <w:rsid w:val="009F7812"/>
    <w:rsid w:val="00A05A15"/>
    <w:rsid w:val="00A05DC7"/>
    <w:rsid w:val="00A0749F"/>
    <w:rsid w:val="00A126F5"/>
    <w:rsid w:val="00A220F9"/>
    <w:rsid w:val="00A3091D"/>
    <w:rsid w:val="00A32DC7"/>
    <w:rsid w:val="00A35F0F"/>
    <w:rsid w:val="00A37933"/>
    <w:rsid w:val="00A42833"/>
    <w:rsid w:val="00A42DFD"/>
    <w:rsid w:val="00A432DA"/>
    <w:rsid w:val="00A43637"/>
    <w:rsid w:val="00A57CC0"/>
    <w:rsid w:val="00A747C7"/>
    <w:rsid w:val="00A74B87"/>
    <w:rsid w:val="00A77F8A"/>
    <w:rsid w:val="00A832BF"/>
    <w:rsid w:val="00A866BC"/>
    <w:rsid w:val="00A923CE"/>
    <w:rsid w:val="00A93172"/>
    <w:rsid w:val="00A94EF8"/>
    <w:rsid w:val="00AB136A"/>
    <w:rsid w:val="00AB21C7"/>
    <w:rsid w:val="00AB2FF6"/>
    <w:rsid w:val="00AB3A6F"/>
    <w:rsid w:val="00AB3B54"/>
    <w:rsid w:val="00AB3B9C"/>
    <w:rsid w:val="00AC3512"/>
    <w:rsid w:val="00AC6EF2"/>
    <w:rsid w:val="00AD145A"/>
    <w:rsid w:val="00AD1D69"/>
    <w:rsid w:val="00AD42E4"/>
    <w:rsid w:val="00AD674F"/>
    <w:rsid w:val="00AF4CB7"/>
    <w:rsid w:val="00AF7A03"/>
    <w:rsid w:val="00B0037B"/>
    <w:rsid w:val="00B0322E"/>
    <w:rsid w:val="00B07F99"/>
    <w:rsid w:val="00B13BB8"/>
    <w:rsid w:val="00B2469F"/>
    <w:rsid w:val="00B27653"/>
    <w:rsid w:val="00B31AF5"/>
    <w:rsid w:val="00B339AC"/>
    <w:rsid w:val="00B34C47"/>
    <w:rsid w:val="00B35A23"/>
    <w:rsid w:val="00B37E30"/>
    <w:rsid w:val="00B4437B"/>
    <w:rsid w:val="00B51102"/>
    <w:rsid w:val="00B54158"/>
    <w:rsid w:val="00B6296E"/>
    <w:rsid w:val="00B6643C"/>
    <w:rsid w:val="00B70399"/>
    <w:rsid w:val="00B72EAA"/>
    <w:rsid w:val="00B736BD"/>
    <w:rsid w:val="00B73DBB"/>
    <w:rsid w:val="00B74D37"/>
    <w:rsid w:val="00B80ED4"/>
    <w:rsid w:val="00B95971"/>
    <w:rsid w:val="00BA4FC1"/>
    <w:rsid w:val="00BB1A98"/>
    <w:rsid w:val="00BC08CB"/>
    <w:rsid w:val="00BC15A9"/>
    <w:rsid w:val="00BC5474"/>
    <w:rsid w:val="00BC699B"/>
    <w:rsid w:val="00BC6F6D"/>
    <w:rsid w:val="00BD1120"/>
    <w:rsid w:val="00BD1504"/>
    <w:rsid w:val="00BE5B25"/>
    <w:rsid w:val="00BF09B1"/>
    <w:rsid w:val="00BF7041"/>
    <w:rsid w:val="00C03974"/>
    <w:rsid w:val="00C04801"/>
    <w:rsid w:val="00C11902"/>
    <w:rsid w:val="00C14DAF"/>
    <w:rsid w:val="00C15430"/>
    <w:rsid w:val="00C26D25"/>
    <w:rsid w:val="00C315E9"/>
    <w:rsid w:val="00C52453"/>
    <w:rsid w:val="00C575EE"/>
    <w:rsid w:val="00C62ADD"/>
    <w:rsid w:val="00C66D4F"/>
    <w:rsid w:val="00C73307"/>
    <w:rsid w:val="00C76290"/>
    <w:rsid w:val="00C90489"/>
    <w:rsid w:val="00C965FF"/>
    <w:rsid w:val="00CA47F1"/>
    <w:rsid w:val="00CB0D43"/>
    <w:rsid w:val="00CC313C"/>
    <w:rsid w:val="00CC426D"/>
    <w:rsid w:val="00CC7E88"/>
    <w:rsid w:val="00CD0DA8"/>
    <w:rsid w:val="00CD3B05"/>
    <w:rsid w:val="00CF3C3B"/>
    <w:rsid w:val="00D025F8"/>
    <w:rsid w:val="00D02BA0"/>
    <w:rsid w:val="00D03BFB"/>
    <w:rsid w:val="00D05B96"/>
    <w:rsid w:val="00D109B3"/>
    <w:rsid w:val="00D13A60"/>
    <w:rsid w:val="00D159D5"/>
    <w:rsid w:val="00D23671"/>
    <w:rsid w:val="00D2405E"/>
    <w:rsid w:val="00D254AA"/>
    <w:rsid w:val="00D25B4B"/>
    <w:rsid w:val="00D26D39"/>
    <w:rsid w:val="00D279CA"/>
    <w:rsid w:val="00D27BCF"/>
    <w:rsid w:val="00D32F55"/>
    <w:rsid w:val="00D3515E"/>
    <w:rsid w:val="00D35270"/>
    <w:rsid w:val="00D362FA"/>
    <w:rsid w:val="00D36512"/>
    <w:rsid w:val="00D504B7"/>
    <w:rsid w:val="00D51240"/>
    <w:rsid w:val="00D60ED4"/>
    <w:rsid w:val="00D677B9"/>
    <w:rsid w:val="00D73768"/>
    <w:rsid w:val="00D772B4"/>
    <w:rsid w:val="00D842B5"/>
    <w:rsid w:val="00D9128C"/>
    <w:rsid w:val="00DA4B52"/>
    <w:rsid w:val="00DA5270"/>
    <w:rsid w:val="00DA558C"/>
    <w:rsid w:val="00DC2EED"/>
    <w:rsid w:val="00DC6211"/>
    <w:rsid w:val="00DC7CDE"/>
    <w:rsid w:val="00DD474D"/>
    <w:rsid w:val="00DD616D"/>
    <w:rsid w:val="00DE14F6"/>
    <w:rsid w:val="00DE1F18"/>
    <w:rsid w:val="00DF0B6A"/>
    <w:rsid w:val="00DF2505"/>
    <w:rsid w:val="00DF6457"/>
    <w:rsid w:val="00E07570"/>
    <w:rsid w:val="00E1253A"/>
    <w:rsid w:val="00E207AC"/>
    <w:rsid w:val="00E21526"/>
    <w:rsid w:val="00E31D4A"/>
    <w:rsid w:val="00E3636D"/>
    <w:rsid w:val="00E66824"/>
    <w:rsid w:val="00E67387"/>
    <w:rsid w:val="00E72066"/>
    <w:rsid w:val="00E825CC"/>
    <w:rsid w:val="00E84F48"/>
    <w:rsid w:val="00E9067F"/>
    <w:rsid w:val="00E9209C"/>
    <w:rsid w:val="00EA00DF"/>
    <w:rsid w:val="00ED0DD3"/>
    <w:rsid w:val="00ED4E8C"/>
    <w:rsid w:val="00EE11A0"/>
    <w:rsid w:val="00EE232E"/>
    <w:rsid w:val="00EE40A9"/>
    <w:rsid w:val="00EE70A9"/>
    <w:rsid w:val="00EF2D9C"/>
    <w:rsid w:val="00F0003E"/>
    <w:rsid w:val="00F02201"/>
    <w:rsid w:val="00F11B7C"/>
    <w:rsid w:val="00F12768"/>
    <w:rsid w:val="00F1534E"/>
    <w:rsid w:val="00F230E5"/>
    <w:rsid w:val="00F34B56"/>
    <w:rsid w:val="00F44F57"/>
    <w:rsid w:val="00F477F0"/>
    <w:rsid w:val="00F5616C"/>
    <w:rsid w:val="00F64DC1"/>
    <w:rsid w:val="00F70753"/>
    <w:rsid w:val="00F71ACD"/>
    <w:rsid w:val="00F779D3"/>
    <w:rsid w:val="00F77DB2"/>
    <w:rsid w:val="00F872E5"/>
    <w:rsid w:val="00F8762E"/>
    <w:rsid w:val="00F90B65"/>
    <w:rsid w:val="00F91462"/>
    <w:rsid w:val="00F95CD2"/>
    <w:rsid w:val="00FB1531"/>
    <w:rsid w:val="00FB4B03"/>
    <w:rsid w:val="00FB61DF"/>
    <w:rsid w:val="00FB77AD"/>
    <w:rsid w:val="00FC0626"/>
    <w:rsid w:val="00FC1CB4"/>
    <w:rsid w:val="00FE30C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D35D96A"/>
  <w15:docId w15:val="{5F63EA74-4F91-403D-B101-59E232F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9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4996"/>
    <w:pPr>
      <w:tabs>
        <w:tab w:val="center" w:pos="4419"/>
        <w:tab w:val="right" w:pos="8838"/>
      </w:tabs>
      <w:spacing w:after="0" w:line="240" w:lineRule="auto"/>
    </w:pPr>
  </w:style>
  <w:style w:type="character" w:customStyle="1" w:styleId="EncabezadoCar">
    <w:name w:val="Encabezado Car"/>
    <w:basedOn w:val="Fuentedeprrafopredeter"/>
    <w:link w:val="Encabezado"/>
    <w:rsid w:val="00844996"/>
    <w:rPr>
      <w:rFonts w:ascii="Calibri" w:eastAsia="Calibri" w:hAnsi="Calibri" w:cs="Times New Roman"/>
    </w:rPr>
  </w:style>
  <w:style w:type="paragraph" w:styleId="Piedepgina">
    <w:name w:val="footer"/>
    <w:basedOn w:val="Normal"/>
    <w:link w:val="PiedepginaCar"/>
    <w:unhideWhenUsed/>
    <w:rsid w:val="00844996"/>
    <w:pPr>
      <w:tabs>
        <w:tab w:val="center" w:pos="4419"/>
        <w:tab w:val="right" w:pos="8838"/>
      </w:tabs>
      <w:spacing w:after="0" w:line="240" w:lineRule="auto"/>
    </w:pPr>
  </w:style>
  <w:style w:type="character" w:customStyle="1" w:styleId="PiedepginaCar">
    <w:name w:val="Pie de página Car"/>
    <w:basedOn w:val="Fuentedeprrafopredeter"/>
    <w:link w:val="Piedepgina"/>
    <w:rsid w:val="00844996"/>
    <w:rPr>
      <w:rFonts w:ascii="Calibri" w:eastAsia="Calibri" w:hAnsi="Calibri" w:cs="Times New Roman"/>
    </w:rPr>
  </w:style>
  <w:style w:type="paragraph" w:customStyle="1" w:styleId="Default">
    <w:name w:val="Default"/>
    <w:rsid w:val="0084499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8449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844996"/>
    <w:rPr>
      <w:rFonts w:ascii="Arial" w:eastAsia="Times New Roman" w:hAnsi="Arial" w:cs="Times New Roman"/>
      <w:sz w:val="24"/>
      <w:szCs w:val="20"/>
    </w:rPr>
  </w:style>
  <w:style w:type="paragraph" w:styleId="Textonotapie">
    <w:name w:val="footnote text"/>
    <w:basedOn w:val="Normal"/>
    <w:link w:val="TextonotapieCar"/>
    <w:uiPriority w:val="99"/>
    <w:unhideWhenUsed/>
    <w:rsid w:val="00844996"/>
    <w:pPr>
      <w:spacing w:after="0" w:line="240" w:lineRule="auto"/>
    </w:pPr>
    <w:rPr>
      <w:sz w:val="20"/>
      <w:szCs w:val="20"/>
    </w:rPr>
  </w:style>
  <w:style w:type="character" w:customStyle="1" w:styleId="TextonotapieCar">
    <w:name w:val="Texto nota pie Car"/>
    <w:basedOn w:val="Fuentedeprrafopredeter"/>
    <w:link w:val="Textonotapie"/>
    <w:uiPriority w:val="99"/>
    <w:rsid w:val="00844996"/>
    <w:rPr>
      <w:rFonts w:ascii="Calibri" w:eastAsia="Calibri" w:hAnsi="Calibri" w:cs="Times New Roman"/>
      <w:sz w:val="20"/>
      <w:szCs w:val="20"/>
    </w:rPr>
  </w:style>
  <w:style w:type="character" w:styleId="Refdenotaalpie">
    <w:name w:val="footnote reference"/>
    <w:basedOn w:val="Fuentedeprrafopredeter"/>
    <w:uiPriority w:val="99"/>
    <w:unhideWhenUsed/>
    <w:rsid w:val="00844996"/>
    <w:rPr>
      <w:vertAlign w:val="superscript"/>
    </w:rPr>
  </w:style>
  <w:style w:type="character" w:styleId="Refdecomentario">
    <w:name w:val="annotation reference"/>
    <w:basedOn w:val="Fuentedeprrafopredeter"/>
    <w:uiPriority w:val="99"/>
    <w:semiHidden/>
    <w:unhideWhenUsed/>
    <w:rsid w:val="00844996"/>
    <w:rPr>
      <w:sz w:val="16"/>
      <w:szCs w:val="16"/>
    </w:rPr>
  </w:style>
  <w:style w:type="paragraph" w:styleId="Textocomentario">
    <w:name w:val="annotation text"/>
    <w:basedOn w:val="Normal"/>
    <w:link w:val="TextocomentarioCar"/>
    <w:uiPriority w:val="99"/>
    <w:unhideWhenUsed/>
    <w:rsid w:val="00844996"/>
    <w:pPr>
      <w:spacing w:line="240" w:lineRule="auto"/>
    </w:pPr>
    <w:rPr>
      <w:sz w:val="20"/>
      <w:szCs w:val="20"/>
    </w:rPr>
  </w:style>
  <w:style w:type="character" w:customStyle="1" w:styleId="TextocomentarioCar">
    <w:name w:val="Texto comentario Car"/>
    <w:basedOn w:val="Fuentedeprrafopredeter"/>
    <w:link w:val="Textocomentario"/>
    <w:uiPriority w:val="99"/>
    <w:rsid w:val="00844996"/>
    <w:rPr>
      <w:rFonts w:ascii="Calibri" w:eastAsia="Calibri" w:hAnsi="Calibri" w:cs="Times New Roman"/>
      <w:sz w:val="20"/>
      <w:szCs w:val="20"/>
    </w:rPr>
  </w:style>
  <w:style w:type="character" w:styleId="Hipervnculo">
    <w:name w:val="Hyperlink"/>
    <w:uiPriority w:val="99"/>
    <w:unhideWhenUsed/>
    <w:rsid w:val="00844996"/>
    <w:rPr>
      <w:color w:val="0563C1"/>
      <w:u w:val="single"/>
    </w:rPr>
  </w:style>
  <w:style w:type="character" w:customStyle="1" w:styleId="apple-converted-space">
    <w:name w:val="apple-converted-space"/>
    <w:rsid w:val="00844996"/>
  </w:style>
  <w:style w:type="paragraph" w:styleId="Textodeglobo">
    <w:name w:val="Balloon Text"/>
    <w:basedOn w:val="Normal"/>
    <w:link w:val="TextodegloboCar"/>
    <w:uiPriority w:val="99"/>
    <w:semiHidden/>
    <w:unhideWhenUsed/>
    <w:rsid w:val="008449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99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C6F6D"/>
    <w:rPr>
      <w:b/>
      <w:bCs/>
    </w:rPr>
  </w:style>
  <w:style w:type="character" w:customStyle="1" w:styleId="AsuntodelcomentarioCar">
    <w:name w:val="Asunto del comentario Car"/>
    <w:basedOn w:val="TextocomentarioCar"/>
    <w:link w:val="Asuntodelcomentario"/>
    <w:uiPriority w:val="99"/>
    <w:semiHidden/>
    <w:rsid w:val="00BC6F6D"/>
    <w:rPr>
      <w:rFonts w:ascii="Calibri" w:eastAsia="Calibri" w:hAnsi="Calibri" w:cs="Times New Roman"/>
      <w:b/>
      <w:bCs/>
      <w:sz w:val="20"/>
      <w:szCs w:val="20"/>
    </w:rPr>
  </w:style>
  <w:style w:type="paragraph" w:styleId="Textonotaalfinal">
    <w:name w:val="endnote text"/>
    <w:basedOn w:val="Normal"/>
    <w:link w:val="TextonotaalfinalCar"/>
    <w:uiPriority w:val="99"/>
    <w:semiHidden/>
    <w:unhideWhenUsed/>
    <w:rsid w:val="00512213"/>
    <w:pPr>
      <w:spacing w:after="0" w:line="240" w:lineRule="auto"/>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512213"/>
    <w:rPr>
      <w:sz w:val="20"/>
      <w:szCs w:val="20"/>
    </w:rPr>
  </w:style>
  <w:style w:type="character" w:styleId="Refdenotaalfinal">
    <w:name w:val="endnote reference"/>
    <w:basedOn w:val="Fuentedeprrafopredeter"/>
    <w:uiPriority w:val="99"/>
    <w:semiHidden/>
    <w:unhideWhenUsed/>
    <w:rsid w:val="00512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2C59-8B43-4B1B-9023-7189A299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3137</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Assuan Olvera Sandoval</cp:lastModifiedBy>
  <cp:revision>3</cp:revision>
  <cp:lastPrinted>2016-06-09T18:07:00Z</cp:lastPrinted>
  <dcterms:created xsi:type="dcterms:W3CDTF">2016-06-16T02:56:00Z</dcterms:created>
  <dcterms:modified xsi:type="dcterms:W3CDTF">2016-06-16T02:57:00Z</dcterms:modified>
</cp:coreProperties>
</file>