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B3478" w14:textId="54F7808C" w:rsidR="006F3CEC" w:rsidRPr="00D25CD5" w:rsidRDefault="006F3CEC" w:rsidP="00D25CD5">
      <w:pPr>
        <w:pStyle w:val="Prrafodelista"/>
        <w:spacing w:after="0"/>
        <w:ind w:left="284"/>
        <w:jc w:val="center"/>
        <w:rPr>
          <w:rFonts w:ascii="ITC Avant Garde" w:eastAsia="Times New Roman" w:hAnsi="ITC Avant Garde" w:cs="Arial"/>
          <w:b/>
          <w:color w:val="939F27"/>
          <w:sz w:val="26"/>
          <w:szCs w:val="26"/>
        </w:rPr>
      </w:pPr>
      <w:r w:rsidRPr="00D25CD5">
        <w:rPr>
          <w:rFonts w:ascii="ITC Avant Garde" w:eastAsia="Times New Roman" w:hAnsi="ITC Avant Garde" w:cs="Arial"/>
          <w:b/>
          <w:color w:val="939F27"/>
          <w:sz w:val="26"/>
          <w:szCs w:val="26"/>
        </w:rPr>
        <w:t>DOCUMENTO DE REFERENCIA</w:t>
      </w:r>
      <w:r w:rsidR="00CD5747">
        <w:rPr>
          <w:rFonts w:ascii="ITC Avant Garde" w:eastAsia="Times New Roman" w:hAnsi="ITC Avant Garde" w:cs="Arial"/>
          <w:b/>
          <w:color w:val="939F27"/>
          <w:sz w:val="26"/>
          <w:szCs w:val="26"/>
        </w:rPr>
        <w:t xml:space="preserve">      </w:t>
      </w:r>
    </w:p>
    <w:p w14:paraId="565DD85F" w14:textId="77777777" w:rsidR="00D25CD5" w:rsidRPr="00D25CD5" w:rsidRDefault="00D25CD5" w:rsidP="00D25CD5">
      <w:pPr>
        <w:pStyle w:val="Prrafodelista"/>
        <w:spacing w:after="0"/>
        <w:ind w:left="284"/>
        <w:jc w:val="center"/>
        <w:rPr>
          <w:rFonts w:ascii="ITC Avant Garde" w:eastAsia="Times New Roman" w:hAnsi="ITC Avant Garde" w:cs="Arial"/>
          <w:b/>
          <w:color w:val="939F27"/>
          <w:sz w:val="26"/>
          <w:szCs w:val="26"/>
        </w:rPr>
      </w:pPr>
    </w:p>
    <w:p w14:paraId="4494462A" w14:textId="34A88656" w:rsidR="00C51208" w:rsidRPr="00D25CD5" w:rsidRDefault="00DB0F71" w:rsidP="00D25CD5">
      <w:pPr>
        <w:pStyle w:val="Prrafodelista"/>
        <w:spacing w:after="0"/>
        <w:ind w:left="284"/>
        <w:jc w:val="center"/>
        <w:rPr>
          <w:rFonts w:ascii="ITC Avant Garde" w:eastAsia="Times New Roman" w:hAnsi="ITC Avant Garde" w:cs="Arial"/>
          <w:b/>
          <w:color w:val="939F27"/>
          <w:sz w:val="26"/>
          <w:szCs w:val="26"/>
        </w:rPr>
      </w:pPr>
      <w:r w:rsidRPr="00D25CD5">
        <w:rPr>
          <w:rFonts w:ascii="ITC Avant Garde" w:eastAsia="Times New Roman" w:hAnsi="ITC Avant Garde" w:cs="Arial"/>
          <w:b/>
          <w:color w:val="939F27"/>
          <w:sz w:val="26"/>
          <w:szCs w:val="26"/>
        </w:rPr>
        <w:t>CONCESIONES DE ESPECTRO RADIOELÉCTRICO PARA EL DESPLIEGUE DE REDES PRIVADAS</w:t>
      </w:r>
    </w:p>
    <w:p w14:paraId="40364F82" w14:textId="77777777" w:rsidR="00D25CD5" w:rsidRPr="00D25CD5" w:rsidRDefault="00D25CD5" w:rsidP="00D25CD5">
      <w:pPr>
        <w:pStyle w:val="Prrafodelista"/>
        <w:spacing w:after="0"/>
        <w:ind w:left="284"/>
        <w:jc w:val="center"/>
        <w:rPr>
          <w:rFonts w:ascii="ITC Avant Garde" w:eastAsia="Times New Roman" w:hAnsi="ITC Avant Garde" w:cs="Arial"/>
          <w:b/>
          <w:color w:val="939F27"/>
        </w:rPr>
      </w:pPr>
    </w:p>
    <w:p w14:paraId="360FE999" w14:textId="6EC9E316" w:rsidR="00D25CD5" w:rsidRPr="00D25CD5" w:rsidRDefault="00DB0F71" w:rsidP="00D25CD5">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D25CD5">
        <w:rPr>
          <w:rFonts w:ascii="ITC Avant Garde" w:eastAsia="Times New Roman" w:hAnsi="ITC Avant Garde" w:cs="Arial"/>
          <w:b/>
          <w:color w:val="939F27"/>
          <w:sz w:val="26"/>
          <w:szCs w:val="26"/>
        </w:rPr>
        <w:t>Antecedentes</w:t>
      </w:r>
    </w:p>
    <w:p w14:paraId="7005BFFA" w14:textId="7E9505E4" w:rsidR="00DB0F71" w:rsidRPr="00D25CD5" w:rsidRDefault="00DB0F71" w:rsidP="00D25CD5">
      <w:pPr>
        <w:pStyle w:val="Prrafodelista"/>
        <w:spacing w:after="0" w:line="240" w:lineRule="auto"/>
        <w:ind w:left="284"/>
        <w:jc w:val="both"/>
        <w:rPr>
          <w:rFonts w:ascii="ITC Avant Garde" w:eastAsia="Times New Roman" w:hAnsi="ITC Avant Garde" w:cs="Arial"/>
          <w:b/>
          <w:color w:val="939F27"/>
        </w:rPr>
      </w:pPr>
    </w:p>
    <w:p w14:paraId="730A1EFB" w14:textId="62570C03" w:rsidR="00DB0F71" w:rsidRDefault="00DB0F71" w:rsidP="00D25CD5">
      <w:pPr>
        <w:pStyle w:val="Prrafodelista"/>
        <w:numPr>
          <w:ilvl w:val="1"/>
          <w:numId w:val="1"/>
        </w:numPr>
        <w:spacing w:after="0" w:line="240" w:lineRule="auto"/>
        <w:ind w:left="426" w:hanging="426"/>
        <w:rPr>
          <w:rFonts w:ascii="ITC Avant Garde" w:hAnsi="ITC Avant Garde"/>
        </w:rPr>
      </w:pPr>
      <w:r w:rsidRPr="00D25CD5">
        <w:rPr>
          <w:rFonts w:ascii="ITC Avant Garde" w:hAnsi="ITC Avant Garde"/>
          <w:b/>
        </w:rPr>
        <w:t>Concepto de red privada</w:t>
      </w:r>
      <w:r w:rsidR="000302ED" w:rsidRPr="006F3CEC">
        <w:rPr>
          <w:rFonts w:ascii="ITC Avant Garde" w:hAnsi="ITC Avant Garde"/>
        </w:rPr>
        <w:t xml:space="preserve"> </w:t>
      </w:r>
    </w:p>
    <w:p w14:paraId="42C6C1F0" w14:textId="77777777" w:rsidR="00D25CD5" w:rsidRPr="006F3CEC" w:rsidRDefault="00D25CD5" w:rsidP="00D25CD5">
      <w:pPr>
        <w:pStyle w:val="Prrafodelista"/>
        <w:spacing w:after="0" w:line="240" w:lineRule="auto"/>
        <w:ind w:left="709"/>
        <w:rPr>
          <w:rFonts w:ascii="ITC Avant Garde" w:hAnsi="ITC Avant Garde"/>
        </w:rPr>
      </w:pPr>
    </w:p>
    <w:p w14:paraId="46016ED8" w14:textId="570F8D6E" w:rsidR="00287753" w:rsidRDefault="00B00AF1" w:rsidP="00D25CD5">
      <w:pPr>
        <w:pStyle w:val="Prrafodelista"/>
        <w:spacing w:after="0" w:line="240" w:lineRule="auto"/>
        <w:ind w:left="0"/>
        <w:jc w:val="both"/>
        <w:rPr>
          <w:rFonts w:ascii="ITC Avant Garde" w:hAnsi="ITC Avant Garde"/>
        </w:rPr>
      </w:pPr>
      <w:r w:rsidRPr="006F3CEC">
        <w:rPr>
          <w:rFonts w:ascii="ITC Avant Garde" w:hAnsi="ITC Avant Garde"/>
        </w:rPr>
        <w:t>A medida que las tecnologías móviles ofrecen más prestaciones y mejor desempeño, tales como las tecnologías 4G y de forma más reciente y destacada las tecnologías 5G, se ha incrementado el interés de diversos sectores productivos para incorporar estas tecnologías en sus procesos y lograr con ello mejoras en su productividad, eficiencia</w:t>
      </w:r>
      <w:r w:rsidR="00946067" w:rsidRPr="006F3CEC">
        <w:rPr>
          <w:rFonts w:ascii="ITC Avant Garde" w:hAnsi="ITC Avant Garde"/>
        </w:rPr>
        <w:t>, competitividad</w:t>
      </w:r>
      <w:r w:rsidRPr="006F3CEC">
        <w:rPr>
          <w:rFonts w:ascii="ITC Avant Garde" w:hAnsi="ITC Avant Garde"/>
        </w:rPr>
        <w:t xml:space="preserve"> y la seguridad de sus operaciones.</w:t>
      </w:r>
    </w:p>
    <w:p w14:paraId="0AB18716" w14:textId="77777777" w:rsidR="00D25CD5" w:rsidRPr="006F3CEC" w:rsidRDefault="00D25CD5" w:rsidP="00D25CD5">
      <w:pPr>
        <w:pStyle w:val="Prrafodelista"/>
        <w:spacing w:after="0" w:line="240" w:lineRule="auto"/>
        <w:ind w:left="709"/>
        <w:jc w:val="both"/>
        <w:rPr>
          <w:rFonts w:ascii="ITC Avant Garde" w:hAnsi="ITC Avant Garde"/>
        </w:rPr>
      </w:pPr>
    </w:p>
    <w:p w14:paraId="2A3C2C64" w14:textId="353DF905" w:rsidR="00B00AF1" w:rsidRDefault="00B00AF1" w:rsidP="00D25CD5">
      <w:pPr>
        <w:pStyle w:val="Prrafodelista"/>
        <w:spacing w:after="0" w:line="240" w:lineRule="auto"/>
        <w:ind w:left="0"/>
        <w:jc w:val="both"/>
        <w:rPr>
          <w:rFonts w:ascii="ITC Avant Garde" w:hAnsi="ITC Avant Garde"/>
        </w:rPr>
      </w:pPr>
      <w:r w:rsidRPr="006F3CEC">
        <w:rPr>
          <w:rFonts w:ascii="ITC Avant Garde" w:hAnsi="ITC Avant Garde"/>
        </w:rPr>
        <w:t>El concepto de red privada no es nuevo, toda vez que se basa en un esquema en el que los usuarios de dicha red constituyen un grupo cerrado</w:t>
      </w:r>
      <w:r w:rsidR="00AA7946">
        <w:rPr>
          <w:rFonts w:ascii="ITC Avant Garde" w:hAnsi="ITC Avant Garde"/>
        </w:rPr>
        <w:t>,</w:t>
      </w:r>
      <w:r w:rsidRPr="006F3CEC">
        <w:rPr>
          <w:rFonts w:ascii="ITC Avant Garde" w:hAnsi="ITC Avant Garde"/>
        </w:rPr>
        <w:t xml:space="preserve"> </w:t>
      </w:r>
      <w:r w:rsidR="00AA7946">
        <w:rPr>
          <w:rFonts w:ascii="ITC Avant Garde" w:hAnsi="ITC Avant Garde"/>
        </w:rPr>
        <w:t>donde</w:t>
      </w:r>
      <w:r w:rsidRPr="006F3CEC">
        <w:rPr>
          <w:rFonts w:ascii="ITC Avant Garde" w:hAnsi="ITC Avant Garde"/>
        </w:rPr>
        <w:t xml:space="preserve"> generalmente la infraestructura de red y los dispositivos son implementados y controlados por dicho grupo. </w:t>
      </w:r>
      <w:r w:rsidR="00946067" w:rsidRPr="006F3CEC">
        <w:rPr>
          <w:rFonts w:ascii="ITC Avant Garde" w:hAnsi="ITC Avant Garde"/>
        </w:rPr>
        <w:t xml:space="preserve">Es así </w:t>
      </w:r>
      <w:r w:rsidR="00AA7946" w:rsidRPr="006F3CEC">
        <w:rPr>
          <w:rFonts w:ascii="ITC Avant Garde" w:hAnsi="ITC Avant Garde"/>
        </w:rPr>
        <w:t>como</w:t>
      </w:r>
      <w:r w:rsidRPr="006F3CEC">
        <w:rPr>
          <w:rFonts w:ascii="ITC Avant Garde" w:hAnsi="ITC Avant Garde"/>
        </w:rPr>
        <w:t>, dentro del concepto general de una red privada se encuentran, por ejemplo, las redes de radiocomunicación especializada de flotillas (</w:t>
      </w:r>
      <w:proofErr w:type="spellStart"/>
      <w:r w:rsidRPr="006F3CEC">
        <w:rPr>
          <w:rFonts w:ascii="ITC Avant Garde" w:hAnsi="ITC Avant Garde"/>
          <w:i/>
        </w:rPr>
        <w:t>trunking</w:t>
      </w:r>
      <w:proofErr w:type="spellEnd"/>
      <w:r w:rsidRPr="006F3CEC">
        <w:rPr>
          <w:rFonts w:ascii="ITC Avant Garde" w:hAnsi="ITC Avant Garde"/>
        </w:rPr>
        <w:t xml:space="preserve">) o radiocomunicación privada de dos vías usadas por empresas, radioenlaces </w:t>
      </w:r>
      <w:r w:rsidR="00FE47F9" w:rsidRPr="006F3CEC">
        <w:rPr>
          <w:rFonts w:ascii="ITC Avant Garde" w:hAnsi="ITC Avant Garde"/>
        </w:rPr>
        <w:t xml:space="preserve">fijos que interconectan edificios e instalaciones de una </w:t>
      </w:r>
      <w:r w:rsidR="00946067" w:rsidRPr="006F3CEC">
        <w:rPr>
          <w:rFonts w:ascii="ITC Avant Garde" w:hAnsi="ITC Avant Garde"/>
        </w:rPr>
        <w:t>planta de producción</w:t>
      </w:r>
      <w:r w:rsidR="00FE47F9" w:rsidRPr="006F3CEC">
        <w:rPr>
          <w:rFonts w:ascii="ITC Avant Garde" w:hAnsi="ITC Avant Garde"/>
        </w:rPr>
        <w:t>, e incluso la red telefónica interna de una oficina.</w:t>
      </w:r>
    </w:p>
    <w:p w14:paraId="7F496A17" w14:textId="77777777" w:rsidR="00D25CD5" w:rsidRPr="006F3CEC" w:rsidRDefault="00D25CD5" w:rsidP="00D25CD5">
      <w:pPr>
        <w:pStyle w:val="Prrafodelista"/>
        <w:spacing w:after="0" w:line="240" w:lineRule="auto"/>
        <w:ind w:left="0"/>
        <w:jc w:val="both"/>
        <w:rPr>
          <w:rFonts w:ascii="ITC Avant Garde" w:hAnsi="ITC Avant Garde"/>
        </w:rPr>
      </w:pPr>
    </w:p>
    <w:p w14:paraId="2C84A5C0" w14:textId="68919C54" w:rsidR="00FE47F9" w:rsidRDefault="00FE47F9" w:rsidP="00D25CD5">
      <w:pPr>
        <w:pStyle w:val="Prrafodelista"/>
        <w:spacing w:after="0" w:line="240" w:lineRule="auto"/>
        <w:ind w:left="0"/>
        <w:jc w:val="both"/>
        <w:rPr>
          <w:rFonts w:ascii="ITC Avant Garde" w:hAnsi="ITC Avant Garde"/>
        </w:rPr>
      </w:pPr>
      <w:r w:rsidRPr="006F3CEC">
        <w:rPr>
          <w:rFonts w:ascii="ITC Avant Garde" w:hAnsi="ITC Avant Garde"/>
        </w:rPr>
        <w:t xml:space="preserve">Las tecnologías de banda ancha móvil, hasta </w:t>
      </w:r>
      <w:r w:rsidR="00946067" w:rsidRPr="006F3CEC">
        <w:rPr>
          <w:rFonts w:ascii="ITC Avant Garde" w:hAnsi="ITC Avant Garde"/>
        </w:rPr>
        <w:t xml:space="preserve">hace </w:t>
      </w:r>
      <w:r w:rsidR="003D5DDD" w:rsidRPr="006F3CEC">
        <w:rPr>
          <w:rFonts w:ascii="ITC Avant Garde" w:hAnsi="ITC Avant Garde"/>
        </w:rPr>
        <w:t xml:space="preserve">no </w:t>
      </w:r>
      <w:r w:rsidRPr="006F3CEC">
        <w:rPr>
          <w:rFonts w:ascii="ITC Avant Garde" w:hAnsi="ITC Avant Garde"/>
        </w:rPr>
        <w:t>mucho, eran prácticamente de uso exclusivo de los grandes operadores de telecomunicaciones, para la provisión de servicios públicos de banda ancha móvil dirigidos al mercado masivo a nivel nacional</w:t>
      </w:r>
      <w:r w:rsidR="00946067" w:rsidRPr="006F3CEC">
        <w:rPr>
          <w:rFonts w:ascii="ITC Avant Garde" w:hAnsi="ITC Avant Garde"/>
        </w:rPr>
        <w:t xml:space="preserve"> o regional</w:t>
      </w:r>
      <w:r w:rsidRPr="006F3CEC">
        <w:rPr>
          <w:rFonts w:ascii="ITC Avant Garde" w:hAnsi="ITC Avant Garde"/>
        </w:rPr>
        <w:t xml:space="preserve">; dado que los costos de despliegue de la red, la complejidad de su implementación </w:t>
      </w:r>
      <w:r w:rsidR="00946067" w:rsidRPr="006F3CEC">
        <w:rPr>
          <w:rFonts w:ascii="ITC Avant Garde" w:hAnsi="ITC Avant Garde"/>
        </w:rPr>
        <w:t xml:space="preserve">y </w:t>
      </w:r>
      <w:r w:rsidRPr="006F3CEC">
        <w:rPr>
          <w:rFonts w:ascii="ITC Avant Garde" w:hAnsi="ITC Avant Garde"/>
        </w:rPr>
        <w:t>la tecnología desarrollada estaba</w:t>
      </w:r>
      <w:r w:rsidR="00AA7946">
        <w:rPr>
          <w:rFonts w:ascii="ITC Avant Garde" w:hAnsi="ITC Avant Garde"/>
        </w:rPr>
        <w:t>n</w:t>
      </w:r>
      <w:r w:rsidRPr="006F3CEC">
        <w:rPr>
          <w:rFonts w:ascii="ITC Avant Garde" w:hAnsi="ITC Avant Garde"/>
        </w:rPr>
        <w:t xml:space="preserve"> </w:t>
      </w:r>
      <w:r w:rsidR="00AA7946">
        <w:rPr>
          <w:rFonts w:ascii="ITC Avant Garde" w:hAnsi="ITC Avant Garde"/>
        </w:rPr>
        <w:t>asociados</w:t>
      </w:r>
      <w:r w:rsidRPr="006F3CEC">
        <w:rPr>
          <w:rFonts w:ascii="ITC Avant Garde" w:hAnsi="ITC Avant Garde"/>
        </w:rPr>
        <w:t xml:space="preserve"> </w:t>
      </w:r>
      <w:r w:rsidR="00AA7946">
        <w:rPr>
          <w:rFonts w:ascii="ITC Avant Garde" w:hAnsi="ITC Avant Garde"/>
        </w:rPr>
        <w:t>a</w:t>
      </w:r>
      <w:r w:rsidRPr="006F3CEC">
        <w:rPr>
          <w:rFonts w:ascii="ITC Avant Garde" w:hAnsi="ITC Avant Garde"/>
        </w:rPr>
        <w:t xml:space="preserve"> estos mercados, </w:t>
      </w:r>
      <w:r w:rsidR="00946067" w:rsidRPr="006F3CEC">
        <w:rPr>
          <w:rFonts w:ascii="ITC Avant Garde" w:hAnsi="ITC Avant Garde"/>
        </w:rPr>
        <w:t xml:space="preserve">por lo que </w:t>
      </w:r>
      <w:r w:rsidRPr="006F3CEC">
        <w:rPr>
          <w:rFonts w:ascii="ITC Avant Garde" w:hAnsi="ITC Avant Garde"/>
        </w:rPr>
        <w:t>era poco probable que un agente, diferente a los operadores comerciales, accediera a este ecosistema.</w:t>
      </w:r>
      <w:r w:rsidR="0011041A">
        <w:rPr>
          <w:rFonts w:ascii="ITC Avant Garde" w:hAnsi="ITC Avant Garde"/>
        </w:rPr>
        <w:t xml:space="preserve"> </w:t>
      </w:r>
      <w:r w:rsidRPr="006F3CEC">
        <w:rPr>
          <w:rFonts w:ascii="ITC Avant Garde" w:hAnsi="ITC Avant Garde"/>
        </w:rPr>
        <w:t xml:space="preserve">No obstante, en años recientes han surgido alternativas </w:t>
      </w:r>
      <w:r w:rsidR="003D5DDD">
        <w:rPr>
          <w:rFonts w:ascii="ITC Avant Garde" w:hAnsi="ITC Avant Garde"/>
        </w:rPr>
        <w:t>por</w:t>
      </w:r>
      <w:r w:rsidR="003D5DDD" w:rsidRPr="006F3CEC">
        <w:rPr>
          <w:rFonts w:ascii="ITC Avant Garde" w:hAnsi="ITC Avant Garde"/>
        </w:rPr>
        <w:t xml:space="preserve"> </w:t>
      </w:r>
      <w:r w:rsidRPr="006F3CEC">
        <w:rPr>
          <w:rFonts w:ascii="ITC Avant Garde" w:hAnsi="ITC Avant Garde"/>
        </w:rPr>
        <w:t>las cuales empieza a hacer sentido económico y práctico para diversos sectores incorporar estas tecnologías en sus operaciones.</w:t>
      </w:r>
      <w:r w:rsidR="0011041A">
        <w:rPr>
          <w:rFonts w:ascii="ITC Avant Garde" w:hAnsi="ITC Avant Garde"/>
        </w:rPr>
        <w:t xml:space="preserve"> </w:t>
      </w:r>
    </w:p>
    <w:p w14:paraId="128A2E3A" w14:textId="77777777" w:rsidR="00D25CD5" w:rsidRPr="006F3CEC" w:rsidRDefault="00D25CD5" w:rsidP="00D25CD5">
      <w:pPr>
        <w:pStyle w:val="Prrafodelista"/>
        <w:spacing w:after="0" w:line="240" w:lineRule="auto"/>
        <w:ind w:left="0"/>
        <w:jc w:val="both"/>
        <w:rPr>
          <w:rFonts w:ascii="ITC Avant Garde" w:hAnsi="ITC Avant Garde"/>
        </w:rPr>
      </w:pPr>
    </w:p>
    <w:p w14:paraId="4E5BFA41" w14:textId="28AFDF96" w:rsidR="009D316D" w:rsidRDefault="00FE47F9" w:rsidP="00D25CD5">
      <w:pPr>
        <w:pStyle w:val="Prrafodelista"/>
        <w:spacing w:after="0" w:line="240" w:lineRule="auto"/>
        <w:ind w:left="0"/>
        <w:jc w:val="both"/>
        <w:rPr>
          <w:rFonts w:ascii="ITC Avant Garde" w:hAnsi="ITC Avant Garde"/>
        </w:rPr>
      </w:pPr>
      <w:r w:rsidRPr="006F3CEC">
        <w:rPr>
          <w:rFonts w:ascii="ITC Avant Garde" w:hAnsi="ITC Avant Garde"/>
        </w:rPr>
        <w:t>Gracias a la disminución de costos para acceder a la tecnología de redes 4G y 5G, la simplificación de los componentes de hardware</w:t>
      </w:r>
      <w:r w:rsidR="00946067" w:rsidRPr="006F3CEC">
        <w:rPr>
          <w:rFonts w:ascii="ITC Avant Garde" w:hAnsi="ITC Avant Garde"/>
        </w:rPr>
        <w:t xml:space="preserve"> y una mayor facilidad para su gestión</w:t>
      </w:r>
      <w:r w:rsidR="0011041A">
        <w:rPr>
          <w:rFonts w:ascii="ITC Avant Garde" w:hAnsi="ITC Avant Garde"/>
        </w:rPr>
        <w:t>;</w:t>
      </w:r>
      <w:r w:rsidR="00946067" w:rsidRPr="006F3CEC">
        <w:rPr>
          <w:rFonts w:ascii="ITC Avant Garde" w:hAnsi="ITC Avant Garde"/>
        </w:rPr>
        <w:t xml:space="preserve"> </w:t>
      </w:r>
      <w:r w:rsidRPr="006F3CEC">
        <w:rPr>
          <w:rFonts w:ascii="ITC Avant Garde" w:hAnsi="ITC Avant Garde"/>
        </w:rPr>
        <w:t xml:space="preserve">las economías de escala </w:t>
      </w:r>
      <w:r w:rsidR="00946067" w:rsidRPr="006F3CEC">
        <w:rPr>
          <w:rFonts w:ascii="ITC Avant Garde" w:hAnsi="ITC Avant Garde"/>
        </w:rPr>
        <w:t xml:space="preserve">disponibles </w:t>
      </w:r>
      <w:r w:rsidRPr="006F3CEC">
        <w:rPr>
          <w:rFonts w:ascii="ITC Avant Garde" w:hAnsi="ITC Avant Garde"/>
        </w:rPr>
        <w:t xml:space="preserve">en los dispositivos de usuario y módulos de </w:t>
      </w:r>
      <w:r w:rsidR="008609B6" w:rsidRPr="006F3CEC">
        <w:rPr>
          <w:rFonts w:ascii="ITC Avant Garde" w:hAnsi="ITC Avant Garde"/>
        </w:rPr>
        <w:t>conectividad,</w:t>
      </w:r>
      <w:r w:rsidRPr="006F3CEC">
        <w:rPr>
          <w:rFonts w:ascii="ITC Avant Garde" w:hAnsi="ITC Avant Garde"/>
        </w:rPr>
        <w:t xml:space="preserve"> </w:t>
      </w:r>
      <w:r w:rsidR="0011041A">
        <w:rPr>
          <w:rFonts w:ascii="ITC Avant Garde" w:hAnsi="ITC Avant Garde"/>
        </w:rPr>
        <w:t>y</w:t>
      </w:r>
      <w:r w:rsidR="00946067" w:rsidRPr="006F3CEC">
        <w:rPr>
          <w:rFonts w:ascii="ITC Avant Garde" w:hAnsi="ITC Avant Garde"/>
        </w:rPr>
        <w:t xml:space="preserve"> </w:t>
      </w:r>
      <w:r w:rsidRPr="006F3CEC">
        <w:rPr>
          <w:rFonts w:ascii="ITC Avant Garde" w:hAnsi="ITC Avant Garde"/>
        </w:rPr>
        <w:t xml:space="preserve">el surgimiento de múltiples casos de uso aplicados a </w:t>
      </w:r>
      <w:r w:rsidR="00946067" w:rsidRPr="006F3CEC">
        <w:rPr>
          <w:rFonts w:ascii="ITC Avant Garde" w:hAnsi="ITC Avant Garde"/>
        </w:rPr>
        <w:t xml:space="preserve">una gran variedad </w:t>
      </w:r>
      <w:r w:rsidR="0011041A" w:rsidRPr="006F3CEC">
        <w:rPr>
          <w:rFonts w:ascii="ITC Avant Garde" w:hAnsi="ITC Avant Garde"/>
          <w:noProof/>
        </w:rPr>
        <w:lastRenderedPageBreak/>
        <w:drawing>
          <wp:anchor distT="0" distB="0" distL="114300" distR="114300" simplePos="0" relativeHeight="251658240" behindDoc="1" locked="0" layoutInCell="0" allowOverlap="1" wp14:anchorId="3BE507B2" wp14:editId="1189B5AF">
            <wp:simplePos x="0" y="0"/>
            <wp:positionH relativeFrom="page">
              <wp:posOffset>-337820</wp:posOffset>
            </wp:positionH>
            <wp:positionV relativeFrom="page">
              <wp:posOffset>-57785</wp:posOffset>
            </wp:positionV>
            <wp:extent cx="7772400" cy="10058400"/>
            <wp:effectExtent l="0" t="0" r="0" b="0"/>
            <wp:wrapNone/>
            <wp:docPr id="2" name="Imagen 2" descr="Demarcacion Territorial_bostón_bos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36245236" descr="Demarcacion Territorial_bostón_bostó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946067" w:rsidRPr="006F3CEC">
        <w:rPr>
          <w:rFonts w:ascii="ITC Avant Garde" w:hAnsi="ITC Avant Garde"/>
        </w:rPr>
        <w:t xml:space="preserve">de procesos productivos, </w:t>
      </w:r>
      <w:r w:rsidR="003D5DDD">
        <w:rPr>
          <w:rFonts w:ascii="ITC Avant Garde" w:hAnsi="ITC Avant Garde"/>
        </w:rPr>
        <w:t xml:space="preserve">se </w:t>
      </w:r>
      <w:r w:rsidR="00946067" w:rsidRPr="006F3CEC">
        <w:rPr>
          <w:rFonts w:ascii="ITC Avant Garde" w:hAnsi="ITC Avant Garde"/>
        </w:rPr>
        <w:t>ha desencadenado el interés de diversas industrias para acceder a estas tecnologías.</w:t>
      </w:r>
    </w:p>
    <w:p w14:paraId="6591F5FD" w14:textId="77777777" w:rsidR="00D25CD5" w:rsidRPr="006F3CEC" w:rsidRDefault="00D25CD5" w:rsidP="00D25CD5">
      <w:pPr>
        <w:pStyle w:val="Prrafodelista"/>
        <w:spacing w:after="0" w:line="240" w:lineRule="auto"/>
        <w:ind w:left="709"/>
        <w:jc w:val="both"/>
        <w:rPr>
          <w:rFonts w:ascii="ITC Avant Garde" w:hAnsi="ITC Avant Garde"/>
        </w:rPr>
      </w:pPr>
    </w:p>
    <w:p w14:paraId="0C443A60" w14:textId="4074ABA0" w:rsidR="0052131F" w:rsidRPr="00D25CD5" w:rsidRDefault="0052131F" w:rsidP="00D25CD5">
      <w:pPr>
        <w:pStyle w:val="Prrafodelista"/>
        <w:numPr>
          <w:ilvl w:val="1"/>
          <w:numId w:val="1"/>
        </w:numPr>
        <w:spacing w:after="0" w:line="240" w:lineRule="auto"/>
        <w:ind w:left="284" w:hanging="284"/>
        <w:jc w:val="both"/>
        <w:rPr>
          <w:rFonts w:ascii="ITC Avant Garde" w:hAnsi="ITC Avant Garde"/>
          <w:b/>
        </w:rPr>
      </w:pPr>
      <w:r w:rsidRPr="00D25CD5">
        <w:rPr>
          <w:rFonts w:ascii="ITC Avant Garde" w:hAnsi="ITC Avant Garde"/>
          <w:b/>
        </w:rPr>
        <w:t>Tecnología</w:t>
      </w:r>
      <w:r w:rsidR="004148C7" w:rsidRPr="00D25CD5">
        <w:rPr>
          <w:rFonts w:ascii="ITC Avant Garde" w:hAnsi="ITC Avant Garde"/>
          <w:b/>
        </w:rPr>
        <w:t>s habilitantes</w:t>
      </w:r>
      <w:r w:rsidRPr="00D25CD5">
        <w:rPr>
          <w:rFonts w:ascii="ITC Avant Garde" w:hAnsi="ITC Avant Garde"/>
          <w:b/>
        </w:rPr>
        <w:t xml:space="preserve"> </w:t>
      </w:r>
    </w:p>
    <w:p w14:paraId="100774D4" w14:textId="77777777" w:rsidR="004148C7" w:rsidRPr="006F3CEC" w:rsidRDefault="004148C7" w:rsidP="00D25CD5">
      <w:pPr>
        <w:pStyle w:val="Prrafodelista"/>
        <w:spacing w:after="0" w:line="240" w:lineRule="auto"/>
        <w:ind w:left="709"/>
        <w:rPr>
          <w:rFonts w:ascii="ITC Avant Garde" w:hAnsi="ITC Avant Garde"/>
        </w:rPr>
      </w:pPr>
    </w:p>
    <w:p w14:paraId="74FB293A" w14:textId="6E7E82D8" w:rsidR="004148C7" w:rsidRPr="006F3CEC" w:rsidRDefault="004148C7" w:rsidP="00D25CD5">
      <w:pPr>
        <w:pStyle w:val="Prrafodelista"/>
        <w:spacing w:after="0" w:line="240" w:lineRule="auto"/>
        <w:ind w:left="0"/>
        <w:jc w:val="both"/>
        <w:rPr>
          <w:rFonts w:ascii="ITC Avant Garde" w:hAnsi="ITC Avant Garde"/>
        </w:rPr>
      </w:pPr>
      <w:r w:rsidRPr="006F3CEC">
        <w:rPr>
          <w:rFonts w:ascii="ITC Avant Garde" w:hAnsi="ITC Avant Garde"/>
        </w:rPr>
        <w:t xml:space="preserve">Las tecnologías de conectividad inalámbrica </w:t>
      </w:r>
      <w:r w:rsidR="005545F4">
        <w:rPr>
          <w:rFonts w:ascii="ITC Avant Garde" w:hAnsi="ITC Avant Garde"/>
        </w:rPr>
        <w:t>d</w:t>
      </w:r>
      <w:r w:rsidR="005545F4" w:rsidRPr="005545F4">
        <w:rPr>
          <w:rFonts w:ascii="ITC Avant Garde" w:hAnsi="ITC Avant Garde"/>
        </w:rPr>
        <w:t>isponible</w:t>
      </w:r>
      <w:r w:rsidR="005545F4">
        <w:rPr>
          <w:rFonts w:ascii="ITC Avant Garde" w:hAnsi="ITC Avant Garde"/>
        </w:rPr>
        <w:t>s</w:t>
      </w:r>
      <w:r w:rsidR="005545F4" w:rsidRPr="005545F4">
        <w:rPr>
          <w:rFonts w:ascii="ITC Avant Garde" w:hAnsi="ITC Avant Garde"/>
        </w:rPr>
        <w:t xml:space="preserve"> y desarrollada</w:t>
      </w:r>
      <w:r w:rsidR="005545F4">
        <w:rPr>
          <w:rFonts w:ascii="ITC Avant Garde" w:hAnsi="ITC Avant Garde"/>
        </w:rPr>
        <w:t>s</w:t>
      </w:r>
      <w:r w:rsidR="005545F4" w:rsidRPr="005545F4">
        <w:rPr>
          <w:rFonts w:ascii="ITC Avant Garde" w:hAnsi="ITC Avant Garde"/>
        </w:rPr>
        <w:t xml:space="preserve"> comercialmente</w:t>
      </w:r>
      <w:r w:rsidR="005545F4">
        <w:rPr>
          <w:rFonts w:ascii="ITC Avant Garde" w:hAnsi="ITC Avant Garde"/>
        </w:rPr>
        <w:t xml:space="preserve"> </w:t>
      </w:r>
      <w:r w:rsidRPr="006F3CEC">
        <w:rPr>
          <w:rFonts w:ascii="ITC Avant Garde" w:hAnsi="ITC Avant Garde"/>
        </w:rPr>
        <w:t xml:space="preserve">para redes privadas como 4G, 5G y </w:t>
      </w:r>
      <w:proofErr w:type="spellStart"/>
      <w:r w:rsidRPr="006F3CEC">
        <w:rPr>
          <w:rFonts w:ascii="ITC Avant Garde" w:hAnsi="ITC Avant Garde"/>
        </w:rPr>
        <w:t>Wi</w:t>
      </w:r>
      <w:proofErr w:type="spellEnd"/>
      <w:r w:rsidRPr="006F3CEC">
        <w:rPr>
          <w:rFonts w:ascii="ITC Avant Garde" w:hAnsi="ITC Avant Garde"/>
        </w:rPr>
        <w:t>-Fi permiten un despliegue rápido de la red, con distintas prestaciones en términos de velocidad de transmisión de datos, seguridad de la información, latencia</w:t>
      </w:r>
      <w:r w:rsidRPr="006F3CEC">
        <w:rPr>
          <w:rStyle w:val="Refdenotaalpie"/>
          <w:rFonts w:ascii="ITC Avant Garde" w:hAnsi="ITC Avant Garde"/>
        </w:rPr>
        <w:footnoteReference w:id="2"/>
      </w:r>
      <w:r w:rsidRPr="006F3CEC">
        <w:rPr>
          <w:rFonts w:ascii="ITC Avant Garde" w:hAnsi="ITC Avant Garde"/>
        </w:rPr>
        <w:t xml:space="preserve"> y versatilidad en la configuración de las redes y de los servicios que se pueden ofrecer a través de ellas. En todos los casos, las redes de datos que utilizan tecnologías de conectividad inalámbrica prescinden del uso de cableado entre los equipos terminales (ya sean de usuarios humanos o de máquinas) y los puntos de conexión terminal de la red (ya sea un “</w:t>
      </w:r>
      <w:r w:rsidRPr="006F3CEC">
        <w:rPr>
          <w:rFonts w:ascii="ITC Avant Garde" w:hAnsi="ITC Avant Garde"/>
          <w:i/>
          <w:iCs/>
        </w:rPr>
        <w:t>Access Point</w:t>
      </w:r>
      <w:r w:rsidR="00DA4828" w:rsidRPr="006F3CEC">
        <w:rPr>
          <w:rFonts w:ascii="ITC Avant Garde" w:hAnsi="ITC Avant Garde"/>
        </w:rPr>
        <w:t>”</w:t>
      </w:r>
      <w:r w:rsidRPr="006F3CEC">
        <w:rPr>
          <w:rFonts w:ascii="ITC Avant Garde" w:hAnsi="ITC Avant Garde"/>
        </w:rPr>
        <w:t xml:space="preserve"> de </w:t>
      </w:r>
      <w:proofErr w:type="spellStart"/>
      <w:r w:rsidRPr="006F3CEC">
        <w:rPr>
          <w:rFonts w:ascii="ITC Avant Garde" w:hAnsi="ITC Avant Garde"/>
        </w:rPr>
        <w:t>Wi</w:t>
      </w:r>
      <w:proofErr w:type="spellEnd"/>
      <w:r w:rsidRPr="006F3CEC">
        <w:rPr>
          <w:rFonts w:ascii="ITC Avant Garde" w:hAnsi="ITC Avant Garde"/>
        </w:rPr>
        <w:t xml:space="preserve">-Fi o una </w:t>
      </w:r>
      <w:proofErr w:type="spellStart"/>
      <w:r w:rsidRPr="006F3CEC">
        <w:rPr>
          <w:rFonts w:ascii="ITC Avant Garde" w:hAnsi="ITC Avant Garde"/>
        </w:rPr>
        <w:t>mirco</w:t>
      </w:r>
      <w:proofErr w:type="spellEnd"/>
      <w:r w:rsidRPr="006F3CEC">
        <w:rPr>
          <w:rFonts w:ascii="ITC Avant Garde" w:hAnsi="ITC Avant Garde"/>
        </w:rPr>
        <w:t xml:space="preserve"> o pico celda 4G o 5G).</w:t>
      </w:r>
    </w:p>
    <w:p w14:paraId="62697C1F" w14:textId="77777777" w:rsidR="004148C7" w:rsidRPr="006F3CEC" w:rsidRDefault="004148C7" w:rsidP="00D25CD5">
      <w:pPr>
        <w:pStyle w:val="Prrafodelista"/>
        <w:spacing w:after="0" w:line="240" w:lineRule="auto"/>
        <w:ind w:left="709"/>
        <w:rPr>
          <w:rFonts w:ascii="ITC Avant Garde" w:hAnsi="ITC Avant Garde"/>
        </w:rPr>
      </w:pPr>
    </w:p>
    <w:p w14:paraId="3B689FF5" w14:textId="78FADDFA" w:rsidR="00287753" w:rsidRPr="00A021B8" w:rsidRDefault="00287753" w:rsidP="00D25CD5">
      <w:pPr>
        <w:pStyle w:val="Prrafodelista"/>
        <w:spacing w:after="0" w:line="240" w:lineRule="auto"/>
        <w:ind w:left="0"/>
        <w:rPr>
          <w:rFonts w:ascii="ITC Avant Garde" w:hAnsi="ITC Avant Garde"/>
          <w:b/>
        </w:rPr>
      </w:pPr>
      <w:r w:rsidRPr="00A021B8">
        <w:rPr>
          <w:rFonts w:ascii="ITC Avant Garde" w:hAnsi="ITC Avant Garde"/>
          <w:b/>
        </w:rPr>
        <w:t xml:space="preserve">Tecnología </w:t>
      </w:r>
      <w:proofErr w:type="spellStart"/>
      <w:r w:rsidRPr="00A021B8">
        <w:rPr>
          <w:rFonts w:ascii="ITC Avant Garde" w:hAnsi="ITC Avant Garde"/>
          <w:b/>
        </w:rPr>
        <w:t>Wi</w:t>
      </w:r>
      <w:proofErr w:type="spellEnd"/>
      <w:r w:rsidRPr="00A021B8">
        <w:rPr>
          <w:rFonts w:ascii="ITC Avant Garde" w:hAnsi="ITC Avant Garde"/>
          <w:b/>
        </w:rPr>
        <w:t>-Fi</w:t>
      </w:r>
    </w:p>
    <w:p w14:paraId="22860936" w14:textId="77777777" w:rsidR="00287753" w:rsidRPr="006F3CEC" w:rsidRDefault="00287753" w:rsidP="00D25CD5">
      <w:pPr>
        <w:pStyle w:val="Prrafodelista"/>
        <w:spacing w:after="0" w:line="240" w:lineRule="auto"/>
        <w:ind w:left="0"/>
        <w:rPr>
          <w:rFonts w:ascii="ITC Avant Garde" w:hAnsi="ITC Avant Garde"/>
        </w:rPr>
      </w:pPr>
    </w:p>
    <w:p w14:paraId="03CB9A64" w14:textId="439DC9CE" w:rsidR="004148C7" w:rsidRPr="006F3CEC" w:rsidRDefault="004148C7" w:rsidP="00D25CD5">
      <w:pPr>
        <w:pStyle w:val="Prrafodelista"/>
        <w:spacing w:after="0" w:line="240" w:lineRule="auto"/>
        <w:ind w:left="0"/>
        <w:jc w:val="both"/>
        <w:rPr>
          <w:rFonts w:ascii="ITC Avant Garde" w:hAnsi="ITC Avant Garde"/>
        </w:rPr>
      </w:pPr>
      <w:r w:rsidRPr="006F3CEC">
        <w:rPr>
          <w:rFonts w:ascii="ITC Avant Garde" w:hAnsi="ITC Avant Garde"/>
        </w:rPr>
        <w:t xml:space="preserve">La tecnología de </w:t>
      </w:r>
      <w:proofErr w:type="spellStart"/>
      <w:r w:rsidRPr="006F3CEC">
        <w:rPr>
          <w:rFonts w:ascii="ITC Avant Garde" w:hAnsi="ITC Avant Garde"/>
        </w:rPr>
        <w:t>Wi</w:t>
      </w:r>
      <w:proofErr w:type="spellEnd"/>
      <w:r w:rsidRPr="006F3CEC">
        <w:rPr>
          <w:rFonts w:ascii="ITC Avant Garde" w:hAnsi="ITC Avant Garde"/>
        </w:rPr>
        <w:t xml:space="preserve">-Fi (estándares </w:t>
      </w:r>
      <w:r w:rsidR="00DA4828" w:rsidRPr="006F3CEC">
        <w:rPr>
          <w:rFonts w:ascii="ITC Avant Garde" w:hAnsi="ITC Avant Garde"/>
        </w:rPr>
        <w:t>IEEE</w:t>
      </w:r>
      <w:r w:rsidR="00240FD7" w:rsidRPr="006F3CEC">
        <w:rPr>
          <w:rFonts w:ascii="ITC Avant Garde" w:hAnsi="ITC Avant Garde"/>
        </w:rPr>
        <w:t xml:space="preserve"> </w:t>
      </w:r>
      <w:r w:rsidRPr="006F3CEC">
        <w:rPr>
          <w:rFonts w:ascii="ITC Avant Garde" w:hAnsi="ITC Avant Garde"/>
        </w:rPr>
        <w:t>802.11</w:t>
      </w:r>
      <w:r w:rsidR="00287753" w:rsidRPr="006F3CEC">
        <w:rPr>
          <w:rStyle w:val="Refdenotaalpie"/>
          <w:rFonts w:ascii="ITC Avant Garde" w:hAnsi="ITC Avant Garde"/>
        </w:rPr>
        <w:footnoteReference w:id="3"/>
      </w:r>
      <w:r w:rsidRPr="006F3CEC">
        <w:rPr>
          <w:rFonts w:ascii="ITC Avant Garde" w:hAnsi="ITC Avant Garde"/>
        </w:rPr>
        <w:t xml:space="preserve"> en sus distintas variantes) utilizan bandas de espectro libre</w:t>
      </w:r>
      <w:r w:rsidRPr="006F3CEC">
        <w:rPr>
          <w:rStyle w:val="Refdenotaalpie"/>
          <w:rFonts w:ascii="ITC Avant Garde" w:hAnsi="ITC Avant Garde"/>
        </w:rPr>
        <w:footnoteReference w:id="4"/>
      </w:r>
      <w:r w:rsidRPr="006F3CEC">
        <w:rPr>
          <w:rFonts w:ascii="ITC Avant Garde" w:hAnsi="ITC Avant Garde"/>
        </w:rPr>
        <w:t xml:space="preserve"> que, de conformidad con la normatividad vigente, no requiere de concesión ni autorización del Instituto para poder ser utilizado. En ese sentido, en el presente documento no se abundará sobre esta tecnología habilitante</w:t>
      </w:r>
      <w:r w:rsidR="0011041A">
        <w:rPr>
          <w:rFonts w:ascii="ITC Avant Garde" w:hAnsi="ITC Avant Garde"/>
        </w:rPr>
        <w:t>,</w:t>
      </w:r>
      <w:r w:rsidRPr="006F3CEC">
        <w:rPr>
          <w:rFonts w:ascii="ITC Avant Garde" w:hAnsi="ITC Avant Garde"/>
        </w:rPr>
        <w:t xml:space="preserve"> ya que solo se abordarán los casos en que se requiera de una concesión sobre el espectro radioeléctrico</w:t>
      </w:r>
      <w:r w:rsidR="00DA4828" w:rsidRPr="006F3CEC">
        <w:rPr>
          <w:rFonts w:ascii="ITC Avant Garde" w:hAnsi="ITC Avant Garde"/>
        </w:rPr>
        <w:t>, en términos de la Ley Federal de Telecomunicaciones y Ra</w:t>
      </w:r>
      <w:r w:rsidR="00287753" w:rsidRPr="006F3CEC">
        <w:rPr>
          <w:rFonts w:ascii="ITC Avant Garde" w:hAnsi="ITC Avant Garde"/>
        </w:rPr>
        <w:t>d</w:t>
      </w:r>
      <w:r w:rsidR="00DA4828" w:rsidRPr="006F3CEC">
        <w:rPr>
          <w:rFonts w:ascii="ITC Avant Garde" w:hAnsi="ITC Avant Garde"/>
        </w:rPr>
        <w:t>iodifusión.</w:t>
      </w:r>
    </w:p>
    <w:p w14:paraId="0CBC0BDD" w14:textId="77777777" w:rsidR="00DA4828" w:rsidRPr="006F3CEC" w:rsidRDefault="00DA4828" w:rsidP="00D25CD5">
      <w:pPr>
        <w:pStyle w:val="Prrafodelista"/>
        <w:spacing w:after="0" w:line="240" w:lineRule="auto"/>
        <w:ind w:left="0"/>
        <w:rPr>
          <w:rFonts w:ascii="ITC Avant Garde" w:hAnsi="ITC Avant Garde"/>
        </w:rPr>
      </w:pPr>
    </w:p>
    <w:p w14:paraId="756BCF05" w14:textId="6407AA01" w:rsidR="00DA4828" w:rsidRPr="00CB7BD5" w:rsidRDefault="00DA4828" w:rsidP="00D25CD5">
      <w:pPr>
        <w:pStyle w:val="Prrafodelista"/>
        <w:spacing w:after="0" w:line="240" w:lineRule="auto"/>
        <w:ind w:left="0"/>
        <w:rPr>
          <w:rFonts w:ascii="ITC Avant Garde" w:hAnsi="ITC Avant Garde"/>
          <w:b/>
        </w:rPr>
      </w:pPr>
      <w:r w:rsidRPr="00CB7BD5">
        <w:rPr>
          <w:rFonts w:ascii="ITC Avant Garde" w:hAnsi="ITC Avant Garde"/>
          <w:b/>
        </w:rPr>
        <w:t>Tecnología móvil 4G</w:t>
      </w:r>
    </w:p>
    <w:p w14:paraId="648838C8" w14:textId="77777777" w:rsidR="00DC01FB" w:rsidRPr="0011041A" w:rsidRDefault="00DC01FB" w:rsidP="00D25CD5">
      <w:pPr>
        <w:pStyle w:val="Prrafodelista"/>
        <w:spacing w:after="0" w:line="240" w:lineRule="auto"/>
        <w:ind w:left="0"/>
        <w:rPr>
          <w:rFonts w:ascii="ITC Avant Garde" w:hAnsi="ITC Avant Garde"/>
          <w:b/>
          <w:highlight w:val="yellow"/>
        </w:rPr>
      </w:pPr>
    </w:p>
    <w:p w14:paraId="34A81E00" w14:textId="06A87EAC" w:rsidR="00E504DA" w:rsidRPr="00E504DA" w:rsidRDefault="00E504DA" w:rsidP="002E376E">
      <w:pPr>
        <w:spacing w:after="0" w:line="240" w:lineRule="auto"/>
        <w:jc w:val="both"/>
        <w:rPr>
          <w:rFonts w:ascii="ITC Avant Garde" w:hAnsi="ITC Avant Garde"/>
        </w:rPr>
      </w:pPr>
      <w:r w:rsidRPr="00E504DA">
        <w:rPr>
          <w:rFonts w:ascii="ITC Avant Garde" w:hAnsi="ITC Avant Garde"/>
        </w:rPr>
        <w:t xml:space="preserve">Las tecnologías de cuarta generación, comúnmente conocidas como 4G, entre las que destaca la tecnología LTE (del inglés </w:t>
      </w:r>
      <w:r w:rsidRPr="0008027D">
        <w:rPr>
          <w:rFonts w:ascii="ITC Avant Garde" w:hAnsi="ITC Avant Garde"/>
          <w:i/>
        </w:rPr>
        <w:t xml:space="preserve">Long </w:t>
      </w:r>
      <w:proofErr w:type="spellStart"/>
      <w:r w:rsidRPr="0008027D">
        <w:rPr>
          <w:rFonts w:ascii="ITC Avant Garde" w:hAnsi="ITC Avant Garde"/>
          <w:i/>
        </w:rPr>
        <w:t>Term</w:t>
      </w:r>
      <w:proofErr w:type="spellEnd"/>
      <w:r w:rsidRPr="0008027D">
        <w:rPr>
          <w:rFonts w:ascii="ITC Avant Garde" w:hAnsi="ITC Avant Garde"/>
          <w:i/>
        </w:rPr>
        <w:t xml:space="preserve"> </w:t>
      </w:r>
      <w:proofErr w:type="spellStart"/>
      <w:r w:rsidRPr="0008027D">
        <w:rPr>
          <w:rFonts w:ascii="ITC Avant Garde" w:hAnsi="ITC Avant Garde"/>
          <w:i/>
        </w:rPr>
        <w:t>Evolution</w:t>
      </w:r>
      <w:proofErr w:type="spellEnd"/>
      <w:r w:rsidRPr="00E504DA">
        <w:rPr>
          <w:rFonts w:ascii="ITC Avant Garde" w:hAnsi="ITC Avant Garde"/>
        </w:rPr>
        <w:t>) fueron las que hicieron realidad el Internet móvil de banda ancha, dado que estas tecnologías ofrecen velocidades de descarga significativamente mayores que tecnologías como 3G y anteriores, permitiendo aplicaciones como la transmisión de video, descargas rápidas de archivos y una experiencia de navegación web mucho más ágil.</w:t>
      </w:r>
    </w:p>
    <w:p w14:paraId="1D2F32E9" w14:textId="77777777" w:rsidR="00725FFE" w:rsidRDefault="00725FFE" w:rsidP="002E376E">
      <w:pPr>
        <w:spacing w:after="0" w:line="240" w:lineRule="auto"/>
        <w:jc w:val="both"/>
        <w:rPr>
          <w:rFonts w:ascii="ITC Avant Garde" w:hAnsi="ITC Avant Garde"/>
        </w:rPr>
      </w:pPr>
    </w:p>
    <w:p w14:paraId="3093B713" w14:textId="3D3E6180" w:rsidR="00E504DA" w:rsidRPr="00E504DA" w:rsidRDefault="00E504DA" w:rsidP="002E376E">
      <w:pPr>
        <w:spacing w:after="0" w:line="240" w:lineRule="auto"/>
        <w:jc w:val="both"/>
        <w:rPr>
          <w:rFonts w:ascii="ITC Avant Garde" w:hAnsi="ITC Avant Garde"/>
        </w:rPr>
      </w:pPr>
      <w:r w:rsidRPr="00E504DA">
        <w:rPr>
          <w:rFonts w:ascii="ITC Avant Garde" w:hAnsi="ITC Avant Garde"/>
        </w:rPr>
        <w:lastRenderedPageBreak/>
        <w:t xml:space="preserve">Esto, gracias a que, entre otras mejoras, en las tecnologías 4G se implementó el uso de portadoras de espectro de hasta 20 MHz </w:t>
      </w:r>
      <w:r w:rsidR="0008027D">
        <w:rPr>
          <w:rFonts w:ascii="ITC Avant Garde" w:hAnsi="ITC Avant Garde"/>
        </w:rPr>
        <w:t xml:space="preserve">y la </w:t>
      </w:r>
      <w:r w:rsidRPr="00E504DA">
        <w:rPr>
          <w:rFonts w:ascii="ITC Avant Garde" w:hAnsi="ITC Avant Garde"/>
        </w:rPr>
        <w:t>posibilidad de agregar portadoras adicionales (</w:t>
      </w:r>
      <w:proofErr w:type="spellStart"/>
      <w:r w:rsidRPr="0008027D">
        <w:rPr>
          <w:rFonts w:ascii="ITC Avant Garde" w:hAnsi="ITC Avant Garde"/>
          <w:i/>
        </w:rPr>
        <w:t>carrier</w:t>
      </w:r>
      <w:proofErr w:type="spellEnd"/>
      <w:r w:rsidRPr="0008027D">
        <w:rPr>
          <w:rFonts w:ascii="ITC Avant Garde" w:hAnsi="ITC Avant Garde"/>
          <w:i/>
        </w:rPr>
        <w:t xml:space="preserve"> </w:t>
      </w:r>
      <w:proofErr w:type="spellStart"/>
      <w:r w:rsidRPr="0008027D">
        <w:rPr>
          <w:rFonts w:ascii="ITC Avant Garde" w:hAnsi="ITC Avant Garde"/>
          <w:i/>
        </w:rPr>
        <w:t>aggregation</w:t>
      </w:r>
      <w:proofErr w:type="spellEnd"/>
      <w:r w:rsidRPr="00E504DA">
        <w:rPr>
          <w:rFonts w:ascii="ITC Avant Garde" w:hAnsi="ITC Avant Garde"/>
        </w:rPr>
        <w:t>) para contar con más ancho de banda espectral y así incrementar dramáticamente las tasas de transmisión</w:t>
      </w:r>
      <w:r w:rsidR="00CB7BD5">
        <w:rPr>
          <w:rFonts w:ascii="ITC Avant Garde" w:hAnsi="ITC Avant Garde"/>
        </w:rPr>
        <w:t>. Ello</w:t>
      </w:r>
      <w:r w:rsidRPr="00E504DA">
        <w:rPr>
          <w:rFonts w:ascii="ITC Avant Garde" w:hAnsi="ITC Avant Garde"/>
        </w:rPr>
        <w:t xml:space="preserve">, aunado a otros avances como </w:t>
      </w:r>
      <w:r w:rsidR="00CB7BD5">
        <w:rPr>
          <w:rFonts w:ascii="ITC Avant Garde" w:hAnsi="ITC Avant Garde"/>
        </w:rPr>
        <w:t>el uso de</w:t>
      </w:r>
      <w:r w:rsidRPr="00E504DA">
        <w:rPr>
          <w:rFonts w:ascii="ITC Avant Garde" w:hAnsi="ITC Avant Garde"/>
        </w:rPr>
        <w:t xml:space="preserve"> la modulación OFDMA</w:t>
      </w:r>
      <w:r w:rsidR="001020EF">
        <w:rPr>
          <w:rStyle w:val="Refdenotaalpie"/>
          <w:rFonts w:ascii="ITC Avant Garde" w:hAnsi="ITC Avant Garde"/>
        </w:rPr>
        <w:footnoteReference w:id="5"/>
      </w:r>
      <w:r w:rsidRPr="00E504DA">
        <w:rPr>
          <w:rFonts w:ascii="ITC Avant Garde" w:hAnsi="ITC Avant Garde"/>
        </w:rPr>
        <w:t xml:space="preserve">, </w:t>
      </w:r>
      <w:r w:rsidR="002E376E">
        <w:rPr>
          <w:rFonts w:ascii="ITC Avant Garde" w:hAnsi="ITC Avant Garde"/>
        </w:rPr>
        <w:t xml:space="preserve">sistemas de </w:t>
      </w:r>
      <w:r w:rsidRPr="00E504DA">
        <w:rPr>
          <w:rFonts w:ascii="ITC Avant Garde" w:hAnsi="ITC Avant Garde"/>
        </w:rPr>
        <w:t>antenas MIMO</w:t>
      </w:r>
      <w:r w:rsidR="002E376E">
        <w:rPr>
          <w:rStyle w:val="Refdenotaalpie"/>
          <w:rFonts w:ascii="ITC Avant Garde" w:hAnsi="ITC Avant Garde"/>
        </w:rPr>
        <w:footnoteReference w:id="6"/>
      </w:r>
      <w:r w:rsidRPr="00E504DA">
        <w:rPr>
          <w:rFonts w:ascii="ITC Avant Garde" w:hAnsi="ITC Avant Garde"/>
        </w:rPr>
        <w:t xml:space="preserve">, </w:t>
      </w:r>
      <w:r w:rsidR="0008027D">
        <w:rPr>
          <w:rFonts w:ascii="ITC Avant Garde" w:hAnsi="ITC Avant Garde"/>
        </w:rPr>
        <w:t xml:space="preserve">una </w:t>
      </w:r>
      <w:r w:rsidRPr="00E504DA">
        <w:rPr>
          <w:rFonts w:ascii="ITC Avant Garde" w:hAnsi="ITC Avant Garde"/>
        </w:rPr>
        <w:t>menor latencia y el uso del protocolo IP, establecieron un nuevo paradigma en la conectividad inalámbrica.</w:t>
      </w:r>
    </w:p>
    <w:p w14:paraId="2BD5F3C1" w14:textId="77777777" w:rsidR="001020EF" w:rsidRPr="00E504DA" w:rsidRDefault="001020EF" w:rsidP="002E376E">
      <w:pPr>
        <w:spacing w:after="0" w:line="240" w:lineRule="auto"/>
        <w:jc w:val="both"/>
        <w:rPr>
          <w:rFonts w:ascii="ITC Avant Garde" w:hAnsi="ITC Avant Garde"/>
        </w:rPr>
      </w:pPr>
    </w:p>
    <w:p w14:paraId="2DE31BE9" w14:textId="49F4F3DA" w:rsidR="00E504DA" w:rsidRPr="0008027D" w:rsidRDefault="00E504DA" w:rsidP="002E376E">
      <w:pPr>
        <w:spacing w:after="0" w:line="240" w:lineRule="auto"/>
        <w:jc w:val="both"/>
        <w:rPr>
          <w:rFonts w:ascii="ITC Avant Garde" w:hAnsi="ITC Avant Garde"/>
        </w:rPr>
      </w:pPr>
      <w:r w:rsidRPr="0008027D">
        <w:rPr>
          <w:rFonts w:ascii="ITC Avant Garde" w:hAnsi="ITC Avant Garde"/>
        </w:rPr>
        <w:t xml:space="preserve">Gracias a ello, se habilitaron casos de uso innovadores como las videollamadas, </w:t>
      </w:r>
      <w:proofErr w:type="spellStart"/>
      <w:r w:rsidRPr="0008027D">
        <w:rPr>
          <w:rFonts w:ascii="ITC Avant Garde" w:hAnsi="ITC Avant Garde"/>
          <w:i/>
        </w:rPr>
        <w:t>streaming</w:t>
      </w:r>
      <w:proofErr w:type="spellEnd"/>
      <w:r w:rsidRPr="0008027D">
        <w:rPr>
          <w:rFonts w:ascii="ITC Avant Garde" w:hAnsi="ITC Avant Garde"/>
        </w:rPr>
        <w:t xml:space="preserve"> de audio y video de alta calidad, juegos en línea, posicionamiento geográfico en tiempo real y control remoto de dispositivos, entre otros.</w:t>
      </w:r>
    </w:p>
    <w:p w14:paraId="553BC9A3" w14:textId="77777777" w:rsidR="001020EF" w:rsidRPr="0008027D" w:rsidRDefault="001020EF" w:rsidP="002E376E">
      <w:pPr>
        <w:spacing w:after="0" w:line="240" w:lineRule="auto"/>
        <w:jc w:val="both"/>
        <w:rPr>
          <w:rFonts w:ascii="ITC Avant Garde" w:hAnsi="ITC Avant Garde"/>
        </w:rPr>
      </w:pPr>
    </w:p>
    <w:p w14:paraId="67444B13" w14:textId="55B9570F" w:rsidR="00E504DA" w:rsidRPr="0008027D" w:rsidRDefault="00E504DA" w:rsidP="002E376E">
      <w:pPr>
        <w:spacing w:after="0" w:line="240" w:lineRule="auto"/>
        <w:jc w:val="both"/>
        <w:rPr>
          <w:rFonts w:ascii="ITC Avant Garde" w:hAnsi="ITC Avant Garde"/>
        </w:rPr>
      </w:pPr>
      <w:r w:rsidRPr="0008027D">
        <w:rPr>
          <w:rFonts w:ascii="ITC Avant Garde" w:hAnsi="ITC Avant Garde"/>
        </w:rPr>
        <w:t>Estas prestaciones de la tecnología han llamado la atención de diversos sectores e industrias que consideraron la implementación de aplicaciones y casos de uso basados en 4G para aumentar su eficiencia, seguridad y rentabilidad.</w:t>
      </w:r>
      <w:r w:rsidR="00E04266">
        <w:rPr>
          <w:rFonts w:ascii="ITC Avant Garde" w:hAnsi="ITC Avant Garde"/>
        </w:rPr>
        <w:t xml:space="preserve"> </w:t>
      </w:r>
      <w:r w:rsidRPr="0008027D">
        <w:rPr>
          <w:rFonts w:ascii="ITC Avant Garde" w:hAnsi="ITC Avant Garde"/>
        </w:rPr>
        <w:t>Entre los sectores que han aprovechado las prestaciones de las tecnologías 4G pueden destacarse los siguientes:</w:t>
      </w:r>
    </w:p>
    <w:p w14:paraId="06542871" w14:textId="77777777" w:rsidR="001020EF" w:rsidRPr="0008027D" w:rsidRDefault="001020EF" w:rsidP="002E376E">
      <w:pPr>
        <w:spacing w:after="0" w:line="240" w:lineRule="auto"/>
        <w:jc w:val="both"/>
        <w:rPr>
          <w:rFonts w:ascii="ITC Avant Garde" w:hAnsi="ITC Avant Garde"/>
        </w:rPr>
      </w:pPr>
    </w:p>
    <w:p w14:paraId="42010021" w14:textId="53C03B93" w:rsidR="00E504DA" w:rsidRPr="0008027D" w:rsidRDefault="00E504DA" w:rsidP="0023141D">
      <w:pPr>
        <w:pStyle w:val="Prrafodelista"/>
        <w:numPr>
          <w:ilvl w:val="1"/>
          <w:numId w:val="19"/>
        </w:numPr>
        <w:spacing w:after="0" w:line="240" w:lineRule="auto"/>
        <w:ind w:left="851"/>
        <w:jc w:val="both"/>
        <w:rPr>
          <w:rFonts w:ascii="ITC Avant Garde" w:hAnsi="ITC Avant Garde"/>
        </w:rPr>
      </w:pPr>
      <w:r w:rsidRPr="0008027D">
        <w:rPr>
          <w:rFonts w:ascii="ITC Avant Garde" w:hAnsi="ITC Avant Garde"/>
        </w:rPr>
        <w:t xml:space="preserve">Salud: Monitoreo remoto de pacientes, telemedicina y acceso a historiales médicos en </w:t>
      </w:r>
      <w:r w:rsidR="00E04266">
        <w:rPr>
          <w:rFonts w:ascii="ITC Avant Garde" w:hAnsi="ITC Avant Garde"/>
        </w:rPr>
        <w:t>línea.</w:t>
      </w:r>
    </w:p>
    <w:p w14:paraId="3B6EBEDE" w14:textId="77777777" w:rsidR="00E504DA" w:rsidRPr="0008027D" w:rsidRDefault="00E504DA" w:rsidP="0023141D">
      <w:pPr>
        <w:pStyle w:val="Prrafodelista"/>
        <w:numPr>
          <w:ilvl w:val="1"/>
          <w:numId w:val="19"/>
        </w:numPr>
        <w:spacing w:after="0" w:line="240" w:lineRule="auto"/>
        <w:ind w:left="851"/>
        <w:jc w:val="both"/>
        <w:rPr>
          <w:rFonts w:ascii="ITC Avant Garde" w:hAnsi="ITC Avant Garde"/>
        </w:rPr>
      </w:pPr>
      <w:r w:rsidRPr="0008027D">
        <w:rPr>
          <w:rFonts w:ascii="ITC Avant Garde" w:hAnsi="ITC Avant Garde"/>
        </w:rPr>
        <w:t>Manufactura: Las tecnologías 4G facilitan el control y supervisión remota de procesos, la automatización de diversas etapas de procesos industriales y la optimización de la producción al mejorar la eficiencia de los procesos.</w:t>
      </w:r>
    </w:p>
    <w:p w14:paraId="229D0C10" w14:textId="77777777" w:rsidR="00E504DA" w:rsidRPr="0008027D" w:rsidRDefault="00E504DA" w:rsidP="0023141D">
      <w:pPr>
        <w:pStyle w:val="Prrafodelista"/>
        <w:numPr>
          <w:ilvl w:val="1"/>
          <w:numId w:val="19"/>
        </w:numPr>
        <w:spacing w:after="0" w:line="240" w:lineRule="auto"/>
        <w:ind w:left="851"/>
        <w:jc w:val="both"/>
        <w:rPr>
          <w:rFonts w:ascii="ITC Avant Garde" w:hAnsi="ITC Avant Garde"/>
        </w:rPr>
      </w:pPr>
      <w:r w:rsidRPr="0008027D">
        <w:rPr>
          <w:rFonts w:ascii="ITC Avant Garde" w:hAnsi="ITC Avant Garde"/>
        </w:rPr>
        <w:t>Transporte: Sistemas de gestión de flotas, seguimiento de vehículos en tiempo real, aplicaciones de navegación mejoradas.</w:t>
      </w:r>
    </w:p>
    <w:p w14:paraId="303F9B34" w14:textId="7DE48B3D" w:rsidR="00DA4828" w:rsidRPr="0023141D" w:rsidRDefault="00E504DA" w:rsidP="0023141D">
      <w:pPr>
        <w:pStyle w:val="Prrafodelista"/>
        <w:numPr>
          <w:ilvl w:val="1"/>
          <w:numId w:val="19"/>
        </w:numPr>
        <w:spacing w:after="0" w:line="240" w:lineRule="auto"/>
        <w:ind w:left="851"/>
        <w:jc w:val="both"/>
        <w:rPr>
          <w:rFonts w:ascii="ITC Avant Garde" w:hAnsi="ITC Avant Garde"/>
        </w:rPr>
      </w:pPr>
      <w:r w:rsidRPr="00E504DA">
        <w:rPr>
          <w:rFonts w:ascii="ITC Avant Garde" w:hAnsi="ITC Avant Garde"/>
        </w:rPr>
        <w:t>Comercio: Gestión de inventarios en tiempo real, ventas en línea, logística, refinamiento de estrategias de mercadotecnia y publicidad.</w:t>
      </w:r>
    </w:p>
    <w:p w14:paraId="34792C96" w14:textId="19705681" w:rsidR="00123A57" w:rsidRPr="0011041A" w:rsidRDefault="00123A57" w:rsidP="00D25CD5">
      <w:pPr>
        <w:pStyle w:val="Prrafodelista"/>
        <w:spacing w:after="0" w:line="240" w:lineRule="auto"/>
        <w:ind w:left="0"/>
        <w:rPr>
          <w:rFonts w:ascii="ITC Avant Garde" w:hAnsi="ITC Avant Garde"/>
          <w:highlight w:val="yellow"/>
        </w:rPr>
      </w:pPr>
    </w:p>
    <w:p w14:paraId="5EC8D888" w14:textId="6F8DD9ED" w:rsidR="00DA4828" w:rsidRPr="0011041A" w:rsidRDefault="00DA4828" w:rsidP="00D25CD5">
      <w:pPr>
        <w:pStyle w:val="Prrafodelista"/>
        <w:spacing w:after="0" w:line="240" w:lineRule="auto"/>
        <w:ind w:left="0"/>
        <w:rPr>
          <w:rFonts w:ascii="ITC Avant Garde" w:hAnsi="ITC Avant Garde"/>
          <w:b/>
          <w:bCs/>
        </w:rPr>
      </w:pPr>
      <w:r w:rsidRPr="00E04266">
        <w:rPr>
          <w:rFonts w:ascii="ITC Avant Garde" w:hAnsi="ITC Avant Garde"/>
          <w:b/>
          <w:bCs/>
        </w:rPr>
        <w:t>Tecnología móvil 5G</w:t>
      </w:r>
    </w:p>
    <w:p w14:paraId="26E395DF" w14:textId="77777777" w:rsidR="004148C7" w:rsidRDefault="004148C7" w:rsidP="00D25CD5">
      <w:pPr>
        <w:pStyle w:val="Prrafodelista"/>
        <w:spacing w:after="0" w:line="240" w:lineRule="auto"/>
        <w:ind w:left="0"/>
        <w:rPr>
          <w:rFonts w:ascii="ITC Avant Garde" w:hAnsi="ITC Avant Garde"/>
        </w:rPr>
      </w:pPr>
    </w:p>
    <w:p w14:paraId="667566C6" w14:textId="2FEE5D0C" w:rsidR="00123A57" w:rsidRPr="006F3CEC" w:rsidRDefault="00123A57" w:rsidP="00725FFE">
      <w:pPr>
        <w:pStyle w:val="Prrafodelista"/>
        <w:spacing w:after="0" w:line="240" w:lineRule="auto"/>
        <w:ind w:left="0"/>
        <w:jc w:val="both"/>
        <w:rPr>
          <w:rFonts w:ascii="ITC Avant Garde" w:hAnsi="ITC Avant Garde"/>
        </w:rPr>
      </w:pPr>
      <w:r>
        <w:rPr>
          <w:rFonts w:ascii="ITC Avant Garde" w:hAnsi="ITC Avant Garde"/>
        </w:rPr>
        <w:t xml:space="preserve">El 5G es la última generación de conectividad móvil disponible después de la 4G. Las tecnologías 5G se centran en tres </w:t>
      </w:r>
      <w:r w:rsidR="008A11AB">
        <w:rPr>
          <w:rFonts w:ascii="ITC Avant Garde" w:hAnsi="ITC Avant Garde"/>
        </w:rPr>
        <w:t>características principalmente:</w:t>
      </w:r>
    </w:p>
    <w:p w14:paraId="5B5DBE77" w14:textId="3A8D3CFE" w:rsidR="008A11AB" w:rsidRPr="006F3CEC" w:rsidRDefault="008A11AB" w:rsidP="00D25CD5">
      <w:pPr>
        <w:pStyle w:val="Prrafodelista"/>
        <w:spacing w:after="0" w:line="240" w:lineRule="auto"/>
        <w:ind w:left="0"/>
        <w:rPr>
          <w:rFonts w:ascii="ITC Avant Garde" w:hAnsi="ITC Avant Garde"/>
        </w:rPr>
      </w:pPr>
    </w:p>
    <w:p w14:paraId="40C7B7C1" w14:textId="77777777" w:rsidR="00E251BE" w:rsidRPr="00E251BE" w:rsidRDefault="00E251BE" w:rsidP="0023141D">
      <w:pPr>
        <w:pStyle w:val="Prrafodelista"/>
        <w:numPr>
          <w:ilvl w:val="0"/>
          <w:numId w:val="29"/>
        </w:numPr>
        <w:spacing w:after="0" w:line="240" w:lineRule="auto"/>
        <w:ind w:left="993" w:hanging="567"/>
        <w:jc w:val="both"/>
        <w:rPr>
          <w:rFonts w:ascii="ITC Avant Garde" w:hAnsi="ITC Avant Garde"/>
        </w:rPr>
      </w:pPr>
      <w:r w:rsidRPr="00E251BE">
        <w:rPr>
          <w:rFonts w:ascii="ITC Avant Garde" w:hAnsi="ITC Avant Garde"/>
        </w:rPr>
        <w:t>Banda ancha Mejorada: 5G ofrece tasas de transferencia mucho mayores que 4G, llegando a ser hasta 100 veces más rápida.</w:t>
      </w:r>
    </w:p>
    <w:p w14:paraId="48E1338A" w14:textId="79D60F6A" w:rsidR="00E251BE" w:rsidRPr="00E251BE" w:rsidRDefault="00E251BE" w:rsidP="0023141D">
      <w:pPr>
        <w:pStyle w:val="Prrafodelista"/>
        <w:numPr>
          <w:ilvl w:val="0"/>
          <w:numId w:val="29"/>
        </w:numPr>
        <w:spacing w:after="0" w:line="240" w:lineRule="auto"/>
        <w:ind w:left="993" w:hanging="567"/>
        <w:jc w:val="both"/>
        <w:rPr>
          <w:rFonts w:ascii="ITC Avant Garde" w:hAnsi="ITC Avant Garde"/>
        </w:rPr>
      </w:pPr>
      <w:r w:rsidRPr="00E251BE">
        <w:rPr>
          <w:rFonts w:ascii="ITC Avant Garde" w:hAnsi="ITC Avant Garde"/>
        </w:rPr>
        <w:lastRenderedPageBreak/>
        <w:t xml:space="preserve">Comunicaciones confiables </w:t>
      </w:r>
      <w:r>
        <w:rPr>
          <w:rFonts w:ascii="ITC Avant Garde" w:hAnsi="ITC Avant Garde"/>
        </w:rPr>
        <w:t xml:space="preserve">de </w:t>
      </w:r>
      <w:r w:rsidRPr="00E251BE">
        <w:rPr>
          <w:rFonts w:ascii="ITC Avant Garde" w:hAnsi="ITC Avant Garde"/>
        </w:rPr>
        <w:t>ultra baja latencia: 5G reduce aún más la latencia, alcanzando valores de 1 milisegundo, lo que es indispensable para aplicaciones y casos de uso que requieren respuestas en tiempo real, como la conducción autónoma, la cirugía remota y el control de robots industriales.</w:t>
      </w:r>
    </w:p>
    <w:p w14:paraId="1AEAA1EF" w14:textId="453E3622" w:rsidR="009D316D" w:rsidRDefault="00E251BE" w:rsidP="0023141D">
      <w:pPr>
        <w:pStyle w:val="Prrafodelista"/>
        <w:numPr>
          <w:ilvl w:val="0"/>
          <w:numId w:val="29"/>
        </w:numPr>
        <w:spacing w:after="0" w:line="240" w:lineRule="auto"/>
        <w:ind w:left="993" w:hanging="567"/>
        <w:jc w:val="both"/>
        <w:rPr>
          <w:rFonts w:ascii="ITC Avant Garde" w:hAnsi="ITC Avant Garde"/>
        </w:rPr>
      </w:pPr>
      <w:r w:rsidRPr="00E251BE">
        <w:rPr>
          <w:rFonts w:ascii="ITC Avant Garde" w:hAnsi="ITC Avant Garde"/>
        </w:rPr>
        <w:t>Comunicaciones masivas tipo máquina: 5G puede soportar una densidad mucho mayor de dispositivos conectados simultáneamente, lo que es esencial para el desarrollo masivo del Internet de las Cosas (</w:t>
      </w:r>
      <w:proofErr w:type="spellStart"/>
      <w:r w:rsidRPr="00E251BE">
        <w:rPr>
          <w:rFonts w:ascii="ITC Avant Garde" w:hAnsi="ITC Avant Garde"/>
        </w:rPr>
        <w:t>IoT</w:t>
      </w:r>
      <w:proofErr w:type="spellEnd"/>
      <w:r w:rsidRPr="00E251BE">
        <w:rPr>
          <w:rFonts w:ascii="ITC Avant Garde" w:hAnsi="ITC Avant Garde"/>
        </w:rPr>
        <w:t>) y las ciudades inteligentes</w:t>
      </w:r>
      <w:r>
        <w:rPr>
          <w:rFonts w:ascii="ITC Avant Garde" w:hAnsi="ITC Avant Garde"/>
        </w:rPr>
        <w:t xml:space="preserve">, aunado a una mayor eficiencia energética que permite contar con dispositivos </w:t>
      </w:r>
      <w:proofErr w:type="spellStart"/>
      <w:r>
        <w:rPr>
          <w:rFonts w:ascii="ITC Avant Garde" w:hAnsi="ITC Avant Garde"/>
        </w:rPr>
        <w:t>IoT</w:t>
      </w:r>
      <w:proofErr w:type="spellEnd"/>
      <w:r>
        <w:rPr>
          <w:rFonts w:ascii="ITC Avant Garde" w:hAnsi="ITC Avant Garde"/>
        </w:rPr>
        <w:t xml:space="preserve"> de baterías con un horizonte de hasta 10 años de vida.</w:t>
      </w:r>
    </w:p>
    <w:p w14:paraId="2560AF71" w14:textId="0DC4EEE4" w:rsidR="00E251BE" w:rsidRDefault="00E251BE" w:rsidP="0023141D">
      <w:pPr>
        <w:spacing w:after="0" w:line="240" w:lineRule="auto"/>
        <w:jc w:val="both"/>
        <w:rPr>
          <w:rFonts w:ascii="ITC Avant Garde" w:hAnsi="ITC Avant Garde"/>
        </w:rPr>
      </w:pPr>
    </w:p>
    <w:p w14:paraId="570D6277" w14:textId="13E4A37A" w:rsidR="00E251BE" w:rsidRDefault="00E251BE" w:rsidP="0023141D">
      <w:pPr>
        <w:spacing w:after="0" w:line="240" w:lineRule="auto"/>
        <w:jc w:val="both"/>
        <w:rPr>
          <w:rFonts w:ascii="ITC Avant Garde" w:hAnsi="ITC Avant Garde"/>
        </w:rPr>
      </w:pPr>
      <w:r>
        <w:rPr>
          <w:rFonts w:ascii="ITC Avant Garde" w:hAnsi="ITC Avant Garde"/>
        </w:rPr>
        <w:t>La tecnología 5G prevé el uso de portadoras de hasta 100 MHz para frecuencias por debajo de 6 GHz y de hasta 400 MHz para bandas milimétricas</w:t>
      </w:r>
      <w:r w:rsidR="00E04266">
        <w:rPr>
          <w:rFonts w:ascii="ITC Avant Garde" w:hAnsi="ITC Avant Garde"/>
        </w:rPr>
        <w:t xml:space="preserve"> (por lo general por a</w:t>
      </w:r>
      <w:r w:rsidR="00F950B9">
        <w:rPr>
          <w:rFonts w:ascii="ITC Avant Garde" w:hAnsi="ITC Avant Garde"/>
        </w:rPr>
        <w:t>r</w:t>
      </w:r>
      <w:r w:rsidR="00E04266">
        <w:rPr>
          <w:rFonts w:ascii="ITC Avant Garde" w:hAnsi="ITC Avant Garde"/>
        </w:rPr>
        <w:t xml:space="preserve">riba de 24 </w:t>
      </w:r>
      <w:r w:rsidR="00E04266" w:rsidRPr="004824C5">
        <w:rPr>
          <w:rFonts w:ascii="ITC Avant Garde" w:hAnsi="ITC Avant Garde"/>
        </w:rPr>
        <w:t>GHz)</w:t>
      </w:r>
      <w:r w:rsidR="00C745FE" w:rsidRPr="004824C5">
        <w:rPr>
          <w:rFonts w:ascii="ITC Avant Garde" w:hAnsi="ITC Avant Garde"/>
        </w:rPr>
        <w:t xml:space="preserve"> en TDD</w:t>
      </w:r>
      <w:r w:rsidRPr="004824C5">
        <w:rPr>
          <w:rFonts w:ascii="ITC Avant Garde" w:hAnsi="ITC Avant Garde"/>
        </w:rPr>
        <w:t>, lo</w:t>
      </w:r>
      <w:r>
        <w:rPr>
          <w:rFonts w:ascii="ITC Avant Garde" w:hAnsi="ITC Avant Garde"/>
        </w:rPr>
        <w:t xml:space="preserve"> que implica un gran ancho de banda disponible para habilitar casos de uso y aplicaciones innovadoras presentes y futuras.</w:t>
      </w:r>
    </w:p>
    <w:p w14:paraId="2426A985" w14:textId="7A422450" w:rsidR="00E251BE" w:rsidRDefault="00E251BE" w:rsidP="0023141D">
      <w:pPr>
        <w:spacing w:after="0" w:line="240" w:lineRule="auto"/>
        <w:jc w:val="both"/>
        <w:rPr>
          <w:rFonts w:ascii="ITC Avant Garde" w:hAnsi="ITC Avant Garde"/>
        </w:rPr>
      </w:pPr>
    </w:p>
    <w:p w14:paraId="5677F876" w14:textId="207267D5" w:rsidR="00E251BE" w:rsidRDefault="003D294B" w:rsidP="0023141D">
      <w:pPr>
        <w:spacing w:after="0" w:line="240" w:lineRule="auto"/>
        <w:jc w:val="both"/>
        <w:rPr>
          <w:rFonts w:ascii="ITC Avant Garde" w:hAnsi="ITC Avant Garde"/>
        </w:rPr>
      </w:pPr>
      <w:r>
        <w:rPr>
          <w:rFonts w:ascii="ITC Avant Garde" w:hAnsi="ITC Avant Garde"/>
        </w:rPr>
        <w:t>En cuanto al despliegue de redes 5G, existen dos categorías</w:t>
      </w:r>
      <w:r w:rsidR="00F950B9">
        <w:rPr>
          <w:rFonts w:ascii="ITC Avant Garde" w:hAnsi="ITC Avant Garde"/>
        </w:rPr>
        <w:t xml:space="preserve"> generales</w:t>
      </w:r>
      <w:r>
        <w:rPr>
          <w:rFonts w:ascii="ITC Avant Garde" w:hAnsi="ITC Avant Garde"/>
        </w:rPr>
        <w:t>: las redes “</w:t>
      </w:r>
      <w:r w:rsidRPr="003D294B">
        <w:rPr>
          <w:rFonts w:ascii="ITC Avant Garde" w:hAnsi="ITC Avant Garde"/>
          <w:i/>
        </w:rPr>
        <w:t>Non Stand Alone</w:t>
      </w:r>
      <w:r>
        <w:rPr>
          <w:rFonts w:ascii="ITC Avant Garde" w:hAnsi="ITC Avant Garde"/>
          <w:i/>
        </w:rPr>
        <w:t>”</w:t>
      </w:r>
      <w:r>
        <w:rPr>
          <w:rFonts w:ascii="ITC Avant Garde" w:hAnsi="ITC Avant Garde"/>
        </w:rPr>
        <w:t xml:space="preserve"> (NSA) y las redes “</w:t>
      </w:r>
      <w:r w:rsidRPr="003D294B">
        <w:rPr>
          <w:rFonts w:ascii="ITC Avant Garde" w:hAnsi="ITC Avant Garde"/>
          <w:i/>
        </w:rPr>
        <w:t>Stand Alone</w:t>
      </w:r>
      <w:r>
        <w:rPr>
          <w:rFonts w:ascii="ITC Avant Garde" w:hAnsi="ITC Avant Garde"/>
        </w:rPr>
        <w:t xml:space="preserve">” (SA). Las redes 5G NSA son aquellas en las cuales la red de acceso de radio usa la </w:t>
      </w:r>
      <w:r w:rsidR="00FB3A61">
        <w:rPr>
          <w:rFonts w:ascii="ITC Avant Garde" w:hAnsi="ITC Avant Garde"/>
        </w:rPr>
        <w:t xml:space="preserve">nueva </w:t>
      </w:r>
      <w:r>
        <w:rPr>
          <w:rFonts w:ascii="ITC Avant Garde" w:hAnsi="ITC Avant Garde"/>
        </w:rPr>
        <w:t>tecnología 5G (o NR)</w:t>
      </w:r>
      <w:r w:rsidR="00FB3A61">
        <w:rPr>
          <w:rFonts w:ascii="ITC Avant Garde" w:hAnsi="ITC Avant Garde"/>
        </w:rPr>
        <w:t xml:space="preserve">, pero el núcleo o </w:t>
      </w:r>
      <w:proofErr w:type="spellStart"/>
      <w:r w:rsidR="00FB3A61" w:rsidRPr="00FB3A61">
        <w:rPr>
          <w:rFonts w:ascii="ITC Avant Garde" w:hAnsi="ITC Avant Garde"/>
          <w:i/>
        </w:rPr>
        <w:t>core</w:t>
      </w:r>
      <w:proofErr w:type="spellEnd"/>
      <w:r w:rsidR="00FB3A61">
        <w:rPr>
          <w:rFonts w:ascii="ITC Avant Garde" w:hAnsi="ITC Avant Garde"/>
        </w:rPr>
        <w:t xml:space="preserve"> de la red corresponde a tecnología 4G</w:t>
      </w:r>
      <w:r w:rsidR="00F950B9">
        <w:rPr>
          <w:rStyle w:val="Refdenotaalpie"/>
          <w:rFonts w:ascii="ITC Avant Garde" w:hAnsi="ITC Avant Garde"/>
        </w:rPr>
        <w:footnoteReference w:id="7"/>
      </w:r>
      <w:r w:rsidR="005F648A">
        <w:rPr>
          <w:rFonts w:ascii="ITC Avant Garde" w:hAnsi="ITC Avant Garde"/>
        </w:rPr>
        <w:t xml:space="preserve">. Esto permite una introducción rápida de algunas de las características de 5G (por ejemplo, tasas de transferencia más </w:t>
      </w:r>
      <w:r w:rsidR="00F950B9">
        <w:rPr>
          <w:rFonts w:ascii="ITC Avant Garde" w:hAnsi="ITC Avant Garde"/>
        </w:rPr>
        <w:t>altas</w:t>
      </w:r>
      <w:r w:rsidR="005F648A">
        <w:rPr>
          <w:rFonts w:ascii="ITC Avant Garde" w:hAnsi="ITC Avant Garde"/>
        </w:rPr>
        <w:t xml:space="preserve"> que 4G), pero debido a que el control y la gestión de la red </w:t>
      </w:r>
      <w:r w:rsidR="0023141D">
        <w:rPr>
          <w:rFonts w:ascii="ITC Avant Garde" w:hAnsi="ITC Avant Garde"/>
        </w:rPr>
        <w:t xml:space="preserve">de penden de </w:t>
      </w:r>
      <w:r w:rsidR="005F648A">
        <w:rPr>
          <w:rFonts w:ascii="ITC Avant Garde" w:hAnsi="ITC Avant Garde"/>
        </w:rPr>
        <w:t xml:space="preserve">un núcleo 4G, no es posible implementar las prestaciones más avanzadas de </w:t>
      </w:r>
      <w:r w:rsidR="005F648A" w:rsidRPr="004824C5">
        <w:rPr>
          <w:rFonts w:ascii="ITC Avant Garde" w:hAnsi="ITC Avant Garde"/>
        </w:rPr>
        <w:t>5G</w:t>
      </w:r>
      <w:r w:rsidR="004824C5" w:rsidRPr="004824C5">
        <w:rPr>
          <w:rFonts w:ascii="ITC Avant Garde" w:hAnsi="ITC Avant Garde"/>
        </w:rPr>
        <w:t xml:space="preserve"> </w:t>
      </w:r>
      <w:r w:rsidR="00C745FE" w:rsidRPr="004824C5">
        <w:rPr>
          <w:rFonts w:ascii="ITC Avant Garde" w:hAnsi="ITC Avant Garde"/>
        </w:rPr>
        <w:t xml:space="preserve">(como </w:t>
      </w:r>
      <w:r w:rsidR="00C745FE" w:rsidRPr="004824C5">
        <w:rPr>
          <w:rFonts w:ascii="ITC Avant Garde" w:hAnsi="ITC Avant Garde"/>
          <w:i/>
          <w:iCs/>
        </w:rPr>
        <w:t xml:space="preserve">Network </w:t>
      </w:r>
      <w:proofErr w:type="spellStart"/>
      <w:r w:rsidR="00C745FE" w:rsidRPr="004824C5">
        <w:rPr>
          <w:rFonts w:ascii="ITC Avant Garde" w:hAnsi="ITC Avant Garde"/>
          <w:i/>
          <w:iCs/>
        </w:rPr>
        <w:t>Slicing</w:t>
      </w:r>
      <w:proofErr w:type="spellEnd"/>
      <w:r w:rsidR="00C745FE" w:rsidRPr="004824C5">
        <w:rPr>
          <w:rFonts w:ascii="ITC Avant Garde" w:hAnsi="ITC Avant Garde"/>
        </w:rPr>
        <w:t>)</w:t>
      </w:r>
      <w:r w:rsidR="0023141D" w:rsidRPr="004824C5">
        <w:rPr>
          <w:rFonts w:ascii="ITC Avant Garde" w:hAnsi="ITC Avant Garde"/>
        </w:rPr>
        <w:t>.</w:t>
      </w:r>
    </w:p>
    <w:p w14:paraId="7F608B92" w14:textId="77777777" w:rsidR="0023141D" w:rsidRDefault="0023141D" w:rsidP="0023141D">
      <w:pPr>
        <w:spacing w:after="0" w:line="240" w:lineRule="auto"/>
        <w:jc w:val="both"/>
        <w:rPr>
          <w:rFonts w:ascii="ITC Avant Garde" w:hAnsi="ITC Avant Garde"/>
        </w:rPr>
      </w:pPr>
    </w:p>
    <w:p w14:paraId="3A822C0D" w14:textId="212EE9BB" w:rsidR="00F950B9" w:rsidRDefault="005F648A" w:rsidP="0023141D">
      <w:pPr>
        <w:spacing w:after="0" w:line="240" w:lineRule="auto"/>
        <w:jc w:val="both"/>
        <w:rPr>
          <w:rFonts w:ascii="ITC Avant Garde" w:hAnsi="ITC Avant Garde"/>
        </w:rPr>
      </w:pPr>
      <w:r>
        <w:rPr>
          <w:rFonts w:ascii="ITC Avant Garde" w:hAnsi="ITC Avant Garde"/>
        </w:rPr>
        <w:t xml:space="preserve">Por otra parte, la red 5G SA es aquella </w:t>
      </w:r>
      <w:r w:rsidR="00F950B9">
        <w:rPr>
          <w:rFonts w:ascii="ITC Avant Garde" w:hAnsi="ITC Avant Garde"/>
        </w:rPr>
        <w:t xml:space="preserve">en la </w:t>
      </w:r>
      <w:r>
        <w:rPr>
          <w:rFonts w:ascii="ITC Avant Garde" w:hAnsi="ITC Avant Garde"/>
        </w:rPr>
        <w:t>que su arquitectura y componentes, incluido el núcleo de la red</w:t>
      </w:r>
      <w:r w:rsidR="0023141D">
        <w:rPr>
          <w:rFonts w:ascii="ITC Avant Garde" w:hAnsi="ITC Avant Garde"/>
        </w:rPr>
        <w:t>,</w:t>
      </w:r>
      <w:r>
        <w:rPr>
          <w:rFonts w:ascii="ITC Avant Garde" w:hAnsi="ITC Avant Garde"/>
        </w:rPr>
        <w:t xml:space="preserve"> son de nueva generación. Esto habilita las características más avanzadas de 5G, como el “</w:t>
      </w:r>
      <w:r w:rsidRPr="005F648A">
        <w:rPr>
          <w:rFonts w:ascii="ITC Avant Garde" w:hAnsi="ITC Avant Garde"/>
          <w:i/>
        </w:rPr>
        <w:t xml:space="preserve">Network </w:t>
      </w:r>
      <w:proofErr w:type="spellStart"/>
      <w:r w:rsidRPr="005F648A">
        <w:rPr>
          <w:rFonts w:ascii="ITC Avant Garde" w:hAnsi="ITC Avant Garde"/>
          <w:i/>
        </w:rPr>
        <w:t>Slicing</w:t>
      </w:r>
      <w:proofErr w:type="spellEnd"/>
      <w:r>
        <w:rPr>
          <w:rFonts w:ascii="ITC Avant Garde" w:hAnsi="ITC Avant Garde"/>
          <w:i/>
        </w:rPr>
        <w:t>”</w:t>
      </w:r>
      <w:r>
        <w:rPr>
          <w:rFonts w:ascii="ITC Avant Garde" w:hAnsi="ITC Avant Garde"/>
        </w:rPr>
        <w:t xml:space="preserve"> o </w:t>
      </w:r>
      <w:r w:rsidRPr="005F648A">
        <w:rPr>
          <w:rFonts w:ascii="ITC Avant Garde" w:hAnsi="ITC Avant Garde"/>
        </w:rPr>
        <w:t xml:space="preserve">segmentación </w:t>
      </w:r>
      <w:r w:rsidR="00F950B9">
        <w:rPr>
          <w:rFonts w:ascii="ITC Avant Garde" w:hAnsi="ITC Avant Garde"/>
        </w:rPr>
        <w:t xml:space="preserve">virtual </w:t>
      </w:r>
      <w:r w:rsidRPr="005F648A">
        <w:rPr>
          <w:rFonts w:ascii="ITC Avant Garde" w:hAnsi="ITC Avant Garde"/>
        </w:rPr>
        <w:t xml:space="preserve">de </w:t>
      </w:r>
      <w:r w:rsidR="0023141D">
        <w:rPr>
          <w:rFonts w:ascii="ITC Avant Garde" w:hAnsi="ITC Avant Garde"/>
        </w:rPr>
        <w:t xml:space="preserve">la </w:t>
      </w:r>
      <w:r w:rsidRPr="005F648A">
        <w:rPr>
          <w:rFonts w:ascii="ITC Avant Garde" w:hAnsi="ITC Avant Garde"/>
        </w:rPr>
        <w:t xml:space="preserve">red, que permite la creación de redes virtuales </w:t>
      </w:r>
      <w:r w:rsidR="0023141D">
        <w:rPr>
          <w:rFonts w:ascii="ITC Avant Garde" w:hAnsi="ITC Avant Garde"/>
        </w:rPr>
        <w:t xml:space="preserve">diseñadas para </w:t>
      </w:r>
      <w:r w:rsidRPr="005F648A">
        <w:rPr>
          <w:rFonts w:ascii="ITC Avant Garde" w:hAnsi="ITC Avant Garde"/>
        </w:rPr>
        <w:t>casos de uso específicos</w:t>
      </w:r>
      <w:r w:rsidR="0023141D">
        <w:rPr>
          <w:rFonts w:ascii="ITC Avant Garde" w:hAnsi="ITC Avant Garde"/>
        </w:rPr>
        <w:t xml:space="preserve"> que permiten controlar de forma flexible aspectos como la latencia, la velocidad, la priorización de paquetes </w:t>
      </w:r>
      <w:r w:rsidR="00F950B9">
        <w:rPr>
          <w:rFonts w:ascii="ITC Avant Garde" w:hAnsi="ITC Avant Garde"/>
        </w:rPr>
        <w:t>y de</w:t>
      </w:r>
      <w:r w:rsidR="0023141D">
        <w:rPr>
          <w:rFonts w:ascii="ITC Avant Garde" w:hAnsi="ITC Avant Garde"/>
        </w:rPr>
        <w:t xml:space="preserve"> usuarios</w:t>
      </w:r>
      <w:r w:rsidR="00F950B9">
        <w:rPr>
          <w:rFonts w:ascii="ITC Avant Garde" w:hAnsi="ITC Avant Garde"/>
        </w:rPr>
        <w:t>,</w:t>
      </w:r>
      <w:r w:rsidR="0023141D">
        <w:rPr>
          <w:rFonts w:ascii="ITC Avant Garde" w:hAnsi="ITC Avant Garde"/>
        </w:rPr>
        <w:t xml:space="preserve"> definiendo para cada segmento de red características y niveles de servicio diferenciadas. Asimismo, en la red 5G SA se proporciona </w:t>
      </w:r>
      <w:r w:rsidRPr="005F648A">
        <w:rPr>
          <w:rFonts w:ascii="ITC Avant Garde" w:hAnsi="ITC Avant Garde"/>
        </w:rPr>
        <w:t xml:space="preserve">un soporte mejorado para </w:t>
      </w:r>
      <w:r w:rsidR="0023141D">
        <w:rPr>
          <w:rFonts w:ascii="ITC Avant Garde" w:hAnsi="ITC Avant Garde"/>
        </w:rPr>
        <w:t xml:space="preserve">la gestión masiva de </w:t>
      </w:r>
      <w:r w:rsidRPr="005F648A">
        <w:rPr>
          <w:rFonts w:ascii="ITC Avant Garde" w:hAnsi="ITC Avant Garde"/>
        </w:rPr>
        <w:t>dispositivos y aplicaciones de</w:t>
      </w:r>
      <w:r w:rsidR="0023141D">
        <w:rPr>
          <w:rFonts w:ascii="ITC Avant Garde" w:hAnsi="ITC Avant Garde"/>
        </w:rPr>
        <w:t>l</w:t>
      </w:r>
      <w:r w:rsidRPr="005F648A">
        <w:rPr>
          <w:rFonts w:ascii="ITC Avant Garde" w:hAnsi="ITC Avant Garde"/>
        </w:rPr>
        <w:t xml:space="preserve"> Internet de las cosas (</w:t>
      </w:r>
      <w:proofErr w:type="spellStart"/>
      <w:r w:rsidRPr="005F648A">
        <w:rPr>
          <w:rFonts w:ascii="ITC Avant Garde" w:hAnsi="ITC Avant Garde"/>
        </w:rPr>
        <w:t>IoT</w:t>
      </w:r>
      <w:proofErr w:type="spellEnd"/>
      <w:r w:rsidRPr="005F648A">
        <w:rPr>
          <w:rFonts w:ascii="ITC Avant Garde" w:hAnsi="ITC Avant Garde"/>
        </w:rPr>
        <w:t>).</w:t>
      </w:r>
    </w:p>
    <w:p w14:paraId="3549405D" w14:textId="77777777" w:rsidR="0023141D" w:rsidRDefault="0023141D" w:rsidP="0023141D">
      <w:pPr>
        <w:spacing w:after="0" w:line="240" w:lineRule="auto"/>
        <w:jc w:val="both"/>
        <w:rPr>
          <w:rFonts w:ascii="ITC Avant Garde" w:hAnsi="ITC Avant Garde"/>
        </w:rPr>
      </w:pPr>
    </w:p>
    <w:p w14:paraId="62230E03" w14:textId="1B55ED7C" w:rsidR="009D316D" w:rsidRDefault="0023141D" w:rsidP="0023141D">
      <w:pPr>
        <w:spacing w:after="0" w:line="240" w:lineRule="auto"/>
        <w:jc w:val="both"/>
        <w:rPr>
          <w:rFonts w:ascii="ITC Avant Garde" w:hAnsi="ITC Avant Garde"/>
        </w:rPr>
      </w:pPr>
      <w:r>
        <w:rPr>
          <w:rFonts w:ascii="ITC Avant Garde" w:hAnsi="ITC Avant Garde"/>
        </w:rPr>
        <w:t>Por ello, se considera que las redes 5G SA son las que podrán habilitar de forma más eficaz los casos de uso y aplicaciones más exigentes e innovadores que harán la verdadera diferencia en las industrias que aprovechen esta tecnología.</w:t>
      </w:r>
    </w:p>
    <w:p w14:paraId="1C32C978" w14:textId="77777777" w:rsidR="00643F3A" w:rsidRDefault="00643F3A" w:rsidP="0023141D">
      <w:pPr>
        <w:spacing w:after="0" w:line="240" w:lineRule="auto"/>
        <w:jc w:val="both"/>
        <w:rPr>
          <w:rFonts w:ascii="ITC Avant Garde" w:hAnsi="ITC Avant Garde"/>
        </w:rPr>
      </w:pPr>
    </w:p>
    <w:p w14:paraId="32EA7E17" w14:textId="61784EFB" w:rsidR="00643F3A" w:rsidRDefault="00643F3A" w:rsidP="0023141D">
      <w:pPr>
        <w:spacing w:after="0" w:line="240" w:lineRule="auto"/>
        <w:jc w:val="both"/>
        <w:rPr>
          <w:rFonts w:ascii="ITC Avant Garde" w:hAnsi="ITC Avant Garde"/>
        </w:rPr>
      </w:pPr>
      <w:r>
        <w:rPr>
          <w:rFonts w:ascii="ITC Avant Garde" w:hAnsi="ITC Avant Garde"/>
        </w:rPr>
        <w:t>El cambio del núcleo de la red a 5G (5G SA) en general se realiza una vez que un porcentaje considerable de los usuarios de la red han migrado a 5G. En función del país de que se trate, este periodo podría oscilar entre dos y cuatro años a partir de la introducción de servicios 5G NSA.</w:t>
      </w:r>
    </w:p>
    <w:p w14:paraId="2FD8C67A" w14:textId="77777777" w:rsidR="00287753" w:rsidRPr="006F3CEC" w:rsidRDefault="00287753" w:rsidP="00D25CD5">
      <w:pPr>
        <w:pStyle w:val="Prrafodelista"/>
        <w:spacing w:after="0" w:line="240" w:lineRule="auto"/>
        <w:ind w:left="709"/>
        <w:rPr>
          <w:rFonts w:ascii="ITC Avant Garde" w:hAnsi="ITC Avant Garde"/>
        </w:rPr>
      </w:pPr>
    </w:p>
    <w:p w14:paraId="4546E93B" w14:textId="6308CCF8" w:rsidR="00DB0F71" w:rsidRPr="00D25CD5" w:rsidRDefault="00DB0F71" w:rsidP="00D25CD5">
      <w:pPr>
        <w:pStyle w:val="Prrafodelista"/>
        <w:numPr>
          <w:ilvl w:val="1"/>
          <w:numId w:val="1"/>
        </w:numPr>
        <w:spacing w:after="0" w:line="240" w:lineRule="auto"/>
        <w:ind w:left="567" w:hanging="567"/>
        <w:rPr>
          <w:rFonts w:ascii="ITC Avant Garde" w:hAnsi="ITC Avant Garde"/>
          <w:b/>
        </w:rPr>
      </w:pPr>
      <w:r w:rsidRPr="00D25CD5">
        <w:rPr>
          <w:rFonts w:ascii="ITC Avant Garde" w:hAnsi="ITC Avant Garde"/>
          <w:b/>
        </w:rPr>
        <w:t>Importancia de las redes privadas</w:t>
      </w:r>
      <w:r w:rsidR="0052131F" w:rsidRPr="00D25CD5">
        <w:rPr>
          <w:rFonts w:ascii="ITC Avant Garde" w:hAnsi="ITC Avant Garde"/>
          <w:b/>
        </w:rPr>
        <w:t xml:space="preserve"> para el país</w:t>
      </w:r>
      <w:r w:rsidRPr="00D25CD5">
        <w:rPr>
          <w:rFonts w:ascii="ITC Avant Garde" w:hAnsi="ITC Avant Garde"/>
          <w:b/>
        </w:rPr>
        <w:t xml:space="preserve"> </w:t>
      </w:r>
    </w:p>
    <w:p w14:paraId="34563BC1" w14:textId="77777777" w:rsidR="007C6486" w:rsidRPr="006F3CEC" w:rsidRDefault="007C6486" w:rsidP="00D25CD5">
      <w:pPr>
        <w:pStyle w:val="Prrafodelista"/>
        <w:spacing w:after="0" w:line="240" w:lineRule="auto"/>
        <w:ind w:left="709"/>
        <w:rPr>
          <w:rFonts w:ascii="ITC Avant Garde" w:hAnsi="ITC Avant Garde"/>
        </w:rPr>
      </w:pPr>
    </w:p>
    <w:p w14:paraId="0057E249" w14:textId="46F7E693" w:rsidR="00416A9D" w:rsidRPr="006F3CEC" w:rsidRDefault="00416A9D" w:rsidP="00D25CD5">
      <w:pPr>
        <w:pStyle w:val="Prrafodelista"/>
        <w:spacing w:after="0" w:line="240" w:lineRule="auto"/>
        <w:ind w:left="0"/>
        <w:jc w:val="both"/>
        <w:rPr>
          <w:rFonts w:ascii="ITC Avant Garde" w:hAnsi="ITC Avant Garde"/>
        </w:rPr>
      </w:pPr>
      <w:r w:rsidRPr="006F3CEC">
        <w:rPr>
          <w:rFonts w:ascii="ITC Avant Garde" w:hAnsi="ITC Avant Garde"/>
        </w:rPr>
        <w:t xml:space="preserve">Las primeras tecnologías móviles </w:t>
      </w:r>
      <w:r w:rsidR="004321CF" w:rsidRPr="006F3CEC">
        <w:rPr>
          <w:rFonts w:ascii="ITC Avant Garde" w:hAnsi="ITC Avant Garde"/>
        </w:rPr>
        <w:t xml:space="preserve">(1G y 2G) </w:t>
      </w:r>
      <w:r w:rsidRPr="006F3CEC">
        <w:rPr>
          <w:rFonts w:ascii="ITC Avant Garde" w:hAnsi="ITC Avant Garde"/>
        </w:rPr>
        <w:t xml:space="preserve">se crearon </w:t>
      </w:r>
      <w:r w:rsidR="00BD7D03" w:rsidRPr="006F3CEC">
        <w:rPr>
          <w:rFonts w:ascii="ITC Avant Garde" w:hAnsi="ITC Avant Garde"/>
        </w:rPr>
        <w:t xml:space="preserve">únicamente </w:t>
      </w:r>
      <w:r w:rsidRPr="006F3CEC">
        <w:rPr>
          <w:rFonts w:ascii="ITC Avant Garde" w:hAnsi="ITC Avant Garde"/>
        </w:rPr>
        <w:t>para establecer una comunicación</w:t>
      </w:r>
      <w:r w:rsidR="004321CF" w:rsidRPr="006F3CEC">
        <w:rPr>
          <w:rFonts w:ascii="ITC Avant Garde" w:hAnsi="ITC Avant Garde"/>
        </w:rPr>
        <w:t xml:space="preserve"> a distancia</w:t>
      </w:r>
      <w:r w:rsidRPr="006F3CEC">
        <w:rPr>
          <w:rFonts w:ascii="ITC Avant Garde" w:hAnsi="ITC Avant Garde"/>
        </w:rPr>
        <w:t xml:space="preserve"> entre dos o más personas. Sin embargo, las más recientes tecnologías móviles permiten una comunicación eficiente entre personas y objetos y entre objetos entre sí, sin la intervención de seres humanos.</w:t>
      </w:r>
    </w:p>
    <w:p w14:paraId="6EB31A3C" w14:textId="77777777" w:rsidR="00416A9D" w:rsidRPr="006F3CEC" w:rsidRDefault="00416A9D" w:rsidP="00D25CD5">
      <w:pPr>
        <w:pStyle w:val="Prrafodelista"/>
        <w:spacing w:after="0" w:line="240" w:lineRule="auto"/>
        <w:ind w:left="0"/>
        <w:jc w:val="both"/>
        <w:rPr>
          <w:rFonts w:ascii="ITC Avant Garde" w:hAnsi="ITC Avant Garde"/>
        </w:rPr>
      </w:pPr>
    </w:p>
    <w:p w14:paraId="21597063" w14:textId="05AF5E1E" w:rsidR="007C6486" w:rsidRPr="006F3CEC" w:rsidRDefault="00106959" w:rsidP="00F0193F">
      <w:pPr>
        <w:pStyle w:val="Prrafodelista"/>
        <w:spacing w:after="0" w:line="240" w:lineRule="auto"/>
        <w:ind w:left="0"/>
        <w:jc w:val="both"/>
        <w:rPr>
          <w:rFonts w:ascii="ITC Avant Garde" w:hAnsi="ITC Avant Garde"/>
        </w:rPr>
      </w:pPr>
      <w:r w:rsidRPr="006F3CEC">
        <w:rPr>
          <w:rFonts w:ascii="ITC Avant Garde" w:hAnsi="ITC Avant Garde"/>
        </w:rPr>
        <w:t>L</w:t>
      </w:r>
      <w:r w:rsidR="00F0193F" w:rsidRPr="006F3CEC">
        <w:rPr>
          <w:rFonts w:ascii="ITC Avant Garde" w:hAnsi="ITC Avant Garde"/>
        </w:rPr>
        <w:t xml:space="preserve">a automatización de procesos </w:t>
      </w:r>
      <w:r w:rsidR="00F0193F" w:rsidRPr="006F3CEC" w:rsidDel="00106959">
        <w:rPr>
          <w:rFonts w:ascii="ITC Avant Garde" w:hAnsi="ITC Avant Garde"/>
        </w:rPr>
        <w:t>agro</w:t>
      </w:r>
      <w:r w:rsidR="00F0193F" w:rsidRPr="006F3CEC">
        <w:rPr>
          <w:rFonts w:ascii="ITC Avant Garde" w:hAnsi="ITC Avant Garde"/>
        </w:rPr>
        <w:t>industriales puede aprovechar las bondades de las tecnologías móviles</w:t>
      </w:r>
      <w:r w:rsidR="00650981" w:rsidRPr="00650981">
        <w:rPr>
          <w:rFonts w:ascii="ITC Avant Garde" w:hAnsi="ITC Avant Garde"/>
        </w:rPr>
        <w:t xml:space="preserve"> </w:t>
      </w:r>
      <w:r w:rsidR="00650981">
        <w:rPr>
          <w:rFonts w:ascii="ITC Avant Garde" w:hAnsi="ITC Avant Garde"/>
        </w:rPr>
        <w:t>d</w:t>
      </w:r>
      <w:r w:rsidR="00650981" w:rsidRPr="005545F4">
        <w:rPr>
          <w:rFonts w:ascii="ITC Avant Garde" w:hAnsi="ITC Avant Garde"/>
        </w:rPr>
        <w:t>isponible</w:t>
      </w:r>
      <w:r w:rsidR="00650981">
        <w:rPr>
          <w:rFonts w:ascii="ITC Avant Garde" w:hAnsi="ITC Avant Garde"/>
        </w:rPr>
        <w:t>s</w:t>
      </w:r>
      <w:r w:rsidR="00650981" w:rsidRPr="005545F4">
        <w:rPr>
          <w:rFonts w:ascii="ITC Avant Garde" w:hAnsi="ITC Avant Garde"/>
        </w:rPr>
        <w:t xml:space="preserve"> y desarrollada</w:t>
      </w:r>
      <w:r w:rsidR="00650981">
        <w:rPr>
          <w:rFonts w:ascii="ITC Avant Garde" w:hAnsi="ITC Avant Garde"/>
        </w:rPr>
        <w:t>s</w:t>
      </w:r>
      <w:r w:rsidR="00650981" w:rsidRPr="005545F4">
        <w:rPr>
          <w:rFonts w:ascii="ITC Avant Garde" w:hAnsi="ITC Avant Garde"/>
        </w:rPr>
        <w:t xml:space="preserve"> comercialmente</w:t>
      </w:r>
      <w:r w:rsidR="00F0193F" w:rsidRPr="006F3CEC">
        <w:rPr>
          <w:rFonts w:ascii="ITC Avant Garde" w:hAnsi="ITC Avant Garde"/>
        </w:rPr>
        <w:t xml:space="preserve">, en especial de las redes 4G y 5G, a través de </w:t>
      </w:r>
      <w:r w:rsidR="00F0193F" w:rsidRPr="00EB5610">
        <w:rPr>
          <w:rFonts w:ascii="ITC Avant Garde" w:hAnsi="ITC Avant Garde"/>
          <w:bCs/>
        </w:rPr>
        <w:t>redes privadas de telecomunicaciones</w:t>
      </w:r>
      <w:r w:rsidR="00F0193F" w:rsidRPr="00EB5610">
        <w:rPr>
          <w:rFonts w:ascii="ITC Avant Garde" w:hAnsi="ITC Avant Garde"/>
        </w:rPr>
        <w:t>.</w:t>
      </w:r>
      <w:r w:rsidR="00F0193F">
        <w:rPr>
          <w:rFonts w:ascii="ITC Avant Garde" w:hAnsi="ITC Avant Garde"/>
        </w:rPr>
        <w:t xml:space="preserve"> </w:t>
      </w:r>
      <w:r>
        <w:rPr>
          <w:rFonts w:ascii="ITC Avant Garde" w:hAnsi="ITC Avant Garde"/>
        </w:rPr>
        <w:t xml:space="preserve">Dentro de los servicios que </w:t>
      </w:r>
      <w:r w:rsidRPr="00EB5610">
        <w:rPr>
          <w:rFonts w:ascii="ITC Avant Garde" w:hAnsi="ITC Avant Garde"/>
        </w:rPr>
        <w:t>l</w:t>
      </w:r>
      <w:r w:rsidR="00BF429A" w:rsidRPr="00EB5610">
        <w:rPr>
          <w:rFonts w:ascii="ITC Avant Garde" w:hAnsi="ITC Avant Garde"/>
        </w:rPr>
        <w:t xml:space="preserve">as redes privadas inalámbricas </w:t>
      </w:r>
      <w:r>
        <w:rPr>
          <w:rFonts w:ascii="ITC Avant Garde" w:hAnsi="ITC Avant Garde"/>
        </w:rPr>
        <w:t xml:space="preserve">pueden ofrecer, se encuentran </w:t>
      </w:r>
      <w:r w:rsidR="00520598" w:rsidRPr="00EB5610">
        <w:rPr>
          <w:rFonts w:ascii="ITC Avant Garde" w:hAnsi="ITC Avant Garde"/>
        </w:rPr>
        <w:t>el</w:t>
      </w:r>
      <w:r w:rsidR="00520598" w:rsidRPr="006F3CEC">
        <w:rPr>
          <w:rFonts w:ascii="ITC Avant Garde" w:hAnsi="ITC Avant Garde"/>
        </w:rPr>
        <w:t xml:space="preserve"> monitoreo de </w:t>
      </w:r>
      <w:r w:rsidR="00582CCD" w:rsidRPr="006F3CEC">
        <w:rPr>
          <w:rFonts w:ascii="ITC Avant Garde" w:hAnsi="ITC Avant Garde"/>
        </w:rPr>
        <w:t>una</w:t>
      </w:r>
      <w:r w:rsidR="00520598" w:rsidRPr="006F3CEC">
        <w:rPr>
          <w:rFonts w:ascii="ITC Avant Garde" w:hAnsi="ITC Avant Garde"/>
        </w:rPr>
        <w:t xml:space="preserve"> planta</w:t>
      </w:r>
      <w:r w:rsidR="00582CCD" w:rsidRPr="006F3CEC">
        <w:rPr>
          <w:rFonts w:ascii="ITC Avant Garde" w:hAnsi="ITC Avant Garde"/>
        </w:rPr>
        <w:t xml:space="preserve"> industrial</w:t>
      </w:r>
      <w:r w:rsidR="00520598" w:rsidRPr="006F3CEC">
        <w:rPr>
          <w:rFonts w:ascii="ITC Avant Garde" w:hAnsi="ITC Avant Garde"/>
        </w:rPr>
        <w:t xml:space="preserve"> (seguridad) y de los procesos productivos; la interconexión de cientos, miles o hasta cientos de miles de sensores de todo tipo conectados a la red; el control interno y remoto de los procesos; </w:t>
      </w:r>
      <w:r w:rsidR="00416A9D" w:rsidRPr="006F3CEC">
        <w:rPr>
          <w:rFonts w:ascii="ITC Avant Garde" w:hAnsi="ITC Avant Garde"/>
        </w:rPr>
        <w:t>la interacción de robots y máquinas que se desplace</w:t>
      </w:r>
      <w:r w:rsidR="00BF429A" w:rsidRPr="006F3CEC">
        <w:rPr>
          <w:rFonts w:ascii="ITC Avant Garde" w:hAnsi="ITC Avant Garde"/>
        </w:rPr>
        <w:t>n</w:t>
      </w:r>
      <w:r w:rsidR="00416A9D" w:rsidRPr="006F3CEC">
        <w:rPr>
          <w:rFonts w:ascii="ITC Avant Garde" w:hAnsi="ITC Avant Garde"/>
        </w:rPr>
        <w:t xml:space="preserve"> de forma autónoma dentro de la planta de producción; la detección y eliminación de productos defectuosos en tiempo real dentro de las líneas de producción, y la posibilidad de acceder a lugares peligrosos para las y los trabajadores a través de vehículos controlados en forma remota</w:t>
      </w:r>
      <w:r w:rsidR="00BF429A" w:rsidRPr="006F3CEC">
        <w:rPr>
          <w:rFonts w:ascii="ITC Avant Garde" w:hAnsi="ITC Avant Garde"/>
        </w:rPr>
        <w:t>, entre muchos otros.</w:t>
      </w:r>
    </w:p>
    <w:p w14:paraId="5D7E68EB" w14:textId="0173995A" w:rsidR="00F0193F" w:rsidRDefault="00F0193F" w:rsidP="00F0193F">
      <w:pPr>
        <w:pStyle w:val="Prrafodelista"/>
        <w:spacing w:after="0" w:line="240" w:lineRule="auto"/>
        <w:ind w:left="0"/>
        <w:jc w:val="both"/>
        <w:rPr>
          <w:rFonts w:ascii="ITC Avant Garde" w:hAnsi="ITC Avant Garde"/>
        </w:rPr>
      </w:pPr>
    </w:p>
    <w:p w14:paraId="23B8932E" w14:textId="17C56473" w:rsidR="00AD63F9" w:rsidRPr="006F3CEC" w:rsidRDefault="00582CCD" w:rsidP="00F0193F">
      <w:pPr>
        <w:pStyle w:val="Prrafodelista"/>
        <w:spacing w:after="0" w:line="240" w:lineRule="auto"/>
        <w:ind w:left="0"/>
        <w:jc w:val="both"/>
        <w:rPr>
          <w:rFonts w:ascii="ITC Avant Garde" w:hAnsi="ITC Avant Garde"/>
        </w:rPr>
      </w:pPr>
      <w:r w:rsidRPr="006F3CEC">
        <w:rPr>
          <w:rFonts w:ascii="ITC Avant Garde" w:hAnsi="ITC Avant Garde"/>
        </w:rPr>
        <w:t>L</w:t>
      </w:r>
      <w:r w:rsidR="004568E1" w:rsidRPr="006F3CEC">
        <w:rPr>
          <w:rFonts w:ascii="ITC Avant Garde" w:hAnsi="ITC Avant Garde"/>
        </w:rPr>
        <w:t>a</w:t>
      </w:r>
      <w:r w:rsidRPr="006F3CEC">
        <w:rPr>
          <w:rFonts w:ascii="ITC Avant Garde" w:hAnsi="ITC Avant Garde"/>
        </w:rPr>
        <w:t xml:space="preserve"> pandemia provocada por el SARS-COV2 entre 2019 y 2022</w:t>
      </w:r>
      <w:r w:rsidR="002250A5" w:rsidRPr="006F3CEC">
        <w:rPr>
          <w:rFonts w:ascii="ITC Avant Garde" w:hAnsi="ITC Avant Garde"/>
        </w:rPr>
        <w:t xml:space="preserve"> </w:t>
      </w:r>
      <w:r w:rsidR="00AD63F9" w:rsidRPr="006F3CEC">
        <w:rPr>
          <w:rFonts w:ascii="ITC Avant Garde" w:hAnsi="ITC Avant Garde"/>
        </w:rPr>
        <w:t xml:space="preserve">causó, en el sector productivo mundial, que muchos insumos intermedios </w:t>
      </w:r>
      <w:r w:rsidR="00B9476B" w:rsidRPr="006F3CEC">
        <w:rPr>
          <w:rFonts w:ascii="ITC Avant Garde" w:hAnsi="ITC Avant Garde"/>
        </w:rPr>
        <w:t xml:space="preserve">y finales </w:t>
      </w:r>
      <w:r w:rsidR="00AD63F9" w:rsidRPr="006F3CEC">
        <w:rPr>
          <w:rFonts w:ascii="ITC Avant Garde" w:hAnsi="ITC Avant Garde"/>
        </w:rPr>
        <w:t>no pudieran entregarse en tiempo y forma</w:t>
      </w:r>
      <w:r w:rsidR="00932B9A" w:rsidRPr="006F3CEC">
        <w:rPr>
          <w:rFonts w:ascii="ITC Avant Garde" w:hAnsi="ITC Avant Garde"/>
        </w:rPr>
        <w:t>,</w:t>
      </w:r>
      <w:r w:rsidR="00AD63F9" w:rsidRPr="006F3CEC">
        <w:rPr>
          <w:rFonts w:ascii="ITC Avant Garde" w:hAnsi="ITC Avant Garde"/>
        </w:rPr>
        <w:t xml:space="preserve"> </w:t>
      </w:r>
      <w:r w:rsidR="00B16F47" w:rsidRPr="006F3CEC">
        <w:rPr>
          <w:rFonts w:ascii="ITC Avant Garde" w:hAnsi="ITC Avant Garde"/>
        </w:rPr>
        <w:t>con</w:t>
      </w:r>
      <w:r w:rsidR="00AD63F9" w:rsidRPr="006F3CEC">
        <w:rPr>
          <w:rFonts w:ascii="ITC Avant Garde" w:hAnsi="ITC Avant Garde"/>
        </w:rPr>
        <w:t xml:space="preserve"> disrupciones importantes en las cadenas productivas. Ejemplos comunes de ello son los retrasos y reducciones en la entrega de productos necesarios para las industrias automotriz y de electrónica de consumo.</w:t>
      </w:r>
    </w:p>
    <w:p w14:paraId="00F31B92" w14:textId="77777777" w:rsidR="00AD63F9" w:rsidRPr="006F3CEC" w:rsidRDefault="00AD63F9" w:rsidP="00D25CD5">
      <w:pPr>
        <w:pStyle w:val="Prrafodelista"/>
        <w:spacing w:after="0" w:line="240" w:lineRule="auto"/>
        <w:ind w:left="0"/>
        <w:rPr>
          <w:rFonts w:ascii="ITC Avant Garde" w:hAnsi="ITC Avant Garde"/>
        </w:rPr>
      </w:pPr>
    </w:p>
    <w:p w14:paraId="5FDF30BB" w14:textId="4AB86B22" w:rsidR="00582CCD" w:rsidRPr="006F3CEC" w:rsidRDefault="00AD63F9" w:rsidP="00D25CD5">
      <w:pPr>
        <w:pStyle w:val="Prrafodelista"/>
        <w:spacing w:after="0" w:line="240" w:lineRule="auto"/>
        <w:ind w:left="0"/>
        <w:jc w:val="both"/>
        <w:rPr>
          <w:rFonts w:ascii="ITC Avant Garde" w:hAnsi="ITC Avant Garde"/>
        </w:rPr>
      </w:pPr>
      <w:r w:rsidRPr="006F3CEC">
        <w:rPr>
          <w:rFonts w:ascii="ITC Avant Garde" w:hAnsi="ITC Avant Garde"/>
        </w:rPr>
        <w:t>Como respuesta,</w:t>
      </w:r>
      <w:r w:rsidR="002250A5" w:rsidRPr="006F3CEC">
        <w:rPr>
          <w:rFonts w:ascii="ITC Avant Garde" w:hAnsi="ITC Avant Garde"/>
        </w:rPr>
        <w:t xml:space="preserve"> muchas empresas </w:t>
      </w:r>
      <w:r w:rsidRPr="006F3CEC">
        <w:rPr>
          <w:rFonts w:ascii="ITC Avant Garde" w:hAnsi="ITC Avant Garde"/>
        </w:rPr>
        <w:t xml:space="preserve">han </w:t>
      </w:r>
      <w:r w:rsidR="002250A5" w:rsidRPr="006F3CEC">
        <w:rPr>
          <w:rFonts w:ascii="ITC Avant Garde" w:hAnsi="ITC Avant Garde"/>
        </w:rPr>
        <w:t>bus</w:t>
      </w:r>
      <w:r w:rsidRPr="006F3CEC">
        <w:rPr>
          <w:rFonts w:ascii="ITC Avant Garde" w:hAnsi="ITC Avant Garde"/>
        </w:rPr>
        <w:t>cado</w:t>
      </w:r>
      <w:r w:rsidR="002250A5" w:rsidRPr="006F3CEC">
        <w:rPr>
          <w:rFonts w:ascii="ITC Avant Garde" w:hAnsi="ITC Avant Garde"/>
        </w:rPr>
        <w:t xml:space="preserve"> mover parte de su producción a regiones más cercanas a los destinos finales de sus productos. Esta tendencia, conocida como “</w:t>
      </w:r>
      <w:proofErr w:type="spellStart"/>
      <w:r w:rsidR="002250A5" w:rsidRPr="006F3CEC">
        <w:rPr>
          <w:rFonts w:ascii="ITC Avant Garde" w:hAnsi="ITC Avant Garde"/>
          <w:i/>
          <w:iCs/>
        </w:rPr>
        <w:t>nearshoring</w:t>
      </w:r>
      <w:proofErr w:type="spellEnd"/>
      <w:r w:rsidR="002250A5" w:rsidRPr="006F3CEC">
        <w:rPr>
          <w:rFonts w:ascii="ITC Avant Garde" w:hAnsi="ITC Avant Garde"/>
        </w:rPr>
        <w:t xml:space="preserve">”, busca acortar </w:t>
      </w:r>
      <w:r w:rsidR="00726371">
        <w:rPr>
          <w:rFonts w:ascii="ITC Avant Garde" w:hAnsi="ITC Avant Garde"/>
        </w:rPr>
        <w:t xml:space="preserve">los costos y </w:t>
      </w:r>
      <w:r w:rsidR="002250A5" w:rsidRPr="006F3CEC">
        <w:rPr>
          <w:rFonts w:ascii="ITC Avant Garde" w:hAnsi="ITC Avant Garde"/>
        </w:rPr>
        <w:t>las</w:t>
      </w:r>
      <w:r w:rsidR="009D316D">
        <w:rPr>
          <w:rFonts w:ascii="ITC Avant Garde" w:hAnsi="ITC Avant Garde"/>
        </w:rPr>
        <w:t xml:space="preserve"> distancias en</w:t>
      </w:r>
      <w:r w:rsidR="002250A5" w:rsidRPr="006F3CEC">
        <w:rPr>
          <w:rFonts w:ascii="ITC Avant Garde" w:hAnsi="ITC Avant Garde"/>
        </w:rPr>
        <w:t xml:space="preserve"> cadenas de producción y garant</w:t>
      </w:r>
      <w:r w:rsidRPr="006F3CEC">
        <w:rPr>
          <w:rFonts w:ascii="ITC Avant Garde" w:hAnsi="ITC Avant Garde"/>
        </w:rPr>
        <w:t>izar</w:t>
      </w:r>
      <w:r w:rsidR="002250A5" w:rsidRPr="006F3CEC">
        <w:rPr>
          <w:rFonts w:ascii="ITC Avant Garde" w:hAnsi="ITC Avant Garde"/>
        </w:rPr>
        <w:t xml:space="preserve"> el suministro </w:t>
      </w:r>
      <w:r w:rsidRPr="006F3CEC">
        <w:rPr>
          <w:rFonts w:ascii="ITC Avant Garde" w:hAnsi="ITC Avant Garde"/>
        </w:rPr>
        <w:t xml:space="preserve">oportuno </w:t>
      </w:r>
      <w:r w:rsidR="002250A5" w:rsidRPr="006F3CEC">
        <w:rPr>
          <w:rFonts w:ascii="ITC Avant Garde" w:hAnsi="ITC Avant Garde"/>
        </w:rPr>
        <w:t>de los productos hacia los mercados finales.</w:t>
      </w:r>
    </w:p>
    <w:p w14:paraId="762795F3" w14:textId="77777777" w:rsidR="00B9476B" w:rsidRPr="006F3CEC" w:rsidRDefault="00B9476B" w:rsidP="00D25CD5">
      <w:pPr>
        <w:pStyle w:val="Prrafodelista"/>
        <w:spacing w:after="0" w:line="240" w:lineRule="auto"/>
        <w:ind w:left="0"/>
        <w:jc w:val="both"/>
        <w:rPr>
          <w:rFonts w:ascii="ITC Avant Garde" w:hAnsi="ITC Avant Garde"/>
        </w:rPr>
      </w:pPr>
    </w:p>
    <w:p w14:paraId="60CC021E" w14:textId="64772CD6" w:rsidR="00B9476B" w:rsidRPr="006F3CEC" w:rsidRDefault="00BF7338" w:rsidP="00D25CD5">
      <w:pPr>
        <w:pStyle w:val="Prrafodelista"/>
        <w:spacing w:after="0" w:line="240" w:lineRule="auto"/>
        <w:ind w:left="0"/>
        <w:jc w:val="both"/>
        <w:rPr>
          <w:rFonts w:ascii="ITC Avant Garde" w:hAnsi="ITC Avant Garde"/>
        </w:rPr>
      </w:pPr>
      <w:r>
        <w:rPr>
          <w:rFonts w:ascii="ITC Avant Garde" w:hAnsi="ITC Avant Garde"/>
        </w:rPr>
        <w:t>L</w:t>
      </w:r>
      <w:r w:rsidR="00726371" w:rsidRPr="006F3CEC">
        <w:rPr>
          <w:rFonts w:ascii="ITC Avant Garde" w:hAnsi="ITC Avant Garde"/>
        </w:rPr>
        <w:t xml:space="preserve">a </w:t>
      </w:r>
      <w:r w:rsidR="00B9476B" w:rsidRPr="006F3CEC">
        <w:rPr>
          <w:rFonts w:ascii="ITC Avant Garde" w:hAnsi="ITC Avant Garde"/>
        </w:rPr>
        <w:t xml:space="preserve">relocalización de empresas </w:t>
      </w:r>
      <w:r w:rsidR="00CA2495" w:rsidRPr="006F3CEC">
        <w:rPr>
          <w:rFonts w:ascii="ITC Avant Garde" w:hAnsi="ITC Avant Garde"/>
        </w:rPr>
        <w:t>a</w:t>
      </w:r>
      <w:r w:rsidR="00B9476B" w:rsidRPr="006F3CEC">
        <w:rPr>
          <w:rFonts w:ascii="ITC Avant Garde" w:hAnsi="ITC Avant Garde"/>
        </w:rPr>
        <w:t xml:space="preserve"> regiones más cercanas a los Estados Unidos </w:t>
      </w:r>
      <w:r w:rsidR="00CA2495" w:rsidRPr="006F3CEC">
        <w:rPr>
          <w:rFonts w:ascii="ITC Avant Garde" w:hAnsi="ITC Avant Garde"/>
        </w:rPr>
        <w:t>de América</w:t>
      </w:r>
      <w:r w:rsidR="001947C2" w:rsidRPr="006F3CEC">
        <w:rPr>
          <w:rFonts w:ascii="ITC Avant Garde" w:hAnsi="ITC Avant Garde"/>
        </w:rPr>
        <w:t xml:space="preserve"> </w:t>
      </w:r>
      <w:r w:rsidR="00B9476B" w:rsidRPr="006F3CEC">
        <w:rPr>
          <w:rFonts w:ascii="ITC Avant Garde" w:hAnsi="ITC Avant Garde"/>
        </w:rPr>
        <w:t xml:space="preserve">representa </w:t>
      </w:r>
      <w:r w:rsidR="00B16F47" w:rsidRPr="006F3CEC">
        <w:rPr>
          <w:rFonts w:ascii="ITC Avant Garde" w:hAnsi="ITC Avant Garde"/>
        </w:rPr>
        <w:t xml:space="preserve">particularmente </w:t>
      </w:r>
      <w:r w:rsidR="00B9476B" w:rsidRPr="006F3CEC">
        <w:rPr>
          <w:rFonts w:ascii="ITC Avant Garde" w:hAnsi="ITC Avant Garde"/>
        </w:rPr>
        <w:t>un</w:t>
      </w:r>
      <w:r w:rsidR="00CA2495" w:rsidRPr="006F3CEC">
        <w:rPr>
          <w:rFonts w:ascii="ITC Avant Garde" w:hAnsi="ITC Avant Garde"/>
        </w:rPr>
        <w:t>a</w:t>
      </w:r>
      <w:r w:rsidR="00B9476B" w:rsidRPr="006F3CEC">
        <w:rPr>
          <w:rFonts w:ascii="ITC Avant Garde" w:hAnsi="ITC Avant Garde"/>
        </w:rPr>
        <w:t xml:space="preserve"> enorme oportunidad para México. En ese sentido, </w:t>
      </w:r>
      <w:r w:rsidR="00B9476B" w:rsidRPr="006F3CEC">
        <w:rPr>
          <w:rFonts w:ascii="ITC Avant Garde" w:hAnsi="ITC Avant Garde"/>
        </w:rPr>
        <w:lastRenderedPageBreak/>
        <w:t>resulta imperioso que nuestro país cuente con la infraestructura, los servicios y las condiciones adecuadas para atraer las inversiones derivadas de este proceso.</w:t>
      </w:r>
    </w:p>
    <w:p w14:paraId="0AE74250" w14:textId="77777777" w:rsidR="002250A5" w:rsidRPr="006F3CEC" w:rsidRDefault="002250A5" w:rsidP="00D25CD5">
      <w:pPr>
        <w:pStyle w:val="Prrafodelista"/>
        <w:spacing w:after="0" w:line="240" w:lineRule="auto"/>
        <w:ind w:left="709"/>
        <w:rPr>
          <w:rFonts w:ascii="ITC Avant Garde" w:hAnsi="ITC Avant Garde"/>
        </w:rPr>
      </w:pPr>
    </w:p>
    <w:p w14:paraId="3166B26C" w14:textId="007526C4" w:rsidR="00176077" w:rsidRPr="00D25CD5" w:rsidRDefault="001947C2" w:rsidP="00726371">
      <w:pPr>
        <w:pStyle w:val="Prrafodelista"/>
        <w:spacing w:after="0" w:line="240" w:lineRule="auto"/>
        <w:ind w:left="0"/>
        <w:jc w:val="both"/>
        <w:rPr>
          <w:rFonts w:ascii="ITC Avant Garde" w:hAnsi="ITC Avant Garde"/>
        </w:rPr>
      </w:pPr>
      <w:r w:rsidRPr="006F3CEC">
        <w:rPr>
          <w:rFonts w:ascii="ITC Avant Garde" w:hAnsi="ITC Avant Garde"/>
        </w:rPr>
        <w:t xml:space="preserve">El despliegue de redes privadas con tecnología móvil </w:t>
      </w:r>
      <w:r w:rsidR="006A67C2" w:rsidRPr="006F3CEC">
        <w:rPr>
          <w:rFonts w:ascii="ITC Avant Garde" w:hAnsi="ITC Avant Garde"/>
        </w:rPr>
        <w:t xml:space="preserve">no solo puede apoyar al proceso de </w:t>
      </w:r>
      <w:proofErr w:type="spellStart"/>
      <w:r w:rsidR="006A67C2" w:rsidRPr="006F3CEC">
        <w:rPr>
          <w:rFonts w:ascii="ITC Avant Garde" w:hAnsi="ITC Avant Garde"/>
          <w:i/>
          <w:iCs/>
        </w:rPr>
        <w:t>nearshoring</w:t>
      </w:r>
      <w:proofErr w:type="spellEnd"/>
      <w:r w:rsidR="006A67C2" w:rsidRPr="006F3CEC">
        <w:rPr>
          <w:rFonts w:ascii="ITC Avant Garde" w:hAnsi="ITC Avant Garde"/>
        </w:rPr>
        <w:t>, sino a</w:t>
      </w:r>
      <w:r w:rsidR="00453A00" w:rsidRPr="006F3CEC">
        <w:rPr>
          <w:rFonts w:ascii="ITC Avant Garde" w:hAnsi="ITC Avant Garde"/>
        </w:rPr>
        <w:t xml:space="preserve">l aumento en la productividad y competitividad de las empresas manufactureras que se enfrentarán a mercados cada </w:t>
      </w:r>
      <w:r w:rsidR="008214BC">
        <w:rPr>
          <w:rFonts w:ascii="ITC Avant Garde" w:hAnsi="ITC Avant Garde"/>
        </w:rPr>
        <w:t xml:space="preserve">vez </w:t>
      </w:r>
      <w:r w:rsidR="00453A00" w:rsidRPr="006F3CEC">
        <w:rPr>
          <w:rFonts w:ascii="ITC Avant Garde" w:hAnsi="ITC Avant Garde"/>
        </w:rPr>
        <w:t>más competidos y tecnológicamente sofisticados.</w:t>
      </w:r>
      <w:r w:rsidR="00BF7338">
        <w:rPr>
          <w:rFonts w:ascii="ITC Avant Garde" w:hAnsi="ITC Avant Garde"/>
        </w:rPr>
        <w:t xml:space="preserve"> </w:t>
      </w:r>
      <w:r w:rsidR="00176077" w:rsidRPr="00D25CD5">
        <w:rPr>
          <w:rFonts w:ascii="ITC Avant Garde" w:hAnsi="ITC Avant Garde"/>
        </w:rPr>
        <w:t>Por ejemplo, procesos industriales que requieran de aplicaciones tecnológicas de muy baja latencia, como robots autónomos, se pueden beneficiar del uso de redes 5G SA.</w:t>
      </w:r>
    </w:p>
    <w:p w14:paraId="344751DC" w14:textId="77777777" w:rsidR="007C6486" w:rsidRPr="006F3CEC" w:rsidRDefault="007C6486" w:rsidP="00D25CD5">
      <w:pPr>
        <w:pStyle w:val="Prrafodelista"/>
        <w:spacing w:after="0" w:line="240" w:lineRule="auto"/>
        <w:ind w:left="709"/>
        <w:rPr>
          <w:rFonts w:ascii="ITC Avant Garde" w:hAnsi="ITC Avant Garde"/>
        </w:rPr>
      </w:pPr>
    </w:p>
    <w:p w14:paraId="39182039" w14:textId="2C9B685F" w:rsidR="005E6E43" w:rsidRPr="00D25CD5" w:rsidRDefault="005E6E43" w:rsidP="00D25CD5">
      <w:pPr>
        <w:pStyle w:val="Prrafodelista"/>
        <w:numPr>
          <w:ilvl w:val="1"/>
          <w:numId w:val="1"/>
        </w:numPr>
        <w:spacing w:after="0" w:line="240" w:lineRule="auto"/>
        <w:ind w:left="567" w:hanging="567"/>
        <w:jc w:val="both"/>
        <w:rPr>
          <w:rFonts w:ascii="ITC Avant Garde" w:hAnsi="ITC Avant Garde"/>
          <w:b/>
        </w:rPr>
      </w:pPr>
      <w:r w:rsidRPr="00D25CD5">
        <w:rPr>
          <w:rFonts w:ascii="ITC Avant Garde" w:hAnsi="ITC Avant Garde"/>
          <w:b/>
        </w:rPr>
        <w:t xml:space="preserve">Interés de la industria en general por las redes privadas </w:t>
      </w:r>
    </w:p>
    <w:p w14:paraId="3DAABB58" w14:textId="345E96AE" w:rsidR="00DB0F71" w:rsidRPr="006F3CEC" w:rsidRDefault="00DB0F71" w:rsidP="00D25CD5">
      <w:pPr>
        <w:pStyle w:val="Prrafodelista"/>
        <w:spacing w:after="0" w:line="240" w:lineRule="auto"/>
        <w:rPr>
          <w:rFonts w:ascii="ITC Avant Garde" w:hAnsi="ITC Avant Garde"/>
        </w:rPr>
      </w:pPr>
    </w:p>
    <w:p w14:paraId="6FDFFE1B" w14:textId="14A9C544" w:rsidR="008609B6" w:rsidRPr="006F3CEC" w:rsidRDefault="008609B6" w:rsidP="00D25CD5">
      <w:pPr>
        <w:pStyle w:val="Prrafodelista"/>
        <w:spacing w:after="0" w:line="240" w:lineRule="auto"/>
        <w:ind w:left="0"/>
        <w:jc w:val="both"/>
        <w:rPr>
          <w:rFonts w:ascii="ITC Avant Garde" w:hAnsi="ITC Avant Garde"/>
        </w:rPr>
      </w:pPr>
      <w:r w:rsidRPr="006F3CEC">
        <w:rPr>
          <w:rFonts w:ascii="ITC Avant Garde" w:hAnsi="ITC Avant Garde"/>
        </w:rPr>
        <w:t xml:space="preserve">En años recientes, </w:t>
      </w:r>
      <w:r w:rsidR="00DA13F2" w:rsidRPr="006F3CEC">
        <w:rPr>
          <w:rFonts w:ascii="ITC Avant Garde" w:hAnsi="ITC Avant Garde"/>
        </w:rPr>
        <w:t xml:space="preserve">ha sido creciente el interés </w:t>
      </w:r>
      <w:r w:rsidRPr="006F3CEC">
        <w:rPr>
          <w:rFonts w:ascii="ITC Avant Garde" w:hAnsi="ITC Avant Garde"/>
        </w:rPr>
        <w:t xml:space="preserve">de diversos sectores </w:t>
      </w:r>
      <w:r w:rsidR="00DA13F2" w:rsidRPr="006F3CEC">
        <w:rPr>
          <w:rFonts w:ascii="ITC Avant Garde" w:hAnsi="ITC Avant Garde"/>
        </w:rPr>
        <w:t xml:space="preserve">económicos por acceder a tecnologías modernas de banda ancha, lo que ha derivado en la implementación de políticas y emisión de regulación para atender dicha demanda, particularmente relacionadas con el acceso al espectro radioeléctrico. Ante ello, a nivel internacional </w:t>
      </w:r>
      <w:r w:rsidRPr="006F3CEC">
        <w:rPr>
          <w:rFonts w:ascii="ITC Avant Garde" w:hAnsi="ITC Avant Garde"/>
        </w:rPr>
        <w:t xml:space="preserve">abundan los casos de asignación de </w:t>
      </w:r>
      <w:r w:rsidR="00DA13F2" w:rsidRPr="006F3CEC">
        <w:rPr>
          <w:rFonts w:ascii="ITC Avant Garde" w:hAnsi="ITC Avant Garde"/>
        </w:rPr>
        <w:t xml:space="preserve">espectro </w:t>
      </w:r>
      <w:r w:rsidRPr="006F3CEC">
        <w:rPr>
          <w:rFonts w:ascii="ITC Avant Garde" w:hAnsi="ITC Avant Garde"/>
        </w:rPr>
        <w:t>para la implementación de redes privadas de banda ancha</w:t>
      </w:r>
      <w:r w:rsidR="00DC01FB">
        <w:rPr>
          <w:rFonts w:ascii="ITC Avant Garde" w:hAnsi="ITC Avant Garde"/>
        </w:rPr>
        <w:t>.</w:t>
      </w:r>
    </w:p>
    <w:p w14:paraId="29D51FEF" w14:textId="77777777" w:rsidR="0075016D" w:rsidRPr="00421FF3" w:rsidRDefault="0075016D" w:rsidP="0075016D">
      <w:pPr>
        <w:pStyle w:val="Prrafodelista"/>
        <w:spacing w:after="0" w:line="240" w:lineRule="auto"/>
        <w:rPr>
          <w:rFonts w:ascii="ITC Avant Garde" w:hAnsi="ITC Avant Garde"/>
        </w:rPr>
      </w:pPr>
    </w:p>
    <w:p w14:paraId="514149E4" w14:textId="5549C2FB" w:rsidR="001545C4" w:rsidRDefault="001545C4" w:rsidP="001545C4">
      <w:pPr>
        <w:pStyle w:val="Prrafodelista"/>
        <w:spacing w:after="0" w:line="240" w:lineRule="auto"/>
        <w:ind w:left="0"/>
        <w:jc w:val="both"/>
        <w:rPr>
          <w:rFonts w:ascii="ITC Avant Garde" w:hAnsi="ITC Avant Garde"/>
        </w:rPr>
      </w:pPr>
      <w:r w:rsidRPr="00421FF3">
        <w:rPr>
          <w:rFonts w:ascii="ITC Avant Garde" w:hAnsi="ITC Avant Garde"/>
        </w:rPr>
        <w:t>El Reporte sobre mecanismos de asignación de espectro radioeléctrico para redes privadas 5G, elaborado por el Centro de Estudios del Instituto en 2024, nos brinda un panorama más completo y puntual sobre c</w:t>
      </w:r>
      <w:r w:rsidR="00124E89" w:rsidRPr="00421FF3">
        <w:rPr>
          <w:rFonts w:ascii="ITC Avant Garde" w:hAnsi="ITC Avant Garde"/>
        </w:rPr>
        <w:t>ó</w:t>
      </w:r>
      <w:r w:rsidRPr="00421FF3">
        <w:rPr>
          <w:rFonts w:ascii="ITC Avant Garde" w:hAnsi="ITC Avant Garde"/>
        </w:rPr>
        <w:t>mo la industria a nivel internacional hace uso de tecnologías 4G y 5G para redes privadas.</w:t>
      </w:r>
    </w:p>
    <w:p w14:paraId="272C55F2" w14:textId="77777777" w:rsidR="001545C4" w:rsidRPr="006F3CEC" w:rsidRDefault="001545C4" w:rsidP="0075016D">
      <w:pPr>
        <w:pStyle w:val="Prrafodelista"/>
        <w:spacing w:after="0" w:line="240" w:lineRule="auto"/>
        <w:rPr>
          <w:rFonts w:ascii="ITC Avant Garde" w:hAnsi="ITC Avant Garde"/>
        </w:rPr>
      </w:pPr>
    </w:p>
    <w:p w14:paraId="3B60475C" w14:textId="3D5168DD" w:rsidR="00DB0F71" w:rsidRPr="004824C5" w:rsidRDefault="00DB0F71" w:rsidP="003E45DE">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3E45DE">
        <w:rPr>
          <w:rFonts w:ascii="ITC Avant Garde" w:eastAsia="Times New Roman" w:hAnsi="ITC Avant Garde" w:cs="Arial"/>
          <w:b/>
          <w:color w:val="939F27"/>
          <w:sz w:val="26"/>
          <w:szCs w:val="26"/>
        </w:rPr>
        <w:t>Opciones para atender requerimientos</w:t>
      </w:r>
      <w:r w:rsidR="0052131F" w:rsidRPr="003E45DE">
        <w:rPr>
          <w:rFonts w:ascii="ITC Avant Garde" w:eastAsia="Times New Roman" w:hAnsi="ITC Avant Garde" w:cs="Arial"/>
          <w:b/>
          <w:color w:val="939F27"/>
          <w:sz w:val="26"/>
          <w:szCs w:val="26"/>
        </w:rPr>
        <w:t xml:space="preserve"> </w:t>
      </w:r>
      <w:r w:rsidR="00C745FE" w:rsidRPr="004824C5">
        <w:rPr>
          <w:rFonts w:ascii="ITC Avant Garde" w:eastAsia="Times New Roman" w:hAnsi="ITC Avant Garde" w:cs="Arial"/>
          <w:b/>
          <w:color w:val="939F27"/>
          <w:sz w:val="26"/>
          <w:szCs w:val="26"/>
        </w:rPr>
        <w:t xml:space="preserve">de </w:t>
      </w:r>
      <w:r w:rsidR="0052131F" w:rsidRPr="004824C5">
        <w:rPr>
          <w:rFonts w:ascii="ITC Avant Garde" w:eastAsia="Times New Roman" w:hAnsi="ITC Avant Garde" w:cs="Arial"/>
          <w:b/>
          <w:color w:val="939F27"/>
          <w:sz w:val="26"/>
          <w:szCs w:val="26"/>
        </w:rPr>
        <w:t>espectr</w:t>
      </w:r>
      <w:r w:rsidR="00176E50">
        <w:rPr>
          <w:rFonts w:ascii="ITC Avant Garde" w:eastAsia="Times New Roman" w:hAnsi="ITC Avant Garde" w:cs="Arial"/>
          <w:b/>
          <w:color w:val="939F27"/>
          <w:sz w:val="26"/>
          <w:szCs w:val="26"/>
        </w:rPr>
        <w:t>o</w:t>
      </w:r>
      <w:r w:rsidR="004824C5" w:rsidRPr="004824C5">
        <w:rPr>
          <w:rFonts w:ascii="ITC Avant Garde" w:eastAsia="Times New Roman" w:hAnsi="ITC Avant Garde" w:cs="Arial"/>
          <w:b/>
          <w:color w:val="939F27"/>
          <w:sz w:val="26"/>
          <w:szCs w:val="26"/>
        </w:rPr>
        <w:t xml:space="preserve"> </w:t>
      </w:r>
      <w:r w:rsidR="00C745FE" w:rsidRPr="004824C5">
        <w:rPr>
          <w:rFonts w:ascii="ITC Avant Garde" w:eastAsia="Times New Roman" w:hAnsi="ITC Avant Garde" w:cs="Arial"/>
          <w:b/>
          <w:color w:val="939F27"/>
          <w:sz w:val="26"/>
          <w:szCs w:val="26"/>
        </w:rPr>
        <w:t>radioeléctrico para</w:t>
      </w:r>
      <w:r w:rsidRPr="004824C5">
        <w:rPr>
          <w:rFonts w:ascii="ITC Avant Garde" w:eastAsia="Times New Roman" w:hAnsi="ITC Avant Garde" w:cs="Arial"/>
          <w:b/>
          <w:color w:val="939F27"/>
          <w:sz w:val="26"/>
          <w:szCs w:val="26"/>
        </w:rPr>
        <w:t xml:space="preserve"> redes privadas</w:t>
      </w:r>
    </w:p>
    <w:p w14:paraId="4337BF44" w14:textId="77777777" w:rsidR="007E32C0" w:rsidRPr="006F3CEC" w:rsidRDefault="007E32C0" w:rsidP="00D25CD5">
      <w:pPr>
        <w:pStyle w:val="Prrafodelista"/>
        <w:spacing w:after="0" w:line="240" w:lineRule="auto"/>
        <w:ind w:left="360"/>
        <w:rPr>
          <w:rFonts w:ascii="ITC Avant Garde" w:hAnsi="ITC Avant Garde"/>
        </w:rPr>
      </w:pPr>
    </w:p>
    <w:p w14:paraId="1AF547DA" w14:textId="36FF96D0" w:rsidR="00DB0F71" w:rsidRPr="003E45DE" w:rsidRDefault="00DB0F71" w:rsidP="003E45DE">
      <w:pPr>
        <w:pStyle w:val="Prrafodelista"/>
        <w:numPr>
          <w:ilvl w:val="1"/>
          <w:numId w:val="21"/>
        </w:numPr>
        <w:spacing w:after="0" w:line="240" w:lineRule="auto"/>
        <w:jc w:val="both"/>
        <w:rPr>
          <w:rFonts w:ascii="ITC Avant Garde" w:hAnsi="ITC Avant Garde"/>
          <w:b/>
        </w:rPr>
      </w:pPr>
      <w:r w:rsidRPr="003E45DE">
        <w:rPr>
          <w:rFonts w:ascii="ITC Avant Garde" w:hAnsi="ITC Avant Garde"/>
          <w:b/>
        </w:rPr>
        <w:t>Lineamientos para autorizaciones de espectro de uso secundario</w:t>
      </w:r>
      <w:r w:rsidR="00D512A5" w:rsidRPr="003E45DE">
        <w:rPr>
          <w:rFonts w:ascii="ITC Avant Garde" w:hAnsi="ITC Avant Garde"/>
          <w:b/>
        </w:rPr>
        <w:t xml:space="preserve"> </w:t>
      </w:r>
    </w:p>
    <w:p w14:paraId="0E5E77D8" w14:textId="47928C3E" w:rsidR="00117FFB" w:rsidRPr="006F3CEC" w:rsidRDefault="00117FFB" w:rsidP="00D25CD5">
      <w:pPr>
        <w:pStyle w:val="Prrafodelista"/>
        <w:spacing w:after="0" w:line="240" w:lineRule="auto"/>
        <w:ind w:left="709"/>
        <w:rPr>
          <w:rFonts w:ascii="ITC Avant Garde" w:hAnsi="ITC Avant Garde"/>
        </w:rPr>
      </w:pPr>
      <w:bookmarkStart w:id="0" w:name="_Hlk179097012"/>
    </w:p>
    <w:bookmarkEnd w:id="0"/>
    <w:p w14:paraId="692D6C64" w14:textId="48E00553" w:rsidR="00601EEE" w:rsidRPr="00205767" w:rsidRDefault="00601EEE" w:rsidP="00CF5BA1">
      <w:pPr>
        <w:spacing w:after="0" w:line="240" w:lineRule="auto"/>
        <w:jc w:val="both"/>
        <w:rPr>
          <w:rFonts w:ascii="ITC Avant Garde" w:hAnsi="ITC Avant Garde"/>
        </w:rPr>
      </w:pPr>
      <w:r w:rsidRPr="00205767">
        <w:rPr>
          <w:rFonts w:ascii="ITC Avant Garde" w:hAnsi="ITC Avant Garde"/>
        </w:rPr>
        <w:t xml:space="preserve">Una opción regulatoria diseñada por el </w:t>
      </w:r>
      <w:r w:rsidR="00705B0B" w:rsidRPr="00205767">
        <w:rPr>
          <w:rFonts w:ascii="ITC Avant Garde" w:hAnsi="ITC Avant Garde"/>
        </w:rPr>
        <w:t>I</w:t>
      </w:r>
      <w:r w:rsidRPr="00205767">
        <w:rPr>
          <w:rFonts w:ascii="ITC Avant Garde" w:hAnsi="ITC Avant Garde"/>
        </w:rPr>
        <w:t>nstituto para l</w:t>
      </w:r>
      <w:r w:rsidR="00705B0B" w:rsidRPr="00205767">
        <w:rPr>
          <w:rFonts w:ascii="ITC Avant Garde" w:hAnsi="ITC Avant Garde"/>
        </w:rPr>
        <w:t>a</w:t>
      </w:r>
      <w:r w:rsidRPr="00205767">
        <w:rPr>
          <w:rFonts w:ascii="ITC Avant Garde" w:hAnsi="ITC Avant Garde"/>
        </w:rPr>
        <w:t xml:space="preserve">s </w:t>
      </w:r>
      <w:r w:rsidR="00705B0B" w:rsidRPr="00205767">
        <w:rPr>
          <w:rFonts w:ascii="ITC Avant Garde" w:hAnsi="ITC Avant Garde"/>
        </w:rPr>
        <w:t>personas</w:t>
      </w:r>
      <w:r w:rsidRPr="00205767">
        <w:rPr>
          <w:rFonts w:ascii="ITC Avant Garde" w:hAnsi="ITC Avant Garde"/>
        </w:rPr>
        <w:t xml:space="preserve"> interesados en hacer uso el espectro radioeléctrico para la satisfacción de necesidades privadas de comunicación son los </w:t>
      </w:r>
      <w:r w:rsidRPr="00124E89">
        <w:rPr>
          <w:rFonts w:ascii="ITC Avant Garde" w:hAnsi="ITC Avant Garde"/>
          <w:i/>
          <w:iCs/>
        </w:rPr>
        <w:t>Lineamientos para el otorgamiento de la Constancia de Autorización, para el uso y aprovechamiento de bandas de frecuencias del espectro radioeléctrico para uso secundario</w:t>
      </w:r>
      <w:r w:rsidR="004C043F">
        <w:rPr>
          <w:rFonts w:ascii="ITC Avant Garde" w:hAnsi="ITC Avant Garde"/>
        </w:rPr>
        <w:t xml:space="preserve"> (Lineamientos de uso secundario).</w:t>
      </w:r>
    </w:p>
    <w:p w14:paraId="2759462C" w14:textId="77777777" w:rsidR="00CF5BA1" w:rsidRPr="00205767" w:rsidRDefault="00CF5BA1" w:rsidP="00CF5BA1">
      <w:pPr>
        <w:spacing w:after="0" w:line="240" w:lineRule="auto"/>
        <w:jc w:val="both"/>
        <w:rPr>
          <w:rFonts w:ascii="ITC Avant Garde" w:hAnsi="ITC Avant Garde"/>
        </w:rPr>
      </w:pPr>
    </w:p>
    <w:p w14:paraId="0EA426B3" w14:textId="09B929BB" w:rsidR="00601EEE" w:rsidRPr="00205767" w:rsidRDefault="00601EEE" w:rsidP="00CF5BA1">
      <w:pPr>
        <w:spacing w:after="0" w:line="240" w:lineRule="auto"/>
        <w:jc w:val="both"/>
        <w:rPr>
          <w:rFonts w:ascii="ITC Avant Garde" w:hAnsi="ITC Avant Garde"/>
        </w:rPr>
      </w:pPr>
      <w:r w:rsidRPr="00205767">
        <w:rPr>
          <w:rFonts w:ascii="ITC Avant Garde" w:hAnsi="ITC Avant Garde"/>
        </w:rPr>
        <w:t xml:space="preserve">Este marco regulatorio se desarrolló alrededor de la figura del uso secundario previsto en la Ley, la cual permite un uso </w:t>
      </w:r>
      <w:r w:rsidR="00EB5610" w:rsidRPr="00205767">
        <w:rPr>
          <w:rFonts w:ascii="ITC Avant Garde" w:hAnsi="ITC Avant Garde"/>
        </w:rPr>
        <w:t>más</w:t>
      </w:r>
      <w:r w:rsidRPr="00205767">
        <w:rPr>
          <w:rFonts w:ascii="ITC Avant Garde" w:hAnsi="ITC Avant Garde"/>
        </w:rPr>
        <w:t xml:space="preserve"> eficiente del espectro</w:t>
      </w:r>
      <w:r w:rsidR="006F7180">
        <w:rPr>
          <w:rFonts w:ascii="ITC Avant Garde" w:hAnsi="ITC Avant Garde"/>
        </w:rPr>
        <w:t xml:space="preserve"> radioeléctrico</w:t>
      </w:r>
      <w:r w:rsidRPr="00205767">
        <w:rPr>
          <w:rFonts w:ascii="ITC Avant Garde" w:hAnsi="ITC Avant Garde"/>
        </w:rPr>
        <w:t xml:space="preserve">, al proteger ampliamente las concesiones y autorizaciones otorgadas a uso primario, pero </w:t>
      </w:r>
      <w:r w:rsidRPr="00205767">
        <w:rPr>
          <w:rFonts w:ascii="ITC Avant Garde" w:hAnsi="ITC Avant Garde"/>
        </w:rPr>
        <w:lastRenderedPageBreak/>
        <w:t xml:space="preserve">permitiendo un uso flexible del espectro por otros interesados que no presten servicios </w:t>
      </w:r>
      <w:r w:rsidR="00124E89">
        <w:rPr>
          <w:rFonts w:ascii="ITC Avant Garde" w:hAnsi="ITC Avant Garde"/>
        </w:rPr>
        <w:t xml:space="preserve">públicos </w:t>
      </w:r>
      <w:r w:rsidRPr="00205767">
        <w:rPr>
          <w:rFonts w:ascii="ITC Avant Garde" w:hAnsi="ITC Avant Garde"/>
        </w:rPr>
        <w:t xml:space="preserve">de radiodifusión o telecomunicaciones. </w:t>
      </w:r>
    </w:p>
    <w:p w14:paraId="0ED0DD61" w14:textId="77777777" w:rsidR="008164FB" w:rsidRPr="00205767" w:rsidRDefault="008164FB" w:rsidP="008164FB">
      <w:pPr>
        <w:spacing w:after="0" w:line="240" w:lineRule="auto"/>
        <w:jc w:val="both"/>
        <w:rPr>
          <w:rFonts w:ascii="ITC Avant Garde" w:hAnsi="ITC Avant Garde"/>
        </w:rPr>
      </w:pPr>
    </w:p>
    <w:p w14:paraId="4A6D69DB" w14:textId="516C6147" w:rsidR="00601EEE" w:rsidRPr="00205767" w:rsidRDefault="00601EEE" w:rsidP="008164FB">
      <w:pPr>
        <w:spacing w:after="0" w:line="240" w:lineRule="auto"/>
        <w:jc w:val="both"/>
        <w:rPr>
          <w:rFonts w:ascii="ITC Avant Garde" w:hAnsi="ITC Avant Garde"/>
        </w:rPr>
      </w:pPr>
      <w:r w:rsidRPr="00205767">
        <w:rPr>
          <w:rFonts w:ascii="ITC Avant Garde" w:hAnsi="ITC Avant Garde"/>
        </w:rPr>
        <w:t xml:space="preserve">Desde su expedición en abril de 2018, esta figura se ha convertido en una opción asequible y expedita para acceder al espectro radioeléctrico para redes privadas. A lo largo de estos años de vigencia los Lineamientos de uso secundario se han modificado en dos ocasiones, la última de ellas en septiembre </w:t>
      </w:r>
      <w:r w:rsidR="00065564">
        <w:rPr>
          <w:rFonts w:ascii="ITC Avant Garde" w:hAnsi="ITC Avant Garde"/>
        </w:rPr>
        <w:t>de</w:t>
      </w:r>
      <w:r w:rsidRPr="00205767">
        <w:rPr>
          <w:rFonts w:ascii="ITC Avant Garde" w:hAnsi="ITC Avant Garde"/>
        </w:rPr>
        <w:t xml:space="preserve"> 2024, buscando atender las inquietudes planteadas por la industria respecto a su implementación para redes privadas en las actividades del Comité Técnico en Materia de Despliegue de 5G en México. </w:t>
      </w:r>
    </w:p>
    <w:p w14:paraId="2FCE6390" w14:textId="77777777" w:rsidR="008164FB" w:rsidRPr="00205767" w:rsidRDefault="008164FB" w:rsidP="008164FB">
      <w:pPr>
        <w:spacing w:after="0" w:line="240" w:lineRule="auto"/>
        <w:jc w:val="both"/>
        <w:rPr>
          <w:rFonts w:ascii="ITC Avant Garde" w:hAnsi="ITC Avant Garde"/>
        </w:rPr>
      </w:pPr>
    </w:p>
    <w:p w14:paraId="6282E5AD" w14:textId="32D964A7" w:rsidR="00601EEE" w:rsidRPr="00205767" w:rsidRDefault="00601EEE" w:rsidP="008164FB">
      <w:pPr>
        <w:spacing w:after="0" w:line="240" w:lineRule="auto"/>
        <w:jc w:val="both"/>
        <w:rPr>
          <w:rFonts w:ascii="ITC Avant Garde" w:hAnsi="ITC Avant Garde"/>
        </w:rPr>
      </w:pPr>
      <w:r w:rsidRPr="00205767">
        <w:rPr>
          <w:rFonts w:ascii="ITC Avant Garde" w:hAnsi="ITC Avant Garde"/>
        </w:rPr>
        <w:t xml:space="preserve">No obstante, esta alternativa presenta algunas desventajas respecto a las concesiones para uso privado, </w:t>
      </w:r>
      <w:r w:rsidR="000F7BEF">
        <w:rPr>
          <w:rFonts w:ascii="ITC Avant Garde" w:hAnsi="ITC Avant Garde"/>
        </w:rPr>
        <w:t>como</w:t>
      </w:r>
      <w:r w:rsidRPr="00205767">
        <w:rPr>
          <w:rFonts w:ascii="ITC Avant Garde" w:hAnsi="ITC Avant Garde"/>
        </w:rPr>
        <w:t xml:space="preserve"> se describe a continuación:</w:t>
      </w:r>
    </w:p>
    <w:p w14:paraId="53BB8C80" w14:textId="77777777" w:rsidR="008164FB" w:rsidRPr="00205767" w:rsidRDefault="008164FB" w:rsidP="00D25CD5">
      <w:pPr>
        <w:spacing w:after="0" w:line="240" w:lineRule="auto"/>
        <w:ind w:left="708"/>
        <w:jc w:val="both"/>
        <w:rPr>
          <w:rFonts w:ascii="ITC Avant Garde" w:hAnsi="ITC Avant Garde"/>
        </w:rPr>
      </w:pPr>
    </w:p>
    <w:p w14:paraId="52B205FF" w14:textId="04A9817A" w:rsidR="00601EEE" w:rsidRPr="00EB5610" w:rsidRDefault="00601EEE" w:rsidP="00EB5610">
      <w:pPr>
        <w:pStyle w:val="Prrafodelista"/>
        <w:numPr>
          <w:ilvl w:val="1"/>
          <w:numId w:val="19"/>
        </w:numPr>
        <w:spacing w:after="0" w:line="240" w:lineRule="auto"/>
        <w:ind w:left="851"/>
        <w:jc w:val="both"/>
        <w:rPr>
          <w:rFonts w:ascii="ITC Avant Garde" w:hAnsi="ITC Avant Garde"/>
        </w:rPr>
      </w:pPr>
      <w:r w:rsidRPr="00EB5610">
        <w:rPr>
          <w:rFonts w:ascii="ITC Avant Garde" w:hAnsi="ITC Avant Garde"/>
        </w:rPr>
        <w:t xml:space="preserve">Tienen una temporalidad menor, ya que las concesiones para uso privado se pueden otorgar hasta por 15 años, mientras que las autorizaciones de uso secundario para instalaciones destinadas a </w:t>
      </w:r>
      <w:r w:rsidR="008F1CDD" w:rsidRPr="00EB5610">
        <w:rPr>
          <w:rFonts w:ascii="ITC Avant Garde" w:hAnsi="ITC Avant Garde"/>
        </w:rPr>
        <w:t xml:space="preserve">actividades comerciales o industriales </w:t>
      </w:r>
      <w:r w:rsidR="000F7BEF">
        <w:rPr>
          <w:rFonts w:ascii="ITC Avant Garde" w:hAnsi="ITC Avant Garde"/>
        </w:rPr>
        <w:t xml:space="preserve">se otorgan por </w:t>
      </w:r>
      <w:r w:rsidRPr="00EB5610">
        <w:rPr>
          <w:rFonts w:ascii="ITC Avant Garde" w:hAnsi="ITC Avant Garde"/>
        </w:rPr>
        <w:t xml:space="preserve">hasta por 7 años, de acuerdo </w:t>
      </w:r>
      <w:r w:rsidR="008F1CDD" w:rsidRPr="00EB5610">
        <w:rPr>
          <w:rFonts w:ascii="ITC Avant Garde" w:hAnsi="ITC Avant Garde"/>
        </w:rPr>
        <w:t>con el artículo 7, fracción II de los Lineamientos de Uso Secundario.</w:t>
      </w:r>
    </w:p>
    <w:p w14:paraId="60E85F7F" w14:textId="77777777" w:rsidR="008164FB" w:rsidRPr="00205767" w:rsidRDefault="008164FB" w:rsidP="00EB5610">
      <w:pPr>
        <w:spacing w:after="0" w:line="240" w:lineRule="auto"/>
        <w:ind w:left="851"/>
        <w:jc w:val="both"/>
        <w:rPr>
          <w:rFonts w:ascii="ITC Avant Garde" w:hAnsi="ITC Avant Garde"/>
        </w:rPr>
      </w:pPr>
    </w:p>
    <w:p w14:paraId="21048C13" w14:textId="63F532C9" w:rsidR="00601EEE" w:rsidRPr="00EB5610" w:rsidRDefault="000F7BEF" w:rsidP="00EB5610">
      <w:pPr>
        <w:pStyle w:val="Prrafodelista"/>
        <w:numPr>
          <w:ilvl w:val="1"/>
          <w:numId w:val="19"/>
        </w:numPr>
        <w:spacing w:after="0" w:line="240" w:lineRule="auto"/>
        <w:ind w:left="851"/>
        <w:jc w:val="both"/>
        <w:rPr>
          <w:rFonts w:ascii="ITC Avant Garde" w:hAnsi="ITC Avant Garde"/>
        </w:rPr>
      </w:pPr>
      <w:r>
        <w:rPr>
          <w:rFonts w:ascii="ITC Avant Garde" w:hAnsi="ITC Avant Garde"/>
        </w:rPr>
        <w:t>Los servicios asociados a ellas n</w:t>
      </w:r>
      <w:r w:rsidR="00601EEE" w:rsidRPr="00EB5610">
        <w:rPr>
          <w:rFonts w:ascii="ITC Avant Garde" w:hAnsi="ITC Avant Garde"/>
        </w:rPr>
        <w:t>o tiene</w:t>
      </w:r>
      <w:r>
        <w:rPr>
          <w:rFonts w:ascii="ITC Avant Garde" w:hAnsi="ITC Avant Garde"/>
        </w:rPr>
        <w:t>n</w:t>
      </w:r>
      <w:r w:rsidR="00601EEE" w:rsidRPr="00EB5610">
        <w:rPr>
          <w:rFonts w:ascii="ITC Avant Garde" w:hAnsi="ITC Avant Garde"/>
        </w:rPr>
        <w:t xml:space="preserve"> protección contra interferencias causadas por </w:t>
      </w:r>
      <w:r w:rsidR="00F132E2" w:rsidRPr="00EB5610">
        <w:rPr>
          <w:rFonts w:ascii="ITC Avant Garde" w:hAnsi="ITC Avant Garde"/>
        </w:rPr>
        <w:t>concesion</w:t>
      </w:r>
      <w:r>
        <w:rPr>
          <w:rFonts w:ascii="ITC Avant Garde" w:hAnsi="ITC Avant Garde"/>
        </w:rPr>
        <w:t>arios</w:t>
      </w:r>
      <w:r w:rsidR="00F132E2" w:rsidRPr="00EB5610">
        <w:rPr>
          <w:rFonts w:ascii="ITC Avant Garde" w:hAnsi="ITC Avant Garde"/>
        </w:rPr>
        <w:t xml:space="preserve"> o autoriza</w:t>
      </w:r>
      <w:r>
        <w:rPr>
          <w:rFonts w:ascii="ITC Avant Garde" w:hAnsi="ITC Avant Garde"/>
        </w:rPr>
        <w:t>dos que operen servicios a</w:t>
      </w:r>
      <w:r w:rsidR="00601EEE" w:rsidRPr="00EB5610">
        <w:rPr>
          <w:rFonts w:ascii="ITC Avant Garde" w:hAnsi="ITC Avant Garde"/>
        </w:rPr>
        <w:t xml:space="preserve"> uso primario, y no debe</w:t>
      </w:r>
      <w:r>
        <w:rPr>
          <w:rFonts w:ascii="ITC Avant Garde" w:hAnsi="ITC Avant Garde"/>
        </w:rPr>
        <w:t>n</w:t>
      </w:r>
      <w:r w:rsidR="00601EEE" w:rsidRPr="00EB5610">
        <w:rPr>
          <w:rFonts w:ascii="ITC Avant Garde" w:hAnsi="ITC Avant Garde"/>
        </w:rPr>
        <w:t xml:space="preserve"> causar interferencias a l</w:t>
      </w:r>
      <w:r w:rsidR="00F132E2" w:rsidRPr="00EB5610">
        <w:rPr>
          <w:rFonts w:ascii="ITC Avant Garde" w:hAnsi="ITC Avant Garde"/>
        </w:rPr>
        <w:t>a</w:t>
      </w:r>
      <w:r w:rsidR="00601EEE" w:rsidRPr="00EB5610">
        <w:rPr>
          <w:rFonts w:ascii="ITC Avant Garde" w:hAnsi="ITC Avant Garde"/>
        </w:rPr>
        <w:t>s mism</w:t>
      </w:r>
      <w:r w:rsidR="00F132E2" w:rsidRPr="00EB5610">
        <w:rPr>
          <w:rFonts w:ascii="ITC Avant Garde" w:hAnsi="ITC Avant Garde"/>
        </w:rPr>
        <w:t>a</w:t>
      </w:r>
      <w:r w:rsidR="00601EEE" w:rsidRPr="00EB5610">
        <w:rPr>
          <w:rFonts w:ascii="ITC Avant Garde" w:hAnsi="ITC Avant Garde"/>
        </w:rPr>
        <w:t>s</w:t>
      </w:r>
      <w:r w:rsidR="00F132E2" w:rsidRPr="00EB5610">
        <w:rPr>
          <w:rFonts w:ascii="ITC Avant Garde" w:hAnsi="ITC Avant Garde"/>
        </w:rPr>
        <w:t>, esto es, aplica</w:t>
      </w:r>
      <w:r w:rsidR="00EB5610">
        <w:rPr>
          <w:rFonts w:ascii="ITC Avant Garde" w:hAnsi="ITC Avant Garde"/>
        </w:rPr>
        <w:t xml:space="preserve"> </w:t>
      </w:r>
      <w:r w:rsidR="00F132E2" w:rsidRPr="00EB5610">
        <w:rPr>
          <w:rFonts w:ascii="ITC Avant Garde" w:hAnsi="ITC Avant Garde"/>
        </w:rPr>
        <w:t>de manera análoga lo señalado en</w:t>
      </w:r>
      <w:r w:rsidR="008F1CDD" w:rsidRPr="00EB5610">
        <w:rPr>
          <w:rFonts w:ascii="ITC Avant Garde" w:hAnsi="ITC Avant Garde"/>
        </w:rPr>
        <w:t xml:space="preserve"> el artículo 57 de la Ley</w:t>
      </w:r>
      <w:r w:rsidR="00F132E2" w:rsidRPr="00EB5610">
        <w:rPr>
          <w:rFonts w:ascii="ITC Avant Garde" w:hAnsi="ITC Avant Garde"/>
        </w:rPr>
        <w:t>,</w:t>
      </w:r>
      <w:r w:rsidR="008F1CDD" w:rsidRPr="00EB5610">
        <w:rPr>
          <w:rFonts w:ascii="ITC Avant Garde" w:hAnsi="ITC Avant Garde"/>
        </w:rPr>
        <w:t xml:space="preserve"> </w:t>
      </w:r>
      <w:r w:rsidR="00F132E2" w:rsidRPr="00EB5610">
        <w:rPr>
          <w:rFonts w:ascii="ITC Avant Garde" w:hAnsi="ITC Avant Garde"/>
        </w:rPr>
        <w:t xml:space="preserve">que </w:t>
      </w:r>
      <w:r w:rsidR="008F1CDD" w:rsidRPr="00EB5610">
        <w:rPr>
          <w:rFonts w:ascii="ITC Avant Garde" w:hAnsi="ITC Avant Garde"/>
        </w:rPr>
        <w:t xml:space="preserve">establece que la atribución de las bandas de frecuencia del espectro radioeléctrico a uno o más servicios de radiocomunicaciones </w:t>
      </w:r>
      <w:r w:rsidR="00F132E2" w:rsidRPr="00EB5610">
        <w:rPr>
          <w:rFonts w:ascii="ITC Avant Garde" w:hAnsi="ITC Avant Garde"/>
        </w:rPr>
        <w:t>a</w:t>
      </w:r>
      <w:r w:rsidR="008F1CDD" w:rsidRPr="00EB5610">
        <w:rPr>
          <w:rFonts w:ascii="ITC Avant Garde" w:hAnsi="ITC Avant Garde"/>
        </w:rPr>
        <w:t xml:space="preserve"> título primario contarán con protección contra interferencias perjudiciales, y </w:t>
      </w:r>
      <w:r w:rsidR="00F132E2" w:rsidRPr="00EB5610">
        <w:rPr>
          <w:rFonts w:ascii="ITC Avant Garde" w:hAnsi="ITC Avant Garde"/>
        </w:rPr>
        <w:t>las atribuidas a</w:t>
      </w:r>
      <w:r w:rsidR="008F1CDD" w:rsidRPr="00EB5610">
        <w:rPr>
          <w:rFonts w:ascii="ITC Avant Garde" w:hAnsi="ITC Avant Garde"/>
        </w:rPr>
        <w:t xml:space="preserve"> título secundario no debe</w:t>
      </w:r>
      <w:r w:rsidR="00FE3D23">
        <w:rPr>
          <w:rFonts w:ascii="ITC Avant Garde" w:hAnsi="ITC Avant Garde"/>
        </w:rPr>
        <w:t>n</w:t>
      </w:r>
      <w:r w:rsidR="008F1CDD" w:rsidRPr="00EB5610">
        <w:rPr>
          <w:rFonts w:ascii="ITC Avant Garde" w:hAnsi="ITC Avant Garde"/>
        </w:rPr>
        <w:t xml:space="preserve"> causar interferencias perjudiciales a los servicios que se prestan mediante bandas de frecuencia otorgadas a título primario, ni podrán reclamar protección contra interferencias perjudiciales causadas por estas últimas.</w:t>
      </w:r>
    </w:p>
    <w:p w14:paraId="3BD5E20A" w14:textId="77777777" w:rsidR="008164FB" w:rsidRPr="006F3CEC" w:rsidRDefault="008164FB" w:rsidP="00D25CD5">
      <w:pPr>
        <w:spacing w:after="0" w:line="240" w:lineRule="auto"/>
        <w:ind w:left="708"/>
        <w:jc w:val="both"/>
        <w:rPr>
          <w:rFonts w:ascii="ITC Avant Garde" w:hAnsi="ITC Avant Garde"/>
        </w:rPr>
      </w:pPr>
    </w:p>
    <w:p w14:paraId="24F041FD" w14:textId="58F72A51" w:rsidR="00117FFB" w:rsidRDefault="00EC6B6A" w:rsidP="008164FB">
      <w:pPr>
        <w:pStyle w:val="Prrafodelista"/>
        <w:spacing w:after="0" w:line="240" w:lineRule="auto"/>
        <w:ind w:left="0"/>
        <w:jc w:val="both"/>
        <w:rPr>
          <w:rFonts w:ascii="ITC Avant Garde" w:hAnsi="ITC Avant Garde"/>
        </w:rPr>
      </w:pPr>
      <w:r w:rsidRPr="006F3CEC">
        <w:rPr>
          <w:rFonts w:ascii="ITC Avant Garde" w:hAnsi="ITC Avant Garde"/>
        </w:rPr>
        <w:t>En este contexto, son precisamente estas desventajas las que hacen que los operadores demanden otras alternativas que satisfagan sus necesidades de comunicación privada y las inversiones relacionadas con éstas</w:t>
      </w:r>
      <w:r w:rsidR="00C745FE" w:rsidRPr="004824C5">
        <w:rPr>
          <w:rFonts w:ascii="ITC Avant Garde" w:hAnsi="ITC Avant Garde"/>
        </w:rPr>
        <w:t>,</w:t>
      </w:r>
      <w:r w:rsidRPr="006F3CEC">
        <w:rPr>
          <w:rFonts w:ascii="ITC Avant Garde" w:hAnsi="ITC Avant Garde"/>
        </w:rPr>
        <w:t xml:space="preserve"> de una forma segura </w:t>
      </w:r>
      <w:r w:rsidRPr="004824C5">
        <w:rPr>
          <w:rFonts w:ascii="ITC Avant Garde" w:hAnsi="ITC Avant Garde"/>
        </w:rPr>
        <w:t xml:space="preserve">y </w:t>
      </w:r>
      <w:r w:rsidR="00C745FE" w:rsidRPr="004824C5">
        <w:rPr>
          <w:rFonts w:ascii="ITC Avant Garde" w:hAnsi="ITC Avant Garde"/>
        </w:rPr>
        <w:t>d</w:t>
      </w:r>
      <w:r w:rsidRPr="004824C5">
        <w:rPr>
          <w:rFonts w:ascii="ITC Avant Garde" w:hAnsi="ITC Avant Garde"/>
        </w:rPr>
        <w:t>e</w:t>
      </w:r>
      <w:r w:rsidRPr="006F3CEC">
        <w:rPr>
          <w:rFonts w:ascii="ITC Avant Garde" w:hAnsi="ITC Avant Garde"/>
        </w:rPr>
        <w:t xml:space="preserve"> largo plazo, lo que nos obliga como regula</w:t>
      </w:r>
      <w:r w:rsidR="000F7BEF">
        <w:rPr>
          <w:rFonts w:ascii="ITC Avant Garde" w:hAnsi="ITC Avant Garde"/>
        </w:rPr>
        <w:t>dores</w:t>
      </w:r>
      <w:r w:rsidRPr="006F3CEC">
        <w:rPr>
          <w:rFonts w:ascii="ITC Avant Garde" w:hAnsi="ITC Avant Garde"/>
        </w:rPr>
        <w:t xml:space="preserve"> a identificar nuevos esquemas que permitan el acceso al espectro en la forma y términos que requiere el sector.</w:t>
      </w:r>
    </w:p>
    <w:p w14:paraId="4137BD9F" w14:textId="77777777" w:rsidR="008164FB" w:rsidRPr="006F3CEC" w:rsidRDefault="008164FB" w:rsidP="008164FB">
      <w:pPr>
        <w:pStyle w:val="Prrafodelista"/>
        <w:spacing w:after="0" w:line="240" w:lineRule="auto"/>
        <w:ind w:left="0"/>
        <w:jc w:val="both"/>
        <w:rPr>
          <w:rFonts w:ascii="ITC Avant Garde" w:hAnsi="ITC Avant Garde"/>
        </w:rPr>
      </w:pPr>
    </w:p>
    <w:p w14:paraId="47BFAE2D" w14:textId="5230B1F0" w:rsidR="00DB0F71" w:rsidRPr="008164FB" w:rsidRDefault="00DB0F71" w:rsidP="003E45DE">
      <w:pPr>
        <w:pStyle w:val="Prrafodelista"/>
        <w:numPr>
          <w:ilvl w:val="1"/>
          <w:numId w:val="21"/>
        </w:numPr>
        <w:spacing w:after="0" w:line="240" w:lineRule="auto"/>
        <w:ind w:left="426" w:hanging="426"/>
        <w:rPr>
          <w:rFonts w:ascii="ITC Avant Garde" w:hAnsi="ITC Avant Garde"/>
          <w:b/>
        </w:rPr>
      </w:pPr>
      <w:r w:rsidRPr="008164FB">
        <w:rPr>
          <w:rFonts w:ascii="ITC Avant Garde" w:hAnsi="ITC Avant Garde"/>
          <w:b/>
        </w:rPr>
        <w:t>Redes privadas habilitadas por concesionarios móviles establecidos</w:t>
      </w:r>
      <w:r w:rsidR="00D512A5" w:rsidRPr="008164FB">
        <w:rPr>
          <w:rFonts w:ascii="ITC Avant Garde" w:hAnsi="ITC Avant Garde"/>
          <w:b/>
        </w:rPr>
        <w:t xml:space="preserve"> </w:t>
      </w:r>
    </w:p>
    <w:p w14:paraId="1062AA6F" w14:textId="77777777" w:rsidR="008164FB" w:rsidRDefault="008164FB" w:rsidP="00D25CD5">
      <w:pPr>
        <w:spacing w:after="0" w:line="240" w:lineRule="auto"/>
        <w:ind w:left="708"/>
        <w:jc w:val="both"/>
        <w:rPr>
          <w:rFonts w:ascii="ITC Avant Garde" w:hAnsi="ITC Avant Garde"/>
        </w:rPr>
      </w:pPr>
    </w:p>
    <w:p w14:paraId="26C01583" w14:textId="4780BAD0" w:rsidR="007E32C0" w:rsidRPr="006F3CEC" w:rsidRDefault="007E32C0" w:rsidP="008164FB">
      <w:pPr>
        <w:spacing w:after="0" w:line="240" w:lineRule="auto"/>
        <w:jc w:val="both"/>
        <w:rPr>
          <w:rFonts w:ascii="ITC Avant Garde" w:hAnsi="ITC Avant Garde"/>
        </w:rPr>
      </w:pPr>
      <w:r w:rsidRPr="006F3CEC">
        <w:rPr>
          <w:rFonts w:ascii="ITC Avant Garde" w:hAnsi="ITC Avant Garde"/>
        </w:rPr>
        <w:lastRenderedPageBreak/>
        <w:t>Los concesionarios de servicios móviles</w:t>
      </w:r>
      <w:r w:rsidR="003E2ECB" w:rsidRPr="006F3CEC">
        <w:rPr>
          <w:rStyle w:val="Refdenotaalpie"/>
          <w:rFonts w:ascii="ITC Avant Garde" w:hAnsi="ITC Avant Garde"/>
        </w:rPr>
        <w:footnoteReference w:id="8"/>
      </w:r>
      <w:r w:rsidRPr="006F3CEC">
        <w:rPr>
          <w:rFonts w:ascii="ITC Avant Garde" w:hAnsi="ITC Avant Garde"/>
        </w:rPr>
        <w:t xml:space="preserve"> en México cuentan con distintas bandas de frecuencias que el día de hoy </w:t>
      </w:r>
      <w:r w:rsidR="00932B9A" w:rsidRPr="006F3CEC">
        <w:rPr>
          <w:rFonts w:ascii="ITC Avant Garde" w:hAnsi="ITC Avant Garde"/>
        </w:rPr>
        <w:t>también</w:t>
      </w:r>
      <w:r w:rsidRPr="006F3CEC">
        <w:rPr>
          <w:rFonts w:ascii="ITC Avant Garde" w:hAnsi="ITC Avant Garde"/>
        </w:rPr>
        <w:t xml:space="preserve"> utiliza</w:t>
      </w:r>
      <w:r w:rsidR="00932B9A" w:rsidRPr="006F3CEC">
        <w:rPr>
          <w:rFonts w:ascii="ITC Avant Garde" w:hAnsi="ITC Avant Garde"/>
        </w:rPr>
        <w:t>n</w:t>
      </w:r>
      <w:r w:rsidRPr="006F3CEC">
        <w:rPr>
          <w:rFonts w:ascii="ITC Avant Garde" w:hAnsi="ITC Avant Garde"/>
        </w:rPr>
        <w:t xml:space="preserve"> para proveer soluciones de redes privadas. En función del tipo de solución que se requiera, los concesionarios </w:t>
      </w:r>
      <w:r w:rsidR="00932B9A" w:rsidRPr="006F3CEC">
        <w:rPr>
          <w:rFonts w:ascii="ITC Avant Garde" w:hAnsi="ITC Avant Garde"/>
        </w:rPr>
        <w:t>establecidos pueden</w:t>
      </w:r>
      <w:r w:rsidRPr="006F3CEC">
        <w:rPr>
          <w:rFonts w:ascii="ITC Avant Garde" w:hAnsi="ITC Avant Garde"/>
        </w:rPr>
        <w:t xml:space="preserve"> hacer uso de la infraestructura que ya tienen instalada en el país, o bien instalar infraestructura específica (v.gr. un</w:t>
      </w:r>
      <w:r w:rsidR="001545C4">
        <w:rPr>
          <w:rFonts w:ascii="ITC Avant Garde" w:hAnsi="ITC Avant Garde"/>
        </w:rPr>
        <w:t>a</w:t>
      </w:r>
      <w:r w:rsidRPr="006F3CEC">
        <w:rPr>
          <w:rFonts w:ascii="ITC Avant Garde" w:hAnsi="ITC Avant Garde"/>
        </w:rPr>
        <w:t xml:space="preserve"> red 5G SA) dentro de las instalaciones del usuario final para satisfacer las necesidades específicas del proyecto </w:t>
      </w:r>
      <w:r w:rsidR="00932B9A" w:rsidRPr="006F3CEC">
        <w:rPr>
          <w:rFonts w:ascii="ITC Avant Garde" w:hAnsi="ITC Avant Garde"/>
        </w:rPr>
        <w:t xml:space="preserve">de </w:t>
      </w:r>
      <w:r w:rsidRPr="006F3CEC">
        <w:rPr>
          <w:rFonts w:ascii="ITC Avant Garde" w:hAnsi="ITC Avant Garde"/>
        </w:rPr>
        <w:t>que se trate.</w:t>
      </w:r>
    </w:p>
    <w:p w14:paraId="4BDF9FF2" w14:textId="77777777" w:rsidR="003E2ECB" w:rsidRPr="006F3CEC" w:rsidRDefault="003E2ECB" w:rsidP="00D25CD5">
      <w:pPr>
        <w:pStyle w:val="Prrafodelista"/>
        <w:spacing w:after="0" w:line="240" w:lineRule="auto"/>
        <w:ind w:left="1068"/>
        <w:jc w:val="both"/>
        <w:rPr>
          <w:rFonts w:ascii="ITC Avant Garde" w:hAnsi="ITC Avant Garde"/>
        </w:rPr>
      </w:pPr>
    </w:p>
    <w:p w14:paraId="690CD0DA" w14:textId="163D33A4" w:rsidR="003E2ECB" w:rsidRPr="006F3CEC" w:rsidRDefault="003E2ECB" w:rsidP="008164FB">
      <w:pPr>
        <w:spacing w:after="0" w:line="240" w:lineRule="auto"/>
        <w:jc w:val="both"/>
        <w:rPr>
          <w:rFonts w:ascii="ITC Avant Garde" w:hAnsi="ITC Avant Garde"/>
        </w:rPr>
      </w:pPr>
      <w:r w:rsidRPr="006F3CEC">
        <w:rPr>
          <w:rFonts w:ascii="ITC Avant Garde" w:hAnsi="ITC Avant Garde"/>
        </w:rPr>
        <w:t>En el Registro Público de Concesiones</w:t>
      </w:r>
      <w:r w:rsidR="003D712B" w:rsidRPr="006F3CEC">
        <w:rPr>
          <w:rStyle w:val="Refdenotaalpie"/>
          <w:rFonts w:ascii="ITC Avant Garde" w:hAnsi="ITC Avant Garde"/>
        </w:rPr>
        <w:footnoteReference w:id="9"/>
      </w:r>
      <w:r w:rsidRPr="006F3CEC">
        <w:rPr>
          <w:rFonts w:ascii="ITC Avant Garde" w:hAnsi="ITC Avant Garde"/>
        </w:rPr>
        <w:t xml:space="preserve"> (RPC) del Instituto se encuentra </w:t>
      </w:r>
      <w:r w:rsidR="001545C4">
        <w:rPr>
          <w:rFonts w:ascii="ITC Avant Garde" w:hAnsi="ITC Avant Garde"/>
        </w:rPr>
        <w:t>la información de todas las concesiones de espectro radioeléctrico otorgadas para</w:t>
      </w:r>
      <w:r w:rsidRPr="006F3CEC">
        <w:rPr>
          <w:rFonts w:ascii="ITC Avant Garde" w:hAnsi="ITC Avant Garde"/>
        </w:rPr>
        <w:t xml:space="preserve"> </w:t>
      </w:r>
      <w:r w:rsidR="00602313">
        <w:rPr>
          <w:rFonts w:ascii="ITC Avant Garde" w:hAnsi="ITC Avant Garde"/>
        </w:rPr>
        <w:t xml:space="preserve">la </w:t>
      </w:r>
      <w:r w:rsidRPr="006F3CEC">
        <w:rPr>
          <w:rFonts w:ascii="ITC Avant Garde" w:hAnsi="ITC Avant Garde"/>
        </w:rPr>
        <w:t>presta</w:t>
      </w:r>
      <w:r w:rsidR="00602313">
        <w:rPr>
          <w:rFonts w:ascii="ITC Avant Garde" w:hAnsi="ITC Avant Garde"/>
        </w:rPr>
        <w:t>ción</w:t>
      </w:r>
      <w:r w:rsidRPr="006F3CEC">
        <w:rPr>
          <w:rFonts w:ascii="ITC Avant Garde" w:hAnsi="ITC Avant Garde"/>
        </w:rPr>
        <w:t xml:space="preserve"> servicios </w:t>
      </w:r>
      <w:r w:rsidR="000F7BEF">
        <w:rPr>
          <w:rFonts w:ascii="ITC Avant Garde" w:hAnsi="ITC Avant Garde"/>
        </w:rPr>
        <w:t>de acceso inalámbrico móvil</w:t>
      </w:r>
      <w:r w:rsidRPr="006F3CEC">
        <w:rPr>
          <w:rFonts w:ascii="ITC Avant Garde" w:hAnsi="ITC Avant Garde"/>
        </w:rPr>
        <w:t xml:space="preserve"> en el país</w:t>
      </w:r>
      <w:r w:rsidR="003D712B" w:rsidRPr="006F3CEC">
        <w:rPr>
          <w:rFonts w:ascii="ITC Avant Garde" w:hAnsi="ITC Avant Garde"/>
        </w:rPr>
        <w:t xml:space="preserve"> y que, potencialmente, </w:t>
      </w:r>
      <w:r w:rsidR="00602313">
        <w:rPr>
          <w:rFonts w:ascii="ITC Avant Garde" w:hAnsi="ITC Avant Garde"/>
        </w:rPr>
        <w:t xml:space="preserve">se utilizan o podrían utilizarse para la prestación de </w:t>
      </w:r>
      <w:r w:rsidR="003D712B" w:rsidRPr="006F3CEC">
        <w:rPr>
          <w:rFonts w:ascii="ITC Avant Garde" w:hAnsi="ITC Avant Garde"/>
        </w:rPr>
        <w:t>servicios móviles para redes privadas.</w:t>
      </w:r>
    </w:p>
    <w:p w14:paraId="20F2AB03" w14:textId="77777777" w:rsidR="003D712B" w:rsidRPr="006F3CEC" w:rsidRDefault="003D712B" w:rsidP="00D25CD5">
      <w:pPr>
        <w:spacing w:after="0" w:line="240" w:lineRule="auto"/>
        <w:ind w:left="349"/>
        <w:rPr>
          <w:rFonts w:ascii="ITC Avant Garde" w:hAnsi="ITC Avant Garde"/>
        </w:rPr>
      </w:pPr>
    </w:p>
    <w:p w14:paraId="59176010" w14:textId="7FFEDFBA" w:rsidR="00DB0F71" w:rsidRPr="008164FB" w:rsidRDefault="00DB0F71" w:rsidP="003E45DE">
      <w:pPr>
        <w:pStyle w:val="Prrafodelista"/>
        <w:numPr>
          <w:ilvl w:val="1"/>
          <w:numId w:val="21"/>
        </w:numPr>
        <w:spacing w:after="0" w:line="240" w:lineRule="auto"/>
        <w:ind w:left="567" w:hanging="567"/>
        <w:jc w:val="both"/>
        <w:rPr>
          <w:rFonts w:ascii="ITC Avant Garde" w:hAnsi="ITC Avant Garde"/>
          <w:b/>
        </w:rPr>
      </w:pPr>
      <w:r w:rsidRPr="008164FB">
        <w:rPr>
          <w:rFonts w:ascii="ITC Avant Garde" w:hAnsi="ITC Avant Garde"/>
          <w:b/>
        </w:rPr>
        <w:t xml:space="preserve">Concesiones </w:t>
      </w:r>
      <w:r w:rsidR="005B4104" w:rsidRPr="008164FB">
        <w:rPr>
          <w:rFonts w:ascii="ITC Avant Garde" w:hAnsi="ITC Avant Garde"/>
          <w:b/>
        </w:rPr>
        <w:t xml:space="preserve">para </w:t>
      </w:r>
      <w:r w:rsidRPr="008164FB">
        <w:rPr>
          <w:rFonts w:ascii="ITC Avant Garde" w:hAnsi="ITC Avant Garde"/>
          <w:b/>
        </w:rPr>
        <w:t>uso privado</w:t>
      </w:r>
      <w:r w:rsidR="000302ED" w:rsidRPr="008164FB">
        <w:rPr>
          <w:rFonts w:ascii="ITC Avant Garde" w:hAnsi="ITC Avant Garde"/>
          <w:b/>
        </w:rPr>
        <w:t xml:space="preserve"> </w:t>
      </w:r>
    </w:p>
    <w:p w14:paraId="7687E3AF" w14:textId="77777777" w:rsidR="00117FFB" w:rsidRPr="006F3CEC" w:rsidRDefault="00117FFB" w:rsidP="00D25CD5">
      <w:pPr>
        <w:pStyle w:val="Prrafodelista"/>
        <w:spacing w:after="0" w:line="240" w:lineRule="auto"/>
        <w:ind w:left="709"/>
        <w:rPr>
          <w:rFonts w:ascii="ITC Avant Garde" w:hAnsi="ITC Avant Garde"/>
        </w:rPr>
      </w:pPr>
    </w:p>
    <w:p w14:paraId="46BB70AC" w14:textId="1478FC22" w:rsidR="005B4104" w:rsidRPr="006F3CEC" w:rsidRDefault="00117FFB" w:rsidP="008164FB">
      <w:pPr>
        <w:pStyle w:val="Prrafodelista"/>
        <w:spacing w:after="0" w:line="240" w:lineRule="auto"/>
        <w:ind w:left="0"/>
        <w:jc w:val="both"/>
        <w:rPr>
          <w:rFonts w:ascii="ITC Avant Garde" w:hAnsi="ITC Avant Garde"/>
        </w:rPr>
      </w:pPr>
      <w:r w:rsidRPr="006F3CEC">
        <w:rPr>
          <w:rFonts w:ascii="ITC Avant Garde" w:hAnsi="ITC Avant Garde"/>
        </w:rPr>
        <w:t xml:space="preserve">La Ley </w:t>
      </w:r>
      <w:r w:rsidR="00EB5610">
        <w:rPr>
          <w:rFonts w:ascii="ITC Avant Garde" w:hAnsi="ITC Avant Garde"/>
        </w:rPr>
        <w:t>prevé</w:t>
      </w:r>
      <w:r w:rsidRPr="006F3CEC">
        <w:rPr>
          <w:rFonts w:ascii="ITC Avant Garde" w:hAnsi="ITC Avant Garde"/>
        </w:rPr>
        <w:t xml:space="preserve"> las </w:t>
      </w:r>
      <w:r w:rsidR="00EB5610">
        <w:rPr>
          <w:rFonts w:ascii="ITC Avant Garde" w:hAnsi="ITC Avant Garde"/>
        </w:rPr>
        <w:t>c</w:t>
      </w:r>
      <w:r w:rsidRPr="006F3CEC">
        <w:rPr>
          <w:rFonts w:ascii="ITC Avant Garde" w:hAnsi="ITC Avant Garde"/>
        </w:rPr>
        <w:t xml:space="preserve">oncesiones </w:t>
      </w:r>
      <w:r w:rsidR="00A66BC1" w:rsidRPr="006F3CEC">
        <w:rPr>
          <w:rFonts w:ascii="ITC Avant Garde" w:hAnsi="ITC Avant Garde"/>
        </w:rPr>
        <w:t>para</w:t>
      </w:r>
      <w:r w:rsidRPr="006F3CEC">
        <w:rPr>
          <w:rFonts w:ascii="ITC Avant Garde" w:hAnsi="ITC Avant Garde"/>
        </w:rPr>
        <w:t xml:space="preserve"> </w:t>
      </w:r>
      <w:r w:rsidR="00EB5610">
        <w:rPr>
          <w:rFonts w:ascii="ITC Avant Garde" w:hAnsi="ITC Avant Garde"/>
        </w:rPr>
        <w:t>u</w:t>
      </w:r>
      <w:r w:rsidRPr="006F3CEC">
        <w:rPr>
          <w:rFonts w:ascii="ITC Avant Garde" w:hAnsi="ITC Avant Garde"/>
        </w:rPr>
        <w:t xml:space="preserve">so </w:t>
      </w:r>
      <w:r w:rsidR="00EB5610">
        <w:rPr>
          <w:rFonts w:ascii="ITC Avant Garde" w:hAnsi="ITC Avant Garde"/>
        </w:rPr>
        <w:t>p</w:t>
      </w:r>
      <w:r w:rsidRPr="006F3CEC">
        <w:rPr>
          <w:rFonts w:ascii="ITC Avant Garde" w:hAnsi="ITC Avant Garde"/>
        </w:rPr>
        <w:t>rivado</w:t>
      </w:r>
      <w:r w:rsidRPr="006F3CEC">
        <w:rPr>
          <w:rStyle w:val="Refdenotaalpie"/>
          <w:rFonts w:ascii="ITC Avant Garde" w:hAnsi="ITC Avant Garde"/>
        </w:rPr>
        <w:footnoteReference w:id="10"/>
      </w:r>
      <w:r w:rsidRPr="006F3CEC">
        <w:rPr>
          <w:rFonts w:ascii="ITC Avant Garde" w:hAnsi="ITC Avant Garde"/>
        </w:rPr>
        <w:t xml:space="preserve"> como</w:t>
      </w:r>
      <w:r w:rsidR="00A66BC1" w:rsidRPr="006F3CEC">
        <w:rPr>
          <w:rFonts w:ascii="ITC Avant Garde" w:hAnsi="ITC Avant Garde"/>
        </w:rPr>
        <w:t xml:space="preserve"> aquellas que confieren el derecho para usar y aprovechar bandas de frecuencias del espectro radioeléctrico de uso determinado con propósitos de comunicación privada.</w:t>
      </w:r>
      <w:r w:rsidRPr="006F3CEC">
        <w:rPr>
          <w:rFonts w:ascii="ITC Avant Garde" w:hAnsi="ITC Avant Garde"/>
        </w:rPr>
        <w:t xml:space="preserve"> </w:t>
      </w:r>
      <w:r w:rsidR="00A66BC1" w:rsidRPr="006F3CEC">
        <w:rPr>
          <w:rFonts w:ascii="ITC Avant Garde" w:hAnsi="ITC Avant Garde"/>
        </w:rPr>
        <w:t xml:space="preserve">Esto es, con este tipo de concesiones únicamente es posible satisfacer necesidades privadas de comunicación de los particulares, sin el derecho de usar las bandas de frecuencias con fines </w:t>
      </w:r>
      <w:r w:rsidR="0057104C">
        <w:rPr>
          <w:rFonts w:ascii="ITC Avant Garde" w:hAnsi="ITC Avant Garde"/>
        </w:rPr>
        <w:t xml:space="preserve">de explotación </w:t>
      </w:r>
      <w:r w:rsidR="00A66BC1" w:rsidRPr="006F3CEC">
        <w:rPr>
          <w:rFonts w:ascii="ITC Avant Garde" w:hAnsi="ITC Avant Garde"/>
        </w:rPr>
        <w:t xml:space="preserve">comercial. </w:t>
      </w:r>
      <w:r w:rsidR="005B4104" w:rsidRPr="006F3CEC">
        <w:rPr>
          <w:rFonts w:ascii="ITC Avant Garde" w:hAnsi="ITC Avant Garde"/>
        </w:rPr>
        <w:t xml:space="preserve">Asimismo, la Ley </w:t>
      </w:r>
      <w:r w:rsidR="00EB5610">
        <w:rPr>
          <w:rFonts w:ascii="ITC Avant Garde" w:hAnsi="ITC Avant Garde"/>
        </w:rPr>
        <w:t>establece</w:t>
      </w:r>
      <w:r w:rsidRPr="006F3CEC">
        <w:rPr>
          <w:rFonts w:ascii="ITC Avant Garde" w:hAnsi="ITC Avant Garde"/>
        </w:rPr>
        <w:t xml:space="preserve"> que las concesiones </w:t>
      </w:r>
      <w:r w:rsidR="005B4104" w:rsidRPr="006F3CEC">
        <w:rPr>
          <w:rFonts w:ascii="ITC Avant Garde" w:hAnsi="ITC Avant Garde"/>
        </w:rPr>
        <w:t>para</w:t>
      </w:r>
      <w:r w:rsidRPr="006F3CEC">
        <w:rPr>
          <w:rFonts w:ascii="ITC Avant Garde" w:hAnsi="ITC Avant Garde"/>
        </w:rPr>
        <w:t xml:space="preserve"> uso privado se otorg</w:t>
      </w:r>
      <w:r w:rsidR="005B4104" w:rsidRPr="006F3CEC">
        <w:rPr>
          <w:rFonts w:ascii="ITC Avant Garde" w:hAnsi="ITC Avant Garde"/>
        </w:rPr>
        <w:t>arán únicamente</w:t>
      </w:r>
      <w:r w:rsidRPr="006F3CEC">
        <w:rPr>
          <w:rFonts w:ascii="ITC Avant Garde" w:hAnsi="ITC Avant Garde"/>
        </w:rPr>
        <w:t xml:space="preserve"> a través de un proceso de licitación pública.</w:t>
      </w:r>
    </w:p>
    <w:p w14:paraId="7437F762" w14:textId="77777777" w:rsidR="005B4104" w:rsidRPr="006F3CEC" w:rsidRDefault="005B4104" w:rsidP="008164FB">
      <w:pPr>
        <w:pStyle w:val="Prrafodelista"/>
        <w:spacing w:after="0" w:line="240" w:lineRule="auto"/>
        <w:ind w:left="0"/>
        <w:jc w:val="both"/>
        <w:rPr>
          <w:rFonts w:ascii="ITC Avant Garde" w:hAnsi="ITC Avant Garde"/>
        </w:rPr>
      </w:pPr>
    </w:p>
    <w:p w14:paraId="4A8A9B8A" w14:textId="6447C3ED" w:rsidR="00117FFB" w:rsidRPr="006F3CEC" w:rsidRDefault="007A4240" w:rsidP="008164FB">
      <w:pPr>
        <w:pStyle w:val="Prrafodelista"/>
        <w:spacing w:after="0" w:line="240" w:lineRule="auto"/>
        <w:ind w:left="0"/>
        <w:jc w:val="both"/>
        <w:rPr>
          <w:rFonts w:ascii="ITC Avant Garde" w:hAnsi="ITC Avant Garde"/>
        </w:rPr>
      </w:pPr>
      <w:r w:rsidRPr="006F3CEC">
        <w:rPr>
          <w:rFonts w:ascii="ITC Avant Garde" w:hAnsi="ITC Avant Garde"/>
        </w:rPr>
        <w:t xml:space="preserve">El </w:t>
      </w:r>
      <w:r w:rsidR="00C745FE" w:rsidRPr="004824C5">
        <w:rPr>
          <w:rFonts w:ascii="ITC Avant Garde" w:hAnsi="ITC Avant Garde"/>
        </w:rPr>
        <w:t>hecho</w:t>
      </w:r>
      <w:r w:rsidR="004824C5">
        <w:rPr>
          <w:rFonts w:ascii="ITC Avant Garde" w:hAnsi="ITC Avant Garde"/>
        </w:rPr>
        <w:t xml:space="preserve"> </w:t>
      </w:r>
      <w:r w:rsidRPr="006F3CEC">
        <w:rPr>
          <w:rFonts w:ascii="ITC Avant Garde" w:hAnsi="ITC Avant Garde"/>
        </w:rPr>
        <w:t>que</w:t>
      </w:r>
      <w:r w:rsidR="00FF72AE">
        <w:rPr>
          <w:rFonts w:ascii="ITC Avant Garde" w:hAnsi="ITC Avant Garde"/>
        </w:rPr>
        <w:t xml:space="preserve"> la Ley prevea que</w:t>
      </w:r>
      <w:r w:rsidRPr="006F3CEC">
        <w:rPr>
          <w:rFonts w:ascii="ITC Avant Garde" w:hAnsi="ITC Avant Garde"/>
        </w:rPr>
        <w:t xml:space="preserve"> las concesiones de uso privado </w:t>
      </w:r>
      <w:r w:rsidR="00FF72AE">
        <w:rPr>
          <w:rFonts w:ascii="ITC Avant Garde" w:hAnsi="ITC Avant Garde"/>
        </w:rPr>
        <w:t xml:space="preserve">con propósitos de comunicación privada </w:t>
      </w:r>
      <w:r w:rsidRPr="006F3CEC">
        <w:rPr>
          <w:rFonts w:ascii="ITC Avant Garde" w:hAnsi="ITC Avant Garde"/>
        </w:rPr>
        <w:t>se otorg</w:t>
      </w:r>
      <w:r w:rsidR="00FF72AE">
        <w:rPr>
          <w:rFonts w:ascii="ITC Avant Garde" w:hAnsi="ITC Avant Garde"/>
        </w:rPr>
        <w:t>uen</w:t>
      </w:r>
      <w:r w:rsidRPr="006F3CEC">
        <w:rPr>
          <w:rFonts w:ascii="ITC Avant Garde" w:hAnsi="ITC Avant Garde"/>
        </w:rPr>
        <w:t xml:space="preserve"> a través de licitación pública impone retos </w:t>
      </w:r>
      <w:r w:rsidR="0057104C">
        <w:rPr>
          <w:rFonts w:ascii="ITC Avant Garde" w:hAnsi="ITC Avant Garde"/>
        </w:rPr>
        <w:t xml:space="preserve">importantes </w:t>
      </w:r>
      <w:r w:rsidRPr="006F3CEC">
        <w:rPr>
          <w:rFonts w:ascii="ITC Avant Garde" w:hAnsi="ITC Avant Garde"/>
        </w:rPr>
        <w:t xml:space="preserve">en la conformación de </w:t>
      </w:r>
      <w:r w:rsidR="00FF72AE">
        <w:rPr>
          <w:rFonts w:ascii="ITC Avant Garde" w:hAnsi="ITC Avant Garde"/>
        </w:rPr>
        <w:t xml:space="preserve">estos </w:t>
      </w:r>
      <w:r w:rsidRPr="006F3CEC">
        <w:rPr>
          <w:rFonts w:ascii="ITC Avant Garde" w:hAnsi="ITC Avant Garde"/>
        </w:rPr>
        <w:t>proceso</w:t>
      </w:r>
      <w:r w:rsidR="00FF72AE">
        <w:rPr>
          <w:rFonts w:ascii="ITC Avant Garde" w:hAnsi="ITC Avant Garde"/>
        </w:rPr>
        <w:t>s</w:t>
      </w:r>
      <w:r w:rsidRPr="006F3CEC">
        <w:rPr>
          <w:rFonts w:ascii="ITC Avant Garde" w:hAnsi="ITC Avant Garde"/>
        </w:rPr>
        <w:t xml:space="preserve">, ya que, </w:t>
      </w:r>
      <w:r w:rsidR="00422833">
        <w:rPr>
          <w:rFonts w:ascii="ITC Avant Garde" w:hAnsi="ITC Avant Garde"/>
        </w:rPr>
        <w:t xml:space="preserve">para la </w:t>
      </w:r>
      <w:r w:rsidRPr="006F3CEC">
        <w:rPr>
          <w:rFonts w:ascii="ITC Avant Garde" w:hAnsi="ITC Avant Garde"/>
        </w:rPr>
        <w:t>instala</w:t>
      </w:r>
      <w:r w:rsidR="00422833">
        <w:rPr>
          <w:rFonts w:ascii="ITC Avant Garde" w:hAnsi="ITC Avant Garde"/>
        </w:rPr>
        <w:t>ción y operación de</w:t>
      </w:r>
      <w:r w:rsidRPr="006F3CEC">
        <w:rPr>
          <w:rFonts w:ascii="ITC Avant Garde" w:hAnsi="ITC Avant Garde"/>
        </w:rPr>
        <w:t xml:space="preserve"> </w:t>
      </w:r>
      <w:r w:rsidR="00422833">
        <w:rPr>
          <w:rFonts w:ascii="ITC Avant Garde" w:hAnsi="ITC Avant Garde"/>
        </w:rPr>
        <w:t>un</w:t>
      </w:r>
      <w:r w:rsidRPr="006F3CEC">
        <w:rPr>
          <w:rFonts w:ascii="ITC Avant Garde" w:hAnsi="ITC Avant Garde"/>
        </w:rPr>
        <w:t xml:space="preserve">a red privada </w:t>
      </w:r>
      <w:r w:rsidR="00422833">
        <w:rPr>
          <w:rFonts w:ascii="ITC Avant Garde" w:hAnsi="ITC Avant Garde"/>
        </w:rPr>
        <w:t>para una empresa o industria, solo dicha empresa tend</w:t>
      </w:r>
      <w:r w:rsidR="0057104C">
        <w:rPr>
          <w:rFonts w:ascii="ITC Avant Garde" w:hAnsi="ITC Avant Garde"/>
        </w:rPr>
        <w:t>ría</w:t>
      </w:r>
      <w:r w:rsidRPr="006F3CEC">
        <w:rPr>
          <w:rFonts w:ascii="ITC Avant Garde" w:hAnsi="ITC Avant Garde"/>
        </w:rPr>
        <w:t xml:space="preserve"> </w:t>
      </w:r>
      <w:r w:rsidR="0057104C">
        <w:rPr>
          <w:rFonts w:ascii="ITC Avant Garde" w:hAnsi="ITC Avant Garde"/>
        </w:rPr>
        <w:t>un</w:t>
      </w:r>
      <w:r w:rsidR="00422833">
        <w:rPr>
          <w:rFonts w:ascii="ITC Avant Garde" w:hAnsi="ITC Avant Garde"/>
        </w:rPr>
        <w:t>a</w:t>
      </w:r>
      <w:r w:rsidR="0057104C">
        <w:rPr>
          <w:rFonts w:ascii="ITC Avant Garde" w:hAnsi="ITC Avant Garde"/>
        </w:rPr>
        <w:t xml:space="preserve"> </w:t>
      </w:r>
      <w:r w:rsidR="00422833">
        <w:rPr>
          <w:rFonts w:ascii="ITC Avant Garde" w:hAnsi="ITC Avant Garde"/>
        </w:rPr>
        <w:t>necesidad justificada</w:t>
      </w:r>
      <w:r w:rsidRPr="006F3CEC">
        <w:rPr>
          <w:rFonts w:ascii="ITC Avant Garde" w:hAnsi="ITC Avant Garde"/>
        </w:rPr>
        <w:t xml:space="preserve"> para obtener una concesión para uso privado </w:t>
      </w:r>
      <w:r w:rsidR="0057104C">
        <w:rPr>
          <w:rFonts w:ascii="ITC Avant Garde" w:hAnsi="ITC Avant Garde"/>
        </w:rPr>
        <w:t>para esa cobertura</w:t>
      </w:r>
      <w:r w:rsidR="00422833">
        <w:rPr>
          <w:rFonts w:ascii="ITC Avant Garde" w:hAnsi="ITC Avant Garde"/>
        </w:rPr>
        <w:t xml:space="preserve"> específica</w:t>
      </w:r>
      <w:r w:rsidRPr="006F3CEC">
        <w:rPr>
          <w:rFonts w:ascii="ITC Avant Garde" w:hAnsi="ITC Avant Garde"/>
        </w:rPr>
        <w:t>.</w:t>
      </w:r>
    </w:p>
    <w:p w14:paraId="345D806A" w14:textId="77777777" w:rsidR="007A4240" w:rsidRPr="006F3CEC" w:rsidRDefault="007A4240" w:rsidP="008164FB">
      <w:pPr>
        <w:pStyle w:val="Prrafodelista"/>
        <w:spacing w:after="0" w:line="240" w:lineRule="auto"/>
        <w:ind w:left="0"/>
        <w:rPr>
          <w:rFonts w:ascii="ITC Avant Garde" w:hAnsi="ITC Avant Garde"/>
        </w:rPr>
      </w:pPr>
    </w:p>
    <w:p w14:paraId="2264227D" w14:textId="301D0725" w:rsidR="007A4240" w:rsidRPr="006F3CEC" w:rsidRDefault="007A4240" w:rsidP="008164FB">
      <w:pPr>
        <w:pStyle w:val="Prrafodelista"/>
        <w:spacing w:after="0" w:line="240" w:lineRule="auto"/>
        <w:ind w:left="0"/>
        <w:jc w:val="both"/>
        <w:rPr>
          <w:rFonts w:ascii="ITC Avant Garde" w:hAnsi="ITC Avant Garde"/>
        </w:rPr>
      </w:pPr>
      <w:r w:rsidRPr="006F3CEC">
        <w:rPr>
          <w:rFonts w:ascii="ITC Avant Garde" w:hAnsi="ITC Avant Garde"/>
        </w:rPr>
        <w:t xml:space="preserve">En ese sentido, el Instituto trabaja en un mecanismo de licitación particular para el concesionamiento de uso privado. Se prevé que el mecanismo particular pueda darse a conocer y someterse a un proceso de consulta pública en el </w:t>
      </w:r>
      <w:r w:rsidRPr="004824C5">
        <w:rPr>
          <w:rFonts w:ascii="ITC Avant Garde" w:hAnsi="ITC Avant Garde"/>
        </w:rPr>
        <w:t>transcurso de 2025</w:t>
      </w:r>
      <w:r w:rsidRPr="006F3CEC">
        <w:rPr>
          <w:rFonts w:ascii="ITC Avant Garde" w:hAnsi="ITC Avant Garde"/>
        </w:rPr>
        <w:t>.</w:t>
      </w:r>
    </w:p>
    <w:p w14:paraId="167CE3DC" w14:textId="77777777" w:rsidR="007A4240" w:rsidRPr="006F3CEC" w:rsidRDefault="007A4240" w:rsidP="008164FB">
      <w:pPr>
        <w:pStyle w:val="Prrafodelista"/>
        <w:spacing w:after="0" w:line="240" w:lineRule="auto"/>
        <w:ind w:left="0"/>
        <w:jc w:val="both"/>
        <w:rPr>
          <w:rFonts w:ascii="ITC Avant Garde" w:hAnsi="ITC Avant Garde"/>
        </w:rPr>
      </w:pPr>
    </w:p>
    <w:p w14:paraId="4AD29E33" w14:textId="1F71ACE4" w:rsidR="007A4240" w:rsidRPr="006F3CEC" w:rsidRDefault="007A4240" w:rsidP="008164FB">
      <w:pPr>
        <w:pStyle w:val="Prrafodelista"/>
        <w:spacing w:after="0" w:line="240" w:lineRule="auto"/>
        <w:ind w:left="0"/>
        <w:jc w:val="both"/>
        <w:rPr>
          <w:rFonts w:ascii="ITC Avant Garde" w:hAnsi="ITC Avant Garde"/>
        </w:rPr>
      </w:pPr>
      <w:r w:rsidRPr="006F3CEC">
        <w:rPr>
          <w:rFonts w:ascii="ITC Avant Garde" w:hAnsi="ITC Avant Garde"/>
        </w:rPr>
        <w:t>Este tipo de concesiones pudieran resultar atractivas a grandes empresas manufactureras</w:t>
      </w:r>
      <w:r w:rsidR="009E7684" w:rsidRPr="006F3CEC">
        <w:rPr>
          <w:rFonts w:ascii="ITC Avant Garde" w:hAnsi="ITC Avant Garde"/>
        </w:rPr>
        <w:t xml:space="preserve">, </w:t>
      </w:r>
      <w:r w:rsidR="00A42610" w:rsidRPr="006F3CEC">
        <w:rPr>
          <w:rFonts w:ascii="ITC Avant Garde" w:hAnsi="ITC Avant Garde"/>
        </w:rPr>
        <w:t xml:space="preserve">empresas </w:t>
      </w:r>
      <w:r w:rsidR="009E7684" w:rsidRPr="006F3CEC">
        <w:rPr>
          <w:rFonts w:ascii="ITC Avant Garde" w:hAnsi="ITC Avant Garde"/>
        </w:rPr>
        <w:t xml:space="preserve">mineras, armadoras automotrices y a cualquier otra empresa </w:t>
      </w:r>
      <w:r w:rsidR="009E7684" w:rsidRPr="006F3CEC">
        <w:rPr>
          <w:rFonts w:ascii="ITC Avant Garde" w:hAnsi="ITC Avant Garde"/>
        </w:rPr>
        <w:lastRenderedPageBreak/>
        <w:t xml:space="preserve">establecida en una locación fija por un periodo </w:t>
      </w:r>
      <w:r w:rsidR="0057104C">
        <w:rPr>
          <w:rFonts w:ascii="ITC Avant Garde" w:hAnsi="ITC Avant Garde"/>
        </w:rPr>
        <w:t>amplio</w:t>
      </w:r>
      <w:r w:rsidR="0057104C" w:rsidRPr="006F3CEC">
        <w:rPr>
          <w:rFonts w:ascii="ITC Avant Garde" w:hAnsi="ITC Avant Garde"/>
        </w:rPr>
        <w:t xml:space="preserve"> </w:t>
      </w:r>
      <w:r w:rsidR="009E7684" w:rsidRPr="006F3CEC">
        <w:rPr>
          <w:rFonts w:ascii="ITC Avant Garde" w:hAnsi="ITC Avant Garde"/>
        </w:rPr>
        <w:t>(al menos diez años)</w:t>
      </w:r>
      <w:r w:rsidR="00A42610" w:rsidRPr="006F3CEC">
        <w:rPr>
          <w:rFonts w:ascii="ITC Avant Garde" w:hAnsi="ITC Avant Garde"/>
        </w:rPr>
        <w:t xml:space="preserve"> que desee gestionar directamente una porción de espectro para fines privados de comunicación.</w:t>
      </w:r>
    </w:p>
    <w:p w14:paraId="1BE7A6DC" w14:textId="77777777" w:rsidR="00117FFB" w:rsidRPr="006F3CEC" w:rsidRDefault="00117FFB" w:rsidP="00D25CD5">
      <w:pPr>
        <w:pStyle w:val="Prrafodelista"/>
        <w:spacing w:after="0" w:line="240" w:lineRule="auto"/>
        <w:ind w:left="709"/>
        <w:rPr>
          <w:rFonts w:ascii="ITC Avant Garde" w:hAnsi="ITC Avant Garde"/>
        </w:rPr>
      </w:pPr>
    </w:p>
    <w:p w14:paraId="3BDDAE08" w14:textId="5C4A5394" w:rsidR="00DB0F71" w:rsidRPr="008164FB" w:rsidRDefault="00DB0F71" w:rsidP="003E45DE">
      <w:pPr>
        <w:pStyle w:val="Prrafodelista"/>
        <w:numPr>
          <w:ilvl w:val="1"/>
          <w:numId w:val="21"/>
        </w:numPr>
        <w:spacing w:after="0" w:line="240" w:lineRule="auto"/>
        <w:ind w:left="567" w:hanging="567"/>
        <w:jc w:val="both"/>
        <w:rPr>
          <w:rFonts w:ascii="ITC Avant Garde" w:hAnsi="ITC Avant Garde"/>
          <w:b/>
        </w:rPr>
      </w:pPr>
      <w:r w:rsidRPr="008164FB">
        <w:rPr>
          <w:rFonts w:ascii="ITC Avant Garde" w:hAnsi="ITC Avant Garde"/>
          <w:b/>
        </w:rPr>
        <w:t>Concesiones de uso comercial para satisfacer necesidades de redes privadas</w:t>
      </w:r>
      <w:r w:rsidR="0033183E" w:rsidRPr="008164FB">
        <w:rPr>
          <w:rFonts w:ascii="ITC Avant Garde" w:hAnsi="ITC Avant Garde"/>
          <w:b/>
        </w:rPr>
        <w:t xml:space="preserve"> (concepto y ejemplos de casos en que podría solicitarse)</w:t>
      </w:r>
      <w:r w:rsidR="000302ED" w:rsidRPr="008164FB">
        <w:rPr>
          <w:rFonts w:ascii="ITC Avant Garde" w:hAnsi="ITC Avant Garde"/>
          <w:b/>
        </w:rPr>
        <w:t xml:space="preserve"> </w:t>
      </w:r>
    </w:p>
    <w:p w14:paraId="3DEC4966" w14:textId="77777777" w:rsidR="002A2226" w:rsidRDefault="002A2226" w:rsidP="00C24A3B">
      <w:pPr>
        <w:pStyle w:val="Prrafodelista"/>
        <w:spacing w:after="0" w:line="240" w:lineRule="auto"/>
        <w:ind w:left="0"/>
        <w:jc w:val="both"/>
        <w:rPr>
          <w:rFonts w:ascii="ITC Avant Garde" w:hAnsi="ITC Avant Garde"/>
          <w:b/>
          <w:bCs/>
        </w:rPr>
      </w:pPr>
    </w:p>
    <w:p w14:paraId="1AC4B468" w14:textId="18745AAA" w:rsidR="00C24A3B" w:rsidRDefault="00C24A3B" w:rsidP="00C24A3B">
      <w:pPr>
        <w:pStyle w:val="Prrafodelista"/>
        <w:spacing w:after="0" w:line="240" w:lineRule="auto"/>
        <w:ind w:left="0"/>
        <w:jc w:val="both"/>
        <w:rPr>
          <w:rFonts w:ascii="ITC Avant Garde" w:hAnsi="ITC Avant Garde"/>
        </w:rPr>
      </w:pPr>
      <w:r w:rsidRPr="00C24A3B">
        <w:rPr>
          <w:rFonts w:ascii="ITC Avant Garde" w:hAnsi="ITC Avant Garde"/>
        </w:rPr>
        <w:t>Una alternativa adicional</w:t>
      </w:r>
      <w:r>
        <w:rPr>
          <w:rFonts w:ascii="ITC Avant Garde" w:hAnsi="ITC Avant Garde"/>
        </w:rPr>
        <w:t>, que ayudaría a satisfacer las necesidades de comunicación privada de distintos sectores industriales y parques industriales, es el otorgamiento de concesiones de uso comercial enfocadas a satisfacer las necesidades de redes privadas.</w:t>
      </w:r>
    </w:p>
    <w:p w14:paraId="52CF9693" w14:textId="77777777" w:rsidR="00C24A3B" w:rsidRDefault="00C24A3B" w:rsidP="00C24A3B">
      <w:pPr>
        <w:pStyle w:val="Prrafodelista"/>
        <w:spacing w:after="0" w:line="240" w:lineRule="auto"/>
        <w:ind w:left="0"/>
        <w:jc w:val="both"/>
        <w:rPr>
          <w:rFonts w:ascii="ITC Avant Garde" w:hAnsi="ITC Avant Garde"/>
        </w:rPr>
      </w:pPr>
    </w:p>
    <w:p w14:paraId="54F99E29" w14:textId="7B2B19EC" w:rsidR="00C24A3B" w:rsidRDefault="00C24A3B" w:rsidP="00C24A3B">
      <w:pPr>
        <w:pStyle w:val="Prrafodelista"/>
        <w:spacing w:after="0" w:line="240" w:lineRule="auto"/>
        <w:ind w:left="0"/>
        <w:jc w:val="both"/>
        <w:rPr>
          <w:rFonts w:ascii="ITC Avant Garde" w:hAnsi="ITC Avant Garde"/>
        </w:rPr>
      </w:pPr>
      <w:r>
        <w:rPr>
          <w:rFonts w:ascii="ITC Avant Garde" w:hAnsi="ITC Avant Garde"/>
        </w:rPr>
        <w:t>Bajo este esquema, se prevé licitar porciones específicas de espectro radioeléctrico para la prestación de servicios de radiocomunicac</w:t>
      </w:r>
      <w:r w:rsidR="001E5836">
        <w:rPr>
          <w:rFonts w:ascii="ITC Avant Garde" w:hAnsi="ITC Avant Garde"/>
        </w:rPr>
        <w:t xml:space="preserve">ión especializada </w:t>
      </w:r>
      <w:r w:rsidR="00A04212">
        <w:rPr>
          <w:rFonts w:ascii="ITC Avant Garde" w:hAnsi="ITC Avant Garde"/>
        </w:rPr>
        <w:t xml:space="preserve">para </w:t>
      </w:r>
      <w:r w:rsidR="001E5836">
        <w:rPr>
          <w:rFonts w:ascii="ITC Avant Garde" w:hAnsi="ITC Avant Garde"/>
        </w:rPr>
        <w:t>redes privadas. Los eventuales concesionarios podrían ofrecer servicios “llave en mano” a empresas de manufactura, parques industriales, empresas mineras y para el desarrollo de aplicaciones de entretenimiento, entre muchos otros.</w:t>
      </w:r>
    </w:p>
    <w:p w14:paraId="2DCBF7C3" w14:textId="26A5B1D3" w:rsidR="001E5836" w:rsidRDefault="001E5836" w:rsidP="00C24A3B">
      <w:pPr>
        <w:pStyle w:val="Prrafodelista"/>
        <w:spacing w:after="0" w:line="240" w:lineRule="auto"/>
        <w:ind w:left="0"/>
        <w:jc w:val="both"/>
        <w:rPr>
          <w:rFonts w:ascii="ITC Avant Garde" w:hAnsi="ITC Avant Garde"/>
        </w:rPr>
      </w:pPr>
    </w:p>
    <w:p w14:paraId="38AA1B27" w14:textId="1AD278C3" w:rsidR="00A604C2" w:rsidRPr="00A604C2" w:rsidRDefault="00A604C2" w:rsidP="00A604C2">
      <w:pPr>
        <w:pStyle w:val="Prrafodelista"/>
        <w:spacing w:after="0" w:line="240" w:lineRule="auto"/>
        <w:ind w:left="0"/>
        <w:jc w:val="both"/>
        <w:rPr>
          <w:rFonts w:ascii="ITC Avant Garde" w:hAnsi="ITC Avant Garde"/>
        </w:rPr>
      </w:pPr>
      <w:r>
        <w:rPr>
          <w:rFonts w:ascii="ITC Avant Garde" w:hAnsi="ITC Avant Garde"/>
        </w:rPr>
        <w:t xml:space="preserve">En este sentido, </w:t>
      </w:r>
      <w:r w:rsidR="00C17242" w:rsidRPr="00C17242">
        <w:rPr>
          <w:rFonts w:ascii="ITC Avant Garde" w:hAnsi="ITC Avant Garde"/>
        </w:rPr>
        <w:t xml:space="preserve">se busca incentivar el desarrollo de un mercado de servicios de redes privadas </w:t>
      </w:r>
      <w:r w:rsidR="00555D42">
        <w:rPr>
          <w:rFonts w:ascii="ITC Avant Garde" w:hAnsi="ITC Avant Garde"/>
        </w:rPr>
        <w:t>personalizadas</w:t>
      </w:r>
      <w:r w:rsidRPr="00A604C2">
        <w:rPr>
          <w:rFonts w:ascii="ITC Avant Garde" w:hAnsi="ITC Avant Garde"/>
        </w:rPr>
        <w:t xml:space="preserve"> de acuerdo con las necesidades y ubicaciones</w:t>
      </w:r>
      <w:r>
        <w:rPr>
          <w:rFonts w:ascii="ITC Avant Garde" w:hAnsi="ITC Avant Garde"/>
        </w:rPr>
        <w:t xml:space="preserve"> </w:t>
      </w:r>
      <w:r w:rsidRPr="00A604C2">
        <w:rPr>
          <w:rFonts w:ascii="ITC Avant Garde" w:hAnsi="ITC Avant Garde"/>
        </w:rPr>
        <w:t xml:space="preserve">específicas </w:t>
      </w:r>
      <w:r>
        <w:rPr>
          <w:rFonts w:ascii="ITC Avant Garde" w:hAnsi="ITC Avant Garde"/>
        </w:rPr>
        <w:t>de su cliente</w:t>
      </w:r>
      <w:r w:rsidRPr="00A604C2">
        <w:rPr>
          <w:rFonts w:ascii="ITC Avant Garde" w:hAnsi="ITC Avant Garde"/>
        </w:rPr>
        <w:t>. Los tres principales impulsores para que las empresas</w:t>
      </w:r>
      <w:r>
        <w:rPr>
          <w:rFonts w:ascii="ITC Avant Garde" w:hAnsi="ITC Avant Garde"/>
        </w:rPr>
        <w:t xml:space="preserve"> </w:t>
      </w:r>
      <w:r w:rsidR="00555D42">
        <w:rPr>
          <w:rFonts w:ascii="ITC Avant Garde" w:hAnsi="ITC Avant Garde"/>
        </w:rPr>
        <w:t>cuenten con servicios de</w:t>
      </w:r>
      <w:r w:rsidRPr="00C17242">
        <w:rPr>
          <w:rFonts w:ascii="ITC Avant Garde" w:hAnsi="ITC Avant Garde"/>
        </w:rPr>
        <w:t xml:space="preserve"> redes </w:t>
      </w:r>
      <w:r w:rsidR="00555D42">
        <w:rPr>
          <w:rFonts w:ascii="ITC Avant Garde" w:hAnsi="ITC Avant Garde"/>
        </w:rPr>
        <w:t>privadas</w:t>
      </w:r>
      <w:r w:rsidRPr="00A604C2">
        <w:rPr>
          <w:rFonts w:ascii="ITC Avant Garde" w:hAnsi="ITC Avant Garde"/>
        </w:rPr>
        <w:t xml:space="preserve"> son: apoyar una digitalización empresarial más</w:t>
      </w:r>
      <w:r>
        <w:rPr>
          <w:rFonts w:ascii="ITC Avant Garde" w:hAnsi="ITC Avant Garde"/>
        </w:rPr>
        <w:t xml:space="preserve"> </w:t>
      </w:r>
      <w:r w:rsidRPr="00A604C2">
        <w:rPr>
          <w:rFonts w:ascii="ITC Avant Garde" w:hAnsi="ITC Avant Garde"/>
        </w:rPr>
        <w:t>amplia, consolidar diversas tecnologías de redes y permitir la</w:t>
      </w:r>
      <w:r>
        <w:rPr>
          <w:rFonts w:ascii="ITC Avant Garde" w:hAnsi="ITC Avant Garde"/>
        </w:rPr>
        <w:t xml:space="preserve"> </w:t>
      </w:r>
      <w:r w:rsidRPr="00A604C2">
        <w:rPr>
          <w:rFonts w:ascii="ITC Avant Garde" w:hAnsi="ITC Avant Garde"/>
        </w:rPr>
        <w:t>automatización de procesos.</w:t>
      </w:r>
    </w:p>
    <w:p w14:paraId="395BED35" w14:textId="77777777" w:rsidR="00A604C2" w:rsidRDefault="00A604C2" w:rsidP="00A604C2">
      <w:pPr>
        <w:pStyle w:val="Prrafodelista"/>
        <w:spacing w:after="0" w:line="240" w:lineRule="auto"/>
        <w:ind w:left="0"/>
        <w:jc w:val="both"/>
        <w:rPr>
          <w:rFonts w:ascii="ITC Avant Garde" w:hAnsi="ITC Avant Garde"/>
        </w:rPr>
      </w:pPr>
    </w:p>
    <w:p w14:paraId="79FC6331" w14:textId="18D0F084" w:rsidR="00A604C2" w:rsidRDefault="00A604C2" w:rsidP="00A604C2">
      <w:pPr>
        <w:pStyle w:val="Prrafodelista"/>
        <w:spacing w:after="0" w:line="240" w:lineRule="auto"/>
        <w:ind w:left="0"/>
        <w:jc w:val="both"/>
        <w:rPr>
          <w:rFonts w:ascii="ITC Avant Garde" w:hAnsi="ITC Avant Garde"/>
        </w:rPr>
      </w:pPr>
      <w:r w:rsidRPr="00A604C2">
        <w:rPr>
          <w:rFonts w:ascii="ITC Avant Garde" w:hAnsi="ITC Avant Garde"/>
        </w:rPr>
        <w:t>Por lo anterior, l</w:t>
      </w:r>
      <w:r>
        <w:rPr>
          <w:rFonts w:ascii="ITC Avant Garde" w:hAnsi="ITC Avant Garde"/>
        </w:rPr>
        <w:t>os mecanismos de asignación mediante licitación</w:t>
      </w:r>
      <w:r w:rsidRPr="00A604C2">
        <w:rPr>
          <w:rFonts w:ascii="ITC Avant Garde" w:hAnsi="ITC Avant Garde"/>
        </w:rPr>
        <w:t xml:space="preserve"> </w:t>
      </w:r>
      <w:r>
        <w:rPr>
          <w:rFonts w:ascii="ITC Avant Garde" w:hAnsi="ITC Avant Garde"/>
        </w:rPr>
        <w:t>buscan</w:t>
      </w:r>
      <w:r w:rsidRPr="00A604C2">
        <w:rPr>
          <w:rFonts w:ascii="ITC Avant Garde" w:hAnsi="ITC Avant Garde"/>
        </w:rPr>
        <w:t xml:space="preserve"> </w:t>
      </w:r>
      <w:r>
        <w:rPr>
          <w:rFonts w:ascii="ITC Avant Garde" w:hAnsi="ITC Avant Garde"/>
        </w:rPr>
        <w:t>poner a disposición del mercado una mayor cantidad de espectro</w:t>
      </w:r>
      <w:r w:rsidRPr="00A604C2">
        <w:rPr>
          <w:rFonts w:ascii="ITC Avant Garde" w:hAnsi="ITC Avant Garde"/>
        </w:rPr>
        <w:t xml:space="preserve"> para los servicios de radiocomunicación especializada para redes</w:t>
      </w:r>
      <w:r>
        <w:rPr>
          <w:rFonts w:ascii="ITC Avant Garde" w:hAnsi="ITC Avant Garde"/>
        </w:rPr>
        <w:t xml:space="preserve"> </w:t>
      </w:r>
      <w:r w:rsidRPr="00A604C2">
        <w:rPr>
          <w:rFonts w:ascii="ITC Avant Garde" w:hAnsi="ITC Avant Garde"/>
        </w:rPr>
        <w:t>privadas</w:t>
      </w:r>
      <w:r>
        <w:rPr>
          <w:rFonts w:ascii="ITC Avant Garde" w:hAnsi="ITC Avant Garde"/>
        </w:rPr>
        <w:t xml:space="preserve"> y, en consecuencia, una mayor</w:t>
      </w:r>
      <w:r w:rsidRPr="00A604C2">
        <w:rPr>
          <w:rFonts w:ascii="ITC Avant Garde" w:hAnsi="ITC Avant Garde"/>
        </w:rPr>
        <w:t xml:space="preserve"> oferta de los servicios asociados</w:t>
      </w:r>
      <w:r>
        <w:rPr>
          <w:rFonts w:ascii="ITC Avant Garde" w:hAnsi="ITC Avant Garde"/>
        </w:rPr>
        <w:t xml:space="preserve">, que </w:t>
      </w:r>
      <w:r w:rsidRPr="00A604C2">
        <w:rPr>
          <w:rFonts w:ascii="ITC Avant Garde" w:hAnsi="ITC Avant Garde"/>
        </w:rPr>
        <w:t>permitirán a</w:t>
      </w:r>
      <w:r>
        <w:rPr>
          <w:rFonts w:ascii="ITC Avant Garde" w:hAnsi="ITC Avant Garde"/>
        </w:rPr>
        <w:t xml:space="preserve"> </w:t>
      </w:r>
      <w:r w:rsidRPr="00A604C2">
        <w:rPr>
          <w:rFonts w:ascii="ITC Avant Garde" w:hAnsi="ITC Avant Garde"/>
        </w:rPr>
        <w:t>diversos sectores, principalmente de carácter industrial, contar con</w:t>
      </w:r>
      <w:r>
        <w:rPr>
          <w:rFonts w:ascii="ITC Avant Garde" w:hAnsi="ITC Avant Garde"/>
        </w:rPr>
        <w:t xml:space="preserve"> </w:t>
      </w:r>
      <w:r w:rsidRPr="00A604C2">
        <w:rPr>
          <w:rFonts w:ascii="ITC Avant Garde" w:hAnsi="ITC Avant Garde"/>
        </w:rPr>
        <w:t xml:space="preserve">servicios </w:t>
      </w:r>
      <w:r>
        <w:rPr>
          <w:rFonts w:ascii="ITC Avant Garde" w:hAnsi="ITC Avant Garde"/>
        </w:rPr>
        <w:t>específicos</w:t>
      </w:r>
      <w:r w:rsidRPr="00A604C2">
        <w:rPr>
          <w:rFonts w:ascii="ITC Avant Garde" w:hAnsi="ITC Avant Garde"/>
        </w:rPr>
        <w:t xml:space="preserve"> con tecnologías de última</w:t>
      </w:r>
      <w:r>
        <w:rPr>
          <w:rFonts w:ascii="ITC Avant Garde" w:hAnsi="ITC Avant Garde"/>
        </w:rPr>
        <w:t xml:space="preserve"> </w:t>
      </w:r>
      <w:r w:rsidRPr="00A604C2">
        <w:rPr>
          <w:rFonts w:ascii="ITC Avant Garde" w:hAnsi="ITC Avant Garde"/>
        </w:rPr>
        <w:t xml:space="preserve">generación en áreas geográficas </w:t>
      </w:r>
      <w:r>
        <w:rPr>
          <w:rFonts w:ascii="ITC Avant Garde" w:hAnsi="ITC Avant Garde"/>
        </w:rPr>
        <w:t>definidas</w:t>
      </w:r>
      <w:r w:rsidRPr="00A604C2">
        <w:rPr>
          <w:rFonts w:ascii="ITC Avant Garde" w:hAnsi="ITC Avant Garde"/>
        </w:rPr>
        <w:t xml:space="preserve"> en el territorio nacional,</w:t>
      </w:r>
      <w:r>
        <w:rPr>
          <w:rFonts w:ascii="ITC Avant Garde" w:hAnsi="ITC Avant Garde"/>
        </w:rPr>
        <w:t xml:space="preserve"> </w:t>
      </w:r>
      <w:r w:rsidRPr="00A604C2">
        <w:rPr>
          <w:rFonts w:ascii="ITC Avant Garde" w:hAnsi="ITC Avant Garde"/>
        </w:rPr>
        <w:t>gozando de seguridad, privacidad, confiabilidad y menor latencia.</w:t>
      </w:r>
    </w:p>
    <w:p w14:paraId="6E8E18DF" w14:textId="77777777" w:rsidR="00A604C2" w:rsidRDefault="00A604C2" w:rsidP="00A604C2">
      <w:pPr>
        <w:pStyle w:val="Prrafodelista"/>
        <w:spacing w:after="0" w:line="240" w:lineRule="auto"/>
        <w:ind w:left="0"/>
        <w:jc w:val="both"/>
        <w:rPr>
          <w:rFonts w:ascii="ITC Avant Garde" w:hAnsi="ITC Avant Garde"/>
        </w:rPr>
      </w:pPr>
    </w:p>
    <w:p w14:paraId="1F949714" w14:textId="3BFFA684" w:rsidR="00A604C2" w:rsidRPr="008164FB" w:rsidRDefault="00A604C2" w:rsidP="00A604C2">
      <w:pPr>
        <w:pStyle w:val="Prrafodelista"/>
        <w:numPr>
          <w:ilvl w:val="1"/>
          <w:numId w:val="21"/>
        </w:numPr>
        <w:spacing w:after="0" w:line="240" w:lineRule="auto"/>
        <w:ind w:left="567" w:hanging="567"/>
        <w:jc w:val="both"/>
        <w:rPr>
          <w:rFonts w:ascii="ITC Avant Garde" w:hAnsi="ITC Avant Garde"/>
          <w:b/>
        </w:rPr>
      </w:pPr>
      <w:r w:rsidRPr="008164FB">
        <w:rPr>
          <w:rFonts w:ascii="ITC Avant Garde" w:hAnsi="ITC Avant Garde"/>
          <w:b/>
        </w:rPr>
        <w:t>C</w:t>
      </w:r>
      <w:r>
        <w:rPr>
          <w:rFonts w:ascii="ITC Avant Garde" w:hAnsi="ITC Avant Garde"/>
          <w:b/>
        </w:rPr>
        <w:t>asos de uso</w:t>
      </w:r>
    </w:p>
    <w:p w14:paraId="6CFE3D3A" w14:textId="77777777" w:rsidR="00A604C2" w:rsidRDefault="00A604C2" w:rsidP="00C24A3B">
      <w:pPr>
        <w:pStyle w:val="Prrafodelista"/>
        <w:spacing w:after="0" w:line="240" w:lineRule="auto"/>
        <w:ind w:left="0"/>
        <w:jc w:val="both"/>
        <w:rPr>
          <w:rFonts w:ascii="ITC Avant Garde" w:hAnsi="ITC Avant Garde"/>
        </w:rPr>
      </w:pPr>
    </w:p>
    <w:p w14:paraId="0C1CB811" w14:textId="2274917D" w:rsidR="001E5836" w:rsidRPr="00C24A3B" w:rsidRDefault="001E5836" w:rsidP="00C24A3B">
      <w:pPr>
        <w:pStyle w:val="Prrafodelista"/>
        <w:spacing w:after="0" w:line="240" w:lineRule="auto"/>
        <w:ind w:left="0"/>
        <w:jc w:val="both"/>
        <w:rPr>
          <w:rFonts w:ascii="ITC Avant Garde" w:hAnsi="ITC Avant Garde"/>
        </w:rPr>
      </w:pPr>
      <w:r>
        <w:rPr>
          <w:rFonts w:ascii="ITC Avant Garde" w:hAnsi="ITC Avant Garde"/>
        </w:rPr>
        <w:t>A continuación, se presentan algunos ejemplos de casos de uso:</w:t>
      </w:r>
    </w:p>
    <w:p w14:paraId="308B6E85" w14:textId="77777777" w:rsidR="00C24A3B" w:rsidRDefault="00C24A3B" w:rsidP="00C24A3B">
      <w:pPr>
        <w:pStyle w:val="Prrafodelista"/>
        <w:spacing w:after="0" w:line="240" w:lineRule="auto"/>
        <w:ind w:left="0"/>
        <w:jc w:val="both"/>
        <w:rPr>
          <w:rFonts w:ascii="ITC Avant Garde" w:hAnsi="ITC Avant Garde"/>
          <w:b/>
          <w:bCs/>
        </w:rPr>
      </w:pPr>
    </w:p>
    <w:p w14:paraId="07625875" w14:textId="2CC89457" w:rsidR="009F585E" w:rsidRPr="002A2226" w:rsidRDefault="009F585E" w:rsidP="00D25CD5">
      <w:pPr>
        <w:pStyle w:val="Prrafodelista"/>
        <w:numPr>
          <w:ilvl w:val="0"/>
          <w:numId w:val="5"/>
        </w:numPr>
        <w:spacing w:after="0" w:line="240" w:lineRule="auto"/>
        <w:jc w:val="both"/>
        <w:rPr>
          <w:rFonts w:ascii="ITC Avant Garde" w:hAnsi="ITC Avant Garde"/>
          <w:b/>
          <w:bCs/>
        </w:rPr>
      </w:pPr>
      <w:r w:rsidRPr="002A2226">
        <w:rPr>
          <w:rFonts w:ascii="ITC Avant Garde" w:hAnsi="ITC Avant Garde"/>
          <w:b/>
          <w:bCs/>
        </w:rPr>
        <w:t>Industria minera: para el despliegue de redes privadas que permitan la operación a distancia de maquinaria, sensores para medir la calidad del aire que permitan asegurar la seguridad de los trabajadores en mina, etc.</w:t>
      </w:r>
    </w:p>
    <w:p w14:paraId="25EF8F9F" w14:textId="77777777" w:rsidR="002A2226" w:rsidRPr="006F3CEC" w:rsidRDefault="002A2226" w:rsidP="002A2226">
      <w:pPr>
        <w:pStyle w:val="Prrafodelista"/>
        <w:spacing w:after="0" w:line="240" w:lineRule="auto"/>
        <w:jc w:val="both"/>
        <w:rPr>
          <w:rFonts w:ascii="ITC Avant Garde" w:hAnsi="ITC Avant Garde"/>
          <w:bCs/>
          <w:i/>
        </w:rPr>
      </w:pPr>
    </w:p>
    <w:p w14:paraId="62E82AB0" w14:textId="61CADFB9" w:rsidR="009F585E" w:rsidRDefault="009F585E" w:rsidP="002A2226">
      <w:pPr>
        <w:pStyle w:val="Prrafodelista"/>
        <w:spacing w:after="0" w:line="240" w:lineRule="auto"/>
        <w:ind w:left="709"/>
        <w:jc w:val="both"/>
        <w:rPr>
          <w:rFonts w:ascii="ITC Avant Garde" w:hAnsi="ITC Avant Garde"/>
        </w:rPr>
      </w:pPr>
      <w:r w:rsidRPr="006F3CEC">
        <w:rPr>
          <w:rFonts w:ascii="ITC Avant Garde" w:hAnsi="ITC Avant Garde"/>
        </w:rPr>
        <w:lastRenderedPageBreak/>
        <w:t>El I</w:t>
      </w:r>
      <w:r w:rsidR="00EB5610">
        <w:rPr>
          <w:rFonts w:ascii="ITC Avant Garde" w:hAnsi="ITC Avant Garde"/>
        </w:rPr>
        <w:t>nstituto</w:t>
      </w:r>
      <w:r w:rsidRPr="006F3CEC">
        <w:rPr>
          <w:rFonts w:ascii="ITC Avant Garde" w:hAnsi="ITC Avant Garde"/>
        </w:rPr>
        <w:t xml:space="preserve"> ha otorgado diversas </w:t>
      </w:r>
      <w:r w:rsidR="0057104C">
        <w:rPr>
          <w:rFonts w:ascii="ITC Avant Garde" w:hAnsi="ITC Avant Garde"/>
        </w:rPr>
        <w:t>A</w:t>
      </w:r>
      <w:r w:rsidRPr="006F3CEC">
        <w:rPr>
          <w:rFonts w:ascii="ITC Avant Garde" w:hAnsi="ITC Avant Garde"/>
        </w:rPr>
        <w:t>utorizaci</w:t>
      </w:r>
      <w:r w:rsidR="0057104C">
        <w:rPr>
          <w:rFonts w:ascii="ITC Avant Garde" w:hAnsi="ITC Avant Garde"/>
        </w:rPr>
        <w:t>o</w:t>
      </w:r>
      <w:r w:rsidRPr="006F3CEC">
        <w:rPr>
          <w:rFonts w:ascii="ITC Avant Garde" w:hAnsi="ITC Avant Garde"/>
        </w:rPr>
        <w:t>n</w:t>
      </w:r>
      <w:r w:rsidR="0057104C">
        <w:rPr>
          <w:rFonts w:ascii="ITC Avant Garde" w:hAnsi="ITC Avant Garde"/>
        </w:rPr>
        <w:t>es</w:t>
      </w:r>
      <w:r w:rsidRPr="006F3CEC">
        <w:rPr>
          <w:rFonts w:ascii="ITC Avant Garde" w:hAnsi="ITC Avant Garde"/>
        </w:rPr>
        <w:t xml:space="preserve"> para el uso y aprovechamiento de bandas de frecuencias del espectro radioeléctrico para uso secundario (Autorización</w:t>
      </w:r>
      <w:r w:rsidR="0057104C">
        <w:rPr>
          <w:rFonts w:ascii="ITC Avant Garde" w:hAnsi="ITC Avant Garde"/>
        </w:rPr>
        <w:t xml:space="preserve"> de Uso Secundario</w:t>
      </w:r>
      <w:r w:rsidRPr="006F3CEC">
        <w:rPr>
          <w:rFonts w:ascii="ITC Avant Garde" w:hAnsi="ITC Avant Garde"/>
        </w:rPr>
        <w:t xml:space="preserve">) para instalaciones destinadas a actividades de la </w:t>
      </w:r>
      <w:r w:rsidRPr="004824C5">
        <w:rPr>
          <w:rFonts w:ascii="ITC Avant Garde" w:hAnsi="ITC Avant Garde"/>
        </w:rPr>
        <w:t>industria minera y satisfacer necesidades específicas de comunicación de tipo industrial</w:t>
      </w:r>
      <w:r w:rsidR="00422833" w:rsidRPr="004824C5">
        <w:rPr>
          <w:rFonts w:ascii="ITC Avant Garde" w:hAnsi="ITC Avant Garde"/>
        </w:rPr>
        <w:t>,</w:t>
      </w:r>
      <w:r w:rsidRPr="004824C5">
        <w:rPr>
          <w:rFonts w:ascii="ITC Avant Garde" w:hAnsi="ITC Avant Garde"/>
        </w:rPr>
        <w:t xml:space="preserve"> en el cual se ha requerido emplear soluciones tecnológicas particulares que considera</w:t>
      </w:r>
      <w:r w:rsidR="0057104C" w:rsidRPr="004824C5">
        <w:rPr>
          <w:rFonts w:ascii="ITC Avant Garde" w:hAnsi="ITC Avant Garde"/>
        </w:rPr>
        <w:t>n</w:t>
      </w:r>
      <w:r w:rsidRPr="004824C5">
        <w:rPr>
          <w:rFonts w:ascii="ITC Avant Garde" w:hAnsi="ITC Avant Garde"/>
        </w:rPr>
        <w:t xml:space="preserve"> la implementación y operación de sistemas de radiocomunicación que operan en bandas de frecuencias específicas de espectro y que les han permitido mejorar sus procesos productivos</w:t>
      </w:r>
      <w:r w:rsidR="00422833" w:rsidRPr="004824C5">
        <w:rPr>
          <w:rFonts w:ascii="ITC Avant Garde" w:hAnsi="ITC Avant Garde"/>
        </w:rPr>
        <w:t>, con el fin de</w:t>
      </w:r>
      <w:r w:rsidRPr="004824C5">
        <w:rPr>
          <w:rFonts w:ascii="ITC Avant Garde" w:hAnsi="ITC Avant Garde"/>
        </w:rPr>
        <w:t xml:space="preserve"> resolver  problemas de comunicación interna, mediante la automatización y monitoreo en tiempo real que les garantiza el correcto funcionamiento de dichos procesos, incluso para salvaguardar la integridad física de los trabajadores.</w:t>
      </w:r>
    </w:p>
    <w:p w14:paraId="004482F9" w14:textId="77777777" w:rsidR="002A2226" w:rsidRPr="006F3CEC" w:rsidRDefault="002A2226" w:rsidP="002A2226">
      <w:pPr>
        <w:pStyle w:val="Prrafodelista"/>
        <w:spacing w:after="0" w:line="240" w:lineRule="auto"/>
        <w:ind w:left="709"/>
        <w:jc w:val="both"/>
        <w:rPr>
          <w:rFonts w:ascii="ITC Avant Garde" w:hAnsi="ITC Avant Garde"/>
          <w:highlight w:val="yellow"/>
        </w:rPr>
      </w:pPr>
    </w:p>
    <w:p w14:paraId="495A11B7" w14:textId="5F614892" w:rsidR="009F585E"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Bandas de frecuencias autorizadas para la industria minera:</w:t>
      </w:r>
    </w:p>
    <w:p w14:paraId="3229F922" w14:textId="77777777" w:rsidR="002A2226" w:rsidRPr="006F3CEC" w:rsidRDefault="002A2226" w:rsidP="002A2226">
      <w:pPr>
        <w:pStyle w:val="Prrafodelista"/>
        <w:spacing w:after="0" w:line="240" w:lineRule="auto"/>
        <w:ind w:left="1571"/>
        <w:jc w:val="both"/>
        <w:rPr>
          <w:rFonts w:ascii="ITC Avant Garde" w:hAnsi="ITC Avant Garde"/>
        </w:rPr>
      </w:pPr>
    </w:p>
    <w:p w14:paraId="1F666370" w14:textId="77777777" w:rsidR="009F585E" w:rsidRPr="006F3CEC"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148-174 MHz,</w:t>
      </w:r>
    </w:p>
    <w:p w14:paraId="36017DE1" w14:textId="77777777" w:rsidR="009F585E" w:rsidRPr="006F3CEC"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 xml:space="preserve">700 MHz y </w:t>
      </w:r>
    </w:p>
    <w:p w14:paraId="775D0DB9" w14:textId="0F476B64" w:rsidR="009F585E"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2.3 GHz.</w:t>
      </w:r>
    </w:p>
    <w:p w14:paraId="41EF8D3B" w14:textId="77777777" w:rsidR="002A2226" w:rsidRPr="006F3CEC" w:rsidRDefault="002A2226" w:rsidP="002A2226">
      <w:pPr>
        <w:pStyle w:val="Prrafodelista"/>
        <w:spacing w:after="0" w:line="240" w:lineRule="auto"/>
        <w:ind w:left="1985"/>
        <w:jc w:val="both"/>
        <w:rPr>
          <w:rFonts w:ascii="ITC Avant Garde" w:hAnsi="ITC Avant Garde"/>
        </w:rPr>
      </w:pPr>
    </w:p>
    <w:p w14:paraId="47E468D2" w14:textId="1E09E93A" w:rsidR="009F585E"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Escenarios de despliegue de redes privadas:</w:t>
      </w:r>
    </w:p>
    <w:p w14:paraId="20960872" w14:textId="5DF3615D" w:rsidR="009F585E"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Interiores y exteriores</w:t>
      </w:r>
    </w:p>
    <w:p w14:paraId="5CEB1C34" w14:textId="77777777" w:rsidR="002A2226" w:rsidRPr="006F3CEC" w:rsidRDefault="002A2226" w:rsidP="002A2226">
      <w:pPr>
        <w:pStyle w:val="Prrafodelista"/>
        <w:spacing w:after="0" w:line="240" w:lineRule="auto"/>
        <w:ind w:left="1985"/>
        <w:jc w:val="both"/>
        <w:rPr>
          <w:rFonts w:ascii="ITC Avant Garde" w:hAnsi="ITC Avant Garde"/>
        </w:rPr>
      </w:pPr>
    </w:p>
    <w:p w14:paraId="4390D12E" w14:textId="021DCF7C" w:rsidR="009F585E" w:rsidRPr="002A2226" w:rsidRDefault="009F585E" w:rsidP="00D25CD5">
      <w:pPr>
        <w:pStyle w:val="Prrafodelista"/>
        <w:numPr>
          <w:ilvl w:val="0"/>
          <w:numId w:val="5"/>
        </w:numPr>
        <w:spacing w:after="0" w:line="240" w:lineRule="auto"/>
        <w:jc w:val="both"/>
        <w:rPr>
          <w:rFonts w:ascii="ITC Avant Garde" w:hAnsi="ITC Avant Garde"/>
          <w:b/>
          <w:bCs/>
        </w:rPr>
      </w:pPr>
      <w:r w:rsidRPr="002A2226">
        <w:rPr>
          <w:rFonts w:ascii="ITC Avant Garde" w:hAnsi="ITC Avant Garde"/>
          <w:b/>
          <w:bCs/>
        </w:rPr>
        <w:t>Industria turística:</w:t>
      </w:r>
      <w:r w:rsidRPr="002A2226">
        <w:rPr>
          <w:rFonts w:ascii="ITC Avant Garde" w:hAnsi="ITC Avant Garde"/>
          <w:b/>
        </w:rPr>
        <w:t xml:space="preserve"> </w:t>
      </w:r>
      <w:r w:rsidRPr="002A2226">
        <w:rPr>
          <w:rFonts w:ascii="ITC Avant Garde" w:hAnsi="ITC Avant Garde"/>
          <w:b/>
          <w:iCs/>
        </w:rPr>
        <w:t>turismo digital mediante el uso de gafas de realidad virtual (VR) y realidad aumentada (AR) que ofrecen a los visitantes experiencias nuevas e inmersivas, contribuyendo al acervo cultural, a la educación y al desarrollo de nuevas aplicaciones para la exploración de esta zona arqueológica.</w:t>
      </w:r>
    </w:p>
    <w:p w14:paraId="6ED80102" w14:textId="77777777" w:rsidR="002A2226" w:rsidRPr="002A2226" w:rsidRDefault="002A2226" w:rsidP="002A2226">
      <w:pPr>
        <w:pStyle w:val="Prrafodelista"/>
        <w:spacing w:after="0" w:line="240" w:lineRule="auto"/>
        <w:jc w:val="both"/>
        <w:rPr>
          <w:rFonts w:ascii="ITC Avant Garde" w:hAnsi="ITC Avant Garde"/>
          <w:b/>
          <w:bCs/>
          <w:i/>
        </w:rPr>
      </w:pPr>
    </w:p>
    <w:p w14:paraId="1F7A5685" w14:textId="1C7152DF" w:rsidR="009F585E" w:rsidRDefault="009F585E" w:rsidP="002A2226">
      <w:pPr>
        <w:spacing w:after="0" w:line="240" w:lineRule="auto"/>
        <w:ind w:left="709"/>
        <w:jc w:val="both"/>
        <w:rPr>
          <w:rFonts w:ascii="ITC Avant Garde" w:hAnsi="ITC Avant Garde"/>
        </w:rPr>
      </w:pPr>
      <w:r w:rsidRPr="006F3CEC">
        <w:rPr>
          <w:rFonts w:ascii="ITC Avant Garde" w:hAnsi="ITC Avant Garde"/>
        </w:rPr>
        <w:t xml:space="preserve">Operación de una red móvil privada en la zona arqueológica de Chichén </w:t>
      </w:r>
      <w:r w:rsidRPr="004824C5">
        <w:rPr>
          <w:rFonts w:ascii="ITC Avant Garde" w:hAnsi="ITC Avant Garde"/>
        </w:rPr>
        <w:t>Itzá</w:t>
      </w:r>
      <w:r w:rsidR="00422833" w:rsidRPr="004824C5">
        <w:rPr>
          <w:rFonts w:ascii="ITC Avant Garde" w:hAnsi="ITC Avant Garde"/>
        </w:rPr>
        <w:t>,</w:t>
      </w:r>
      <w:r w:rsidRPr="006F3CEC">
        <w:rPr>
          <w:rFonts w:ascii="ITC Avant Garde" w:hAnsi="ITC Avant Garde"/>
        </w:rPr>
        <w:t xml:space="preserve"> ubicada en el Estado de Yucatán basada en tecnología 5G, la cual opera al amparo de la </w:t>
      </w:r>
      <w:r w:rsidR="0057104C">
        <w:rPr>
          <w:rFonts w:ascii="ITC Avant Garde" w:hAnsi="ITC Avant Garde"/>
        </w:rPr>
        <w:t>A</w:t>
      </w:r>
      <w:r w:rsidRPr="006F3CEC">
        <w:rPr>
          <w:rFonts w:ascii="ITC Avant Garde" w:hAnsi="ITC Avant Garde"/>
        </w:rPr>
        <w:t xml:space="preserve">utorización </w:t>
      </w:r>
      <w:r w:rsidR="0057104C">
        <w:rPr>
          <w:rFonts w:ascii="ITC Avant Garde" w:hAnsi="ITC Avant Garde"/>
        </w:rPr>
        <w:t>de</w:t>
      </w:r>
      <w:r w:rsidRPr="006F3CEC">
        <w:rPr>
          <w:rFonts w:ascii="ITC Avant Garde" w:hAnsi="ITC Avant Garde"/>
        </w:rPr>
        <w:t xml:space="preserve"> uso secundario dentro del rango 3450-3550 MHz, con anchos de banda de 20 MHz, para instalaciones destinadas a actividades industriales que, para este caso, corresponden a actividades de la industria turística, otorgada por el Instituto a favor de la empresa </w:t>
      </w:r>
      <w:proofErr w:type="spellStart"/>
      <w:r w:rsidRPr="006F3CEC">
        <w:rPr>
          <w:rFonts w:ascii="ITC Avant Garde" w:hAnsi="ITC Avant Garde"/>
        </w:rPr>
        <w:t>Smartlite</w:t>
      </w:r>
      <w:proofErr w:type="spellEnd"/>
      <w:r w:rsidRPr="006F3CEC">
        <w:rPr>
          <w:rFonts w:ascii="ITC Avant Garde" w:hAnsi="ITC Avant Garde"/>
        </w:rPr>
        <w:t>, S.A. de C.V., con una vigencia de 5 años.</w:t>
      </w:r>
    </w:p>
    <w:p w14:paraId="38627E98" w14:textId="77777777" w:rsidR="002A2226" w:rsidRPr="006F3CEC" w:rsidRDefault="002A2226" w:rsidP="002A2226">
      <w:pPr>
        <w:spacing w:after="0" w:line="240" w:lineRule="auto"/>
        <w:ind w:left="709"/>
        <w:jc w:val="both"/>
        <w:rPr>
          <w:rFonts w:ascii="ITC Avant Garde" w:hAnsi="ITC Avant Garde"/>
        </w:rPr>
      </w:pPr>
    </w:p>
    <w:p w14:paraId="0074608D" w14:textId="461FAC20" w:rsidR="009F585E" w:rsidRDefault="009F585E" w:rsidP="002A2226">
      <w:pPr>
        <w:spacing w:after="0" w:line="240" w:lineRule="auto"/>
        <w:ind w:left="709"/>
        <w:jc w:val="both"/>
        <w:rPr>
          <w:rFonts w:ascii="ITC Avant Garde" w:hAnsi="ITC Avant Garde"/>
        </w:rPr>
      </w:pPr>
      <w:r w:rsidRPr="006F3CEC">
        <w:rPr>
          <w:rFonts w:ascii="ITC Avant Garde" w:hAnsi="ITC Avant Garde"/>
        </w:rPr>
        <w:t xml:space="preserve">No se omite señalar que, la autorización referida otorga el derecho para usar y aprovechar bandas de frecuencias del espectro radioeléctrico para uso secundario, es decir que las operaciones de esta red móvil privada no deben causar interferencias perjudiciales a otros servicios de radiocomunicación que funcionen bajo una atribución a título primario identificada en el </w:t>
      </w:r>
      <w:r w:rsidR="00DD1098">
        <w:rPr>
          <w:rFonts w:ascii="ITC Avant Garde" w:hAnsi="ITC Avant Garde"/>
        </w:rPr>
        <w:t xml:space="preserve">Cuadro Nacional </w:t>
      </w:r>
      <w:r w:rsidR="00DD1098">
        <w:rPr>
          <w:rFonts w:ascii="ITC Avant Garde" w:hAnsi="ITC Avant Garde"/>
        </w:rPr>
        <w:lastRenderedPageBreak/>
        <w:t>de Atribución de Frecuencias (</w:t>
      </w:r>
      <w:r w:rsidR="00EB5610">
        <w:rPr>
          <w:rFonts w:ascii="ITC Avant Garde" w:hAnsi="ITC Avant Garde"/>
        </w:rPr>
        <w:t>CNAF</w:t>
      </w:r>
      <w:r w:rsidR="00DD1098">
        <w:rPr>
          <w:rFonts w:ascii="ITC Avant Garde" w:hAnsi="ITC Avant Garde"/>
        </w:rPr>
        <w:t>)</w:t>
      </w:r>
      <w:r w:rsidRPr="006F3CEC">
        <w:rPr>
          <w:rFonts w:ascii="ITC Avant Garde" w:hAnsi="ITC Avant Garde"/>
        </w:rPr>
        <w:t>, ni podrán reclamar protección contra los mismos. Por lo que, en caso de existir problemas de interferencias perjudiciales, el autorizado deberá suspender la operación de los equipos interferentes de manera inmediata, pudiendo afectar con ello la calidad de la experiencia del turismo digital.</w:t>
      </w:r>
    </w:p>
    <w:p w14:paraId="3D6CF134" w14:textId="77777777" w:rsidR="002A2226" w:rsidRPr="006F3CEC" w:rsidRDefault="002A2226" w:rsidP="00D25CD5">
      <w:pPr>
        <w:spacing w:after="0" w:line="240" w:lineRule="auto"/>
        <w:ind w:left="1080"/>
        <w:jc w:val="both"/>
        <w:rPr>
          <w:rFonts w:ascii="ITC Avant Garde" w:hAnsi="ITC Avant Garde"/>
        </w:rPr>
      </w:pPr>
    </w:p>
    <w:p w14:paraId="0BA8B860" w14:textId="77777777" w:rsidR="009F585E" w:rsidRPr="006F3CEC"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Bandas de frecuencias utilizadas:</w:t>
      </w:r>
    </w:p>
    <w:p w14:paraId="270B08C7" w14:textId="176E1E7A" w:rsidR="009F585E"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3.5 GHz</w:t>
      </w:r>
    </w:p>
    <w:p w14:paraId="7693E5D7" w14:textId="77777777" w:rsidR="002A2226" w:rsidRPr="006F3CEC" w:rsidRDefault="002A2226" w:rsidP="002A2226">
      <w:pPr>
        <w:pStyle w:val="Prrafodelista"/>
        <w:spacing w:after="0" w:line="240" w:lineRule="auto"/>
        <w:ind w:left="1985"/>
        <w:jc w:val="both"/>
        <w:rPr>
          <w:rFonts w:ascii="ITC Avant Garde" w:hAnsi="ITC Avant Garde"/>
        </w:rPr>
      </w:pPr>
    </w:p>
    <w:p w14:paraId="6D5C8358" w14:textId="77777777" w:rsidR="009F585E" w:rsidRPr="006F3CEC"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Escenarios de despliegue de redes privadas:</w:t>
      </w:r>
    </w:p>
    <w:p w14:paraId="1127CAFF" w14:textId="77777777" w:rsidR="009F585E" w:rsidRPr="006F3CEC"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Exteriores</w:t>
      </w:r>
    </w:p>
    <w:p w14:paraId="3EA34E36" w14:textId="77777777" w:rsidR="009F585E" w:rsidRPr="006F3CEC" w:rsidRDefault="009F585E" w:rsidP="00D25CD5">
      <w:pPr>
        <w:spacing w:after="0" w:line="240" w:lineRule="auto"/>
        <w:ind w:left="1080"/>
        <w:jc w:val="both"/>
        <w:rPr>
          <w:rFonts w:ascii="ITC Avant Garde" w:hAnsi="ITC Avant Garde"/>
        </w:rPr>
      </w:pPr>
    </w:p>
    <w:p w14:paraId="23BF191D" w14:textId="42F1F102" w:rsidR="009F585E" w:rsidRDefault="009F585E" w:rsidP="00D25CD5">
      <w:pPr>
        <w:pStyle w:val="Prrafodelista"/>
        <w:numPr>
          <w:ilvl w:val="0"/>
          <w:numId w:val="5"/>
        </w:numPr>
        <w:spacing w:after="0" w:line="240" w:lineRule="auto"/>
        <w:jc w:val="both"/>
        <w:rPr>
          <w:rFonts w:ascii="ITC Avant Garde" w:hAnsi="ITC Avant Garde"/>
          <w:b/>
          <w:bCs/>
        </w:rPr>
      </w:pPr>
      <w:r w:rsidRPr="002A2226">
        <w:rPr>
          <w:rFonts w:ascii="ITC Avant Garde" w:hAnsi="ITC Avant Garde"/>
          <w:b/>
          <w:bCs/>
        </w:rPr>
        <w:t>Industria 4.0 (manufacturera).</w:t>
      </w:r>
      <w:r w:rsidRPr="002A2226">
        <w:rPr>
          <w:rFonts w:ascii="ITC Avant Garde" w:hAnsi="ITC Avant Garde"/>
          <w:b/>
        </w:rPr>
        <w:t xml:space="preserve"> </w:t>
      </w:r>
      <w:r w:rsidRPr="002A2226">
        <w:rPr>
          <w:rFonts w:ascii="ITC Avant Garde" w:hAnsi="ITC Avant Garde"/>
          <w:b/>
          <w:bCs/>
        </w:rPr>
        <w:t>modernizar las diferentes cadenas de producción de diversos sectores industriales, mediante el monitoreo remoto y en tiempo real de bienes, maquinar</w:t>
      </w:r>
      <w:r w:rsidR="00182F0B">
        <w:rPr>
          <w:rFonts w:ascii="ITC Avant Garde" w:hAnsi="ITC Avant Garde"/>
          <w:b/>
          <w:bCs/>
        </w:rPr>
        <w:t>i</w:t>
      </w:r>
      <w:r w:rsidRPr="002A2226">
        <w:rPr>
          <w:rFonts w:ascii="ITC Avant Garde" w:hAnsi="ITC Avant Garde"/>
          <w:b/>
          <w:bCs/>
        </w:rPr>
        <w:t>a, equipo de operaciones, personal, etc., con el objeto de lograr mayores eficiencias en la productividad y decrementar incidencias. Lo anterior se encuentra estrechamente relacionado con la denominada Industria 4.0 y el despliegue de sistemas de Internet de las Cosas (</w:t>
      </w:r>
      <w:proofErr w:type="spellStart"/>
      <w:r w:rsidRPr="002A2226">
        <w:rPr>
          <w:rFonts w:ascii="ITC Avant Garde" w:hAnsi="ITC Avant Garde"/>
          <w:b/>
          <w:bCs/>
        </w:rPr>
        <w:t>IoT</w:t>
      </w:r>
      <w:proofErr w:type="spellEnd"/>
      <w:r w:rsidRPr="002A2226">
        <w:rPr>
          <w:rFonts w:ascii="ITC Avant Garde" w:hAnsi="ITC Avant Garde"/>
          <w:b/>
          <w:bCs/>
        </w:rPr>
        <w:t>).</w:t>
      </w:r>
    </w:p>
    <w:p w14:paraId="3D14810B" w14:textId="77777777" w:rsidR="002A2226" w:rsidRPr="002A2226" w:rsidRDefault="002A2226" w:rsidP="002A2226">
      <w:pPr>
        <w:pStyle w:val="Prrafodelista"/>
        <w:spacing w:after="0" w:line="240" w:lineRule="auto"/>
        <w:jc w:val="both"/>
        <w:rPr>
          <w:rFonts w:ascii="ITC Avant Garde" w:hAnsi="ITC Avant Garde"/>
          <w:b/>
          <w:bCs/>
        </w:rPr>
      </w:pPr>
    </w:p>
    <w:p w14:paraId="47664C2A" w14:textId="131A7D02" w:rsidR="009F585E" w:rsidRDefault="009F585E" w:rsidP="002A2226">
      <w:pPr>
        <w:spacing w:after="0" w:line="240" w:lineRule="auto"/>
        <w:ind w:left="709"/>
        <w:jc w:val="both"/>
        <w:rPr>
          <w:rFonts w:ascii="ITC Avant Garde" w:hAnsi="ITC Avant Garde"/>
        </w:rPr>
      </w:pPr>
      <w:r w:rsidRPr="006F3CEC">
        <w:rPr>
          <w:rFonts w:ascii="ITC Avant Garde" w:hAnsi="ITC Avant Garde"/>
        </w:rPr>
        <w:t>En 2023, se otorgó un título de concesión para usar y aprovechar el segmento de frecuencias 3450-3500 MHz para uso privado, con propósitos de experimentación, a favor de la empresa IP Matrix, S.A. de C.V., con vigencia de 1 año y con el objeto de realizar pruebas experimentales para comprobar y evaluar el funcionamiento de un sistema 5G en un laboratorio ubicado al interior de las instalaciones de dicha empresa.</w:t>
      </w:r>
    </w:p>
    <w:p w14:paraId="7A3A6D05" w14:textId="77777777" w:rsidR="002A2226" w:rsidRPr="006F3CEC" w:rsidRDefault="002A2226" w:rsidP="002A2226">
      <w:pPr>
        <w:spacing w:after="0" w:line="240" w:lineRule="auto"/>
        <w:ind w:left="709"/>
        <w:jc w:val="both"/>
        <w:rPr>
          <w:rFonts w:ascii="ITC Avant Garde" w:hAnsi="ITC Avant Garde"/>
        </w:rPr>
      </w:pPr>
    </w:p>
    <w:p w14:paraId="123B6A65" w14:textId="7AEC6E46" w:rsidR="009F585E" w:rsidRDefault="009F585E" w:rsidP="002A2226">
      <w:pPr>
        <w:spacing w:after="0" w:line="240" w:lineRule="auto"/>
        <w:ind w:left="709"/>
        <w:jc w:val="both"/>
        <w:rPr>
          <w:rFonts w:ascii="ITC Avant Garde" w:hAnsi="ITC Avant Garde"/>
        </w:rPr>
      </w:pPr>
      <w:r w:rsidRPr="006F3CEC">
        <w:rPr>
          <w:rFonts w:ascii="ITC Avant Garde" w:hAnsi="ITC Avant Garde"/>
        </w:rPr>
        <w:t xml:space="preserve">La implementación de este laboratorio tiene como objeto ejecutar simulaciones de aplicaciones </w:t>
      </w:r>
      <w:proofErr w:type="spellStart"/>
      <w:r w:rsidRPr="006F3CEC">
        <w:rPr>
          <w:rFonts w:ascii="ITC Avant Garde" w:hAnsi="ITC Avant Garde"/>
        </w:rPr>
        <w:t>IoT</w:t>
      </w:r>
      <w:proofErr w:type="spellEnd"/>
      <w:r w:rsidRPr="006F3CEC">
        <w:rPr>
          <w:rFonts w:ascii="ITC Avant Garde" w:hAnsi="ITC Avant Garde"/>
        </w:rPr>
        <w:t xml:space="preserve"> y 5G de la industria manufacturera, y evaluar diversos casos de uso de la Industria 4.0 tales como el control de calidad en plantas automotrices, la administración de inventarios y la inspección por drones y manejo de activos, a través de la supervisión del funcionamiento e interoperabilidad de robots para plantas de ensamblado, maquiladoras, cámaras de reconocimiento facial y otros dispositivos de radiocomunicación y monitoreo, los cuales requieren de latencias muy bajas (en el orden de 2 a 5 ms) y transmisiones de banda ancha (hasta 50 MHz) para alcanzar el óptimo funcionamiento de las actividades industriales. Asimismo, otro objetivo expresado por IP Matrix, S.A. de C.V. fue el desarrollar soluciones para la implementación de redes privadas 5G y de dispositivos </w:t>
      </w:r>
      <w:proofErr w:type="spellStart"/>
      <w:r w:rsidRPr="006F3CEC">
        <w:rPr>
          <w:rFonts w:ascii="ITC Avant Garde" w:hAnsi="ITC Avant Garde"/>
        </w:rPr>
        <w:t>IoT</w:t>
      </w:r>
      <w:proofErr w:type="spellEnd"/>
      <w:r w:rsidRPr="006F3CEC">
        <w:rPr>
          <w:rFonts w:ascii="ITC Avant Garde" w:hAnsi="ITC Avant Garde"/>
        </w:rPr>
        <w:t xml:space="preserve"> para satisfacer las necesidades de las industrias 4.0 en un futuro cercano.</w:t>
      </w:r>
    </w:p>
    <w:p w14:paraId="5B4F6399" w14:textId="77777777" w:rsidR="002A2226" w:rsidRPr="006F3CEC" w:rsidRDefault="002A2226" w:rsidP="002A2226">
      <w:pPr>
        <w:spacing w:after="0" w:line="240" w:lineRule="auto"/>
        <w:ind w:left="709"/>
        <w:jc w:val="both"/>
        <w:rPr>
          <w:rFonts w:ascii="ITC Avant Garde" w:hAnsi="ITC Avant Garde"/>
        </w:rPr>
      </w:pPr>
    </w:p>
    <w:p w14:paraId="0C6D5FAA" w14:textId="77777777" w:rsidR="009F585E" w:rsidRPr="006F3CEC"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Bandas de frecuencias utilizadas:</w:t>
      </w:r>
    </w:p>
    <w:p w14:paraId="34BDF0C9" w14:textId="0FACBB47" w:rsidR="009F585E"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3.5 GHz</w:t>
      </w:r>
    </w:p>
    <w:p w14:paraId="70994C56" w14:textId="77777777" w:rsidR="002A2226" w:rsidRPr="006F3CEC" w:rsidRDefault="002A2226" w:rsidP="002A2226">
      <w:pPr>
        <w:pStyle w:val="Prrafodelista"/>
        <w:spacing w:after="0" w:line="240" w:lineRule="auto"/>
        <w:ind w:left="1985"/>
        <w:jc w:val="both"/>
        <w:rPr>
          <w:rFonts w:ascii="ITC Avant Garde" w:hAnsi="ITC Avant Garde"/>
        </w:rPr>
      </w:pPr>
    </w:p>
    <w:p w14:paraId="75CB245C" w14:textId="77777777" w:rsidR="009F585E" w:rsidRPr="006F3CEC" w:rsidRDefault="009F585E" w:rsidP="00D25CD5">
      <w:pPr>
        <w:pStyle w:val="Prrafodelista"/>
        <w:numPr>
          <w:ilvl w:val="0"/>
          <w:numId w:val="7"/>
        </w:numPr>
        <w:spacing w:after="0" w:line="240" w:lineRule="auto"/>
        <w:jc w:val="both"/>
        <w:rPr>
          <w:rFonts w:ascii="ITC Avant Garde" w:hAnsi="ITC Avant Garde"/>
        </w:rPr>
      </w:pPr>
      <w:r w:rsidRPr="006F3CEC">
        <w:rPr>
          <w:rFonts w:ascii="ITC Avant Garde" w:hAnsi="ITC Avant Garde"/>
        </w:rPr>
        <w:t>Escenarios de despliegue de redes privadas:</w:t>
      </w:r>
    </w:p>
    <w:p w14:paraId="0D3ED95B" w14:textId="77777777" w:rsidR="009F585E" w:rsidRPr="006F3CEC" w:rsidRDefault="009F585E" w:rsidP="00D25CD5">
      <w:pPr>
        <w:pStyle w:val="Prrafodelista"/>
        <w:numPr>
          <w:ilvl w:val="1"/>
          <w:numId w:val="6"/>
        </w:numPr>
        <w:spacing w:after="0" w:line="240" w:lineRule="auto"/>
        <w:ind w:left="1985"/>
        <w:jc w:val="both"/>
        <w:rPr>
          <w:rFonts w:ascii="ITC Avant Garde" w:hAnsi="ITC Avant Garde"/>
        </w:rPr>
      </w:pPr>
      <w:r w:rsidRPr="006F3CEC">
        <w:rPr>
          <w:rFonts w:ascii="ITC Avant Garde" w:hAnsi="ITC Avant Garde"/>
        </w:rPr>
        <w:t>Interiores (posibles operaciones al exterior dentro de un campus industrial)</w:t>
      </w:r>
    </w:p>
    <w:p w14:paraId="1B317BA6" w14:textId="0BE53670" w:rsidR="00DB0F71" w:rsidRPr="006F3CEC" w:rsidRDefault="00DB0F71" w:rsidP="00D25CD5">
      <w:pPr>
        <w:spacing w:after="0" w:line="240" w:lineRule="auto"/>
        <w:rPr>
          <w:rFonts w:ascii="ITC Avant Garde" w:hAnsi="ITC Avant Garde"/>
        </w:rPr>
      </w:pPr>
    </w:p>
    <w:p w14:paraId="1D736886" w14:textId="44126C43" w:rsidR="00DB0F71" w:rsidRPr="003E45DE" w:rsidRDefault="00DB0F71" w:rsidP="003E45DE">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3E45DE">
        <w:rPr>
          <w:rFonts w:ascii="ITC Avant Garde" w:eastAsia="Times New Roman" w:hAnsi="ITC Avant Garde" w:cs="Arial"/>
          <w:b/>
          <w:color w:val="939F27"/>
          <w:sz w:val="26"/>
          <w:szCs w:val="26"/>
        </w:rPr>
        <w:t xml:space="preserve">Consideraciones generales para concesiones </w:t>
      </w:r>
      <w:r w:rsidR="0052131F" w:rsidRPr="003E45DE">
        <w:rPr>
          <w:rFonts w:ascii="ITC Avant Garde" w:eastAsia="Times New Roman" w:hAnsi="ITC Avant Garde" w:cs="Arial"/>
          <w:b/>
          <w:color w:val="939F27"/>
          <w:sz w:val="26"/>
          <w:szCs w:val="26"/>
        </w:rPr>
        <w:t>relacionadas con redes privadas</w:t>
      </w:r>
    </w:p>
    <w:p w14:paraId="11D02B45" w14:textId="77777777" w:rsidR="002A2226" w:rsidRPr="006F3CEC" w:rsidRDefault="002A2226" w:rsidP="002A2226">
      <w:pPr>
        <w:pStyle w:val="Prrafodelista"/>
        <w:spacing w:after="0" w:line="240" w:lineRule="auto"/>
        <w:ind w:left="360"/>
        <w:rPr>
          <w:rFonts w:ascii="ITC Avant Garde" w:hAnsi="ITC Avant Garde"/>
          <w:b/>
          <w:bCs/>
        </w:rPr>
      </w:pPr>
    </w:p>
    <w:p w14:paraId="26106A01" w14:textId="71671B0D" w:rsidR="00653F99" w:rsidRDefault="00653F99" w:rsidP="00D25CD5">
      <w:pPr>
        <w:spacing w:after="0" w:line="240" w:lineRule="auto"/>
        <w:jc w:val="both"/>
        <w:rPr>
          <w:rFonts w:ascii="ITC Avant Garde" w:hAnsi="ITC Avant Garde"/>
        </w:rPr>
      </w:pPr>
      <w:r w:rsidRPr="006F3CEC">
        <w:rPr>
          <w:rFonts w:ascii="ITC Avant Garde" w:hAnsi="ITC Avant Garde"/>
        </w:rPr>
        <w:t xml:space="preserve">Se prevé que </w:t>
      </w:r>
      <w:r w:rsidR="002B6D0F" w:rsidRPr="006F3CEC">
        <w:rPr>
          <w:rFonts w:ascii="ITC Avant Garde" w:hAnsi="ITC Avant Garde"/>
        </w:rPr>
        <w:t>la asignación de concesiones de espectro radioeléctrico para redes privadas requerirá</w:t>
      </w:r>
      <w:r w:rsidRPr="006F3CEC">
        <w:rPr>
          <w:rFonts w:ascii="ITC Avant Garde" w:hAnsi="ITC Avant Garde"/>
        </w:rPr>
        <w:t xml:space="preserve"> de </w:t>
      </w:r>
      <w:r w:rsidRPr="004824C5">
        <w:rPr>
          <w:rFonts w:ascii="ITC Avant Garde" w:hAnsi="ITC Avant Garde"/>
        </w:rPr>
        <w:t>esquemas más flexibles y sencillos</w:t>
      </w:r>
      <w:r w:rsidR="00422833" w:rsidRPr="004824C5">
        <w:rPr>
          <w:rFonts w:ascii="ITC Avant Garde" w:hAnsi="ITC Avant Garde"/>
        </w:rPr>
        <w:t>,</w:t>
      </w:r>
      <w:r w:rsidRPr="004824C5">
        <w:rPr>
          <w:rFonts w:ascii="ITC Avant Garde" w:hAnsi="ITC Avant Garde"/>
        </w:rPr>
        <w:t xml:space="preserve"> que permitan disponer de espectro radioeléctrico oportun</w:t>
      </w:r>
      <w:r w:rsidR="00422833" w:rsidRPr="004824C5">
        <w:rPr>
          <w:rFonts w:ascii="ITC Avant Garde" w:hAnsi="ITC Avant Garde"/>
        </w:rPr>
        <w:t>o</w:t>
      </w:r>
      <w:r w:rsidRPr="004824C5">
        <w:rPr>
          <w:rFonts w:ascii="ITC Avant Garde" w:hAnsi="ITC Avant Garde"/>
        </w:rPr>
        <w:t>,</w:t>
      </w:r>
      <w:r w:rsidRPr="006F3CEC">
        <w:rPr>
          <w:rFonts w:ascii="ITC Avant Garde" w:hAnsi="ITC Avant Garde"/>
        </w:rPr>
        <w:t xml:space="preserve"> considerando que se espera un rápido desarrollo de sistemas y aplicaciones</w:t>
      </w:r>
      <w:r w:rsidR="002B6D0F" w:rsidRPr="006F3CEC">
        <w:rPr>
          <w:rFonts w:ascii="ITC Avant Garde" w:hAnsi="ITC Avant Garde"/>
        </w:rPr>
        <w:t>, así como de cambios tecnológicos cada vez más dinámicos.</w:t>
      </w:r>
    </w:p>
    <w:p w14:paraId="6D35CE60" w14:textId="64497161" w:rsidR="00603E83" w:rsidRDefault="00603E83" w:rsidP="00D25CD5">
      <w:pPr>
        <w:spacing w:after="0" w:line="240" w:lineRule="auto"/>
        <w:jc w:val="both"/>
        <w:rPr>
          <w:rFonts w:ascii="ITC Avant Garde" w:hAnsi="ITC Avant Garde"/>
        </w:rPr>
      </w:pPr>
    </w:p>
    <w:p w14:paraId="708F91CB" w14:textId="02A1D729" w:rsidR="0009636B" w:rsidRDefault="0009636B" w:rsidP="00D25CD5">
      <w:pPr>
        <w:spacing w:after="0" w:line="240" w:lineRule="auto"/>
        <w:jc w:val="both"/>
        <w:rPr>
          <w:rFonts w:ascii="ITC Avant Garde" w:hAnsi="ITC Avant Garde"/>
        </w:rPr>
      </w:pPr>
      <w:r w:rsidRPr="004824C5">
        <w:rPr>
          <w:rFonts w:ascii="ITC Avant Garde" w:hAnsi="ITC Avant Garde"/>
        </w:rPr>
        <w:t>Adicionalmente</w:t>
      </w:r>
      <w:r w:rsidR="004824C5" w:rsidRPr="004824C5">
        <w:rPr>
          <w:rFonts w:ascii="ITC Avant Garde" w:hAnsi="ITC Avant Garde"/>
        </w:rPr>
        <w:t>,</w:t>
      </w:r>
      <w:r w:rsidRPr="004824C5">
        <w:rPr>
          <w:rFonts w:ascii="ITC Avant Garde" w:hAnsi="ITC Avant Garde"/>
        </w:rPr>
        <w:t xml:space="preserve"> el otorgamiento de concesiones de espectro radioeléctrico para redes privadas permitiría la co</w:t>
      </w:r>
      <w:r w:rsidR="002344C1" w:rsidRPr="004824C5">
        <w:rPr>
          <w:rFonts w:ascii="ITC Avant Garde" w:hAnsi="ITC Avant Garde"/>
        </w:rPr>
        <w:t>existencia</w:t>
      </w:r>
      <w:r w:rsidRPr="004824C5">
        <w:rPr>
          <w:rFonts w:ascii="ITC Avant Garde" w:hAnsi="ITC Avant Garde"/>
        </w:rPr>
        <w:t xml:space="preserve"> </w:t>
      </w:r>
      <w:r w:rsidR="0063692E" w:rsidRPr="004824C5">
        <w:rPr>
          <w:rFonts w:ascii="ITC Avant Garde" w:hAnsi="ITC Avant Garde"/>
        </w:rPr>
        <w:t xml:space="preserve">entre </w:t>
      </w:r>
      <w:r w:rsidR="000D3116" w:rsidRPr="004824C5">
        <w:rPr>
          <w:rFonts w:ascii="ITC Avant Garde" w:hAnsi="ITC Avant Garde"/>
        </w:rPr>
        <w:t xml:space="preserve">diferentes </w:t>
      </w:r>
      <w:r w:rsidR="0063692E" w:rsidRPr="004824C5">
        <w:rPr>
          <w:rFonts w:ascii="ITC Avant Garde" w:hAnsi="ITC Avant Garde"/>
        </w:rPr>
        <w:t xml:space="preserve">sistemas que operan </w:t>
      </w:r>
      <w:r w:rsidR="002344C1" w:rsidRPr="004824C5">
        <w:rPr>
          <w:rFonts w:ascii="ITC Avant Garde" w:hAnsi="ITC Avant Garde"/>
        </w:rPr>
        <w:t xml:space="preserve">en las </w:t>
      </w:r>
      <w:r w:rsidR="000D3116" w:rsidRPr="004824C5">
        <w:rPr>
          <w:rFonts w:ascii="ITC Avant Garde" w:hAnsi="ITC Avant Garde"/>
        </w:rPr>
        <w:t xml:space="preserve">mismas </w:t>
      </w:r>
      <w:r w:rsidR="002344C1" w:rsidRPr="004824C5">
        <w:rPr>
          <w:rFonts w:ascii="ITC Avant Garde" w:hAnsi="ITC Avant Garde"/>
        </w:rPr>
        <w:t>bandas de frecuencias</w:t>
      </w:r>
      <w:r w:rsidR="00FE6B6F" w:rsidRPr="004824C5">
        <w:rPr>
          <w:rFonts w:ascii="ITC Avant Garde" w:hAnsi="ITC Avant Garde"/>
        </w:rPr>
        <w:t xml:space="preserve"> mediante</w:t>
      </w:r>
      <w:r w:rsidRPr="004824C5">
        <w:rPr>
          <w:rFonts w:ascii="ITC Avant Garde" w:hAnsi="ITC Avant Garde"/>
        </w:rPr>
        <w:t xml:space="preserve"> una separación espacial en </w:t>
      </w:r>
      <w:r w:rsidR="0010296B" w:rsidRPr="004824C5">
        <w:rPr>
          <w:rFonts w:ascii="ITC Avant Garde" w:hAnsi="ITC Avant Garde"/>
        </w:rPr>
        <w:t>zonas</w:t>
      </w:r>
      <w:r w:rsidR="0063692E" w:rsidRPr="004824C5">
        <w:rPr>
          <w:rFonts w:ascii="ITC Avant Garde" w:hAnsi="ITC Avant Garde"/>
        </w:rPr>
        <w:t xml:space="preserve"> geográficamente delimitadas</w:t>
      </w:r>
      <w:r w:rsidR="00FE6B6F" w:rsidRPr="004824C5">
        <w:rPr>
          <w:rFonts w:ascii="ITC Avant Garde" w:hAnsi="ITC Avant Garde"/>
        </w:rPr>
        <w:t>,</w:t>
      </w:r>
      <w:r w:rsidR="0063692E" w:rsidRPr="004824C5">
        <w:rPr>
          <w:rFonts w:ascii="ITC Avant Garde" w:hAnsi="ITC Avant Garde"/>
        </w:rPr>
        <w:t xml:space="preserve"> como pueden ser complejos industriales</w:t>
      </w:r>
      <w:r w:rsidR="000D3116" w:rsidRPr="004824C5">
        <w:rPr>
          <w:rFonts w:ascii="ITC Avant Garde" w:hAnsi="ITC Avant Garde"/>
        </w:rPr>
        <w:t>,</w:t>
      </w:r>
      <w:r w:rsidR="0063692E" w:rsidRPr="004824C5">
        <w:rPr>
          <w:rFonts w:ascii="ITC Avant Garde" w:hAnsi="ITC Avant Garde"/>
        </w:rPr>
        <w:t xml:space="preserve"> </w:t>
      </w:r>
      <w:r w:rsidR="000D3116" w:rsidRPr="004824C5">
        <w:rPr>
          <w:rFonts w:ascii="ITC Avant Garde" w:hAnsi="ITC Avant Garde"/>
        </w:rPr>
        <w:t xml:space="preserve">considerando </w:t>
      </w:r>
      <w:r w:rsidRPr="004824C5">
        <w:rPr>
          <w:rFonts w:ascii="ITC Avant Garde" w:hAnsi="ITC Avant Garde"/>
        </w:rPr>
        <w:t xml:space="preserve">las </w:t>
      </w:r>
      <w:r w:rsidR="000D3116" w:rsidRPr="004824C5">
        <w:rPr>
          <w:rFonts w:ascii="ITC Avant Garde" w:hAnsi="ITC Avant Garde"/>
        </w:rPr>
        <w:t xml:space="preserve">distintas </w:t>
      </w:r>
      <w:r w:rsidRPr="004824C5">
        <w:rPr>
          <w:rFonts w:ascii="ITC Avant Garde" w:hAnsi="ITC Avant Garde"/>
        </w:rPr>
        <w:t xml:space="preserve">atribuciones de espectro radioeléctrico </w:t>
      </w:r>
      <w:r w:rsidR="00FE6B6F" w:rsidRPr="004824C5">
        <w:rPr>
          <w:rFonts w:ascii="ITC Avant Garde" w:hAnsi="ITC Avant Garde"/>
        </w:rPr>
        <w:t>que se</w:t>
      </w:r>
      <w:r w:rsidRPr="004824C5">
        <w:rPr>
          <w:rFonts w:ascii="ITC Avant Garde" w:hAnsi="ITC Avant Garde"/>
        </w:rPr>
        <w:t xml:space="preserve"> compart</w:t>
      </w:r>
      <w:r w:rsidR="00FE6B6F" w:rsidRPr="004824C5">
        <w:rPr>
          <w:rFonts w:ascii="ITC Avant Garde" w:hAnsi="ITC Avant Garde"/>
        </w:rPr>
        <w:t>en</w:t>
      </w:r>
      <w:r w:rsidRPr="004824C5">
        <w:rPr>
          <w:rFonts w:ascii="ITC Avant Garde" w:hAnsi="ITC Avant Garde"/>
        </w:rPr>
        <w:t xml:space="preserve"> </w:t>
      </w:r>
      <w:r w:rsidR="0063692E" w:rsidRPr="004824C5">
        <w:rPr>
          <w:rFonts w:ascii="ITC Avant Garde" w:hAnsi="ITC Avant Garde"/>
        </w:rPr>
        <w:t>entre distintos servicios de radiocomunicaciones</w:t>
      </w:r>
      <w:r w:rsidRPr="004824C5">
        <w:rPr>
          <w:rFonts w:ascii="ITC Avant Garde" w:hAnsi="ITC Avant Garde"/>
        </w:rPr>
        <w:t>.</w:t>
      </w:r>
    </w:p>
    <w:p w14:paraId="4EC16F39" w14:textId="77777777" w:rsidR="0009636B" w:rsidRPr="006F3CEC" w:rsidRDefault="0009636B" w:rsidP="00D25CD5">
      <w:pPr>
        <w:spacing w:after="0" w:line="240" w:lineRule="auto"/>
        <w:jc w:val="both"/>
        <w:rPr>
          <w:rFonts w:ascii="ITC Avant Garde" w:hAnsi="ITC Avant Garde"/>
        </w:rPr>
      </w:pPr>
    </w:p>
    <w:p w14:paraId="08AAB694" w14:textId="33E448C6" w:rsidR="008948FE" w:rsidRPr="006F3CEC" w:rsidRDefault="002B6D0F" w:rsidP="00105095">
      <w:pPr>
        <w:spacing w:after="0" w:line="240" w:lineRule="auto"/>
        <w:jc w:val="both"/>
        <w:rPr>
          <w:rFonts w:ascii="ITC Avant Garde" w:hAnsi="ITC Avant Garde" w:cs="Calibri"/>
          <w:color w:val="000000"/>
        </w:rPr>
      </w:pPr>
      <w:r w:rsidRPr="006F3CEC">
        <w:rPr>
          <w:rFonts w:ascii="ITC Avant Garde" w:hAnsi="ITC Avant Garde"/>
        </w:rPr>
        <w:t xml:space="preserve">Lo anterior, </w:t>
      </w:r>
      <w:r w:rsidR="00922E83" w:rsidRPr="006F3CEC">
        <w:rPr>
          <w:rFonts w:ascii="ITC Avant Garde" w:hAnsi="ITC Avant Garde"/>
        </w:rPr>
        <w:t xml:space="preserve">lleva a revisar </w:t>
      </w:r>
      <w:r w:rsidR="00922E83" w:rsidRPr="004824C5">
        <w:rPr>
          <w:rFonts w:ascii="ITC Avant Garde" w:hAnsi="ITC Avant Garde"/>
        </w:rPr>
        <w:t xml:space="preserve">los </w:t>
      </w:r>
      <w:r w:rsidR="00422833" w:rsidRPr="004824C5">
        <w:rPr>
          <w:rFonts w:ascii="ITC Avant Garde" w:hAnsi="ITC Avant Garde"/>
        </w:rPr>
        <w:t>actuales</w:t>
      </w:r>
      <w:r w:rsidR="004824C5" w:rsidRPr="004824C5">
        <w:rPr>
          <w:rFonts w:ascii="ITC Avant Garde" w:hAnsi="ITC Avant Garde"/>
        </w:rPr>
        <w:t xml:space="preserve"> </w:t>
      </w:r>
      <w:r w:rsidR="00922E83" w:rsidRPr="004824C5">
        <w:rPr>
          <w:rFonts w:ascii="ITC Avant Garde" w:hAnsi="ITC Avant Garde"/>
        </w:rPr>
        <w:t xml:space="preserve">esquemas de asignación de espectro por licitación pública en la búsqueda de esquemas con </w:t>
      </w:r>
      <w:r w:rsidR="00422833" w:rsidRPr="004824C5">
        <w:rPr>
          <w:rFonts w:ascii="ITC Avant Garde" w:hAnsi="ITC Avant Garde"/>
        </w:rPr>
        <w:t>mayor</w:t>
      </w:r>
      <w:r w:rsidR="004824C5" w:rsidRPr="004824C5">
        <w:rPr>
          <w:rFonts w:ascii="ITC Avant Garde" w:hAnsi="ITC Avant Garde"/>
        </w:rPr>
        <w:t xml:space="preserve"> </w:t>
      </w:r>
      <w:r w:rsidR="00922E83" w:rsidRPr="004824C5">
        <w:rPr>
          <w:rFonts w:ascii="ITC Avant Garde" w:hAnsi="ITC Avant Garde"/>
        </w:rPr>
        <w:t>flexibilidad</w:t>
      </w:r>
      <w:r w:rsidR="00422833" w:rsidRPr="004824C5">
        <w:rPr>
          <w:rFonts w:ascii="ITC Avant Garde" w:hAnsi="ITC Avant Garde"/>
        </w:rPr>
        <w:t>,</w:t>
      </w:r>
      <w:r w:rsidR="00922E83" w:rsidRPr="004824C5">
        <w:rPr>
          <w:rFonts w:ascii="ITC Avant Garde" w:hAnsi="ITC Avant Garde"/>
        </w:rPr>
        <w:t xml:space="preserve"> y que</w:t>
      </w:r>
      <w:r w:rsidR="00922E83" w:rsidRPr="006F3CEC">
        <w:rPr>
          <w:rFonts w:ascii="ITC Avant Garde" w:hAnsi="ITC Avant Garde"/>
        </w:rPr>
        <w:t xml:space="preserve"> permitan que el otorgamiento y uso de las bandas de frecuencias se realicen en el menor tiempo posible, cumpliendo con las disposiciones legales vigentes.</w:t>
      </w:r>
      <w:r w:rsidRPr="006F3CEC">
        <w:rPr>
          <w:rFonts w:ascii="ITC Avant Garde" w:hAnsi="ITC Avant Garde"/>
        </w:rPr>
        <w:t xml:space="preserve"> </w:t>
      </w:r>
    </w:p>
    <w:p w14:paraId="4CE4AE44" w14:textId="57AF6A55" w:rsidR="00594A2D" w:rsidRPr="00BC1346" w:rsidRDefault="00594A2D" w:rsidP="00BC1346">
      <w:pPr>
        <w:spacing w:after="0" w:line="240" w:lineRule="auto"/>
        <w:rPr>
          <w:rFonts w:ascii="ITC Avant Garde" w:hAnsi="ITC Avant Garde"/>
          <w:color w:val="FF0000"/>
        </w:rPr>
      </w:pPr>
    </w:p>
    <w:p w14:paraId="67E66851" w14:textId="4A340280" w:rsidR="00375434" w:rsidRPr="0044668C" w:rsidRDefault="00375434" w:rsidP="003E45DE">
      <w:pPr>
        <w:pStyle w:val="Prrafodelista"/>
        <w:numPr>
          <w:ilvl w:val="1"/>
          <w:numId w:val="22"/>
        </w:numPr>
        <w:spacing w:after="0" w:line="240" w:lineRule="auto"/>
        <w:ind w:left="567" w:hanging="567"/>
        <w:rPr>
          <w:rFonts w:ascii="ITC Avant Garde" w:hAnsi="ITC Avant Garde"/>
          <w:b/>
        </w:rPr>
      </w:pPr>
      <w:r w:rsidRPr="0044668C">
        <w:rPr>
          <w:rFonts w:ascii="ITC Avant Garde" w:hAnsi="ITC Avant Garde"/>
          <w:b/>
        </w:rPr>
        <w:t>Determinación de zonas geográficas para asignación de espectro</w:t>
      </w:r>
      <w:r w:rsidR="00105095">
        <w:rPr>
          <w:rFonts w:ascii="ITC Avant Garde" w:hAnsi="ITC Avant Garde"/>
          <w:b/>
        </w:rPr>
        <w:t xml:space="preserve"> radioeléctrico</w:t>
      </w:r>
    </w:p>
    <w:p w14:paraId="0BCEED03" w14:textId="77777777" w:rsidR="0044668C" w:rsidRDefault="0044668C" w:rsidP="00D25CD5">
      <w:pPr>
        <w:spacing w:after="0" w:line="240" w:lineRule="auto"/>
        <w:ind w:left="708"/>
        <w:jc w:val="both"/>
        <w:rPr>
          <w:rFonts w:ascii="ITC Avant Garde" w:hAnsi="ITC Avant Garde" w:cstheme="minorHAnsi"/>
          <w:color w:val="000000"/>
        </w:rPr>
      </w:pPr>
    </w:p>
    <w:p w14:paraId="51C73506" w14:textId="0A639C19" w:rsidR="003D12AA" w:rsidRDefault="00991B8D" w:rsidP="0044668C">
      <w:pPr>
        <w:spacing w:after="0" w:line="240" w:lineRule="auto"/>
        <w:jc w:val="both"/>
        <w:rPr>
          <w:rFonts w:ascii="ITC Avant Garde" w:hAnsi="ITC Avant Garde" w:cstheme="minorHAnsi"/>
        </w:rPr>
      </w:pPr>
      <w:r w:rsidRPr="006F3CEC">
        <w:rPr>
          <w:rFonts w:ascii="ITC Avant Garde" w:hAnsi="ITC Avant Garde" w:cstheme="minorHAnsi"/>
          <w:color w:val="000000"/>
        </w:rPr>
        <w:t xml:space="preserve">La determinación de zonas geográficas </w:t>
      </w:r>
      <w:r w:rsidR="00315A8C">
        <w:rPr>
          <w:rFonts w:ascii="ITC Avant Garde" w:hAnsi="ITC Avant Garde" w:cstheme="minorHAnsi"/>
          <w:color w:val="000000"/>
        </w:rPr>
        <w:t xml:space="preserve">para concesiones de uso comercial para satisfacer las necesidades de redes privadas </w:t>
      </w:r>
      <w:r w:rsidRPr="006F3CEC">
        <w:rPr>
          <w:rFonts w:ascii="ITC Avant Garde" w:hAnsi="ITC Avant Garde" w:cstheme="minorHAnsi"/>
          <w:color w:val="000000"/>
        </w:rPr>
        <w:t>se llevó a cabo a partir de criterios</w:t>
      </w:r>
      <w:r w:rsidR="00594A2D" w:rsidRPr="006F3CEC">
        <w:rPr>
          <w:rFonts w:ascii="ITC Avant Garde" w:hAnsi="ITC Avant Garde" w:cstheme="minorHAnsi"/>
          <w:color w:val="000000"/>
        </w:rPr>
        <w:t xml:space="preserve"> estadísticos, demográficos y económicos.</w:t>
      </w:r>
      <w:r w:rsidR="00594A2D" w:rsidRPr="006F3CEC">
        <w:rPr>
          <w:rFonts w:ascii="ITC Avant Garde" w:hAnsi="ITC Avant Garde" w:cstheme="minorHAnsi"/>
        </w:rPr>
        <w:t xml:space="preserve"> </w:t>
      </w:r>
      <w:r w:rsidR="00AF1962">
        <w:rPr>
          <w:rFonts w:ascii="ITC Avant Garde" w:hAnsi="ITC Avant Garde" w:cstheme="minorHAnsi"/>
        </w:rPr>
        <w:t xml:space="preserve">El objetivo fue localizar </w:t>
      </w:r>
      <w:r w:rsidRPr="006F3CEC">
        <w:rPr>
          <w:rFonts w:ascii="ITC Avant Garde" w:hAnsi="ITC Avant Garde" w:cstheme="minorHAnsi"/>
        </w:rPr>
        <w:t xml:space="preserve">geográficamente los complejos industriales a nivel nacional, ya que uno de los principales casos de uso de las redes privadas 5G es la industria 4.0. </w:t>
      </w:r>
    </w:p>
    <w:p w14:paraId="079ADD98" w14:textId="77777777" w:rsidR="0044668C" w:rsidRPr="006F3CEC" w:rsidRDefault="0044668C" w:rsidP="0044668C">
      <w:pPr>
        <w:spacing w:after="0" w:line="240" w:lineRule="auto"/>
        <w:jc w:val="both"/>
        <w:rPr>
          <w:rFonts w:ascii="ITC Avant Garde" w:hAnsi="ITC Avant Garde" w:cstheme="minorHAnsi"/>
        </w:rPr>
      </w:pPr>
    </w:p>
    <w:p w14:paraId="3F353867" w14:textId="3CC67D71" w:rsidR="0044668C" w:rsidRDefault="00991B8D" w:rsidP="0044668C">
      <w:pPr>
        <w:spacing w:after="0" w:line="240" w:lineRule="auto"/>
        <w:jc w:val="both"/>
        <w:rPr>
          <w:rFonts w:ascii="ITC Avant Garde" w:hAnsi="ITC Avant Garde" w:cstheme="minorHAnsi"/>
        </w:rPr>
      </w:pPr>
      <w:r w:rsidRPr="006F3CEC">
        <w:rPr>
          <w:rFonts w:ascii="ITC Avant Garde" w:hAnsi="ITC Avant Garde" w:cstheme="minorHAnsi"/>
        </w:rPr>
        <w:lastRenderedPageBreak/>
        <w:t>Un complejo industrial</w:t>
      </w:r>
      <w:r w:rsidR="00AF1962">
        <w:rPr>
          <w:rStyle w:val="Refdenotaalpie"/>
          <w:rFonts w:ascii="ITC Avant Garde" w:hAnsi="ITC Avant Garde" w:cstheme="minorHAnsi"/>
        </w:rPr>
        <w:footnoteReference w:id="11"/>
      </w:r>
      <w:r w:rsidRPr="006F3CEC">
        <w:rPr>
          <w:rFonts w:ascii="ITC Avant Garde" w:hAnsi="ITC Avant Garde" w:cstheme="minorHAnsi"/>
        </w:rPr>
        <w:t xml:space="preserve"> </w:t>
      </w:r>
      <w:r w:rsidR="003D12AA" w:rsidRPr="006F3CEC">
        <w:rPr>
          <w:rFonts w:ascii="ITC Avant Garde" w:hAnsi="ITC Avant Garde" w:cstheme="minorHAnsi"/>
        </w:rPr>
        <w:t>se refiere a</w:t>
      </w:r>
      <w:r w:rsidRPr="006F3CEC">
        <w:rPr>
          <w:rFonts w:ascii="ITC Avant Garde" w:hAnsi="ITC Avant Garde" w:cstheme="minorHAnsi"/>
        </w:rPr>
        <w:t xml:space="preserve"> un asentamiento industrial cuya característica es el encontrarse en un espacio físico delimitado por el uso de tipo de suelo y cuenta con una infraestructura física y mecánica para operar adecuadamente. </w:t>
      </w:r>
    </w:p>
    <w:p w14:paraId="577FD33D" w14:textId="77777777" w:rsidR="0044668C" w:rsidRDefault="0044668C" w:rsidP="0044668C">
      <w:pPr>
        <w:spacing w:after="0" w:line="240" w:lineRule="auto"/>
        <w:jc w:val="both"/>
        <w:rPr>
          <w:rFonts w:ascii="ITC Avant Garde" w:hAnsi="ITC Avant Garde" w:cstheme="minorHAnsi"/>
        </w:rPr>
      </w:pPr>
    </w:p>
    <w:p w14:paraId="51C75E3B" w14:textId="25C7327E" w:rsidR="00991B8D" w:rsidRDefault="00991B8D" w:rsidP="0044668C">
      <w:pPr>
        <w:spacing w:after="0" w:line="240" w:lineRule="auto"/>
        <w:jc w:val="both"/>
        <w:rPr>
          <w:rFonts w:ascii="ITC Avant Garde" w:hAnsi="ITC Avant Garde" w:cstheme="minorHAnsi"/>
        </w:rPr>
      </w:pPr>
      <w:r w:rsidRPr="006F3CEC">
        <w:rPr>
          <w:rFonts w:ascii="ITC Avant Garde" w:hAnsi="ITC Avant Garde" w:cstheme="minorHAnsi"/>
        </w:rPr>
        <w:t>En función de sus características</w:t>
      </w:r>
      <w:r w:rsidR="001E5836">
        <w:rPr>
          <w:rFonts w:ascii="ITC Avant Garde" w:hAnsi="ITC Avant Garde" w:cstheme="minorHAnsi"/>
        </w:rPr>
        <w:t>,</w:t>
      </w:r>
      <w:r w:rsidRPr="006F3CEC">
        <w:rPr>
          <w:rFonts w:ascii="ITC Avant Garde" w:hAnsi="ITC Avant Garde" w:cstheme="minorHAnsi"/>
        </w:rPr>
        <w:t xml:space="preserve"> los complejos industriales se catalogan de la siguiente manera:</w:t>
      </w:r>
    </w:p>
    <w:p w14:paraId="2638EB81" w14:textId="77777777" w:rsidR="00D565E4" w:rsidRPr="006F3CEC" w:rsidRDefault="00D565E4" w:rsidP="0044668C">
      <w:pPr>
        <w:spacing w:after="0" w:line="240" w:lineRule="auto"/>
        <w:jc w:val="both"/>
        <w:rPr>
          <w:rFonts w:ascii="ITC Avant Garde" w:hAnsi="ITC Avant Garde" w:cstheme="minorHAnsi"/>
        </w:rPr>
      </w:pPr>
    </w:p>
    <w:p w14:paraId="6876D4F3" w14:textId="70AF6FE1" w:rsidR="00991B8D" w:rsidRDefault="00991B8D" w:rsidP="007F16CE">
      <w:pPr>
        <w:pStyle w:val="Prrafodelista"/>
        <w:numPr>
          <w:ilvl w:val="0"/>
          <w:numId w:val="20"/>
        </w:numPr>
        <w:spacing w:after="0" w:line="240" w:lineRule="auto"/>
        <w:ind w:left="851"/>
        <w:jc w:val="both"/>
        <w:rPr>
          <w:rFonts w:ascii="ITC Avant Garde" w:hAnsi="ITC Avant Garde" w:cstheme="minorHAnsi"/>
        </w:rPr>
      </w:pPr>
      <w:r w:rsidRPr="007F16CE">
        <w:rPr>
          <w:rFonts w:ascii="ITC Avant Garde" w:hAnsi="ITC Avant Garde" w:cstheme="minorHAnsi"/>
          <w:b/>
        </w:rPr>
        <w:t>Corredor industrial.</w:t>
      </w:r>
      <w:r w:rsidRPr="006F3CEC">
        <w:rPr>
          <w:rFonts w:ascii="ITC Avant Garde" w:hAnsi="ITC Avant Garde" w:cstheme="minorHAnsi"/>
        </w:rPr>
        <w:t xml:space="preserve"> Es un sistema de parques o ciudades industriales que se localizan a lo largo de una vía de comunicación (carretera o vía de ferrocarril) que facilita el desarrollo de la comercialización, industrialización y prestación de servicios, que presenta un origen y un destino de productos y se establece generalmente entre dos o más municipios, lo que obliga a un reconocimiento por parte del gobierno estatal o federal.</w:t>
      </w:r>
    </w:p>
    <w:p w14:paraId="1563F789" w14:textId="77777777" w:rsidR="00D565E4" w:rsidRPr="006F3CEC" w:rsidRDefault="00D565E4" w:rsidP="007F16CE">
      <w:pPr>
        <w:pStyle w:val="Prrafodelista"/>
        <w:spacing w:after="0" w:line="240" w:lineRule="auto"/>
        <w:ind w:left="851"/>
        <w:jc w:val="both"/>
        <w:rPr>
          <w:rFonts w:ascii="ITC Avant Garde" w:hAnsi="ITC Avant Garde" w:cstheme="minorHAnsi"/>
        </w:rPr>
      </w:pPr>
    </w:p>
    <w:p w14:paraId="31D44E1D" w14:textId="371C12B8" w:rsidR="00991B8D" w:rsidRDefault="00991B8D" w:rsidP="007F16CE">
      <w:pPr>
        <w:pStyle w:val="Prrafodelista"/>
        <w:numPr>
          <w:ilvl w:val="0"/>
          <w:numId w:val="20"/>
        </w:numPr>
        <w:spacing w:after="0" w:line="240" w:lineRule="auto"/>
        <w:ind w:left="851"/>
        <w:jc w:val="both"/>
        <w:rPr>
          <w:rFonts w:ascii="ITC Avant Garde" w:hAnsi="ITC Avant Garde" w:cstheme="minorHAnsi"/>
        </w:rPr>
      </w:pPr>
      <w:r w:rsidRPr="007F16CE">
        <w:rPr>
          <w:rFonts w:ascii="ITC Avant Garde" w:hAnsi="ITC Avant Garde" w:cstheme="minorHAnsi"/>
          <w:b/>
        </w:rPr>
        <w:t>Ciudad industrial.</w:t>
      </w:r>
      <w:r w:rsidRPr="006F3CEC">
        <w:rPr>
          <w:rFonts w:ascii="ITC Avant Garde" w:hAnsi="ITC Avant Garde" w:cstheme="minorHAnsi"/>
        </w:rPr>
        <w:t xml:space="preserve"> Espacio geográfico creado con infraestructura de servicios (energía eléctrica, agua, drenaje, vías de comunicación, etc.), donde se pueden establecer empresas manufactureras. También se consideran áreas para construir conjuntos habitacionales, comerciales y de servicios (bancos, por ejemplo).</w:t>
      </w:r>
    </w:p>
    <w:p w14:paraId="641B95CA" w14:textId="77777777" w:rsidR="00D565E4" w:rsidRPr="00D565E4" w:rsidRDefault="00D565E4" w:rsidP="007F16CE">
      <w:pPr>
        <w:pStyle w:val="Prrafodelista"/>
        <w:ind w:left="851"/>
        <w:rPr>
          <w:rFonts w:ascii="ITC Avant Garde" w:hAnsi="ITC Avant Garde" w:cstheme="minorHAnsi"/>
        </w:rPr>
      </w:pPr>
    </w:p>
    <w:p w14:paraId="38C56E3A" w14:textId="731A6D8A" w:rsidR="00991B8D" w:rsidRDefault="00991B8D" w:rsidP="007F16CE">
      <w:pPr>
        <w:pStyle w:val="Prrafodelista"/>
        <w:numPr>
          <w:ilvl w:val="0"/>
          <w:numId w:val="20"/>
        </w:numPr>
        <w:spacing w:after="0" w:line="240" w:lineRule="auto"/>
        <w:ind w:left="851"/>
        <w:jc w:val="both"/>
        <w:rPr>
          <w:rFonts w:ascii="ITC Avant Garde" w:hAnsi="ITC Avant Garde" w:cstheme="minorHAnsi"/>
        </w:rPr>
      </w:pPr>
      <w:r w:rsidRPr="007F16CE">
        <w:rPr>
          <w:rFonts w:ascii="ITC Avant Garde" w:hAnsi="ITC Avant Garde" w:cstheme="minorHAnsi"/>
          <w:b/>
        </w:rPr>
        <w:t>Parque industrial</w:t>
      </w:r>
      <w:r w:rsidRPr="006F3CEC">
        <w:rPr>
          <w:rFonts w:ascii="ITC Avant Garde" w:hAnsi="ITC Avant Garde" w:cstheme="minorHAnsi"/>
        </w:rPr>
        <w:t xml:space="preserve">. Es aquella extensión de terreno destinada al asentamiento de industrias cuyo espacio </w:t>
      </w:r>
      <w:r w:rsidRPr="004824C5">
        <w:rPr>
          <w:rFonts w:ascii="ITC Avant Garde" w:hAnsi="ITC Avant Garde" w:cstheme="minorHAnsi"/>
        </w:rPr>
        <w:t>físico</w:t>
      </w:r>
      <w:r w:rsidR="00422833" w:rsidRPr="004824C5">
        <w:rPr>
          <w:rFonts w:ascii="ITC Avant Garde" w:hAnsi="ITC Avant Garde" w:cstheme="minorHAnsi"/>
        </w:rPr>
        <w:t>, áreas</w:t>
      </w:r>
      <w:r w:rsidR="00422833" w:rsidRPr="006F3CEC">
        <w:rPr>
          <w:rFonts w:ascii="ITC Avant Garde" w:hAnsi="ITC Avant Garde" w:cstheme="minorHAnsi"/>
        </w:rPr>
        <w:t xml:space="preserve"> </w:t>
      </w:r>
      <w:r w:rsidRPr="006F3CEC">
        <w:rPr>
          <w:rFonts w:ascii="ITC Avant Garde" w:hAnsi="ITC Avant Garde" w:cstheme="minorHAnsi"/>
        </w:rPr>
        <w:t xml:space="preserve">e infraestructura están definidos </w:t>
      </w:r>
      <w:proofErr w:type="gramStart"/>
      <w:r w:rsidR="00422833" w:rsidRPr="004824C5">
        <w:rPr>
          <w:rFonts w:ascii="ITC Avant Garde" w:hAnsi="ITC Avant Garde" w:cstheme="minorHAnsi"/>
        </w:rPr>
        <w:t>previamente</w:t>
      </w:r>
      <w:r w:rsidR="004824C5" w:rsidRPr="004824C5">
        <w:rPr>
          <w:rFonts w:ascii="ITC Avant Garde" w:hAnsi="ITC Avant Garde" w:cstheme="minorHAnsi"/>
        </w:rPr>
        <w:t xml:space="preserve"> </w:t>
      </w:r>
      <w:r w:rsidRPr="004824C5">
        <w:rPr>
          <w:rFonts w:ascii="ITC Avant Garde" w:hAnsi="ITC Avant Garde" w:cstheme="minorHAnsi"/>
        </w:rPr>
        <w:t>,</w:t>
      </w:r>
      <w:proofErr w:type="gramEnd"/>
      <w:r w:rsidRPr="004824C5">
        <w:rPr>
          <w:rFonts w:ascii="ITC Avant Garde" w:hAnsi="ITC Avant Garde" w:cstheme="minorHAnsi"/>
        </w:rPr>
        <w:t xml:space="preserve"> pero que cuentan con servicios comunes </w:t>
      </w:r>
      <w:r w:rsidR="00422833" w:rsidRPr="004824C5">
        <w:rPr>
          <w:rFonts w:ascii="ITC Avant Garde" w:hAnsi="ITC Avant Garde" w:cstheme="minorHAnsi"/>
        </w:rPr>
        <w:t xml:space="preserve">y reglamento interno </w:t>
      </w:r>
      <w:r w:rsidRPr="004824C5">
        <w:rPr>
          <w:rFonts w:ascii="ITC Avant Garde" w:hAnsi="ITC Avant Garde" w:cstheme="minorHAnsi"/>
        </w:rPr>
        <w:t>a todas las industrias radicadas, con un ente administrador organizador y con funciones de control. Este ente puede</w:t>
      </w:r>
      <w:r w:rsidRPr="006F3CEC">
        <w:rPr>
          <w:rFonts w:ascii="ITC Avant Garde" w:hAnsi="ITC Avant Garde" w:cstheme="minorHAnsi"/>
        </w:rPr>
        <w:t xml:space="preserve"> ser de carácter gubernamental, municipal, mixto o privado.</w:t>
      </w:r>
    </w:p>
    <w:p w14:paraId="7C1A77DE" w14:textId="77777777" w:rsidR="00D565E4" w:rsidRPr="00D565E4" w:rsidRDefault="00D565E4" w:rsidP="007F16CE">
      <w:pPr>
        <w:pStyle w:val="Prrafodelista"/>
        <w:ind w:left="851"/>
        <w:rPr>
          <w:rFonts w:ascii="ITC Avant Garde" w:hAnsi="ITC Avant Garde" w:cstheme="minorHAnsi"/>
        </w:rPr>
      </w:pPr>
    </w:p>
    <w:p w14:paraId="2F34753F" w14:textId="1B196220" w:rsidR="007073A7" w:rsidRDefault="00991B8D" w:rsidP="00105095">
      <w:pPr>
        <w:pStyle w:val="Prrafodelista"/>
        <w:numPr>
          <w:ilvl w:val="0"/>
          <w:numId w:val="20"/>
        </w:numPr>
        <w:spacing w:after="0" w:line="240" w:lineRule="auto"/>
        <w:ind w:left="851"/>
        <w:jc w:val="both"/>
        <w:rPr>
          <w:rFonts w:ascii="ITC Avant Garde" w:hAnsi="ITC Avant Garde" w:cstheme="minorHAnsi"/>
        </w:rPr>
      </w:pPr>
      <w:r w:rsidRPr="007F16CE">
        <w:rPr>
          <w:rFonts w:ascii="ITC Avant Garde" w:hAnsi="ITC Avant Garde" w:cstheme="minorHAnsi"/>
          <w:b/>
        </w:rPr>
        <w:t>Zona industrial.</w:t>
      </w:r>
      <w:r w:rsidRPr="006F3CEC">
        <w:rPr>
          <w:rFonts w:ascii="ITC Avant Garde" w:hAnsi="ITC Avant Garde" w:cstheme="minorHAnsi"/>
        </w:rPr>
        <w:t xml:space="preserve"> Son superficies de terreno que han sido designadas y delimitadas oficialmente para uso industrial; por naturaleza es esencialmente reglamentaria con respecto al uso de la tierra, tipo de industria, densidad y otros requerimientos. Pueden estar ocupadas total o parcialmente por industrias existentes, tierra disponible, mejorada o no, y también, pueden tener viviendas y/o comercios, como: usos de suelo presente o permitido, primeros auxilios, servicios bancarios, correos, comunicaciones, etcétera.</w:t>
      </w:r>
    </w:p>
    <w:p w14:paraId="2E5C6BC9" w14:textId="77777777" w:rsidR="00105095" w:rsidRPr="00105095" w:rsidRDefault="00105095" w:rsidP="00105095">
      <w:pPr>
        <w:pStyle w:val="Prrafodelista"/>
        <w:spacing w:after="0" w:line="240" w:lineRule="auto"/>
        <w:rPr>
          <w:rFonts w:ascii="ITC Avant Garde" w:hAnsi="ITC Avant Garde" w:cstheme="minorHAnsi"/>
        </w:rPr>
      </w:pPr>
    </w:p>
    <w:p w14:paraId="0AC96BD1" w14:textId="224FE97C" w:rsidR="008927DC" w:rsidRPr="008927DC" w:rsidRDefault="00D10B34" w:rsidP="007F16CE">
      <w:pPr>
        <w:spacing w:after="0" w:line="240" w:lineRule="auto"/>
        <w:jc w:val="both"/>
        <w:rPr>
          <w:rFonts w:ascii="ITC Avant Garde" w:hAnsi="ITC Avant Garde"/>
          <w:sz w:val="20"/>
          <w:szCs w:val="20"/>
        </w:rPr>
      </w:pPr>
      <w:r w:rsidRPr="00D10B34">
        <w:rPr>
          <w:rFonts w:ascii="ITC Avant Garde" w:hAnsi="ITC Avant Garde" w:cstheme="minorHAnsi"/>
        </w:rPr>
        <w:t xml:space="preserve">Adicionalmente a los complejos industriales, los aeropuertos son zonas atractivas para el despliegue de redes </w:t>
      </w:r>
      <w:r w:rsidR="00EB7122" w:rsidRPr="00D10B34">
        <w:rPr>
          <w:rFonts w:ascii="ITC Avant Garde" w:hAnsi="ITC Avant Garde" w:cstheme="minorHAnsi"/>
        </w:rPr>
        <w:t>privadas.</w:t>
      </w:r>
      <w:r w:rsidR="00EB7122">
        <w:rPr>
          <w:rFonts w:ascii="ITC Avant Garde" w:hAnsi="ITC Avant Garde" w:cstheme="minorHAnsi"/>
        </w:rPr>
        <w:t xml:space="preserve"> En</w:t>
      </w:r>
      <w:r w:rsidR="008927DC">
        <w:rPr>
          <w:rFonts w:ascii="ITC Avant Garde" w:hAnsi="ITC Avant Garde" w:cstheme="minorHAnsi"/>
        </w:rPr>
        <w:t xml:space="preserve"> el siguiente enlace se pueden visualizar las zonas </w:t>
      </w:r>
      <w:r w:rsidR="008927DC">
        <w:rPr>
          <w:rFonts w:ascii="ITC Avant Garde" w:hAnsi="ITC Avant Garde" w:cstheme="minorHAnsi"/>
        </w:rPr>
        <w:lastRenderedPageBreak/>
        <w:t>identificadas para redes privadas</w:t>
      </w:r>
      <w:r w:rsidR="00315A8C">
        <w:rPr>
          <w:rFonts w:ascii="ITC Avant Garde" w:hAnsi="ITC Avant Garde" w:cstheme="minorHAnsi"/>
        </w:rPr>
        <w:t xml:space="preserve"> por parte del Instituto</w:t>
      </w:r>
      <w:r w:rsidR="008927DC">
        <w:rPr>
          <w:rFonts w:ascii="ITC Avant Garde" w:hAnsi="ITC Avant Garde" w:cstheme="minorHAnsi"/>
        </w:rPr>
        <w:t>:</w:t>
      </w:r>
      <w:r w:rsidR="00CC46DB">
        <w:rPr>
          <w:rFonts w:ascii="ITC Avant Garde" w:hAnsi="ITC Avant Garde" w:cstheme="minorHAnsi"/>
        </w:rPr>
        <w:t xml:space="preserve"> </w:t>
      </w:r>
      <w:hyperlink r:id="rId12" w:history="1">
        <w:r w:rsidR="00CC46DB" w:rsidRPr="00F30347">
          <w:rPr>
            <w:rStyle w:val="Hipervnculo"/>
            <w:rFonts w:ascii="ITC Avant Garde" w:hAnsi="ITC Avant Garde"/>
            <w:sz w:val="20"/>
            <w:szCs w:val="20"/>
          </w:rPr>
          <w:t xml:space="preserve">https://felt.com/map/Zonas-para-redes-privadas-J9B67xJcGTmW2jpTE9ALrPbD?loc=24.664,-101.966,5.49z&amp;share=1 </w:t>
        </w:r>
      </w:hyperlink>
    </w:p>
    <w:p w14:paraId="540A5F3A" w14:textId="77777777" w:rsidR="008927DC" w:rsidRDefault="008927DC" w:rsidP="007F16CE">
      <w:pPr>
        <w:spacing w:after="0" w:line="240" w:lineRule="auto"/>
        <w:jc w:val="both"/>
        <w:rPr>
          <w:rFonts w:ascii="ITC Avant Garde" w:hAnsi="ITC Avant Garde" w:cstheme="minorHAnsi"/>
        </w:rPr>
      </w:pPr>
    </w:p>
    <w:p w14:paraId="1938B6FB" w14:textId="33B7A86D" w:rsidR="00C758E5" w:rsidRDefault="00C758E5" w:rsidP="007F16CE">
      <w:pPr>
        <w:spacing w:after="0" w:line="240" w:lineRule="auto"/>
        <w:jc w:val="both"/>
        <w:rPr>
          <w:rFonts w:ascii="ITC Avant Garde" w:hAnsi="ITC Avant Garde" w:cstheme="minorHAnsi"/>
        </w:rPr>
      </w:pPr>
      <w:r w:rsidDel="008927DC">
        <w:rPr>
          <w:rFonts w:ascii="ITC Avant Garde" w:hAnsi="ITC Avant Garde" w:cstheme="minorHAnsi"/>
        </w:rPr>
        <w:t>E</w:t>
      </w:r>
      <w:r>
        <w:rPr>
          <w:rFonts w:ascii="ITC Avant Garde" w:hAnsi="ITC Avant Garde" w:cstheme="minorHAnsi"/>
        </w:rPr>
        <w:t xml:space="preserve">n el Anexo 1 se describe a detalle la </w:t>
      </w:r>
      <w:r w:rsidR="00F51E57">
        <w:rPr>
          <w:rFonts w:ascii="ITC Avant Garde" w:hAnsi="ITC Avant Garde" w:cstheme="minorHAnsi"/>
        </w:rPr>
        <w:t xml:space="preserve">metodología implementada </w:t>
      </w:r>
      <w:r>
        <w:rPr>
          <w:rFonts w:ascii="ITC Avant Garde" w:hAnsi="ITC Avant Garde" w:cstheme="minorHAnsi"/>
        </w:rPr>
        <w:t>para la determinación de las zonas geográficas para la asignación de espectro para este tipo de concesiones.</w:t>
      </w:r>
    </w:p>
    <w:p w14:paraId="354BEA0A" w14:textId="4D5D5DB6" w:rsidR="00A42457" w:rsidRDefault="00A42457" w:rsidP="00D25CD5">
      <w:pPr>
        <w:spacing w:after="0" w:line="240" w:lineRule="auto"/>
        <w:rPr>
          <w:rFonts w:ascii="ITC Avant Garde" w:hAnsi="ITC Avant Garde"/>
        </w:rPr>
      </w:pPr>
    </w:p>
    <w:p w14:paraId="6F8E0F2E" w14:textId="142BAB6E" w:rsidR="001D78B6" w:rsidRPr="001D78B6" w:rsidRDefault="001D78B6" w:rsidP="001D78B6">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1D78B6">
        <w:rPr>
          <w:rFonts w:ascii="ITC Avant Garde" w:eastAsia="Times New Roman" w:hAnsi="ITC Avant Garde" w:cs="Arial"/>
          <w:b/>
          <w:color w:val="939F27"/>
          <w:sz w:val="26"/>
          <w:szCs w:val="26"/>
        </w:rPr>
        <w:t>Licitaciones de Espectro Radioeléctrico</w:t>
      </w:r>
    </w:p>
    <w:p w14:paraId="0BFB937C" w14:textId="77777777" w:rsidR="001D78B6" w:rsidRPr="006F3CEC" w:rsidRDefault="001D78B6" w:rsidP="00D25CD5">
      <w:pPr>
        <w:spacing w:after="0" w:line="240" w:lineRule="auto"/>
        <w:rPr>
          <w:rFonts w:ascii="ITC Avant Garde" w:hAnsi="ITC Avant Garde"/>
        </w:rPr>
      </w:pPr>
    </w:p>
    <w:p w14:paraId="1190001F" w14:textId="1D1FAE9E" w:rsidR="00AF1F12" w:rsidRDefault="00AF1F12" w:rsidP="003E7773">
      <w:pPr>
        <w:pStyle w:val="Prrafodelista"/>
        <w:numPr>
          <w:ilvl w:val="1"/>
          <w:numId w:val="27"/>
        </w:numPr>
        <w:spacing w:after="0" w:line="240" w:lineRule="auto"/>
        <w:rPr>
          <w:rFonts w:ascii="ITC Avant Garde" w:hAnsi="ITC Avant Garde"/>
          <w:b/>
        </w:rPr>
      </w:pPr>
      <w:r w:rsidRPr="00AF1F12">
        <w:rPr>
          <w:rFonts w:ascii="ITC Avant Garde" w:hAnsi="ITC Avant Garde"/>
          <w:b/>
        </w:rPr>
        <w:t>Objetivo</w:t>
      </w:r>
      <w:r w:rsidR="000302ED" w:rsidRPr="00AF1F12">
        <w:rPr>
          <w:rFonts w:ascii="ITC Avant Garde" w:hAnsi="ITC Avant Garde"/>
          <w:b/>
        </w:rPr>
        <w:t xml:space="preserve"> </w:t>
      </w:r>
    </w:p>
    <w:p w14:paraId="637AB285" w14:textId="77777777" w:rsidR="00AF1F12" w:rsidRPr="00AF1F12" w:rsidRDefault="00AF1F12" w:rsidP="00AF1F12">
      <w:pPr>
        <w:pStyle w:val="Prrafodelista"/>
        <w:spacing w:after="0" w:line="240" w:lineRule="auto"/>
        <w:rPr>
          <w:rFonts w:ascii="ITC Avant Garde" w:hAnsi="ITC Avant Garde"/>
          <w:b/>
        </w:rPr>
      </w:pPr>
    </w:p>
    <w:p w14:paraId="218E88C7" w14:textId="5C666502" w:rsidR="00AF1F12" w:rsidRDefault="00AF1F12" w:rsidP="00AF1F12">
      <w:pPr>
        <w:spacing w:after="0" w:line="240" w:lineRule="auto"/>
        <w:jc w:val="both"/>
        <w:rPr>
          <w:rFonts w:ascii="ITC Avant Garde" w:hAnsi="ITC Avant Garde"/>
        </w:rPr>
      </w:pPr>
      <w:r w:rsidRPr="006F3CEC">
        <w:rPr>
          <w:rFonts w:ascii="ITC Avant Garde" w:hAnsi="ITC Avant Garde"/>
        </w:rPr>
        <w:t>Desarrollar esquema</w:t>
      </w:r>
      <w:r w:rsidR="00EE3F45">
        <w:rPr>
          <w:rFonts w:ascii="ITC Avant Garde" w:hAnsi="ITC Avant Garde"/>
        </w:rPr>
        <w:t>s</w:t>
      </w:r>
      <w:r w:rsidRPr="006F3CEC">
        <w:rPr>
          <w:rFonts w:ascii="ITC Avant Garde" w:hAnsi="ITC Avant Garde"/>
        </w:rPr>
        <w:t xml:space="preserve"> de licitación que </w:t>
      </w:r>
      <w:r w:rsidR="00EE3F45">
        <w:rPr>
          <w:rFonts w:ascii="ITC Avant Garde" w:hAnsi="ITC Avant Garde"/>
        </w:rPr>
        <w:t xml:space="preserve">pongan a disposición el espectro radioeléctrico para atender </w:t>
      </w:r>
      <w:r w:rsidRPr="006F3CEC">
        <w:rPr>
          <w:rFonts w:ascii="ITC Avant Garde" w:hAnsi="ITC Avant Garde"/>
        </w:rPr>
        <w:t>la</w:t>
      </w:r>
      <w:r w:rsidR="00EE3F45">
        <w:rPr>
          <w:rFonts w:ascii="ITC Avant Garde" w:hAnsi="ITC Avant Garde"/>
        </w:rPr>
        <w:t>s</w:t>
      </w:r>
      <w:r w:rsidRPr="006F3CEC">
        <w:rPr>
          <w:rFonts w:ascii="ITC Avant Garde" w:hAnsi="ITC Avant Garde"/>
        </w:rPr>
        <w:t xml:space="preserve"> </w:t>
      </w:r>
      <w:r w:rsidR="00EE3F45">
        <w:rPr>
          <w:rFonts w:ascii="ITC Avant Garde" w:hAnsi="ITC Avant Garde"/>
        </w:rPr>
        <w:t>necesidades del mercado en redes privadas, ya sea mediante el otorgamiento</w:t>
      </w:r>
      <w:r w:rsidR="00EE3F45" w:rsidRPr="006F3CEC">
        <w:rPr>
          <w:rFonts w:ascii="ITC Avant Garde" w:hAnsi="ITC Avant Garde"/>
        </w:rPr>
        <w:t xml:space="preserve"> </w:t>
      </w:r>
      <w:r w:rsidRPr="006F3CEC">
        <w:rPr>
          <w:rFonts w:ascii="ITC Avant Garde" w:hAnsi="ITC Avant Garde"/>
        </w:rPr>
        <w:t xml:space="preserve">de concesiones de uso privado </w:t>
      </w:r>
      <w:r w:rsidR="00EE3F45">
        <w:rPr>
          <w:rFonts w:ascii="ITC Avant Garde" w:hAnsi="ITC Avant Garde"/>
        </w:rPr>
        <w:t>o comercial</w:t>
      </w:r>
      <w:r w:rsidRPr="006F3CEC">
        <w:rPr>
          <w:rFonts w:ascii="ITC Avant Garde" w:hAnsi="ITC Avant Garde"/>
        </w:rPr>
        <w:t xml:space="preserve">, </w:t>
      </w:r>
      <w:r w:rsidR="00EE3F45">
        <w:rPr>
          <w:rFonts w:ascii="ITC Avant Garde" w:hAnsi="ITC Avant Garde"/>
        </w:rPr>
        <w:t>mediante</w:t>
      </w:r>
      <w:r w:rsidRPr="006F3CEC">
        <w:rPr>
          <w:rFonts w:ascii="ITC Avant Garde" w:hAnsi="ITC Avant Garde"/>
        </w:rPr>
        <w:t xml:space="preserve"> un marco reglamentario más ágil y flexible. </w:t>
      </w:r>
    </w:p>
    <w:p w14:paraId="7421EEAA" w14:textId="77777777" w:rsidR="00AF1F12" w:rsidRPr="006F3CEC" w:rsidRDefault="00AF1F12" w:rsidP="00AF1F12">
      <w:pPr>
        <w:spacing w:after="0" w:line="240" w:lineRule="auto"/>
        <w:jc w:val="both"/>
        <w:rPr>
          <w:rFonts w:ascii="ITC Avant Garde" w:hAnsi="ITC Avant Garde"/>
        </w:rPr>
      </w:pPr>
    </w:p>
    <w:p w14:paraId="54CDEEAF" w14:textId="77777777" w:rsidR="00AF1F12" w:rsidRDefault="00AF1F12" w:rsidP="00AF1F12">
      <w:pPr>
        <w:spacing w:after="0" w:line="240" w:lineRule="auto"/>
        <w:jc w:val="both"/>
        <w:rPr>
          <w:rFonts w:ascii="ITC Avant Garde" w:hAnsi="ITC Avant Garde"/>
        </w:rPr>
      </w:pPr>
      <w:r w:rsidRPr="006F3CEC">
        <w:rPr>
          <w:rFonts w:ascii="ITC Avant Garde" w:hAnsi="ITC Avant Garde"/>
        </w:rPr>
        <w:t xml:space="preserve">Actualmente, el artículo 28, párrafo décimo octavo de la Constitución Política de los Estados Unidos Mexicanos prevé que las concesiones del espectro radioeléctrico serán otorgadas mediante licitación pública,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 </w:t>
      </w:r>
    </w:p>
    <w:p w14:paraId="7B4AA462" w14:textId="77777777" w:rsidR="00AF1F12" w:rsidRPr="006F3CEC" w:rsidRDefault="00AF1F12" w:rsidP="00AF1F12">
      <w:pPr>
        <w:spacing w:after="0" w:line="240" w:lineRule="auto"/>
        <w:jc w:val="both"/>
        <w:rPr>
          <w:rFonts w:ascii="ITC Avant Garde" w:hAnsi="ITC Avant Garde"/>
        </w:rPr>
      </w:pPr>
    </w:p>
    <w:p w14:paraId="79914A9F" w14:textId="77777777" w:rsidR="00AF1F12" w:rsidRPr="006F3CEC" w:rsidRDefault="00AF1F12" w:rsidP="00AF1F12">
      <w:pPr>
        <w:spacing w:after="0" w:line="240" w:lineRule="auto"/>
        <w:jc w:val="both"/>
        <w:rPr>
          <w:rFonts w:ascii="ITC Avant Garde" w:hAnsi="ITC Avant Garde"/>
        </w:rPr>
      </w:pPr>
      <w:r w:rsidRPr="006F3CEC">
        <w:rPr>
          <w:rFonts w:ascii="ITC Avant Garde" w:hAnsi="ITC Avant Garde"/>
        </w:rPr>
        <w:t xml:space="preserve">En este sentido, el Instituto tiene la </w:t>
      </w:r>
      <w:r w:rsidRPr="006F3CEC">
        <w:rPr>
          <w:rFonts w:ascii="ITC Avant Garde" w:hAnsi="ITC Avant Garde" w:cs="Calibri"/>
          <w:color w:val="212529"/>
          <w:shd w:val="clear" w:color="auto" w:fill="FFFFFF"/>
        </w:rPr>
        <w:t xml:space="preserve">facultad de emitir todos aquellos pronunciamientos y explorar alternativas para desarrollar </w:t>
      </w:r>
      <w:r>
        <w:rPr>
          <w:rFonts w:ascii="ITC Avant Garde" w:hAnsi="ITC Avant Garde" w:cs="Calibri"/>
          <w:color w:val="212529"/>
          <w:shd w:val="clear" w:color="auto" w:fill="FFFFFF"/>
        </w:rPr>
        <w:t>l</w:t>
      </w:r>
      <w:r w:rsidRPr="006F3CEC">
        <w:rPr>
          <w:rFonts w:ascii="ITC Avant Garde" w:hAnsi="ITC Avant Garde" w:cs="Calibri"/>
          <w:color w:val="212529"/>
          <w:shd w:val="clear" w:color="auto" w:fill="FFFFFF"/>
        </w:rPr>
        <w:t>os procedimientos de licitación pública, acordes a los mandatos constitucionales y legales tendentes al cumplimiento del objetivo.</w:t>
      </w:r>
    </w:p>
    <w:p w14:paraId="57170467" w14:textId="77777777" w:rsidR="00AF1F12" w:rsidRDefault="00AF1F12" w:rsidP="00AF1F12">
      <w:pPr>
        <w:pStyle w:val="Prrafodelista"/>
        <w:spacing w:after="0" w:line="240" w:lineRule="auto"/>
        <w:ind w:left="0"/>
        <w:rPr>
          <w:rFonts w:ascii="ITC Avant Garde" w:hAnsi="ITC Avant Garde"/>
          <w:b/>
        </w:rPr>
      </w:pPr>
    </w:p>
    <w:p w14:paraId="179E6970" w14:textId="78E98A85" w:rsidR="005E6E43" w:rsidRDefault="00AF1F12" w:rsidP="001D78B6">
      <w:pPr>
        <w:pStyle w:val="Prrafodelista"/>
        <w:numPr>
          <w:ilvl w:val="1"/>
          <w:numId w:val="27"/>
        </w:numPr>
        <w:spacing w:after="0" w:line="240" w:lineRule="auto"/>
        <w:rPr>
          <w:rFonts w:ascii="ITC Avant Garde" w:hAnsi="ITC Avant Garde"/>
          <w:b/>
        </w:rPr>
      </w:pPr>
      <w:r>
        <w:rPr>
          <w:rFonts w:ascii="ITC Avant Garde" w:hAnsi="ITC Avant Garde"/>
          <w:b/>
        </w:rPr>
        <w:t>Esquema general de la licitación para uso privado</w:t>
      </w:r>
    </w:p>
    <w:p w14:paraId="32740295" w14:textId="2793E81F" w:rsidR="00AF1F12" w:rsidRDefault="00AF1F12" w:rsidP="00AF1F12">
      <w:pPr>
        <w:pStyle w:val="Prrafodelista"/>
        <w:spacing w:after="0" w:line="240" w:lineRule="auto"/>
        <w:rPr>
          <w:rFonts w:ascii="ITC Avant Garde" w:hAnsi="ITC Avant Garde"/>
          <w:b/>
        </w:rPr>
      </w:pPr>
    </w:p>
    <w:p w14:paraId="2FDC735D" w14:textId="0F190645" w:rsidR="00AF1F12" w:rsidRDefault="00AF1F12" w:rsidP="00AF1F12">
      <w:pPr>
        <w:spacing w:after="0" w:line="240" w:lineRule="auto"/>
        <w:jc w:val="both"/>
        <w:rPr>
          <w:rFonts w:ascii="ITC Avant Garde" w:hAnsi="ITC Avant Garde"/>
        </w:rPr>
      </w:pPr>
      <w:r w:rsidRPr="006F3CEC">
        <w:rPr>
          <w:rFonts w:ascii="ITC Avant Garde" w:hAnsi="ITC Avant Garde"/>
        </w:rPr>
        <w:t xml:space="preserve">En el caso de concesiones de </w:t>
      </w:r>
      <w:r w:rsidR="000E1634" w:rsidRPr="006F3CEC">
        <w:rPr>
          <w:rFonts w:ascii="ITC Avant Garde" w:hAnsi="ITC Avant Garde"/>
        </w:rPr>
        <w:t>uso privado</w:t>
      </w:r>
      <w:r w:rsidRPr="006F3CEC">
        <w:rPr>
          <w:rFonts w:ascii="ITC Avant Garde" w:hAnsi="ITC Avant Garde"/>
        </w:rPr>
        <w:t xml:space="preserve">, con la finalidad de contar con un </w:t>
      </w:r>
      <w:r w:rsidR="000E6643">
        <w:rPr>
          <w:rFonts w:ascii="ITC Avant Garde" w:hAnsi="ITC Avant Garde"/>
        </w:rPr>
        <w:t>mecanismo</w:t>
      </w:r>
      <w:r w:rsidR="000E6643" w:rsidRPr="006F3CEC">
        <w:rPr>
          <w:rFonts w:ascii="ITC Avant Garde" w:hAnsi="ITC Avant Garde"/>
        </w:rPr>
        <w:t xml:space="preserve"> </w:t>
      </w:r>
      <w:r w:rsidRPr="006F3CEC">
        <w:rPr>
          <w:rFonts w:ascii="ITC Avant Garde" w:hAnsi="ITC Avant Garde"/>
        </w:rPr>
        <w:t xml:space="preserve">de asignación ágil y </w:t>
      </w:r>
      <w:r w:rsidR="00EE3F45" w:rsidRPr="004824C5">
        <w:rPr>
          <w:rFonts w:ascii="ITC Avant Garde" w:hAnsi="ITC Avant Garde"/>
        </w:rPr>
        <w:t>dinámico</w:t>
      </w:r>
      <w:r w:rsidR="00422833" w:rsidRPr="004824C5">
        <w:rPr>
          <w:rFonts w:ascii="ITC Avant Garde" w:hAnsi="ITC Avant Garde"/>
        </w:rPr>
        <w:t>,</w:t>
      </w:r>
      <w:r w:rsidR="00EE3F45" w:rsidRPr="004824C5">
        <w:rPr>
          <w:rFonts w:ascii="ITC Avant Garde" w:hAnsi="ITC Avant Garde"/>
        </w:rPr>
        <w:t xml:space="preserve"> que atienda</w:t>
      </w:r>
      <w:r w:rsidRPr="004824C5">
        <w:rPr>
          <w:rFonts w:ascii="ITC Avant Garde" w:hAnsi="ITC Avant Garde"/>
        </w:rPr>
        <w:t xml:space="preserve"> las </w:t>
      </w:r>
      <w:r w:rsidR="00EE3F45" w:rsidRPr="004824C5">
        <w:rPr>
          <w:rFonts w:ascii="ITC Avant Garde" w:hAnsi="ITC Avant Garde"/>
        </w:rPr>
        <w:t>necesidades del mercado</w:t>
      </w:r>
      <w:r w:rsidR="00422833" w:rsidRPr="004824C5">
        <w:rPr>
          <w:rFonts w:ascii="ITC Avant Garde" w:hAnsi="ITC Avant Garde"/>
        </w:rPr>
        <w:t>,</w:t>
      </w:r>
      <w:r w:rsidRPr="004824C5">
        <w:rPr>
          <w:rFonts w:ascii="ITC Avant Garde" w:hAnsi="ITC Avant Garde"/>
        </w:rPr>
        <w:t xml:space="preserve"> se plantea</w:t>
      </w:r>
      <w:r w:rsidRPr="006F3CEC">
        <w:rPr>
          <w:rFonts w:ascii="ITC Avant Garde" w:hAnsi="ITC Avant Garde"/>
        </w:rPr>
        <w:t xml:space="preserve"> analizar la viabilidad de contar </w:t>
      </w:r>
      <w:r w:rsidR="00555D42">
        <w:rPr>
          <w:rFonts w:ascii="ITC Avant Garde" w:hAnsi="ITC Avant Garde"/>
        </w:rPr>
        <w:t xml:space="preserve">con </w:t>
      </w:r>
      <w:r>
        <w:rPr>
          <w:rFonts w:ascii="ITC Avant Garde" w:hAnsi="ITC Avant Garde"/>
        </w:rPr>
        <w:t xml:space="preserve">nuevos esquemas de </w:t>
      </w:r>
      <w:r w:rsidR="00CF24EA">
        <w:rPr>
          <w:rFonts w:ascii="ITC Avant Garde" w:hAnsi="ITC Avant Garde"/>
        </w:rPr>
        <w:t>licitación</w:t>
      </w:r>
      <w:r>
        <w:rPr>
          <w:rFonts w:ascii="ITC Avant Garde" w:hAnsi="ITC Avant Garde"/>
        </w:rPr>
        <w:t xml:space="preserve"> que reduzcan los tiempos administrativos, los trámites y costos asociados, y las barreras a la entrada</w:t>
      </w:r>
      <w:r w:rsidR="00CF24EA">
        <w:rPr>
          <w:rFonts w:ascii="ITC Avant Garde" w:hAnsi="ITC Avant Garde"/>
        </w:rPr>
        <w:t>,</w:t>
      </w:r>
      <w:r>
        <w:rPr>
          <w:rFonts w:ascii="ITC Avant Garde" w:hAnsi="ITC Avant Garde"/>
        </w:rPr>
        <w:t xml:space="preserve"> utilizando las tecnologías de información y comunicación. </w:t>
      </w:r>
    </w:p>
    <w:p w14:paraId="37427F51" w14:textId="77777777" w:rsidR="00AF1F12" w:rsidRDefault="00AF1F12" w:rsidP="00AF1F12">
      <w:pPr>
        <w:spacing w:after="0" w:line="240" w:lineRule="auto"/>
        <w:jc w:val="both"/>
        <w:rPr>
          <w:rFonts w:ascii="ITC Avant Garde" w:hAnsi="ITC Avant Garde"/>
        </w:rPr>
      </w:pPr>
    </w:p>
    <w:p w14:paraId="0D1B19AD" w14:textId="72394262" w:rsidR="00AF1F12" w:rsidRPr="006F3CEC" w:rsidRDefault="00AF1F12" w:rsidP="00AF1F12">
      <w:pPr>
        <w:spacing w:after="0" w:line="240" w:lineRule="auto"/>
        <w:jc w:val="both"/>
        <w:rPr>
          <w:rFonts w:ascii="ITC Avant Garde" w:hAnsi="ITC Avant Garde"/>
        </w:rPr>
      </w:pPr>
      <w:r>
        <w:rPr>
          <w:rFonts w:ascii="ITC Avant Garde" w:hAnsi="ITC Avant Garde"/>
        </w:rPr>
        <w:t xml:space="preserve">Entre las propuestas a analizar se encuentra el establecer </w:t>
      </w:r>
      <w:r w:rsidRPr="006F3CEC">
        <w:rPr>
          <w:rFonts w:ascii="ITC Avant Garde" w:hAnsi="ITC Avant Garde"/>
        </w:rPr>
        <w:t xml:space="preserve">una convocatoria permanente en la cual se </w:t>
      </w:r>
      <w:r>
        <w:rPr>
          <w:rFonts w:ascii="ITC Avant Garde" w:hAnsi="ITC Avant Garde"/>
        </w:rPr>
        <w:t xml:space="preserve">realice una </w:t>
      </w:r>
      <w:r w:rsidR="00CF24EA">
        <w:rPr>
          <w:rFonts w:ascii="ITC Avant Garde" w:hAnsi="ITC Avant Garde"/>
        </w:rPr>
        <w:t xml:space="preserve">previa y </w:t>
      </w:r>
      <w:r>
        <w:rPr>
          <w:rFonts w:ascii="ITC Avant Garde" w:hAnsi="ITC Avant Garde"/>
        </w:rPr>
        <w:t xml:space="preserve">única </w:t>
      </w:r>
      <w:r w:rsidRPr="006F3CEC">
        <w:rPr>
          <w:rFonts w:ascii="ITC Avant Garde" w:hAnsi="ITC Avant Garde"/>
        </w:rPr>
        <w:t>acreditación</w:t>
      </w:r>
      <w:r>
        <w:rPr>
          <w:rFonts w:ascii="ITC Avant Garde" w:hAnsi="ITC Avant Garde"/>
        </w:rPr>
        <w:t xml:space="preserve"> </w:t>
      </w:r>
      <w:r w:rsidRPr="006F3CEC">
        <w:rPr>
          <w:rFonts w:ascii="ITC Avant Garde" w:hAnsi="ITC Avant Garde"/>
        </w:rPr>
        <w:t>de la personalidad y cumplimiento de los requisitos para obtener los títulos de concesión correspondiente</w:t>
      </w:r>
      <w:r>
        <w:rPr>
          <w:rFonts w:ascii="ITC Avant Garde" w:hAnsi="ITC Avant Garde"/>
        </w:rPr>
        <w:t>s</w:t>
      </w:r>
      <w:r w:rsidRPr="006F3CEC">
        <w:rPr>
          <w:rFonts w:ascii="ITC Avant Garde" w:hAnsi="ITC Avant Garde"/>
        </w:rPr>
        <w:t>, lo que permitiría participar en una o m</w:t>
      </w:r>
      <w:r>
        <w:rPr>
          <w:rFonts w:ascii="ITC Avant Garde" w:hAnsi="ITC Avant Garde"/>
        </w:rPr>
        <w:t>á</w:t>
      </w:r>
      <w:r w:rsidRPr="006F3CEC">
        <w:rPr>
          <w:rFonts w:ascii="ITC Avant Garde" w:hAnsi="ITC Avant Garde"/>
        </w:rPr>
        <w:t xml:space="preserve">s </w:t>
      </w:r>
      <w:r>
        <w:rPr>
          <w:rFonts w:ascii="ITC Avant Garde" w:hAnsi="ITC Avant Garde"/>
        </w:rPr>
        <w:t xml:space="preserve">licitaciones de espectro con un solo trámite administrativo y </w:t>
      </w:r>
      <w:r w:rsidR="00CF24EA">
        <w:rPr>
          <w:rFonts w:ascii="ITC Avant Garde" w:hAnsi="ITC Avant Garde"/>
        </w:rPr>
        <w:t>reduciría</w:t>
      </w:r>
      <w:r>
        <w:rPr>
          <w:rFonts w:ascii="ITC Avant Garde" w:hAnsi="ITC Avant Garde"/>
        </w:rPr>
        <w:t xml:space="preserve"> los tiempos de asignación. </w:t>
      </w:r>
    </w:p>
    <w:p w14:paraId="530024C0" w14:textId="77777777" w:rsidR="00AF1F12" w:rsidRPr="00AF1F12" w:rsidRDefault="00AF1F12" w:rsidP="00AF1F12">
      <w:pPr>
        <w:spacing w:after="0" w:line="240" w:lineRule="auto"/>
        <w:rPr>
          <w:rFonts w:ascii="ITC Avant Garde" w:hAnsi="ITC Avant Garde"/>
          <w:b/>
        </w:rPr>
      </w:pPr>
    </w:p>
    <w:p w14:paraId="7DE25146" w14:textId="77777777" w:rsidR="00AF1F12" w:rsidRPr="00AF1F12" w:rsidRDefault="00AF1F12" w:rsidP="00CC46DB">
      <w:pPr>
        <w:pStyle w:val="Prrafodelista"/>
        <w:numPr>
          <w:ilvl w:val="1"/>
          <w:numId w:val="27"/>
        </w:numPr>
        <w:jc w:val="both"/>
        <w:rPr>
          <w:rFonts w:ascii="ITC Avant Garde" w:hAnsi="ITC Avant Garde"/>
          <w:b/>
        </w:rPr>
      </w:pPr>
      <w:r w:rsidRPr="00AF1F12">
        <w:rPr>
          <w:rFonts w:ascii="ITC Avant Garde" w:hAnsi="ITC Avant Garde"/>
          <w:b/>
        </w:rPr>
        <w:t>Esquema general de la licitación de servicios de radiocomunicación especializada para redes privadas (para uso comercial)</w:t>
      </w:r>
    </w:p>
    <w:p w14:paraId="437AFD64" w14:textId="13DF89AB" w:rsidR="005E6E43" w:rsidRDefault="005E6E43" w:rsidP="00F679D5">
      <w:pPr>
        <w:pStyle w:val="Prrafodelista"/>
        <w:spacing w:after="0" w:line="240" w:lineRule="auto"/>
        <w:ind w:left="426"/>
        <w:rPr>
          <w:rFonts w:ascii="ITC Avant Garde" w:hAnsi="ITC Avant Garde"/>
          <w:b/>
        </w:rPr>
      </w:pPr>
    </w:p>
    <w:p w14:paraId="040F14E0" w14:textId="12367E15" w:rsidR="00F679D5" w:rsidRDefault="00F679D5" w:rsidP="00F679D5">
      <w:pPr>
        <w:spacing w:after="0" w:line="240" w:lineRule="auto"/>
        <w:jc w:val="both"/>
        <w:rPr>
          <w:rFonts w:ascii="ITC Avant Garde" w:hAnsi="ITC Avant Garde"/>
        </w:rPr>
      </w:pPr>
      <w:r w:rsidRPr="006F3CEC">
        <w:rPr>
          <w:rFonts w:ascii="ITC Avant Garde" w:hAnsi="ITC Avant Garde"/>
        </w:rPr>
        <w:t xml:space="preserve">En el caso de asignación de bandas de frecuencias destinadas a redes privadas </w:t>
      </w:r>
      <w:r w:rsidR="00EE3F45">
        <w:rPr>
          <w:rFonts w:ascii="ITC Avant Garde" w:hAnsi="ITC Avant Garde"/>
        </w:rPr>
        <w:t>para</w:t>
      </w:r>
      <w:r w:rsidRPr="006F3CEC">
        <w:rPr>
          <w:rFonts w:ascii="ITC Avant Garde" w:hAnsi="ITC Avant Garde"/>
        </w:rPr>
        <w:t xml:space="preserve"> uso comercial, se prevé desarrollar licitaciones siguiendo el esquema tradicional de licitación pública que se ha utilizado para la asignación de espectro radioeléctrico</w:t>
      </w:r>
      <w:r w:rsidR="00AF1F12">
        <w:rPr>
          <w:rFonts w:ascii="ITC Avant Garde" w:hAnsi="ITC Avant Garde"/>
        </w:rPr>
        <w:t>.</w:t>
      </w:r>
      <w:r w:rsidRPr="006F3CEC">
        <w:rPr>
          <w:rFonts w:ascii="ITC Avant Garde" w:hAnsi="ITC Avant Garde"/>
        </w:rPr>
        <w:t xml:space="preserve"> </w:t>
      </w:r>
      <w:r w:rsidR="00AF1F12">
        <w:rPr>
          <w:rFonts w:ascii="ITC Avant Garde" w:hAnsi="ITC Avant Garde"/>
        </w:rPr>
        <w:t xml:space="preserve">Sin embargo, se prevé </w:t>
      </w:r>
      <w:r w:rsidR="000E1634">
        <w:rPr>
          <w:rFonts w:ascii="ITC Avant Garde" w:hAnsi="ITC Avant Garde"/>
        </w:rPr>
        <w:t>actualizar</w:t>
      </w:r>
      <w:r w:rsidR="00AF1F12">
        <w:rPr>
          <w:rFonts w:ascii="ITC Avant Garde" w:hAnsi="ITC Avant Garde"/>
        </w:rPr>
        <w:t xml:space="preserve"> los procesos </w:t>
      </w:r>
      <w:r w:rsidR="007C1A69">
        <w:rPr>
          <w:rFonts w:ascii="ITC Avant Garde" w:hAnsi="ITC Avant Garde"/>
        </w:rPr>
        <w:t>y</w:t>
      </w:r>
      <w:r w:rsidR="00AF1F12">
        <w:rPr>
          <w:rFonts w:ascii="ITC Avant Garde" w:hAnsi="ITC Avant Garde"/>
        </w:rPr>
        <w:t xml:space="preserve"> los</w:t>
      </w:r>
      <w:r w:rsidRPr="006F3CEC">
        <w:rPr>
          <w:rFonts w:ascii="ITC Avant Garde" w:hAnsi="ITC Avant Garde"/>
        </w:rPr>
        <w:t xml:space="preserve"> </w:t>
      </w:r>
      <w:r w:rsidR="00AF1F12">
        <w:rPr>
          <w:rFonts w:ascii="ITC Avant Garde" w:hAnsi="ITC Avant Garde"/>
        </w:rPr>
        <w:t xml:space="preserve">tiempos </w:t>
      </w:r>
      <w:r w:rsidR="00AF1F12" w:rsidRPr="006F3CEC">
        <w:rPr>
          <w:rFonts w:ascii="ITC Avant Garde" w:hAnsi="ITC Avant Garde"/>
        </w:rPr>
        <w:t xml:space="preserve">de </w:t>
      </w:r>
      <w:r w:rsidR="007C1A69">
        <w:rPr>
          <w:rFonts w:ascii="ITC Avant Garde" w:hAnsi="ITC Avant Garde"/>
        </w:rPr>
        <w:t>respuesta</w:t>
      </w:r>
      <w:r w:rsidRPr="006F3CEC">
        <w:rPr>
          <w:rFonts w:ascii="ITC Avant Garde" w:hAnsi="ITC Avant Garde"/>
        </w:rPr>
        <w:t xml:space="preserve">, priorizando el uso de sistemas electrónicos de gestión que faciliten la participación, así como </w:t>
      </w:r>
      <w:r w:rsidR="000E1634">
        <w:rPr>
          <w:rFonts w:ascii="ITC Avant Garde" w:hAnsi="ITC Avant Garde"/>
        </w:rPr>
        <w:t>incorporar</w:t>
      </w:r>
      <w:r w:rsidRPr="006F3CEC">
        <w:rPr>
          <w:rFonts w:ascii="ITC Avant Garde" w:hAnsi="ITC Avant Garde"/>
        </w:rPr>
        <w:t xml:space="preserve"> mecanismos de análisis, opinión y dictámenes en materia de competencia económica simplificados</w:t>
      </w:r>
      <w:r>
        <w:rPr>
          <w:rFonts w:ascii="ITC Avant Garde" w:hAnsi="ITC Avant Garde"/>
        </w:rPr>
        <w:t>. Todo ello, en lo posible</w:t>
      </w:r>
      <w:r w:rsidRPr="006F3CEC">
        <w:rPr>
          <w:rFonts w:ascii="ITC Avant Garde" w:hAnsi="ITC Avant Garde"/>
        </w:rPr>
        <w:t xml:space="preserve"> y sujeto al cumplimiento del marco legal</w:t>
      </w:r>
      <w:r>
        <w:rPr>
          <w:rFonts w:ascii="ITC Avant Garde" w:hAnsi="ITC Avant Garde"/>
        </w:rPr>
        <w:t>.</w:t>
      </w:r>
    </w:p>
    <w:p w14:paraId="6D332257" w14:textId="49796B62" w:rsidR="00AF1F12" w:rsidRDefault="00AF1F12" w:rsidP="00F679D5">
      <w:pPr>
        <w:spacing w:after="0" w:line="240" w:lineRule="auto"/>
        <w:jc w:val="both"/>
        <w:rPr>
          <w:rFonts w:ascii="ITC Avant Garde" w:hAnsi="ITC Avant Garde"/>
        </w:rPr>
      </w:pPr>
    </w:p>
    <w:p w14:paraId="52195A5A" w14:textId="4EFC57F4" w:rsidR="00AF1F12" w:rsidRPr="00F679D5" w:rsidRDefault="00AF1F12" w:rsidP="00F679D5">
      <w:pPr>
        <w:spacing w:after="0" w:line="240" w:lineRule="auto"/>
        <w:jc w:val="both"/>
        <w:rPr>
          <w:rFonts w:ascii="ITC Avant Garde" w:hAnsi="ITC Avant Garde"/>
        </w:rPr>
      </w:pPr>
      <w:r>
        <w:rPr>
          <w:rFonts w:ascii="ITC Avant Garde" w:hAnsi="ITC Avant Garde"/>
        </w:rPr>
        <w:t xml:space="preserve">Asimismo, se prevé evaluar la conveniencia de incorporar </w:t>
      </w:r>
      <w:r w:rsidR="00555D42">
        <w:rPr>
          <w:rFonts w:ascii="ITC Avant Garde" w:hAnsi="ITC Avant Garde"/>
        </w:rPr>
        <w:t xml:space="preserve">en las </w:t>
      </w:r>
      <w:r w:rsidR="007C1A69">
        <w:rPr>
          <w:rFonts w:ascii="ITC Avant Garde" w:hAnsi="ITC Avant Garde"/>
        </w:rPr>
        <w:t xml:space="preserve">bases de licitación y en los </w:t>
      </w:r>
      <w:bookmarkStart w:id="1" w:name="_Hlk179219468"/>
      <w:r w:rsidR="007C1A69">
        <w:rPr>
          <w:rFonts w:ascii="ITC Avant Garde" w:hAnsi="ITC Avant Garde"/>
        </w:rPr>
        <w:t xml:space="preserve">títulos de concesión </w:t>
      </w:r>
      <w:r>
        <w:rPr>
          <w:rFonts w:ascii="ITC Avant Garde" w:hAnsi="ITC Avant Garde"/>
        </w:rPr>
        <w:t>medidas para evitar la especulación y el uso ocioso del espectro</w:t>
      </w:r>
      <w:r w:rsidR="007C1A69">
        <w:rPr>
          <w:rFonts w:ascii="ITC Avant Garde" w:hAnsi="ITC Avant Garde"/>
        </w:rPr>
        <w:t>,</w:t>
      </w:r>
      <w:r>
        <w:rPr>
          <w:rFonts w:ascii="ITC Avant Garde" w:hAnsi="ITC Avant Garde"/>
        </w:rPr>
        <w:t xml:space="preserve"> mediante reglas que </w:t>
      </w:r>
      <w:bookmarkEnd w:id="1"/>
      <w:r>
        <w:rPr>
          <w:rFonts w:ascii="ITC Avant Garde" w:hAnsi="ITC Avant Garde"/>
        </w:rPr>
        <w:t xml:space="preserve">obliguen a iniciar </w:t>
      </w:r>
      <w:r w:rsidR="000E1634">
        <w:rPr>
          <w:rFonts w:ascii="ITC Avant Garde" w:hAnsi="ITC Avant Garde"/>
        </w:rPr>
        <w:t>su</w:t>
      </w:r>
      <w:r>
        <w:rPr>
          <w:rFonts w:ascii="ITC Avant Garde" w:hAnsi="ITC Avant Garde"/>
        </w:rPr>
        <w:t xml:space="preserve"> explotación en un tiempo </w:t>
      </w:r>
      <w:r w:rsidR="000E1634">
        <w:rPr>
          <w:rFonts w:ascii="ITC Avant Garde" w:hAnsi="ITC Avant Garde"/>
        </w:rPr>
        <w:t>determinado</w:t>
      </w:r>
      <w:r>
        <w:rPr>
          <w:rFonts w:ascii="ITC Avant Garde" w:hAnsi="ITC Avant Garde"/>
        </w:rPr>
        <w:t xml:space="preserve"> (como puede ser 1 o 2 años) y</w:t>
      </w:r>
      <w:r w:rsidR="000E1634">
        <w:rPr>
          <w:rFonts w:ascii="ITC Avant Garde" w:hAnsi="ITC Avant Garde"/>
        </w:rPr>
        <w:t>, en caso</w:t>
      </w:r>
      <w:r>
        <w:rPr>
          <w:rFonts w:ascii="ITC Avant Garde" w:hAnsi="ITC Avant Garde"/>
        </w:rPr>
        <w:t xml:space="preserve"> de no hacerlo</w:t>
      </w:r>
      <w:r w:rsidR="000E1634">
        <w:rPr>
          <w:rFonts w:ascii="ITC Avant Garde" w:hAnsi="ITC Avant Garde"/>
        </w:rPr>
        <w:t>,</w:t>
      </w:r>
      <w:r>
        <w:rPr>
          <w:rFonts w:ascii="ITC Avant Garde" w:hAnsi="ITC Avant Garde"/>
        </w:rPr>
        <w:t xml:space="preserve"> perder la concesión.</w:t>
      </w:r>
    </w:p>
    <w:p w14:paraId="50D24CB8" w14:textId="77777777" w:rsidR="00F679D5" w:rsidRDefault="00F679D5" w:rsidP="00D25CD5">
      <w:pPr>
        <w:spacing w:after="0" w:line="240" w:lineRule="auto"/>
        <w:rPr>
          <w:rFonts w:ascii="ITC Avant Garde" w:hAnsi="ITC Avant Garde"/>
        </w:rPr>
      </w:pPr>
    </w:p>
    <w:p w14:paraId="46A46280" w14:textId="5813BDF6" w:rsidR="00F679D5" w:rsidRDefault="00F679D5" w:rsidP="00F679D5">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F679D5">
        <w:rPr>
          <w:rFonts w:ascii="ITC Avant Garde" w:eastAsia="Times New Roman" w:hAnsi="ITC Avant Garde" w:cs="Arial"/>
          <w:b/>
          <w:color w:val="939F27"/>
          <w:sz w:val="26"/>
          <w:szCs w:val="26"/>
        </w:rPr>
        <w:t xml:space="preserve">Bandas de frecuencias que podrían considerarse para </w:t>
      </w:r>
      <w:r>
        <w:rPr>
          <w:rFonts w:ascii="ITC Avant Garde" w:eastAsia="Times New Roman" w:hAnsi="ITC Avant Garde" w:cs="Arial"/>
          <w:b/>
          <w:color w:val="939F27"/>
          <w:sz w:val="26"/>
          <w:szCs w:val="26"/>
        </w:rPr>
        <w:t xml:space="preserve">la implementación de </w:t>
      </w:r>
      <w:r w:rsidRPr="00F679D5">
        <w:rPr>
          <w:rFonts w:ascii="ITC Avant Garde" w:eastAsia="Times New Roman" w:hAnsi="ITC Avant Garde" w:cs="Arial"/>
          <w:b/>
          <w:color w:val="939F27"/>
          <w:sz w:val="26"/>
          <w:szCs w:val="26"/>
        </w:rPr>
        <w:t xml:space="preserve">redes privadas </w:t>
      </w:r>
    </w:p>
    <w:p w14:paraId="1013EF6C" w14:textId="77777777" w:rsidR="0092525A" w:rsidRDefault="0092525A" w:rsidP="0092525A">
      <w:pPr>
        <w:spacing w:after="0" w:line="240" w:lineRule="auto"/>
        <w:jc w:val="both"/>
        <w:rPr>
          <w:rFonts w:ascii="ITC Avant Garde" w:eastAsia="Times New Roman" w:hAnsi="ITC Avant Garde" w:cs="Arial"/>
          <w:b/>
          <w:color w:val="939F27"/>
          <w:sz w:val="26"/>
          <w:szCs w:val="26"/>
        </w:rPr>
      </w:pPr>
    </w:p>
    <w:p w14:paraId="3F3B63A2" w14:textId="34DC581B" w:rsidR="0092525A" w:rsidRPr="0092525A" w:rsidRDefault="0092525A" w:rsidP="0092525A">
      <w:pPr>
        <w:spacing w:after="0" w:line="240" w:lineRule="auto"/>
        <w:jc w:val="both"/>
        <w:rPr>
          <w:rFonts w:ascii="ITC Avant Garde" w:eastAsia="Times New Roman" w:hAnsi="ITC Avant Garde" w:cs="Arial"/>
          <w:b/>
          <w:color w:val="939F27"/>
          <w:sz w:val="26"/>
          <w:szCs w:val="26"/>
        </w:rPr>
      </w:pPr>
      <w:r>
        <w:rPr>
          <w:rFonts w:ascii="ITC Avant Garde" w:hAnsi="ITC Avant Garde"/>
        </w:rPr>
        <w:t>Tomando en cuenta los casos de uso y escenarios de despliegue que ya han sido implementados en el país, se identificaron</w:t>
      </w:r>
      <w:bookmarkStart w:id="2" w:name="_GoBack"/>
      <w:r w:rsidR="008D6E2D">
        <w:rPr>
          <w:rFonts w:ascii="ITC Avant Garde" w:hAnsi="ITC Avant Garde"/>
        </w:rPr>
        <w:t xml:space="preserve"> algunas de las</w:t>
      </w:r>
      <w:bookmarkEnd w:id="2"/>
      <w:r>
        <w:rPr>
          <w:rFonts w:ascii="ITC Avant Garde" w:hAnsi="ITC Avant Garde"/>
        </w:rPr>
        <w:t xml:space="preserve"> bandas de frecuencias que pueden ser </w:t>
      </w:r>
      <w:r w:rsidR="00422833" w:rsidRPr="004824C5">
        <w:rPr>
          <w:rFonts w:ascii="ITC Avant Garde" w:hAnsi="ITC Avant Garde"/>
        </w:rPr>
        <w:t xml:space="preserve">inicialmente </w:t>
      </w:r>
      <w:r w:rsidRPr="004824C5">
        <w:rPr>
          <w:rFonts w:ascii="ITC Avant Garde" w:hAnsi="ITC Avant Garde"/>
        </w:rPr>
        <w:t>c</w:t>
      </w:r>
      <w:r>
        <w:rPr>
          <w:rFonts w:ascii="ITC Avant Garde" w:hAnsi="ITC Avant Garde"/>
        </w:rPr>
        <w:t xml:space="preserve">andidatas para su </w:t>
      </w:r>
      <w:proofErr w:type="spellStart"/>
      <w:r>
        <w:rPr>
          <w:rFonts w:ascii="ITC Avant Garde" w:hAnsi="ITC Avant Garde"/>
        </w:rPr>
        <w:t>concesionamiento</w:t>
      </w:r>
      <w:proofErr w:type="spellEnd"/>
      <w:r>
        <w:rPr>
          <w:rFonts w:ascii="ITC Avant Garde" w:hAnsi="ITC Avant Garde"/>
        </w:rPr>
        <w:t xml:space="preserve"> e implementación de redes privadas. Al respecto, se realizó un análisis sobre el marco normativo a nivel internacional y nacional, así como la situación actual de estas bandas de frecuencias.</w:t>
      </w:r>
    </w:p>
    <w:p w14:paraId="4F171F89" w14:textId="77777777" w:rsidR="00F679D5" w:rsidRDefault="00F679D5" w:rsidP="00F679D5">
      <w:pPr>
        <w:pStyle w:val="Prrafodelista"/>
        <w:spacing w:after="0" w:line="240" w:lineRule="auto"/>
        <w:ind w:left="709"/>
        <w:rPr>
          <w:rFonts w:ascii="ITC Avant Garde" w:hAnsi="ITC Avant Garde"/>
        </w:rPr>
      </w:pPr>
    </w:p>
    <w:p w14:paraId="194F299A" w14:textId="50A53B1F" w:rsidR="0092525A" w:rsidRDefault="001D78B6" w:rsidP="0092525A">
      <w:pPr>
        <w:pStyle w:val="Prrafodelista"/>
        <w:spacing w:after="0" w:line="240" w:lineRule="auto"/>
        <w:ind w:left="0"/>
        <w:jc w:val="both"/>
        <w:rPr>
          <w:rFonts w:ascii="ITC Avant Garde" w:hAnsi="ITC Avant Garde"/>
          <w:b/>
        </w:rPr>
      </w:pPr>
      <w:r>
        <w:rPr>
          <w:rFonts w:ascii="ITC Avant Garde" w:hAnsi="ITC Avant Garde"/>
          <w:b/>
        </w:rPr>
        <w:t xml:space="preserve">5.1. </w:t>
      </w:r>
      <w:r w:rsidR="00F679D5" w:rsidRPr="00071F4C">
        <w:rPr>
          <w:rFonts w:ascii="ITC Avant Garde" w:hAnsi="ITC Avant Garde"/>
          <w:b/>
        </w:rPr>
        <w:t>Bandas de frecuencias</w:t>
      </w:r>
      <w:r w:rsidR="0092525A">
        <w:rPr>
          <w:rFonts w:ascii="ITC Avant Garde" w:hAnsi="ITC Avant Garde"/>
          <w:b/>
        </w:rPr>
        <w:t xml:space="preserve"> </w:t>
      </w:r>
    </w:p>
    <w:p w14:paraId="5E245C65" w14:textId="77777777" w:rsidR="0092525A" w:rsidRDefault="0092525A" w:rsidP="0092525A">
      <w:pPr>
        <w:pStyle w:val="Prrafodelista"/>
        <w:spacing w:after="0" w:line="240" w:lineRule="auto"/>
        <w:ind w:left="0"/>
        <w:jc w:val="both"/>
        <w:rPr>
          <w:rFonts w:ascii="ITC Avant Garde" w:hAnsi="ITC Avant Garde"/>
          <w:b/>
        </w:rPr>
      </w:pPr>
    </w:p>
    <w:p w14:paraId="5FF019BB" w14:textId="1CCA40BB" w:rsidR="00F679D5" w:rsidRPr="00071F4C" w:rsidRDefault="0092525A" w:rsidP="0092525A">
      <w:pPr>
        <w:pStyle w:val="Prrafodelista"/>
        <w:spacing w:after="0" w:line="240" w:lineRule="auto"/>
        <w:ind w:left="0"/>
        <w:jc w:val="both"/>
        <w:rPr>
          <w:rFonts w:ascii="ITC Avant Garde" w:hAnsi="ITC Avant Garde"/>
          <w:b/>
        </w:rPr>
      </w:pPr>
      <w:r w:rsidRPr="0092525A">
        <w:rPr>
          <w:rFonts w:ascii="ITC Avant Garde" w:hAnsi="ITC Avant Garde"/>
          <w:bCs/>
        </w:rPr>
        <w:t xml:space="preserve">Para cada banda de frecuencias se especifica la modalidad de uso como </w:t>
      </w:r>
      <w:r>
        <w:rPr>
          <w:rFonts w:ascii="ITC Avant Garde" w:hAnsi="ITC Avant Garde"/>
          <w:bCs/>
        </w:rPr>
        <w:t>“</w:t>
      </w:r>
      <w:r w:rsidRPr="0092525A">
        <w:rPr>
          <w:rFonts w:ascii="ITC Avant Garde" w:hAnsi="ITC Avant Garde"/>
          <w:bCs/>
        </w:rPr>
        <w:t>Privado</w:t>
      </w:r>
      <w:r>
        <w:rPr>
          <w:rFonts w:ascii="ITC Avant Garde" w:hAnsi="ITC Avant Garde"/>
          <w:bCs/>
        </w:rPr>
        <w:t>”</w:t>
      </w:r>
      <w:r w:rsidRPr="0092525A">
        <w:rPr>
          <w:rFonts w:ascii="ITC Avant Garde" w:hAnsi="ITC Avant Garde"/>
          <w:bCs/>
        </w:rPr>
        <w:t xml:space="preserve"> o </w:t>
      </w:r>
      <w:r>
        <w:rPr>
          <w:rFonts w:ascii="ITC Avant Garde" w:hAnsi="ITC Avant Garde"/>
          <w:bCs/>
        </w:rPr>
        <w:t>“</w:t>
      </w:r>
      <w:r w:rsidRPr="0092525A">
        <w:rPr>
          <w:rFonts w:ascii="ITC Avant Garde" w:hAnsi="ITC Avant Garde"/>
          <w:bCs/>
        </w:rPr>
        <w:t>Comercial</w:t>
      </w:r>
      <w:r>
        <w:rPr>
          <w:rFonts w:ascii="ITC Avant Garde" w:hAnsi="ITC Avant Garde"/>
          <w:bCs/>
        </w:rPr>
        <w:t>”</w:t>
      </w:r>
      <w:r w:rsidRPr="0092525A">
        <w:rPr>
          <w:rFonts w:ascii="ITC Avant Garde" w:hAnsi="ITC Avant Garde"/>
          <w:bCs/>
        </w:rPr>
        <w:t>, dependiendo si el diseño, implementación, gestión, operación y mantenimiento de la red privada sería a través de medios propios (Privado) o a través de un tercero (Comercial).</w:t>
      </w:r>
    </w:p>
    <w:p w14:paraId="18308FFD" w14:textId="77777777" w:rsidR="00F679D5" w:rsidRPr="00071F4C" w:rsidRDefault="00F679D5" w:rsidP="00071F4C">
      <w:pPr>
        <w:pStyle w:val="Prrafodelista"/>
        <w:spacing w:after="0" w:line="240" w:lineRule="auto"/>
        <w:ind w:left="0"/>
        <w:rPr>
          <w:rFonts w:ascii="ITC Avant Garde" w:hAnsi="ITC Avant Garde"/>
          <w:b/>
        </w:rPr>
      </w:pPr>
    </w:p>
    <w:p w14:paraId="3025C1AB" w14:textId="52E37088" w:rsidR="00F679D5" w:rsidRPr="00071F4C" w:rsidRDefault="001D78B6" w:rsidP="00071F4C">
      <w:pPr>
        <w:pStyle w:val="Prrafodelista"/>
        <w:spacing w:after="0" w:line="240" w:lineRule="auto"/>
        <w:ind w:left="0"/>
        <w:rPr>
          <w:rFonts w:ascii="ITC Avant Garde" w:hAnsi="ITC Avant Garde"/>
          <w:b/>
        </w:rPr>
      </w:pPr>
      <w:r>
        <w:rPr>
          <w:rFonts w:ascii="ITC Avant Garde" w:hAnsi="ITC Avant Garde"/>
          <w:b/>
        </w:rPr>
        <w:t>5</w:t>
      </w:r>
      <w:r w:rsidR="00F679D5" w:rsidRPr="00071F4C">
        <w:rPr>
          <w:rFonts w:ascii="ITC Avant Garde" w:hAnsi="ITC Avant Garde"/>
          <w:b/>
        </w:rPr>
        <w:t>.1.1. Banda 2.3 GHz</w:t>
      </w:r>
    </w:p>
    <w:p w14:paraId="338393F7" w14:textId="77777777" w:rsidR="00F679D5" w:rsidRDefault="00F679D5" w:rsidP="00F679D5">
      <w:pPr>
        <w:pStyle w:val="Prrafodelista"/>
        <w:spacing w:after="0" w:line="240" w:lineRule="auto"/>
        <w:ind w:left="709"/>
        <w:rPr>
          <w:rFonts w:ascii="ITC Avant Garde" w:hAnsi="ITC Avant Garde"/>
        </w:rPr>
      </w:pPr>
    </w:p>
    <w:p w14:paraId="789BC503" w14:textId="730EDC4C" w:rsidR="00F679D5" w:rsidRPr="00F679D5" w:rsidRDefault="00F679D5" w:rsidP="00F679D5">
      <w:pPr>
        <w:pStyle w:val="Prrafodelista"/>
        <w:spacing w:after="0" w:line="240" w:lineRule="auto"/>
        <w:ind w:left="142" w:hanging="142"/>
        <w:rPr>
          <w:rFonts w:ascii="ITC Avant Garde" w:hAnsi="ITC Avant Garde"/>
          <w:b/>
          <w:bCs/>
        </w:rPr>
      </w:pPr>
      <w:r w:rsidRPr="00F679D5">
        <w:rPr>
          <w:rFonts w:ascii="ITC Avant Garde" w:hAnsi="ITC Avant Garde"/>
          <w:b/>
          <w:bCs/>
        </w:rPr>
        <w:t xml:space="preserve">Modalidad de uso: Privado </w:t>
      </w:r>
    </w:p>
    <w:p w14:paraId="570A7E76" w14:textId="77777777" w:rsidR="00F679D5" w:rsidRPr="006F3CEC" w:rsidRDefault="00F679D5" w:rsidP="00F679D5">
      <w:pPr>
        <w:pStyle w:val="Prrafodelista"/>
        <w:spacing w:after="0" w:line="240" w:lineRule="auto"/>
        <w:ind w:left="709"/>
        <w:rPr>
          <w:rFonts w:ascii="ITC Avant Garde" w:hAnsi="ITC Avant Garde"/>
        </w:rPr>
      </w:pPr>
    </w:p>
    <w:p w14:paraId="59D03236" w14:textId="77777777" w:rsidR="00F679D5" w:rsidRPr="00A05D2E" w:rsidRDefault="00F679D5" w:rsidP="00F679D5">
      <w:pPr>
        <w:pStyle w:val="Prrafodelista"/>
        <w:spacing w:after="0" w:line="240" w:lineRule="auto"/>
        <w:ind w:left="142" w:hanging="142"/>
        <w:rPr>
          <w:rFonts w:ascii="ITC Avant Garde" w:hAnsi="ITC Avant Garde"/>
          <w:b/>
          <w:bCs/>
        </w:rPr>
      </w:pPr>
      <w:r w:rsidRPr="00A05D2E">
        <w:rPr>
          <w:rFonts w:ascii="ITC Avant Garde" w:hAnsi="ITC Avant Garde"/>
          <w:b/>
          <w:bCs/>
        </w:rPr>
        <w:t>Análisis de la banda de frecuencias 2.3 GHz</w:t>
      </w:r>
    </w:p>
    <w:p w14:paraId="23232666" w14:textId="77777777" w:rsidR="00F679D5" w:rsidRPr="00A05D2E" w:rsidRDefault="00F679D5" w:rsidP="00F679D5">
      <w:pPr>
        <w:pStyle w:val="Prrafodelista"/>
        <w:spacing w:after="0" w:line="240" w:lineRule="auto"/>
        <w:ind w:left="142" w:hanging="142"/>
        <w:jc w:val="both"/>
        <w:rPr>
          <w:rFonts w:ascii="ITC Avant Garde" w:hAnsi="ITC Avant Garde"/>
          <w:b/>
          <w:bCs/>
        </w:rPr>
      </w:pPr>
    </w:p>
    <w:p w14:paraId="1684D64C" w14:textId="77777777" w:rsidR="00F679D5" w:rsidRPr="00A05D2E" w:rsidRDefault="00F679D5" w:rsidP="00F679D5">
      <w:pPr>
        <w:pStyle w:val="Prrafodelista"/>
        <w:spacing w:after="0" w:line="240" w:lineRule="auto"/>
        <w:ind w:left="142" w:hanging="142"/>
        <w:jc w:val="both"/>
        <w:rPr>
          <w:rFonts w:ascii="ITC Avant Garde" w:hAnsi="ITC Avant Garde"/>
          <w:b/>
        </w:rPr>
      </w:pPr>
      <w:r w:rsidRPr="00A05D2E">
        <w:rPr>
          <w:rFonts w:ascii="ITC Avant Garde" w:hAnsi="ITC Avant Garde"/>
          <w:b/>
        </w:rPr>
        <w:lastRenderedPageBreak/>
        <w:t>Atribución de la banda de frecuencias 2.3 GHz</w:t>
      </w:r>
    </w:p>
    <w:p w14:paraId="011DE0C7" w14:textId="77777777" w:rsidR="00F679D5" w:rsidRPr="00A05D2E" w:rsidRDefault="00F679D5" w:rsidP="00F679D5">
      <w:pPr>
        <w:pStyle w:val="Prrafodelista"/>
        <w:spacing w:after="0" w:line="240" w:lineRule="auto"/>
        <w:ind w:left="142" w:hanging="142"/>
        <w:jc w:val="both"/>
        <w:rPr>
          <w:rFonts w:ascii="ITC Avant Garde" w:hAnsi="ITC Avant Garde"/>
          <w:b/>
        </w:rPr>
      </w:pPr>
    </w:p>
    <w:p w14:paraId="7244EA7D" w14:textId="21D93301" w:rsidR="00F679D5" w:rsidRDefault="00F679D5" w:rsidP="00F679D5">
      <w:pPr>
        <w:pStyle w:val="Prrafodelista"/>
        <w:spacing w:after="0" w:line="240" w:lineRule="auto"/>
        <w:ind w:left="0"/>
        <w:jc w:val="both"/>
        <w:rPr>
          <w:rFonts w:ascii="ITC Avant Garde" w:hAnsi="ITC Avant Garde"/>
          <w:b/>
        </w:rPr>
      </w:pPr>
      <w:r w:rsidRPr="00D565E4">
        <w:rPr>
          <w:rFonts w:ascii="ITC Avant Garde" w:hAnsi="ITC Avant Garde"/>
          <w:b/>
        </w:rPr>
        <w:t>R</w:t>
      </w:r>
      <w:r w:rsidR="00DD1098">
        <w:rPr>
          <w:rFonts w:ascii="ITC Avant Garde" w:hAnsi="ITC Avant Garde"/>
          <w:b/>
        </w:rPr>
        <w:t>eglamento de Radiocomunicaciones (R</w:t>
      </w:r>
      <w:r w:rsidRPr="00D565E4">
        <w:rPr>
          <w:rFonts w:ascii="ITC Avant Garde" w:hAnsi="ITC Avant Garde"/>
          <w:b/>
        </w:rPr>
        <w:t>R</w:t>
      </w:r>
      <w:r w:rsidR="00DD1098">
        <w:rPr>
          <w:rFonts w:ascii="ITC Avant Garde" w:hAnsi="ITC Avant Garde"/>
          <w:b/>
        </w:rPr>
        <w:t>)</w:t>
      </w:r>
    </w:p>
    <w:p w14:paraId="56E1145D" w14:textId="77777777" w:rsidR="00DD1098" w:rsidRPr="00D565E4" w:rsidRDefault="00DD1098" w:rsidP="00F679D5">
      <w:pPr>
        <w:pStyle w:val="Prrafodelista"/>
        <w:spacing w:after="0" w:line="240" w:lineRule="auto"/>
        <w:ind w:left="0"/>
        <w:jc w:val="both"/>
        <w:rPr>
          <w:rFonts w:ascii="ITC Avant Garde" w:hAnsi="ITC Avant Garde"/>
          <w:b/>
        </w:rPr>
      </w:pPr>
    </w:p>
    <w:p w14:paraId="58E4A017" w14:textId="77777777" w:rsidR="00F679D5"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El RR</w:t>
      </w:r>
      <w:r w:rsidRPr="006F3CEC">
        <w:rPr>
          <w:rStyle w:val="Refdenotaalpie"/>
          <w:rFonts w:ascii="ITC Avant Garde" w:hAnsi="ITC Avant Garde" w:cstheme="minorHAnsi"/>
        </w:rPr>
        <w:footnoteReference w:id="12"/>
      </w:r>
      <w:r w:rsidRPr="006F3CEC">
        <w:rPr>
          <w:rFonts w:ascii="ITC Avant Garde" w:hAnsi="ITC Avant Garde"/>
        </w:rPr>
        <w:t xml:space="preserve"> en su </w:t>
      </w:r>
      <w:r>
        <w:rPr>
          <w:rFonts w:ascii="ITC Avant Garde" w:hAnsi="ITC Avant Garde"/>
        </w:rPr>
        <w:t>a</w:t>
      </w:r>
      <w:r w:rsidRPr="006F3CEC">
        <w:rPr>
          <w:rFonts w:ascii="ITC Avant Garde" w:hAnsi="ITC Avant Garde"/>
        </w:rPr>
        <w:t>rtículo 5, sección IV</w:t>
      </w:r>
      <w:r>
        <w:rPr>
          <w:rFonts w:ascii="ITC Avant Garde" w:hAnsi="ITC Avant Garde"/>
        </w:rPr>
        <w:t xml:space="preserve"> denominada </w:t>
      </w:r>
      <w:r w:rsidRPr="00D565E4">
        <w:rPr>
          <w:rFonts w:ascii="ITC Avant Garde" w:hAnsi="ITC Avant Garde"/>
          <w:i/>
        </w:rPr>
        <w:t>Cuadro de atribución de bandas de frecuencias</w:t>
      </w:r>
      <w:r w:rsidRPr="006F3CEC">
        <w:rPr>
          <w:rFonts w:ascii="ITC Avant Garde" w:hAnsi="ITC Avant Garde"/>
        </w:rPr>
        <w:t>, establece para la Región 2, a la que México pertenece, las atribuciones siguientes para la banda de frecuencias 2.3 GHz:</w:t>
      </w:r>
    </w:p>
    <w:p w14:paraId="55DE8046" w14:textId="77777777" w:rsidR="00F679D5" w:rsidRPr="006F3CEC" w:rsidRDefault="00F679D5" w:rsidP="00F679D5">
      <w:pPr>
        <w:pStyle w:val="Prrafodelista"/>
        <w:spacing w:after="0" w:line="240" w:lineRule="auto"/>
        <w:ind w:left="709"/>
        <w:jc w:val="both"/>
        <w:rPr>
          <w:rFonts w:ascii="ITC Avant Garde" w:hAnsi="ITC Avant Garde"/>
        </w:rPr>
      </w:pPr>
    </w:p>
    <w:tbl>
      <w:tblPr>
        <w:tblStyle w:val="Tablaconcuadrcula"/>
        <w:tblW w:w="0" w:type="auto"/>
        <w:tblInd w:w="1129" w:type="dxa"/>
        <w:shd w:val="clear" w:color="auto" w:fill="70AD47" w:themeFill="accent6"/>
        <w:tblLook w:val="04A0" w:firstRow="1" w:lastRow="0" w:firstColumn="1" w:lastColumn="0" w:noHBand="0" w:noVBand="1"/>
      </w:tblPr>
      <w:tblGrid>
        <w:gridCol w:w="7371"/>
      </w:tblGrid>
      <w:tr w:rsidR="00F679D5" w:rsidRPr="00A05D2E" w14:paraId="1C5D44D5" w14:textId="77777777" w:rsidTr="00E94675">
        <w:trPr>
          <w:trHeight w:val="550"/>
        </w:trPr>
        <w:tc>
          <w:tcPr>
            <w:tcW w:w="7371" w:type="dxa"/>
            <w:tcBorders>
              <w:bottom w:val="single" w:sz="4" w:space="0" w:color="auto"/>
            </w:tcBorders>
            <w:shd w:val="clear" w:color="auto" w:fill="92D050"/>
            <w:vAlign w:val="center"/>
          </w:tcPr>
          <w:p w14:paraId="53EBE92D" w14:textId="77777777" w:rsidR="00F679D5" w:rsidRPr="00A05D2E" w:rsidRDefault="00F679D5" w:rsidP="00E94675">
            <w:pPr>
              <w:jc w:val="both"/>
              <w:rPr>
                <w:rFonts w:ascii="ITC Avant Garde" w:hAnsi="ITC Avant Garde" w:cstheme="minorHAnsi"/>
                <w:b/>
                <w:sz w:val="18"/>
                <w:szCs w:val="18"/>
              </w:rPr>
            </w:pPr>
            <w:r w:rsidRPr="00A05D2E">
              <w:rPr>
                <w:rFonts w:ascii="ITC Avant Garde" w:hAnsi="ITC Avant Garde" w:cstheme="minorHAnsi"/>
                <w:b/>
                <w:sz w:val="18"/>
                <w:szCs w:val="18"/>
              </w:rPr>
              <w:t>Atribución Internacional en el RR de la UIT (Región 2)</w:t>
            </w:r>
          </w:p>
        </w:tc>
      </w:tr>
      <w:tr w:rsidR="00F679D5" w:rsidRPr="00A05D2E" w14:paraId="4843FDBA" w14:textId="77777777" w:rsidTr="00E94675">
        <w:tc>
          <w:tcPr>
            <w:tcW w:w="7371" w:type="dxa"/>
            <w:shd w:val="clear" w:color="auto" w:fill="auto"/>
            <w:vAlign w:val="center"/>
          </w:tcPr>
          <w:p w14:paraId="41265EEB" w14:textId="77777777" w:rsidR="00F679D5" w:rsidRPr="00A05D2E" w:rsidRDefault="00F679D5" w:rsidP="00E94675">
            <w:pPr>
              <w:pStyle w:val="NormalWeb"/>
              <w:jc w:val="both"/>
              <w:rPr>
                <w:rStyle w:val="Textoennegrita"/>
                <w:rFonts w:ascii="ITC Avant Garde" w:hAnsi="ITC Avant Garde" w:cstheme="minorHAnsi"/>
                <w:sz w:val="18"/>
                <w:szCs w:val="18"/>
              </w:rPr>
            </w:pPr>
            <w:r w:rsidRPr="00A05D2E">
              <w:rPr>
                <w:rStyle w:val="Textoennegrita"/>
                <w:rFonts w:ascii="ITC Avant Garde" w:hAnsi="ITC Avant Garde" w:cstheme="minorHAnsi"/>
                <w:sz w:val="18"/>
                <w:szCs w:val="18"/>
              </w:rPr>
              <w:t>2 300 - 2 450 MHz</w:t>
            </w:r>
          </w:p>
          <w:p w14:paraId="78143868"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bCs w:val="0"/>
                <w:sz w:val="18"/>
                <w:szCs w:val="18"/>
              </w:rPr>
              <w:t>FIJO</w:t>
            </w:r>
          </w:p>
          <w:p w14:paraId="3AC4E238"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bCs w:val="0"/>
                <w:sz w:val="18"/>
                <w:szCs w:val="18"/>
              </w:rPr>
              <w:t>MÓVIL 5.384A</w:t>
            </w:r>
          </w:p>
          <w:p w14:paraId="2E2762AD"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bCs w:val="0"/>
                <w:sz w:val="18"/>
                <w:szCs w:val="18"/>
              </w:rPr>
              <w:t>RADIOLOCALIZACIÓN</w:t>
            </w:r>
          </w:p>
          <w:p w14:paraId="380142A4"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bCs w:val="0"/>
                <w:sz w:val="18"/>
                <w:szCs w:val="18"/>
              </w:rPr>
              <w:t>Aficionados</w:t>
            </w:r>
          </w:p>
          <w:p w14:paraId="23666579"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p>
          <w:p w14:paraId="2A4F88E8" w14:textId="77777777" w:rsidR="00F679D5" w:rsidRPr="00A05D2E" w:rsidRDefault="00F679D5" w:rsidP="00E94675">
            <w:pPr>
              <w:pStyle w:val="NormalWeb"/>
              <w:ind w:left="597" w:hanging="283"/>
              <w:jc w:val="both"/>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bCs w:val="0"/>
                <w:sz w:val="18"/>
                <w:szCs w:val="18"/>
              </w:rPr>
              <w:t>5.150 5.282 5.393 5.394</w:t>
            </w:r>
          </w:p>
        </w:tc>
      </w:tr>
    </w:tbl>
    <w:p w14:paraId="7369B36A" w14:textId="77777777" w:rsidR="00F679D5" w:rsidRPr="006F3CEC" w:rsidRDefault="00F679D5" w:rsidP="00F679D5">
      <w:pPr>
        <w:pStyle w:val="Prrafodelista"/>
        <w:spacing w:after="0" w:line="240" w:lineRule="auto"/>
        <w:ind w:left="709"/>
        <w:jc w:val="both"/>
        <w:rPr>
          <w:rFonts w:ascii="ITC Avant Garde" w:hAnsi="ITC Avant Garde"/>
        </w:rPr>
      </w:pPr>
    </w:p>
    <w:p w14:paraId="3914EA76"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Con relación a las notas internacionales relevantes contenidas en el RR de la UIT y correspondientes a la banda de frecuencias 2.3 GHz, destacan las siguientes:</w:t>
      </w:r>
    </w:p>
    <w:p w14:paraId="72737B91" w14:textId="77777777" w:rsidR="00F679D5" w:rsidRPr="006F3CEC" w:rsidRDefault="00F679D5" w:rsidP="00F679D5">
      <w:pPr>
        <w:pStyle w:val="Prrafodelista"/>
        <w:spacing w:after="0" w:line="240" w:lineRule="auto"/>
        <w:ind w:left="709"/>
        <w:jc w:val="both"/>
        <w:rPr>
          <w:rFonts w:ascii="ITC Avant Garde" w:hAnsi="ITC Avant Garde"/>
        </w:rPr>
      </w:pPr>
    </w:p>
    <w:p w14:paraId="53586D8C"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r w:rsidRPr="00A05D2E">
        <w:rPr>
          <w:rFonts w:ascii="ITC Avant Garde" w:hAnsi="ITC Avant Garde"/>
          <w:b/>
          <w:bCs/>
          <w:i/>
          <w:iCs/>
          <w:sz w:val="18"/>
          <w:szCs w:val="18"/>
        </w:rPr>
        <w:t>5.384A</w:t>
      </w:r>
      <w:r w:rsidRPr="00A05D2E">
        <w:rPr>
          <w:rFonts w:ascii="ITC Avant Garde" w:hAnsi="ITC Avant Garde"/>
          <w:i/>
          <w:iCs/>
          <w:sz w:val="18"/>
          <w:szCs w:val="18"/>
        </w:rPr>
        <w:tab/>
        <w:t xml:space="preserve">Las bandas de frecuencias 1710-1885 MHz, 2300-2400 MHz y 2500-2690 MHz, o partes de esas bandas de frecuencias, se han identificado para su utilización por las administraciones que deseen introducir las Telecomunicaciones Móviles Internacionales (IMT) de conformidad con la Resolución 223 (Rev.CMR-15). Esta identificación no impide su utilización por cualquier aplicación de los servicios a los que están atribuidas, ni establece prioridad alguna en el Reglamento de Radiocomunicaciones. </w:t>
      </w:r>
      <w:r w:rsidRPr="00A05D2E">
        <w:rPr>
          <w:rFonts w:ascii="ITC Avant Garde" w:hAnsi="ITC Avant Garde"/>
          <w:i/>
          <w:iCs/>
          <w:sz w:val="18"/>
          <w:szCs w:val="18"/>
          <w:vertAlign w:val="subscript"/>
        </w:rPr>
        <w:t>(CMR-15)</w:t>
      </w:r>
    </w:p>
    <w:p w14:paraId="026F8814" w14:textId="77777777" w:rsidR="00F679D5" w:rsidRPr="006F3CEC" w:rsidRDefault="00F679D5" w:rsidP="00F679D5">
      <w:pPr>
        <w:pStyle w:val="Prrafodelista"/>
        <w:spacing w:after="0" w:line="240" w:lineRule="auto"/>
        <w:ind w:left="709"/>
        <w:jc w:val="both"/>
        <w:rPr>
          <w:rFonts w:ascii="ITC Avant Garde" w:hAnsi="ITC Avant Garde"/>
        </w:rPr>
      </w:pPr>
    </w:p>
    <w:p w14:paraId="0BC4102E" w14:textId="77777777" w:rsidR="00F679D5" w:rsidRPr="00A05D2E" w:rsidRDefault="00F679D5" w:rsidP="00F679D5">
      <w:pPr>
        <w:pStyle w:val="Prrafodelista"/>
        <w:spacing w:after="0" w:line="240" w:lineRule="auto"/>
        <w:ind w:left="0"/>
        <w:jc w:val="both"/>
        <w:rPr>
          <w:rFonts w:ascii="ITC Avant Garde" w:hAnsi="ITC Avant Garde"/>
          <w:b/>
        </w:rPr>
      </w:pPr>
      <w:r>
        <w:rPr>
          <w:rFonts w:ascii="ITC Avant Garde" w:hAnsi="ITC Avant Garde"/>
          <w:b/>
        </w:rPr>
        <w:t>CNAF</w:t>
      </w:r>
    </w:p>
    <w:p w14:paraId="7BAD6EEE" w14:textId="77777777" w:rsidR="00F679D5" w:rsidRPr="006F3CEC" w:rsidRDefault="00F679D5" w:rsidP="00F679D5">
      <w:pPr>
        <w:pStyle w:val="Prrafodelista"/>
        <w:spacing w:after="0" w:line="240" w:lineRule="auto"/>
        <w:ind w:left="0"/>
        <w:jc w:val="both"/>
        <w:rPr>
          <w:rFonts w:ascii="ITC Avant Garde" w:hAnsi="ITC Avant Garde"/>
        </w:rPr>
      </w:pPr>
    </w:p>
    <w:p w14:paraId="47859677"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Por lo que se refiere al ámbito nacional, el CNAF</w:t>
      </w:r>
      <w:r w:rsidRPr="006F3CEC">
        <w:rPr>
          <w:rFonts w:ascii="ITC Avant Garde" w:hAnsi="ITC Avant Garde" w:cstheme="minorHAnsi"/>
          <w:vertAlign w:val="superscript"/>
        </w:rPr>
        <w:footnoteReference w:id="13"/>
      </w:r>
      <w:r w:rsidRPr="006F3CEC">
        <w:rPr>
          <w:rFonts w:ascii="ITC Avant Garde" w:hAnsi="ITC Avant Garde"/>
        </w:rPr>
        <w:t xml:space="preserve"> vigente, publicado en el </w:t>
      </w:r>
      <w:r>
        <w:rPr>
          <w:rFonts w:ascii="ITC Avant Garde" w:hAnsi="ITC Avant Garde"/>
        </w:rPr>
        <w:t>DOF</w:t>
      </w:r>
      <w:r w:rsidRPr="006F3CEC">
        <w:rPr>
          <w:rFonts w:ascii="ITC Avant Garde" w:hAnsi="ITC Avant Garde"/>
        </w:rPr>
        <w:t xml:space="preserve"> el 30 de diciembre de 2021, señala la atribución siguiente para la banda de frecuencias 2.3 GHz:</w:t>
      </w:r>
    </w:p>
    <w:p w14:paraId="6AEA2114" w14:textId="77777777" w:rsidR="00F679D5" w:rsidRPr="006F3CEC" w:rsidRDefault="00F679D5" w:rsidP="00F679D5">
      <w:pPr>
        <w:pStyle w:val="Prrafodelista"/>
        <w:spacing w:after="0" w:line="240" w:lineRule="auto"/>
        <w:ind w:left="709"/>
        <w:jc w:val="both"/>
        <w:rPr>
          <w:rFonts w:ascii="ITC Avant Garde" w:hAnsi="ITC Avant Garde"/>
          <w:u w:val="single"/>
        </w:rPr>
      </w:pPr>
    </w:p>
    <w:tbl>
      <w:tblPr>
        <w:tblStyle w:val="Tablaconcuadrcula4"/>
        <w:tblW w:w="0" w:type="auto"/>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7508"/>
      </w:tblGrid>
      <w:tr w:rsidR="00F679D5" w:rsidRPr="00A05D2E" w14:paraId="39640BA7" w14:textId="77777777" w:rsidTr="00105095">
        <w:trPr>
          <w:trHeight w:val="374"/>
          <w:jc w:val="center"/>
        </w:trPr>
        <w:tc>
          <w:tcPr>
            <w:tcW w:w="7508" w:type="dxa"/>
            <w:shd w:val="clear" w:color="auto" w:fill="70AD47" w:themeFill="accent6"/>
            <w:vAlign w:val="center"/>
          </w:tcPr>
          <w:p w14:paraId="3303F1E7" w14:textId="77777777" w:rsidR="00F679D5" w:rsidRPr="00A05D2E" w:rsidRDefault="00F679D5" w:rsidP="00E94675">
            <w:pPr>
              <w:jc w:val="center"/>
              <w:rPr>
                <w:rFonts w:cstheme="minorHAnsi"/>
                <w:b/>
                <w:color w:val="auto"/>
                <w:sz w:val="18"/>
                <w:szCs w:val="18"/>
              </w:rPr>
            </w:pPr>
            <w:r w:rsidRPr="00A05D2E">
              <w:rPr>
                <w:rFonts w:cstheme="minorHAnsi"/>
                <w:b/>
                <w:color w:val="auto"/>
                <w:sz w:val="18"/>
                <w:szCs w:val="18"/>
              </w:rPr>
              <w:t>CNAF (MHz)</w:t>
            </w:r>
          </w:p>
        </w:tc>
      </w:tr>
      <w:tr w:rsidR="00F679D5" w:rsidRPr="00A05D2E" w14:paraId="56B42D66" w14:textId="77777777" w:rsidTr="00105095">
        <w:trPr>
          <w:trHeight w:val="1060"/>
          <w:jc w:val="center"/>
        </w:trPr>
        <w:tc>
          <w:tcPr>
            <w:tcW w:w="7508" w:type="dxa"/>
          </w:tcPr>
          <w:p w14:paraId="4E1FCC40" w14:textId="77777777" w:rsidR="00F679D5" w:rsidRPr="00A05D2E" w:rsidRDefault="00F679D5" w:rsidP="00E94675">
            <w:pPr>
              <w:rPr>
                <w:rFonts w:cstheme="minorHAnsi"/>
                <w:b/>
                <w:color w:val="000000" w:themeColor="text1"/>
                <w:sz w:val="18"/>
                <w:szCs w:val="18"/>
              </w:rPr>
            </w:pPr>
            <w:r w:rsidRPr="00A05D2E">
              <w:rPr>
                <w:rFonts w:cstheme="minorHAnsi"/>
                <w:b/>
                <w:color w:val="000000" w:themeColor="text1"/>
                <w:sz w:val="18"/>
                <w:szCs w:val="18"/>
              </w:rPr>
              <w:lastRenderedPageBreak/>
              <w:t>2300-2400</w:t>
            </w:r>
          </w:p>
          <w:p w14:paraId="34EB9123" w14:textId="77777777" w:rsidR="00F679D5" w:rsidRPr="00A05D2E" w:rsidRDefault="00F679D5" w:rsidP="00E94675">
            <w:pPr>
              <w:ind w:left="160"/>
              <w:rPr>
                <w:rFonts w:cstheme="minorHAnsi"/>
                <w:color w:val="000000" w:themeColor="text1"/>
                <w:sz w:val="18"/>
                <w:szCs w:val="18"/>
              </w:rPr>
            </w:pPr>
            <w:r w:rsidRPr="00A05D2E">
              <w:rPr>
                <w:rFonts w:cstheme="minorHAnsi"/>
                <w:color w:val="000000" w:themeColor="text1"/>
                <w:sz w:val="18"/>
                <w:szCs w:val="18"/>
              </w:rPr>
              <w:t>MÓVIL</w:t>
            </w:r>
          </w:p>
          <w:p w14:paraId="4C2BB60B" w14:textId="77777777" w:rsidR="00F679D5" w:rsidRPr="00A05D2E" w:rsidRDefault="00F679D5" w:rsidP="00E94675">
            <w:pPr>
              <w:ind w:left="160"/>
              <w:rPr>
                <w:rFonts w:cstheme="minorHAnsi"/>
                <w:color w:val="000000" w:themeColor="text1"/>
                <w:sz w:val="18"/>
                <w:szCs w:val="18"/>
              </w:rPr>
            </w:pPr>
            <w:r w:rsidRPr="00A05D2E">
              <w:rPr>
                <w:rFonts w:cstheme="minorHAnsi"/>
                <w:color w:val="000000" w:themeColor="text1"/>
                <w:sz w:val="18"/>
                <w:szCs w:val="18"/>
              </w:rPr>
              <w:t>Aficionados</w:t>
            </w:r>
          </w:p>
          <w:p w14:paraId="43F3A507" w14:textId="77777777" w:rsidR="00F679D5" w:rsidRPr="00A05D2E" w:rsidRDefault="00F679D5" w:rsidP="00E94675">
            <w:pPr>
              <w:ind w:left="160"/>
              <w:rPr>
                <w:rFonts w:cstheme="minorHAnsi"/>
                <w:color w:val="000000" w:themeColor="text1"/>
                <w:sz w:val="18"/>
                <w:szCs w:val="18"/>
              </w:rPr>
            </w:pPr>
            <w:r w:rsidRPr="00A05D2E">
              <w:rPr>
                <w:rFonts w:cstheme="minorHAnsi"/>
                <w:color w:val="000000" w:themeColor="text1"/>
                <w:sz w:val="18"/>
                <w:szCs w:val="18"/>
              </w:rPr>
              <w:t>Radiolocalización</w:t>
            </w:r>
          </w:p>
          <w:p w14:paraId="750EDFFF" w14:textId="77777777" w:rsidR="00F679D5" w:rsidRPr="00A05D2E" w:rsidRDefault="00F679D5" w:rsidP="00E94675">
            <w:pPr>
              <w:jc w:val="right"/>
              <w:rPr>
                <w:b/>
                <w:color w:val="000000" w:themeColor="text1"/>
                <w:sz w:val="18"/>
                <w:szCs w:val="18"/>
              </w:rPr>
            </w:pPr>
            <w:r w:rsidRPr="00A05D2E">
              <w:rPr>
                <w:rFonts w:cstheme="minorHAnsi"/>
                <w:b/>
                <w:color w:val="000000" w:themeColor="text1"/>
                <w:sz w:val="18"/>
                <w:szCs w:val="18"/>
              </w:rPr>
              <w:t>MX189 MX202 MX203 MX203B</w:t>
            </w:r>
          </w:p>
        </w:tc>
      </w:tr>
    </w:tbl>
    <w:p w14:paraId="593E9452" w14:textId="77777777" w:rsidR="00F679D5" w:rsidRPr="006F3CEC" w:rsidRDefault="00F679D5" w:rsidP="00F679D5">
      <w:pPr>
        <w:pStyle w:val="Prrafodelista"/>
        <w:spacing w:after="0" w:line="240" w:lineRule="auto"/>
        <w:ind w:left="709"/>
        <w:jc w:val="both"/>
        <w:rPr>
          <w:rFonts w:ascii="ITC Avant Garde" w:hAnsi="ITC Avant Garde"/>
        </w:rPr>
      </w:pPr>
    </w:p>
    <w:p w14:paraId="50CCE7B4" w14:textId="77777777" w:rsidR="00F679D5" w:rsidRPr="00A05D2E" w:rsidRDefault="00F679D5" w:rsidP="00F679D5">
      <w:pPr>
        <w:spacing w:after="0" w:line="240" w:lineRule="auto"/>
        <w:jc w:val="both"/>
        <w:rPr>
          <w:rFonts w:ascii="ITC Avant Garde" w:hAnsi="ITC Avant Garde"/>
        </w:rPr>
      </w:pPr>
      <w:r w:rsidRPr="00A05D2E">
        <w:rPr>
          <w:rFonts w:ascii="ITC Avant Garde" w:hAnsi="ITC Avant Garde"/>
        </w:rPr>
        <w:t>A su vez, respecto a las notas nacionales contenidas en el CNAF y correspondientes a la banda de frecuencias 2.3 GHz, destacan las siguientes:</w:t>
      </w:r>
    </w:p>
    <w:p w14:paraId="5FE1BD07" w14:textId="77777777" w:rsidR="00F679D5" w:rsidRPr="006F3CEC" w:rsidRDefault="00F679D5" w:rsidP="00F679D5">
      <w:pPr>
        <w:pStyle w:val="Prrafodelista"/>
        <w:spacing w:after="0" w:line="240" w:lineRule="auto"/>
        <w:ind w:left="709"/>
        <w:jc w:val="both"/>
        <w:rPr>
          <w:rFonts w:ascii="ITC Avant Garde" w:hAnsi="ITC Avant Garde"/>
        </w:rPr>
      </w:pPr>
    </w:p>
    <w:p w14:paraId="721DB12C"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r w:rsidRPr="00A05D2E">
        <w:rPr>
          <w:rFonts w:ascii="ITC Avant Garde" w:hAnsi="ITC Avant Garde"/>
          <w:b/>
          <w:bCs/>
          <w:i/>
          <w:iCs/>
          <w:sz w:val="18"/>
          <w:szCs w:val="18"/>
        </w:rPr>
        <w:t>MX189</w:t>
      </w:r>
      <w:r w:rsidRPr="00A05D2E">
        <w:rPr>
          <w:rFonts w:ascii="ITC Avant Garde" w:hAnsi="ITC Avant Garde"/>
          <w:i/>
          <w:iCs/>
          <w:sz w:val="18"/>
          <w:szCs w:val="18"/>
        </w:rPr>
        <w:tab/>
        <w:t>Las bandas de frecuencias 1710 - 2025 MHz, 2110 - 2200 MHz, 2300 - 2400 MHz y 2500 - 2690 MHz están identificadas para sistemas IMT, de conformidad con las Resoluciones 212 (Rev. CMR-15), 223 (Rev. CMR-15) y los números 5.384A y 5.388 del RR. Esta identificación no impide la utilización de esta banda de frecuencias por cualquier aplicación de los servicios a los que está atribuida, ni establece prioridad alguna en el Reglamento de Radiocomunicaciones.</w:t>
      </w:r>
    </w:p>
    <w:p w14:paraId="7822D9F2" w14:textId="77777777" w:rsidR="00F679D5" w:rsidRPr="00A05D2E" w:rsidRDefault="00F679D5" w:rsidP="00F679D5">
      <w:pPr>
        <w:pStyle w:val="Prrafodelista"/>
        <w:spacing w:after="0" w:line="240" w:lineRule="auto"/>
        <w:ind w:left="1134" w:right="567"/>
        <w:jc w:val="both"/>
        <w:rPr>
          <w:rFonts w:ascii="ITC Avant Garde" w:hAnsi="ITC Avant Garde"/>
          <w:i/>
          <w:iCs/>
          <w:sz w:val="18"/>
          <w:szCs w:val="18"/>
        </w:rPr>
      </w:pPr>
    </w:p>
    <w:p w14:paraId="6C100795"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r w:rsidRPr="00A05D2E">
        <w:rPr>
          <w:rFonts w:ascii="ITC Avant Garde" w:hAnsi="ITC Avant Garde"/>
          <w:b/>
          <w:bCs/>
          <w:i/>
          <w:iCs/>
          <w:sz w:val="18"/>
          <w:szCs w:val="18"/>
        </w:rPr>
        <w:t>MX202</w:t>
      </w:r>
      <w:r w:rsidRPr="00A05D2E">
        <w:rPr>
          <w:rFonts w:ascii="ITC Avant Garde" w:hAnsi="ITC Avant Garde"/>
          <w:i/>
          <w:iCs/>
          <w:sz w:val="18"/>
          <w:szCs w:val="18"/>
        </w:rPr>
        <w:tab/>
        <w:t>La banda de frecuencias 2300 - 2400 MHz está identificada para sistemas IMT, de conformidad con la Resolución 223 (Rev. CMR-15) y el número 5.384A del RR. Esta identificación no impide la utilización de esta banda de frecuencias por cualquier aplicación de los servicios a los que está atribuida, ni establece prioridad alguna en el Reglamento de Radiocomunicaciones.</w:t>
      </w:r>
    </w:p>
    <w:p w14:paraId="3DFFC3E8"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p>
    <w:p w14:paraId="180B80F6"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r w:rsidRPr="00A05D2E">
        <w:rPr>
          <w:rFonts w:ascii="ITC Avant Garde" w:hAnsi="ITC Avant Garde"/>
          <w:b/>
          <w:bCs/>
          <w:i/>
          <w:iCs/>
          <w:sz w:val="18"/>
          <w:szCs w:val="18"/>
        </w:rPr>
        <w:t>MX203</w:t>
      </w:r>
      <w:r w:rsidRPr="00A05D2E">
        <w:rPr>
          <w:rFonts w:ascii="ITC Avant Garde" w:hAnsi="ITC Avant Garde"/>
          <w:i/>
          <w:iCs/>
          <w:sz w:val="18"/>
          <w:szCs w:val="18"/>
        </w:rPr>
        <w:tab/>
        <w:t>Actualmente el IFT analiza la viabilidad de utilizar la banda de frecuencias 2300 - 2400 MHz para la prestación de servicios IMT en México.</w:t>
      </w:r>
    </w:p>
    <w:p w14:paraId="0C5F2381"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p>
    <w:p w14:paraId="38E1BFF0" w14:textId="77777777" w:rsidR="00F679D5" w:rsidRPr="00A05D2E" w:rsidRDefault="00F679D5" w:rsidP="00F679D5">
      <w:pPr>
        <w:pStyle w:val="Prrafodelista"/>
        <w:spacing w:after="0" w:line="240" w:lineRule="auto"/>
        <w:ind w:left="1134" w:right="899"/>
        <w:jc w:val="both"/>
        <w:rPr>
          <w:rFonts w:ascii="ITC Avant Garde" w:hAnsi="ITC Avant Garde"/>
          <w:i/>
          <w:iCs/>
          <w:sz w:val="18"/>
          <w:szCs w:val="18"/>
        </w:rPr>
      </w:pPr>
      <w:r w:rsidRPr="00A05D2E">
        <w:rPr>
          <w:rFonts w:ascii="ITC Avant Garde" w:hAnsi="ITC Avant Garde"/>
          <w:b/>
          <w:bCs/>
          <w:i/>
          <w:iCs/>
          <w:sz w:val="18"/>
          <w:szCs w:val="18"/>
        </w:rPr>
        <w:t>MX203B</w:t>
      </w:r>
      <w:r w:rsidRPr="00A05D2E">
        <w:rPr>
          <w:rFonts w:ascii="ITC Avant Garde" w:hAnsi="ITC Avant Garde"/>
          <w:i/>
          <w:iCs/>
          <w:sz w:val="18"/>
          <w:szCs w:val="18"/>
        </w:rPr>
        <w:tab/>
        <w:t xml:space="preserve">El 26 de noviembre de 2018 se publicó en el DOF el Acuerdo mediante el cual el Pleno del Instituto Federal de Telecomunicaciones expide la Disposición Técnica IFT-014-2018. Equipos de microondas para sistemas fijo multicanal punto a punto y punto a multipunto, Parte 1: </w:t>
      </w:r>
      <w:proofErr w:type="spellStart"/>
      <w:r w:rsidRPr="00A05D2E">
        <w:rPr>
          <w:rFonts w:ascii="ITC Avant Garde" w:hAnsi="ITC Avant Garde"/>
          <w:i/>
          <w:iCs/>
          <w:sz w:val="18"/>
          <w:szCs w:val="18"/>
        </w:rPr>
        <w:t>Radioacceso</w:t>
      </w:r>
      <w:proofErr w:type="spellEnd"/>
      <w:r w:rsidRPr="00A05D2E">
        <w:rPr>
          <w:rFonts w:ascii="ITC Avant Garde" w:hAnsi="ITC Avant Garde"/>
          <w:i/>
          <w:iCs/>
          <w:sz w:val="18"/>
          <w:szCs w:val="18"/>
        </w:rPr>
        <w:t xml:space="preserve"> múltiple.</w:t>
      </w:r>
    </w:p>
    <w:p w14:paraId="478D3D3E" w14:textId="77777777" w:rsidR="00F679D5" w:rsidRPr="006F3CEC" w:rsidRDefault="00F679D5" w:rsidP="00F679D5">
      <w:pPr>
        <w:pStyle w:val="Prrafodelista"/>
        <w:spacing w:after="0" w:line="240" w:lineRule="auto"/>
        <w:ind w:left="709"/>
        <w:jc w:val="both"/>
        <w:rPr>
          <w:rFonts w:ascii="ITC Avant Garde" w:hAnsi="ITC Avant Garde"/>
        </w:rPr>
      </w:pPr>
    </w:p>
    <w:p w14:paraId="10735250" w14:textId="77777777" w:rsidR="00F679D5" w:rsidRPr="00A05D2E" w:rsidRDefault="00F679D5" w:rsidP="00F679D5">
      <w:pPr>
        <w:spacing w:after="0" w:line="240" w:lineRule="auto"/>
        <w:jc w:val="both"/>
        <w:rPr>
          <w:rFonts w:ascii="ITC Avant Garde" w:hAnsi="ITC Avant Garde"/>
          <w:b/>
        </w:rPr>
      </w:pPr>
      <w:r w:rsidRPr="00A05D2E">
        <w:rPr>
          <w:rFonts w:ascii="ITC Avant Garde" w:hAnsi="ITC Avant Garde"/>
          <w:b/>
        </w:rPr>
        <w:t>Situación actual de la banda de frecuencias 2.3 GHz</w:t>
      </w:r>
    </w:p>
    <w:p w14:paraId="332971EC" w14:textId="77777777" w:rsidR="00F679D5" w:rsidRPr="006F3CEC" w:rsidRDefault="00F679D5" w:rsidP="00F679D5">
      <w:pPr>
        <w:pStyle w:val="Prrafodelista"/>
        <w:spacing w:after="0" w:line="240" w:lineRule="auto"/>
        <w:ind w:left="709"/>
        <w:jc w:val="both"/>
        <w:rPr>
          <w:rFonts w:ascii="ITC Avant Garde" w:hAnsi="ITC Avant Garde"/>
        </w:rPr>
      </w:pPr>
    </w:p>
    <w:p w14:paraId="580440AD"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Actualmente, en nuestro país la banda de frecuencias 2.3 GHz está identificada como una banda propicia para el despliegue de sistemas de Telecomunicaciones Móviles Internacionales (o IMT, por sus siglas en inglés) para múltiples administraciones a nivel mundial, de conformidad con las Resoluciones 212 (Rev. CMR-19) y 223 (Rev. CMR-19) y los números 5.384A y 5.388 del RR de la UIT. Es importante mencionar que dicha identificación no impide la utilización de esta banda de frecuencias por cualquier aplicación de los servicios a los que está atribuida, ni establece preferencia alguna en el RR.</w:t>
      </w:r>
    </w:p>
    <w:p w14:paraId="363213CD" w14:textId="77777777" w:rsidR="00F679D5" w:rsidRPr="006F3CEC" w:rsidRDefault="00F679D5" w:rsidP="00F679D5">
      <w:pPr>
        <w:pStyle w:val="Prrafodelista"/>
        <w:spacing w:after="0" w:line="240" w:lineRule="auto"/>
        <w:ind w:left="0"/>
        <w:jc w:val="both"/>
        <w:rPr>
          <w:rFonts w:ascii="ITC Avant Garde" w:hAnsi="ITC Avant Garde"/>
        </w:rPr>
      </w:pPr>
    </w:p>
    <w:p w14:paraId="3A2E68FA" w14:textId="77777777" w:rsidR="00F679D5" w:rsidRPr="006F3CEC" w:rsidRDefault="00F679D5" w:rsidP="00F679D5">
      <w:pPr>
        <w:pStyle w:val="Prrafodelista"/>
        <w:spacing w:after="0" w:line="240" w:lineRule="auto"/>
        <w:ind w:left="0"/>
        <w:jc w:val="both"/>
        <w:rPr>
          <w:rFonts w:ascii="ITC Avant Garde" w:hAnsi="ITC Avant Garde"/>
        </w:rPr>
      </w:pPr>
      <w:r>
        <w:rPr>
          <w:rFonts w:ascii="ITC Avant Garde" w:hAnsi="ITC Avant Garde"/>
        </w:rPr>
        <w:t>Como</w:t>
      </w:r>
      <w:r w:rsidRPr="006F3CEC">
        <w:rPr>
          <w:rFonts w:ascii="ITC Avant Garde" w:hAnsi="ITC Avant Garde"/>
        </w:rPr>
        <w:t xml:space="preserve"> consecuencia de la identificación de dichas bandas de frecuencias como propicias para las IMT, el Sector de Radiocomunicaciones de la UIT (UIT-R) plantea en su Recomendación ITU-R M.1036-7 “</w:t>
      </w:r>
      <w:r w:rsidRPr="006F3CEC">
        <w:rPr>
          <w:rFonts w:ascii="ITC Avant Garde" w:hAnsi="ITC Avant Garde"/>
          <w:i/>
          <w:iCs/>
        </w:rPr>
        <w:t xml:space="preserve">Disposiciones de frecuencias para la implementación </w:t>
      </w:r>
      <w:r w:rsidRPr="006F3CEC">
        <w:rPr>
          <w:rFonts w:ascii="ITC Avant Garde" w:hAnsi="ITC Avant Garde"/>
          <w:i/>
          <w:iCs/>
        </w:rPr>
        <w:lastRenderedPageBreak/>
        <w:t>de la componente terrenal de las telecomunicaciones móviles internacionales en las bandas identificadas en el Reglamento de Radiocomunicaciones para las IMT</w:t>
      </w:r>
      <w:r w:rsidRPr="006F3CEC">
        <w:rPr>
          <w:rFonts w:ascii="ITC Avant Garde" w:hAnsi="ITC Avant Garde"/>
        </w:rPr>
        <w:t>”</w:t>
      </w:r>
      <w:r w:rsidRPr="006F3CEC">
        <w:rPr>
          <w:rFonts w:ascii="ITC Avant Garde" w:hAnsi="ITC Avant Garde"/>
          <w:vertAlign w:val="superscript"/>
        </w:rPr>
        <w:footnoteReference w:id="14"/>
      </w:r>
      <w:r w:rsidRPr="006F3CEC">
        <w:rPr>
          <w:rFonts w:ascii="ITC Avant Garde" w:hAnsi="ITC Avant Garde"/>
        </w:rPr>
        <w:t xml:space="preserve">, un esquema de segmentación para la banda que va de 2 300 MHz a 2 400 MHz, denominado E1, en modo de </w:t>
      </w:r>
      <w:proofErr w:type="spellStart"/>
      <w:r w:rsidRPr="006F3CEC">
        <w:rPr>
          <w:rFonts w:ascii="ITC Avant Garde" w:hAnsi="ITC Avant Garde"/>
        </w:rPr>
        <w:t>duplexaje</w:t>
      </w:r>
      <w:proofErr w:type="spellEnd"/>
      <w:r w:rsidRPr="006F3CEC">
        <w:rPr>
          <w:rFonts w:ascii="ITC Avant Garde" w:hAnsi="ITC Avant Garde"/>
        </w:rPr>
        <w:t xml:space="preserve"> por división de tiempo (TDD, por sus siglas en inglés de: </w:t>
      </w:r>
      <w:r w:rsidRPr="006F3CEC">
        <w:rPr>
          <w:rFonts w:ascii="ITC Avant Garde" w:hAnsi="ITC Avant Garde"/>
          <w:i/>
          <w:iCs/>
        </w:rPr>
        <w:t xml:space="preserve">Time </w:t>
      </w:r>
      <w:proofErr w:type="spellStart"/>
      <w:r w:rsidRPr="006F3CEC">
        <w:rPr>
          <w:rFonts w:ascii="ITC Avant Garde" w:hAnsi="ITC Avant Garde"/>
          <w:i/>
          <w:iCs/>
        </w:rPr>
        <w:t>Division</w:t>
      </w:r>
      <w:proofErr w:type="spellEnd"/>
      <w:r w:rsidRPr="006F3CEC">
        <w:rPr>
          <w:rFonts w:ascii="ITC Avant Garde" w:hAnsi="ITC Avant Garde"/>
          <w:i/>
          <w:iCs/>
        </w:rPr>
        <w:t xml:space="preserve"> </w:t>
      </w:r>
      <w:proofErr w:type="spellStart"/>
      <w:r w:rsidRPr="006F3CEC">
        <w:rPr>
          <w:rFonts w:ascii="ITC Avant Garde" w:hAnsi="ITC Avant Garde"/>
          <w:i/>
          <w:iCs/>
        </w:rPr>
        <w:t>Duplex</w:t>
      </w:r>
      <w:proofErr w:type="spellEnd"/>
      <w:r w:rsidRPr="006F3CEC">
        <w:rPr>
          <w:rFonts w:ascii="ITC Avant Garde" w:hAnsi="ITC Avant Garde"/>
        </w:rPr>
        <w:t>).</w:t>
      </w:r>
    </w:p>
    <w:p w14:paraId="217E1FEE" w14:textId="77777777" w:rsidR="00F679D5" w:rsidRPr="006F3CEC" w:rsidRDefault="00F679D5" w:rsidP="00F679D5">
      <w:pPr>
        <w:pStyle w:val="Prrafodelista"/>
        <w:spacing w:after="0" w:line="240" w:lineRule="auto"/>
        <w:ind w:left="709"/>
        <w:jc w:val="both"/>
        <w:rPr>
          <w:rFonts w:ascii="ITC Avant Garde" w:hAnsi="ITC Avant Garde"/>
        </w:rPr>
      </w:pPr>
    </w:p>
    <w:p w14:paraId="7E9BB085"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Por otra parte, el Comité Consultivo Permanente II: Radiocomunicaciones (CCP.II) de la Comisión Interamericana de Telecomunicaciones (CITEL), acordó aprobar una recomendación para los países que conforman la Región 2 titulada: Recomendación CCP.II/REC. 67 (XLIII-24) “</w:t>
      </w:r>
      <w:r w:rsidRPr="006F3CEC">
        <w:rPr>
          <w:rFonts w:ascii="ITC Avant Garde" w:hAnsi="ITC Avant Garde"/>
          <w:i/>
          <w:iCs/>
        </w:rPr>
        <w:t>Disposiciones de frecuencias para la componente terrenal de las Telecomunicaciones Móviles Internacionales (IMT)</w:t>
      </w:r>
      <w:r w:rsidRPr="006F3CEC">
        <w:rPr>
          <w:rFonts w:ascii="ITC Avant Garde" w:hAnsi="ITC Avant Garde"/>
        </w:rPr>
        <w:t>”</w:t>
      </w:r>
      <w:r w:rsidRPr="006F3CEC">
        <w:rPr>
          <w:rFonts w:ascii="ITC Avant Garde" w:hAnsi="ITC Avant Garde"/>
          <w:vertAlign w:val="superscript"/>
        </w:rPr>
        <w:footnoteReference w:id="15"/>
      </w:r>
      <w:r w:rsidRPr="006F3CEC">
        <w:rPr>
          <w:rFonts w:ascii="ITC Avant Garde" w:hAnsi="ITC Avant Garde"/>
        </w:rPr>
        <w:t xml:space="preserve"> en las que se considera la banda 2.3 GHz para la provisión de servicios de banda ancha a través de aplicaciones IMT y se recomienda a las administraciones considerar la selección del arreglo E1 para la banda 2.3 GHz a fin de maximizar la armonización global de sistemas IMT.</w:t>
      </w:r>
    </w:p>
    <w:p w14:paraId="35CFCDF6" w14:textId="77777777" w:rsidR="00F679D5" w:rsidRPr="006F3CEC" w:rsidRDefault="00F679D5" w:rsidP="00F679D5">
      <w:pPr>
        <w:pStyle w:val="Prrafodelista"/>
        <w:spacing w:after="0" w:line="240" w:lineRule="auto"/>
        <w:ind w:left="0"/>
        <w:jc w:val="both"/>
        <w:rPr>
          <w:rFonts w:ascii="ITC Avant Garde" w:hAnsi="ITC Avant Garde"/>
        </w:rPr>
      </w:pPr>
    </w:p>
    <w:p w14:paraId="001D22B9" w14:textId="43A27149"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Adicionalmente, el organismo de estandarización 3GPP (</w:t>
      </w:r>
      <w:r w:rsidRPr="006F3CEC">
        <w:rPr>
          <w:rFonts w:ascii="ITC Avant Garde" w:hAnsi="ITC Avant Garde"/>
          <w:i/>
          <w:iCs/>
        </w:rPr>
        <w:t xml:space="preserve">3rd </w:t>
      </w:r>
      <w:proofErr w:type="spellStart"/>
      <w:r w:rsidRPr="006F3CEC">
        <w:rPr>
          <w:rFonts w:ascii="ITC Avant Garde" w:hAnsi="ITC Avant Garde"/>
          <w:i/>
          <w:iCs/>
        </w:rPr>
        <w:t>Generation</w:t>
      </w:r>
      <w:proofErr w:type="spellEnd"/>
      <w:r w:rsidRPr="006F3CEC">
        <w:rPr>
          <w:rFonts w:ascii="ITC Avant Garde" w:hAnsi="ITC Avant Garde"/>
          <w:i/>
          <w:iCs/>
        </w:rPr>
        <w:t xml:space="preserve"> </w:t>
      </w:r>
      <w:proofErr w:type="spellStart"/>
      <w:r w:rsidRPr="006F3CEC">
        <w:rPr>
          <w:rFonts w:ascii="ITC Avant Garde" w:hAnsi="ITC Avant Garde"/>
          <w:i/>
          <w:iCs/>
        </w:rPr>
        <w:t>Partnership</w:t>
      </w:r>
      <w:proofErr w:type="spellEnd"/>
      <w:r w:rsidRPr="006F3CEC">
        <w:rPr>
          <w:rFonts w:ascii="ITC Avant Garde" w:hAnsi="ITC Avant Garde"/>
          <w:i/>
          <w:iCs/>
        </w:rPr>
        <w:t xml:space="preserve"> Project</w:t>
      </w:r>
      <w:r w:rsidRPr="006F3CEC">
        <w:rPr>
          <w:rFonts w:ascii="ITC Avant Garde" w:hAnsi="ITC Avant Garde"/>
        </w:rPr>
        <w:t>)</w:t>
      </w:r>
      <w:r w:rsidRPr="006F3CEC">
        <w:rPr>
          <w:rFonts w:ascii="ITC Avant Garde" w:hAnsi="ITC Avant Garde"/>
          <w:vertAlign w:val="superscript"/>
        </w:rPr>
        <w:footnoteReference w:id="16"/>
      </w:r>
      <w:r w:rsidRPr="006F3CEC">
        <w:rPr>
          <w:rFonts w:ascii="ITC Avant Garde" w:hAnsi="ITC Avant Garde"/>
        </w:rPr>
        <w:t xml:space="preserve"> desarrolló combinaciones para la implementación de sistemas IMT que incluyen la banda de frecuencias 2.3 GHz. Dichas combinaciones consideran la clasificación de la banda 40 para el segmento 2.3-2.4 GHz para aplicaciones LTE y LTE-Avanzadas, así como la banda n40 con la misma segmentación para el caso de la utilización de sistemas de 5G NR, como se muestra en la tabla siguiente:</w:t>
      </w:r>
    </w:p>
    <w:p w14:paraId="78C9CA34" w14:textId="77777777" w:rsidR="00F679D5" w:rsidRPr="006F3CEC" w:rsidRDefault="00F679D5" w:rsidP="00F679D5">
      <w:pPr>
        <w:pStyle w:val="Prrafodelista"/>
        <w:spacing w:after="0" w:line="240" w:lineRule="auto"/>
        <w:ind w:left="709"/>
        <w:jc w:val="both"/>
        <w:rPr>
          <w:rFonts w:ascii="ITC Avant Garde" w:hAnsi="ITC Avant Garde"/>
        </w:rPr>
      </w:pPr>
    </w:p>
    <w:tbl>
      <w:tblPr>
        <w:tblStyle w:val="Tablaconcuadrcula1"/>
        <w:tblW w:w="0" w:type="auto"/>
        <w:jc w:val="center"/>
        <w:tblLook w:val="04A0" w:firstRow="1" w:lastRow="0" w:firstColumn="1" w:lastColumn="0" w:noHBand="0" w:noVBand="1"/>
      </w:tblPr>
      <w:tblGrid>
        <w:gridCol w:w="1772"/>
        <w:gridCol w:w="1772"/>
        <w:gridCol w:w="1772"/>
        <w:gridCol w:w="1772"/>
      </w:tblGrid>
      <w:tr w:rsidR="00F679D5" w:rsidRPr="00A05D2E" w14:paraId="0D9892A6" w14:textId="77777777" w:rsidTr="00105095">
        <w:trPr>
          <w:trHeight w:val="414"/>
          <w:jc w:val="center"/>
        </w:trPr>
        <w:tc>
          <w:tcPr>
            <w:tcW w:w="1772" w:type="dxa"/>
            <w:shd w:val="clear" w:color="auto" w:fill="70AD47"/>
            <w:vAlign w:val="center"/>
          </w:tcPr>
          <w:p w14:paraId="705F132B" w14:textId="77777777" w:rsidR="00F679D5" w:rsidRPr="00A05D2E" w:rsidRDefault="00F679D5" w:rsidP="00E9467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Banda del 3GPP</w:t>
            </w:r>
          </w:p>
        </w:tc>
        <w:tc>
          <w:tcPr>
            <w:tcW w:w="1772" w:type="dxa"/>
            <w:shd w:val="clear" w:color="auto" w:fill="70AD47"/>
            <w:vAlign w:val="center"/>
          </w:tcPr>
          <w:p w14:paraId="0A6F3E9A" w14:textId="77777777" w:rsidR="00F679D5" w:rsidRPr="00A05D2E" w:rsidRDefault="00F679D5" w:rsidP="00E9467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ascendente</w:t>
            </w:r>
          </w:p>
        </w:tc>
        <w:tc>
          <w:tcPr>
            <w:tcW w:w="1772" w:type="dxa"/>
            <w:shd w:val="clear" w:color="auto" w:fill="70AD47"/>
            <w:vAlign w:val="center"/>
          </w:tcPr>
          <w:p w14:paraId="68C155A9" w14:textId="77777777" w:rsidR="00F679D5" w:rsidRPr="00A05D2E" w:rsidRDefault="00F679D5" w:rsidP="00E9467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descendente</w:t>
            </w:r>
          </w:p>
        </w:tc>
        <w:tc>
          <w:tcPr>
            <w:tcW w:w="1772" w:type="dxa"/>
            <w:shd w:val="clear" w:color="auto" w:fill="70AD47"/>
            <w:vAlign w:val="center"/>
          </w:tcPr>
          <w:p w14:paraId="5C002BAE" w14:textId="77777777" w:rsidR="00F679D5" w:rsidRPr="00A05D2E" w:rsidRDefault="00F679D5" w:rsidP="00E94675">
            <w:pPr>
              <w:jc w:val="center"/>
              <w:rPr>
                <w:rFonts w:ascii="ITC Avant Garde" w:hAnsi="ITC Avant Garde" w:cstheme="minorHAnsi"/>
                <w:b/>
                <w:color w:val="FFFFFF"/>
                <w:sz w:val="18"/>
                <w:szCs w:val="18"/>
              </w:rPr>
            </w:pPr>
            <w:proofErr w:type="spellStart"/>
            <w:r w:rsidRPr="00A05D2E">
              <w:rPr>
                <w:rFonts w:ascii="ITC Avant Garde" w:hAnsi="ITC Avant Garde" w:cstheme="minorHAnsi"/>
                <w:b/>
                <w:color w:val="FFFFFF"/>
                <w:sz w:val="18"/>
                <w:szCs w:val="18"/>
              </w:rPr>
              <w:t>Duplexaje</w:t>
            </w:r>
            <w:proofErr w:type="spellEnd"/>
          </w:p>
        </w:tc>
      </w:tr>
      <w:tr w:rsidR="00F679D5" w:rsidRPr="00A05D2E" w14:paraId="5B6C28E1" w14:textId="77777777" w:rsidTr="00105095">
        <w:trPr>
          <w:jc w:val="center"/>
        </w:trPr>
        <w:tc>
          <w:tcPr>
            <w:tcW w:w="1772" w:type="dxa"/>
            <w:vAlign w:val="center"/>
          </w:tcPr>
          <w:p w14:paraId="313E9504"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40</w:t>
            </w:r>
          </w:p>
        </w:tc>
        <w:tc>
          <w:tcPr>
            <w:tcW w:w="1772" w:type="dxa"/>
            <w:vAlign w:val="center"/>
          </w:tcPr>
          <w:p w14:paraId="48E78276"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2300 MHz – 2400 MHz</w:t>
            </w:r>
          </w:p>
        </w:tc>
        <w:tc>
          <w:tcPr>
            <w:tcW w:w="1772" w:type="dxa"/>
            <w:vAlign w:val="center"/>
          </w:tcPr>
          <w:p w14:paraId="7484B1B2"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2300 MHz – 2400 MHz</w:t>
            </w:r>
          </w:p>
        </w:tc>
        <w:tc>
          <w:tcPr>
            <w:tcW w:w="1772" w:type="dxa"/>
            <w:vAlign w:val="center"/>
          </w:tcPr>
          <w:p w14:paraId="21A1E8C9"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r w:rsidR="00F679D5" w:rsidRPr="00A05D2E" w14:paraId="71E9EE9D" w14:textId="77777777" w:rsidTr="00105095">
        <w:trPr>
          <w:trHeight w:val="224"/>
          <w:jc w:val="center"/>
        </w:trPr>
        <w:tc>
          <w:tcPr>
            <w:tcW w:w="1772" w:type="dxa"/>
            <w:vAlign w:val="center"/>
          </w:tcPr>
          <w:p w14:paraId="5F6932FA"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n40</w:t>
            </w:r>
          </w:p>
        </w:tc>
        <w:tc>
          <w:tcPr>
            <w:tcW w:w="1772" w:type="dxa"/>
            <w:vAlign w:val="center"/>
          </w:tcPr>
          <w:p w14:paraId="61D58898"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2300 MHz – 2400 MHz</w:t>
            </w:r>
          </w:p>
        </w:tc>
        <w:tc>
          <w:tcPr>
            <w:tcW w:w="1772" w:type="dxa"/>
            <w:vAlign w:val="center"/>
          </w:tcPr>
          <w:p w14:paraId="57E61F03"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2300 MHz – 2400 MHz</w:t>
            </w:r>
          </w:p>
        </w:tc>
        <w:tc>
          <w:tcPr>
            <w:tcW w:w="1772" w:type="dxa"/>
            <w:vAlign w:val="center"/>
          </w:tcPr>
          <w:p w14:paraId="3240903B" w14:textId="77777777" w:rsidR="00F679D5" w:rsidRPr="00A05D2E" w:rsidRDefault="00F679D5" w:rsidP="00E9467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bl>
    <w:p w14:paraId="3673EC4E" w14:textId="77777777" w:rsidR="00F679D5" w:rsidRPr="006F3CEC" w:rsidRDefault="00F679D5" w:rsidP="00F679D5">
      <w:pPr>
        <w:pStyle w:val="Prrafodelista"/>
        <w:spacing w:after="0" w:line="240" w:lineRule="auto"/>
        <w:ind w:left="709"/>
        <w:jc w:val="both"/>
        <w:rPr>
          <w:rFonts w:ascii="ITC Avant Garde" w:hAnsi="ITC Avant Garde"/>
        </w:rPr>
      </w:pPr>
    </w:p>
    <w:p w14:paraId="183D3C23"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 xml:space="preserve">De conformidad con la información recabada del </w:t>
      </w:r>
      <w:r w:rsidRPr="006F3CEC">
        <w:rPr>
          <w:rFonts w:ascii="ITC Avant Garde" w:hAnsi="ITC Avant Garde" w:cstheme="minorHAnsi"/>
          <w:color w:val="000000"/>
        </w:rPr>
        <w:t>Sistema Integral de Administración del Espectro Radioeléctrico (</w:t>
      </w:r>
      <w:r w:rsidRPr="006F3CEC">
        <w:rPr>
          <w:rFonts w:ascii="ITC Avant Garde" w:hAnsi="ITC Avant Garde"/>
        </w:rPr>
        <w:t>SIAER)</w:t>
      </w:r>
      <w:r w:rsidRPr="006F3CEC">
        <w:rPr>
          <w:rFonts w:ascii="ITC Avant Garde" w:hAnsi="ITC Avant Garde"/>
          <w:vertAlign w:val="superscript"/>
        </w:rPr>
        <w:footnoteReference w:id="17"/>
      </w:r>
      <w:r w:rsidRPr="006F3CEC">
        <w:rPr>
          <w:rFonts w:ascii="ITC Avant Garde" w:hAnsi="ITC Avant Garde"/>
        </w:rPr>
        <w:t xml:space="preserve">, al día de hoy se cuentan con 287 registros de radioenlaces del servicio fijo en todo el territorio nacional en la banda de 2300-2400 MHz, los cuales, al contar con una separación dúplex de 77 MHz entre frecuencias de transmisión y recepción, llegan a ocupar frecuencias en los segmentos 2290-2360 MHz y 2370-2440 MHz con anchos de banda por canal de 1.75 MHz, 2 MHz, 3.5 MHz y 4.5 MHz. </w:t>
      </w:r>
      <w:r w:rsidRPr="006F3CEC">
        <w:rPr>
          <w:rFonts w:ascii="ITC Avant Garde" w:hAnsi="ITC Avant Garde"/>
        </w:rPr>
        <w:lastRenderedPageBreak/>
        <w:t>Tales registros se encuentran asociados a particulares, organismos públicos descentralizados, empresas paraestatales, dependencias y entidades gubernamentales, empresas de transporte, por mencionar algunos, los cuales hacen uso del espectro radioeléctrico al amparo de permisos y autorizaciones otorgados previo a la entrada en vigor de la Ley Federal de Telecomunicaciones de 1995.</w:t>
      </w:r>
    </w:p>
    <w:p w14:paraId="0038CF5A" w14:textId="77777777" w:rsidR="00F679D5" w:rsidRPr="006F3CEC" w:rsidRDefault="00F679D5" w:rsidP="00F679D5">
      <w:pPr>
        <w:pStyle w:val="Prrafodelista"/>
        <w:spacing w:after="0" w:line="240" w:lineRule="auto"/>
        <w:ind w:left="709"/>
        <w:jc w:val="both"/>
        <w:rPr>
          <w:rFonts w:ascii="ITC Avant Garde" w:hAnsi="ITC Avant Garde"/>
        </w:rPr>
      </w:pPr>
    </w:p>
    <w:p w14:paraId="1E7771DC" w14:textId="77777777"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Adicionalmente, de conformidad con el RPC</w:t>
      </w:r>
      <w:r w:rsidRPr="006F3CEC">
        <w:rPr>
          <w:rFonts w:ascii="ITC Avant Garde" w:hAnsi="ITC Avant Garde"/>
          <w:vertAlign w:val="superscript"/>
        </w:rPr>
        <w:footnoteReference w:id="18"/>
      </w:r>
      <w:r w:rsidRPr="006F3CEC">
        <w:rPr>
          <w:rFonts w:ascii="ITC Avant Garde" w:hAnsi="ITC Avant Garde"/>
        </w:rPr>
        <w:t xml:space="preserve"> se cuenta con una concesión para el uso y aprovechamiento del espectro radioeléctrico de uso público otorgada al Sistema de Transporte Colectivo, Organismo Público Descentralizado de la Ciudad de México, para la provisión del servicio de acceso inalámbrico móvil dentro de la banda de frecuencias 2300-2400 MHz; una concesión para el uso y aprovechamiento del espectro radioeléctrico para uso privado, con propósitos de experimentación, en el segmento 2380-2400 MHz, otorgada a </w:t>
      </w:r>
      <w:proofErr w:type="spellStart"/>
      <w:r w:rsidRPr="006F3CEC">
        <w:rPr>
          <w:rFonts w:ascii="ITC Avant Garde" w:hAnsi="ITC Avant Garde"/>
        </w:rPr>
        <w:t>Rurtech</w:t>
      </w:r>
      <w:proofErr w:type="spellEnd"/>
      <w:r w:rsidRPr="006F3CEC">
        <w:rPr>
          <w:rFonts w:ascii="ITC Avant Garde" w:hAnsi="ITC Avant Garde"/>
        </w:rPr>
        <w:t>, A.C., a fin de realizar pruebas experimentales de un sistema del servicio móvil en el Municipio de Canelas, Durango, así como una Constancia de Autorización de uso secundario del rango de frecuencias 2360-2400 MHz, otorgada a favor de Minera Peñasquito, S.A. de C.V., para instalaciones destinadas a actividades industriales ubicadas en el Municipio de Mazapil, Zacatecas.</w:t>
      </w:r>
    </w:p>
    <w:p w14:paraId="6757C74F" w14:textId="77777777" w:rsidR="00F679D5" w:rsidRPr="006F3CEC" w:rsidRDefault="00F679D5" w:rsidP="00F679D5">
      <w:pPr>
        <w:pStyle w:val="Prrafodelista"/>
        <w:spacing w:after="0" w:line="240" w:lineRule="auto"/>
        <w:ind w:left="0"/>
        <w:jc w:val="both"/>
        <w:rPr>
          <w:rFonts w:ascii="ITC Avant Garde" w:hAnsi="ITC Avant Garde"/>
        </w:rPr>
      </w:pPr>
    </w:p>
    <w:p w14:paraId="488D24F0" w14:textId="26ED5368"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t>Finalmente, el 24 de julio de 2000 se firmó en la Ciudad de México el Acuerdo</w:t>
      </w:r>
      <w:r w:rsidRPr="006F3CEC">
        <w:rPr>
          <w:rFonts w:ascii="ITC Avant Garde" w:hAnsi="ITC Avant Garde"/>
          <w:vertAlign w:val="superscript"/>
        </w:rPr>
        <w:footnoteReference w:id="19"/>
      </w:r>
      <w:r w:rsidRPr="006F3CEC">
        <w:rPr>
          <w:rFonts w:ascii="ITC Avant Garde" w:hAnsi="ITC Avant Garde"/>
        </w:rPr>
        <w:t xml:space="preserve"> entre los Estados Unidos de América y México relativo al uso de la banda 2310-2360 MHz para los servicios de radiodifusión sonora digital vía satélite (DARS, por sus siglas </w:t>
      </w:r>
      <w:r>
        <w:rPr>
          <w:rFonts w:ascii="ITC Avant Garde" w:hAnsi="ITC Avant Garde"/>
        </w:rPr>
        <w:t xml:space="preserve">en </w:t>
      </w:r>
      <w:r w:rsidRPr="006F3CEC">
        <w:rPr>
          <w:rFonts w:ascii="ITC Avant Garde" w:hAnsi="ITC Avant Garde"/>
        </w:rPr>
        <w:t xml:space="preserve">inglés) entre ambos países. Dicho acuerdo tenía como </w:t>
      </w:r>
      <w:r w:rsidRPr="004824C5">
        <w:rPr>
          <w:rFonts w:ascii="ITC Avant Garde" w:hAnsi="ITC Avant Garde"/>
        </w:rPr>
        <w:t xml:space="preserve">finalidad </w:t>
      </w:r>
      <w:r w:rsidRPr="006F3CEC">
        <w:rPr>
          <w:rFonts w:ascii="ITC Avant Garde" w:hAnsi="ITC Avant Garde"/>
        </w:rPr>
        <w:t>establecer entre los dos países un arreglo de operación de bandas de frecuencias, la coordinación de los sistemas satelitales DARS y los sistemas terrenales, así como el establecer límites de DFP y niveles de protección para los receptores satelitales y los sistemas terrestres; sin embargo, se observa un alto nivel de obsolescencia de estos servicios y la nula existencia de títulos habilitantes para la prestación de servicios de radiodifusión sonora a través de la operación de los sistemas DARS en nuestro país. Lo anterior, encuentra sustento con las acciones de planificación espectral asociadas con el número 5.393 del RR, la cual no considera la atribución adicional a título primario al servicio de radiodifusión por satélite (sonora) en la banda 2310-2360 MHz para México, y que resulta consistente con las atribuciones actuales que tiene la banda de frecuencias 2300-2400 MHz en el CNAF.</w:t>
      </w:r>
    </w:p>
    <w:p w14:paraId="7454CA7B" w14:textId="77777777" w:rsidR="00F679D5" w:rsidRPr="006F3CEC" w:rsidRDefault="00F679D5" w:rsidP="00F679D5">
      <w:pPr>
        <w:pStyle w:val="Prrafodelista"/>
        <w:spacing w:after="0" w:line="240" w:lineRule="auto"/>
        <w:ind w:left="709"/>
        <w:jc w:val="both"/>
        <w:rPr>
          <w:rFonts w:ascii="ITC Avant Garde" w:hAnsi="ITC Avant Garde"/>
        </w:rPr>
      </w:pPr>
    </w:p>
    <w:p w14:paraId="70701CCF" w14:textId="622DBC11" w:rsidR="00F679D5" w:rsidRPr="00A05D2E" w:rsidRDefault="001D78B6" w:rsidP="00F679D5">
      <w:pPr>
        <w:pStyle w:val="Prrafodelista"/>
        <w:spacing w:after="0" w:line="240" w:lineRule="auto"/>
        <w:ind w:left="0"/>
        <w:rPr>
          <w:rFonts w:ascii="ITC Avant Garde" w:hAnsi="ITC Avant Garde"/>
          <w:b/>
        </w:rPr>
      </w:pPr>
      <w:r>
        <w:rPr>
          <w:rFonts w:ascii="ITC Avant Garde" w:hAnsi="ITC Avant Garde"/>
          <w:b/>
        </w:rPr>
        <w:t>5</w:t>
      </w:r>
      <w:r w:rsidR="00F679D5">
        <w:rPr>
          <w:rFonts w:ascii="ITC Avant Garde" w:hAnsi="ITC Avant Garde"/>
          <w:b/>
        </w:rPr>
        <w:t xml:space="preserve">.1.2. </w:t>
      </w:r>
      <w:r w:rsidR="00F679D5" w:rsidRPr="00A05D2E">
        <w:rPr>
          <w:rFonts w:ascii="ITC Avant Garde" w:hAnsi="ITC Avant Garde"/>
          <w:b/>
        </w:rPr>
        <w:t>Banda 3.4 – 3.6 GHz</w:t>
      </w:r>
    </w:p>
    <w:p w14:paraId="0F94C02E" w14:textId="77777777" w:rsidR="00105095" w:rsidRPr="00A05D2E" w:rsidRDefault="00105095" w:rsidP="00F679D5">
      <w:pPr>
        <w:pStyle w:val="Prrafodelista"/>
        <w:spacing w:after="0" w:line="240" w:lineRule="auto"/>
        <w:ind w:left="0"/>
        <w:rPr>
          <w:rFonts w:ascii="ITC Avant Garde" w:hAnsi="ITC Avant Garde"/>
          <w:b/>
        </w:rPr>
      </w:pPr>
    </w:p>
    <w:p w14:paraId="180E36B9" w14:textId="759DB79C" w:rsidR="00F679D5" w:rsidRPr="006F3CEC" w:rsidRDefault="00F679D5" w:rsidP="00F679D5">
      <w:pPr>
        <w:pStyle w:val="Prrafodelista"/>
        <w:spacing w:after="0" w:line="240" w:lineRule="auto"/>
        <w:ind w:left="0"/>
        <w:jc w:val="both"/>
        <w:rPr>
          <w:rFonts w:ascii="ITC Avant Garde" w:hAnsi="ITC Avant Garde"/>
        </w:rPr>
      </w:pPr>
      <w:r w:rsidRPr="006F3CEC">
        <w:rPr>
          <w:rFonts w:ascii="ITC Avant Garde" w:hAnsi="ITC Avant Garde"/>
        </w:rPr>
        <w:lastRenderedPageBreak/>
        <w:t>Identificado como IMT para Región 2 en CMR-</w:t>
      </w:r>
      <w:r w:rsidR="000A495B">
        <w:rPr>
          <w:rFonts w:ascii="ITC Avant Garde" w:hAnsi="ITC Avant Garde"/>
        </w:rPr>
        <w:t>15</w:t>
      </w:r>
      <w:r w:rsidRPr="006F3CEC">
        <w:rPr>
          <w:rFonts w:ascii="ITC Avant Garde" w:hAnsi="ITC Avant Garde"/>
        </w:rPr>
        <w:t xml:space="preserve">, Resolución 223 (Rev. CMR-23) y el </w:t>
      </w:r>
      <w:r w:rsidRPr="000C60C7">
        <w:rPr>
          <w:rFonts w:ascii="ITC Avant Garde" w:hAnsi="ITC Avant Garde"/>
        </w:rPr>
        <w:t>número 5.</w:t>
      </w:r>
      <w:r w:rsidR="00AA700A" w:rsidRPr="000C60C7">
        <w:rPr>
          <w:rFonts w:ascii="ITC Avant Garde" w:hAnsi="ITC Avant Garde"/>
        </w:rPr>
        <w:t>431B</w:t>
      </w:r>
      <w:r w:rsidR="00AA700A" w:rsidRPr="006F3CEC">
        <w:rPr>
          <w:rFonts w:ascii="ITC Avant Garde" w:hAnsi="ITC Avant Garde"/>
        </w:rPr>
        <w:t xml:space="preserve"> </w:t>
      </w:r>
      <w:r w:rsidRPr="006F3CEC">
        <w:rPr>
          <w:rFonts w:ascii="ITC Avant Garde" w:hAnsi="ITC Avant Garde"/>
        </w:rPr>
        <w:t>del RR</w:t>
      </w:r>
      <w:r>
        <w:rPr>
          <w:rFonts w:ascii="ITC Avant Garde" w:hAnsi="ITC Avant Garde"/>
        </w:rPr>
        <w:t>.</w:t>
      </w:r>
    </w:p>
    <w:p w14:paraId="5CAE7FED" w14:textId="77777777" w:rsidR="00F679D5" w:rsidRDefault="00F679D5" w:rsidP="00F679D5">
      <w:pPr>
        <w:spacing w:after="0" w:line="240" w:lineRule="auto"/>
        <w:rPr>
          <w:rFonts w:ascii="ITC Avant Garde" w:hAnsi="ITC Avant Garde"/>
        </w:rPr>
      </w:pPr>
    </w:p>
    <w:p w14:paraId="13395505" w14:textId="24FC6834" w:rsidR="00F679D5" w:rsidRPr="00F679D5" w:rsidRDefault="00F679D5" w:rsidP="00F679D5">
      <w:pPr>
        <w:spacing w:after="0" w:line="240" w:lineRule="auto"/>
        <w:rPr>
          <w:rFonts w:ascii="ITC Avant Garde" w:hAnsi="ITC Avant Garde"/>
          <w:b/>
          <w:bCs/>
        </w:rPr>
      </w:pPr>
      <w:r w:rsidRPr="00F679D5">
        <w:rPr>
          <w:rFonts w:ascii="ITC Avant Garde" w:hAnsi="ITC Avant Garde"/>
          <w:b/>
          <w:bCs/>
        </w:rPr>
        <w:t>Modalidad de Uso: Comercial</w:t>
      </w:r>
    </w:p>
    <w:p w14:paraId="5FFD4D83" w14:textId="77777777" w:rsidR="00F679D5" w:rsidRPr="00F679D5" w:rsidRDefault="00F679D5" w:rsidP="00F679D5">
      <w:pPr>
        <w:spacing w:after="0" w:line="240" w:lineRule="auto"/>
        <w:rPr>
          <w:rFonts w:ascii="ITC Avant Garde" w:hAnsi="ITC Avant Garde"/>
        </w:rPr>
      </w:pPr>
    </w:p>
    <w:p w14:paraId="27D87FBA" w14:textId="77777777" w:rsidR="00F679D5" w:rsidRPr="006F3CEC" w:rsidRDefault="00F679D5" w:rsidP="00F679D5">
      <w:pPr>
        <w:pStyle w:val="Prrafodelista"/>
        <w:spacing w:after="0" w:line="240" w:lineRule="auto"/>
        <w:ind w:left="0"/>
        <w:contextualSpacing w:val="0"/>
        <w:jc w:val="both"/>
        <w:rPr>
          <w:rFonts w:ascii="ITC Avant Garde" w:hAnsi="ITC Avant Garde" w:cstheme="minorHAnsi"/>
        </w:rPr>
      </w:pPr>
      <w:r w:rsidRPr="006F3CEC">
        <w:rPr>
          <w:rFonts w:ascii="ITC Avant Garde" w:hAnsi="ITC Avant Garde" w:cstheme="minorHAnsi"/>
          <w:b/>
        </w:rPr>
        <w:t>Análisis</w:t>
      </w:r>
      <w:r w:rsidRPr="006F3CEC">
        <w:rPr>
          <w:rFonts w:ascii="ITC Avant Garde" w:hAnsi="ITC Avant Garde" w:cstheme="minorHAnsi"/>
        </w:rPr>
        <w:t xml:space="preserve"> </w:t>
      </w:r>
      <w:r w:rsidRPr="006F3CEC">
        <w:rPr>
          <w:rFonts w:ascii="ITC Avant Garde" w:hAnsi="ITC Avant Garde" w:cstheme="minorHAnsi"/>
          <w:b/>
        </w:rPr>
        <w:t>de la banda de frecuencias 3.4-3.6 GHz</w:t>
      </w:r>
    </w:p>
    <w:p w14:paraId="37A8BCF1" w14:textId="77777777" w:rsidR="00F679D5" w:rsidRPr="006F3CEC" w:rsidRDefault="00F679D5" w:rsidP="00F679D5">
      <w:pPr>
        <w:pStyle w:val="Prrafodelista"/>
        <w:spacing w:after="0" w:line="240" w:lineRule="auto"/>
        <w:ind w:left="0"/>
        <w:contextualSpacing w:val="0"/>
        <w:jc w:val="both"/>
        <w:rPr>
          <w:rFonts w:ascii="ITC Avant Garde" w:hAnsi="ITC Avant Garde" w:cstheme="minorHAnsi"/>
        </w:rPr>
      </w:pPr>
    </w:p>
    <w:p w14:paraId="5F653022" w14:textId="77777777" w:rsidR="00F679D5" w:rsidRPr="00A05D2E" w:rsidRDefault="00F679D5" w:rsidP="00F679D5">
      <w:pPr>
        <w:spacing w:after="0" w:line="240" w:lineRule="auto"/>
        <w:jc w:val="both"/>
        <w:rPr>
          <w:rFonts w:ascii="ITC Avant Garde" w:hAnsi="ITC Avant Garde" w:cstheme="minorHAnsi"/>
          <w:b/>
        </w:rPr>
      </w:pPr>
      <w:r w:rsidRPr="00A05D2E">
        <w:rPr>
          <w:rFonts w:ascii="ITC Avant Garde" w:hAnsi="ITC Avant Garde" w:cstheme="minorHAnsi"/>
          <w:b/>
        </w:rPr>
        <w:t>Atribución de la banda de frecuencias.</w:t>
      </w:r>
    </w:p>
    <w:p w14:paraId="47F4663D" w14:textId="77777777" w:rsidR="00F679D5" w:rsidRPr="006F3CEC" w:rsidRDefault="00F679D5" w:rsidP="00F679D5">
      <w:pPr>
        <w:pStyle w:val="Prrafodelista"/>
        <w:spacing w:after="0" w:line="240" w:lineRule="auto"/>
        <w:ind w:left="0"/>
        <w:contextualSpacing w:val="0"/>
        <w:rPr>
          <w:rFonts w:ascii="ITC Avant Garde" w:hAnsi="ITC Avant Garde" w:cstheme="minorHAnsi"/>
        </w:rPr>
      </w:pPr>
    </w:p>
    <w:p w14:paraId="0602FC7E" w14:textId="77777777" w:rsidR="00F679D5" w:rsidRPr="00D565E4" w:rsidRDefault="00F679D5" w:rsidP="00F679D5">
      <w:pPr>
        <w:spacing w:after="0" w:line="240" w:lineRule="auto"/>
        <w:jc w:val="both"/>
        <w:rPr>
          <w:rFonts w:ascii="ITC Avant Garde" w:hAnsi="ITC Avant Garde" w:cstheme="minorHAnsi"/>
          <w:b/>
        </w:rPr>
      </w:pPr>
      <w:r w:rsidRPr="00D565E4">
        <w:rPr>
          <w:rFonts w:ascii="ITC Avant Garde" w:hAnsi="ITC Avant Garde" w:cstheme="minorHAnsi"/>
          <w:b/>
        </w:rPr>
        <w:t>RR</w:t>
      </w:r>
    </w:p>
    <w:p w14:paraId="3B9D2871" w14:textId="77777777" w:rsidR="00F679D5" w:rsidRPr="006F3CEC" w:rsidRDefault="00F679D5" w:rsidP="00F679D5">
      <w:pPr>
        <w:spacing w:after="0" w:line="240" w:lineRule="auto"/>
        <w:rPr>
          <w:rFonts w:ascii="ITC Avant Garde" w:hAnsi="ITC Avant Garde" w:cstheme="minorHAnsi"/>
        </w:rPr>
      </w:pPr>
    </w:p>
    <w:p w14:paraId="17255982"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 xml:space="preserve">El RR </w:t>
      </w:r>
      <w:r>
        <w:rPr>
          <w:rFonts w:ascii="ITC Avant Garde" w:hAnsi="ITC Avant Garde" w:cstheme="minorHAnsi"/>
        </w:rPr>
        <w:t>vigente</w:t>
      </w:r>
      <w:r w:rsidRPr="006F3CEC">
        <w:rPr>
          <w:rFonts w:ascii="ITC Avant Garde" w:hAnsi="ITC Avant Garde" w:cstheme="minorHAnsi"/>
        </w:rPr>
        <w:t xml:space="preserve"> en su </w:t>
      </w:r>
      <w:r>
        <w:rPr>
          <w:rFonts w:ascii="ITC Avant Garde" w:hAnsi="ITC Avant Garde" w:cstheme="minorHAnsi"/>
        </w:rPr>
        <w:t>a</w:t>
      </w:r>
      <w:r w:rsidRPr="006F3CEC">
        <w:rPr>
          <w:rFonts w:ascii="ITC Avant Garde" w:hAnsi="ITC Avant Garde" w:cstheme="minorHAnsi"/>
        </w:rPr>
        <w:t>rtículo 5, sección IV</w:t>
      </w:r>
      <w:r>
        <w:rPr>
          <w:rFonts w:ascii="ITC Avant Garde" w:hAnsi="ITC Avant Garde" w:cstheme="minorHAnsi"/>
        </w:rPr>
        <w:t xml:space="preserve"> denominado </w:t>
      </w:r>
      <w:r w:rsidRPr="006F3CEC">
        <w:rPr>
          <w:rFonts w:ascii="ITC Avant Garde" w:hAnsi="ITC Avant Garde" w:cstheme="minorHAnsi"/>
          <w:i/>
        </w:rPr>
        <w:t>Cuadro de atribución de bandas de frecuencias,</w:t>
      </w:r>
      <w:r w:rsidRPr="006F3CEC">
        <w:rPr>
          <w:rFonts w:ascii="ITC Avant Garde" w:hAnsi="ITC Avant Garde" w:cstheme="minorHAnsi"/>
        </w:rPr>
        <w:t xml:space="preserve"> establece para la Región 2 las atribuciones siguientes:</w:t>
      </w:r>
    </w:p>
    <w:p w14:paraId="0EE79DA1" w14:textId="77777777" w:rsidR="00F679D5" w:rsidRPr="006F3CEC" w:rsidRDefault="00F679D5" w:rsidP="00F679D5">
      <w:pPr>
        <w:pBdr>
          <w:top w:val="nil"/>
          <w:left w:val="nil"/>
          <w:bottom w:val="nil"/>
          <w:right w:val="nil"/>
          <w:between w:val="nil"/>
          <w:bar w:val="nil"/>
        </w:pBdr>
        <w:spacing w:after="0" w:line="240" w:lineRule="auto"/>
        <w:contextualSpacing/>
        <w:jc w:val="both"/>
        <w:rPr>
          <w:rFonts w:ascii="ITC Avant Garde" w:eastAsia="Arial Unicode MS" w:hAnsi="ITC Avant Garde" w:cstheme="minorHAnsi"/>
          <w:b/>
          <w:color w:val="000000"/>
          <w:kern w:val="0"/>
          <w:bdr w:val="nil"/>
          <w14:ligatures w14:val="none"/>
        </w:rPr>
      </w:pPr>
    </w:p>
    <w:tbl>
      <w:tblPr>
        <w:tblStyle w:val="Tablaconcuadrcula"/>
        <w:tblW w:w="0" w:type="auto"/>
        <w:tblInd w:w="1129" w:type="dxa"/>
        <w:shd w:val="clear" w:color="auto" w:fill="70AD47" w:themeFill="accent6"/>
        <w:tblLook w:val="04A0" w:firstRow="1" w:lastRow="0" w:firstColumn="1" w:lastColumn="0" w:noHBand="0" w:noVBand="1"/>
      </w:tblPr>
      <w:tblGrid>
        <w:gridCol w:w="7371"/>
      </w:tblGrid>
      <w:tr w:rsidR="00F679D5" w:rsidRPr="00A05D2E" w14:paraId="484DF75F" w14:textId="77777777" w:rsidTr="00E94675">
        <w:trPr>
          <w:trHeight w:val="550"/>
          <w:tblHeader/>
        </w:trPr>
        <w:tc>
          <w:tcPr>
            <w:tcW w:w="7371" w:type="dxa"/>
            <w:tcBorders>
              <w:bottom w:val="single" w:sz="4" w:space="0" w:color="auto"/>
            </w:tcBorders>
            <w:shd w:val="clear" w:color="auto" w:fill="92D050"/>
            <w:vAlign w:val="center"/>
          </w:tcPr>
          <w:p w14:paraId="6696F550" w14:textId="77777777" w:rsidR="00F679D5" w:rsidRPr="00A05D2E" w:rsidRDefault="00F679D5" w:rsidP="00F679D5">
            <w:pPr>
              <w:jc w:val="center"/>
              <w:rPr>
                <w:rFonts w:ascii="ITC Avant Garde" w:hAnsi="ITC Avant Garde" w:cstheme="minorHAnsi"/>
                <w:b/>
                <w:sz w:val="18"/>
                <w:szCs w:val="18"/>
              </w:rPr>
            </w:pPr>
            <w:r w:rsidRPr="00A05D2E">
              <w:rPr>
                <w:rFonts w:ascii="ITC Avant Garde" w:hAnsi="ITC Avant Garde" w:cstheme="minorHAnsi"/>
                <w:b/>
                <w:sz w:val="18"/>
                <w:szCs w:val="18"/>
              </w:rPr>
              <w:t>Atribución Internacional en el RR de la UIT (Región 2)</w:t>
            </w:r>
          </w:p>
        </w:tc>
      </w:tr>
      <w:tr w:rsidR="00F679D5" w:rsidRPr="00A05D2E" w14:paraId="2A7B7093" w14:textId="77777777" w:rsidTr="00E94675">
        <w:tc>
          <w:tcPr>
            <w:tcW w:w="7371" w:type="dxa"/>
            <w:shd w:val="clear" w:color="auto" w:fill="auto"/>
            <w:vAlign w:val="center"/>
          </w:tcPr>
          <w:p w14:paraId="7217D445" w14:textId="77777777" w:rsidR="00F679D5" w:rsidRPr="00A05D2E" w:rsidRDefault="00F679D5" w:rsidP="00F679D5">
            <w:pPr>
              <w:pStyle w:val="NormalWeb"/>
              <w:rPr>
                <w:rStyle w:val="Textoennegrita"/>
                <w:rFonts w:ascii="ITC Avant Garde" w:hAnsi="ITC Avant Garde" w:cstheme="minorHAnsi"/>
                <w:sz w:val="18"/>
                <w:szCs w:val="18"/>
              </w:rPr>
            </w:pPr>
            <w:r w:rsidRPr="00A05D2E">
              <w:rPr>
                <w:rStyle w:val="Textoennegrita"/>
                <w:rFonts w:ascii="ITC Avant Garde" w:hAnsi="ITC Avant Garde" w:cstheme="minorHAnsi"/>
                <w:sz w:val="18"/>
                <w:szCs w:val="18"/>
              </w:rPr>
              <w:t>3 400 - 3 500 MHz</w:t>
            </w:r>
          </w:p>
          <w:p w14:paraId="17375654"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FIJO</w:t>
            </w:r>
          </w:p>
          <w:p w14:paraId="40F78059"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FIJO POR SATÉLITE (espacio-Tierra)</w:t>
            </w:r>
          </w:p>
          <w:p w14:paraId="7203BA22"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MÓVIL salvo móvil aeronáutico 5.431A 5.431B</w:t>
            </w:r>
          </w:p>
          <w:p w14:paraId="1408A875"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Aficionados</w:t>
            </w:r>
          </w:p>
          <w:p w14:paraId="2B335EF5"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Radiolocalización</w:t>
            </w:r>
            <w:r w:rsidRPr="00A05D2E">
              <w:rPr>
                <w:rStyle w:val="Textoennegrita"/>
                <w:rFonts w:ascii="ITC Avant Garde" w:hAnsi="ITC Avant Garde" w:cstheme="minorHAnsi"/>
                <w:sz w:val="18"/>
                <w:szCs w:val="18"/>
              </w:rPr>
              <w:t xml:space="preserve"> 5.433</w:t>
            </w:r>
          </w:p>
          <w:p w14:paraId="6CCE974C"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p>
          <w:p w14:paraId="4C8F2496" w14:textId="77777777" w:rsidR="00F679D5" w:rsidRPr="00A05D2E" w:rsidRDefault="00F679D5" w:rsidP="00F679D5">
            <w:pPr>
              <w:pStyle w:val="NormalWeb"/>
              <w:ind w:left="597" w:hanging="283"/>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sz w:val="18"/>
                <w:szCs w:val="18"/>
              </w:rPr>
              <w:t>5.282</w:t>
            </w:r>
          </w:p>
        </w:tc>
      </w:tr>
      <w:tr w:rsidR="00F679D5" w:rsidRPr="00A05D2E" w14:paraId="61C78EC1" w14:textId="77777777" w:rsidTr="00E94675">
        <w:tc>
          <w:tcPr>
            <w:tcW w:w="7371" w:type="dxa"/>
            <w:shd w:val="clear" w:color="auto" w:fill="auto"/>
            <w:vAlign w:val="center"/>
          </w:tcPr>
          <w:p w14:paraId="5C9A8853" w14:textId="77777777" w:rsidR="00F679D5" w:rsidRPr="00A05D2E" w:rsidRDefault="00F679D5" w:rsidP="00F679D5">
            <w:pPr>
              <w:pStyle w:val="NormalWeb"/>
              <w:rPr>
                <w:rStyle w:val="Textoennegrita"/>
                <w:rFonts w:ascii="ITC Avant Garde" w:hAnsi="ITC Avant Garde" w:cstheme="minorHAnsi"/>
                <w:sz w:val="18"/>
                <w:szCs w:val="18"/>
              </w:rPr>
            </w:pPr>
            <w:r w:rsidRPr="00A05D2E">
              <w:rPr>
                <w:rStyle w:val="Textoennegrita"/>
                <w:rFonts w:ascii="ITC Avant Garde" w:hAnsi="ITC Avant Garde" w:cstheme="minorHAnsi"/>
                <w:sz w:val="18"/>
                <w:szCs w:val="18"/>
              </w:rPr>
              <w:t>3 500 - 3 600 MHz</w:t>
            </w:r>
          </w:p>
          <w:p w14:paraId="2F6CB896" w14:textId="77777777" w:rsidR="00F679D5" w:rsidRPr="00A05D2E" w:rsidRDefault="00F679D5" w:rsidP="00F679D5">
            <w:pPr>
              <w:pStyle w:val="NormalWeb"/>
              <w:ind w:left="314"/>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sz w:val="18"/>
                <w:szCs w:val="18"/>
              </w:rPr>
              <w:t>FIJO</w:t>
            </w:r>
          </w:p>
          <w:p w14:paraId="78F22390" w14:textId="77777777" w:rsidR="00F679D5" w:rsidRPr="00A05D2E" w:rsidRDefault="00F679D5" w:rsidP="00F679D5">
            <w:pPr>
              <w:pStyle w:val="NormalWeb"/>
              <w:ind w:left="314"/>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FIJO POR SATÉLITE (espacio-Tierra)</w:t>
            </w:r>
          </w:p>
          <w:p w14:paraId="7C4B39AE" w14:textId="77777777" w:rsidR="00F679D5" w:rsidRPr="00A05D2E" w:rsidRDefault="00F679D5" w:rsidP="00F679D5">
            <w:pPr>
              <w:pStyle w:val="NormalWeb"/>
              <w:ind w:left="314"/>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MÓVIL salvo móvil aeronáutico 5.431B</w:t>
            </w:r>
          </w:p>
          <w:p w14:paraId="6CF0B77A" w14:textId="77777777" w:rsidR="00F679D5" w:rsidRPr="00A05D2E" w:rsidRDefault="00F679D5" w:rsidP="00F679D5">
            <w:pPr>
              <w:pStyle w:val="NormalWeb"/>
              <w:ind w:left="314"/>
              <w:rPr>
                <w:rStyle w:val="Textoennegrita"/>
                <w:rFonts w:ascii="ITC Avant Garde" w:hAnsi="ITC Avant Garde" w:cstheme="minorHAnsi"/>
                <w:b w:val="0"/>
                <w:bCs w:val="0"/>
                <w:sz w:val="18"/>
                <w:szCs w:val="18"/>
              </w:rPr>
            </w:pPr>
            <w:r w:rsidRPr="00A05D2E">
              <w:rPr>
                <w:rStyle w:val="Textoennegrita"/>
                <w:rFonts w:ascii="ITC Avant Garde" w:hAnsi="ITC Avant Garde" w:cstheme="minorHAnsi"/>
                <w:b w:val="0"/>
                <w:sz w:val="18"/>
                <w:szCs w:val="18"/>
              </w:rPr>
              <w:t>Radiolocalización 5.433</w:t>
            </w:r>
          </w:p>
          <w:p w14:paraId="69BBB97B" w14:textId="77777777" w:rsidR="00F679D5" w:rsidRPr="00A05D2E" w:rsidRDefault="00F679D5" w:rsidP="00F679D5">
            <w:pPr>
              <w:pStyle w:val="NormalWeb"/>
              <w:ind w:left="314"/>
              <w:rPr>
                <w:rStyle w:val="Textoennegrita"/>
                <w:rFonts w:ascii="ITC Avant Garde" w:hAnsi="ITC Avant Garde" w:cstheme="minorHAnsi"/>
                <w:b w:val="0"/>
                <w:bCs w:val="0"/>
                <w:sz w:val="18"/>
                <w:szCs w:val="18"/>
              </w:rPr>
            </w:pPr>
          </w:p>
        </w:tc>
      </w:tr>
    </w:tbl>
    <w:p w14:paraId="3FBC719B" w14:textId="77777777" w:rsidR="00F679D5" w:rsidRPr="006F3CEC" w:rsidRDefault="00F679D5" w:rsidP="00F679D5">
      <w:pPr>
        <w:spacing w:after="0" w:line="240" w:lineRule="auto"/>
        <w:ind w:left="1134"/>
        <w:jc w:val="both"/>
        <w:rPr>
          <w:rFonts w:ascii="ITC Avant Garde" w:hAnsi="ITC Avant Garde" w:cstheme="minorHAnsi"/>
        </w:rPr>
      </w:pPr>
    </w:p>
    <w:p w14:paraId="3B5F2BF0"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Con relación a las notas internacionales relevantes contenidas en el RR de la UIT y correspondientes al rango de frecuencias 3.4-3.6 GHz, destacan las siguientes:</w:t>
      </w:r>
    </w:p>
    <w:p w14:paraId="4D256DDA" w14:textId="77777777" w:rsidR="00F679D5" w:rsidRPr="006F3CEC" w:rsidRDefault="00F679D5" w:rsidP="00F679D5">
      <w:pPr>
        <w:spacing w:after="0" w:line="240" w:lineRule="auto"/>
        <w:ind w:left="1701" w:right="616"/>
        <w:jc w:val="both"/>
        <w:rPr>
          <w:rFonts w:ascii="ITC Avant Garde" w:hAnsi="ITC Avant Garde" w:cstheme="minorHAnsi"/>
        </w:rPr>
      </w:pPr>
    </w:p>
    <w:p w14:paraId="2FF431F7" w14:textId="77777777" w:rsidR="00F679D5" w:rsidRPr="00A05D2E" w:rsidRDefault="00F679D5" w:rsidP="00F679D5">
      <w:pPr>
        <w:spacing w:after="0" w:line="240" w:lineRule="auto"/>
        <w:ind w:left="1134" w:right="899"/>
        <w:jc w:val="both"/>
        <w:rPr>
          <w:rFonts w:ascii="ITC Avant Garde" w:hAnsi="ITC Avant Garde" w:cstheme="minorHAnsi"/>
          <w:i/>
          <w:sz w:val="18"/>
          <w:szCs w:val="18"/>
        </w:rPr>
      </w:pPr>
      <w:r w:rsidRPr="00A05D2E">
        <w:rPr>
          <w:rFonts w:ascii="ITC Avant Garde" w:hAnsi="ITC Avant Garde" w:cstheme="minorHAnsi"/>
          <w:b/>
          <w:i/>
          <w:sz w:val="18"/>
          <w:szCs w:val="18"/>
        </w:rPr>
        <w:t>5.431A</w:t>
      </w:r>
      <w:r w:rsidRPr="00A05D2E">
        <w:rPr>
          <w:rFonts w:ascii="ITC Avant Garde" w:hAnsi="ITC Avant Garde" w:cstheme="minorHAnsi"/>
          <w:i/>
          <w:sz w:val="18"/>
          <w:szCs w:val="18"/>
        </w:rPr>
        <w:tab/>
        <w:t xml:space="preserve">En la Región 2, la atribución de la banda de frecuencias 3 400-3 500 MHz al servicio móvil, salvo móvil aeronáutico, a título primario, está sujeta a la obtención del acuerdo en virtud del número </w:t>
      </w:r>
      <w:r w:rsidRPr="00A05D2E">
        <w:rPr>
          <w:rFonts w:ascii="ITC Avant Garde" w:hAnsi="ITC Avant Garde" w:cstheme="minorHAnsi"/>
          <w:b/>
          <w:bCs/>
          <w:i/>
          <w:sz w:val="18"/>
          <w:szCs w:val="18"/>
        </w:rPr>
        <w:t>9.21</w:t>
      </w:r>
      <w:r w:rsidRPr="00A05D2E">
        <w:rPr>
          <w:rFonts w:ascii="ITC Avant Garde" w:hAnsi="ITC Avant Garde" w:cstheme="minorHAnsi"/>
          <w:i/>
          <w:sz w:val="18"/>
          <w:szCs w:val="18"/>
        </w:rPr>
        <w:t xml:space="preserve">. </w:t>
      </w:r>
      <w:r w:rsidRPr="00A05D2E">
        <w:rPr>
          <w:rFonts w:ascii="ITC Avant Garde" w:hAnsi="ITC Avant Garde" w:cstheme="minorHAnsi"/>
          <w:i/>
          <w:sz w:val="18"/>
          <w:szCs w:val="18"/>
          <w:vertAlign w:val="subscript"/>
        </w:rPr>
        <w:t>(CMR-97)</w:t>
      </w:r>
    </w:p>
    <w:p w14:paraId="462DAE8A" w14:textId="77777777" w:rsidR="00F679D5" w:rsidRPr="00A05D2E" w:rsidRDefault="00F679D5" w:rsidP="00F679D5">
      <w:pPr>
        <w:spacing w:after="0" w:line="240" w:lineRule="auto"/>
        <w:ind w:left="1134" w:right="899"/>
        <w:jc w:val="both"/>
        <w:rPr>
          <w:rFonts w:ascii="ITC Avant Garde" w:hAnsi="ITC Avant Garde" w:cstheme="minorHAnsi"/>
          <w:i/>
          <w:sz w:val="18"/>
          <w:szCs w:val="18"/>
        </w:rPr>
      </w:pPr>
    </w:p>
    <w:p w14:paraId="618DCDDB" w14:textId="77777777" w:rsidR="00F679D5" w:rsidRPr="00A05D2E" w:rsidRDefault="00F679D5" w:rsidP="00F679D5">
      <w:pPr>
        <w:spacing w:after="0" w:line="240" w:lineRule="auto"/>
        <w:ind w:left="1134" w:right="899"/>
        <w:jc w:val="both"/>
        <w:rPr>
          <w:rFonts w:ascii="ITC Avant Garde" w:hAnsi="ITC Avant Garde" w:cstheme="minorHAnsi"/>
          <w:i/>
          <w:sz w:val="18"/>
          <w:szCs w:val="18"/>
        </w:rPr>
      </w:pPr>
      <w:r w:rsidRPr="00A05D2E">
        <w:rPr>
          <w:rFonts w:ascii="ITC Avant Garde" w:hAnsi="ITC Avant Garde" w:cstheme="minorHAnsi"/>
          <w:b/>
          <w:i/>
          <w:sz w:val="18"/>
          <w:szCs w:val="18"/>
        </w:rPr>
        <w:t>5.431B</w:t>
      </w:r>
      <w:r w:rsidRPr="00A05D2E">
        <w:rPr>
          <w:rFonts w:ascii="ITC Avant Garde" w:hAnsi="ITC Avant Garde" w:cstheme="minorHAnsi"/>
          <w:i/>
          <w:sz w:val="18"/>
          <w:szCs w:val="18"/>
        </w:rPr>
        <w:tab/>
        <w:t xml:space="preserve">En la Región 2, la banda de frecuencias 3 400-3 600 MHz está identificada para ser utilizada por las administraciones que deseen implementar las Telecomunicaciones Móviles Internacionales (IMT). Esta identificación no impide la utilización de esta banda de frecuencias por cualquier aplicación de otros servicios a los que está atribuida ni establece prioridad en el Reglamento de Radiocomunicaciones. En la etapa de coordinación, también son de aplicación las </w:t>
      </w:r>
      <w:r w:rsidRPr="00A05D2E">
        <w:rPr>
          <w:rFonts w:ascii="ITC Avant Garde" w:hAnsi="ITC Avant Garde" w:cstheme="minorHAnsi"/>
          <w:i/>
          <w:sz w:val="18"/>
          <w:szCs w:val="18"/>
        </w:rPr>
        <w:lastRenderedPageBreak/>
        <w:t xml:space="preserve">disposiciones de los números </w:t>
      </w:r>
      <w:r w:rsidRPr="00A05D2E">
        <w:rPr>
          <w:rFonts w:ascii="ITC Avant Garde" w:hAnsi="ITC Avant Garde" w:cstheme="minorHAnsi"/>
          <w:b/>
          <w:bCs/>
          <w:i/>
          <w:sz w:val="18"/>
          <w:szCs w:val="18"/>
        </w:rPr>
        <w:t>9.17</w:t>
      </w:r>
      <w:r w:rsidRPr="00A05D2E">
        <w:rPr>
          <w:rFonts w:ascii="ITC Avant Garde" w:hAnsi="ITC Avant Garde" w:cstheme="minorHAnsi"/>
          <w:i/>
          <w:sz w:val="18"/>
          <w:szCs w:val="18"/>
        </w:rPr>
        <w:t xml:space="preserve"> y </w:t>
      </w:r>
      <w:r w:rsidRPr="00A05D2E">
        <w:rPr>
          <w:rFonts w:ascii="ITC Avant Garde" w:hAnsi="ITC Avant Garde" w:cstheme="minorHAnsi"/>
          <w:b/>
          <w:bCs/>
          <w:i/>
          <w:sz w:val="18"/>
          <w:szCs w:val="18"/>
        </w:rPr>
        <w:t>9.18</w:t>
      </w:r>
      <w:r w:rsidRPr="00A05D2E">
        <w:rPr>
          <w:rFonts w:ascii="ITC Avant Garde" w:hAnsi="ITC Avant Garde" w:cstheme="minorHAnsi"/>
          <w:i/>
          <w:sz w:val="18"/>
          <w:szCs w:val="18"/>
        </w:rPr>
        <w:t xml:space="preserve">. Antes de que una administración ponga en servicio una estación base o móvil de un sistema IMT, deberá buscar el acuerdo en virtud del número </w:t>
      </w:r>
      <w:r w:rsidRPr="00A05D2E">
        <w:rPr>
          <w:rFonts w:ascii="ITC Avant Garde" w:hAnsi="ITC Avant Garde" w:cstheme="minorHAnsi"/>
          <w:b/>
          <w:bCs/>
          <w:i/>
          <w:sz w:val="18"/>
          <w:szCs w:val="18"/>
        </w:rPr>
        <w:t>9.21</w:t>
      </w:r>
      <w:r w:rsidRPr="00A05D2E">
        <w:rPr>
          <w:rFonts w:ascii="ITC Avant Garde" w:hAnsi="ITC Avant Garde" w:cstheme="minorHAnsi"/>
          <w:i/>
          <w:sz w:val="18"/>
          <w:szCs w:val="18"/>
        </w:rPr>
        <w:t xml:space="preserve"> con otras administraciones y verificar que la densidad de flujo de potencia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producida a 3 m sobre el nivel del suelo no rebasa el valor de –154,5 dB (W</w:t>
      </w:r>
      <w:proofErr w:type="gramStart"/>
      <w:r w:rsidRPr="00A05D2E">
        <w:rPr>
          <w:rFonts w:ascii="ITC Avant Garde" w:hAnsi="ITC Avant Garde" w:cstheme="minorHAnsi"/>
          <w:i/>
          <w:sz w:val="18"/>
          <w:szCs w:val="18"/>
        </w:rPr>
        <w:t>/(</w:t>
      </w:r>
      <w:proofErr w:type="gramEnd"/>
      <w:r w:rsidRPr="00A05D2E">
        <w:rPr>
          <w:rFonts w:ascii="ITC Avant Garde" w:hAnsi="ITC Avant Garde" w:cstheme="minorHAnsi"/>
          <w:i/>
          <w:sz w:val="18"/>
          <w:szCs w:val="18"/>
        </w:rPr>
        <w:t>m</w:t>
      </w:r>
      <w:r w:rsidRPr="00A05D2E">
        <w:rPr>
          <w:rFonts w:ascii="ITC Avant Garde" w:hAnsi="ITC Avant Garde" w:cstheme="minorHAnsi"/>
          <w:i/>
          <w:sz w:val="18"/>
          <w:szCs w:val="18"/>
          <w:vertAlign w:val="superscript"/>
        </w:rPr>
        <w:t>2</w:t>
      </w:r>
      <w:r w:rsidRPr="00A05D2E">
        <w:rPr>
          <w:rFonts w:ascii="ITC Avant Garde" w:hAnsi="ITC Avant Garde" w:cstheme="minorHAnsi"/>
          <w:i/>
          <w:sz w:val="18"/>
          <w:szCs w:val="18"/>
        </w:rPr>
        <w:t xml:space="preserve"> · 4 kHz)) durante más del 20% del tiempo en la frontera del territorio de cualquier otra administración. Este límite podrá rebasarse en el territorio de cualquier país cuya administración así lo haya acordado. A fin de garantizar que se satisface el límite de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xml:space="preserve"> en la frontera del territorio de cualquier otra administración, deberán realizarse los cálculos y verificaciones correspondientes, teniendo en cuenta toda la información pertinente, con el acuerdo mutuo de ambas administraciones (la administración responsable de la estación terrenal y la administración responsable de la estación terrena), con la asistencia de la Oficina si así se solicita. En caso de desacuerdo, la Oficina efectuará el cálculo y la verificación de la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xml:space="preserve">, teniendo en cuenta la información antes indicada. Las estaciones en el servicio móvil, incluidos los sistemas IMT, en la banda de frecuencias 3 400-3 600 MHz no reclamarán contra las estaciones espaciales más protección que la estipulada en el Cuadro </w:t>
      </w:r>
      <w:r w:rsidRPr="00A05D2E">
        <w:rPr>
          <w:rFonts w:ascii="ITC Avant Garde" w:hAnsi="ITC Avant Garde" w:cstheme="minorHAnsi"/>
          <w:b/>
          <w:bCs/>
          <w:i/>
          <w:sz w:val="18"/>
          <w:szCs w:val="18"/>
        </w:rPr>
        <w:t>21-4</w:t>
      </w:r>
      <w:r w:rsidRPr="00A05D2E">
        <w:rPr>
          <w:rFonts w:ascii="ITC Avant Garde" w:hAnsi="ITC Avant Garde" w:cstheme="minorHAnsi"/>
          <w:i/>
          <w:sz w:val="18"/>
          <w:szCs w:val="18"/>
        </w:rPr>
        <w:t xml:space="preserve"> del Reglamento de Radiocomunicaciones (Edición de 2004). </w:t>
      </w:r>
      <w:r w:rsidRPr="00A05D2E">
        <w:rPr>
          <w:rFonts w:ascii="ITC Avant Garde" w:hAnsi="ITC Avant Garde" w:cstheme="minorHAnsi"/>
          <w:i/>
          <w:sz w:val="18"/>
          <w:szCs w:val="18"/>
          <w:vertAlign w:val="subscript"/>
        </w:rPr>
        <w:t>(CMR-15)</w:t>
      </w:r>
    </w:p>
    <w:p w14:paraId="181F2FB7" w14:textId="77777777" w:rsidR="00F679D5" w:rsidRPr="006F3CEC" w:rsidRDefault="00F679D5" w:rsidP="00F679D5">
      <w:pPr>
        <w:spacing w:after="0" w:line="240" w:lineRule="auto"/>
        <w:ind w:left="1701" w:right="567"/>
        <w:jc w:val="both"/>
        <w:rPr>
          <w:rFonts w:ascii="ITC Avant Garde" w:hAnsi="ITC Avant Garde" w:cstheme="minorHAnsi"/>
          <w:i/>
        </w:rPr>
      </w:pPr>
    </w:p>
    <w:p w14:paraId="7F763B32" w14:textId="77777777" w:rsidR="00F679D5" w:rsidRPr="00A05D2E" w:rsidRDefault="00F679D5" w:rsidP="00F679D5">
      <w:pPr>
        <w:spacing w:after="0" w:line="240" w:lineRule="auto"/>
        <w:jc w:val="both"/>
        <w:rPr>
          <w:rFonts w:ascii="ITC Avant Garde" w:hAnsi="ITC Avant Garde" w:cstheme="minorHAnsi"/>
          <w:b/>
        </w:rPr>
      </w:pPr>
      <w:r>
        <w:rPr>
          <w:rFonts w:ascii="ITC Avant Garde" w:hAnsi="ITC Avant Garde" w:cstheme="minorHAnsi"/>
          <w:b/>
        </w:rPr>
        <w:t>CNAF</w:t>
      </w:r>
    </w:p>
    <w:p w14:paraId="75C9E472"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ab/>
      </w:r>
    </w:p>
    <w:p w14:paraId="5D4DF035"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Por lo que se refiere al ámbito nacional, el CNAF señala la atribución siguiente:</w:t>
      </w:r>
    </w:p>
    <w:p w14:paraId="120518C5" w14:textId="77777777" w:rsidR="00F679D5" w:rsidRPr="006F3CEC" w:rsidRDefault="00F679D5" w:rsidP="00F679D5">
      <w:pPr>
        <w:spacing w:after="0" w:line="240" w:lineRule="auto"/>
        <w:ind w:left="1134"/>
        <w:jc w:val="both"/>
        <w:rPr>
          <w:rFonts w:ascii="ITC Avant Garde" w:hAnsi="ITC Avant Garde" w:cstheme="minorHAnsi"/>
        </w:rPr>
      </w:pPr>
    </w:p>
    <w:tbl>
      <w:tblPr>
        <w:tblStyle w:val="Tablaconcuadrcula"/>
        <w:tblW w:w="0" w:type="auto"/>
        <w:tblInd w:w="1129" w:type="dxa"/>
        <w:tblLayout w:type="fixed"/>
        <w:tblLook w:val="04A0" w:firstRow="1" w:lastRow="0" w:firstColumn="1" w:lastColumn="0" w:noHBand="0" w:noVBand="1"/>
      </w:tblPr>
      <w:tblGrid>
        <w:gridCol w:w="7371"/>
      </w:tblGrid>
      <w:tr w:rsidR="00F679D5" w:rsidRPr="00A05D2E" w14:paraId="0CF2376C" w14:textId="77777777" w:rsidTr="00E94675">
        <w:trPr>
          <w:trHeight w:val="425"/>
        </w:trPr>
        <w:tc>
          <w:tcPr>
            <w:tcW w:w="7371" w:type="dxa"/>
            <w:shd w:val="clear" w:color="auto" w:fill="92D050"/>
            <w:vAlign w:val="center"/>
          </w:tcPr>
          <w:p w14:paraId="6893E62D" w14:textId="77777777" w:rsidR="00F679D5" w:rsidRPr="00A05D2E" w:rsidRDefault="00F679D5" w:rsidP="00F679D5">
            <w:pPr>
              <w:jc w:val="center"/>
              <w:rPr>
                <w:rFonts w:ascii="ITC Avant Garde" w:hAnsi="ITC Avant Garde" w:cstheme="minorHAnsi"/>
                <w:b/>
                <w:sz w:val="18"/>
                <w:szCs w:val="18"/>
              </w:rPr>
            </w:pPr>
            <w:r w:rsidRPr="00A05D2E">
              <w:rPr>
                <w:rFonts w:ascii="ITC Avant Garde" w:hAnsi="ITC Avant Garde" w:cstheme="minorHAnsi"/>
                <w:b/>
                <w:sz w:val="18"/>
                <w:szCs w:val="18"/>
              </w:rPr>
              <w:t xml:space="preserve">Atribución Nacional en el CNAF </w:t>
            </w:r>
          </w:p>
        </w:tc>
      </w:tr>
      <w:tr w:rsidR="00F679D5" w:rsidRPr="00A05D2E" w14:paraId="4E467835" w14:textId="77777777" w:rsidTr="00E94675">
        <w:trPr>
          <w:trHeight w:val="564"/>
        </w:trPr>
        <w:tc>
          <w:tcPr>
            <w:tcW w:w="7371" w:type="dxa"/>
            <w:vAlign w:val="center"/>
          </w:tcPr>
          <w:p w14:paraId="4344F35D" w14:textId="77777777" w:rsidR="00F679D5" w:rsidRPr="00A05D2E" w:rsidRDefault="00F679D5" w:rsidP="00F679D5">
            <w:pPr>
              <w:rPr>
                <w:rStyle w:val="nfasis"/>
                <w:rFonts w:ascii="ITC Avant Garde" w:hAnsi="ITC Avant Garde" w:cstheme="minorHAnsi"/>
                <w:b/>
                <w:bCs/>
                <w:i w:val="0"/>
                <w:iCs w:val="0"/>
                <w:sz w:val="18"/>
                <w:szCs w:val="18"/>
              </w:rPr>
            </w:pPr>
            <w:r w:rsidRPr="00A05D2E">
              <w:rPr>
                <w:rStyle w:val="nfasis"/>
                <w:rFonts w:ascii="ITC Avant Garde" w:hAnsi="ITC Avant Garde" w:cstheme="minorHAnsi"/>
                <w:b/>
                <w:bCs/>
                <w:i w:val="0"/>
                <w:sz w:val="18"/>
                <w:szCs w:val="18"/>
              </w:rPr>
              <w:t>3.4 - 3.5 GHz</w:t>
            </w:r>
          </w:p>
          <w:p w14:paraId="47391B6A"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FIJO</w:t>
            </w:r>
          </w:p>
          <w:p w14:paraId="74DD892C"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FIJO POR SATÉLITE (espacio-Tierra)</w:t>
            </w:r>
          </w:p>
          <w:p w14:paraId="71E44AC0"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Móvil</w:t>
            </w:r>
          </w:p>
          <w:p w14:paraId="5E14ABFF"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Aficionados</w:t>
            </w:r>
          </w:p>
          <w:p w14:paraId="5A174667" w14:textId="77777777" w:rsidR="00F679D5" w:rsidRPr="00A05D2E" w:rsidRDefault="00F679D5" w:rsidP="00F679D5">
            <w:pPr>
              <w:ind w:left="314"/>
              <w:rPr>
                <w:rStyle w:val="nfasis"/>
                <w:rFonts w:ascii="ITC Avant Garde" w:hAnsi="ITC Avant Garde" w:cstheme="minorHAnsi"/>
                <w:i w:val="0"/>
                <w:iCs w:val="0"/>
                <w:sz w:val="18"/>
                <w:szCs w:val="18"/>
              </w:rPr>
            </w:pPr>
          </w:p>
          <w:p w14:paraId="49F4C56B" w14:textId="77777777" w:rsidR="00F679D5" w:rsidRPr="00A05D2E" w:rsidRDefault="00F679D5" w:rsidP="00F679D5">
            <w:pPr>
              <w:ind w:left="30"/>
              <w:jc w:val="right"/>
              <w:rPr>
                <w:rStyle w:val="nfasis"/>
                <w:rFonts w:ascii="ITC Avant Garde" w:hAnsi="ITC Avant Garde" w:cstheme="minorHAnsi"/>
                <w:b/>
                <w:bCs/>
                <w:i w:val="0"/>
                <w:iCs w:val="0"/>
                <w:sz w:val="18"/>
                <w:szCs w:val="18"/>
                <w:highlight w:val="yellow"/>
              </w:rPr>
            </w:pPr>
            <w:r w:rsidRPr="00A05D2E">
              <w:rPr>
                <w:rStyle w:val="nfasis"/>
                <w:rFonts w:ascii="ITC Avant Garde" w:hAnsi="ITC Avant Garde" w:cstheme="minorHAnsi"/>
                <w:b/>
                <w:bCs/>
                <w:i w:val="0"/>
                <w:sz w:val="18"/>
                <w:szCs w:val="18"/>
              </w:rPr>
              <w:t>MX213 MX213A MX214</w:t>
            </w:r>
          </w:p>
        </w:tc>
      </w:tr>
      <w:tr w:rsidR="00F679D5" w:rsidRPr="00A05D2E" w14:paraId="5654E3F3" w14:textId="77777777" w:rsidTr="00E94675">
        <w:trPr>
          <w:trHeight w:val="564"/>
        </w:trPr>
        <w:tc>
          <w:tcPr>
            <w:tcW w:w="7371" w:type="dxa"/>
            <w:vAlign w:val="center"/>
          </w:tcPr>
          <w:p w14:paraId="007E5709" w14:textId="77777777" w:rsidR="00F679D5" w:rsidRPr="00A05D2E" w:rsidRDefault="00F679D5" w:rsidP="00F679D5">
            <w:pPr>
              <w:rPr>
                <w:rStyle w:val="nfasis"/>
                <w:rFonts w:ascii="ITC Avant Garde" w:hAnsi="ITC Avant Garde" w:cstheme="minorHAnsi"/>
                <w:b/>
                <w:bCs/>
                <w:i w:val="0"/>
                <w:iCs w:val="0"/>
                <w:sz w:val="18"/>
                <w:szCs w:val="18"/>
              </w:rPr>
            </w:pPr>
            <w:r w:rsidRPr="00A05D2E">
              <w:rPr>
                <w:rStyle w:val="nfasis"/>
                <w:rFonts w:ascii="ITC Avant Garde" w:hAnsi="ITC Avant Garde" w:cstheme="minorHAnsi"/>
                <w:b/>
                <w:bCs/>
                <w:i w:val="0"/>
                <w:sz w:val="18"/>
                <w:szCs w:val="18"/>
              </w:rPr>
              <w:t>3.5 - 3.6 GHz</w:t>
            </w:r>
          </w:p>
          <w:p w14:paraId="09DD9637"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FIJO</w:t>
            </w:r>
          </w:p>
          <w:p w14:paraId="14D87A53"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FIJO POR SATÉLITE (espacio-Tierra)</w:t>
            </w:r>
          </w:p>
          <w:p w14:paraId="4FD985ED"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Móvil salvo móvil aeronáutico</w:t>
            </w:r>
          </w:p>
          <w:p w14:paraId="66F3A708" w14:textId="77777777" w:rsidR="00F679D5" w:rsidRPr="00A05D2E" w:rsidRDefault="00F679D5" w:rsidP="00F679D5">
            <w:pPr>
              <w:ind w:left="314"/>
              <w:rPr>
                <w:rStyle w:val="nfasis"/>
                <w:rFonts w:ascii="ITC Avant Garde" w:hAnsi="ITC Avant Garde" w:cstheme="minorHAnsi"/>
                <w:i w:val="0"/>
                <w:iCs w:val="0"/>
                <w:sz w:val="18"/>
                <w:szCs w:val="18"/>
              </w:rPr>
            </w:pPr>
            <w:r w:rsidRPr="00A05D2E">
              <w:rPr>
                <w:rStyle w:val="nfasis"/>
                <w:rFonts w:ascii="ITC Avant Garde" w:hAnsi="ITC Avant Garde" w:cstheme="minorHAnsi"/>
                <w:i w:val="0"/>
                <w:sz w:val="18"/>
                <w:szCs w:val="18"/>
              </w:rPr>
              <w:t>Radiolocalización</w:t>
            </w:r>
          </w:p>
          <w:p w14:paraId="2C5BBC78" w14:textId="77777777" w:rsidR="00F679D5" w:rsidRPr="00A05D2E" w:rsidRDefault="00F679D5" w:rsidP="00F679D5">
            <w:pPr>
              <w:ind w:left="314"/>
              <w:rPr>
                <w:rStyle w:val="nfasis"/>
                <w:rFonts w:ascii="ITC Avant Garde" w:hAnsi="ITC Avant Garde" w:cstheme="minorHAnsi"/>
                <w:i w:val="0"/>
                <w:iCs w:val="0"/>
                <w:sz w:val="18"/>
                <w:szCs w:val="18"/>
              </w:rPr>
            </w:pPr>
          </w:p>
          <w:p w14:paraId="565A03E9" w14:textId="77777777" w:rsidR="00F679D5" w:rsidRPr="00A05D2E" w:rsidRDefault="00F679D5" w:rsidP="00F679D5">
            <w:pPr>
              <w:jc w:val="right"/>
              <w:rPr>
                <w:rStyle w:val="nfasis"/>
                <w:rFonts w:ascii="ITC Avant Garde" w:hAnsi="ITC Avant Garde" w:cstheme="minorHAnsi"/>
                <w:b/>
                <w:bCs/>
                <w:i w:val="0"/>
                <w:sz w:val="18"/>
                <w:szCs w:val="18"/>
              </w:rPr>
            </w:pPr>
            <w:r w:rsidRPr="00A05D2E">
              <w:rPr>
                <w:rStyle w:val="nfasis"/>
                <w:rFonts w:ascii="ITC Avant Garde" w:hAnsi="ITC Avant Garde" w:cstheme="minorHAnsi"/>
                <w:b/>
                <w:bCs/>
                <w:i w:val="0"/>
                <w:sz w:val="18"/>
                <w:szCs w:val="18"/>
              </w:rPr>
              <w:t>MX213 MX213A MX214</w:t>
            </w:r>
          </w:p>
        </w:tc>
      </w:tr>
    </w:tbl>
    <w:p w14:paraId="11B9C71C" w14:textId="77777777" w:rsidR="00F679D5" w:rsidRPr="006F3CEC" w:rsidRDefault="00F679D5" w:rsidP="00F679D5">
      <w:pPr>
        <w:spacing w:after="0" w:line="240" w:lineRule="auto"/>
        <w:ind w:left="1134"/>
        <w:jc w:val="both"/>
        <w:rPr>
          <w:rFonts w:ascii="ITC Avant Garde" w:hAnsi="ITC Avant Garde" w:cstheme="minorHAnsi"/>
        </w:rPr>
      </w:pPr>
    </w:p>
    <w:p w14:paraId="1F182AE1"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A su vez, respecto a las notas nacionales contenidas en el CNAF y correspondientes a la banda 3.4-3.6 GHz, destacan las siguientes:</w:t>
      </w:r>
    </w:p>
    <w:p w14:paraId="7D31CBEE" w14:textId="77777777" w:rsidR="00F679D5" w:rsidRPr="006F3CEC" w:rsidRDefault="00F679D5" w:rsidP="00F679D5">
      <w:pPr>
        <w:spacing w:after="0" w:line="240" w:lineRule="auto"/>
        <w:ind w:left="1701" w:right="616"/>
        <w:jc w:val="both"/>
        <w:rPr>
          <w:rFonts w:ascii="ITC Avant Garde" w:hAnsi="ITC Avant Garde" w:cstheme="minorHAnsi"/>
        </w:rPr>
      </w:pPr>
    </w:p>
    <w:p w14:paraId="7A6973A0" w14:textId="77777777" w:rsidR="00F679D5" w:rsidRPr="00A05D2E" w:rsidRDefault="00F679D5" w:rsidP="00F679D5">
      <w:pPr>
        <w:pStyle w:val="Default"/>
        <w:ind w:left="1134" w:right="899"/>
        <w:jc w:val="both"/>
        <w:rPr>
          <w:rFonts w:ascii="ITC Avant Garde" w:hAnsi="ITC Avant Garde" w:cstheme="minorHAnsi"/>
          <w:bCs/>
          <w:i/>
          <w:sz w:val="18"/>
          <w:szCs w:val="18"/>
        </w:rPr>
      </w:pPr>
      <w:r w:rsidRPr="00A05D2E">
        <w:rPr>
          <w:rFonts w:ascii="ITC Avant Garde" w:hAnsi="ITC Avant Garde" w:cstheme="minorHAnsi"/>
          <w:b/>
          <w:bCs/>
          <w:i/>
          <w:sz w:val="18"/>
          <w:szCs w:val="18"/>
        </w:rPr>
        <w:t>MX213</w:t>
      </w:r>
      <w:r w:rsidRPr="00A05D2E">
        <w:rPr>
          <w:rFonts w:ascii="ITC Avant Garde" w:hAnsi="ITC Avant Garde" w:cstheme="minorHAnsi"/>
          <w:bCs/>
          <w:i/>
          <w:sz w:val="18"/>
          <w:szCs w:val="18"/>
        </w:rPr>
        <w:t xml:space="preserve"> </w:t>
      </w:r>
      <w:r w:rsidRPr="00A05D2E">
        <w:rPr>
          <w:rFonts w:ascii="ITC Avant Garde" w:eastAsia="Arial Unicode MS" w:hAnsi="ITC Avant Garde" w:cstheme="minorHAnsi"/>
          <w:i/>
          <w:sz w:val="18"/>
          <w:szCs w:val="18"/>
          <w:u w:color="000000"/>
          <w:bdr w:val="nil"/>
        </w:rPr>
        <w:t>Los segmentos de frecuencias 3.450 - 3.600 GHz se encuentran actualmente concesionados para la prestación del servicio de acceso inalámbrico fijo</w:t>
      </w:r>
      <w:r w:rsidRPr="00A05D2E">
        <w:rPr>
          <w:rFonts w:ascii="ITC Avant Garde" w:hAnsi="ITC Avant Garde" w:cstheme="minorHAnsi"/>
          <w:bCs/>
          <w:i/>
          <w:sz w:val="18"/>
          <w:szCs w:val="18"/>
        </w:rPr>
        <w:t>.</w:t>
      </w:r>
    </w:p>
    <w:p w14:paraId="3A85BF3B" w14:textId="77777777" w:rsidR="00F679D5" w:rsidRPr="00A05D2E" w:rsidRDefault="00F679D5" w:rsidP="00F679D5">
      <w:pPr>
        <w:pStyle w:val="Default"/>
        <w:ind w:left="1134" w:right="899"/>
        <w:jc w:val="both"/>
        <w:rPr>
          <w:rFonts w:ascii="ITC Avant Garde" w:hAnsi="ITC Avant Garde" w:cstheme="minorHAnsi"/>
          <w:sz w:val="18"/>
          <w:szCs w:val="18"/>
        </w:rPr>
      </w:pPr>
    </w:p>
    <w:p w14:paraId="380608E2" w14:textId="77777777" w:rsidR="00F679D5" w:rsidRPr="00A05D2E" w:rsidRDefault="00F679D5" w:rsidP="00F679D5">
      <w:pPr>
        <w:pStyle w:val="Default"/>
        <w:ind w:left="1134" w:right="899"/>
        <w:jc w:val="both"/>
        <w:rPr>
          <w:rFonts w:ascii="ITC Avant Garde" w:hAnsi="ITC Avant Garde" w:cstheme="minorHAnsi"/>
          <w:bCs/>
          <w:i/>
          <w:sz w:val="18"/>
          <w:szCs w:val="18"/>
        </w:rPr>
      </w:pPr>
      <w:r w:rsidRPr="00A05D2E">
        <w:rPr>
          <w:rFonts w:ascii="ITC Avant Garde" w:hAnsi="ITC Avant Garde" w:cstheme="minorHAnsi"/>
          <w:b/>
          <w:bCs/>
          <w:i/>
          <w:sz w:val="18"/>
          <w:szCs w:val="18"/>
        </w:rPr>
        <w:lastRenderedPageBreak/>
        <w:t>MX213A</w:t>
      </w:r>
      <w:r w:rsidRPr="00A05D2E">
        <w:rPr>
          <w:rFonts w:ascii="ITC Avant Garde" w:hAnsi="ITC Avant Garde" w:cstheme="minorHAnsi"/>
          <w:bCs/>
          <w:i/>
          <w:sz w:val="18"/>
          <w:szCs w:val="18"/>
        </w:rPr>
        <w:t xml:space="preserve"> </w:t>
      </w:r>
      <w:r w:rsidRPr="00A05D2E">
        <w:rPr>
          <w:rFonts w:ascii="ITC Avant Garde" w:eastAsia="Arial Unicode MS" w:hAnsi="ITC Avant Garde" w:cstheme="minorHAnsi"/>
          <w:i/>
          <w:sz w:val="18"/>
          <w:szCs w:val="18"/>
          <w:u w:color="000000"/>
          <w:bdr w:val="nil"/>
        </w:rPr>
        <w:t>La banda de frecuencias 3.4 - 3.6 GHz está identificada para sistemas IMT, de conformidad con la Resolución 223 (Rev. CMR-19) y el número 5.431B del RR. Esta identificación no impide la utilización de esta banda de frecuencias por cualquier aplicación de otros servicios a los que está atribuida, ni establece prioridad alguna en el Reglamento de Radiocomunicaciones</w:t>
      </w:r>
      <w:r w:rsidRPr="00A05D2E">
        <w:rPr>
          <w:rFonts w:ascii="ITC Avant Garde" w:hAnsi="ITC Avant Garde" w:cstheme="minorHAnsi"/>
          <w:bCs/>
          <w:i/>
          <w:sz w:val="18"/>
          <w:szCs w:val="18"/>
        </w:rPr>
        <w:t>.</w:t>
      </w:r>
    </w:p>
    <w:p w14:paraId="5A8FA6C2" w14:textId="77777777" w:rsidR="00F679D5" w:rsidRPr="00A05D2E" w:rsidRDefault="00F679D5" w:rsidP="00F679D5">
      <w:pPr>
        <w:pStyle w:val="Default"/>
        <w:ind w:left="1134" w:right="899"/>
        <w:jc w:val="both"/>
        <w:rPr>
          <w:rFonts w:ascii="ITC Avant Garde" w:hAnsi="ITC Avant Garde" w:cstheme="minorHAnsi"/>
          <w:sz w:val="18"/>
          <w:szCs w:val="18"/>
        </w:rPr>
      </w:pPr>
    </w:p>
    <w:p w14:paraId="53FD4674" w14:textId="77777777" w:rsidR="00F679D5" w:rsidRPr="00A05D2E" w:rsidRDefault="00F679D5" w:rsidP="00F679D5">
      <w:pPr>
        <w:pStyle w:val="Default"/>
        <w:ind w:left="1134" w:right="899"/>
        <w:jc w:val="both"/>
        <w:rPr>
          <w:rFonts w:ascii="ITC Avant Garde" w:hAnsi="ITC Avant Garde" w:cstheme="minorHAnsi"/>
          <w:sz w:val="18"/>
          <w:szCs w:val="18"/>
        </w:rPr>
      </w:pPr>
      <w:r w:rsidRPr="00A05D2E">
        <w:rPr>
          <w:rFonts w:ascii="ITC Avant Garde" w:hAnsi="ITC Avant Garde" w:cstheme="minorHAnsi"/>
          <w:b/>
          <w:bCs/>
          <w:i/>
          <w:sz w:val="18"/>
          <w:szCs w:val="18"/>
        </w:rPr>
        <w:t>MX214</w:t>
      </w:r>
      <w:r w:rsidRPr="00A05D2E">
        <w:rPr>
          <w:rFonts w:ascii="ITC Avant Garde" w:hAnsi="ITC Avant Garde" w:cstheme="minorHAnsi"/>
          <w:bCs/>
          <w:i/>
          <w:sz w:val="18"/>
          <w:szCs w:val="18"/>
        </w:rPr>
        <w:t xml:space="preserve"> </w:t>
      </w:r>
      <w:r w:rsidRPr="00A05D2E">
        <w:rPr>
          <w:rFonts w:ascii="ITC Avant Garde" w:eastAsia="Arial Unicode MS" w:hAnsi="ITC Avant Garde" w:cstheme="minorHAnsi"/>
          <w:i/>
          <w:sz w:val="18"/>
          <w:szCs w:val="18"/>
          <w:u w:color="000000"/>
          <w:bdr w:val="nil"/>
        </w:rPr>
        <w:t>Las bandas de frecuencias 3.400 - 3.700 GHz (espacio-Tierra) y 6.425 - 6.725 GHz (Tierra-espacio) son empleadas por el Sistema Satelital del Gobierno Federal en la posición orbital geoestacionaria 114.9° Oeste, para la provisión del servicio fijo por satélite</w:t>
      </w:r>
      <w:r w:rsidRPr="00A05D2E">
        <w:rPr>
          <w:rFonts w:ascii="ITC Avant Garde" w:hAnsi="ITC Avant Garde" w:cstheme="minorHAnsi"/>
          <w:bCs/>
          <w:i/>
          <w:sz w:val="18"/>
          <w:szCs w:val="18"/>
        </w:rPr>
        <w:t>.</w:t>
      </w:r>
    </w:p>
    <w:p w14:paraId="3684B226" w14:textId="77777777" w:rsidR="00F679D5" w:rsidRPr="006F3CEC" w:rsidRDefault="00F679D5" w:rsidP="00F679D5">
      <w:pPr>
        <w:spacing w:after="0" w:line="240" w:lineRule="auto"/>
        <w:jc w:val="both"/>
        <w:rPr>
          <w:rFonts w:ascii="ITC Avant Garde" w:hAnsi="ITC Avant Garde" w:cstheme="minorHAnsi"/>
          <w:color w:val="000000"/>
        </w:rPr>
      </w:pPr>
    </w:p>
    <w:p w14:paraId="1BB325C3" w14:textId="77777777" w:rsidR="00F679D5" w:rsidRPr="00A05D2E" w:rsidRDefault="00F679D5" w:rsidP="00F679D5">
      <w:pPr>
        <w:spacing w:after="0" w:line="240" w:lineRule="auto"/>
        <w:jc w:val="both"/>
        <w:rPr>
          <w:rFonts w:ascii="ITC Avant Garde" w:hAnsi="ITC Avant Garde" w:cstheme="minorHAnsi"/>
          <w:b/>
        </w:rPr>
      </w:pPr>
      <w:r w:rsidRPr="00A05D2E">
        <w:rPr>
          <w:rFonts w:ascii="ITC Avant Garde" w:hAnsi="ITC Avant Garde" w:cstheme="minorHAnsi"/>
          <w:b/>
        </w:rPr>
        <w:t>Situación actual de la banda de frecuencias.</w:t>
      </w:r>
    </w:p>
    <w:p w14:paraId="42BC6808" w14:textId="77777777" w:rsidR="00F679D5" w:rsidRPr="006F3CEC" w:rsidRDefault="00F679D5" w:rsidP="00F679D5">
      <w:pPr>
        <w:spacing w:after="0" w:line="240" w:lineRule="auto"/>
        <w:jc w:val="both"/>
        <w:rPr>
          <w:rFonts w:ascii="ITC Avant Garde" w:hAnsi="ITC Avant Garde" w:cstheme="minorHAnsi"/>
          <w:color w:val="000000"/>
        </w:rPr>
      </w:pPr>
    </w:p>
    <w:p w14:paraId="50EFCB9A" w14:textId="18475DAE"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Actualmente, en nuestro país la banda de frecuencias 3.4-3.6 GHz está identificada como una banda propicia para el despliegue de sistemas IMT para múltiples administraciones a nivel mundial, de conformidad con la Resolución 223 (Rev. CMR-</w:t>
      </w:r>
      <w:r w:rsidR="009F133D">
        <w:rPr>
          <w:rFonts w:ascii="ITC Avant Garde" w:hAnsi="ITC Avant Garde" w:cstheme="minorHAnsi"/>
          <w:color w:val="000000"/>
        </w:rPr>
        <w:t>23</w:t>
      </w:r>
      <w:r w:rsidRPr="006F3CEC">
        <w:rPr>
          <w:rFonts w:ascii="ITC Avant Garde" w:hAnsi="ITC Avant Garde" w:cstheme="minorHAnsi"/>
          <w:color w:val="000000"/>
        </w:rPr>
        <w:t>) y las notas internacionales 5.430A, 5.431B, 5.432</w:t>
      </w:r>
      <w:r w:rsidR="00CB4FAD">
        <w:rPr>
          <w:rFonts w:ascii="ITC Avant Garde" w:hAnsi="ITC Avant Garde" w:cstheme="minorHAnsi"/>
          <w:color w:val="000000"/>
        </w:rPr>
        <w:t>A y</w:t>
      </w:r>
      <w:r w:rsidRPr="006F3CEC">
        <w:rPr>
          <w:rFonts w:ascii="ITC Avant Garde" w:hAnsi="ITC Avant Garde" w:cstheme="minorHAnsi"/>
          <w:color w:val="000000"/>
        </w:rPr>
        <w:t xml:space="preserve"> 5.432B del RR de la UIT. Es importante mencionar que dicha identificación no impide la utilización de esta banda de frecuencias por cualquier aplicación de los servicios a los que está atribuida, ni establece preferencia alguna en el RR.</w:t>
      </w:r>
    </w:p>
    <w:p w14:paraId="1A62C4D7" w14:textId="77777777" w:rsidR="00F679D5" w:rsidRPr="006F3CEC" w:rsidRDefault="00F679D5" w:rsidP="00F679D5">
      <w:pPr>
        <w:spacing w:after="0" w:line="240" w:lineRule="auto"/>
        <w:jc w:val="both"/>
        <w:rPr>
          <w:rFonts w:ascii="ITC Avant Garde" w:hAnsi="ITC Avant Garde" w:cstheme="minorHAnsi"/>
          <w:color w:val="000000"/>
        </w:rPr>
      </w:pPr>
    </w:p>
    <w:p w14:paraId="5A26232D" w14:textId="77777777" w:rsidR="00F679D5" w:rsidRPr="006F3CEC" w:rsidRDefault="00F679D5" w:rsidP="00F679D5">
      <w:pPr>
        <w:spacing w:after="0" w:line="240" w:lineRule="auto"/>
        <w:jc w:val="both"/>
        <w:rPr>
          <w:rFonts w:ascii="ITC Avant Garde" w:hAnsi="ITC Avant Garde" w:cstheme="minorHAnsi"/>
          <w:color w:val="000000"/>
        </w:rPr>
      </w:pPr>
      <w:r>
        <w:rPr>
          <w:rFonts w:ascii="ITC Avant Garde" w:hAnsi="ITC Avant Garde" w:cstheme="minorHAnsi"/>
          <w:color w:val="000000"/>
        </w:rPr>
        <w:t>Como</w:t>
      </w:r>
      <w:r w:rsidRPr="006F3CEC">
        <w:rPr>
          <w:rFonts w:ascii="ITC Avant Garde" w:hAnsi="ITC Avant Garde" w:cstheme="minorHAnsi"/>
          <w:color w:val="000000"/>
        </w:rPr>
        <w:t xml:space="preserve"> consecuencia de la identificación de dichas bandas de frecuencias como propicias para las IMT, el UIT-R plantea en su Recomendación M.1036-7 </w:t>
      </w:r>
      <w:r w:rsidRPr="006F3CEC">
        <w:rPr>
          <w:rFonts w:ascii="ITC Avant Garde" w:hAnsi="ITC Avant Garde" w:cstheme="minorHAnsi"/>
          <w:i/>
          <w:iCs/>
          <w:color w:val="000000"/>
        </w:rPr>
        <w:t>“Disposiciones de frecuencias para la implementación de la componente terrenal de las telecomunicaciones móviles internacionales en las bandas identificadas en el Reglamento de Radiocomunicaciones para las IMT”</w:t>
      </w:r>
      <w:r w:rsidRPr="006F3CEC">
        <w:rPr>
          <w:rStyle w:val="Refdenotaalpie"/>
          <w:rFonts w:ascii="ITC Avant Garde" w:eastAsia="Times New Roman" w:hAnsi="ITC Avant Garde" w:cstheme="minorHAnsi"/>
          <w:lang w:eastAsia="es-ES"/>
        </w:rPr>
        <w:footnoteReference w:id="20"/>
      </w:r>
      <w:r w:rsidRPr="006F3CEC">
        <w:rPr>
          <w:rFonts w:ascii="ITC Avant Garde" w:hAnsi="ITC Avant Garde" w:cstheme="minorHAnsi"/>
          <w:color w:val="000000"/>
        </w:rPr>
        <w:t>, un esquema de segmentación para la banda que va de 3.3 GHz a 3.7 GHz denominado F3 y, otro que va de 3.4 GHz a 3.6 GHz denominado F1. Ambos consideran la totalidad de sus respectivos segmentos en modo TDD. Aunado a lo anterior, este arreglo de frecuencias, actualmente se encuentra bajo revisión, con el objeto de considerar la identificación del rango 3.7-3.8 GHz por algunos países, en dicho arreglo de frecuencias.</w:t>
      </w:r>
    </w:p>
    <w:p w14:paraId="04206299" w14:textId="77777777" w:rsidR="00F679D5" w:rsidRPr="006F3CEC" w:rsidRDefault="00F679D5" w:rsidP="00F679D5">
      <w:pPr>
        <w:spacing w:after="0" w:line="240" w:lineRule="auto"/>
        <w:jc w:val="both"/>
        <w:rPr>
          <w:rFonts w:ascii="ITC Avant Garde" w:hAnsi="ITC Avant Garde" w:cstheme="minorHAnsi"/>
          <w:color w:val="000000"/>
        </w:rPr>
      </w:pPr>
    </w:p>
    <w:p w14:paraId="6973349D"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 xml:space="preserve">Por otra parte, el CCP.II de la CITEL, acordó aprobar una recomendación para los países que conforman la Región 2 titulada: Recomendación CCP.II/REC. 67 (XLIII-24) </w:t>
      </w:r>
      <w:r w:rsidRPr="006F3CEC">
        <w:rPr>
          <w:rFonts w:ascii="ITC Avant Garde" w:hAnsi="ITC Avant Garde" w:cstheme="minorHAnsi"/>
          <w:i/>
          <w:iCs/>
          <w:color w:val="000000"/>
        </w:rPr>
        <w:t xml:space="preserve">“Disposiciones de frecuencias para la componente terrenal de las </w:t>
      </w:r>
      <w:r w:rsidRPr="006F3CEC">
        <w:rPr>
          <w:rFonts w:ascii="ITC Avant Garde" w:hAnsi="ITC Avant Garde"/>
          <w:i/>
          <w:iCs/>
        </w:rPr>
        <w:t>Telecomunicaciones Móviles Internacionales (</w:t>
      </w:r>
      <w:r w:rsidRPr="006F3CEC">
        <w:rPr>
          <w:rFonts w:ascii="ITC Avant Garde" w:hAnsi="ITC Avant Garde" w:cstheme="minorHAnsi"/>
          <w:i/>
          <w:iCs/>
          <w:color w:val="000000"/>
        </w:rPr>
        <w:t>IMT)”</w:t>
      </w:r>
      <w:r w:rsidRPr="006F3CEC">
        <w:rPr>
          <w:rFonts w:ascii="ITC Avant Garde" w:hAnsi="ITC Avant Garde"/>
          <w:vertAlign w:val="superscript"/>
        </w:rPr>
        <w:t xml:space="preserve"> </w:t>
      </w:r>
      <w:r w:rsidRPr="006F3CEC">
        <w:rPr>
          <w:rFonts w:ascii="ITC Avant Garde" w:hAnsi="ITC Avant Garde"/>
          <w:vertAlign w:val="superscript"/>
        </w:rPr>
        <w:footnoteReference w:id="21"/>
      </w:r>
      <w:r w:rsidRPr="006F3CEC">
        <w:rPr>
          <w:rFonts w:ascii="ITC Avant Garde" w:eastAsia="Times New Roman" w:hAnsi="ITC Avant Garde" w:cstheme="minorHAnsi"/>
          <w:lang w:eastAsia="es-ES"/>
        </w:rPr>
        <w:t xml:space="preserve"> </w:t>
      </w:r>
      <w:r w:rsidRPr="006F3CEC">
        <w:rPr>
          <w:rFonts w:ascii="ITC Avant Garde" w:hAnsi="ITC Avant Garde" w:cstheme="minorHAnsi"/>
          <w:color w:val="000000"/>
        </w:rPr>
        <w:t>en las que se considera dichas bandas de frecuencias para la provisión de servicios de banda ancha.</w:t>
      </w:r>
    </w:p>
    <w:p w14:paraId="03B64B3F" w14:textId="77777777" w:rsidR="00F679D5" w:rsidRPr="006F3CEC" w:rsidRDefault="00F679D5" w:rsidP="00F679D5">
      <w:pPr>
        <w:spacing w:after="0" w:line="240" w:lineRule="auto"/>
        <w:ind w:left="851"/>
        <w:jc w:val="both"/>
        <w:rPr>
          <w:rFonts w:ascii="ITC Avant Garde" w:hAnsi="ITC Avant Garde" w:cstheme="minorHAnsi"/>
          <w:color w:val="000000"/>
        </w:rPr>
      </w:pPr>
    </w:p>
    <w:p w14:paraId="03716C0F" w14:textId="5410BFAF"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lastRenderedPageBreak/>
        <w:t>Adicionalmente, el organismo de estandarización 3GPP</w:t>
      </w:r>
      <w:r w:rsidRPr="006F3CEC">
        <w:rPr>
          <w:rFonts w:ascii="ITC Avant Garde" w:hAnsi="ITC Avant Garde" w:cstheme="minorHAnsi"/>
          <w:vertAlign w:val="superscript"/>
        </w:rPr>
        <w:footnoteReference w:id="22"/>
      </w:r>
      <w:r w:rsidRPr="006F3CEC">
        <w:rPr>
          <w:rFonts w:ascii="ITC Avant Garde" w:hAnsi="ITC Avant Garde" w:cstheme="minorHAnsi"/>
          <w:color w:val="000000"/>
        </w:rPr>
        <w:t xml:space="preserve"> desarrolló diversas combinaciones para la implementación de sistemas IMT que incluyen la banda de frecuencias 3.4-3.6 GHz. Dichas combinaciones consideran la clasificación de la banda 42 para el segmento 3.4-3.6 GHz para aplicaciones LTE y LTE-Avanzadas. Así mismo, para el caso de la utilización de sistemas de 5G NR, se considera la clasificación de la banda n78 para el segmento 3.3-3.8 GHz y la banda n77 para el segmento 3.3-4.2 GHz como se muestra en la tabla siguiente:</w:t>
      </w:r>
    </w:p>
    <w:p w14:paraId="314B2975" w14:textId="77777777" w:rsidR="00F679D5" w:rsidRPr="006F3CEC" w:rsidRDefault="00F679D5" w:rsidP="00F679D5">
      <w:pPr>
        <w:spacing w:after="0" w:line="240" w:lineRule="auto"/>
        <w:ind w:left="851"/>
        <w:jc w:val="both"/>
        <w:rPr>
          <w:rFonts w:ascii="ITC Avant Garde" w:hAnsi="ITC Avant Garde" w:cstheme="minorHAnsi"/>
          <w:color w:val="000000"/>
        </w:rPr>
      </w:pPr>
    </w:p>
    <w:tbl>
      <w:tblPr>
        <w:tblStyle w:val="Tablaconcuadrcula1"/>
        <w:tblW w:w="0" w:type="auto"/>
        <w:tblInd w:w="1042" w:type="dxa"/>
        <w:tblLook w:val="04A0" w:firstRow="1" w:lastRow="0" w:firstColumn="1" w:lastColumn="0" w:noHBand="0" w:noVBand="1"/>
      </w:tblPr>
      <w:tblGrid>
        <w:gridCol w:w="1864"/>
        <w:gridCol w:w="1865"/>
        <w:gridCol w:w="1864"/>
        <w:gridCol w:w="1865"/>
      </w:tblGrid>
      <w:tr w:rsidR="00F679D5" w:rsidRPr="00A05D2E" w14:paraId="23595E3F" w14:textId="77777777" w:rsidTr="00105095">
        <w:trPr>
          <w:trHeight w:val="414"/>
        </w:trPr>
        <w:tc>
          <w:tcPr>
            <w:tcW w:w="1864" w:type="dxa"/>
            <w:shd w:val="clear" w:color="auto" w:fill="70AD47"/>
            <w:vAlign w:val="center"/>
          </w:tcPr>
          <w:p w14:paraId="2B823536"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Banda del 3GPP</w:t>
            </w:r>
          </w:p>
        </w:tc>
        <w:tc>
          <w:tcPr>
            <w:tcW w:w="1865" w:type="dxa"/>
            <w:shd w:val="clear" w:color="auto" w:fill="70AD47"/>
            <w:vAlign w:val="center"/>
          </w:tcPr>
          <w:p w14:paraId="3D402BF0"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ascendente</w:t>
            </w:r>
          </w:p>
        </w:tc>
        <w:tc>
          <w:tcPr>
            <w:tcW w:w="1864" w:type="dxa"/>
            <w:shd w:val="clear" w:color="auto" w:fill="70AD47"/>
            <w:vAlign w:val="center"/>
          </w:tcPr>
          <w:p w14:paraId="61E26F6D"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descendente</w:t>
            </w:r>
          </w:p>
        </w:tc>
        <w:tc>
          <w:tcPr>
            <w:tcW w:w="1865" w:type="dxa"/>
            <w:shd w:val="clear" w:color="auto" w:fill="70AD47"/>
            <w:vAlign w:val="center"/>
          </w:tcPr>
          <w:p w14:paraId="46D98F40" w14:textId="77777777" w:rsidR="00F679D5" w:rsidRPr="00A05D2E" w:rsidRDefault="00F679D5" w:rsidP="00F679D5">
            <w:pPr>
              <w:jc w:val="center"/>
              <w:rPr>
                <w:rFonts w:ascii="ITC Avant Garde" w:hAnsi="ITC Avant Garde" w:cstheme="minorHAnsi"/>
                <w:b/>
                <w:color w:val="FFFFFF"/>
                <w:sz w:val="18"/>
                <w:szCs w:val="18"/>
              </w:rPr>
            </w:pPr>
            <w:proofErr w:type="spellStart"/>
            <w:r w:rsidRPr="00A05D2E">
              <w:rPr>
                <w:rFonts w:ascii="ITC Avant Garde" w:hAnsi="ITC Avant Garde" w:cstheme="minorHAnsi"/>
                <w:b/>
                <w:color w:val="FFFFFF"/>
                <w:sz w:val="18"/>
                <w:szCs w:val="18"/>
              </w:rPr>
              <w:t>Duplexaje</w:t>
            </w:r>
            <w:proofErr w:type="spellEnd"/>
          </w:p>
        </w:tc>
      </w:tr>
      <w:tr w:rsidR="00F679D5" w:rsidRPr="00A05D2E" w14:paraId="0C181FAC" w14:textId="77777777" w:rsidTr="00105095">
        <w:tc>
          <w:tcPr>
            <w:tcW w:w="1864" w:type="dxa"/>
            <w:vAlign w:val="center"/>
          </w:tcPr>
          <w:p w14:paraId="3681621E"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42</w:t>
            </w:r>
          </w:p>
        </w:tc>
        <w:tc>
          <w:tcPr>
            <w:tcW w:w="1865" w:type="dxa"/>
            <w:vAlign w:val="center"/>
          </w:tcPr>
          <w:p w14:paraId="1C9DDA77"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3400 MHz – 3600 MHz</w:t>
            </w:r>
          </w:p>
        </w:tc>
        <w:tc>
          <w:tcPr>
            <w:tcW w:w="1864" w:type="dxa"/>
            <w:vAlign w:val="center"/>
          </w:tcPr>
          <w:p w14:paraId="6ED2B83B"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3400 MHz – 3600 MHz</w:t>
            </w:r>
          </w:p>
        </w:tc>
        <w:tc>
          <w:tcPr>
            <w:tcW w:w="1865" w:type="dxa"/>
            <w:vAlign w:val="center"/>
          </w:tcPr>
          <w:p w14:paraId="24F2A7B2"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r w:rsidR="00F679D5" w:rsidRPr="00A05D2E" w14:paraId="6BB851B2" w14:textId="77777777" w:rsidTr="00105095">
        <w:trPr>
          <w:trHeight w:val="60"/>
        </w:trPr>
        <w:tc>
          <w:tcPr>
            <w:tcW w:w="1864" w:type="dxa"/>
            <w:vAlign w:val="center"/>
          </w:tcPr>
          <w:p w14:paraId="1483D251"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n78</w:t>
            </w:r>
          </w:p>
        </w:tc>
        <w:tc>
          <w:tcPr>
            <w:tcW w:w="1865" w:type="dxa"/>
            <w:vAlign w:val="center"/>
          </w:tcPr>
          <w:p w14:paraId="2028362F"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3800 MHz</w:t>
            </w:r>
          </w:p>
        </w:tc>
        <w:tc>
          <w:tcPr>
            <w:tcW w:w="1864" w:type="dxa"/>
            <w:vAlign w:val="center"/>
          </w:tcPr>
          <w:p w14:paraId="41B36ADD"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3800 MHz</w:t>
            </w:r>
          </w:p>
        </w:tc>
        <w:tc>
          <w:tcPr>
            <w:tcW w:w="1865" w:type="dxa"/>
            <w:vAlign w:val="center"/>
          </w:tcPr>
          <w:p w14:paraId="1B176632"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r w:rsidR="00F679D5" w:rsidRPr="00A05D2E" w14:paraId="76BA5C3A" w14:textId="77777777" w:rsidTr="00105095">
        <w:trPr>
          <w:trHeight w:val="60"/>
        </w:trPr>
        <w:tc>
          <w:tcPr>
            <w:tcW w:w="1864" w:type="dxa"/>
            <w:vAlign w:val="center"/>
          </w:tcPr>
          <w:p w14:paraId="19230916"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n77</w:t>
            </w:r>
          </w:p>
        </w:tc>
        <w:tc>
          <w:tcPr>
            <w:tcW w:w="1865" w:type="dxa"/>
            <w:vAlign w:val="center"/>
          </w:tcPr>
          <w:p w14:paraId="7020485D"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4200 MHz</w:t>
            </w:r>
          </w:p>
        </w:tc>
        <w:tc>
          <w:tcPr>
            <w:tcW w:w="1864" w:type="dxa"/>
            <w:vAlign w:val="center"/>
          </w:tcPr>
          <w:p w14:paraId="2184FA8B"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4200 MHz</w:t>
            </w:r>
          </w:p>
        </w:tc>
        <w:tc>
          <w:tcPr>
            <w:tcW w:w="1865" w:type="dxa"/>
            <w:vAlign w:val="center"/>
          </w:tcPr>
          <w:p w14:paraId="058C6990"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bl>
    <w:p w14:paraId="66710FA2" w14:textId="77777777" w:rsidR="00F679D5" w:rsidRPr="006F3CEC" w:rsidRDefault="00F679D5" w:rsidP="00F679D5">
      <w:pPr>
        <w:spacing w:after="0" w:line="240" w:lineRule="auto"/>
        <w:ind w:left="851"/>
        <w:jc w:val="both"/>
        <w:rPr>
          <w:rFonts w:ascii="ITC Avant Garde" w:hAnsi="ITC Avant Garde" w:cstheme="minorHAnsi"/>
          <w:color w:val="000000"/>
        </w:rPr>
      </w:pPr>
    </w:p>
    <w:p w14:paraId="1A71AFB7"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Por otro lado, el SIAER, a la fecha, cuenta con 60 (sesenta) registros que comprenden radio bases y repetidores, pertenecientes a diferentes usuarios de los servicios fijo y móvil dentro de la banda de frecuencias 3.4-3.6 GHz, que podrían ser divididos en sistemas de enlaces punto a punto o punto a multipunto y sistemas de radiocomunicación de banda ancha.</w:t>
      </w:r>
    </w:p>
    <w:p w14:paraId="166ECE9C" w14:textId="77777777" w:rsidR="00F679D5" w:rsidRPr="006F3CEC" w:rsidRDefault="00F679D5" w:rsidP="00F679D5">
      <w:pPr>
        <w:spacing w:after="0" w:line="240" w:lineRule="auto"/>
        <w:ind w:left="851"/>
        <w:jc w:val="both"/>
        <w:rPr>
          <w:rFonts w:ascii="ITC Avant Garde" w:hAnsi="ITC Avant Garde" w:cstheme="minorHAnsi"/>
          <w:color w:val="000000"/>
        </w:rPr>
      </w:pPr>
    </w:p>
    <w:p w14:paraId="33F8E2F5"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 xml:space="preserve">Ahora bien, en lo que respecta a la ocupación de la banda de frecuencias 3.4-3.6 GHz, actualmente los segmentos de frecuencias 3.4-3.45 GHz y 3.55-3.60 GHz se encuentran concesionados a nivel nacional a favor de </w:t>
      </w:r>
      <w:proofErr w:type="spellStart"/>
      <w:r w:rsidRPr="006F3CEC">
        <w:rPr>
          <w:rFonts w:ascii="ITC Avant Garde" w:hAnsi="ITC Avant Garde" w:cstheme="minorHAnsi"/>
          <w:color w:val="000000"/>
        </w:rPr>
        <w:t>Radiomóvil</w:t>
      </w:r>
      <w:proofErr w:type="spellEnd"/>
      <w:r w:rsidRPr="006F3CEC">
        <w:rPr>
          <w:rFonts w:ascii="ITC Avant Garde" w:hAnsi="ITC Avant Garde" w:cstheme="minorHAnsi"/>
          <w:color w:val="000000"/>
        </w:rPr>
        <w:t xml:space="preserve"> Dipsa, S.A. de C.V. y de AT&amp;T Comunicaciones Digitales, S. de R.L. de C.V., respectivamente, para la provisión del servicio de acceso inalámbrico móvil y fijo, respectivamente, con una configuración TDD para ambos segmentos.</w:t>
      </w:r>
    </w:p>
    <w:p w14:paraId="6E2791E4" w14:textId="77777777" w:rsidR="00F679D5" w:rsidRPr="006F3CEC" w:rsidRDefault="00F679D5" w:rsidP="00F679D5">
      <w:pPr>
        <w:spacing w:after="0" w:line="240" w:lineRule="auto"/>
        <w:ind w:left="851"/>
        <w:jc w:val="both"/>
        <w:rPr>
          <w:rFonts w:ascii="ITC Avant Garde" w:hAnsi="ITC Avant Garde" w:cstheme="minorHAnsi"/>
          <w:color w:val="000000"/>
        </w:rPr>
      </w:pPr>
    </w:p>
    <w:p w14:paraId="7F14BD34" w14:textId="21967D4F"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Por otro lado, en agosto de 2014 el Instituto otorgó a Telecomunicaciones de México una asignación para ocupar la posición orbital geoestacionaria 114.9° Longitud Oeste, asignada al país, para la provisión de diferentes servicios y aplicaciones de telecomunicaciones a través del satélite “Bicentenario” con las bandas de frecuencias asociadas que se describen en la tabla siguiente:</w:t>
      </w:r>
    </w:p>
    <w:p w14:paraId="59AB6AF3" w14:textId="77777777" w:rsidR="00F679D5" w:rsidRPr="006F3CEC" w:rsidRDefault="00F679D5" w:rsidP="00F679D5">
      <w:pPr>
        <w:spacing w:after="0" w:line="240" w:lineRule="auto"/>
        <w:ind w:left="851"/>
        <w:jc w:val="both"/>
        <w:rPr>
          <w:rFonts w:ascii="ITC Avant Garde" w:hAnsi="ITC Avant Garde" w:cstheme="minorHAnsi"/>
          <w:color w:val="000000"/>
        </w:rPr>
      </w:pPr>
    </w:p>
    <w:tbl>
      <w:tblPr>
        <w:tblStyle w:val="Tablaconcuadrcula1"/>
        <w:tblW w:w="0" w:type="auto"/>
        <w:tblInd w:w="1121" w:type="dxa"/>
        <w:tblLook w:val="04A0" w:firstRow="1" w:lastRow="0" w:firstColumn="1" w:lastColumn="0" w:noHBand="0" w:noVBand="1"/>
      </w:tblPr>
      <w:tblGrid>
        <w:gridCol w:w="1559"/>
        <w:gridCol w:w="1651"/>
        <w:gridCol w:w="1761"/>
        <w:gridCol w:w="1549"/>
        <w:gridCol w:w="918"/>
      </w:tblGrid>
      <w:tr w:rsidR="00F679D5" w:rsidRPr="00A05D2E" w14:paraId="508D0402" w14:textId="77777777" w:rsidTr="00015A25">
        <w:trPr>
          <w:trHeight w:val="219"/>
        </w:trPr>
        <w:tc>
          <w:tcPr>
            <w:tcW w:w="1559" w:type="dxa"/>
            <w:vMerge w:val="restart"/>
            <w:shd w:val="clear" w:color="auto" w:fill="70AD47" w:themeFill="accent6"/>
            <w:hideMark/>
          </w:tcPr>
          <w:p w14:paraId="2032DE3F" w14:textId="77777777" w:rsidR="00F679D5" w:rsidRPr="00015A25" w:rsidRDefault="00F679D5" w:rsidP="00F679D5">
            <w:pPr>
              <w:ind w:right="34"/>
              <w:jc w:val="center"/>
              <w:rPr>
                <w:rFonts w:ascii="ITC Avant Garde" w:eastAsia="Times New Roman" w:hAnsi="ITC Avant Garde" w:cstheme="minorHAnsi"/>
                <w:b/>
                <w:color w:val="FFFFFF" w:themeColor="background1"/>
                <w:sz w:val="18"/>
                <w:szCs w:val="18"/>
                <w:lang w:eastAsia="es-MX"/>
              </w:rPr>
            </w:pPr>
            <w:r w:rsidRPr="00015A25">
              <w:rPr>
                <w:rFonts w:ascii="ITC Avant Garde" w:eastAsia="Times New Roman" w:hAnsi="ITC Avant Garde" w:cstheme="minorHAnsi"/>
                <w:b/>
                <w:color w:val="FFFFFF" w:themeColor="background1"/>
                <w:sz w:val="18"/>
                <w:szCs w:val="18"/>
                <w:lang w:eastAsia="es-MX"/>
              </w:rPr>
              <w:t>Satélite</w:t>
            </w:r>
          </w:p>
        </w:tc>
        <w:tc>
          <w:tcPr>
            <w:tcW w:w="1651" w:type="dxa"/>
            <w:vMerge w:val="restart"/>
            <w:shd w:val="clear" w:color="auto" w:fill="70AD47" w:themeFill="accent6"/>
            <w:hideMark/>
          </w:tcPr>
          <w:p w14:paraId="5A84D4ED" w14:textId="77777777" w:rsidR="00F679D5" w:rsidRPr="00015A25" w:rsidRDefault="00F679D5" w:rsidP="00F679D5">
            <w:pPr>
              <w:ind w:right="34"/>
              <w:jc w:val="center"/>
              <w:rPr>
                <w:rFonts w:ascii="ITC Avant Garde" w:eastAsia="Times New Roman" w:hAnsi="ITC Avant Garde" w:cstheme="minorHAnsi"/>
                <w:b/>
                <w:color w:val="FFFFFF" w:themeColor="background1"/>
                <w:sz w:val="18"/>
                <w:szCs w:val="18"/>
                <w:lang w:eastAsia="es-MX"/>
              </w:rPr>
            </w:pPr>
            <w:r w:rsidRPr="00015A25">
              <w:rPr>
                <w:rFonts w:ascii="ITC Avant Garde" w:eastAsia="Times New Roman" w:hAnsi="ITC Avant Garde" w:cstheme="minorHAnsi"/>
                <w:b/>
                <w:color w:val="FFFFFF" w:themeColor="background1"/>
                <w:sz w:val="18"/>
                <w:szCs w:val="18"/>
                <w:lang w:eastAsia="es-MX"/>
              </w:rPr>
              <w:t>Posición Orbital</w:t>
            </w:r>
          </w:p>
        </w:tc>
        <w:tc>
          <w:tcPr>
            <w:tcW w:w="3310" w:type="dxa"/>
            <w:gridSpan w:val="2"/>
            <w:shd w:val="clear" w:color="auto" w:fill="70AD47" w:themeFill="accent6"/>
            <w:hideMark/>
          </w:tcPr>
          <w:p w14:paraId="34E97139" w14:textId="77777777" w:rsidR="00F679D5" w:rsidRPr="00015A25" w:rsidRDefault="00F679D5" w:rsidP="00F679D5">
            <w:pPr>
              <w:ind w:right="34"/>
              <w:jc w:val="center"/>
              <w:rPr>
                <w:rFonts w:ascii="ITC Avant Garde" w:eastAsia="Times New Roman" w:hAnsi="ITC Avant Garde" w:cstheme="minorHAnsi"/>
                <w:b/>
                <w:color w:val="FFFFFF" w:themeColor="background1"/>
                <w:sz w:val="18"/>
                <w:szCs w:val="18"/>
                <w:lang w:eastAsia="es-MX"/>
              </w:rPr>
            </w:pPr>
            <w:r w:rsidRPr="00015A25">
              <w:rPr>
                <w:rFonts w:ascii="ITC Avant Garde" w:eastAsia="Times New Roman" w:hAnsi="ITC Avant Garde" w:cstheme="minorHAnsi"/>
                <w:b/>
                <w:color w:val="FFFFFF" w:themeColor="background1"/>
                <w:sz w:val="18"/>
                <w:szCs w:val="18"/>
                <w:lang w:eastAsia="es-MX"/>
              </w:rPr>
              <w:t>Segmentos (GHz)</w:t>
            </w:r>
          </w:p>
        </w:tc>
        <w:tc>
          <w:tcPr>
            <w:tcW w:w="859" w:type="dxa"/>
            <w:vMerge w:val="restart"/>
            <w:shd w:val="clear" w:color="auto" w:fill="70AD47" w:themeFill="accent6"/>
            <w:hideMark/>
          </w:tcPr>
          <w:p w14:paraId="7AA96B79" w14:textId="77777777" w:rsidR="00F679D5" w:rsidRPr="00015A25" w:rsidRDefault="00F679D5" w:rsidP="00F679D5">
            <w:pPr>
              <w:ind w:right="34"/>
              <w:jc w:val="center"/>
              <w:rPr>
                <w:rFonts w:ascii="ITC Avant Garde" w:eastAsia="Times New Roman" w:hAnsi="ITC Avant Garde" w:cstheme="minorHAnsi"/>
                <w:b/>
                <w:color w:val="000000" w:themeColor="text1"/>
                <w:sz w:val="18"/>
                <w:szCs w:val="18"/>
                <w:lang w:eastAsia="es-MX"/>
              </w:rPr>
            </w:pPr>
            <w:r w:rsidRPr="00015A25">
              <w:rPr>
                <w:rFonts w:ascii="ITC Avant Garde" w:hAnsi="ITC Avant Garde" w:cstheme="minorHAnsi"/>
                <w:b/>
                <w:color w:val="FFFFFF"/>
                <w:sz w:val="18"/>
                <w:szCs w:val="18"/>
              </w:rPr>
              <w:t>Servicio</w:t>
            </w:r>
          </w:p>
        </w:tc>
      </w:tr>
      <w:tr w:rsidR="00F679D5" w:rsidRPr="00A05D2E" w14:paraId="6E513E06" w14:textId="77777777" w:rsidTr="00015A25">
        <w:trPr>
          <w:trHeight w:val="379"/>
        </w:trPr>
        <w:tc>
          <w:tcPr>
            <w:tcW w:w="1559" w:type="dxa"/>
            <w:vMerge/>
            <w:shd w:val="clear" w:color="auto" w:fill="70AD47" w:themeFill="accent6"/>
            <w:hideMark/>
          </w:tcPr>
          <w:p w14:paraId="4CDF8EBA" w14:textId="77777777" w:rsidR="00F679D5" w:rsidRPr="00015A25" w:rsidRDefault="00F679D5" w:rsidP="00F679D5">
            <w:pPr>
              <w:ind w:right="34"/>
              <w:rPr>
                <w:rFonts w:ascii="ITC Avant Garde" w:eastAsia="Times New Roman" w:hAnsi="ITC Avant Garde" w:cstheme="minorHAnsi"/>
                <w:b/>
                <w:color w:val="FFFFFF" w:themeColor="background1"/>
                <w:sz w:val="18"/>
                <w:szCs w:val="18"/>
                <w:lang w:eastAsia="es-MX"/>
              </w:rPr>
            </w:pPr>
          </w:p>
        </w:tc>
        <w:tc>
          <w:tcPr>
            <w:tcW w:w="1651" w:type="dxa"/>
            <w:vMerge/>
            <w:shd w:val="clear" w:color="auto" w:fill="70AD47" w:themeFill="accent6"/>
            <w:hideMark/>
          </w:tcPr>
          <w:p w14:paraId="377352C8" w14:textId="77777777" w:rsidR="00F679D5" w:rsidRPr="00015A25" w:rsidRDefault="00F679D5" w:rsidP="00F679D5">
            <w:pPr>
              <w:ind w:right="34"/>
              <w:rPr>
                <w:rFonts w:ascii="ITC Avant Garde" w:eastAsia="Times New Roman" w:hAnsi="ITC Avant Garde" w:cstheme="minorHAnsi"/>
                <w:b/>
                <w:color w:val="FFFFFF" w:themeColor="background1"/>
                <w:sz w:val="18"/>
                <w:szCs w:val="18"/>
                <w:lang w:eastAsia="es-MX"/>
              </w:rPr>
            </w:pPr>
          </w:p>
        </w:tc>
        <w:tc>
          <w:tcPr>
            <w:tcW w:w="1761" w:type="dxa"/>
            <w:shd w:val="clear" w:color="auto" w:fill="70AD47" w:themeFill="accent6"/>
            <w:hideMark/>
          </w:tcPr>
          <w:p w14:paraId="5E3B9AFF" w14:textId="77777777" w:rsidR="00F679D5" w:rsidRPr="00015A25" w:rsidRDefault="00F679D5" w:rsidP="00F679D5">
            <w:pPr>
              <w:ind w:right="34"/>
              <w:jc w:val="center"/>
              <w:rPr>
                <w:rFonts w:ascii="ITC Avant Garde" w:eastAsia="Times New Roman" w:hAnsi="ITC Avant Garde" w:cstheme="minorHAnsi"/>
                <w:b/>
                <w:color w:val="FFFFFF" w:themeColor="background1"/>
                <w:sz w:val="18"/>
                <w:szCs w:val="18"/>
                <w:lang w:eastAsia="es-MX"/>
              </w:rPr>
            </w:pPr>
            <w:r w:rsidRPr="00015A25">
              <w:rPr>
                <w:rFonts w:ascii="ITC Avant Garde" w:eastAsia="Times New Roman" w:hAnsi="ITC Avant Garde" w:cstheme="minorHAnsi"/>
                <w:b/>
                <w:color w:val="FFFFFF" w:themeColor="background1"/>
                <w:sz w:val="18"/>
                <w:szCs w:val="18"/>
                <w:lang w:eastAsia="es-MX"/>
              </w:rPr>
              <w:t>espacio - Tierra</w:t>
            </w:r>
          </w:p>
        </w:tc>
        <w:tc>
          <w:tcPr>
            <w:tcW w:w="1549" w:type="dxa"/>
            <w:shd w:val="clear" w:color="auto" w:fill="70AD47" w:themeFill="accent6"/>
            <w:hideMark/>
          </w:tcPr>
          <w:p w14:paraId="2FB60865" w14:textId="77777777" w:rsidR="00F679D5" w:rsidRPr="00015A25" w:rsidRDefault="00F679D5" w:rsidP="00F679D5">
            <w:pPr>
              <w:ind w:right="34"/>
              <w:jc w:val="center"/>
              <w:rPr>
                <w:rFonts w:ascii="ITC Avant Garde" w:eastAsia="Times New Roman" w:hAnsi="ITC Avant Garde" w:cstheme="minorHAnsi"/>
                <w:b/>
                <w:color w:val="FFFFFF" w:themeColor="background1"/>
                <w:sz w:val="18"/>
                <w:szCs w:val="18"/>
                <w:lang w:eastAsia="es-MX"/>
              </w:rPr>
            </w:pPr>
            <w:r w:rsidRPr="00015A25">
              <w:rPr>
                <w:rFonts w:ascii="ITC Avant Garde" w:eastAsia="Times New Roman" w:hAnsi="ITC Avant Garde" w:cstheme="minorHAnsi"/>
                <w:b/>
                <w:color w:val="FFFFFF" w:themeColor="background1"/>
                <w:sz w:val="18"/>
                <w:szCs w:val="18"/>
                <w:lang w:eastAsia="es-MX"/>
              </w:rPr>
              <w:t>Tierra - espacio</w:t>
            </w:r>
          </w:p>
        </w:tc>
        <w:tc>
          <w:tcPr>
            <w:tcW w:w="859" w:type="dxa"/>
            <w:vMerge/>
            <w:shd w:val="clear" w:color="auto" w:fill="70AD47" w:themeFill="accent6"/>
            <w:hideMark/>
          </w:tcPr>
          <w:p w14:paraId="756CE9C6" w14:textId="77777777" w:rsidR="00F679D5" w:rsidRPr="00A05D2E" w:rsidRDefault="00F679D5" w:rsidP="00F679D5">
            <w:pPr>
              <w:ind w:right="34"/>
              <w:rPr>
                <w:rFonts w:ascii="ITC Avant Garde" w:eastAsia="Times New Roman" w:hAnsi="ITC Avant Garde" w:cstheme="minorHAnsi"/>
                <w:b/>
                <w:color w:val="FFFFFF"/>
                <w:sz w:val="18"/>
                <w:szCs w:val="18"/>
                <w:lang w:eastAsia="es-MX"/>
              </w:rPr>
            </w:pPr>
          </w:p>
        </w:tc>
      </w:tr>
      <w:tr w:rsidR="00F679D5" w:rsidRPr="00A05D2E" w14:paraId="2F4F048D" w14:textId="77777777" w:rsidTr="00015A25">
        <w:trPr>
          <w:trHeight w:val="272"/>
        </w:trPr>
        <w:tc>
          <w:tcPr>
            <w:tcW w:w="1559" w:type="dxa"/>
            <w:vMerge w:val="restart"/>
            <w:hideMark/>
          </w:tcPr>
          <w:p w14:paraId="3DC55801"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lastRenderedPageBreak/>
              <w:t>Bicentenario</w:t>
            </w:r>
          </w:p>
        </w:tc>
        <w:tc>
          <w:tcPr>
            <w:tcW w:w="1651" w:type="dxa"/>
            <w:vMerge w:val="restart"/>
            <w:hideMark/>
          </w:tcPr>
          <w:p w14:paraId="56CDE086"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114.9° O</w:t>
            </w:r>
          </w:p>
        </w:tc>
        <w:tc>
          <w:tcPr>
            <w:tcW w:w="1761" w:type="dxa"/>
            <w:hideMark/>
          </w:tcPr>
          <w:p w14:paraId="332B5D6E"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11.450 – 11.700</w:t>
            </w:r>
          </w:p>
        </w:tc>
        <w:tc>
          <w:tcPr>
            <w:tcW w:w="1549" w:type="dxa"/>
            <w:hideMark/>
          </w:tcPr>
          <w:p w14:paraId="21AC1C41"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13.750 – 14.000</w:t>
            </w:r>
          </w:p>
        </w:tc>
        <w:tc>
          <w:tcPr>
            <w:tcW w:w="859" w:type="dxa"/>
            <w:vMerge w:val="restart"/>
            <w:hideMark/>
          </w:tcPr>
          <w:p w14:paraId="62C4B48A"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Fijo por satélite</w:t>
            </w:r>
          </w:p>
        </w:tc>
      </w:tr>
      <w:tr w:rsidR="00F679D5" w:rsidRPr="00A05D2E" w14:paraId="2135963A" w14:textId="77777777" w:rsidTr="00015A25">
        <w:trPr>
          <w:trHeight w:val="263"/>
        </w:trPr>
        <w:tc>
          <w:tcPr>
            <w:tcW w:w="1559" w:type="dxa"/>
            <w:vMerge/>
            <w:hideMark/>
          </w:tcPr>
          <w:p w14:paraId="056E56B7" w14:textId="77777777" w:rsidR="00F679D5" w:rsidRPr="00A05D2E" w:rsidRDefault="00F679D5" w:rsidP="00F679D5">
            <w:pPr>
              <w:ind w:right="34"/>
              <w:rPr>
                <w:rFonts w:ascii="ITC Avant Garde" w:eastAsia="Times New Roman" w:hAnsi="ITC Avant Garde" w:cstheme="minorHAnsi"/>
                <w:b/>
                <w:color w:val="000000"/>
                <w:sz w:val="18"/>
                <w:szCs w:val="18"/>
                <w:lang w:eastAsia="es-MX"/>
              </w:rPr>
            </w:pPr>
          </w:p>
        </w:tc>
        <w:tc>
          <w:tcPr>
            <w:tcW w:w="1651" w:type="dxa"/>
            <w:vMerge/>
            <w:hideMark/>
          </w:tcPr>
          <w:p w14:paraId="75015483" w14:textId="77777777" w:rsidR="00F679D5" w:rsidRPr="00A05D2E" w:rsidRDefault="00F679D5" w:rsidP="00F679D5">
            <w:pPr>
              <w:ind w:right="34"/>
              <w:rPr>
                <w:rFonts w:ascii="ITC Avant Garde" w:eastAsia="Times New Roman" w:hAnsi="ITC Avant Garde" w:cstheme="minorHAnsi"/>
                <w:color w:val="000000"/>
                <w:sz w:val="18"/>
                <w:szCs w:val="18"/>
                <w:lang w:eastAsia="es-MX"/>
              </w:rPr>
            </w:pPr>
          </w:p>
        </w:tc>
        <w:tc>
          <w:tcPr>
            <w:tcW w:w="1761" w:type="dxa"/>
            <w:hideMark/>
          </w:tcPr>
          <w:p w14:paraId="4F1421F8"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3.400 – 3.700</w:t>
            </w:r>
          </w:p>
        </w:tc>
        <w:tc>
          <w:tcPr>
            <w:tcW w:w="1549" w:type="dxa"/>
            <w:hideMark/>
          </w:tcPr>
          <w:p w14:paraId="52681503" w14:textId="77777777" w:rsidR="00F679D5" w:rsidRPr="00A05D2E" w:rsidRDefault="00F679D5" w:rsidP="00F679D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6.425 – 6.725</w:t>
            </w:r>
          </w:p>
        </w:tc>
        <w:tc>
          <w:tcPr>
            <w:tcW w:w="859" w:type="dxa"/>
            <w:vMerge/>
            <w:hideMark/>
          </w:tcPr>
          <w:p w14:paraId="7DFAFFD5" w14:textId="77777777" w:rsidR="00F679D5" w:rsidRPr="00A05D2E" w:rsidRDefault="00F679D5" w:rsidP="00F679D5">
            <w:pPr>
              <w:ind w:right="34"/>
              <w:rPr>
                <w:rFonts w:ascii="ITC Avant Garde" w:eastAsia="Times New Roman" w:hAnsi="ITC Avant Garde" w:cstheme="minorHAnsi"/>
                <w:color w:val="000000"/>
                <w:sz w:val="18"/>
                <w:szCs w:val="18"/>
                <w:lang w:eastAsia="es-MX"/>
              </w:rPr>
            </w:pPr>
          </w:p>
        </w:tc>
      </w:tr>
    </w:tbl>
    <w:p w14:paraId="1FD0EEB0" w14:textId="77777777" w:rsidR="00F679D5" w:rsidRPr="006F3CEC" w:rsidRDefault="00F679D5" w:rsidP="00F679D5">
      <w:pPr>
        <w:spacing w:after="0" w:line="240" w:lineRule="auto"/>
        <w:ind w:left="851"/>
        <w:jc w:val="both"/>
        <w:rPr>
          <w:rFonts w:ascii="ITC Avant Garde" w:hAnsi="ITC Avant Garde" w:cstheme="minorHAnsi"/>
          <w:color w:val="000000"/>
        </w:rPr>
      </w:pPr>
    </w:p>
    <w:p w14:paraId="2D619195"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 xml:space="preserve">Así mismo, de acuerdo al RPC se cuenta con registro de </w:t>
      </w:r>
      <w:r>
        <w:rPr>
          <w:rFonts w:ascii="ITC Avant Garde" w:hAnsi="ITC Avant Garde" w:cstheme="minorHAnsi"/>
          <w:color w:val="000000"/>
        </w:rPr>
        <w:t>una</w:t>
      </w:r>
      <w:r w:rsidRPr="006F3CEC">
        <w:rPr>
          <w:rFonts w:ascii="ITC Avant Garde" w:hAnsi="ITC Avant Garde" w:cstheme="minorHAnsi"/>
          <w:color w:val="000000"/>
        </w:rPr>
        <w:t xml:space="preserve"> autorizaci</w:t>
      </w:r>
      <w:r>
        <w:rPr>
          <w:rFonts w:ascii="ITC Avant Garde" w:hAnsi="ITC Avant Garde" w:cstheme="minorHAnsi"/>
          <w:color w:val="000000"/>
        </w:rPr>
        <w:t>ó</w:t>
      </w:r>
      <w:r w:rsidRPr="006F3CEC">
        <w:rPr>
          <w:rFonts w:ascii="ITC Avant Garde" w:hAnsi="ITC Avant Garde" w:cstheme="minorHAnsi"/>
          <w:color w:val="000000"/>
        </w:rPr>
        <w:t xml:space="preserve">n y </w:t>
      </w:r>
      <w:r>
        <w:rPr>
          <w:rFonts w:ascii="ITC Avant Garde" w:hAnsi="ITC Avant Garde" w:cstheme="minorHAnsi"/>
          <w:color w:val="000000"/>
        </w:rPr>
        <w:t>una</w:t>
      </w:r>
      <w:r w:rsidRPr="006F3CEC">
        <w:rPr>
          <w:rFonts w:ascii="ITC Avant Garde" w:hAnsi="ITC Avant Garde" w:cstheme="minorHAnsi"/>
          <w:color w:val="000000"/>
        </w:rPr>
        <w:t xml:space="preserve"> concesi</w:t>
      </w:r>
      <w:r>
        <w:rPr>
          <w:rFonts w:ascii="ITC Avant Garde" w:hAnsi="ITC Avant Garde" w:cstheme="minorHAnsi"/>
          <w:color w:val="000000"/>
        </w:rPr>
        <w:t>ó</w:t>
      </w:r>
      <w:r w:rsidRPr="006F3CEC">
        <w:rPr>
          <w:rFonts w:ascii="ITC Avant Garde" w:hAnsi="ITC Avant Garde" w:cstheme="minorHAnsi"/>
          <w:color w:val="000000"/>
        </w:rPr>
        <w:t xml:space="preserve">n para explotar los derechos de emisión y recepción de señales y bandas de frecuencias asociadas a sistemas satelitales extranjeros que cubran y puedan prestar servicios en el territorio nacional (aterrizaje de señales) con </w:t>
      </w:r>
      <w:r>
        <w:rPr>
          <w:rFonts w:ascii="ITC Avant Garde" w:hAnsi="ITC Avant Garde" w:cstheme="minorHAnsi"/>
          <w:color w:val="000000"/>
        </w:rPr>
        <w:t>el</w:t>
      </w:r>
      <w:r w:rsidRPr="006F3CEC">
        <w:rPr>
          <w:rFonts w:ascii="ITC Avant Garde" w:hAnsi="ITC Avant Garde" w:cstheme="minorHAnsi"/>
          <w:color w:val="000000"/>
        </w:rPr>
        <w:t xml:space="preserve"> segmento asociado 3550 – 3700 MHz, 3599 – 4200 MHz.</w:t>
      </w:r>
    </w:p>
    <w:p w14:paraId="131ACB16" w14:textId="77777777" w:rsidR="00F679D5" w:rsidRPr="006F3CEC" w:rsidRDefault="00F679D5" w:rsidP="00F679D5">
      <w:pPr>
        <w:spacing w:after="0" w:line="240" w:lineRule="auto"/>
        <w:ind w:left="851"/>
        <w:jc w:val="both"/>
        <w:rPr>
          <w:rFonts w:ascii="ITC Avant Garde" w:hAnsi="ITC Avant Garde" w:cs="Calibri"/>
          <w:color w:val="000000"/>
        </w:rPr>
      </w:pPr>
    </w:p>
    <w:p w14:paraId="05EDC930" w14:textId="58036B24" w:rsidR="00F679D5" w:rsidRPr="00A05D2E" w:rsidRDefault="001D78B6" w:rsidP="00F679D5">
      <w:pPr>
        <w:spacing w:after="0" w:line="240" w:lineRule="auto"/>
        <w:rPr>
          <w:rFonts w:ascii="ITC Avant Garde" w:hAnsi="ITC Avant Garde"/>
          <w:b/>
        </w:rPr>
      </w:pPr>
      <w:r>
        <w:rPr>
          <w:rFonts w:ascii="ITC Avant Garde" w:hAnsi="ITC Avant Garde"/>
          <w:b/>
        </w:rPr>
        <w:t>5</w:t>
      </w:r>
      <w:r w:rsidR="00F679D5">
        <w:rPr>
          <w:rFonts w:ascii="ITC Avant Garde" w:hAnsi="ITC Avant Garde"/>
          <w:b/>
        </w:rPr>
        <w:t xml:space="preserve">.1.3. </w:t>
      </w:r>
      <w:r w:rsidR="00F679D5" w:rsidRPr="00A05D2E">
        <w:rPr>
          <w:rFonts w:ascii="ITC Avant Garde" w:hAnsi="ITC Avant Garde"/>
          <w:b/>
        </w:rPr>
        <w:t>Banda 3.6 – 3.7 GHz</w:t>
      </w:r>
    </w:p>
    <w:p w14:paraId="0E4BE0C6" w14:textId="77777777" w:rsidR="00F679D5" w:rsidRPr="00A05D2E" w:rsidRDefault="00F679D5" w:rsidP="00F679D5">
      <w:pPr>
        <w:spacing w:after="0" w:line="240" w:lineRule="auto"/>
        <w:rPr>
          <w:rFonts w:ascii="ITC Avant Garde" w:hAnsi="ITC Avant Garde"/>
          <w:b/>
        </w:rPr>
      </w:pPr>
    </w:p>
    <w:p w14:paraId="0FFAD776" w14:textId="77777777" w:rsidR="00F679D5" w:rsidRPr="00A05D2E" w:rsidRDefault="00F679D5" w:rsidP="00F679D5">
      <w:pPr>
        <w:spacing w:after="0" w:line="240" w:lineRule="auto"/>
        <w:rPr>
          <w:rFonts w:ascii="ITC Avant Garde" w:hAnsi="ITC Avant Garde"/>
        </w:rPr>
      </w:pPr>
      <w:r w:rsidRPr="00A05D2E">
        <w:rPr>
          <w:rFonts w:ascii="ITC Avant Garde" w:hAnsi="ITC Avant Garde"/>
        </w:rPr>
        <w:t>Identificada como IMT en CMR-23, número 5.434 del RR</w:t>
      </w:r>
    </w:p>
    <w:p w14:paraId="252880F1" w14:textId="77777777" w:rsidR="00F679D5" w:rsidRDefault="00F679D5" w:rsidP="00F679D5">
      <w:pPr>
        <w:pStyle w:val="Prrafodelista"/>
        <w:spacing w:after="0" w:line="240" w:lineRule="auto"/>
        <w:ind w:left="709"/>
        <w:rPr>
          <w:rFonts w:ascii="ITC Avant Garde" w:hAnsi="ITC Avant Garde"/>
        </w:rPr>
      </w:pPr>
    </w:p>
    <w:p w14:paraId="0747EFDE" w14:textId="77777777" w:rsidR="00F679D5" w:rsidRPr="00F679D5" w:rsidRDefault="00F679D5" w:rsidP="00F679D5">
      <w:pPr>
        <w:spacing w:after="0" w:line="240" w:lineRule="auto"/>
        <w:rPr>
          <w:rFonts w:ascii="ITC Avant Garde" w:hAnsi="ITC Avant Garde"/>
          <w:b/>
          <w:bCs/>
        </w:rPr>
      </w:pPr>
      <w:r w:rsidRPr="00F679D5">
        <w:rPr>
          <w:rFonts w:ascii="ITC Avant Garde" w:hAnsi="ITC Avant Garde"/>
          <w:b/>
          <w:bCs/>
        </w:rPr>
        <w:t>Modalidad de Uso: Comercial</w:t>
      </w:r>
    </w:p>
    <w:p w14:paraId="548495D9" w14:textId="77777777" w:rsidR="00F679D5" w:rsidRPr="006F3CEC" w:rsidRDefault="00F679D5" w:rsidP="00F679D5">
      <w:pPr>
        <w:pStyle w:val="Prrafodelista"/>
        <w:spacing w:after="0" w:line="240" w:lineRule="auto"/>
        <w:ind w:left="709"/>
        <w:rPr>
          <w:rFonts w:ascii="ITC Avant Garde" w:hAnsi="ITC Avant Garde"/>
        </w:rPr>
      </w:pPr>
    </w:p>
    <w:p w14:paraId="1DE7646F" w14:textId="77777777" w:rsidR="00F679D5" w:rsidRPr="00A05D2E" w:rsidRDefault="00F679D5" w:rsidP="00F679D5">
      <w:pPr>
        <w:spacing w:after="0" w:line="240" w:lineRule="auto"/>
        <w:jc w:val="both"/>
        <w:rPr>
          <w:rFonts w:ascii="ITC Avant Garde" w:hAnsi="ITC Avant Garde" w:cstheme="minorHAnsi"/>
        </w:rPr>
      </w:pPr>
      <w:r w:rsidRPr="00A05D2E">
        <w:rPr>
          <w:rFonts w:ascii="ITC Avant Garde" w:hAnsi="ITC Avant Garde" w:cstheme="minorHAnsi"/>
          <w:b/>
        </w:rPr>
        <w:t>Análisis</w:t>
      </w:r>
      <w:r w:rsidRPr="00A05D2E">
        <w:rPr>
          <w:rFonts w:ascii="ITC Avant Garde" w:hAnsi="ITC Avant Garde" w:cstheme="minorHAnsi"/>
        </w:rPr>
        <w:t xml:space="preserve"> </w:t>
      </w:r>
      <w:r w:rsidRPr="00A05D2E">
        <w:rPr>
          <w:rFonts w:ascii="ITC Avant Garde" w:hAnsi="ITC Avant Garde" w:cstheme="minorHAnsi"/>
          <w:b/>
        </w:rPr>
        <w:t>de la banda de frecuencias 3.6-3.7 GHz</w:t>
      </w:r>
    </w:p>
    <w:p w14:paraId="5104C9B8" w14:textId="77777777" w:rsidR="00F679D5" w:rsidRPr="006F3CEC" w:rsidRDefault="00F679D5" w:rsidP="00F679D5">
      <w:pPr>
        <w:pStyle w:val="Prrafodelista"/>
        <w:spacing w:after="0" w:line="240" w:lineRule="auto"/>
        <w:ind w:left="567"/>
        <w:contextualSpacing w:val="0"/>
        <w:jc w:val="both"/>
        <w:rPr>
          <w:rFonts w:ascii="ITC Avant Garde" w:hAnsi="ITC Avant Garde" w:cstheme="minorHAnsi"/>
        </w:rPr>
      </w:pPr>
    </w:p>
    <w:p w14:paraId="3FBB780D" w14:textId="77777777" w:rsidR="00F679D5" w:rsidRPr="00A05D2E" w:rsidRDefault="00F679D5" w:rsidP="00F679D5">
      <w:pPr>
        <w:spacing w:after="0" w:line="240" w:lineRule="auto"/>
        <w:jc w:val="both"/>
        <w:rPr>
          <w:rFonts w:ascii="ITC Avant Garde" w:hAnsi="ITC Avant Garde" w:cstheme="minorHAnsi"/>
          <w:b/>
        </w:rPr>
      </w:pPr>
      <w:r w:rsidRPr="00A05D2E">
        <w:rPr>
          <w:rFonts w:ascii="ITC Avant Garde" w:hAnsi="ITC Avant Garde" w:cstheme="minorHAnsi"/>
          <w:b/>
        </w:rPr>
        <w:t>Atribución de la banda de frecuencias.</w:t>
      </w:r>
    </w:p>
    <w:p w14:paraId="15F96D42" w14:textId="77777777" w:rsidR="00F679D5" w:rsidRPr="006F3CEC" w:rsidRDefault="00F679D5" w:rsidP="00F679D5">
      <w:pPr>
        <w:pStyle w:val="Prrafodelista"/>
        <w:spacing w:after="0" w:line="240" w:lineRule="auto"/>
        <w:ind w:left="0"/>
        <w:contextualSpacing w:val="0"/>
        <w:rPr>
          <w:rFonts w:ascii="ITC Avant Garde" w:hAnsi="ITC Avant Garde" w:cstheme="minorHAnsi"/>
        </w:rPr>
      </w:pPr>
    </w:p>
    <w:p w14:paraId="1CE12AFC" w14:textId="77777777" w:rsidR="00F679D5" w:rsidRPr="00D565E4" w:rsidRDefault="00F679D5" w:rsidP="00F679D5">
      <w:pPr>
        <w:spacing w:after="0" w:line="240" w:lineRule="auto"/>
        <w:jc w:val="both"/>
        <w:rPr>
          <w:rFonts w:ascii="ITC Avant Garde" w:hAnsi="ITC Avant Garde" w:cstheme="minorHAnsi"/>
          <w:b/>
        </w:rPr>
      </w:pPr>
      <w:r w:rsidRPr="00D565E4">
        <w:rPr>
          <w:rFonts w:ascii="ITC Avant Garde" w:hAnsi="ITC Avant Garde" w:cstheme="minorHAnsi"/>
          <w:b/>
        </w:rPr>
        <w:t>RR</w:t>
      </w:r>
    </w:p>
    <w:p w14:paraId="053ACD42" w14:textId="77777777" w:rsidR="00F679D5" w:rsidRPr="006F3CEC" w:rsidRDefault="00F679D5" w:rsidP="00F679D5">
      <w:pPr>
        <w:spacing w:after="0" w:line="240" w:lineRule="auto"/>
        <w:rPr>
          <w:rFonts w:ascii="ITC Avant Garde" w:hAnsi="ITC Avant Garde" w:cstheme="minorHAnsi"/>
        </w:rPr>
      </w:pPr>
    </w:p>
    <w:p w14:paraId="3BE109EF"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El RR</w:t>
      </w:r>
      <w:r w:rsidRPr="006F3CEC">
        <w:rPr>
          <w:rStyle w:val="Refdenotaalpie"/>
          <w:rFonts w:ascii="ITC Avant Garde" w:hAnsi="ITC Avant Garde" w:cstheme="minorHAnsi"/>
        </w:rPr>
        <w:footnoteReference w:id="23"/>
      </w:r>
      <w:r w:rsidRPr="006F3CEC">
        <w:rPr>
          <w:rFonts w:ascii="ITC Avant Garde" w:hAnsi="ITC Avant Garde" w:cstheme="minorHAnsi"/>
        </w:rPr>
        <w:t xml:space="preserve"> en su Artículo 5, sección IV</w:t>
      </w:r>
      <w:r>
        <w:rPr>
          <w:rFonts w:ascii="ITC Avant Garde" w:hAnsi="ITC Avant Garde" w:cstheme="minorHAnsi"/>
        </w:rPr>
        <w:t xml:space="preserve"> denominado </w:t>
      </w:r>
      <w:r w:rsidRPr="006F3CEC">
        <w:rPr>
          <w:rFonts w:ascii="ITC Avant Garde" w:hAnsi="ITC Avant Garde" w:cstheme="minorHAnsi"/>
          <w:i/>
        </w:rPr>
        <w:t>Cuadro de atribución de bandas de frecuencias,</w:t>
      </w:r>
      <w:r w:rsidRPr="006F3CEC">
        <w:rPr>
          <w:rFonts w:ascii="ITC Avant Garde" w:hAnsi="ITC Avant Garde" w:cstheme="minorHAnsi"/>
        </w:rPr>
        <w:t xml:space="preserve"> establece para la Región 2 las atribuciones siguientes:</w:t>
      </w:r>
    </w:p>
    <w:p w14:paraId="4346EF10" w14:textId="77777777" w:rsidR="00F679D5" w:rsidRPr="006F3CEC" w:rsidRDefault="00F679D5" w:rsidP="00F679D5">
      <w:pPr>
        <w:pBdr>
          <w:top w:val="nil"/>
          <w:left w:val="nil"/>
          <w:bottom w:val="nil"/>
          <w:right w:val="nil"/>
          <w:between w:val="nil"/>
          <w:bar w:val="nil"/>
        </w:pBdr>
        <w:spacing w:after="0" w:line="240" w:lineRule="auto"/>
        <w:contextualSpacing/>
        <w:jc w:val="both"/>
        <w:rPr>
          <w:rFonts w:ascii="ITC Avant Garde" w:eastAsia="Arial Unicode MS" w:hAnsi="ITC Avant Garde" w:cstheme="minorHAnsi"/>
          <w:b/>
          <w:color w:val="000000"/>
          <w:kern w:val="0"/>
          <w:bdr w:val="nil"/>
          <w14:ligatures w14:val="none"/>
        </w:rPr>
      </w:pPr>
    </w:p>
    <w:tbl>
      <w:tblPr>
        <w:tblStyle w:val="Tablaconcuadrcula"/>
        <w:tblW w:w="0" w:type="auto"/>
        <w:tblInd w:w="1129" w:type="dxa"/>
        <w:shd w:val="clear" w:color="auto" w:fill="70AD47" w:themeFill="accent6"/>
        <w:tblLook w:val="04A0" w:firstRow="1" w:lastRow="0" w:firstColumn="1" w:lastColumn="0" w:noHBand="0" w:noVBand="1"/>
      </w:tblPr>
      <w:tblGrid>
        <w:gridCol w:w="7371"/>
      </w:tblGrid>
      <w:tr w:rsidR="00F679D5" w:rsidRPr="00A05D2E" w14:paraId="3719EC3A" w14:textId="77777777" w:rsidTr="00015A25">
        <w:trPr>
          <w:trHeight w:val="550"/>
          <w:tblHeader/>
        </w:trPr>
        <w:tc>
          <w:tcPr>
            <w:tcW w:w="7371" w:type="dxa"/>
            <w:tcBorders>
              <w:bottom w:val="single" w:sz="4" w:space="0" w:color="auto"/>
            </w:tcBorders>
            <w:shd w:val="clear" w:color="auto" w:fill="92D050"/>
            <w:vAlign w:val="center"/>
          </w:tcPr>
          <w:p w14:paraId="134E1F78" w14:textId="77777777" w:rsidR="00F679D5" w:rsidRPr="00015A25" w:rsidRDefault="00F679D5" w:rsidP="00F679D5">
            <w:pPr>
              <w:jc w:val="center"/>
              <w:rPr>
                <w:rFonts w:ascii="ITC Avant Garde" w:hAnsi="ITC Avant Garde" w:cstheme="minorHAnsi"/>
                <w:b/>
                <w:color w:val="FFFFFF" w:themeColor="background1"/>
                <w:sz w:val="18"/>
                <w:szCs w:val="18"/>
              </w:rPr>
            </w:pPr>
            <w:r w:rsidRPr="00015A25">
              <w:rPr>
                <w:rFonts w:ascii="ITC Avant Garde" w:hAnsi="ITC Avant Garde" w:cstheme="minorHAnsi"/>
                <w:b/>
                <w:color w:val="FFFFFF" w:themeColor="background1"/>
                <w:sz w:val="18"/>
                <w:szCs w:val="18"/>
              </w:rPr>
              <w:t>Atribución Internacional en el RR de la UIT (Región 2)</w:t>
            </w:r>
          </w:p>
        </w:tc>
      </w:tr>
      <w:tr w:rsidR="00F679D5" w:rsidRPr="00A05D2E" w14:paraId="405E1029" w14:textId="77777777" w:rsidTr="00015A25">
        <w:tc>
          <w:tcPr>
            <w:tcW w:w="7371" w:type="dxa"/>
            <w:shd w:val="clear" w:color="auto" w:fill="auto"/>
            <w:vAlign w:val="center"/>
          </w:tcPr>
          <w:p w14:paraId="7888384C" w14:textId="77777777" w:rsidR="00F679D5" w:rsidRPr="00A05D2E" w:rsidRDefault="00F679D5" w:rsidP="00F679D5">
            <w:pPr>
              <w:pStyle w:val="NormalWeb"/>
              <w:rPr>
                <w:rStyle w:val="Textoennegrita"/>
                <w:rFonts w:ascii="ITC Avant Garde" w:hAnsi="ITC Avant Garde" w:cstheme="minorHAnsi"/>
                <w:sz w:val="18"/>
                <w:szCs w:val="18"/>
              </w:rPr>
            </w:pPr>
            <w:r w:rsidRPr="00A05D2E">
              <w:rPr>
                <w:rStyle w:val="Textoennegrita"/>
                <w:rFonts w:ascii="ITC Avant Garde" w:hAnsi="ITC Avant Garde" w:cstheme="minorHAnsi"/>
                <w:sz w:val="18"/>
                <w:szCs w:val="18"/>
              </w:rPr>
              <w:t>3 600 - 3 700 MHz</w:t>
            </w:r>
          </w:p>
          <w:p w14:paraId="1CE4A38A" w14:textId="77777777" w:rsidR="00F679D5" w:rsidRPr="00A05D2E" w:rsidRDefault="00F679D5" w:rsidP="00F679D5">
            <w:pPr>
              <w:pStyle w:val="NormalWeb"/>
              <w:ind w:left="597" w:hanging="283"/>
              <w:rPr>
                <w:rStyle w:val="Textoennegrita"/>
                <w:rFonts w:ascii="ITC Avant Garde" w:hAnsi="ITC Avant Garde" w:cstheme="minorHAnsi"/>
                <w:b w:val="0"/>
                <w:sz w:val="18"/>
                <w:szCs w:val="18"/>
              </w:rPr>
            </w:pPr>
            <w:r w:rsidRPr="00A05D2E">
              <w:rPr>
                <w:rStyle w:val="Textoennegrita"/>
                <w:rFonts w:ascii="ITC Avant Garde" w:hAnsi="ITC Avant Garde" w:cstheme="minorHAnsi"/>
                <w:sz w:val="18"/>
                <w:szCs w:val="18"/>
              </w:rPr>
              <w:t>FIJO</w:t>
            </w:r>
          </w:p>
          <w:p w14:paraId="0A629637" w14:textId="77777777" w:rsidR="00F679D5" w:rsidRPr="00A05D2E" w:rsidRDefault="00F679D5" w:rsidP="00F679D5">
            <w:pPr>
              <w:pStyle w:val="NormalWeb"/>
              <w:ind w:left="597" w:hanging="283"/>
              <w:rPr>
                <w:rStyle w:val="Textoennegrita"/>
                <w:rFonts w:ascii="ITC Avant Garde" w:hAnsi="ITC Avant Garde" w:cstheme="minorHAnsi"/>
                <w:b w:val="0"/>
                <w:sz w:val="18"/>
                <w:szCs w:val="18"/>
              </w:rPr>
            </w:pPr>
            <w:r w:rsidRPr="00A05D2E">
              <w:rPr>
                <w:rStyle w:val="Textoennegrita"/>
                <w:rFonts w:ascii="ITC Avant Garde" w:hAnsi="ITC Avant Garde" w:cstheme="minorHAnsi"/>
                <w:sz w:val="18"/>
                <w:szCs w:val="18"/>
              </w:rPr>
              <w:t>FIJO POR SATÉLITE (espacio-Tierra)</w:t>
            </w:r>
          </w:p>
          <w:p w14:paraId="03296E7C" w14:textId="77777777" w:rsidR="00F679D5" w:rsidRPr="00A05D2E" w:rsidRDefault="00F679D5" w:rsidP="00F679D5">
            <w:pPr>
              <w:pStyle w:val="NormalWeb"/>
              <w:ind w:left="597" w:hanging="283"/>
              <w:rPr>
                <w:rStyle w:val="Textoennegrita"/>
                <w:rFonts w:ascii="ITC Avant Garde" w:hAnsi="ITC Avant Garde" w:cstheme="minorHAnsi"/>
                <w:b w:val="0"/>
                <w:sz w:val="18"/>
                <w:szCs w:val="18"/>
              </w:rPr>
            </w:pPr>
            <w:r w:rsidRPr="00A05D2E">
              <w:rPr>
                <w:rStyle w:val="Textoennegrita"/>
                <w:rFonts w:ascii="ITC Avant Garde" w:hAnsi="ITC Avant Garde" w:cstheme="minorHAnsi"/>
                <w:sz w:val="18"/>
                <w:szCs w:val="18"/>
              </w:rPr>
              <w:t>MÓVIL salvo móvil aeronáutico 5.434</w:t>
            </w:r>
          </w:p>
          <w:p w14:paraId="67804EDB" w14:textId="77777777" w:rsidR="00F679D5" w:rsidRPr="00A05D2E" w:rsidRDefault="00F679D5" w:rsidP="00F679D5">
            <w:pPr>
              <w:pStyle w:val="NormalWeb"/>
              <w:ind w:left="597" w:hanging="283"/>
              <w:rPr>
                <w:rStyle w:val="Textoennegrita"/>
                <w:rFonts w:ascii="ITC Avant Garde" w:hAnsi="ITC Avant Garde" w:cstheme="minorHAnsi"/>
                <w:b w:val="0"/>
                <w:sz w:val="18"/>
                <w:szCs w:val="18"/>
              </w:rPr>
            </w:pPr>
            <w:r w:rsidRPr="00A05D2E">
              <w:rPr>
                <w:rStyle w:val="Textoennegrita"/>
                <w:rFonts w:ascii="ITC Avant Garde" w:hAnsi="ITC Avant Garde" w:cstheme="minorHAnsi"/>
                <w:sz w:val="18"/>
                <w:szCs w:val="18"/>
              </w:rPr>
              <w:t>Radiolocalización 5.433</w:t>
            </w:r>
          </w:p>
        </w:tc>
      </w:tr>
    </w:tbl>
    <w:p w14:paraId="739ED540" w14:textId="77777777" w:rsidR="00F679D5" w:rsidRPr="006F3CEC" w:rsidRDefault="00F679D5" w:rsidP="00F679D5">
      <w:pPr>
        <w:spacing w:after="0" w:line="240" w:lineRule="auto"/>
        <w:ind w:left="1134"/>
        <w:jc w:val="both"/>
        <w:rPr>
          <w:rFonts w:ascii="ITC Avant Garde" w:hAnsi="ITC Avant Garde" w:cstheme="minorHAnsi"/>
        </w:rPr>
      </w:pPr>
    </w:p>
    <w:p w14:paraId="2F67E8B8"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Con relación a las notas internacionales contenidas en el RR de la UIT y correspondientes al rango de frecuencias 3.6-3.7 GHz, destacan las siguientes:</w:t>
      </w:r>
    </w:p>
    <w:p w14:paraId="4057A70C" w14:textId="77777777" w:rsidR="00F679D5" w:rsidRPr="006F3CEC" w:rsidRDefault="00F679D5" w:rsidP="00F679D5">
      <w:pPr>
        <w:spacing w:after="0" w:line="240" w:lineRule="auto"/>
        <w:ind w:left="1701" w:right="616"/>
        <w:jc w:val="both"/>
        <w:rPr>
          <w:rFonts w:ascii="ITC Avant Garde" w:hAnsi="ITC Avant Garde" w:cstheme="minorHAnsi"/>
        </w:rPr>
      </w:pPr>
    </w:p>
    <w:p w14:paraId="7DB046C8" w14:textId="77777777" w:rsidR="00F679D5" w:rsidRPr="00A05D2E" w:rsidRDefault="00F679D5" w:rsidP="00F679D5">
      <w:pPr>
        <w:spacing w:after="0" w:line="240" w:lineRule="auto"/>
        <w:ind w:left="1134" w:right="899"/>
        <w:jc w:val="both"/>
        <w:rPr>
          <w:rFonts w:ascii="ITC Avant Garde" w:hAnsi="ITC Avant Garde" w:cstheme="minorHAnsi"/>
          <w:i/>
          <w:sz w:val="18"/>
          <w:szCs w:val="18"/>
        </w:rPr>
      </w:pPr>
    </w:p>
    <w:p w14:paraId="6E98552C" w14:textId="77777777" w:rsidR="00F679D5" w:rsidRPr="00A05D2E" w:rsidRDefault="00F679D5" w:rsidP="00F679D5">
      <w:pPr>
        <w:spacing w:after="0" w:line="240" w:lineRule="auto"/>
        <w:ind w:left="1134" w:right="899"/>
        <w:jc w:val="both"/>
        <w:rPr>
          <w:rFonts w:ascii="ITC Avant Garde" w:hAnsi="ITC Avant Garde" w:cstheme="minorHAnsi"/>
          <w:i/>
          <w:sz w:val="18"/>
          <w:szCs w:val="18"/>
        </w:rPr>
      </w:pPr>
      <w:r w:rsidRPr="00A05D2E">
        <w:rPr>
          <w:rFonts w:ascii="ITC Avant Garde" w:hAnsi="ITC Avant Garde" w:cstheme="minorHAnsi"/>
          <w:b/>
          <w:i/>
          <w:sz w:val="18"/>
          <w:szCs w:val="18"/>
        </w:rPr>
        <w:t>5.434</w:t>
      </w:r>
      <w:r w:rsidRPr="00A05D2E">
        <w:rPr>
          <w:rFonts w:ascii="ITC Avant Garde" w:hAnsi="ITC Avant Garde" w:cstheme="minorHAnsi"/>
          <w:i/>
          <w:sz w:val="18"/>
          <w:szCs w:val="18"/>
        </w:rPr>
        <w:tab/>
      </w:r>
      <w:proofErr w:type="gramStart"/>
      <w:r w:rsidRPr="00A05D2E">
        <w:rPr>
          <w:rFonts w:ascii="ITC Avant Garde" w:hAnsi="ITC Avant Garde" w:cstheme="minorHAnsi"/>
          <w:i/>
          <w:sz w:val="18"/>
          <w:szCs w:val="18"/>
        </w:rPr>
        <w:t>En</w:t>
      </w:r>
      <w:proofErr w:type="gramEnd"/>
      <w:r w:rsidRPr="00A05D2E">
        <w:rPr>
          <w:rFonts w:ascii="ITC Avant Garde" w:hAnsi="ITC Avant Garde" w:cstheme="minorHAnsi"/>
          <w:i/>
          <w:sz w:val="18"/>
          <w:szCs w:val="18"/>
        </w:rPr>
        <w:t xml:space="preserve"> Canadá, Chile, Colombia, Costa Rica, El Salvador, Estados Unidos y Paraguay, la banda de frecuencias 3 600-3 700 MHz, o partes de la misma, está identificada para ser utilizada por las administraciones que deseen implementar las </w:t>
      </w:r>
      <w:r w:rsidRPr="00A05D2E">
        <w:rPr>
          <w:rFonts w:ascii="ITC Avant Garde" w:hAnsi="ITC Avant Garde" w:cstheme="minorHAnsi"/>
          <w:i/>
          <w:sz w:val="18"/>
          <w:szCs w:val="18"/>
        </w:rPr>
        <w:lastRenderedPageBreak/>
        <w:t xml:space="preserve">Telecomunicaciones Móviles Internacionales (IMT). Esta identificación no impide la utilización de esta banda de frecuencias por cualquier aplicación de los servicios a los que está atribuida ni establece prioridad alguna en el Reglamento de Radiocomunicaciones. En la etapa de coordinación también son de aplicación los números </w:t>
      </w:r>
      <w:r w:rsidRPr="00A05D2E">
        <w:rPr>
          <w:rFonts w:ascii="ITC Avant Garde" w:hAnsi="ITC Avant Garde" w:cstheme="minorHAnsi"/>
          <w:b/>
          <w:i/>
          <w:sz w:val="18"/>
          <w:szCs w:val="18"/>
        </w:rPr>
        <w:t>9.17</w:t>
      </w:r>
      <w:r w:rsidRPr="00A05D2E">
        <w:rPr>
          <w:rFonts w:ascii="ITC Avant Garde" w:hAnsi="ITC Avant Garde" w:cstheme="minorHAnsi"/>
          <w:i/>
          <w:sz w:val="18"/>
          <w:szCs w:val="18"/>
        </w:rPr>
        <w:t xml:space="preserve"> y </w:t>
      </w:r>
      <w:r w:rsidRPr="00A05D2E">
        <w:rPr>
          <w:rFonts w:ascii="ITC Avant Garde" w:hAnsi="ITC Avant Garde" w:cstheme="minorHAnsi"/>
          <w:b/>
          <w:i/>
          <w:sz w:val="18"/>
          <w:szCs w:val="18"/>
        </w:rPr>
        <w:t>9.18</w:t>
      </w:r>
      <w:r w:rsidRPr="00A05D2E">
        <w:rPr>
          <w:rFonts w:ascii="ITC Avant Garde" w:hAnsi="ITC Avant Garde" w:cstheme="minorHAnsi"/>
          <w:i/>
          <w:sz w:val="18"/>
          <w:szCs w:val="18"/>
        </w:rPr>
        <w:t xml:space="preserve">. Antes de que una administración ponga en servicio una estación base o móvil de un sistema IMT, buscará el acuerdo en virtud del número </w:t>
      </w:r>
      <w:r w:rsidRPr="00A05D2E">
        <w:rPr>
          <w:rFonts w:ascii="ITC Avant Garde" w:hAnsi="ITC Avant Garde" w:cstheme="minorHAnsi"/>
          <w:b/>
          <w:i/>
          <w:sz w:val="18"/>
          <w:szCs w:val="18"/>
        </w:rPr>
        <w:t>9.21</w:t>
      </w:r>
      <w:r w:rsidRPr="00A05D2E">
        <w:rPr>
          <w:rFonts w:ascii="ITC Avant Garde" w:hAnsi="ITC Avant Garde" w:cstheme="minorHAnsi"/>
          <w:i/>
          <w:sz w:val="18"/>
          <w:szCs w:val="18"/>
        </w:rPr>
        <w:t xml:space="preserve"> con otras administraciones y garantizará que la densidad de flujo de potencia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xml:space="preserve">) producida a 3 m por encima del suelo no rebasa el valor de –154,5 </w:t>
      </w:r>
      <w:proofErr w:type="gramStart"/>
      <w:r w:rsidRPr="00A05D2E">
        <w:rPr>
          <w:rFonts w:ascii="ITC Avant Garde" w:hAnsi="ITC Avant Garde" w:cstheme="minorHAnsi"/>
          <w:i/>
          <w:sz w:val="18"/>
          <w:szCs w:val="18"/>
        </w:rPr>
        <w:t>dB(</w:t>
      </w:r>
      <w:proofErr w:type="gramEnd"/>
      <w:r w:rsidRPr="00A05D2E">
        <w:rPr>
          <w:rFonts w:ascii="ITC Avant Garde" w:hAnsi="ITC Avant Garde" w:cstheme="minorHAnsi"/>
          <w:i/>
          <w:sz w:val="18"/>
          <w:szCs w:val="18"/>
        </w:rPr>
        <w:t>W/(m</w:t>
      </w:r>
      <w:r w:rsidRPr="00A05D2E">
        <w:rPr>
          <w:rFonts w:ascii="ITC Avant Garde" w:hAnsi="ITC Avant Garde" w:cstheme="minorHAnsi"/>
          <w:i/>
          <w:sz w:val="18"/>
          <w:szCs w:val="18"/>
          <w:vertAlign w:val="superscript"/>
        </w:rPr>
        <w:t>2</w:t>
      </w:r>
      <w:r w:rsidRPr="00A05D2E">
        <w:rPr>
          <w:rFonts w:ascii="ITC Avant Garde" w:hAnsi="ITC Avant Garde" w:cstheme="minorHAnsi"/>
          <w:i/>
          <w:sz w:val="18"/>
          <w:szCs w:val="18"/>
        </w:rPr>
        <w:t xml:space="preserve"> · 4 kHz)) durante más del 20% del tiempo en la frontera del territorio de cualquier otra administración. Este límite podrá rebasarse en el territorio de cualquier país cuya administración así lo haya acordado. A fin de garantizar que se satisface el límite de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xml:space="preserve"> en la frontera del territorio de cualquier otra administración, deberán realizarse los cálculos y verificaciones correspondientes, teniendo en cuenta toda la información pertinente, con el acuerdo mutuo de ambas administraciones (la administración responsable de la estación terrenal y la administración responsable de la estación terrena), y con la asistencia de la Oficina, si así se solicita. En caso de desacuerdo, la Oficina efectuará el cálculo y la verificación de la </w:t>
      </w:r>
      <w:proofErr w:type="spellStart"/>
      <w:r w:rsidRPr="00A05D2E">
        <w:rPr>
          <w:rFonts w:ascii="ITC Avant Garde" w:hAnsi="ITC Avant Garde" w:cstheme="minorHAnsi"/>
          <w:i/>
          <w:sz w:val="18"/>
          <w:szCs w:val="18"/>
        </w:rPr>
        <w:t>dfp</w:t>
      </w:r>
      <w:proofErr w:type="spellEnd"/>
      <w:r w:rsidRPr="00A05D2E">
        <w:rPr>
          <w:rFonts w:ascii="ITC Avant Garde" w:hAnsi="ITC Avant Garde" w:cstheme="minorHAnsi"/>
          <w:i/>
          <w:sz w:val="18"/>
          <w:szCs w:val="18"/>
        </w:rPr>
        <w:t xml:space="preserve">, teniendo en cuenta la información antes indicada. Las estaciones del servicio móvil, incluidos los sistemas IMT, en la banda de frecuencias 3 600-3 700 MHz no reclamarán contra las estaciones espaciales más protección que la estipulada en el Cuadro </w:t>
      </w:r>
      <w:r w:rsidRPr="00A05D2E">
        <w:rPr>
          <w:rFonts w:ascii="ITC Avant Garde" w:hAnsi="ITC Avant Garde" w:cstheme="minorHAnsi"/>
          <w:b/>
          <w:i/>
          <w:sz w:val="18"/>
          <w:szCs w:val="18"/>
        </w:rPr>
        <w:t>21-4</w:t>
      </w:r>
      <w:r w:rsidRPr="00A05D2E">
        <w:rPr>
          <w:rFonts w:ascii="ITC Avant Garde" w:hAnsi="ITC Avant Garde" w:cstheme="minorHAnsi"/>
          <w:i/>
          <w:sz w:val="18"/>
          <w:szCs w:val="18"/>
        </w:rPr>
        <w:t xml:space="preserve"> del Reglamento de Radiocomunicaciones (Edición de 2004). </w:t>
      </w:r>
      <w:r w:rsidRPr="00A05D2E">
        <w:rPr>
          <w:rFonts w:ascii="ITC Avant Garde" w:hAnsi="ITC Avant Garde" w:cstheme="minorHAnsi"/>
          <w:i/>
          <w:sz w:val="18"/>
          <w:szCs w:val="18"/>
          <w:vertAlign w:val="subscript"/>
        </w:rPr>
        <w:t>(CMR-19)</w:t>
      </w:r>
    </w:p>
    <w:p w14:paraId="65087630" w14:textId="77777777" w:rsidR="00F679D5" w:rsidRPr="006F3CEC" w:rsidRDefault="00F679D5" w:rsidP="00F679D5">
      <w:pPr>
        <w:spacing w:after="0" w:line="240" w:lineRule="auto"/>
        <w:ind w:left="1701" w:right="567"/>
        <w:jc w:val="both"/>
        <w:rPr>
          <w:rFonts w:ascii="ITC Avant Garde" w:hAnsi="ITC Avant Garde" w:cstheme="minorHAnsi"/>
          <w:i/>
        </w:rPr>
      </w:pPr>
    </w:p>
    <w:p w14:paraId="10AAFD5C" w14:textId="77777777" w:rsidR="00F679D5" w:rsidRPr="00A05D2E" w:rsidRDefault="00F679D5" w:rsidP="00F679D5">
      <w:pPr>
        <w:spacing w:after="0" w:line="240" w:lineRule="auto"/>
        <w:jc w:val="both"/>
        <w:rPr>
          <w:rFonts w:ascii="ITC Avant Garde" w:hAnsi="ITC Avant Garde" w:cstheme="minorHAnsi"/>
          <w:b/>
        </w:rPr>
      </w:pPr>
      <w:r w:rsidRPr="00A05D2E">
        <w:rPr>
          <w:rFonts w:ascii="ITC Avant Garde" w:hAnsi="ITC Avant Garde" w:cstheme="minorHAnsi"/>
          <w:b/>
        </w:rPr>
        <w:t>C</w:t>
      </w:r>
      <w:r>
        <w:rPr>
          <w:rFonts w:ascii="ITC Avant Garde" w:hAnsi="ITC Avant Garde" w:cstheme="minorHAnsi"/>
          <w:b/>
        </w:rPr>
        <w:t>NAF</w:t>
      </w:r>
    </w:p>
    <w:p w14:paraId="0AC677CF" w14:textId="77777777" w:rsidR="00F679D5" w:rsidRPr="006F3CEC" w:rsidRDefault="00F679D5" w:rsidP="00F679D5">
      <w:pPr>
        <w:spacing w:after="0" w:line="240" w:lineRule="auto"/>
        <w:jc w:val="both"/>
        <w:rPr>
          <w:rFonts w:ascii="ITC Avant Garde" w:hAnsi="ITC Avant Garde" w:cstheme="minorHAnsi"/>
        </w:rPr>
      </w:pPr>
    </w:p>
    <w:p w14:paraId="7AEEFB50"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Por lo que se refiere al ámbito nacional, el CNAF</w:t>
      </w:r>
      <w:r w:rsidRPr="006F3CEC">
        <w:rPr>
          <w:rFonts w:ascii="ITC Avant Garde" w:hAnsi="ITC Avant Garde" w:cstheme="minorHAnsi"/>
          <w:vertAlign w:val="superscript"/>
        </w:rPr>
        <w:footnoteReference w:id="24"/>
      </w:r>
      <w:r w:rsidRPr="006F3CEC">
        <w:rPr>
          <w:rFonts w:ascii="ITC Avant Garde" w:hAnsi="ITC Avant Garde" w:cstheme="minorHAnsi"/>
        </w:rPr>
        <w:t xml:space="preserve"> vigente señala la atribución siguiente:</w:t>
      </w:r>
    </w:p>
    <w:p w14:paraId="3D2C3854" w14:textId="77777777" w:rsidR="00F679D5" w:rsidRPr="006F3CEC" w:rsidRDefault="00F679D5" w:rsidP="00F679D5">
      <w:pPr>
        <w:spacing w:after="0" w:line="240" w:lineRule="auto"/>
        <w:ind w:left="1134"/>
        <w:jc w:val="both"/>
        <w:rPr>
          <w:rFonts w:ascii="ITC Avant Garde" w:hAnsi="ITC Avant Garde" w:cstheme="minorHAnsi"/>
        </w:rPr>
      </w:pPr>
    </w:p>
    <w:tbl>
      <w:tblPr>
        <w:tblStyle w:val="Tablaconcuadrcula"/>
        <w:tblW w:w="0" w:type="auto"/>
        <w:tblInd w:w="1129" w:type="dxa"/>
        <w:tblLayout w:type="fixed"/>
        <w:tblLook w:val="04A0" w:firstRow="1" w:lastRow="0" w:firstColumn="1" w:lastColumn="0" w:noHBand="0" w:noVBand="1"/>
      </w:tblPr>
      <w:tblGrid>
        <w:gridCol w:w="7371"/>
      </w:tblGrid>
      <w:tr w:rsidR="00F679D5" w:rsidRPr="00A05D2E" w14:paraId="2F361AAA" w14:textId="77777777" w:rsidTr="00E94675">
        <w:trPr>
          <w:trHeight w:val="425"/>
        </w:trPr>
        <w:tc>
          <w:tcPr>
            <w:tcW w:w="7371" w:type="dxa"/>
            <w:shd w:val="clear" w:color="auto" w:fill="92D050"/>
            <w:vAlign w:val="center"/>
          </w:tcPr>
          <w:p w14:paraId="6479C98D" w14:textId="77777777" w:rsidR="00F679D5" w:rsidRPr="00015A25" w:rsidRDefault="00F679D5" w:rsidP="00F679D5">
            <w:pPr>
              <w:jc w:val="center"/>
              <w:rPr>
                <w:rFonts w:ascii="ITC Avant Garde" w:hAnsi="ITC Avant Garde" w:cstheme="minorHAnsi"/>
                <w:b/>
                <w:color w:val="FFFFFF" w:themeColor="background1"/>
                <w:sz w:val="18"/>
                <w:szCs w:val="18"/>
              </w:rPr>
            </w:pPr>
            <w:r w:rsidRPr="00015A25">
              <w:rPr>
                <w:rFonts w:ascii="ITC Avant Garde" w:hAnsi="ITC Avant Garde" w:cstheme="minorHAnsi"/>
                <w:b/>
                <w:color w:val="FFFFFF" w:themeColor="background1"/>
                <w:sz w:val="18"/>
                <w:szCs w:val="18"/>
              </w:rPr>
              <w:t xml:space="preserve">Atribución Nacional en el CNAF </w:t>
            </w:r>
          </w:p>
        </w:tc>
      </w:tr>
      <w:tr w:rsidR="00F679D5" w:rsidRPr="00A05D2E" w14:paraId="1E3C80A5" w14:textId="77777777" w:rsidTr="00E94675">
        <w:trPr>
          <w:trHeight w:val="564"/>
        </w:trPr>
        <w:tc>
          <w:tcPr>
            <w:tcW w:w="7371" w:type="dxa"/>
            <w:vAlign w:val="center"/>
          </w:tcPr>
          <w:p w14:paraId="49A9A993" w14:textId="77777777" w:rsidR="00F679D5" w:rsidRPr="00A05D2E" w:rsidRDefault="00F679D5" w:rsidP="00F679D5">
            <w:pPr>
              <w:rPr>
                <w:rStyle w:val="nfasis"/>
                <w:rFonts w:ascii="ITC Avant Garde" w:hAnsi="ITC Avant Garde" w:cstheme="minorHAnsi"/>
                <w:b/>
                <w:i w:val="0"/>
                <w:sz w:val="18"/>
                <w:szCs w:val="18"/>
              </w:rPr>
            </w:pPr>
            <w:r w:rsidRPr="00A05D2E">
              <w:rPr>
                <w:rStyle w:val="nfasis"/>
                <w:rFonts w:ascii="ITC Avant Garde" w:hAnsi="ITC Avant Garde" w:cstheme="minorHAnsi"/>
                <w:b/>
                <w:sz w:val="18"/>
                <w:szCs w:val="18"/>
              </w:rPr>
              <w:t>3.6 - 3.7 GHz</w:t>
            </w:r>
          </w:p>
          <w:p w14:paraId="0CDB40A0" w14:textId="77777777" w:rsidR="00F679D5" w:rsidRPr="00A05D2E" w:rsidRDefault="00F679D5" w:rsidP="00F679D5">
            <w:pPr>
              <w:ind w:left="314"/>
              <w:rPr>
                <w:rStyle w:val="nfasis"/>
                <w:rFonts w:ascii="ITC Avant Garde" w:hAnsi="ITC Avant Garde" w:cstheme="minorHAnsi"/>
                <w:i w:val="0"/>
                <w:sz w:val="18"/>
                <w:szCs w:val="18"/>
              </w:rPr>
            </w:pPr>
            <w:r w:rsidRPr="00A05D2E">
              <w:rPr>
                <w:rStyle w:val="nfasis"/>
                <w:rFonts w:ascii="ITC Avant Garde" w:hAnsi="ITC Avant Garde" w:cstheme="minorHAnsi"/>
                <w:sz w:val="18"/>
                <w:szCs w:val="18"/>
              </w:rPr>
              <w:t>FIJO POR SATÉLITE (espacio-Tierra)</w:t>
            </w:r>
          </w:p>
          <w:p w14:paraId="524AF3E5" w14:textId="77777777" w:rsidR="00F679D5" w:rsidRPr="00A05D2E" w:rsidRDefault="00F679D5" w:rsidP="00F679D5">
            <w:pPr>
              <w:ind w:left="314"/>
              <w:rPr>
                <w:rStyle w:val="nfasis"/>
                <w:rFonts w:ascii="ITC Avant Garde" w:hAnsi="ITC Avant Garde" w:cstheme="minorHAnsi"/>
                <w:i w:val="0"/>
                <w:sz w:val="18"/>
                <w:szCs w:val="18"/>
              </w:rPr>
            </w:pPr>
            <w:r w:rsidRPr="00A05D2E">
              <w:rPr>
                <w:rStyle w:val="nfasis"/>
                <w:rFonts w:ascii="ITC Avant Garde" w:hAnsi="ITC Avant Garde" w:cstheme="minorHAnsi"/>
                <w:sz w:val="18"/>
                <w:szCs w:val="18"/>
              </w:rPr>
              <w:t>Radiolocalización</w:t>
            </w:r>
          </w:p>
          <w:p w14:paraId="207B73C2" w14:textId="77777777" w:rsidR="00F679D5" w:rsidRPr="00A05D2E" w:rsidRDefault="00F679D5" w:rsidP="00F679D5">
            <w:pPr>
              <w:ind w:left="314"/>
              <w:rPr>
                <w:rStyle w:val="nfasis"/>
                <w:rFonts w:ascii="ITC Avant Garde" w:hAnsi="ITC Avant Garde" w:cstheme="minorHAnsi"/>
                <w:i w:val="0"/>
                <w:sz w:val="18"/>
                <w:szCs w:val="18"/>
              </w:rPr>
            </w:pPr>
          </w:p>
          <w:p w14:paraId="3B148B9B" w14:textId="77777777" w:rsidR="00F679D5" w:rsidRPr="00A05D2E" w:rsidRDefault="00F679D5" w:rsidP="00F679D5">
            <w:pPr>
              <w:jc w:val="right"/>
              <w:rPr>
                <w:rStyle w:val="nfasis"/>
                <w:rFonts w:ascii="ITC Avant Garde" w:hAnsi="ITC Avant Garde" w:cstheme="minorHAnsi"/>
                <w:b/>
                <w:sz w:val="18"/>
                <w:szCs w:val="18"/>
              </w:rPr>
            </w:pPr>
            <w:r w:rsidRPr="00A05D2E">
              <w:rPr>
                <w:rStyle w:val="nfasis"/>
                <w:rFonts w:ascii="ITC Avant Garde" w:hAnsi="ITC Avant Garde" w:cstheme="minorHAnsi"/>
                <w:b/>
                <w:sz w:val="18"/>
                <w:szCs w:val="18"/>
              </w:rPr>
              <w:t>MX214</w:t>
            </w:r>
          </w:p>
        </w:tc>
      </w:tr>
    </w:tbl>
    <w:p w14:paraId="121FEA6C" w14:textId="77777777" w:rsidR="00F679D5" w:rsidRPr="006F3CEC" w:rsidRDefault="00F679D5" w:rsidP="00F679D5">
      <w:pPr>
        <w:spacing w:after="0" w:line="240" w:lineRule="auto"/>
        <w:ind w:left="1134"/>
        <w:jc w:val="both"/>
        <w:rPr>
          <w:rFonts w:ascii="ITC Avant Garde" w:hAnsi="ITC Avant Garde" w:cstheme="minorHAnsi"/>
        </w:rPr>
      </w:pPr>
    </w:p>
    <w:p w14:paraId="6D70F8B7" w14:textId="77777777" w:rsidR="00F679D5" w:rsidRPr="006F3CEC" w:rsidRDefault="00F679D5" w:rsidP="00F679D5">
      <w:pPr>
        <w:spacing w:after="0" w:line="240" w:lineRule="auto"/>
        <w:jc w:val="both"/>
        <w:rPr>
          <w:rFonts w:ascii="ITC Avant Garde" w:hAnsi="ITC Avant Garde" w:cstheme="minorHAnsi"/>
        </w:rPr>
      </w:pPr>
      <w:r w:rsidRPr="006F3CEC">
        <w:rPr>
          <w:rFonts w:ascii="ITC Avant Garde" w:hAnsi="ITC Avant Garde" w:cstheme="minorHAnsi"/>
        </w:rPr>
        <w:t>A su vez, respecto a las notas nacionales contenidas en el CNAF y correspondientes a la banda 3.6-3.7 GHz, destaca la siguiente:</w:t>
      </w:r>
    </w:p>
    <w:p w14:paraId="22026943" w14:textId="77777777" w:rsidR="00F679D5" w:rsidRPr="006F3CEC" w:rsidRDefault="00F679D5" w:rsidP="00F679D5">
      <w:pPr>
        <w:spacing w:after="0" w:line="240" w:lineRule="auto"/>
        <w:ind w:left="1701" w:right="616"/>
        <w:jc w:val="both"/>
        <w:rPr>
          <w:rFonts w:ascii="ITC Avant Garde" w:hAnsi="ITC Avant Garde" w:cstheme="minorHAnsi"/>
        </w:rPr>
      </w:pPr>
    </w:p>
    <w:p w14:paraId="518CEEA7" w14:textId="77777777" w:rsidR="00F679D5" w:rsidRPr="00015A25" w:rsidRDefault="00F679D5" w:rsidP="00F679D5">
      <w:pPr>
        <w:pStyle w:val="Default"/>
        <w:ind w:left="1134" w:right="899"/>
        <w:jc w:val="both"/>
        <w:rPr>
          <w:rFonts w:ascii="ITC Avant Garde" w:hAnsi="ITC Avant Garde" w:cstheme="minorHAnsi"/>
          <w:i/>
          <w:sz w:val="18"/>
          <w:szCs w:val="18"/>
        </w:rPr>
      </w:pPr>
      <w:r w:rsidRPr="00015A25">
        <w:rPr>
          <w:rFonts w:ascii="ITC Avant Garde" w:hAnsi="ITC Avant Garde" w:cstheme="minorHAnsi"/>
          <w:b/>
          <w:i/>
          <w:sz w:val="18"/>
          <w:szCs w:val="18"/>
        </w:rPr>
        <w:t>MX214</w:t>
      </w:r>
      <w:r w:rsidRPr="00015A25">
        <w:rPr>
          <w:rFonts w:ascii="ITC Avant Garde" w:hAnsi="ITC Avant Garde" w:cstheme="minorHAnsi"/>
          <w:i/>
          <w:sz w:val="18"/>
          <w:szCs w:val="18"/>
        </w:rPr>
        <w:t xml:space="preserve"> </w:t>
      </w:r>
      <w:r w:rsidRPr="00015A25">
        <w:rPr>
          <w:rFonts w:ascii="ITC Avant Garde" w:eastAsia="Arial Unicode MS" w:hAnsi="ITC Avant Garde" w:cstheme="minorHAnsi"/>
          <w:i/>
          <w:sz w:val="18"/>
          <w:szCs w:val="18"/>
          <w:u w:color="000000"/>
          <w:bdr w:val="nil"/>
        </w:rPr>
        <w:t>Las bandas de frecuencias 3.400 - 3.700 GHz (espacio-Tierra) y 6.425 - 6.725 GHz (Tierra-espacio) son empleadas por el Sistema Satelital del Gobierno Federal en la posición orbital geoestacionaria 114.9° Oeste, para la provisión del servicio fijo por satélite</w:t>
      </w:r>
      <w:r w:rsidRPr="00015A25">
        <w:rPr>
          <w:rFonts w:ascii="ITC Avant Garde" w:hAnsi="ITC Avant Garde" w:cstheme="minorHAnsi"/>
          <w:i/>
          <w:sz w:val="18"/>
          <w:szCs w:val="18"/>
        </w:rPr>
        <w:t>.</w:t>
      </w:r>
    </w:p>
    <w:p w14:paraId="26AC692A" w14:textId="77777777" w:rsidR="00F679D5" w:rsidRPr="006F3CEC" w:rsidRDefault="00F679D5" w:rsidP="00F679D5">
      <w:pPr>
        <w:pStyle w:val="Default"/>
        <w:ind w:left="1134" w:right="899"/>
        <w:jc w:val="both"/>
        <w:rPr>
          <w:rFonts w:ascii="ITC Avant Garde" w:hAnsi="ITC Avant Garde" w:cstheme="minorHAnsi"/>
          <w:sz w:val="22"/>
          <w:szCs w:val="22"/>
        </w:rPr>
      </w:pPr>
    </w:p>
    <w:p w14:paraId="3F4B4AB2" w14:textId="77777777" w:rsidR="00F679D5" w:rsidRPr="00A05D2E" w:rsidRDefault="00F679D5" w:rsidP="00F679D5">
      <w:pPr>
        <w:spacing w:after="0" w:line="240" w:lineRule="auto"/>
        <w:jc w:val="both"/>
        <w:rPr>
          <w:rFonts w:ascii="ITC Avant Garde" w:hAnsi="ITC Avant Garde" w:cstheme="minorHAnsi"/>
          <w:b/>
        </w:rPr>
      </w:pPr>
      <w:r w:rsidRPr="00A05D2E">
        <w:rPr>
          <w:rFonts w:ascii="ITC Avant Garde" w:hAnsi="ITC Avant Garde" w:cstheme="minorHAnsi"/>
          <w:b/>
        </w:rPr>
        <w:t>Situación actual de la banda de frecuencias.</w:t>
      </w:r>
    </w:p>
    <w:p w14:paraId="467D71B8" w14:textId="77777777" w:rsidR="00F679D5" w:rsidRPr="006F3CEC" w:rsidRDefault="00F679D5" w:rsidP="00F679D5">
      <w:pPr>
        <w:spacing w:after="0" w:line="240" w:lineRule="auto"/>
        <w:jc w:val="both"/>
        <w:rPr>
          <w:rFonts w:ascii="ITC Avant Garde" w:hAnsi="ITC Avant Garde" w:cstheme="minorHAnsi"/>
          <w:color w:val="000000"/>
        </w:rPr>
      </w:pPr>
    </w:p>
    <w:p w14:paraId="55807EA1"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Actualmente, en la región 2, las administraciones de Canadá, Chile, Colombia, Costa Rica, El Salvador, Estados Unidos y Paraguay han identificado la banda de frecuencias 3.6-3.7 GHz como una banda propicia para el despliegue de sistemas IMT, de conformidad con la Resolución 223 (Rev. CMR-19) y la nota internacional 5.434 del RR de la UIT. Es importante mencionar que dicha identificación fue revisada y actualizada durante la Conferencia Mundial de Radiocomunicaciones de 2023 y como resultado, dicha porción del espectro radioeléctrico se identificó para toda la Región 2 y entrará en vigor el 1 de enero de 2025, no obstante, esta identificación no impide la utilización de esta banda de frecuencias por cualquier aplicación de los servicios a los que está atribuida, ni establece preferencia alguna en el RR.</w:t>
      </w:r>
    </w:p>
    <w:p w14:paraId="3D86B7B6" w14:textId="77777777" w:rsidR="00F679D5" w:rsidRPr="006F3CEC" w:rsidRDefault="00F679D5" w:rsidP="00F679D5">
      <w:pPr>
        <w:spacing w:after="0" w:line="240" w:lineRule="auto"/>
        <w:jc w:val="both"/>
        <w:rPr>
          <w:rFonts w:ascii="ITC Avant Garde" w:hAnsi="ITC Avant Garde" w:cstheme="minorHAnsi"/>
          <w:color w:val="000000"/>
        </w:rPr>
      </w:pPr>
    </w:p>
    <w:p w14:paraId="7442970F" w14:textId="77777777" w:rsidR="00F679D5" w:rsidRPr="006F3CEC" w:rsidRDefault="00F679D5" w:rsidP="00F679D5">
      <w:pPr>
        <w:spacing w:after="0" w:line="240" w:lineRule="auto"/>
        <w:jc w:val="both"/>
        <w:rPr>
          <w:rFonts w:ascii="ITC Avant Garde" w:hAnsi="ITC Avant Garde" w:cstheme="minorHAnsi"/>
          <w:color w:val="000000"/>
        </w:rPr>
      </w:pPr>
      <w:r>
        <w:rPr>
          <w:rFonts w:ascii="ITC Avant Garde" w:hAnsi="ITC Avant Garde" w:cstheme="minorHAnsi"/>
          <w:color w:val="000000"/>
        </w:rPr>
        <w:t>Como</w:t>
      </w:r>
      <w:r w:rsidRPr="006F3CEC">
        <w:rPr>
          <w:rFonts w:ascii="ITC Avant Garde" w:hAnsi="ITC Avant Garde" w:cstheme="minorHAnsi"/>
          <w:color w:val="000000"/>
        </w:rPr>
        <w:t xml:space="preserve"> consecuencia de la identificación de dicha banda de frecuencias como propicia para las IMT, el UIT-R plantea en su Recomendación M.1036-7 </w:t>
      </w:r>
      <w:r w:rsidRPr="006F3CEC">
        <w:rPr>
          <w:rFonts w:ascii="ITC Avant Garde" w:hAnsi="ITC Avant Garde" w:cstheme="minorHAnsi"/>
          <w:i/>
          <w:color w:val="000000"/>
        </w:rPr>
        <w:t>“Disposiciones de frecuencias para la implementación de la componente terrenal de las telecomunicaciones móviles internacionales en las bandas identificadas en el Reglamento de Radiocomunicaciones para las IMT”</w:t>
      </w:r>
      <w:r w:rsidRPr="006F3CEC">
        <w:rPr>
          <w:rStyle w:val="Refdenotaalpie"/>
          <w:rFonts w:ascii="ITC Avant Garde" w:eastAsia="Times New Roman" w:hAnsi="ITC Avant Garde" w:cstheme="minorHAnsi"/>
          <w:lang w:eastAsia="es-ES"/>
        </w:rPr>
        <w:footnoteReference w:id="25"/>
      </w:r>
      <w:r w:rsidRPr="006F3CEC">
        <w:rPr>
          <w:rFonts w:ascii="ITC Avant Garde" w:hAnsi="ITC Avant Garde" w:cstheme="minorHAnsi"/>
          <w:color w:val="000000"/>
        </w:rPr>
        <w:t xml:space="preserve">, un esquema de segmentación para la banda que va de 3.3 GHz a 3.7 GHz denominado F3. Considerando la totalidad del segmento en modo de </w:t>
      </w:r>
      <w:proofErr w:type="spellStart"/>
      <w:r w:rsidRPr="006F3CEC">
        <w:rPr>
          <w:rFonts w:ascii="ITC Avant Garde" w:hAnsi="ITC Avant Garde" w:cstheme="minorHAnsi"/>
          <w:color w:val="000000"/>
        </w:rPr>
        <w:t>duplexaje</w:t>
      </w:r>
      <w:proofErr w:type="spellEnd"/>
      <w:r w:rsidRPr="006F3CEC">
        <w:rPr>
          <w:rFonts w:ascii="ITC Avant Garde" w:hAnsi="ITC Avant Garde" w:cstheme="minorHAnsi"/>
          <w:color w:val="000000"/>
        </w:rPr>
        <w:t xml:space="preserve"> por división en tiempo (TDD, por sus siglas en inglés: </w:t>
      </w:r>
      <w:r w:rsidRPr="006F3CEC">
        <w:rPr>
          <w:rFonts w:ascii="ITC Avant Garde" w:hAnsi="ITC Avant Garde" w:cstheme="minorHAnsi"/>
          <w:i/>
          <w:color w:val="000000"/>
        </w:rPr>
        <w:t xml:space="preserve">Time </w:t>
      </w:r>
      <w:proofErr w:type="spellStart"/>
      <w:r w:rsidRPr="006F3CEC">
        <w:rPr>
          <w:rFonts w:ascii="ITC Avant Garde" w:hAnsi="ITC Avant Garde" w:cstheme="minorHAnsi"/>
          <w:i/>
          <w:color w:val="000000"/>
        </w:rPr>
        <w:t>Division</w:t>
      </w:r>
      <w:proofErr w:type="spellEnd"/>
      <w:r w:rsidRPr="006F3CEC">
        <w:rPr>
          <w:rFonts w:ascii="ITC Avant Garde" w:hAnsi="ITC Avant Garde" w:cstheme="minorHAnsi"/>
          <w:i/>
          <w:color w:val="000000"/>
        </w:rPr>
        <w:t xml:space="preserve"> </w:t>
      </w:r>
      <w:proofErr w:type="spellStart"/>
      <w:r w:rsidRPr="006F3CEC">
        <w:rPr>
          <w:rFonts w:ascii="ITC Avant Garde" w:hAnsi="ITC Avant Garde" w:cstheme="minorHAnsi"/>
          <w:i/>
          <w:color w:val="000000"/>
        </w:rPr>
        <w:t>Duplex</w:t>
      </w:r>
      <w:proofErr w:type="spellEnd"/>
      <w:r w:rsidRPr="006F3CEC">
        <w:rPr>
          <w:rFonts w:ascii="ITC Avant Garde" w:hAnsi="ITC Avant Garde" w:cstheme="minorHAnsi"/>
          <w:color w:val="000000"/>
        </w:rPr>
        <w:t>). Aunado a lo anterior, este arreglo de frecuencias, actualmente se encuentra bajo revisión, con el objeto de considerar la identificación del rango 3.7-3.8 GHz por algunos países, en dicho arreglo de frecuencias.</w:t>
      </w:r>
    </w:p>
    <w:p w14:paraId="39AA0167" w14:textId="77777777" w:rsidR="00F679D5" w:rsidRPr="006F3CEC" w:rsidRDefault="00F679D5" w:rsidP="00F679D5">
      <w:pPr>
        <w:spacing w:after="0" w:line="240" w:lineRule="auto"/>
        <w:jc w:val="both"/>
        <w:rPr>
          <w:rFonts w:ascii="ITC Avant Garde" w:hAnsi="ITC Avant Garde" w:cstheme="minorHAnsi"/>
          <w:color w:val="000000"/>
        </w:rPr>
      </w:pPr>
    </w:p>
    <w:p w14:paraId="4A049612"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 xml:space="preserve">Por otra parte, el CCP.II de la CITEL, acordó aprobar una recomendación para los países que conforman la Región 2 titulada: Recomendación CCP.II/REC. 67 (XLIII-24) </w:t>
      </w:r>
      <w:r w:rsidRPr="006F3CEC">
        <w:rPr>
          <w:rFonts w:ascii="ITC Avant Garde" w:hAnsi="ITC Avant Garde" w:cstheme="minorHAnsi"/>
          <w:i/>
          <w:color w:val="000000"/>
        </w:rPr>
        <w:t>“Disposiciones de frecuencias para la componente terrenal de las Telecomunicaciones Móviles Internacionales (IMT)”</w:t>
      </w:r>
      <w:r w:rsidRPr="006F3CEC">
        <w:rPr>
          <w:rFonts w:ascii="ITC Avant Garde" w:eastAsia="Times New Roman" w:hAnsi="ITC Avant Garde" w:cstheme="minorHAnsi"/>
          <w:lang w:eastAsia="es-ES"/>
        </w:rPr>
        <w:t xml:space="preserve"> </w:t>
      </w:r>
      <w:r w:rsidRPr="006F3CEC">
        <w:rPr>
          <w:rStyle w:val="Refdenotaalpie"/>
          <w:rFonts w:ascii="ITC Avant Garde" w:eastAsia="Times New Roman" w:hAnsi="ITC Avant Garde" w:cstheme="minorHAnsi"/>
          <w:lang w:eastAsia="es-ES"/>
        </w:rPr>
        <w:footnoteReference w:id="26"/>
      </w:r>
      <w:r w:rsidRPr="006F3CEC">
        <w:rPr>
          <w:rFonts w:ascii="ITC Avant Garde" w:hAnsi="ITC Avant Garde" w:cstheme="minorHAnsi"/>
          <w:color w:val="000000"/>
        </w:rPr>
        <w:t xml:space="preserve"> en las que se considera dichas bandas de frecuencias para la provisión de servicios de banda ancha.</w:t>
      </w:r>
    </w:p>
    <w:p w14:paraId="2CFE1F96" w14:textId="77777777" w:rsidR="00F679D5" w:rsidRPr="006F3CEC" w:rsidRDefault="00F679D5" w:rsidP="00F679D5">
      <w:pPr>
        <w:spacing w:after="0" w:line="240" w:lineRule="auto"/>
        <w:jc w:val="both"/>
        <w:rPr>
          <w:rFonts w:ascii="ITC Avant Garde" w:hAnsi="ITC Avant Garde" w:cstheme="minorHAnsi"/>
          <w:color w:val="000000"/>
        </w:rPr>
      </w:pPr>
    </w:p>
    <w:p w14:paraId="2C0E7850" w14:textId="13D359EE"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Adicionalmente, el organismo de estandarización 3GPP</w:t>
      </w:r>
      <w:r w:rsidRPr="006F3CEC">
        <w:rPr>
          <w:rFonts w:ascii="ITC Avant Garde" w:hAnsi="ITC Avant Garde" w:cstheme="minorHAnsi"/>
          <w:vertAlign w:val="superscript"/>
        </w:rPr>
        <w:footnoteReference w:id="27"/>
      </w:r>
      <w:r w:rsidRPr="006F3CEC">
        <w:rPr>
          <w:rFonts w:ascii="ITC Avant Garde" w:hAnsi="ITC Avant Garde" w:cstheme="minorHAnsi"/>
          <w:color w:val="000000"/>
        </w:rPr>
        <w:t xml:space="preserve"> desarrolló diversas combinaciones para la implementación de sistemas IMT que incluyen la banda de frecuencias 3.6-3.7 GHz. Dichas combinaciones consideran la clasificación de la banda 43 para el segmento 3.6-3.8 GHz para aplicaciones LTE y LTE-Avanzadas. Así mismo, para el caso de la utilización de sistemas de 5G NR, se considera la clasificación de la banda </w:t>
      </w:r>
      <w:r w:rsidRPr="006F3CEC">
        <w:rPr>
          <w:rFonts w:ascii="ITC Avant Garde" w:hAnsi="ITC Avant Garde" w:cstheme="minorHAnsi"/>
          <w:color w:val="000000"/>
        </w:rPr>
        <w:lastRenderedPageBreak/>
        <w:t>n78 para el segmento 3.3-3.8 GHz y la banda n77 para el segmento 3.3-4.2 GHz como se muestra en la tabla siguiente:</w:t>
      </w:r>
    </w:p>
    <w:p w14:paraId="422A5F18" w14:textId="77777777" w:rsidR="00F679D5" w:rsidRPr="006F3CEC" w:rsidRDefault="00F679D5" w:rsidP="00F679D5">
      <w:pPr>
        <w:spacing w:after="0" w:line="240" w:lineRule="auto"/>
        <w:ind w:left="851"/>
        <w:jc w:val="both"/>
        <w:rPr>
          <w:rFonts w:ascii="ITC Avant Garde" w:hAnsi="ITC Avant Garde" w:cstheme="minorHAnsi"/>
          <w:color w:val="000000"/>
        </w:rPr>
      </w:pPr>
    </w:p>
    <w:tbl>
      <w:tblPr>
        <w:tblStyle w:val="Tablaconcuadrcula1"/>
        <w:tblW w:w="0" w:type="auto"/>
        <w:tblInd w:w="1189" w:type="dxa"/>
        <w:tblLook w:val="04A0" w:firstRow="1" w:lastRow="0" w:firstColumn="1" w:lastColumn="0" w:noHBand="0" w:noVBand="1"/>
      </w:tblPr>
      <w:tblGrid>
        <w:gridCol w:w="1827"/>
        <w:gridCol w:w="1828"/>
        <w:gridCol w:w="1828"/>
        <w:gridCol w:w="1828"/>
      </w:tblGrid>
      <w:tr w:rsidR="00F679D5" w:rsidRPr="00A05D2E" w14:paraId="005ED342" w14:textId="77777777" w:rsidTr="00015A25">
        <w:trPr>
          <w:trHeight w:val="414"/>
        </w:trPr>
        <w:tc>
          <w:tcPr>
            <w:tcW w:w="1827" w:type="dxa"/>
            <w:shd w:val="clear" w:color="auto" w:fill="70AD47"/>
            <w:vAlign w:val="center"/>
          </w:tcPr>
          <w:p w14:paraId="6E8EE0E0"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Banda del 3GPP</w:t>
            </w:r>
          </w:p>
        </w:tc>
        <w:tc>
          <w:tcPr>
            <w:tcW w:w="1828" w:type="dxa"/>
            <w:shd w:val="clear" w:color="auto" w:fill="70AD47"/>
            <w:vAlign w:val="center"/>
          </w:tcPr>
          <w:p w14:paraId="7A55E450"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ascendente</w:t>
            </w:r>
          </w:p>
        </w:tc>
        <w:tc>
          <w:tcPr>
            <w:tcW w:w="1828" w:type="dxa"/>
            <w:shd w:val="clear" w:color="auto" w:fill="70AD47"/>
            <w:vAlign w:val="center"/>
          </w:tcPr>
          <w:p w14:paraId="4C24C37A" w14:textId="77777777" w:rsidR="00F679D5" w:rsidRPr="00A05D2E" w:rsidRDefault="00F679D5" w:rsidP="00F679D5">
            <w:pPr>
              <w:jc w:val="center"/>
              <w:rPr>
                <w:rFonts w:ascii="ITC Avant Garde" w:hAnsi="ITC Avant Garde" w:cstheme="minorHAnsi"/>
                <w:b/>
                <w:color w:val="FFFFFF"/>
                <w:sz w:val="18"/>
                <w:szCs w:val="18"/>
              </w:rPr>
            </w:pPr>
            <w:r w:rsidRPr="00A05D2E">
              <w:rPr>
                <w:rFonts w:ascii="ITC Avant Garde" w:hAnsi="ITC Avant Garde" w:cstheme="minorHAnsi"/>
                <w:b/>
                <w:color w:val="FFFFFF"/>
                <w:sz w:val="18"/>
                <w:szCs w:val="18"/>
              </w:rPr>
              <w:t>Enlace descendente</w:t>
            </w:r>
          </w:p>
        </w:tc>
        <w:tc>
          <w:tcPr>
            <w:tcW w:w="1828" w:type="dxa"/>
            <w:shd w:val="clear" w:color="auto" w:fill="70AD47"/>
            <w:vAlign w:val="center"/>
          </w:tcPr>
          <w:p w14:paraId="396C073F" w14:textId="77777777" w:rsidR="00F679D5" w:rsidRPr="00A05D2E" w:rsidRDefault="00F679D5" w:rsidP="00F679D5">
            <w:pPr>
              <w:jc w:val="center"/>
              <w:rPr>
                <w:rFonts w:ascii="ITC Avant Garde" w:hAnsi="ITC Avant Garde" w:cstheme="minorHAnsi"/>
                <w:b/>
                <w:color w:val="FFFFFF"/>
                <w:sz w:val="18"/>
                <w:szCs w:val="18"/>
              </w:rPr>
            </w:pPr>
            <w:proofErr w:type="spellStart"/>
            <w:r w:rsidRPr="00A05D2E">
              <w:rPr>
                <w:rFonts w:ascii="ITC Avant Garde" w:hAnsi="ITC Avant Garde" w:cstheme="minorHAnsi"/>
                <w:b/>
                <w:color w:val="FFFFFF"/>
                <w:sz w:val="18"/>
                <w:szCs w:val="18"/>
              </w:rPr>
              <w:t>Duplexaje</w:t>
            </w:r>
            <w:proofErr w:type="spellEnd"/>
          </w:p>
        </w:tc>
      </w:tr>
      <w:tr w:rsidR="00F679D5" w:rsidRPr="00A05D2E" w14:paraId="3829354C" w14:textId="77777777" w:rsidTr="00015A25">
        <w:tc>
          <w:tcPr>
            <w:tcW w:w="1827" w:type="dxa"/>
            <w:vAlign w:val="center"/>
          </w:tcPr>
          <w:p w14:paraId="50DB3682"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43</w:t>
            </w:r>
          </w:p>
        </w:tc>
        <w:tc>
          <w:tcPr>
            <w:tcW w:w="1828" w:type="dxa"/>
            <w:vAlign w:val="center"/>
          </w:tcPr>
          <w:p w14:paraId="04C70787"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3600 MHz – 3800 MHz</w:t>
            </w:r>
          </w:p>
        </w:tc>
        <w:tc>
          <w:tcPr>
            <w:tcW w:w="1828" w:type="dxa"/>
            <w:vAlign w:val="center"/>
          </w:tcPr>
          <w:p w14:paraId="62786FED"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3600 MHz – 3800 MHz</w:t>
            </w:r>
          </w:p>
        </w:tc>
        <w:tc>
          <w:tcPr>
            <w:tcW w:w="1828" w:type="dxa"/>
            <w:vAlign w:val="center"/>
          </w:tcPr>
          <w:p w14:paraId="416AC58B"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r w:rsidR="00F679D5" w:rsidRPr="00A05D2E" w14:paraId="22FBBA29" w14:textId="77777777" w:rsidTr="00015A25">
        <w:trPr>
          <w:trHeight w:val="60"/>
        </w:trPr>
        <w:tc>
          <w:tcPr>
            <w:tcW w:w="1827" w:type="dxa"/>
            <w:vAlign w:val="center"/>
          </w:tcPr>
          <w:p w14:paraId="1FEE693F"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n78</w:t>
            </w:r>
          </w:p>
        </w:tc>
        <w:tc>
          <w:tcPr>
            <w:tcW w:w="1828" w:type="dxa"/>
            <w:vAlign w:val="center"/>
          </w:tcPr>
          <w:p w14:paraId="1848580D"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3800 MHz</w:t>
            </w:r>
          </w:p>
        </w:tc>
        <w:tc>
          <w:tcPr>
            <w:tcW w:w="1828" w:type="dxa"/>
            <w:vAlign w:val="center"/>
          </w:tcPr>
          <w:p w14:paraId="2A66AD1C"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3800 MHz</w:t>
            </w:r>
          </w:p>
        </w:tc>
        <w:tc>
          <w:tcPr>
            <w:tcW w:w="1828" w:type="dxa"/>
            <w:vAlign w:val="center"/>
          </w:tcPr>
          <w:p w14:paraId="400BE277"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r w:rsidR="00F679D5" w:rsidRPr="00A05D2E" w14:paraId="1CDC504A" w14:textId="77777777" w:rsidTr="00015A25">
        <w:trPr>
          <w:trHeight w:val="60"/>
        </w:trPr>
        <w:tc>
          <w:tcPr>
            <w:tcW w:w="1827" w:type="dxa"/>
            <w:vAlign w:val="center"/>
          </w:tcPr>
          <w:p w14:paraId="2E2182F3"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n77</w:t>
            </w:r>
          </w:p>
        </w:tc>
        <w:tc>
          <w:tcPr>
            <w:tcW w:w="1828" w:type="dxa"/>
            <w:vAlign w:val="center"/>
          </w:tcPr>
          <w:p w14:paraId="56A965C3"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4200 MHz</w:t>
            </w:r>
          </w:p>
        </w:tc>
        <w:tc>
          <w:tcPr>
            <w:tcW w:w="1828" w:type="dxa"/>
            <w:vAlign w:val="center"/>
          </w:tcPr>
          <w:p w14:paraId="3BB1E09A"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3300 MHz – 4200 MHz</w:t>
            </w:r>
          </w:p>
        </w:tc>
        <w:tc>
          <w:tcPr>
            <w:tcW w:w="1828" w:type="dxa"/>
            <w:vAlign w:val="center"/>
          </w:tcPr>
          <w:p w14:paraId="320249F7" w14:textId="77777777" w:rsidR="00F679D5" w:rsidRPr="00A05D2E" w:rsidRDefault="00F679D5" w:rsidP="00F679D5">
            <w:pPr>
              <w:jc w:val="center"/>
              <w:rPr>
                <w:rFonts w:ascii="ITC Avant Garde" w:hAnsi="ITC Avant Garde" w:cstheme="minorHAnsi"/>
                <w:sz w:val="18"/>
                <w:szCs w:val="18"/>
              </w:rPr>
            </w:pPr>
            <w:r w:rsidRPr="00A05D2E">
              <w:rPr>
                <w:rFonts w:ascii="ITC Avant Garde" w:hAnsi="ITC Avant Garde" w:cstheme="minorHAnsi"/>
                <w:sz w:val="18"/>
                <w:szCs w:val="18"/>
              </w:rPr>
              <w:t>TDD</w:t>
            </w:r>
          </w:p>
        </w:tc>
      </w:tr>
    </w:tbl>
    <w:p w14:paraId="4B00EC44" w14:textId="77777777" w:rsidR="00F679D5" w:rsidRPr="006F3CEC" w:rsidRDefault="00F679D5" w:rsidP="00F679D5">
      <w:pPr>
        <w:spacing w:after="0" w:line="240" w:lineRule="auto"/>
        <w:ind w:left="851"/>
        <w:jc w:val="both"/>
        <w:rPr>
          <w:rFonts w:ascii="ITC Avant Garde" w:hAnsi="ITC Avant Garde" w:cstheme="minorHAnsi"/>
          <w:color w:val="000000"/>
        </w:rPr>
      </w:pPr>
    </w:p>
    <w:p w14:paraId="7D74CE2E" w14:textId="77777777"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Por otro lado, el SIAER, a la fecha, cuenta con alrededor de 46 (cuarenta y seis) registros que comprenden radio bases pertenecientes a diferentes usuarios del servicio fijo dentro de la banda de frecuencias 3.6-3.7 GHz, que podrían ser divididos en sistemas de enlaces punto a punto y punto a multipunto.</w:t>
      </w:r>
    </w:p>
    <w:p w14:paraId="0516C6FB" w14:textId="77777777" w:rsidR="00F679D5" w:rsidRPr="006F3CEC" w:rsidRDefault="00F679D5" w:rsidP="00F679D5">
      <w:pPr>
        <w:spacing w:after="0" w:line="240" w:lineRule="auto"/>
        <w:jc w:val="both"/>
        <w:rPr>
          <w:rFonts w:ascii="ITC Avant Garde" w:hAnsi="ITC Avant Garde" w:cstheme="minorHAnsi"/>
          <w:color w:val="000000"/>
        </w:rPr>
      </w:pPr>
    </w:p>
    <w:p w14:paraId="55DC3FDB" w14:textId="1066031B"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Ahora bien, en agosto de 2014 el Instituto otorgó a Telecomunicaciones de México una asignación para ocupar la posición orbital geoestacionaria 114.9° Longitud Oeste, asignada al país, para la provisión de diferentes servicios y aplicaciones de telecomunicaciones a través del satélite “Bicentenario” con las bandas de frecuencias asociadas que se describen en la tabla siguiente:</w:t>
      </w:r>
    </w:p>
    <w:tbl>
      <w:tblPr>
        <w:tblStyle w:val="Tablaconcuadrcula1"/>
        <w:tblpPr w:leftFromText="141" w:rightFromText="141" w:vertAnchor="text" w:horzAnchor="page" w:tblpX="2494" w:tblpY="195"/>
        <w:tblW w:w="0" w:type="auto"/>
        <w:tblLook w:val="04A0" w:firstRow="1" w:lastRow="0" w:firstColumn="1" w:lastColumn="0" w:noHBand="0" w:noVBand="1"/>
      </w:tblPr>
      <w:tblGrid>
        <w:gridCol w:w="1499"/>
        <w:gridCol w:w="1651"/>
        <w:gridCol w:w="1761"/>
        <w:gridCol w:w="1701"/>
        <w:gridCol w:w="918"/>
      </w:tblGrid>
      <w:tr w:rsidR="00F679D5" w:rsidRPr="00A05D2E" w14:paraId="0CCEABDC" w14:textId="77777777" w:rsidTr="00015A25">
        <w:trPr>
          <w:trHeight w:val="219"/>
        </w:trPr>
        <w:tc>
          <w:tcPr>
            <w:tcW w:w="1499" w:type="dxa"/>
            <w:vMerge w:val="restart"/>
            <w:shd w:val="clear" w:color="auto" w:fill="70AD47" w:themeFill="accent6"/>
            <w:hideMark/>
          </w:tcPr>
          <w:p w14:paraId="7D8AA8FE"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Satélite</w:t>
            </w:r>
          </w:p>
        </w:tc>
        <w:tc>
          <w:tcPr>
            <w:tcW w:w="1651" w:type="dxa"/>
            <w:vMerge w:val="restart"/>
            <w:shd w:val="clear" w:color="auto" w:fill="70AD47" w:themeFill="accent6"/>
            <w:hideMark/>
          </w:tcPr>
          <w:p w14:paraId="4B8222D1"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Posición Orbital</w:t>
            </w:r>
          </w:p>
        </w:tc>
        <w:tc>
          <w:tcPr>
            <w:tcW w:w="3462" w:type="dxa"/>
            <w:gridSpan w:val="2"/>
            <w:shd w:val="clear" w:color="auto" w:fill="70AD47" w:themeFill="accent6"/>
            <w:hideMark/>
          </w:tcPr>
          <w:p w14:paraId="5A7E8038"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Segmentos (GHz)</w:t>
            </w:r>
          </w:p>
        </w:tc>
        <w:tc>
          <w:tcPr>
            <w:tcW w:w="918" w:type="dxa"/>
            <w:vMerge w:val="restart"/>
            <w:shd w:val="clear" w:color="auto" w:fill="70AD47" w:themeFill="accent6"/>
            <w:hideMark/>
          </w:tcPr>
          <w:p w14:paraId="4209CB72"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Servicio</w:t>
            </w:r>
          </w:p>
        </w:tc>
      </w:tr>
      <w:tr w:rsidR="00F679D5" w:rsidRPr="00A05D2E" w14:paraId="3C5691BF" w14:textId="77777777" w:rsidTr="00015A25">
        <w:trPr>
          <w:trHeight w:val="379"/>
        </w:trPr>
        <w:tc>
          <w:tcPr>
            <w:tcW w:w="1499" w:type="dxa"/>
            <w:vMerge/>
            <w:hideMark/>
          </w:tcPr>
          <w:p w14:paraId="6FA3C96C" w14:textId="77777777" w:rsidR="00F679D5" w:rsidRPr="00A05D2E" w:rsidRDefault="00F679D5" w:rsidP="00015A25">
            <w:pPr>
              <w:ind w:right="34"/>
              <w:rPr>
                <w:rFonts w:ascii="ITC Avant Garde" w:eastAsia="Times New Roman" w:hAnsi="ITC Avant Garde" w:cstheme="minorHAnsi"/>
                <w:b/>
                <w:color w:val="FFFFFF"/>
                <w:sz w:val="18"/>
                <w:szCs w:val="18"/>
                <w:lang w:eastAsia="es-MX"/>
              </w:rPr>
            </w:pPr>
          </w:p>
        </w:tc>
        <w:tc>
          <w:tcPr>
            <w:tcW w:w="1651" w:type="dxa"/>
            <w:vMerge/>
            <w:hideMark/>
          </w:tcPr>
          <w:p w14:paraId="79731E68" w14:textId="77777777" w:rsidR="00F679D5" w:rsidRPr="00A05D2E" w:rsidRDefault="00F679D5" w:rsidP="00015A25">
            <w:pPr>
              <w:ind w:right="34"/>
              <w:rPr>
                <w:rFonts w:ascii="ITC Avant Garde" w:eastAsia="Times New Roman" w:hAnsi="ITC Avant Garde" w:cstheme="minorHAnsi"/>
                <w:b/>
                <w:color w:val="FFFFFF"/>
                <w:sz w:val="18"/>
                <w:szCs w:val="18"/>
                <w:lang w:eastAsia="es-MX"/>
              </w:rPr>
            </w:pPr>
          </w:p>
        </w:tc>
        <w:tc>
          <w:tcPr>
            <w:tcW w:w="1761" w:type="dxa"/>
            <w:shd w:val="clear" w:color="auto" w:fill="70AD47" w:themeFill="accent6"/>
            <w:hideMark/>
          </w:tcPr>
          <w:p w14:paraId="50626475"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espacio - Tierra</w:t>
            </w:r>
          </w:p>
        </w:tc>
        <w:tc>
          <w:tcPr>
            <w:tcW w:w="1701" w:type="dxa"/>
            <w:shd w:val="clear" w:color="auto" w:fill="70AD47" w:themeFill="accent6"/>
            <w:hideMark/>
          </w:tcPr>
          <w:p w14:paraId="69B4ACE6" w14:textId="77777777" w:rsidR="00F679D5" w:rsidRPr="00A05D2E" w:rsidRDefault="00F679D5" w:rsidP="00015A25">
            <w:pPr>
              <w:ind w:right="34"/>
              <w:jc w:val="center"/>
              <w:rPr>
                <w:rFonts w:ascii="ITC Avant Garde" w:eastAsia="Times New Roman" w:hAnsi="ITC Avant Garde" w:cstheme="minorHAnsi"/>
                <w:b/>
                <w:color w:val="FFFFFF"/>
                <w:sz w:val="18"/>
                <w:szCs w:val="18"/>
                <w:lang w:eastAsia="es-MX"/>
              </w:rPr>
            </w:pPr>
            <w:r w:rsidRPr="00A05D2E">
              <w:rPr>
                <w:rFonts w:ascii="ITC Avant Garde" w:eastAsia="Times New Roman" w:hAnsi="ITC Avant Garde" w:cstheme="minorHAnsi"/>
                <w:b/>
                <w:color w:val="FFFFFF"/>
                <w:sz w:val="18"/>
                <w:szCs w:val="18"/>
                <w:lang w:eastAsia="es-MX"/>
              </w:rPr>
              <w:t>Tierra - espacio</w:t>
            </w:r>
          </w:p>
        </w:tc>
        <w:tc>
          <w:tcPr>
            <w:tcW w:w="918" w:type="dxa"/>
            <w:vMerge/>
            <w:shd w:val="clear" w:color="auto" w:fill="70AD47" w:themeFill="accent6"/>
            <w:hideMark/>
          </w:tcPr>
          <w:p w14:paraId="5359EFEF" w14:textId="77777777" w:rsidR="00F679D5" w:rsidRPr="00A05D2E" w:rsidRDefault="00F679D5" w:rsidP="00015A25">
            <w:pPr>
              <w:ind w:right="34"/>
              <w:rPr>
                <w:rFonts w:ascii="ITC Avant Garde" w:eastAsia="Times New Roman" w:hAnsi="ITC Avant Garde" w:cstheme="minorHAnsi"/>
                <w:b/>
                <w:color w:val="FFFFFF"/>
                <w:sz w:val="18"/>
                <w:szCs w:val="18"/>
                <w:lang w:eastAsia="es-MX"/>
              </w:rPr>
            </w:pPr>
          </w:p>
        </w:tc>
      </w:tr>
      <w:tr w:rsidR="00F679D5" w:rsidRPr="00A05D2E" w14:paraId="716A973D" w14:textId="77777777" w:rsidTr="00015A25">
        <w:trPr>
          <w:trHeight w:val="272"/>
        </w:trPr>
        <w:tc>
          <w:tcPr>
            <w:tcW w:w="1499" w:type="dxa"/>
            <w:vMerge w:val="restart"/>
            <w:hideMark/>
          </w:tcPr>
          <w:p w14:paraId="602211C5"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Bicentenario</w:t>
            </w:r>
          </w:p>
        </w:tc>
        <w:tc>
          <w:tcPr>
            <w:tcW w:w="1651" w:type="dxa"/>
            <w:vMerge w:val="restart"/>
            <w:hideMark/>
          </w:tcPr>
          <w:p w14:paraId="1610940D"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114.9° O</w:t>
            </w:r>
          </w:p>
        </w:tc>
        <w:tc>
          <w:tcPr>
            <w:tcW w:w="1761" w:type="dxa"/>
            <w:hideMark/>
          </w:tcPr>
          <w:p w14:paraId="150C7644"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11.450 – 11.700</w:t>
            </w:r>
          </w:p>
        </w:tc>
        <w:tc>
          <w:tcPr>
            <w:tcW w:w="1701" w:type="dxa"/>
            <w:hideMark/>
          </w:tcPr>
          <w:p w14:paraId="1A21C361"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13.750 – 14.000</w:t>
            </w:r>
          </w:p>
        </w:tc>
        <w:tc>
          <w:tcPr>
            <w:tcW w:w="918" w:type="dxa"/>
            <w:vMerge w:val="restart"/>
            <w:hideMark/>
          </w:tcPr>
          <w:p w14:paraId="1C512E51"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Fijo por satélite</w:t>
            </w:r>
          </w:p>
        </w:tc>
      </w:tr>
      <w:tr w:rsidR="00F679D5" w:rsidRPr="00A05D2E" w14:paraId="72E9101E" w14:textId="77777777" w:rsidTr="00015A25">
        <w:trPr>
          <w:trHeight w:val="263"/>
        </w:trPr>
        <w:tc>
          <w:tcPr>
            <w:tcW w:w="1499" w:type="dxa"/>
            <w:vMerge/>
            <w:hideMark/>
          </w:tcPr>
          <w:p w14:paraId="2138F9BF" w14:textId="77777777" w:rsidR="00F679D5" w:rsidRPr="00A05D2E" w:rsidRDefault="00F679D5" w:rsidP="00015A25">
            <w:pPr>
              <w:ind w:right="34"/>
              <w:rPr>
                <w:rFonts w:ascii="ITC Avant Garde" w:eastAsia="Times New Roman" w:hAnsi="ITC Avant Garde" w:cstheme="minorHAnsi"/>
                <w:b/>
                <w:color w:val="000000"/>
                <w:sz w:val="18"/>
                <w:szCs w:val="18"/>
                <w:lang w:eastAsia="es-MX"/>
              </w:rPr>
            </w:pPr>
          </w:p>
        </w:tc>
        <w:tc>
          <w:tcPr>
            <w:tcW w:w="1651" w:type="dxa"/>
            <w:vMerge/>
            <w:hideMark/>
          </w:tcPr>
          <w:p w14:paraId="21D1CE29" w14:textId="77777777" w:rsidR="00F679D5" w:rsidRPr="00A05D2E" w:rsidRDefault="00F679D5" w:rsidP="00015A25">
            <w:pPr>
              <w:ind w:right="34"/>
              <w:rPr>
                <w:rFonts w:ascii="ITC Avant Garde" w:eastAsia="Times New Roman" w:hAnsi="ITC Avant Garde" w:cstheme="minorHAnsi"/>
                <w:color w:val="000000"/>
                <w:sz w:val="18"/>
                <w:szCs w:val="18"/>
                <w:lang w:eastAsia="es-MX"/>
              </w:rPr>
            </w:pPr>
          </w:p>
        </w:tc>
        <w:tc>
          <w:tcPr>
            <w:tcW w:w="1761" w:type="dxa"/>
            <w:hideMark/>
          </w:tcPr>
          <w:p w14:paraId="08DEB019"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3.400 – 3.700</w:t>
            </w:r>
          </w:p>
        </w:tc>
        <w:tc>
          <w:tcPr>
            <w:tcW w:w="1701" w:type="dxa"/>
            <w:hideMark/>
          </w:tcPr>
          <w:p w14:paraId="62166135" w14:textId="77777777" w:rsidR="00F679D5" w:rsidRPr="00A05D2E" w:rsidRDefault="00F679D5" w:rsidP="00015A25">
            <w:pPr>
              <w:ind w:right="34"/>
              <w:jc w:val="center"/>
              <w:rPr>
                <w:rFonts w:ascii="ITC Avant Garde" w:eastAsia="Times New Roman" w:hAnsi="ITC Avant Garde" w:cstheme="minorHAnsi"/>
                <w:color w:val="000000"/>
                <w:sz w:val="18"/>
                <w:szCs w:val="18"/>
                <w:lang w:eastAsia="es-MX"/>
              </w:rPr>
            </w:pPr>
            <w:r w:rsidRPr="00A05D2E">
              <w:rPr>
                <w:rFonts w:ascii="ITC Avant Garde" w:eastAsia="Times New Roman" w:hAnsi="ITC Avant Garde" w:cstheme="minorHAnsi"/>
                <w:color w:val="000000"/>
                <w:sz w:val="18"/>
                <w:szCs w:val="18"/>
                <w:lang w:eastAsia="es-MX"/>
              </w:rPr>
              <w:t>6.425 – 6.725</w:t>
            </w:r>
          </w:p>
        </w:tc>
        <w:tc>
          <w:tcPr>
            <w:tcW w:w="918" w:type="dxa"/>
            <w:vMerge/>
            <w:hideMark/>
          </w:tcPr>
          <w:p w14:paraId="0F9C1BF4" w14:textId="77777777" w:rsidR="00F679D5" w:rsidRPr="00A05D2E" w:rsidRDefault="00F679D5" w:rsidP="00015A25">
            <w:pPr>
              <w:ind w:right="34"/>
              <w:rPr>
                <w:rFonts w:ascii="ITC Avant Garde" w:eastAsia="Times New Roman" w:hAnsi="ITC Avant Garde" w:cstheme="minorHAnsi"/>
                <w:color w:val="000000"/>
                <w:sz w:val="18"/>
                <w:szCs w:val="18"/>
                <w:lang w:eastAsia="es-MX"/>
              </w:rPr>
            </w:pPr>
          </w:p>
        </w:tc>
      </w:tr>
    </w:tbl>
    <w:p w14:paraId="721C3CBE" w14:textId="77777777" w:rsidR="00F679D5" w:rsidRPr="006F3CEC" w:rsidRDefault="00F679D5" w:rsidP="00F679D5">
      <w:pPr>
        <w:spacing w:after="0" w:line="240" w:lineRule="auto"/>
        <w:ind w:left="851"/>
        <w:jc w:val="both"/>
        <w:rPr>
          <w:rFonts w:ascii="ITC Avant Garde" w:hAnsi="ITC Avant Garde" w:cstheme="minorHAnsi"/>
          <w:color w:val="000000"/>
        </w:rPr>
      </w:pPr>
    </w:p>
    <w:p w14:paraId="405329F4" w14:textId="77777777" w:rsidR="00F679D5" w:rsidRPr="006F3CEC" w:rsidRDefault="00F679D5" w:rsidP="00F679D5">
      <w:pPr>
        <w:spacing w:after="0" w:line="240" w:lineRule="auto"/>
        <w:ind w:left="851"/>
        <w:jc w:val="both"/>
        <w:rPr>
          <w:rFonts w:ascii="ITC Avant Garde" w:hAnsi="ITC Avant Garde" w:cstheme="minorHAnsi"/>
          <w:color w:val="000000"/>
        </w:rPr>
      </w:pPr>
    </w:p>
    <w:p w14:paraId="517D42E4" w14:textId="77777777" w:rsidR="00F679D5" w:rsidRDefault="00F679D5" w:rsidP="00F679D5">
      <w:pPr>
        <w:spacing w:after="0" w:line="240" w:lineRule="auto"/>
        <w:ind w:left="851"/>
        <w:jc w:val="both"/>
        <w:rPr>
          <w:rFonts w:ascii="ITC Avant Garde" w:hAnsi="ITC Avant Garde" w:cstheme="minorHAnsi"/>
          <w:color w:val="000000"/>
        </w:rPr>
      </w:pPr>
    </w:p>
    <w:p w14:paraId="4D7C0915" w14:textId="77777777" w:rsidR="00F679D5" w:rsidRDefault="00F679D5" w:rsidP="00F679D5">
      <w:pPr>
        <w:spacing w:after="0" w:line="240" w:lineRule="auto"/>
        <w:ind w:left="851"/>
        <w:jc w:val="both"/>
        <w:rPr>
          <w:rFonts w:ascii="ITC Avant Garde" w:hAnsi="ITC Avant Garde" w:cstheme="minorHAnsi"/>
          <w:color w:val="000000"/>
        </w:rPr>
      </w:pPr>
    </w:p>
    <w:p w14:paraId="2A7545D1" w14:textId="77777777" w:rsidR="00F679D5" w:rsidRDefault="00F679D5" w:rsidP="00F679D5">
      <w:pPr>
        <w:spacing w:after="0" w:line="240" w:lineRule="auto"/>
        <w:ind w:left="851"/>
        <w:jc w:val="both"/>
        <w:rPr>
          <w:rFonts w:ascii="ITC Avant Garde" w:hAnsi="ITC Avant Garde" w:cstheme="minorHAnsi"/>
          <w:color w:val="000000"/>
        </w:rPr>
      </w:pPr>
    </w:p>
    <w:p w14:paraId="70043EEF" w14:textId="77777777" w:rsidR="00F679D5" w:rsidRDefault="00F679D5" w:rsidP="00F679D5">
      <w:pPr>
        <w:spacing w:after="0" w:line="240" w:lineRule="auto"/>
        <w:ind w:left="851"/>
        <w:jc w:val="both"/>
        <w:rPr>
          <w:rFonts w:ascii="ITC Avant Garde" w:hAnsi="ITC Avant Garde" w:cstheme="minorHAnsi"/>
          <w:color w:val="000000"/>
        </w:rPr>
      </w:pPr>
    </w:p>
    <w:p w14:paraId="123AF5AC" w14:textId="263F2DA8" w:rsidR="00F679D5" w:rsidRPr="006F3CEC" w:rsidRDefault="00F679D5" w:rsidP="00F679D5">
      <w:pPr>
        <w:spacing w:after="0" w:line="240" w:lineRule="auto"/>
        <w:jc w:val="both"/>
        <w:rPr>
          <w:rFonts w:ascii="ITC Avant Garde" w:hAnsi="ITC Avant Garde" w:cstheme="minorHAnsi"/>
          <w:color w:val="000000"/>
        </w:rPr>
      </w:pPr>
      <w:r w:rsidRPr="006F3CEC">
        <w:rPr>
          <w:rFonts w:ascii="ITC Avant Garde" w:hAnsi="ITC Avant Garde" w:cstheme="minorHAnsi"/>
          <w:color w:val="000000"/>
        </w:rPr>
        <w:t>Así mismo, de acuerdo al RPC se cuenta con registro de autorizaciones y concesiones para explotar los derechos de emisión y recepción de señales y bandas de frecuencias asociadas a sistemas satelitales extranjeros que cubran y puedan prestar servicios en el territorio nacional (aterrizaje de señales) con diferentes segmentos asociados (3600 – 3629 MHz, 3625 – 3700 MHz, 365</w:t>
      </w:r>
      <w:r>
        <w:rPr>
          <w:rFonts w:ascii="ITC Avant Garde" w:hAnsi="ITC Avant Garde" w:cstheme="minorHAnsi"/>
          <w:color w:val="000000"/>
        </w:rPr>
        <w:t>0</w:t>
      </w:r>
      <w:r w:rsidRPr="006F3CEC">
        <w:rPr>
          <w:rFonts w:ascii="ITC Avant Garde" w:hAnsi="ITC Avant Garde" w:cstheme="minorHAnsi"/>
          <w:color w:val="000000"/>
        </w:rPr>
        <w:t xml:space="preserve"> – 3700 </w:t>
      </w:r>
      <w:r w:rsidR="00C52E09" w:rsidRPr="006F3CEC">
        <w:rPr>
          <w:rFonts w:ascii="ITC Avant Garde" w:hAnsi="ITC Avant Garde" w:cstheme="minorHAnsi"/>
          <w:color w:val="000000"/>
        </w:rPr>
        <w:t>MHz)</w:t>
      </w:r>
      <w:r w:rsidRPr="006F3CEC">
        <w:rPr>
          <w:rFonts w:ascii="ITC Avant Garde" w:hAnsi="ITC Avant Garde" w:cstheme="minorHAnsi"/>
          <w:color w:val="000000"/>
        </w:rPr>
        <w:t>.</w:t>
      </w:r>
    </w:p>
    <w:p w14:paraId="3EEAC839" w14:textId="77777777" w:rsidR="00F679D5" w:rsidRDefault="00F679D5" w:rsidP="00F679D5">
      <w:pPr>
        <w:spacing w:after="0" w:line="240" w:lineRule="auto"/>
        <w:rPr>
          <w:rFonts w:ascii="ITC Avant Garde" w:hAnsi="ITC Avant Garde"/>
        </w:rPr>
      </w:pPr>
    </w:p>
    <w:p w14:paraId="12E2BA0A" w14:textId="1CACA6CB" w:rsidR="00F679D5" w:rsidRPr="00F679D5" w:rsidRDefault="001D78B6" w:rsidP="00F679D5">
      <w:pPr>
        <w:spacing w:after="0" w:line="240" w:lineRule="auto"/>
        <w:rPr>
          <w:rFonts w:ascii="ITC Avant Garde" w:hAnsi="ITC Avant Garde"/>
          <w:b/>
        </w:rPr>
      </w:pPr>
      <w:r>
        <w:rPr>
          <w:rFonts w:ascii="ITC Avant Garde" w:hAnsi="ITC Avant Garde"/>
          <w:b/>
        </w:rPr>
        <w:t>5</w:t>
      </w:r>
      <w:r w:rsidR="00F679D5">
        <w:rPr>
          <w:rFonts w:ascii="ITC Avant Garde" w:hAnsi="ITC Avant Garde"/>
          <w:b/>
        </w:rPr>
        <w:t xml:space="preserve">.2. </w:t>
      </w:r>
      <w:r w:rsidR="00F679D5" w:rsidRPr="00DC5F68">
        <w:rPr>
          <w:rFonts w:ascii="ITC Avant Garde" w:hAnsi="ITC Avant Garde"/>
          <w:b/>
        </w:rPr>
        <w:t>Restricciones operativas</w:t>
      </w:r>
      <w:r w:rsidR="00F679D5" w:rsidRPr="00F679D5">
        <w:rPr>
          <w:rFonts w:ascii="ITC Avant Garde" w:hAnsi="ITC Avant Garde"/>
          <w:b/>
        </w:rPr>
        <w:t xml:space="preserve"> </w:t>
      </w:r>
    </w:p>
    <w:p w14:paraId="28B6983E" w14:textId="77777777" w:rsidR="00F679D5" w:rsidRDefault="00F679D5" w:rsidP="00F679D5">
      <w:pPr>
        <w:spacing w:after="0"/>
        <w:rPr>
          <w:rFonts w:ascii="ITC Avant Garde" w:hAnsi="ITC Avant Garde"/>
          <w:b/>
        </w:rPr>
      </w:pPr>
    </w:p>
    <w:p w14:paraId="07DC97F4" w14:textId="3827AAD5" w:rsidR="00F679D5" w:rsidRDefault="001D78B6" w:rsidP="00F679D5">
      <w:pPr>
        <w:spacing w:after="0"/>
        <w:rPr>
          <w:rFonts w:ascii="ITC Avant Garde" w:hAnsi="ITC Avant Garde"/>
          <w:b/>
        </w:rPr>
      </w:pPr>
      <w:r>
        <w:rPr>
          <w:rFonts w:ascii="ITC Avant Garde" w:hAnsi="ITC Avant Garde"/>
          <w:b/>
        </w:rPr>
        <w:t>5</w:t>
      </w:r>
      <w:r w:rsidR="00F679D5">
        <w:rPr>
          <w:rFonts w:ascii="ITC Avant Garde" w:hAnsi="ITC Avant Garde"/>
          <w:b/>
        </w:rPr>
        <w:t>.2.</w:t>
      </w:r>
      <w:r w:rsidR="00F679D5" w:rsidRPr="0044668C">
        <w:rPr>
          <w:rFonts w:ascii="ITC Avant Garde" w:hAnsi="ITC Avant Garde"/>
          <w:b/>
        </w:rPr>
        <w:t>1</w:t>
      </w:r>
      <w:r w:rsidR="00F679D5">
        <w:rPr>
          <w:rFonts w:ascii="ITC Avant Garde" w:hAnsi="ITC Avant Garde"/>
          <w:b/>
        </w:rPr>
        <w:t xml:space="preserve">. </w:t>
      </w:r>
      <w:r w:rsidR="00F679D5" w:rsidRPr="0044668C">
        <w:rPr>
          <w:rFonts w:ascii="ITC Avant Garde" w:hAnsi="ITC Avant Garde"/>
          <w:b/>
        </w:rPr>
        <w:t>Convivencia con el Servicio Fijo por Satélite</w:t>
      </w:r>
    </w:p>
    <w:p w14:paraId="34BE0E7C" w14:textId="77777777" w:rsidR="00F679D5" w:rsidRPr="0044668C" w:rsidRDefault="00F679D5" w:rsidP="00F679D5">
      <w:pPr>
        <w:spacing w:after="0" w:line="240" w:lineRule="auto"/>
        <w:ind w:left="426" w:hanging="426"/>
        <w:rPr>
          <w:rFonts w:ascii="ITC Avant Garde" w:hAnsi="ITC Avant Garde"/>
          <w:b/>
        </w:rPr>
      </w:pPr>
    </w:p>
    <w:p w14:paraId="7A3E7047"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 xml:space="preserve">De conformidad con el </w:t>
      </w:r>
      <w:r>
        <w:rPr>
          <w:rFonts w:ascii="ITC Avant Garde" w:hAnsi="ITC Avant Garde"/>
        </w:rPr>
        <w:t>CNAF</w:t>
      </w:r>
      <w:r w:rsidRPr="006F3CEC">
        <w:rPr>
          <w:rFonts w:ascii="ITC Avant Garde" w:hAnsi="ITC Avant Garde"/>
        </w:rPr>
        <w:t xml:space="preserve"> las bandas de frecuencias de 3.4 a 3.7 GHz (banda C extendida) y de 3.7 a 4.2 GHz (banda C estándar) están atribuidas al Servicio Fijo por </w:t>
      </w:r>
      <w:r w:rsidRPr="006F3CEC">
        <w:rPr>
          <w:rFonts w:ascii="ITC Avant Garde" w:hAnsi="ITC Avant Garde"/>
        </w:rPr>
        <w:lastRenderedPageBreak/>
        <w:t>Satélite (SFS) a título primario, por lo que la operación de las redes privadas 5G en estas bandas o en bandas de frecuencias adyacentes no deben interferir perjudicialmente a las estaciones terrenas del SFS. Para ello, se proponen los siguientes casos de operación de convivencia con la finalidad de proteger las operaciones del SFS.</w:t>
      </w:r>
    </w:p>
    <w:p w14:paraId="48664DB3" w14:textId="77777777" w:rsidR="00F679D5" w:rsidRPr="006F3CEC" w:rsidRDefault="00F679D5" w:rsidP="00F679D5">
      <w:pPr>
        <w:spacing w:after="0" w:line="240" w:lineRule="auto"/>
        <w:jc w:val="both"/>
        <w:rPr>
          <w:rFonts w:ascii="ITC Avant Garde" w:hAnsi="ITC Avant Garde"/>
        </w:rPr>
      </w:pPr>
    </w:p>
    <w:p w14:paraId="17BFBA40" w14:textId="5334F86C" w:rsidR="00F679D5" w:rsidRPr="0044668C" w:rsidRDefault="001D78B6" w:rsidP="00F679D5">
      <w:pPr>
        <w:spacing w:after="0" w:line="240" w:lineRule="auto"/>
        <w:rPr>
          <w:rFonts w:ascii="ITC Avant Garde" w:hAnsi="ITC Avant Garde"/>
          <w:b/>
        </w:rPr>
      </w:pPr>
      <w:r>
        <w:rPr>
          <w:rFonts w:ascii="ITC Avant Garde" w:hAnsi="ITC Avant Garde"/>
          <w:b/>
        </w:rPr>
        <w:t>5</w:t>
      </w:r>
      <w:r w:rsidR="00F679D5">
        <w:rPr>
          <w:rFonts w:ascii="ITC Avant Garde" w:hAnsi="ITC Avant Garde"/>
          <w:b/>
        </w:rPr>
        <w:t>.2</w:t>
      </w:r>
      <w:r w:rsidR="00F679D5" w:rsidRPr="0044668C">
        <w:rPr>
          <w:rFonts w:ascii="ITC Avant Garde" w:hAnsi="ITC Avant Garde"/>
          <w:b/>
        </w:rPr>
        <w:t>.1.1</w:t>
      </w:r>
      <w:r w:rsidR="00F679D5">
        <w:rPr>
          <w:rFonts w:ascii="ITC Avant Garde" w:hAnsi="ITC Avant Garde"/>
          <w:b/>
        </w:rPr>
        <w:t>.</w:t>
      </w:r>
      <w:r w:rsidR="00F679D5" w:rsidRPr="0044668C">
        <w:rPr>
          <w:rFonts w:ascii="ITC Avant Garde" w:hAnsi="ITC Avant Garde"/>
          <w:b/>
        </w:rPr>
        <w:t xml:space="preserve"> Caso de operación 1</w:t>
      </w:r>
    </w:p>
    <w:p w14:paraId="3158E425" w14:textId="77777777" w:rsidR="00F679D5" w:rsidRDefault="00F679D5" w:rsidP="00F679D5">
      <w:pPr>
        <w:spacing w:after="0" w:line="240" w:lineRule="auto"/>
        <w:jc w:val="both"/>
        <w:rPr>
          <w:rFonts w:ascii="ITC Avant Garde" w:hAnsi="ITC Avant Garde"/>
        </w:rPr>
      </w:pPr>
    </w:p>
    <w:p w14:paraId="3A353071"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 xml:space="preserve">En este caso, se propone que la operación de las redes privadas 5G se pueda llevar a cabo indistintamente en ambientes </w:t>
      </w:r>
      <w:proofErr w:type="spellStart"/>
      <w:r w:rsidRPr="006F3CEC">
        <w:rPr>
          <w:rFonts w:ascii="ITC Avant Garde" w:hAnsi="ITC Avant Garde"/>
          <w:i/>
        </w:rPr>
        <w:t>outdoor</w:t>
      </w:r>
      <w:proofErr w:type="spellEnd"/>
      <w:r w:rsidRPr="006F3CEC">
        <w:rPr>
          <w:rFonts w:ascii="ITC Avant Garde" w:hAnsi="ITC Avant Garde"/>
        </w:rPr>
        <w:t xml:space="preserve"> e </w:t>
      </w:r>
      <w:proofErr w:type="spellStart"/>
      <w:r w:rsidRPr="006F3CEC">
        <w:rPr>
          <w:rFonts w:ascii="ITC Avant Garde" w:hAnsi="ITC Avant Garde"/>
          <w:i/>
        </w:rPr>
        <w:t>indoor</w:t>
      </w:r>
      <w:proofErr w:type="spellEnd"/>
      <w:r w:rsidRPr="006F3CEC">
        <w:rPr>
          <w:rFonts w:ascii="ITC Avant Garde" w:hAnsi="ITC Avant Garde"/>
        </w:rPr>
        <w:t>, y se deban establecer límites en lo que respecta a los siguientes parámetros técnicos:</w:t>
      </w:r>
    </w:p>
    <w:p w14:paraId="25902017" w14:textId="77777777" w:rsidR="00F679D5" w:rsidRPr="006F3CEC" w:rsidRDefault="00F679D5" w:rsidP="00F679D5">
      <w:pPr>
        <w:spacing w:after="0" w:line="240" w:lineRule="auto"/>
        <w:jc w:val="both"/>
        <w:rPr>
          <w:rFonts w:ascii="ITC Avant Garde" w:hAnsi="ITC Avant Garde"/>
        </w:rPr>
      </w:pPr>
    </w:p>
    <w:p w14:paraId="1F22A215" w14:textId="6FC50A16" w:rsidR="00F679D5" w:rsidRPr="006F3CEC" w:rsidRDefault="00F679D5" w:rsidP="0011036F">
      <w:pPr>
        <w:spacing w:after="0" w:line="240" w:lineRule="auto"/>
        <w:ind w:left="567" w:hanging="567"/>
        <w:jc w:val="both"/>
        <w:rPr>
          <w:rFonts w:ascii="ITC Avant Garde" w:hAnsi="ITC Avant Garde"/>
        </w:rPr>
      </w:pPr>
      <w:r w:rsidRPr="0044668C">
        <w:rPr>
          <w:rFonts w:ascii="ITC Avant Garde" w:hAnsi="ITC Avant Garde"/>
          <w:b/>
        </w:rPr>
        <w:t>a.</w:t>
      </w:r>
      <w:r w:rsidRPr="006F3CEC">
        <w:rPr>
          <w:rFonts w:ascii="ITC Avant Garde" w:hAnsi="ITC Avant Garde"/>
        </w:rPr>
        <w:tab/>
      </w:r>
      <w:r w:rsidRPr="006F3CEC">
        <w:rPr>
          <w:rFonts w:ascii="ITC Avant Garde" w:hAnsi="ITC Avant Garde"/>
          <w:b/>
        </w:rPr>
        <w:t>Densidad de flujo de potencia (DFP)</w:t>
      </w:r>
      <w:r w:rsidRPr="006F3CEC">
        <w:rPr>
          <w:rFonts w:ascii="ITC Avant Garde" w:hAnsi="ITC Avant Garde"/>
        </w:rPr>
        <w:t xml:space="preserve">: un valor máximo medido a la entrada de las antenas de las estaciones terrenas que permita la correcta recepción de las señales satelitales en operación </w:t>
      </w:r>
      <w:proofErr w:type="spellStart"/>
      <w:r w:rsidRPr="006F3CEC">
        <w:rPr>
          <w:rFonts w:ascii="ITC Avant Garde" w:hAnsi="ITC Avant Garde"/>
        </w:rPr>
        <w:t>co-canal</w:t>
      </w:r>
      <w:proofErr w:type="spellEnd"/>
      <w:r w:rsidRPr="006F3CEC">
        <w:rPr>
          <w:rFonts w:ascii="ITC Avant Garde" w:hAnsi="ITC Avant Garde"/>
        </w:rPr>
        <w:t xml:space="preserve">, así como el correcto funcionamiento del sistema de recepción de las estaciones terrenas en bandas adyacentes. En este sentido, se propone que la DFP se establezca de acuerdo </w:t>
      </w:r>
      <w:r w:rsidR="001C6083">
        <w:rPr>
          <w:rFonts w:ascii="ITC Avant Garde" w:hAnsi="ITC Avant Garde"/>
        </w:rPr>
        <w:t>con</w:t>
      </w:r>
      <w:r w:rsidRPr="006F3CEC">
        <w:rPr>
          <w:rFonts w:ascii="ITC Avant Garde" w:hAnsi="ITC Avant Garde"/>
        </w:rPr>
        <w:t xml:space="preserve"> la banda de frecuencias en la que será medida y si tiene la finalidad de proteger la recepción de señales satelitales (DFP en la misma banda, DFPEB) o la operación del sistema de recepción de la estación terrena (DFP para evitar el bloqueo del receptor, DFPBR), tal y como se describe en la </w:t>
      </w:r>
      <w:r w:rsidR="00DF68D1">
        <w:rPr>
          <w:rFonts w:ascii="ITC Avant Garde" w:hAnsi="ITC Avant Garde"/>
        </w:rPr>
        <w:t>t</w:t>
      </w:r>
      <w:r w:rsidRPr="006F3CEC">
        <w:rPr>
          <w:rFonts w:ascii="ITC Avant Garde" w:hAnsi="ITC Avant Garde"/>
        </w:rPr>
        <w:t xml:space="preserve">abla </w:t>
      </w:r>
      <w:r w:rsidR="00DF68D1">
        <w:rPr>
          <w:rFonts w:ascii="ITC Avant Garde" w:hAnsi="ITC Avant Garde"/>
        </w:rPr>
        <w:t>siguiente</w:t>
      </w:r>
      <w:r w:rsidRPr="006F3CEC">
        <w:rPr>
          <w:rFonts w:ascii="ITC Avant Garde" w:hAnsi="ITC Avant Garde"/>
        </w:rPr>
        <w:t>.</w:t>
      </w:r>
    </w:p>
    <w:p w14:paraId="5544E6AC" w14:textId="2409CAA2" w:rsidR="0011036F" w:rsidRPr="0011036F" w:rsidRDefault="0011036F" w:rsidP="0011036F">
      <w:pPr>
        <w:pStyle w:val="Descripcin"/>
        <w:keepNext/>
        <w:spacing w:after="0"/>
        <w:jc w:val="center"/>
        <w:rPr>
          <w:rFonts w:ascii="ITC Avant Garde" w:hAnsi="ITC Avant Garde"/>
          <w:b/>
          <w:i w:val="0"/>
          <w:color w:val="000000" w:themeColor="text1"/>
        </w:rPr>
      </w:pPr>
    </w:p>
    <w:tbl>
      <w:tblPr>
        <w:tblStyle w:val="Tablaconcuadrcula1"/>
        <w:tblW w:w="0" w:type="auto"/>
        <w:tblInd w:w="1271" w:type="dxa"/>
        <w:tblLook w:val="04A0" w:firstRow="1" w:lastRow="0" w:firstColumn="1" w:lastColumn="0" w:noHBand="0" w:noVBand="1"/>
      </w:tblPr>
      <w:tblGrid>
        <w:gridCol w:w="1171"/>
        <w:gridCol w:w="2342"/>
        <w:gridCol w:w="2345"/>
        <w:gridCol w:w="1461"/>
      </w:tblGrid>
      <w:tr w:rsidR="00F679D5" w:rsidRPr="006F3CEC" w14:paraId="1FC16363" w14:textId="77777777" w:rsidTr="00015A25">
        <w:tc>
          <w:tcPr>
            <w:tcW w:w="1171" w:type="dxa"/>
            <w:vMerge w:val="restart"/>
            <w:shd w:val="clear" w:color="auto" w:fill="70AD47" w:themeFill="accent6"/>
          </w:tcPr>
          <w:p w14:paraId="2E8005B4" w14:textId="77777777" w:rsidR="00F679D5" w:rsidRPr="00015A25" w:rsidRDefault="00F679D5" w:rsidP="00E94675">
            <w:pPr>
              <w:jc w:val="center"/>
              <w:rPr>
                <w:rFonts w:ascii="ITC Avant Garde" w:hAnsi="ITC Avant Garde"/>
                <w:color w:val="FFFFFF" w:themeColor="background1"/>
              </w:rPr>
            </w:pPr>
            <w:r w:rsidRPr="00015A25">
              <w:rPr>
                <w:rFonts w:ascii="ITC Avant Garde" w:hAnsi="ITC Avant Garde"/>
                <w:color w:val="FFFFFF" w:themeColor="background1"/>
              </w:rPr>
              <w:t>DFP</w:t>
            </w:r>
          </w:p>
        </w:tc>
        <w:tc>
          <w:tcPr>
            <w:tcW w:w="6148" w:type="dxa"/>
            <w:gridSpan w:val="3"/>
            <w:shd w:val="clear" w:color="auto" w:fill="70AD47" w:themeFill="accent6"/>
          </w:tcPr>
          <w:p w14:paraId="00678E0E" w14:textId="77777777" w:rsidR="00F679D5" w:rsidRPr="00015A25" w:rsidRDefault="00F679D5" w:rsidP="00E94675">
            <w:pPr>
              <w:jc w:val="center"/>
              <w:rPr>
                <w:rFonts w:ascii="ITC Avant Garde" w:hAnsi="ITC Avant Garde"/>
                <w:color w:val="FFFFFF" w:themeColor="background1"/>
              </w:rPr>
            </w:pPr>
            <w:r w:rsidRPr="00015A25">
              <w:rPr>
                <w:rFonts w:ascii="ITC Avant Garde" w:hAnsi="ITC Avant Garde"/>
                <w:color w:val="FFFFFF" w:themeColor="background1"/>
              </w:rPr>
              <w:t>Banda de frecuencias</w:t>
            </w:r>
          </w:p>
        </w:tc>
      </w:tr>
      <w:tr w:rsidR="00F679D5" w:rsidRPr="006F3CEC" w14:paraId="00992F5C" w14:textId="77777777" w:rsidTr="00015A25">
        <w:tc>
          <w:tcPr>
            <w:tcW w:w="1171" w:type="dxa"/>
            <w:vMerge/>
            <w:shd w:val="clear" w:color="auto" w:fill="70AD47" w:themeFill="accent6"/>
          </w:tcPr>
          <w:p w14:paraId="590E9E90" w14:textId="77777777" w:rsidR="00F679D5" w:rsidRPr="00015A25" w:rsidRDefault="00F679D5" w:rsidP="00E94675">
            <w:pPr>
              <w:jc w:val="center"/>
              <w:rPr>
                <w:rFonts w:ascii="ITC Avant Garde" w:hAnsi="ITC Avant Garde"/>
                <w:color w:val="FFFFFF" w:themeColor="background1"/>
              </w:rPr>
            </w:pPr>
          </w:p>
        </w:tc>
        <w:tc>
          <w:tcPr>
            <w:tcW w:w="2342" w:type="dxa"/>
            <w:shd w:val="clear" w:color="auto" w:fill="70AD47" w:themeFill="accent6"/>
          </w:tcPr>
          <w:p w14:paraId="20E5DB1F" w14:textId="77777777" w:rsidR="00F679D5" w:rsidRPr="00015A25" w:rsidRDefault="00F679D5" w:rsidP="00E94675">
            <w:pPr>
              <w:jc w:val="center"/>
              <w:rPr>
                <w:rFonts w:ascii="ITC Avant Garde" w:hAnsi="ITC Avant Garde"/>
                <w:b/>
                <w:color w:val="FFFFFF" w:themeColor="background1"/>
              </w:rPr>
            </w:pPr>
            <w:r w:rsidRPr="00015A25">
              <w:rPr>
                <w:rFonts w:ascii="ITC Avant Garde" w:hAnsi="ITC Avant Garde"/>
                <w:b/>
                <w:color w:val="FFFFFF" w:themeColor="background1"/>
              </w:rPr>
              <w:t>3.3 a 3.4 GHz</w:t>
            </w:r>
          </w:p>
        </w:tc>
        <w:tc>
          <w:tcPr>
            <w:tcW w:w="2345" w:type="dxa"/>
            <w:shd w:val="clear" w:color="auto" w:fill="70AD47" w:themeFill="accent6"/>
          </w:tcPr>
          <w:p w14:paraId="2D1401D0" w14:textId="77777777" w:rsidR="00F679D5" w:rsidRPr="00015A25" w:rsidRDefault="00F679D5" w:rsidP="00E94675">
            <w:pPr>
              <w:jc w:val="center"/>
              <w:rPr>
                <w:rFonts w:ascii="ITC Avant Garde" w:hAnsi="ITC Avant Garde"/>
                <w:b/>
                <w:color w:val="FFFFFF" w:themeColor="background1"/>
              </w:rPr>
            </w:pPr>
            <w:r w:rsidRPr="00015A25">
              <w:rPr>
                <w:rFonts w:ascii="ITC Avant Garde" w:hAnsi="ITC Avant Garde"/>
                <w:b/>
                <w:color w:val="FFFFFF" w:themeColor="background1"/>
              </w:rPr>
              <w:t>Banda C extendida</w:t>
            </w:r>
          </w:p>
          <w:p w14:paraId="73966253" w14:textId="77777777" w:rsidR="00F679D5" w:rsidRPr="00015A25" w:rsidRDefault="00F679D5" w:rsidP="00E94675">
            <w:pPr>
              <w:jc w:val="center"/>
              <w:rPr>
                <w:rFonts w:ascii="ITC Avant Garde" w:hAnsi="ITC Avant Garde"/>
                <w:b/>
                <w:color w:val="FFFFFF" w:themeColor="background1"/>
              </w:rPr>
            </w:pPr>
            <w:r w:rsidRPr="00015A25">
              <w:rPr>
                <w:rFonts w:ascii="ITC Avant Garde" w:hAnsi="ITC Avant Garde"/>
                <w:b/>
                <w:color w:val="FFFFFF" w:themeColor="background1"/>
              </w:rPr>
              <w:t>3.4 a 3.7 GHz</w:t>
            </w:r>
          </w:p>
        </w:tc>
        <w:tc>
          <w:tcPr>
            <w:tcW w:w="1461" w:type="dxa"/>
            <w:shd w:val="clear" w:color="auto" w:fill="70AD47" w:themeFill="accent6"/>
          </w:tcPr>
          <w:p w14:paraId="6B46FB38" w14:textId="77777777" w:rsidR="00F679D5" w:rsidRPr="00015A25" w:rsidRDefault="00F679D5" w:rsidP="00E94675">
            <w:pPr>
              <w:jc w:val="center"/>
              <w:rPr>
                <w:rFonts w:ascii="ITC Avant Garde" w:hAnsi="ITC Avant Garde"/>
                <w:b/>
                <w:color w:val="FFFFFF" w:themeColor="background1"/>
              </w:rPr>
            </w:pPr>
            <w:r w:rsidRPr="00015A25">
              <w:rPr>
                <w:rFonts w:ascii="ITC Avant Garde" w:hAnsi="ITC Avant Garde"/>
                <w:b/>
                <w:color w:val="FFFFFF" w:themeColor="background1"/>
              </w:rPr>
              <w:t>Banda C estándar</w:t>
            </w:r>
          </w:p>
          <w:p w14:paraId="1D2070EF" w14:textId="77777777" w:rsidR="00F679D5" w:rsidRPr="00015A25" w:rsidRDefault="00F679D5" w:rsidP="00E94675">
            <w:pPr>
              <w:jc w:val="center"/>
              <w:rPr>
                <w:rFonts w:ascii="ITC Avant Garde" w:hAnsi="ITC Avant Garde"/>
                <w:b/>
                <w:color w:val="FFFFFF" w:themeColor="background1"/>
              </w:rPr>
            </w:pPr>
            <w:r w:rsidRPr="00015A25">
              <w:rPr>
                <w:rFonts w:ascii="ITC Avant Garde" w:hAnsi="ITC Avant Garde"/>
                <w:b/>
                <w:color w:val="FFFFFF" w:themeColor="background1"/>
              </w:rPr>
              <w:t>3.7 a 4.2 GHz</w:t>
            </w:r>
          </w:p>
        </w:tc>
      </w:tr>
      <w:tr w:rsidR="00F679D5" w:rsidRPr="006F3CEC" w14:paraId="7BCB41A5" w14:textId="77777777" w:rsidTr="00015A25">
        <w:tc>
          <w:tcPr>
            <w:tcW w:w="1171" w:type="dxa"/>
          </w:tcPr>
          <w:p w14:paraId="0FBA882F" w14:textId="77777777" w:rsidR="00F679D5" w:rsidRPr="006F3CEC" w:rsidRDefault="00F679D5" w:rsidP="00E94675">
            <w:pPr>
              <w:jc w:val="center"/>
              <w:rPr>
                <w:rFonts w:ascii="ITC Avant Garde" w:hAnsi="ITC Avant Garde"/>
                <w:vertAlign w:val="subscript"/>
              </w:rPr>
            </w:pPr>
            <w:r w:rsidRPr="006F3CEC">
              <w:rPr>
                <w:rFonts w:ascii="ITC Avant Garde" w:hAnsi="ITC Avant Garde"/>
              </w:rPr>
              <w:t>DFP</w:t>
            </w:r>
            <w:r w:rsidRPr="006F3CEC">
              <w:rPr>
                <w:rFonts w:ascii="ITC Avant Garde" w:hAnsi="ITC Avant Garde"/>
                <w:vertAlign w:val="subscript"/>
              </w:rPr>
              <w:t>EB</w:t>
            </w:r>
          </w:p>
        </w:tc>
        <w:tc>
          <w:tcPr>
            <w:tcW w:w="2342" w:type="dxa"/>
          </w:tcPr>
          <w:p w14:paraId="0207298D" w14:textId="77777777" w:rsidR="00F679D5" w:rsidRPr="006F3CEC" w:rsidRDefault="00F679D5" w:rsidP="00E94675">
            <w:pPr>
              <w:jc w:val="center"/>
              <w:rPr>
                <w:rFonts w:ascii="ITC Avant Garde" w:hAnsi="ITC Avant Garde"/>
              </w:rPr>
            </w:pPr>
            <w:r w:rsidRPr="006F3CEC">
              <w:rPr>
                <w:rFonts w:ascii="ITC Avant Garde" w:hAnsi="ITC Avant Garde"/>
              </w:rPr>
              <w:t>No aplica</w:t>
            </w:r>
          </w:p>
        </w:tc>
        <w:tc>
          <w:tcPr>
            <w:tcW w:w="2345" w:type="dxa"/>
          </w:tcPr>
          <w:p w14:paraId="67D1C739" w14:textId="77777777" w:rsidR="00F679D5" w:rsidRPr="006F3CEC" w:rsidRDefault="00F679D5" w:rsidP="00E94675">
            <w:pPr>
              <w:jc w:val="center"/>
              <w:rPr>
                <w:rFonts w:ascii="ITC Avant Garde" w:hAnsi="ITC Avant Garde"/>
              </w:rPr>
            </w:pPr>
            <w:r w:rsidRPr="006F3CEC">
              <w:rPr>
                <w:rFonts w:ascii="ITC Avant Garde" w:hAnsi="ITC Avant Garde"/>
              </w:rPr>
              <w:t>Sí aplica</w:t>
            </w:r>
          </w:p>
        </w:tc>
        <w:tc>
          <w:tcPr>
            <w:tcW w:w="1461" w:type="dxa"/>
          </w:tcPr>
          <w:p w14:paraId="75D4B25B" w14:textId="77777777" w:rsidR="00F679D5" w:rsidRPr="006F3CEC" w:rsidRDefault="00F679D5" w:rsidP="00E94675">
            <w:pPr>
              <w:jc w:val="center"/>
              <w:rPr>
                <w:rFonts w:ascii="ITC Avant Garde" w:hAnsi="ITC Avant Garde"/>
              </w:rPr>
            </w:pPr>
            <w:r w:rsidRPr="006F3CEC">
              <w:rPr>
                <w:rFonts w:ascii="ITC Avant Garde" w:hAnsi="ITC Avant Garde"/>
              </w:rPr>
              <w:t>Sí aplica</w:t>
            </w:r>
          </w:p>
        </w:tc>
      </w:tr>
      <w:tr w:rsidR="00F679D5" w:rsidRPr="006F3CEC" w14:paraId="793B7DBC" w14:textId="77777777" w:rsidTr="00015A25">
        <w:tc>
          <w:tcPr>
            <w:tcW w:w="1171" w:type="dxa"/>
          </w:tcPr>
          <w:p w14:paraId="3FA2490F" w14:textId="77777777" w:rsidR="00F679D5" w:rsidRPr="006F3CEC" w:rsidRDefault="00F679D5" w:rsidP="00E94675">
            <w:pPr>
              <w:jc w:val="center"/>
              <w:rPr>
                <w:rFonts w:ascii="ITC Avant Garde" w:hAnsi="ITC Avant Garde"/>
                <w:vertAlign w:val="subscript"/>
              </w:rPr>
            </w:pPr>
            <w:r w:rsidRPr="006F3CEC">
              <w:rPr>
                <w:rFonts w:ascii="ITC Avant Garde" w:hAnsi="ITC Avant Garde"/>
              </w:rPr>
              <w:t>DFP</w:t>
            </w:r>
            <w:r w:rsidRPr="006F3CEC">
              <w:rPr>
                <w:rFonts w:ascii="ITC Avant Garde" w:hAnsi="ITC Avant Garde"/>
                <w:vertAlign w:val="subscript"/>
              </w:rPr>
              <w:t>BR</w:t>
            </w:r>
          </w:p>
        </w:tc>
        <w:tc>
          <w:tcPr>
            <w:tcW w:w="2342" w:type="dxa"/>
          </w:tcPr>
          <w:p w14:paraId="4FD99080" w14:textId="77777777" w:rsidR="00F679D5" w:rsidRPr="006F3CEC" w:rsidRDefault="00F679D5" w:rsidP="00E94675">
            <w:pPr>
              <w:jc w:val="center"/>
              <w:rPr>
                <w:rFonts w:ascii="ITC Avant Garde" w:hAnsi="ITC Avant Garde"/>
              </w:rPr>
            </w:pPr>
            <w:r w:rsidRPr="006F3CEC">
              <w:rPr>
                <w:rFonts w:ascii="ITC Avant Garde" w:hAnsi="ITC Avant Garde"/>
              </w:rPr>
              <w:t>Sí aplica</w:t>
            </w:r>
          </w:p>
        </w:tc>
        <w:tc>
          <w:tcPr>
            <w:tcW w:w="2345" w:type="dxa"/>
          </w:tcPr>
          <w:p w14:paraId="68896659" w14:textId="77777777" w:rsidR="00F679D5" w:rsidRPr="006F3CEC" w:rsidRDefault="00F679D5" w:rsidP="00E94675">
            <w:pPr>
              <w:jc w:val="center"/>
              <w:rPr>
                <w:rFonts w:ascii="ITC Avant Garde" w:hAnsi="ITC Avant Garde"/>
              </w:rPr>
            </w:pPr>
            <w:r w:rsidRPr="006F3CEC">
              <w:rPr>
                <w:rFonts w:ascii="ITC Avant Garde" w:hAnsi="ITC Avant Garde"/>
              </w:rPr>
              <w:t>Sí aplica</w:t>
            </w:r>
          </w:p>
        </w:tc>
        <w:tc>
          <w:tcPr>
            <w:tcW w:w="1461" w:type="dxa"/>
          </w:tcPr>
          <w:p w14:paraId="7A285B17" w14:textId="77777777" w:rsidR="00F679D5" w:rsidRPr="006F3CEC" w:rsidRDefault="00F679D5" w:rsidP="00E94675">
            <w:pPr>
              <w:jc w:val="center"/>
              <w:rPr>
                <w:rFonts w:ascii="ITC Avant Garde" w:hAnsi="ITC Avant Garde"/>
              </w:rPr>
            </w:pPr>
            <w:r w:rsidRPr="006F3CEC">
              <w:rPr>
                <w:rFonts w:ascii="ITC Avant Garde" w:hAnsi="ITC Avant Garde"/>
              </w:rPr>
              <w:t>No aplica</w:t>
            </w:r>
          </w:p>
        </w:tc>
      </w:tr>
    </w:tbl>
    <w:p w14:paraId="7A538337" w14:textId="77777777" w:rsidR="00F679D5" w:rsidRPr="006F3CEC" w:rsidRDefault="00F679D5" w:rsidP="00F679D5">
      <w:pPr>
        <w:spacing w:after="0" w:line="240" w:lineRule="auto"/>
        <w:rPr>
          <w:rFonts w:ascii="ITC Avant Garde" w:hAnsi="ITC Avant Garde"/>
        </w:rPr>
      </w:pPr>
    </w:p>
    <w:p w14:paraId="70DDC0CD" w14:textId="77777777" w:rsidR="00F679D5" w:rsidRDefault="00F679D5" w:rsidP="00F679D5">
      <w:pPr>
        <w:spacing w:after="0" w:line="240" w:lineRule="auto"/>
        <w:ind w:left="567" w:hanging="567"/>
        <w:jc w:val="both"/>
        <w:rPr>
          <w:rFonts w:ascii="ITC Avant Garde" w:hAnsi="ITC Avant Garde"/>
        </w:rPr>
      </w:pPr>
      <w:r w:rsidRPr="006F3CEC">
        <w:rPr>
          <w:rFonts w:ascii="ITC Avant Garde" w:hAnsi="ITC Avant Garde"/>
        </w:rPr>
        <w:t>b.</w:t>
      </w:r>
      <w:r w:rsidRPr="006F3CEC">
        <w:rPr>
          <w:rFonts w:ascii="ITC Avant Garde" w:hAnsi="ITC Avant Garde"/>
        </w:rPr>
        <w:tab/>
      </w:r>
      <w:r w:rsidRPr="006F3CEC">
        <w:rPr>
          <w:rFonts w:ascii="ITC Avant Garde" w:hAnsi="ITC Avant Garde"/>
          <w:b/>
        </w:rPr>
        <w:t>Altura y orientación vertical de las antenas de las redes privadas 5G</w:t>
      </w:r>
      <w:r w:rsidRPr="006F3CEC">
        <w:rPr>
          <w:rFonts w:ascii="ITC Avant Garde" w:hAnsi="ITC Avant Garde"/>
        </w:rPr>
        <w:t>: un valor máximo que permita el despliegue de las redes privadas 5G y que reduzca la posibilidad de que las emisiones de dichas redes causen interferencias perjudiciales a las estaciones terrenas del SFS.</w:t>
      </w:r>
    </w:p>
    <w:p w14:paraId="063A6100" w14:textId="77777777" w:rsidR="00F679D5" w:rsidRPr="006F3CEC" w:rsidRDefault="00F679D5" w:rsidP="00F679D5">
      <w:pPr>
        <w:spacing w:after="0" w:line="240" w:lineRule="auto"/>
        <w:ind w:left="567" w:hanging="567"/>
        <w:jc w:val="both"/>
        <w:rPr>
          <w:rFonts w:ascii="ITC Avant Garde" w:hAnsi="ITC Avant Garde"/>
        </w:rPr>
      </w:pPr>
    </w:p>
    <w:p w14:paraId="08A7FF77" w14:textId="18BB4F09" w:rsidR="00F679D5" w:rsidRDefault="00F679D5" w:rsidP="00F679D5">
      <w:pPr>
        <w:spacing w:after="0" w:line="240" w:lineRule="auto"/>
        <w:ind w:left="567" w:hanging="567"/>
        <w:jc w:val="both"/>
        <w:rPr>
          <w:rFonts w:ascii="ITC Avant Garde" w:hAnsi="ITC Avant Garde"/>
        </w:rPr>
      </w:pPr>
      <w:r w:rsidRPr="006F3CEC">
        <w:rPr>
          <w:rFonts w:ascii="ITC Avant Garde" w:hAnsi="ITC Avant Garde"/>
        </w:rPr>
        <w:t>c.</w:t>
      </w:r>
      <w:r w:rsidRPr="006F3CEC">
        <w:rPr>
          <w:rFonts w:ascii="ITC Avant Garde" w:hAnsi="ITC Avant Garde"/>
        </w:rPr>
        <w:tab/>
      </w:r>
      <w:r w:rsidRPr="006F3CEC">
        <w:rPr>
          <w:rFonts w:ascii="ITC Avant Garde" w:hAnsi="ITC Avant Garde"/>
          <w:b/>
        </w:rPr>
        <w:t>Distancia de separación con las estaciones terrenas del SFS</w:t>
      </w:r>
      <w:r w:rsidRPr="006F3CEC">
        <w:rPr>
          <w:rFonts w:ascii="ITC Avant Garde" w:hAnsi="ITC Avant Garde"/>
        </w:rPr>
        <w:t>: un valor mínimo de separación que asegure que los productos de intermodulación generados por las emisiones de las estaciones de las redes privadas 5G no interfieran perjudicialmente a las operaciones del SFS.</w:t>
      </w:r>
    </w:p>
    <w:p w14:paraId="30003021" w14:textId="77777777" w:rsidR="00F679D5" w:rsidRPr="006F3CEC" w:rsidRDefault="00F679D5" w:rsidP="00F679D5">
      <w:pPr>
        <w:spacing w:after="0" w:line="240" w:lineRule="auto"/>
        <w:ind w:firstLine="708"/>
        <w:rPr>
          <w:rFonts w:ascii="ITC Avant Garde" w:hAnsi="ITC Avant Garde"/>
        </w:rPr>
      </w:pPr>
    </w:p>
    <w:p w14:paraId="124328CC" w14:textId="3E1BEAFE" w:rsidR="00F679D5" w:rsidRDefault="001D78B6" w:rsidP="00F679D5">
      <w:pPr>
        <w:spacing w:after="0" w:line="240" w:lineRule="auto"/>
        <w:rPr>
          <w:rFonts w:ascii="ITC Avant Garde" w:hAnsi="ITC Avant Garde"/>
          <w:b/>
        </w:rPr>
      </w:pPr>
      <w:r>
        <w:rPr>
          <w:rFonts w:ascii="ITC Avant Garde" w:hAnsi="ITC Avant Garde"/>
          <w:b/>
        </w:rPr>
        <w:lastRenderedPageBreak/>
        <w:t>5</w:t>
      </w:r>
      <w:r w:rsidR="00F679D5">
        <w:rPr>
          <w:rFonts w:ascii="ITC Avant Garde" w:hAnsi="ITC Avant Garde"/>
          <w:b/>
        </w:rPr>
        <w:t>.2</w:t>
      </w:r>
      <w:r w:rsidR="00F679D5" w:rsidRPr="00DF438D">
        <w:rPr>
          <w:rFonts w:ascii="ITC Avant Garde" w:hAnsi="ITC Avant Garde"/>
          <w:b/>
        </w:rPr>
        <w:t>.1.2</w:t>
      </w:r>
      <w:r w:rsidR="00F679D5">
        <w:rPr>
          <w:rFonts w:ascii="ITC Avant Garde" w:hAnsi="ITC Avant Garde"/>
          <w:b/>
        </w:rPr>
        <w:t>.</w:t>
      </w:r>
      <w:r w:rsidR="00F679D5" w:rsidRPr="00DF438D">
        <w:rPr>
          <w:rFonts w:ascii="ITC Avant Garde" w:hAnsi="ITC Avant Garde"/>
          <w:b/>
        </w:rPr>
        <w:t xml:space="preserve"> Caso de operación 2</w:t>
      </w:r>
    </w:p>
    <w:p w14:paraId="3580E68A" w14:textId="77777777" w:rsidR="00F679D5" w:rsidRPr="00DF438D" w:rsidRDefault="00F679D5" w:rsidP="00F679D5">
      <w:pPr>
        <w:spacing w:after="0" w:line="240" w:lineRule="auto"/>
        <w:rPr>
          <w:rFonts w:ascii="ITC Avant Garde" w:hAnsi="ITC Avant Garde"/>
          <w:b/>
        </w:rPr>
      </w:pPr>
    </w:p>
    <w:p w14:paraId="2D18FA1A"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Para el Caso 2, se proponen diferentes condiciones para las estaciones de las redes privadas 5G, las cuales dependen de su cercanía con alguna estación terrena del SFS en particular que requiera de una mayor protección:</w:t>
      </w:r>
    </w:p>
    <w:p w14:paraId="323F733D" w14:textId="77777777" w:rsidR="00F679D5" w:rsidRPr="006F3CEC" w:rsidRDefault="00F679D5" w:rsidP="00F679D5">
      <w:pPr>
        <w:spacing w:after="0" w:line="240" w:lineRule="auto"/>
        <w:jc w:val="both"/>
        <w:rPr>
          <w:rFonts w:ascii="ITC Avant Garde" w:hAnsi="ITC Avant Garde"/>
        </w:rPr>
      </w:pPr>
    </w:p>
    <w:p w14:paraId="4734C30D" w14:textId="77777777" w:rsidR="00F679D5" w:rsidRPr="00DF438D" w:rsidRDefault="00F679D5" w:rsidP="00F679D5">
      <w:pPr>
        <w:pStyle w:val="Prrafodelista"/>
        <w:numPr>
          <w:ilvl w:val="0"/>
          <w:numId w:val="17"/>
        </w:numPr>
        <w:spacing w:after="0" w:line="240" w:lineRule="auto"/>
        <w:ind w:left="567" w:hanging="567"/>
        <w:jc w:val="both"/>
        <w:rPr>
          <w:rFonts w:ascii="ITC Avant Garde" w:hAnsi="ITC Avant Garde"/>
        </w:rPr>
      </w:pPr>
      <w:r w:rsidRPr="00DF438D">
        <w:rPr>
          <w:rFonts w:ascii="ITC Avant Garde" w:hAnsi="ITC Avant Garde"/>
          <w:b/>
        </w:rPr>
        <w:t xml:space="preserve">Operación indistinta en ambientes </w:t>
      </w:r>
      <w:proofErr w:type="spellStart"/>
      <w:r w:rsidRPr="00DF438D">
        <w:rPr>
          <w:rFonts w:ascii="ITC Avant Garde" w:hAnsi="ITC Avant Garde"/>
          <w:b/>
          <w:i/>
        </w:rPr>
        <w:t>outdoor</w:t>
      </w:r>
      <w:proofErr w:type="spellEnd"/>
      <w:r w:rsidRPr="00DF438D">
        <w:rPr>
          <w:rFonts w:ascii="ITC Avant Garde" w:hAnsi="ITC Avant Garde"/>
          <w:b/>
        </w:rPr>
        <w:t xml:space="preserve"> e </w:t>
      </w:r>
      <w:proofErr w:type="spellStart"/>
      <w:r w:rsidRPr="00DF438D">
        <w:rPr>
          <w:rFonts w:ascii="ITC Avant Garde" w:hAnsi="ITC Avant Garde"/>
          <w:b/>
          <w:i/>
        </w:rPr>
        <w:t>indoor</w:t>
      </w:r>
      <w:proofErr w:type="spellEnd"/>
      <w:r w:rsidRPr="00DF438D">
        <w:rPr>
          <w:rFonts w:ascii="ITC Avant Garde" w:hAnsi="ITC Avant Garde"/>
        </w:rPr>
        <w:t>: para estaciones de las redes privadas 5G que se encuentran a una distancia igual o mayor a aquella establecida por el IFT, respecto de alguna estación terrena del SFS en particular que requiera de una mayor protección, considerando los mismos límites de DFP, altura y orientación vertical de antenas y distancia de separación con otras estaciones terrenas que se describieron en el Caso de operación 1.</w:t>
      </w:r>
    </w:p>
    <w:p w14:paraId="4E2BA609" w14:textId="77777777" w:rsidR="00F679D5" w:rsidRPr="00DF438D" w:rsidRDefault="00F679D5" w:rsidP="00F679D5">
      <w:pPr>
        <w:pStyle w:val="Prrafodelista"/>
        <w:spacing w:after="0" w:line="240" w:lineRule="auto"/>
        <w:ind w:left="567" w:hanging="567"/>
        <w:jc w:val="both"/>
        <w:rPr>
          <w:rFonts w:ascii="ITC Avant Garde" w:hAnsi="ITC Avant Garde"/>
        </w:rPr>
      </w:pPr>
    </w:p>
    <w:p w14:paraId="7B8D78B7" w14:textId="77777777" w:rsidR="00F679D5" w:rsidRPr="00DF438D" w:rsidRDefault="00F679D5" w:rsidP="00F679D5">
      <w:pPr>
        <w:pStyle w:val="Prrafodelista"/>
        <w:numPr>
          <w:ilvl w:val="0"/>
          <w:numId w:val="17"/>
        </w:numPr>
        <w:spacing w:after="0" w:line="240" w:lineRule="auto"/>
        <w:ind w:left="567" w:hanging="567"/>
        <w:jc w:val="both"/>
        <w:rPr>
          <w:rFonts w:ascii="ITC Avant Garde" w:hAnsi="ITC Avant Garde"/>
        </w:rPr>
      </w:pPr>
      <w:r w:rsidRPr="00DF438D">
        <w:rPr>
          <w:rFonts w:ascii="ITC Avant Garde" w:hAnsi="ITC Avant Garde"/>
          <w:b/>
        </w:rPr>
        <w:t xml:space="preserve">Operación únicamente en ambiente </w:t>
      </w:r>
      <w:proofErr w:type="spellStart"/>
      <w:r w:rsidRPr="00DF438D">
        <w:rPr>
          <w:rFonts w:ascii="ITC Avant Garde" w:hAnsi="ITC Avant Garde"/>
          <w:b/>
          <w:i/>
        </w:rPr>
        <w:t>indoor</w:t>
      </w:r>
      <w:proofErr w:type="spellEnd"/>
      <w:r w:rsidRPr="00DF438D">
        <w:rPr>
          <w:rFonts w:ascii="ITC Avant Garde" w:hAnsi="ITC Avant Garde"/>
        </w:rPr>
        <w:t>: para estaciones de las redes privadas 5G que se encuentran a una distancia menor a aquella establecida por el IFT, respecto de alguna estación terrena del SFS en particular que requiera de una mayor protección, con los mismos límites de DFP descritos en el Caso de operación 1. Puesto que se prevé que las emisiones estén contenidas en algún tipo de inmueble o estructura cerrada, se considera que no es necesario cumplir con los límites de alturas de antenas y distancia de separación con otras estaciones terrenas.</w:t>
      </w:r>
    </w:p>
    <w:p w14:paraId="7D5CEF53" w14:textId="77777777" w:rsidR="00F679D5" w:rsidRPr="00DF438D" w:rsidRDefault="00F679D5" w:rsidP="00F679D5">
      <w:pPr>
        <w:pStyle w:val="Prrafodelista"/>
        <w:spacing w:after="0" w:line="240" w:lineRule="auto"/>
        <w:ind w:left="1416"/>
        <w:jc w:val="both"/>
        <w:rPr>
          <w:rFonts w:ascii="ITC Avant Garde" w:hAnsi="ITC Avant Garde"/>
        </w:rPr>
      </w:pPr>
    </w:p>
    <w:p w14:paraId="71564440" w14:textId="1C92E0C3" w:rsidR="00F679D5" w:rsidRDefault="001D78B6" w:rsidP="00F679D5">
      <w:pPr>
        <w:spacing w:after="0" w:line="240" w:lineRule="auto"/>
        <w:rPr>
          <w:rFonts w:ascii="ITC Avant Garde" w:hAnsi="ITC Avant Garde"/>
          <w:b/>
        </w:rPr>
      </w:pPr>
      <w:r>
        <w:rPr>
          <w:rFonts w:ascii="ITC Avant Garde" w:hAnsi="ITC Avant Garde"/>
          <w:b/>
        </w:rPr>
        <w:t>5</w:t>
      </w:r>
      <w:r w:rsidR="00F679D5">
        <w:rPr>
          <w:rFonts w:ascii="ITC Avant Garde" w:hAnsi="ITC Avant Garde"/>
          <w:b/>
        </w:rPr>
        <w:t>.2</w:t>
      </w:r>
      <w:r w:rsidR="00F679D5" w:rsidRPr="00DF438D">
        <w:rPr>
          <w:rFonts w:ascii="ITC Avant Garde" w:hAnsi="ITC Avant Garde"/>
          <w:b/>
        </w:rPr>
        <w:t>.1.3</w:t>
      </w:r>
      <w:r>
        <w:rPr>
          <w:rFonts w:ascii="ITC Avant Garde" w:hAnsi="ITC Avant Garde"/>
          <w:b/>
        </w:rPr>
        <w:t>.</w:t>
      </w:r>
      <w:r w:rsidR="00F679D5" w:rsidRPr="00DF438D">
        <w:rPr>
          <w:rFonts w:ascii="ITC Avant Garde" w:hAnsi="ITC Avant Garde"/>
          <w:b/>
        </w:rPr>
        <w:t xml:space="preserve"> Caso de operación 3</w:t>
      </w:r>
    </w:p>
    <w:p w14:paraId="15854A42" w14:textId="77777777" w:rsidR="00F679D5" w:rsidRPr="00DF438D" w:rsidRDefault="00F679D5" w:rsidP="00F679D5">
      <w:pPr>
        <w:spacing w:after="0" w:line="240" w:lineRule="auto"/>
        <w:rPr>
          <w:rFonts w:ascii="ITC Avant Garde" w:hAnsi="ITC Avant Garde"/>
          <w:b/>
        </w:rPr>
      </w:pPr>
    </w:p>
    <w:p w14:paraId="357E74F5"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Al igual que en el caso de operación anterior, en este caso se proponen diferentes condiciones para las estaciones de las redes privadas 5G, las cuales dependen de su cercanía con alguna estación terrena del SFS en particular que requiera de una mayor protección, pero con la restricción de la operación en interiores:</w:t>
      </w:r>
    </w:p>
    <w:p w14:paraId="4F59B092" w14:textId="77777777" w:rsidR="00F679D5" w:rsidRPr="006F3CEC" w:rsidRDefault="00F679D5" w:rsidP="00F679D5">
      <w:pPr>
        <w:spacing w:after="0" w:line="240" w:lineRule="auto"/>
        <w:jc w:val="both"/>
        <w:rPr>
          <w:rFonts w:ascii="ITC Avant Garde" w:hAnsi="ITC Avant Garde"/>
        </w:rPr>
      </w:pPr>
    </w:p>
    <w:p w14:paraId="3ED7BB83" w14:textId="77777777" w:rsidR="00F679D5" w:rsidRPr="00DF438D" w:rsidRDefault="00F679D5" w:rsidP="00F679D5">
      <w:pPr>
        <w:pStyle w:val="Prrafodelista"/>
        <w:numPr>
          <w:ilvl w:val="0"/>
          <w:numId w:val="18"/>
        </w:numPr>
        <w:spacing w:after="0" w:line="240" w:lineRule="auto"/>
        <w:ind w:left="567" w:hanging="567"/>
        <w:jc w:val="both"/>
        <w:rPr>
          <w:rFonts w:ascii="ITC Avant Garde" w:hAnsi="ITC Avant Garde"/>
        </w:rPr>
      </w:pPr>
      <w:r w:rsidRPr="00DF438D">
        <w:rPr>
          <w:rFonts w:ascii="ITC Avant Garde" w:hAnsi="ITC Avant Garde"/>
          <w:b/>
        </w:rPr>
        <w:t xml:space="preserve">Operación indistinta en ambientes </w:t>
      </w:r>
      <w:proofErr w:type="spellStart"/>
      <w:r w:rsidRPr="00DF438D">
        <w:rPr>
          <w:rFonts w:ascii="ITC Avant Garde" w:hAnsi="ITC Avant Garde"/>
          <w:b/>
          <w:i/>
        </w:rPr>
        <w:t>outdoor</w:t>
      </w:r>
      <w:proofErr w:type="spellEnd"/>
      <w:r w:rsidRPr="00DF438D">
        <w:rPr>
          <w:rFonts w:ascii="ITC Avant Garde" w:hAnsi="ITC Avant Garde"/>
          <w:b/>
        </w:rPr>
        <w:t xml:space="preserve"> e </w:t>
      </w:r>
      <w:proofErr w:type="spellStart"/>
      <w:r w:rsidRPr="00DF438D">
        <w:rPr>
          <w:rFonts w:ascii="ITC Avant Garde" w:hAnsi="ITC Avant Garde"/>
          <w:b/>
          <w:i/>
        </w:rPr>
        <w:t>indoor</w:t>
      </w:r>
      <w:proofErr w:type="spellEnd"/>
      <w:r w:rsidRPr="00DF438D">
        <w:rPr>
          <w:rFonts w:ascii="ITC Avant Garde" w:hAnsi="ITC Avant Garde"/>
        </w:rPr>
        <w:t>: para estaciones de las redes privadas 5G que se encuentran a una distancia igual o mayor a aquella establecida por el IFT, respecto de alguna estación terrena del SFS en particular que requiera de una mayor protección, considerando los mismos límites de DFP, altura y orientación vertical de antenas y distancia de separación con otras estaciones terrenas que se describieron en el Caso de operación 1.</w:t>
      </w:r>
    </w:p>
    <w:p w14:paraId="75416EB2" w14:textId="77777777" w:rsidR="00F679D5" w:rsidRPr="00DF438D" w:rsidRDefault="00F679D5" w:rsidP="00F679D5">
      <w:pPr>
        <w:pStyle w:val="Prrafodelista"/>
        <w:spacing w:after="0" w:line="240" w:lineRule="auto"/>
        <w:ind w:left="567" w:hanging="567"/>
        <w:jc w:val="both"/>
        <w:rPr>
          <w:rFonts w:ascii="ITC Avant Garde" w:hAnsi="ITC Avant Garde"/>
        </w:rPr>
      </w:pPr>
    </w:p>
    <w:p w14:paraId="6A40A842" w14:textId="77777777" w:rsidR="00F679D5" w:rsidRPr="006F3CEC" w:rsidRDefault="00F679D5" w:rsidP="00F679D5">
      <w:pPr>
        <w:spacing w:after="0" w:line="240" w:lineRule="auto"/>
        <w:ind w:left="567" w:hanging="567"/>
        <w:jc w:val="both"/>
        <w:rPr>
          <w:rFonts w:ascii="ITC Avant Garde" w:hAnsi="ITC Avant Garde"/>
        </w:rPr>
      </w:pPr>
      <w:r w:rsidRPr="006F3CEC">
        <w:rPr>
          <w:rFonts w:ascii="ITC Avant Garde" w:hAnsi="ITC Avant Garde"/>
        </w:rPr>
        <w:t>b.</w:t>
      </w:r>
      <w:r w:rsidRPr="006F3CEC">
        <w:rPr>
          <w:rFonts w:ascii="ITC Avant Garde" w:hAnsi="ITC Avant Garde"/>
        </w:rPr>
        <w:tab/>
      </w:r>
      <w:r w:rsidRPr="006F3CEC">
        <w:rPr>
          <w:rFonts w:ascii="ITC Avant Garde" w:hAnsi="ITC Avant Garde"/>
          <w:b/>
        </w:rPr>
        <w:t>Operación restringida</w:t>
      </w:r>
      <w:r w:rsidRPr="006F3CEC">
        <w:rPr>
          <w:rFonts w:ascii="ITC Avant Garde" w:hAnsi="ITC Avant Garde"/>
        </w:rPr>
        <w:t>: no se podrán operar estaciones de las redes privadas 5G en una distancia menor a aquella establecida de alguna estación terrena del SFS en particular que requiera de una mayor protección.</w:t>
      </w:r>
    </w:p>
    <w:p w14:paraId="4D83E715" w14:textId="77777777" w:rsidR="00F679D5" w:rsidRPr="006F3CEC" w:rsidRDefault="00F679D5" w:rsidP="00F679D5">
      <w:pPr>
        <w:spacing w:after="0" w:line="240" w:lineRule="auto"/>
        <w:rPr>
          <w:rFonts w:ascii="ITC Avant Garde" w:hAnsi="ITC Avant Garde"/>
        </w:rPr>
      </w:pPr>
    </w:p>
    <w:p w14:paraId="5844FB2D" w14:textId="5384CECE" w:rsidR="00F679D5" w:rsidRPr="00DF438D" w:rsidRDefault="001D78B6" w:rsidP="00F679D5">
      <w:pPr>
        <w:spacing w:after="0" w:line="240" w:lineRule="auto"/>
        <w:ind w:left="567" w:hanging="567"/>
        <w:rPr>
          <w:rFonts w:ascii="ITC Avant Garde" w:hAnsi="ITC Avant Garde"/>
          <w:b/>
        </w:rPr>
      </w:pPr>
      <w:r>
        <w:rPr>
          <w:rFonts w:ascii="ITC Avant Garde" w:hAnsi="ITC Avant Garde"/>
          <w:b/>
        </w:rPr>
        <w:t>5</w:t>
      </w:r>
      <w:r w:rsidR="00A70D5E">
        <w:rPr>
          <w:rFonts w:ascii="ITC Avant Garde" w:hAnsi="ITC Avant Garde"/>
          <w:b/>
        </w:rPr>
        <w:t>.2</w:t>
      </w:r>
      <w:r w:rsidR="00F679D5" w:rsidRPr="00DF438D">
        <w:rPr>
          <w:rFonts w:ascii="ITC Avant Garde" w:hAnsi="ITC Avant Garde"/>
          <w:b/>
        </w:rPr>
        <w:t>.2</w:t>
      </w:r>
      <w:r w:rsidR="00A70D5E">
        <w:rPr>
          <w:rFonts w:ascii="ITC Avant Garde" w:hAnsi="ITC Avant Garde"/>
          <w:b/>
        </w:rPr>
        <w:t>.</w:t>
      </w:r>
      <w:r w:rsidR="00F679D5">
        <w:rPr>
          <w:rFonts w:ascii="ITC Avant Garde" w:hAnsi="ITC Avant Garde"/>
          <w:b/>
        </w:rPr>
        <w:t xml:space="preserve"> </w:t>
      </w:r>
      <w:r w:rsidR="00F679D5" w:rsidRPr="00DF438D">
        <w:rPr>
          <w:rFonts w:ascii="ITC Avant Garde" w:hAnsi="ITC Avant Garde"/>
          <w:b/>
        </w:rPr>
        <w:t xml:space="preserve">Convivencia con el </w:t>
      </w:r>
      <w:r w:rsidR="00220B6F">
        <w:rPr>
          <w:rFonts w:ascii="ITC Avant Garde" w:hAnsi="ITC Avant Garde"/>
          <w:b/>
        </w:rPr>
        <w:t>Servicios de Acceso Inalámbrico (</w:t>
      </w:r>
      <w:r w:rsidR="00F679D5">
        <w:rPr>
          <w:rFonts w:ascii="ITC Avant Garde" w:hAnsi="ITC Avant Garde"/>
          <w:b/>
        </w:rPr>
        <w:t>SAI</w:t>
      </w:r>
      <w:r w:rsidR="00220B6F">
        <w:rPr>
          <w:rFonts w:ascii="ITC Avant Garde" w:hAnsi="ITC Avant Garde"/>
          <w:b/>
        </w:rPr>
        <w:t>)</w:t>
      </w:r>
    </w:p>
    <w:p w14:paraId="6964D26C" w14:textId="77777777" w:rsidR="00F679D5" w:rsidRDefault="00F679D5" w:rsidP="00F679D5">
      <w:pPr>
        <w:spacing w:after="0" w:line="240" w:lineRule="auto"/>
        <w:jc w:val="both"/>
        <w:rPr>
          <w:rFonts w:ascii="ITC Avant Garde" w:hAnsi="ITC Avant Garde"/>
        </w:rPr>
      </w:pPr>
    </w:p>
    <w:p w14:paraId="5BE97AB6" w14:textId="4162D647" w:rsidR="00F679D5" w:rsidRDefault="00F679D5" w:rsidP="00F679D5">
      <w:pPr>
        <w:spacing w:after="0" w:line="240" w:lineRule="auto"/>
        <w:jc w:val="both"/>
        <w:rPr>
          <w:rFonts w:ascii="ITC Avant Garde" w:hAnsi="ITC Avant Garde"/>
        </w:rPr>
      </w:pPr>
      <w:r w:rsidRPr="006F3CEC">
        <w:rPr>
          <w:rFonts w:ascii="ITC Avant Garde" w:hAnsi="ITC Avant Garde"/>
        </w:rPr>
        <w:t>De acuerdo con el RPC</w:t>
      </w:r>
      <w:r w:rsidRPr="006F3CEC">
        <w:rPr>
          <w:rStyle w:val="Refdenotaalpie"/>
          <w:rFonts w:ascii="ITC Avant Garde" w:hAnsi="ITC Avant Garde"/>
        </w:rPr>
        <w:footnoteReference w:id="28"/>
      </w:r>
      <w:r w:rsidRPr="006F3CEC">
        <w:rPr>
          <w:rFonts w:ascii="ITC Avant Garde" w:hAnsi="ITC Avant Garde"/>
        </w:rPr>
        <w:t>, existen dos concesiones de espectro a nivel nacional para operar redes del SAI</w:t>
      </w:r>
      <w:r>
        <w:rPr>
          <w:rFonts w:ascii="ITC Avant Garde" w:hAnsi="ITC Avant Garde"/>
        </w:rPr>
        <w:t xml:space="preserve"> </w:t>
      </w:r>
      <w:r w:rsidRPr="006F3CEC">
        <w:rPr>
          <w:rFonts w:ascii="ITC Avant Garde" w:hAnsi="ITC Avant Garde"/>
        </w:rPr>
        <w:t xml:space="preserve">para uso comercial en los segmentos de 3.35 a 3.45 GHz y de 3.55 a 3.6 GHz, ambas con un </w:t>
      </w:r>
      <w:proofErr w:type="spellStart"/>
      <w:r w:rsidRPr="006F3CEC">
        <w:rPr>
          <w:rFonts w:ascii="ITC Avant Garde" w:hAnsi="ITC Avant Garde"/>
        </w:rPr>
        <w:t>duplexaje</w:t>
      </w:r>
      <w:proofErr w:type="spellEnd"/>
      <w:r w:rsidRPr="006F3CEC">
        <w:rPr>
          <w:rFonts w:ascii="ITC Avant Garde" w:hAnsi="ITC Avant Garde"/>
        </w:rPr>
        <w:t xml:space="preserve"> </w:t>
      </w:r>
      <w:r w:rsidR="001C6083">
        <w:rPr>
          <w:rFonts w:ascii="ITC Avant Garde" w:hAnsi="ITC Avant Garde"/>
        </w:rPr>
        <w:t>por</w:t>
      </w:r>
      <w:r w:rsidR="001C6083" w:rsidRPr="006F3CEC">
        <w:rPr>
          <w:rFonts w:ascii="ITC Avant Garde" w:hAnsi="ITC Avant Garde"/>
        </w:rPr>
        <w:t xml:space="preserve"> </w:t>
      </w:r>
      <w:r w:rsidRPr="006F3CEC">
        <w:rPr>
          <w:rFonts w:ascii="ITC Avant Garde" w:hAnsi="ITC Avant Garde"/>
        </w:rPr>
        <w:t xml:space="preserve">división de tiempo (TDD). Debido a este </w:t>
      </w:r>
      <w:proofErr w:type="spellStart"/>
      <w:r w:rsidRPr="006F3CEC">
        <w:rPr>
          <w:rFonts w:ascii="ITC Avant Garde" w:hAnsi="ITC Avant Garde"/>
        </w:rPr>
        <w:t>duplexaje</w:t>
      </w:r>
      <w:proofErr w:type="spellEnd"/>
      <w:r w:rsidRPr="006F3CEC">
        <w:rPr>
          <w:rFonts w:ascii="ITC Avant Garde" w:hAnsi="ITC Avant Garde"/>
        </w:rPr>
        <w:t xml:space="preserve">, y con la finalidad de hacer un uso más eficiente del espectro radioeléctrico y evitar interferencias entre las distintas redes del SAI, los títulos de concesión del SAI que operan en la banda de frecuencias de 3.3 a 3.6 GHz, obligan a mantener el mismo esquema de sincronización. Dicho esquema que, si bien es el ideal para la operación del SAI para uso comercial, puede que no lo sea para las distintas aplicaciones de las redes privadas 5G, por lo que, desde el punto de vista de la sincronización, a </w:t>
      </w:r>
      <w:r w:rsidR="004948DE" w:rsidRPr="006F3CEC">
        <w:rPr>
          <w:rFonts w:ascii="ITC Avant Garde" w:hAnsi="ITC Avant Garde"/>
        </w:rPr>
        <w:t>continuación,</w:t>
      </w:r>
      <w:r w:rsidRPr="006F3CEC">
        <w:rPr>
          <w:rFonts w:ascii="ITC Avant Garde" w:hAnsi="ITC Avant Garde"/>
        </w:rPr>
        <w:t xml:space="preserve"> se exponen diversos casos de operación en donde se proponen las distintas formas de convivencia entre el SAI y las redes privadas 5G.</w:t>
      </w:r>
    </w:p>
    <w:p w14:paraId="27156D2A" w14:textId="77777777" w:rsidR="00F679D5" w:rsidRPr="006F3CEC" w:rsidRDefault="00F679D5" w:rsidP="00F679D5">
      <w:pPr>
        <w:spacing w:after="0" w:line="240" w:lineRule="auto"/>
        <w:jc w:val="both"/>
        <w:rPr>
          <w:rFonts w:ascii="ITC Avant Garde" w:hAnsi="ITC Avant Garde"/>
        </w:rPr>
      </w:pPr>
    </w:p>
    <w:p w14:paraId="7C099DF3" w14:textId="7250F720" w:rsidR="00F679D5" w:rsidRPr="00A70D5E" w:rsidRDefault="001D78B6" w:rsidP="00A70D5E">
      <w:pPr>
        <w:spacing w:after="0" w:line="240" w:lineRule="auto"/>
        <w:jc w:val="both"/>
        <w:rPr>
          <w:rFonts w:ascii="ITC Avant Garde" w:hAnsi="ITC Avant Garde"/>
          <w:b/>
        </w:rPr>
      </w:pPr>
      <w:r>
        <w:rPr>
          <w:rFonts w:ascii="ITC Avant Garde" w:hAnsi="ITC Avant Garde"/>
          <w:b/>
        </w:rPr>
        <w:t>5</w:t>
      </w:r>
      <w:r w:rsidR="00A70D5E">
        <w:rPr>
          <w:rFonts w:ascii="ITC Avant Garde" w:hAnsi="ITC Avant Garde"/>
          <w:b/>
        </w:rPr>
        <w:t xml:space="preserve">.2.2.1. </w:t>
      </w:r>
      <w:r w:rsidR="00F679D5" w:rsidRPr="00A70D5E">
        <w:rPr>
          <w:rFonts w:ascii="ITC Avant Garde" w:hAnsi="ITC Avant Garde"/>
          <w:b/>
        </w:rPr>
        <w:t>Caso de operación 1: mismo esquema de sincronización</w:t>
      </w:r>
    </w:p>
    <w:p w14:paraId="17FD6E3D" w14:textId="77777777" w:rsidR="00F679D5" w:rsidRPr="00DF438D" w:rsidRDefault="00F679D5" w:rsidP="00F679D5">
      <w:pPr>
        <w:pStyle w:val="Prrafodelista"/>
        <w:spacing w:after="0" w:line="240" w:lineRule="auto"/>
        <w:ind w:left="1440"/>
        <w:jc w:val="both"/>
        <w:rPr>
          <w:rFonts w:ascii="ITC Avant Garde" w:hAnsi="ITC Avant Garde"/>
          <w:b/>
        </w:rPr>
      </w:pPr>
    </w:p>
    <w:p w14:paraId="707AD07B"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En este caso, se propone que las redes privadas 5G adopten el mismo esquema de sincronización con el que opera el SAI. Con ello, se prevé que todo el espectro disponible pueda ser utilizado para la operación de las redes privadas en cualquier lugar del país, sin que esto conlleve problemas de interferencias perjudiciales con el SAI y con los demás usuarios de redes privadas 5G. No obstante, como se mencionó anteriormente, el esquema de sincronización con el que opera el SAI puede no ser el óptimo para todas las aplicaciones de las redes privadas 5G, especialmente para aquellas que priorizan el tráfico ascendente, lo que podría dar como resultado que el despliegue de las redes privadas 5G se vea limitado, y en algunos casos, no resulte viable la operación de redes con aplicaciones que requieren de esquemas de sincronización distintos.</w:t>
      </w:r>
    </w:p>
    <w:p w14:paraId="329CF2F9" w14:textId="77777777" w:rsidR="00F679D5" w:rsidRPr="006F3CEC" w:rsidRDefault="00F679D5" w:rsidP="00F679D5">
      <w:pPr>
        <w:spacing w:after="0" w:line="240" w:lineRule="auto"/>
        <w:jc w:val="both"/>
        <w:rPr>
          <w:rFonts w:ascii="ITC Avant Garde" w:hAnsi="ITC Avant Garde"/>
        </w:rPr>
      </w:pPr>
    </w:p>
    <w:p w14:paraId="4A2210B3" w14:textId="6337016B" w:rsidR="00F679D5" w:rsidRPr="00A70D5E" w:rsidRDefault="001D78B6" w:rsidP="00A70D5E">
      <w:pPr>
        <w:spacing w:after="0" w:line="240" w:lineRule="auto"/>
        <w:jc w:val="both"/>
        <w:rPr>
          <w:rFonts w:ascii="ITC Avant Garde" w:hAnsi="ITC Avant Garde"/>
          <w:b/>
        </w:rPr>
      </w:pPr>
      <w:r>
        <w:rPr>
          <w:rFonts w:ascii="ITC Avant Garde" w:hAnsi="ITC Avant Garde"/>
          <w:b/>
        </w:rPr>
        <w:t>5</w:t>
      </w:r>
      <w:r w:rsidR="00A70D5E">
        <w:rPr>
          <w:rFonts w:ascii="ITC Avant Garde" w:hAnsi="ITC Avant Garde"/>
          <w:b/>
        </w:rPr>
        <w:t xml:space="preserve">.2.2.2. </w:t>
      </w:r>
      <w:r w:rsidR="00F679D5" w:rsidRPr="00A70D5E">
        <w:rPr>
          <w:rFonts w:ascii="ITC Avant Garde" w:hAnsi="ITC Avant Garde"/>
          <w:b/>
        </w:rPr>
        <w:t>Caso de operación 2: esquemas de sincronización distintos</w:t>
      </w:r>
    </w:p>
    <w:p w14:paraId="17E77F7E" w14:textId="77777777" w:rsidR="00F679D5" w:rsidRPr="00DF438D" w:rsidRDefault="00F679D5" w:rsidP="00F679D5">
      <w:pPr>
        <w:pStyle w:val="Prrafodelista"/>
        <w:spacing w:after="0" w:line="240" w:lineRule="auto"/>
        <w:ind w:left="567"/>
        <w:jc w:val="both"/>
        <w:rPr>
          <w:rFonts w:ascii="ITC Avant Garde" w:hAnsi="ITC Avant Garde"/>
          <w:b/>
        </w:rPr>
      </w:pPr>
    </w:p>
    <w:p w14:paraId="2712BDCC" w14:textId="1379896F" w:rsidR="00F679D5" w:rsidRDefault="00F679D5" w:rsidP="00F679D5">
      <w:pPr>
        <w:spacing w:after="0" w:line="240" w:lineRule="auto"/>
        <w:jc w:val="both"/>
        <w:rPr>
          <w:rFonts w:ascii="ITC Avant Garde" w:hAnsi="ITC Avant Garde"/>
        </w:rPr>
      </w:pPr>
      <w:r w:rsidRPr="006F3CEC">
        <w:rPr>
          <w:rFonts w:ascii="ITC Avant Garde" w:hAnsi="ITC Avant Garde"/>
        </w:rPr>
        <w:t xml:space="preserve">A diferencia del caso anterior, en este caso se propone que las redes privadas 5G operen con el esquema de sincronización que más se ajuste a sus necesidades, </w:t>
      </w:r>
      <w:r w:rsidR="004948DE" w:rsidRPr="006F3CEC">
        <w:rPr>
          <w:rFonts w:ascii="ITC Avant Garde" w:hAnsi="ITC Avant Garde"/>
        </w:rPr>
        <w:t xml:space="preserve">de acuerdo </w:t>
      </w:r>
      <w:r w:rsidR="004948DE">
        <w:rPr>
          <w:rFonts w:ascii="ITC Avant Garde" w:hAnsi="ITC Avant Garde"/>
        </w:rPr>
        <w:t>a</w:t>
      </w:r>
      <w:r w:rsidRPr="006F3CEC">
        <w:rPr>
          <w:rFonts w:ascii="ITC Avant Garde" w:hAnsi="ITC Avant Garde"/>
        </w:rPr>
        <w:t xml:space="preserve"> la aplicación que se trate. Así, la operación de las redes privadas 5G no se vería limitada con respecto de los esquemas de sincronización que utilizan las distintas aplicaciones, lo cual fomentará su despliegue y operación. Sin embargo, debido a la posibilidad de interferencias perjudiciales entre las redes del SAI y las redes privadas 5G, y entre las propias redes privadas 5G, deberán existir otras limitaciones en su operación para proteger las operaciones ya existentes, tal y como se describe a continuación:</w:t>
      </w:r>
    </w:p>
    <w:p w14:paraId="1507F75B" w14:textId="77777777" w:rsidR="00F679D5" w:rsidRPr="006F3CEC" w:rsidRDefault="00F679D5" w:rsidP="00F679D5">
      <w:pPr>
        <w:spacing w:after="0" w:line="240" w:lineRule="auto"/>
        <w:jc w:val="both"/>
        <w:rPr>
          <w:rFonts w:ascii="ITC Avant Garde" w:hAnsi="ITC Avant Garde"/>
        </w:rPr>
      </w:pPr>
    </w:p>
    <w:p w14:paraId="6DA91308" w14:textId="77777777" w:rsidR="00F679D5" w:rsidRDefault="00F679D5" w:rsidP="00F679D5">
      <w:pPr>
        <w:pStyle w:val="Prrafodelista"/>
        <w:numPr>
          <w:ilvl w:val="0"/>
          <w:numId w:val="9"/>
        </w:numPr>
        <w:spacing w:after="0" w:line="240" w:lineRule="auto"/>
        <w:ind w:left="567" w:hanging="567"/>
        <w:contextualSpacing w:val="0"/>
        <w:jc w:val="both"/>
        <w:rPr>
          <w:rFonts w:ascii="ITC Avant Garde" w:hAnsi="ITC Avant Garde"/>
        </w:rPr>
      </w:pPr>
      <w:r w:rsidRPr="006F3CEC">
        <w:rPr>
          <w:rFonts w:ascii="ITC Avant Garde" w:hAnsi="ITC Avant Garde"/>
        </w:rPr>
        <w:t>Será necesario establecer al menos un mecanismo de protección hacia las redes del SAI para que no se vean afectadas por la operación de las redes privadas 5G con sincronización distinta en la misma zona geográfica de operación. Entre estos mecanismos de protección se encuentran:</w:t>
      </w:r>
    </w:p>
    <w:p w14:paraId="0A4C03DC" w14:textId="77777777" w:rsidR="00F679D5" w:rsidRPr="006F3CEC" w:rsidRDefault="00F679D5" w:rsidP="00F679D5">
      <w:pPr>
        <w:pStyle w:val="Prrafodelista"/>
        <w:spacing w:after="0" w:line="240" w:lineRule="auto"/>
        <w:ind w:left="567"/>
        <w:contextualSpacing w:val="0"/>
        <w:jc w:val="both"/>
        <w:rPr>
          <w:rFonts w:ascii="ITC Avant Garde" w:hAnsi="ITC Avant Garde"/>
        </w:rPr>
      </w:pPr>
    </w:p>
    <w:p w14:paraId="213CBC68" w14:textId="77777777" w:rsidR="00F679D5" w:rsidRPr="006F3CEC" w:rsidRDefault="00F679D5" w:rsidP="00F679D5">
      <w:pPr>
        <w:pStyle w:val="Prrafodelista"/>
        <w:numPr>
          <w:ilvl w:val="0"/>
          <w:numId w:val="12"/>
        </w:numPr>
        <w:spacing w:after="0" w:line="240" w:lineRule="auto"/>
        <w:contextualSpacing w:val="0"/>
        <w:jc w:val="both"/>
        <w:rPr>
          <w:rFonts w:ascii="ITC Avant Garde" w:hAnsi="ITC Avant Garde"/>
        </w:rPr>
      </w:pPr>
      <w:r w:rsidRPr="006F3CEC">
        <w:rPr>
          <w:rFonts w:ascii="ITC Avant Garde" w:hAnsi="ITC Avant Garde"/>
        </w:rPr>
        <w:t xml:space="preserve">implementación de bandas de guarda, </w:t>
      </w:r>
    </w:p>
    <w:p w14:paraId="32149F13" w14:textId="77777777" w:rsidR="00F679D5" w:rsidRPr="006F3CEC" w:rsidRDefault="00F679D5" w:rsidP="00F679D5">
      <w:pPr>
        <w:pStyle w:val="Prrafodelista"/>
        <w:numPr>
          <w:ilvl w:val="0"/>
          <w:numId w:val="12"/>
        </w:numPr>
        <w:spacing w:after="0" w:line="240" w:lineRule="auto"/>
        <w:contextualSpacing w:val="0"/>
        <w:jc w:val="both"/>
        <w:rPr>
          <w:rFonts w:ascii="ITC Avant Garde" w:hAnsi="ITC Avant Garde"/>
        </w:rPr>
      </w:pPr>
      <w:r w:rsidRPr="006F3CEC">
        <w:rPr>
          <w:rFonts w:ascii="ITC Avant Garde" w:hAnsi="ITC Avant Garde"/>
        </w:rPr>
        <w:t xml:space="preserve">implementación de separación geográfica mínima entre las estaciones del SAI y las estaciones de las redes privadas, o </w:t>
      </w:r>
    </w:p>
    <w:p w14:paraId="5C2765B5" w14:textId="77777777" w:rsidR="00F679D5" w:rsidRDefault="00F679D5" w:rsidP="00F679D5">
      <w:pPr>
        <w:pStyle w:val="Prrafodelista"/>
        <w:numPr>
          <w:ilvl w:val="0"/>
          <w:numId w:val="12"/>
        </w:numPr>
        <w:spacing w:after="0" w:line="240" w:lineRule="auto"/>
        <w:contextualSpacing w:val="0"/>
        <w:jc w:val="both"/>
        <w:rPr>
          <w:rFonts w:ascii="ITC Avant Garde" w:hAnsi="ITC Avant Garde"/>
        </w:rPr>
      </w:pPr>
      <w:r w:rsidRPr="006F3CEC">
        <w:rPr>
          <w:rFonts w:ascii="ITC Avant Garde" w:hAnsi="ITC Avant Garde"/>
        </w:rPr>
        <w:t xml:space="preserve">sólo permitir las operaciones de las redes privadas en ambientes </w:t>
      </w:r>
      <w:proofErr w:type="spellStart"/>
      <w:r w:rsidRPr="006F3CEC">
        <w:rPr>
          <w:rFonts w:ascii="ITC Avant Garde" w:hAnsi="ITC Avant Garde"/>
          <w:i/>
        </w:rPr>
        <w:t>indoor</w:t>
      </w:r>
      <w:proofErr w:type="spellEnd"/>
      <w:r w:rsidRPr="006F3CEC">
        <w:rPr>
          <w:rFonts w:ascii="ITC Avant Garde" w:hAnsi="ITC Avant Garde"/>
          <w:i/>
        </w:rPr>
        <w:t xml:space="preserve"> </w:t>
      </w:r>
      <w:r w:rsidRPr="006F3CEC">
        <w:rPr>
          <w:rFonts w:ascii="ITC Avant Garde" w:hAnsi="ITC Avant Garde"/>
        </w:rPr>
        <w:t>con límites de potencia en aquellas zonas geográficas donde se encuentren desplegadas las redes del SAI.</w:t>
      </w:r>
    </w:p>
    <w:p w14:paraId="6E75A75E" w14:textId="77777777" w:rsidR="00F679D5" w:rsidRPr="006F3CEC" w:rsidRDefault="00F679D5" w:rsidP="00F679D5">
      <w:pPr>
        <w:pStyle w:val="Prrafodelista"/>
        <w:spacing w:after="0" w:line="240" w:lineRule="auto"/>
        <w:ind w:left="1805"/>
        <w:contextualSpacing w:val="0"/>
        <w:jc w:val="both"/>
        <w:rPr>
          <w:rFonts w:ascii="ITC Avant Garde" w:hAnsi="ITC Avant Garde"/>
        </w:rPr>
      </w:pPr>
    </w:p>
    <w:p w14:paraId="32A2C074" w14:textId="77777777" w:rsidR="00F679D5" w:rsidRPr="006F3CEC" w:rsidRDefault="00F679D5" w:rsidP="00F679D5">
      <w:pPr>
        <w:pStyle w:val="Prrafodelista"/>
        <w:numPr>
          <w:ilvl w:val="0"/>
          <w:numId w:val="9"/>
        </w:numPr>
        <w:spacing w:after="0" w:line="240" w:lineRule="auto"/>
        <w:ind w:left="567" w:hanging="567"/>
        <w:contextualSpacing w:val="0"/>
        <w:jc w:val="both"/>
        <w:rPr>
          <w:rFonts w:ascii="ITC Avant Garde" w:hAnsi="ITC Avant Garde"/>
        </w:rPr>
      </w:pPr>
      <w:r w:rsidRPr="006F3CEC">
        <w:rPr>
          <w:rFonts w:ascii="ITC Avant Garde" w:hAnsi="ITC Avant Garde"/>
        </w:rPr>
        <w:t xml:space="preserve">Para aquellas redes privadas 5G que operen en la misma zona geográfica con esquemas de sincronización distintos, se propone proteger la red privada 5G que se haya puesto en operación primero, por lo que las redes privadas 5G entrantes deberán optar por al menos un mecanismo de protección para no afectar las operaciones ya existentes. Al igual que con el SAI, se proponen los siguientes mecanismos de protección cuando se quieran operar redes privadas 5G con esquemas de sincronización distintos: bandas de guarda, una separación geográfica mínima entre las estaciones de las redes privadas, o sólo permitir las operaciones de las redes privadas entrante en ambientes </w:t>
      </w:r>
      <w:proofErr w:type="spellStart"/>
      <w:r w:rsidRPr="006F3CEC">
        <w:rPr>
          <w:rFonts w:ascii="ITC Avant Garde" w:hAnsi="ITC Avant Garde"/>
          <w:i/>
        </w:rPr>
        <w:t>indoor</w:t>
      </w:r>
      <w:proofErr w:type="spellEnd"/>
      <w:r w:rsidRPr="006F3CEC">
        <w:rPr>
          <w:rFonts w:ascii="ITC Avant Garde" w:hAnsi="ITC Avant Garde"/>
          <w:i/>
        </w:rPr>
        <w:t xml:space="preserve"> </w:t>
      </w:r>
      <w:r w:rsidRPr="006F3CEC">
        <w:rPr>
          <w:rFonts w:ascii="ITC Avant Garde" w:hAnsi="ITC Avant Garde"/>
        </w:rPr>
        <w:t>con límites de potencia.</w:t>
      </w:r>
    </w:p>
    <w:p w14:paraId="28BDECFF" w14:textId="77777777" w:rsidR="00F679D5" w:rsidRDefault="00F679D5" w:rsidP="00F679D5">
      <w:pPr>
        <w:spacing w:after="0" w:line="240" w:lineRule="auto"/>
        <w:jc w:val="both"/>
        <w:rPr>
          <w:rFonts w:ascii="ITC Avant Garde" w:hAnsi="ITC Avant Garde"/>
        </w:rPr>
      </w:pPr>
    </w:p>
    <w:p w14:paraId="1939B7B9"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 xml:space="preserve">Cabe mencionar que, dependiendo del o de los mecanismos de protección que se elijan, es muy probable que a través de este caso de operación no se pueda hacer un uso eficiente del espectro radioeléctrico, ya que habría porciones de espectro que no serían utilizadas para la operación de redes privadas 5G (bandas de guarda) o no se pueda utilizar todo el espectro en cualquier lugar del país (separación geográfica mínima u operación sólo en ambientes </w:t>
      </w:r>
      <w:proofErr w:type="spellStart"/>
      <w:r w:rsidRPr="006F3CEC">
        <w:rPr>
          <w:rFonts w:ascii="ITC Avant Garde" w:hAnsi="ITC Avant Garde"/>
          <w:i/>
        </w:rPr>
        <w:t>indoor</w:t>
      </w:r>
      <w:proofErr w:type="spellEnd"/>
      <w:r w:rsidRPr="006F3CEC">
        <w:rPr>
          <w:rFonts w:ascii="ITC Avant Garde" w:hAnsi="ITC Avant Garde"/>
        </w:rPr>
        <w:t>).</w:t>
      </w:r>
    </w:p>
    <w:p w14:paraId="5649F9D0" w14:textId="77777777" w:rsidR="00F679D5" w:rsidRPr="006F3CEC" w:rsidRDefault="00F679D5" w:rsidP="00F679D5">
      <w:pPr>
        <w:spacing w:after="0" w:line="240" w:lineRule="auto"/>
        <w:jc w:val="both"/>
        <w:rPr>
          <w:rFonts w:ascii="ITC Avant Garde" w:hAnsi="ITC Avant Garde"/>
        </w:rPr>
      </w:pPr>
    </w:p>
    <w:p w14:paraId="6F0196F2" w14:textId="7FA614B5" w:rsidR="00F679D5" w:rsidRPr="00A70D5E" w:rsidRDefault="001D78B6" w:rsidP="00A70D5E">
      <w:pPr>
        <w:spacing w:after="0" w:line="240" w:lineRule="auto"/>
        <w:jc w:val="both"/>
        <w:rPr>
          <w:rFonts w:ascii="ITC Avant Garde" w:hAnsi="ITC Avant Garde"/>
          <w:b/>
        </w:rPr>
      </w:pPr>
      <w:r>
        <w:rPr>
          <w:rFonts w:ascii="ITC Avant Garde" w:hAnsi="ITC Avant Garde"/>
          <w:b/>
        </w:rPr>
        <w:t>5</w:t>
      </w:r>
      <w:r w:rsidR="00A70D5E">
        <w:rPr>
          <w:rFonts w:ascii="ITC Avant Garde" w:hAnsi="ITC Avant Garde"/>
          <w:b/>
        </w:rPr>
        <w:t xml:space="preserve">.2.2.3. </w:t>
      </w:r>
      <w:r w:rsidR="00F679D5" w:rsidRPr="00A70D5E">
        <w:rPr>
          <w:rFonts w:ascii="ITC Avant Garde" w:hAnsi="ITC Avant Garde"/>
          <w:b/>
        </w:rPr>
        <w:t>Caso de operación 3: esquemas de sincronización híbridos</w:t>
      </w:r>
    </w:p>
    <w:p w14:paraId="2B08C1D1" w14:textId="77777777" w:rsidR="00F679D5" w:rsidRPr="00DF438D" w:rsidRDefault="00F679D5" w:rsidP="00F679D5">
      <w:pPr>
        <w:pStyle w:val="Prrafodelista"/>
        <w:spacing w:after="0" w:line="240" w:lineRule="auto"/>
        <w:ind w:left="426"/>
        <w:contextualSpacing w:val="0"/>
        <w:jc w:val="both"/>
        <w:rPr>
          <w:rFonts w:ascii="ITC Avant Garde" w:hAnsi="ITC Avant Garde"/>
          <w:b/>
        </w:rPr>
      </w:pPr>
    </w:p>
    <w:p w14:paraId="0A004B2B" w14:textId="77777777" w:rsidR="00F679D5" w:rsidRDefault="00F679D5" w:rsidP="00F679D5">
      <w:pPr>
        <w:spacing w:after="0" w:line="240" w:lineRule="auto"/>
        <w:jc w:val="both"/>
        <w:rPr>
          <w:rFonts w:ascii="ITC Avant Garde" w:hAnsi="ITC Avant Garde"/>
        </w:rPr>
      </w:pPr>
      <w:r w:rsidRPr="006F3CEC">
        <w:rPr>
          <w:rFonts w:ascii="ITC Avant Garde" w:hAnsi="ITC Avant Garde"/>
        </w:rPr>
        <w:t>En este caso de operación se propone que las redes privadas 5G puedan operar con esquemas de sincronización híbridos de acuerdo con lo siguiente:</w:t>
      </w:r>
    </w:p>
    <w:p w14:paraId="485054BD" w14:textId="77777777" w:rsidR="00F679D5" w:rsidRPr="006F3CEC" w:rsidRDefault="00F679D5" w:rsidP="00F679D5">
      <w:pPr>
        <w:spacing w:after="0" w:line="240" w:lineRule="auto"/>
        <w:jc w:val="both"/>
        <w:rPr>
          <w:rFonts w:ascii="ITC Avant Garde" w:hAnsi="ITC Avant Garde"/>
        </w:rPr>
      </w:pPr>
    </w:p>
    <w:p w14:paraId="4CCF9F44" w14:textId="77777777" w:rsidR="00F679D5" w:rsidRDefault="00F679D5" w:rsidP="00F679D5">
      <w:pPr>
        <w:pStyle w:val="Prrafodelista"/>
        <w:numPr>
          <w:ilvl w:val="0"/>
          <w:numId w:val="10"/>
        </w:numPr>
        <w:spacing w:after="0" w:line="240" w:lineRule="auto"/>
        <w:ind w:left="567" w:hanging="567"/>
        <w:contextualSpacing w:val="0"/>
        <w:jc w:val="both"/>
        <w:rPr>
          <w:rFonts w:ascii="ITC Avant Garde" w:hAnsi="ITC Avant Garde"/>
        </w:rPr>
      </w:pPr>
      <w:r w:rsidRPr="006F3CEC">
        <w:rPr>
          <w:rFonts w:ascii="ITC Avant Garde" w:hAnsi="ITC Avant Garde"/>
        </w:rPr>
        <w:t>Para aquellas zonas geográficas donde ya existe la operación de redes del SAI, las redes privadas 5G deberán adoptar el mismo esquema de sincronización que el SAI para evitar interferencias perjudiciales.</w:t>
      </w:r>
    </w:p>
    <w:p w14:paraId="541DCDEA" w14:textId="77777777" w:rsidR="00F679D5" w:rsidRPr="006F3CEC" w:rsidRDefault="00F679D5" w:rsidP="00F679D5">
      <w:pPr>
        <w:pStyle w:val="Prrafodelista"/>
        <w:spacing w:after="0" w:line="240" w:lineRule="auto"/>
        <w:ind w:left="567" w:hanging="567"/>
        <w:contextualSpacing w:val="0"/>
        <w:jc w:val="both"/>
        <w:rPr>
          <w:rFonts w:ascii="ITC Avant Garde" w:hAnsi="ITC Avant Garde"/>
        </w:rPr>
      </w:pPr>
    </w:p>
    <w:p w14:paraId="16717E86" w14:textId="77777777" w:rsidR="00F679D5" w:rsidRPr="006F3CEC" w:rsidRDefault="00F679D5" w:rsidP="00F679D5">
      <w:pPr>
        <w:pStyle w:val="Prrafodelista"/>
        <w:numPr>
          <w:ilvl w:val="0"/>
          <w:numId w:val="10"/>
        </w:numPr>
        <w:spacing w:after="0" w:line="240" w:lineRule="auto"/>
        <w:ind w:left="567" w:hanging="567"/>
        <w:contextualSpacing w:val="0"/>
        <w:jc w:val="both"/>
        <w:rPr>
          <w:rFonts w:ascii="ITC Avant Garde" w:hAnsi="ITC Avant Garde"/>
        </w:rPr>
      </w:pPr>
      <w:r w:rsidRPr="006F3CEC">
        <w:rPr>
          <w:rFonts w:ascii="ITC Avant Garde" w:hAnsi="ITC Avant Garde"/>
        </w:rPr>
        <w:t>Para aquellas zonas geográficas donde no existe la operación de redes del SAI, las redes privadas 5G podrán operar con el esquema de sincronización que más se ajuste a sus necesidades, de acuerdo a la aplicación que se trate, para fomentar el despliegue de diversas redes privadas 5G. No obstante, para evitar interferencias perjudiciales entre las propias redes privadas 5G que operen con esquemas de sincronización distintos, se deberá establecer al menos un mecanismo de protección, de acuerdo con lo que se propone en inciso b del Caso de operación 2.</w:t>
      </w:r>
    </w:p>
    <w:p w14:paraId="1B0F9F77" w14:textId="77777777" w:rsidR="00F679D5" w:rsidRDefault="00F679D5" w:rsidP="00F679D5">
      <w:pPr>
        <w:spacing w:after="0" w:line="240" w:lineRule="auto"/>
        <w:rPr>
          <w:rFonts w:ascii="ITC Avant Garde" w:hAnsi="ITC Avant Garde"/>
        </w:rPr>
      </w:pPr>
    </w:p>
    <w:p w14:paraId="41656854" w14:textId="77777777" w:rsidR="00F679D5" w:rsidRDefault="00F679D5" w:rsidP="00F679D5">
      <w:pPr>
        <w:spacing w:after="0" w:line="240" w:lineRule="auto"/>
        <w:rPr>
          <w:rFonts w:ascii="ITC Avant Garde" w:hAnsi="ITC Avant Garde"/>
        </w:rPr>
      </w:pPr>
      <w:r w:rsidRPr="006F3CEC">
        <w:rPr>
          <w:rFonts w:ascii="ITC Avant Garde" w:hAnsi="ITC Avant Garde"/>
        </w:rPr>
        <w:t>De esta forma, se prevé que el espectro pueda ser utilizado de mejor forma, sin afectar el despliegue de las distintas redes privadas 5G y tratando de evitar lo más posible las interferencias hacia el SAI o entre las propias redes privadas 5G.</w:t>
      </w:r>
    </w:p>
    <w:p w14:paraId="6A603F05" w14:textId="77777777" w:rsidR="00F679D5" w:rsidRPr="006F3CEC" w:rsidRDefault="00F679D5" w:rsidP="00F679D5">
      <w:pPr>
        <w:spacing w:after="0" w:line="240" w:lineRule="auto"/>
        <w:rPr>
          <w:rFonts w:ascii="ITC Avant Garde" w:hAnsi="ITC Avant Garde"/>
        </w:rPr>
      </w:pPr>
    </w:p>
    <w:p w14:paraId="095EA139" w14:textId="2F2F63B0" w:rsidR="00F679D5" w:rsidRPr="00A70D5E" w:rsidRDefault="001D78B6" w:rsidP="00A70D5E">
      <w:pPr>
        <w:spacing w:after="0" w:line="240" w:lineRule="auto"/>
        <w:jc w:val="both"/>
        <w:rPr>
          <w:rFonts w:ascii="ITC Avant Garde" w:hAnsi="ITC Avant Garde"/>
          <w:b/>
        </w:rPr>
      </w:pPr>
      <w:r>
        <w:rPr>
          <w:rFonts w:ascii="ITC Avant Garde" w:hAnsi="ITC Avant Garde"/>
          <w:b/>
        </w:rPr>
        <w:t>5</w:t>
      </w:r>
      <w:r w:rsidR="00A70D5E">
        <w:rPr>
          <w:rFonts w:ascii="ITC Avant Garde" w:hAnsi="ITC Avant Garde"/>
          <w:b/>
        </w:rPr>
        <w:t xml:space="preserve">.2.3. </w:t>
      </w:r>
      <w:r w:rsidR="00F679D5" w:rsidRPr="00A70D5E">
        <w:rPr>
          <w:rFonts w:ascii="ITC Avant Garde" w:hAnsi="ITC Avant Garde"/>
          <w:b/>
        </w:rPr>
        <w:t>Parámetros de operación</w:t>
      </w:r>
    </w:p>
    <w:p w14:paraId="0E5BCB98" w14:textId="77777777" w:rsidR="00F679D5" w:rsidRPr="00DF438D" w:rsidRDefault="00F679D5" w:rsidP="00F679D5">
      <w:pPr>
        <w:pStyle w:val="Prrafodelista"/>
        <w:spacing w:after="0" w:line="240" w:lineRule="auto"/>
        <w:ind w:left="567"/>
        <w:jc w:val="both"/>
        <w:rPr>
          <w:rFonts w:ascii="ITC Avant Garde" w:hAnsi="ITC Avant Garde"/>
          <w:b/>
        </w:rPr>
      </w:pPr>
    </w:p>
    <w:p w14:paraId="729E4F6C" w14:textId="2A95553E" w:rsidR="00F679D5" w:rsidRDefault="00F679D5" w:rsidP="00F679D5">
      <w:pPr>
        <w:spacing w:after="0" w:line="240" w:lineRule="auto"/>
        <w:jc w:val="both"/>
        <w:rPr>
          <w:rFonts w:ascii="ITC Avant Garde" w:hAnsi="ITC Avant Garde"/>
        </w:rPr>
      </w:pPr>
      <w:r w:rsidRPr="006F3CEC">
        <w:rPr>
          <w:rFonts w:ascii="ITC Avant Garde" w:hAnsi="ITC Avant Garde"/>
        </w:rPr>
        <w:t xml:space="preserve">Adicionalmente a las restricciones técnicas que se adopten para la convivencia de las redes privadas 5G con el SFS y el SAI, se prevé que, para diferentes características técnicas se establezcan valores de operación que no limiten el despliegue de las redes privadas 5G, pero que complementen las restricciones técnicas para evitar interferencias perjudiciales. Para ello, se tomó en consideración la regulación de Australia, Brasil, Canadá, Chile, Estados Unidos (E.E.U.U.), Reino Unido y Singapur, con la finalidad de conocer lo que toman en cuenta para la regulación de las redes privadas 5G. En la </w:t>
      </w:r>
      <w:r w:rsidR="004948DE">
        <w:rPr>
          <w:rFonts w:ascii="ITC Avant Garde" w:hAnsi="ITC Avant Garde"/>
        </w:rPr>
        <w:t>tabla siguiente</w:t>
      </w:r>
      <w:r w:rsidRPr="006F3CEC">
        <w:rPr>
          <w:rFonts w:ascii="ITC Avant Garde" w:hAnsi="ITC Avant Garde"/>
        </w:rPr>
        <w:t xml:space="preserve">, se muestra si los países antes citados contemplan o no, diversos </w:t>
      </w:r>
      <w:r w:rsidRPr="006F3CEC" w:rsidDel="001476D7">
        <w:rPr>
          <w:rFonts w:ascii="ITC Avant Garde" w:hAnsi="ITC Avant Garde"/>
        </w:rPr>
        <w:t>parámetros</w:t>
      </w:r>
      <w:r w:rsidRPr="006F3CEC">
        <w:rPr>
          <w:rFonts w:ascii="ITC Avant Garde" w:hAnsi="ITC Avant Garde"/>
        </w:rPr>
        <w:t xml:space="preserve"> técnicos en la gestión de redes privadas 5G</w:t>
      </w:r>
      <w:r w:rsidR="004948DE">
        <w:rPr>
          <w:rFonts w:ascii="ITC Avant Garde" w:hAnsi="ITC Avant Garde"/>
        </w:rPr>
        <w:t>:</w:t>
      </w:r>
    </w:p>
    <w:p w14:paraId="163A37ED" w14:textId="19BB0DB7" w:rsidR="00F679D5" w:rsidRPr="00DF438D" w:rsidRDefault="00F679D5" w:rsidP="00F679D5">
      <w:pPr>
        <w:pStyle w:val="Descripcin"/>
        <w:keepNext/>
        <w:spacing w:after="0"/>
        <w:jc w:val="center"/>
        <w:rPr>
          <w:rFonts w:ascii="ITC Avant Garde" w:hAnsi="ITC Avant Garde"/>
          <w:i w:val="0"/>
          <w:sz w:val="22"/>
          <w:szCs w:val="22"/>
        </w:rPr>
      </w:pPr>
    </w:p>
    <w:tbl>
      <w:tblPr>
        <w:tblStyle w:val="Tablaconcuadrcula1"/>
        <w:tblW w:w="9634" w:type="dxa"/>
        <w:tblLayout w:type="fixed"/>
        <w:tblLook w:val="04A0" w:firstRow="1" w:lastRow="0" w:firstColumn="1" w:lastColumn="0" w:noHBand="0" w:noVBand="1"/>
      </w:tblPr>
      <w:tblGrid>
        <w:gridCol w:w="1945"/>
        <w:gridCol w:w="1099"/>
        <w:gridCol w:w="1099"/>
        <w:gridCol w:w="1100"/>
        <w:gridCol w:w="1099"/>
        <w:gridCol w:w="1100"/>
        <w:gridCol w:w="1099"/>
        <w:gridCol w:w="1093"/>
      </w:tblGrid>
      <w:tr w:rsidR="00F679D5" w:rsidRPr="00DF438D" w14:paraId="1909E1AA" w14:textId="77777777" w:rsidTr="00015A25">
        <w:trPr>
          <w:tblHeader/>
        </w:trPr>
        <w:tc>
          <w:tcPr>
            <w:tcW w:w="1945" w:type="dxa"/>
            <w:vMerge w:val="restart"/>
            <w:shd w:val="clear" w:color="auto" w:fill="70AD47" w:themeFill="accent6"/>
            <w:hideMark/>
          </w:tcPr>
          <w:p w14:paraId="528046E1" w14:textId="77777777" w:rsidR="00F679D5" w:rsidRPr="00015A25" w:rsidRDefault="00F679D5" w:rsidP="00E94675">
            <w:pPr>
              <w:jc w:val="center"/>
              <w:rPr>
                <w:rFonts w:ascii="ITC Avant Garde" w:hAnsi="ITC Avant Garde"/>
                <w:b/>
                <w:color w:val="FFFFFF" w:themeColor="background1"/>
                <w:sz w:val="18"/>
                <w:szCs w:val="18"/>
              </w:rPr>
            </w:pPr>
            <w:r w:rsidRPr="00015A25">
              <w:rPr>
                <w:rFonts w:ascii="ITC Avant Garde" w:hAnsi="ITC Avant Garde"/>
                <w:b/>
                <w:color w:val="FFFFFF" w:themeColor="background1"/>
                <w:sz w:val="18"/>
                <w:szCs w:val="18"/>
              </w:rPr>
              <w:t>Característica técnica</w:t>
            </w:r>
          </w:p>
        </w:tc>
        <w:tc>
          <w:tcPr>
            <w:tcW w:w="7689" w:type="dxa"/>
            <w:gridSpan w:val="7"/>
            <w:shd w:val="clear" w:color="auto" w:fill="70AD47" w:themeFill="accent6"/>
            <w:hideMark/>
          </w:tcPr>
          <w:p w14:paraId="1E2C0007" w14:textId="77777777" w:rsidR="00F679D5" w:rsidRPr="00015A25" w:rsidRDefault="00F679D5" w:rsidP="00E94675">
            <w:pPr>
              <w:jc w:val="center"/>
              <w:rPr>
                <w:rFonts w:ascii="ITC Avant Garde" w:hAnsi="ITC Avant Garde"/>
                <w:b/>
                <w:color w:val="FFFFFF" w:themeColor="background1"/>
                <w:sz w:val="18"/>
                <w:szCs w:val="18"/>
              </w:rPr>
            </w:pPr>
            <w:r w:rsidRPr="00015A25">
              <w:rPr>
                <w:rFonts w:ascii="ITC Avant Garde" w:hAnsi="ITC Avant Garde"/>
                <w:b/>
                <w:color w:val="FFFFFF" w:themeColor="background1"/>
                <w:sz w:val="18"/>
                <w:szCs w:val="18"/>
              </w:rPr>
              <w:t>País</w:t>
            </w:r>
          </w:p>
        </w:tc>
      </w:tr>
      <w:tr w:rsidR="00F679D5" w:rsidRPr="00DF438D" w14:paraId="2E095D60" w14:textId="77777777" w:rsidTr="00015A25">
        <w:tc>
          <w:tcPr>
            <w:tcW w:w="1945" w:type="dxa"/>
            <w:vMerge/>
            <w:hideMark/>
          </w:tcPr>
          <w:p w14:paraId="2B22F76C" w14:textId="77777777" w:rsidR="00F679D5" w:rsidRPr="00DF438D" w:rsidRDefault="00F679D5" w:rsidP="00E94675">
            <w:pPr>
              <w:rPr>
                <w:rFonts w:ascii="ITC Avant Garde" w:hAnsi="ITC Avant Garde"/>
                <w:sz w:val="18"/>
                <w:szCs w:val="18"/>
              </w:rPr>
            </w:pPr>
          </w:p>
        </w:tc>
        <w:tc>
          <w:tcPr>
            <w:tcW w:w="1099" w:type="dxa"/>
            <w:hideMark/>
          </w:tcPr>
          <w:p w14:paraId="777ABAB4"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E.E.U.U.</w:t>
            </w:r>
            <w:r w:rsidRPr="00DF438D">
              <w:rPr>
                <w:rStyle w:val="Refdenotaalpie"/>
                <w:rFonts w:ascii="ITC Avant Garde" w:hAnsi="ITC Avant Garde"/>
                <w:sz w:val="18"/>
                <w:szCs w:val="18"/>
              </w:rPr>
              <w:footnoteReference w:id="29"/>
            </w:r>
          </w:p>
        </w:tc>
        <w:tc>
          <w:tcPr>
            <w:tcW w:w="1099" w:type="dxa"/>
            <w:hideMark/>
          </w:tcPr>
          <w:p w14:paraId="3A598EBE"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Canadá</w:t>
            </w:r>
            <w:r w:rsidRPr="00DF438D">
              <w:rPr>
                <w:rStyle w:val="Refdenotaalpie"/>
                <w:rFonts w:ascii="ITC Avant Garde" w:hAnsi="ITC Avant Garde"/>
                <w:sz w:val="18"/>
                <w:szCs w:val="18"/>
              </w:rPr>
              <w:footnoteReference w:id="30"/>
            </w:r>
          </w:p>
        </w:tc>
        <w:tc>
          <w:tcPr>
            <w:tcW w:w="1100" w:type="dxa"/>
            <w:hideMark/>
          </w:tcPr>
          <w:p w14:paraId="18C5D289"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Reino Unido</w:t>
            </w:r>
            <w:r w:rsidRPr="00DF438D">
              <w:rPr>
                <w:rStyle w:val="Refdenotaalpie"/>
                <w:rFonts w:ascii="ITC Avant Garde" w:hAnsi="ITC Avant Garde"/>
                <w:sz w:val="18"/>
                <w:szCs w:val="18"/>
              </w:rPr>
              <w:footnoteReference w:id="31"/>
            </w:r>
          </w:p>
        </w:tc>
        <w:tc>
          <w:tcPr>
            <w:tcW w:w="1099" w:type="dxa"/>
            <w:hideMark/>
          </w:tcPr>
          <w:p w14:paraId="782A9E7E" w14:textId="77777777" w:rsidR="00F679D5" w:rsidRPr="00DF438D" w:rsidRDefault="00F679D5" w:rsidP="00E94675">
            <w:pPr>
              <w:jc w:val="center"/>
              <w:rPr>
                <w:rFonts w:ascii="ITC Avant Garde" w:hAnsi="ITC Avant Garde"/>
                <w:b/>
                <w:color w:val="000000" w:themeColor="text1"/>
                <w:sz w:val="18"/>
                <w:szCs w:val="18"/>
              </w:rPr>
            </w:pPr>
            <w:r w:rsidRPr="00DF438D">
              <w:rPr>
                <w:rFonts w:ascii="ITC Avant Garde" w:hAnsi="ITC Avant Garde"/>
                <w:color w:val="000000" w:themeColor="text1"/>
                <w:sz w:val="18"/>
                <w:szCs w:val="18"/>
              </w:rPr>
              <w:t>Brasil</w:t>
            </w:r>
            <w:r w:rsidRPr="00DF438D">
              <w:rPr>
                <w:rStyle w:val="Refdenotaalpie"/>
                <w:rFonts w:ascii="ITC Avant Garde" w:hAnsi="ITC Avant Garde"/>
                <w:color w:val="000000" w:themeColor="text1"/>
                <w:sz w:val="18"/>
                <w:szCs w:val="18"/>
              </w:rPr>
              <w:footnoteReference w:id="32"/>
            </w:r>
          </w:p>
        </w:tc>
        <w:tc>
          <w:tcPr>
            <w:tcW w:w="1100" w:type="dxa"/>
            <w:hideMark/>
          </w:tcPr>
          <w:p w14:paraId="160F47FB"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Chile</w:t>
            </w:r>
            <w:r w:rsidRPr="00DF438D">
              <w:rPr>
                <w:rStyle w:val="Refdenotaalpie"/>
                <w:rFonts w:ascii="ITC Avant Garde" w:hAnsi="ITC Avant Garde"/>
                <w:sz w:val="18"/>
                <w:szCs w:val="18"/>
              </w:rPr>
              <w:footnoteReference w:id="33"/>
            </w:r>
          </w:p>
        </w:tc>
        <w:tc>
          <w:tcPr>
            <w:tcW w:w="1099" w:type="dxa"/>
            <w:hideMark/>
          </w:tcPr>
          <w:p w14:paraId="63491391"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Singapur</w:t>
            </w:r>
            <w:r w:rsidRPr="00DF438D">
              <w:rPr>
                <w:rStyle w:val="Refdenotaalpie"/>
                <w:rFonts w:ascii="ITC Avant Garde" w:hAnsi="ITC Avant Garde"/>
                <w:sz w:val="18"/>
                <w:szCs w:val="18"/>
              </w:rPr>
              <w:footnoteReference w:id="34"/>
            </w:r>
          </w:p>
        </w:tc>
        <w:tc>
          <w:tcPr>
            <w:tcW w:w="1093" w:type="dxa"/>
            <w:hideMark/>
          </w:tcPr>
          <w:p w14:paraId="0580820A" w14:textId="77777777" w:rsidR="00F679D5" w:rsidRPr="00DF438D" w:rsidRDefault="00F679D5" w:rsidP="00E94675">
            <w:pPr>
              <w:jc w:val="center"/>
              <w:rPr>
                <w:rFonts w:ascii="ITC Avant Garde" w:hAnsi="ITC Avant Garde"/>
                <w:b/>
                <w:sz w:val="18"/>
                <w:szCs w:val="18"/>
              </w:rPr>
            </w:pPr>
            <w:r w:rsidRPr="00DF438D">
              <w:rPr>
                <w:rFonts w:ascii="ITC Avant Garde" w:hAnsi="ITC Avant Garde"/>
                <w:sz w:val="18"/>
                <w:szCs w:val="18"/>
              </w:rPr>
              <w:t>Australia</w:t>
            </w:r>
            <w:r w:rsidRPr="00DF438D">
              <w:rPr>
                <w:rStyle w:val="Refdenotaalpie"/>
                <w:rFonts w:ascii="ITC Avant Garde" w:hAnsi="ITC Avant Garde"/>
                <w:sz w:val="18"/>
                <w:szCs w:val="18"/>
              </w:rPr>
              <w:footnoteReference w:id="35"/>
            </w:r>
          </w:p>
        </w:tc>
      </w:tr>
      <w:tr w:rsidR="00F679D5" w:rsidRPr="00DF438D" w14:paraId="29340553" w14:textId="77777777" w:rsidTr="00015A25">
        <w:tc>
          <w:tcPr>
            <w:tcW w:w="1945" w:type="dxa"/>
            <w:hideMark/>
          </w:tcPr>
          <w:p w14:paraId="384FF80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Bandas de frecuencias de operación</w:t>
            </w:r>
          </w:p>
        </w:tc>
        <w:tc>
          <w:tcPr>
            <w:tcW w:w="1099" w:type="dxa"/>
            <w:hideMark/>
          </w:tcPr>
          <w:p w14:paraId="6EEA06D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2314729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100" w:type="dxa"/>
            <w:hideMark/>
          </w:tcPr>
          <w:p w14:paraId="627BFB37"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49616551"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3878A35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071E8B4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3" w:type="dxa"/>
            <w:hideMark/>
          </w:tcPr>
          <w:p w14:paraId="39D1303A"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r>
      <w:tr w:rsidR="00F679D5" w:rsidRPr="00DF438D" w14:paraId="7CE186BA" w14:textId="77777777" w:rsidTr="00015A25">
        <w:tc>
          <w:tcPr>
            <w:tcW w:w="1945" w:type="dxa"/>
            <w:hideMark/>
          </w:tcPr>
          <w:p w14:paraId="4BBD1C57"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Ancho de banda de canal</w:t>
            </w:r>
          </w:p>
        </w:tc>
        <w:tc>
          <w:tcPr>
            <w:tcW w:w="1099" w:type="dxa"/>
            <w:hideMark/>
          </w:tcPr>
          <w:p w14:paraId="30F5119E"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44B1B65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100" w:type="dxa"/>
            <w:hideMark/>
          </w:tcPr>
          <w:p w14:paraId="70ACD63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31A2AEB5"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49152E8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4CA76DB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3" w:type="dxa"/>
            <w:hideMark/>
          </w:tcPr>
          <w:p w14:paraId="4E2858BF"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r>
      <w:tr w:rsidR="00F679D5" w:rsidRPr="00DF438D" w14:paraId="2FF9B785" w14:textId="77777777" w:rsidTr="00015A25">
        <w:tc>
          <w:tcPr>
            <w:tcW w:w="1945" w:type="dxa"/>
            <w:hideMark/>
          </w:tcPr>
          <w:p w14:paraId="72FA8A9F"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Sincronización</w:t>
            </w:r>
          </w:p>
        </w:tc>
        <w:tc>
          <w:tcPr>
            <w:tcW w:w="1099" w:type="dxa"/>
            <w:hideMark/>
          </w:tcPr>
          <w:p w14:paraId="10A4FC1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24688BE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59CAD1B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54DC1BF1"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1B28CAD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6F9546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26268CF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3984CBA7" w14:textId="77777777" w:rsidTr="00015A25">
        <w:tc>
          <w:tcPr>
            <w:tcW w:w="1945" w:type="dxa"/>
            <w:hideMark/>
          </w:tcPr>
          <w:p w14:paraId="1A02251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lastRenderedPageBreak/>
              <w:t>Altura de la antena de la estación base</w:t>
            </w:r>
          </w:p>
        </w:tc>
        <w:tc>
          <w:tcPr>
            <w:tcW w:w="1099" w:type="dxa"/>
            <w:hideMark/>
          </w:tcPr>
          <w:p w14:paraId="5F567B1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3BBF12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2C1E2A1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1C40DF64"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7FC6B38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4E3193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174B2987"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5695E4DC" w14:textId="77777777" w:rsidTr="00015A25">
        <w:tc>
          <w:tcPr>
            <w:tcW w:w="1945" w:type="dxa"/>
            <w:hideMark/>
          </w:tcPr>
          <w:p w14:paraId="36859492"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Ángulo de elevación (tilt) para la antena de la estación base</w:t>
            </w:r>
          </w:p>
        </w:tc>
        <w:tc>
          <w:tcPr>
            <w:tcW w:w="1099" w:type="dxa"/>
            <w:hideMark/>
          </w:tcPr>
          <w:p w14:paraId="3DA162C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73575FE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7A072B8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01E021D"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1A43AFD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31BD590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480DDAF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120917BA" w14:textId="77777777" w:rsidTr="00015A25">
        <w:tc>
          <w:tcPr>
            <w:tcW w:w="1945" w:type="dxa"/>
            <w:hideMark/>
          </w:tcPr>
          <w:p w14:paraId="4F79AF6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Ganancia de antena de la estación base</w:t>
            </w:r>
          </w:p>
        </w:tc>
        <w:tc>
          <w:tcPr>
            <w:tcW w:w="1099" w:type="dxa"/>
            <w:hideMark/>
          </w:tcPr>
          <w:p w14:paraId="0A4BCAD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8B105E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5A3B3A9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2D429E80"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6FC7557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4D267C37"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587816A2"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2666440A" w14:textId="77777777" w:rsidTr="00015A25">
        <w:tc>
          <w:tcPr>
            <w:tcW w:w="1945" w:type="dxa"/>
            <w:hideMark/>
          </w:tcPr>
          <w:p w14:paraId="01DFEA0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Ganancia de antena de la terminal móvil</w:t>
            </w:r>
          </w:p>
        </w:tc>
        <w:tc>
          <w:tcPr>
            <w:tcW w:w="1099" w:type="dxa"/>
            <w:hideMark/>
          </w:tcPr>
          <w:p w14:paraId="0620DB0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357EFA3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63516DE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45F128DB"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4FB92469"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CB6BB9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59477BD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1AE7C0FB" w14:textId="77777777" w:rsidTr="00015A25">
        <w:tc>
          <w:tcPr>
            <w:tcW w:w="1945" w:type="dxa"/>
            <w:hideMark/>
          </w:tcPr>
          <w:p w14:paraId="3C4D0D2C"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Potencia de transmisión para la estación base</w:t>
            </w:r>
          </w:p>
        </w:tc>
        <w:tc>
          <w:tcPr>
            <w:tcW w:w="1099" w:type="dxa"/>
            <w:hideMark/>
          </w:tcPr>
          <w:p w14:paraId="72FF2D2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4273CE5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6FBEC63A"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4C77FE2"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7481A849"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2D21F8A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0B4CC329"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4BDF54B1" w14:textId="77777777" w:rsidTr="00015A25">
        <w:trPr>
          <w:trHeight w:val="350"/>
        </w:trPr>
        <w:tc>
          <w:tcPr>
            <w:tcW w:w="1945" w:type="dxa"/>
            <w:hideMark/>
          </w:tcPr>
          <w:p w14:paraId="47E322C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PIRE para la estación base</w:t>
            </w:r>
          </w:p>
        </w:tc>
        <w:tc>
          <w:tcPr>
            <w:tcW w:w="1099" w:type="dxa"/>
            <w:hideMark/>
          </w:tcPr>
          <w:p w14:paraId="6FBA95C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099" w:type="dxa"/>
            <w:hideMark/>
          </w:tcPr>
          <w:p w14:paraId="6410801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Sí</w:t>
            </w:r>
          </w:p>
        </w:tc>
        <w:tc>
          <w:tcPr>
            <w:tcW w:w="1100" w:type="dxa"/>
            <w:hideMark/>
          </w:tcPr>
          <w:p w14:paraId="680F680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32175ED7"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459E26B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5F3FEE5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32A7010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2E963041" w14:textId="77777777" w:rsidTr="00015A25">
        <w:tc>
          <w:tcPr>
            <w:tcW w:w="1945" w:type="dxa"/>
            <w:hideMark/>
          </w:tcPr>
          <w:p w14:paraId="51C0DA6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Potencia de transmisión para la terminal móvil</w:t>
            </w:r>
          </w:p>
        </w:tc>
        <w:tc>
          <w:tcPr>
            <w:tcW w:w="1099" w:type="dxa"/>
            <w:hideMark/>
          </w:tcPr>
          <w:p w14:paraId="6E875B8F"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59D07B5A"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2E19160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36E8DFE"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134A0A6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A7D4BE3"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53D507B9"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0237BA95" w14:textId="77777777" w:rsidTr="00015A25">
        <w:tc>
          <w:tcPr>
            <w:tcW w:w="1945" w:type="dxa"/>
            <w:hideMark/>
          </w:tcPr>
          <w:p w14:paraId="52C6049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PIRE para la terminal móvil</w:t>
            </w:r>
          </w:p>
        </w:tc>
        <w:tc>
          <w:tcPr>
            <w:tcW w:w="1099" w:type="dxa"/>
            <w:hideMark/>
          </w:tcPr>
          <w:p w14:paraId="11AB83B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7BE9531A"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41261929"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6DA01887"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Sí</w:t>
            </w:r>
          </w:p>
        </w:tc>
        <w:tc>
          <w:tcPr>
            <w:tcW w:w="1100" w:type="dxa"/>
            <w:hideMark/>
          </w:tcPr>
          <w:p w14:paraId="31D9DCB1"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DF450A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70C64AF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26847C2D" w14:textId="77777777" w:rsidTr="00015A25">
        <w:tc>
          <w:tcPr>
            <w:tcW w:w="1945" w:type="dxa"/>
            <w:hideMark/>
          </w:tcPr>
          <w:p w14:paraId="2EFDA48C"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Máscara de emisión para la estación base</w:t>
            </w:r>
          </w:p>
        </w:tc>
        <w:tc>
          <w:tcPr>
            <w:tcW w:w="1099" w:type="dxa"/>
            <w:hideMark/>
          </w:tcPr>
          <w:p w14:paraId="539E4E1A"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7B27119C"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24DB8988"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537E3A0"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1C2433F7"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33EA3F1B"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3C83C760"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r w:rsidR="00F679D5" w:rsidRPr="00DF438D" w14:paraId="7A050C2E" w14:textId="77777777" w:rsidTr="00015A25">
        <w:tc>
          <w:tcPr>
            <w:tcW w:w="1945" w:type="dxa"/>
            <w:hideMark/>
          </w:tcPr>
          <w:p w14:paraId="439C9D12"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Máscara de emisión para la terminal móvil</w:t>
            </w:r>
          </w:p>
        </w:tc>
        <w:tc>
          <w:tcPr>
            <w:tcW w:w="1099" w:type="dxa"/>
            <w:hideMark/>
          </w:tcPr>
          <w:p w14:paraId="6A428365"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14B79AF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100" w:type="dxa"/>
            <w:hideMark/>
          </w:tcPr>
          <w:p w14:paraId="62C02D46"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0195BDD6" w14:textId="77777777" w:rsidR="00F679D5" w:rsidRPr="00DF438D" w:rsidRDefault="00F679D5" w:rsidP="00E94675">
            <w:pPr>
              <w:jc w:val="center"/>
              <w:rPr>
                <w:rFonts w:ascii="ITC Avant Garde" w:hAnsi="ITC Avant Garde"/>
                <w:color w:val="000000" w:themeColor="text1"/>
                <w:sz w:val="18"/>
                <w:szCs w:val="18"/>
              </w:rPr>
            </w:pPr>
            <w:r w:rsidRPr="00DF438D">
              <w:rPr>
                <w:rFonts w:ascii="ITC Avant Garde" w:hAnsi="ITC Avant Garde"/>
                <w:color w:val="000000" w:themeColor="text1"/>
                <w:sz w:val="18"/>
                <w:szCs w:val="18"/>
              </w:rPr>
              <w:t>No</w:t>
            </w:r>
          </w:p>
        </w:tc>
        <w:tc>
          <w:tcPr>
            <w:tcW w:w="1100" w:type="dxa"/>
            <w:hideMark/>
          </w:tcPr>
          <w:p w14:paraId="68A06154"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9" w:type="dxa"/>
            <w:hideMark/>
          </w:tcPr>
          <w:p w14:paraId="6BC2C242"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c>
          <w:tcPr>
            <w:tcW w:w="1093" w:type="dxa"/>
            <w:hideMark/>
          </w:tcPr>
          <w:p w14:paraId="29A3551D" w14:textId="77777777" w:rsidR="00F679D5" w:rsidRPr="00DF438D" w:rsidRDefault="00F679D5" w:rsidP="00E94675">
            <w:pPr>
              <w:jc w:val="center"/>
              <w:rPr>
                <w:rFonts w:ascii="ITC Avant Garde" w:hAnsi="ITC Avant Garde"/>
                <w:sz w:val="18"/>
                <w:szCs w:val="18"/>
              </w:rPr>
            </w:pPr>
            <w:r w:rsidRPr="00DF438D">
              <w:rPr>
                <w:rFonts w:ascii="ITC Avant Garde" w:hAnsi="ITC Avant Garde"/>
                <w:sz w:val="18"/>
                <w:szCs w:val="18"/>
              </w:rPr>
              <w:t>No</w:t>
            </w:r>
          </w:p>
        </w:tc>
      </w:tr>
    </w:tbl>
    <w:p w14:paraId="2EB127F7" w14:textId="77777777" w:rsidR="00F679D5" w:rsidRPr="006F3CEC" w:rsidRDefault="00F679D5" w:rsidP="00F679D5">
      <w:pPr>
        <w:spacing w:after="0" w:line="240" w:lineRule="auto"/>
        <w:rPr>
          <w:rFonts w:ascii="ITC Avant Garde" w:hAnsi="ITC Avant Garde"/>
        </w:rPr>
      </w:pPr>
    </w:p>
    <w:p w14:paraId="5D56EDE5" w14:textId="64DB2337" w:rsidR="00F679D5" w:rsidRDefault="00BC7D4C" w:rsidP="00F679D5">
      <w:pPr>
        <w:spacing w:after="0" w:line="240" w:lineRule="auto"/>
        <w:jc w:val="both"/>
        <w:rPr>
          <w:rFonts w:ascii="ITC Avant Garde" w:hAnsi="ITC Avant Garde"/>
        </w:rPr>
      </w:pPr>
      <w:r>
        <w:rPr>
          <w:rFonts w:ascii="ITC Avant Garde" w:hAnsi="ITC Avant Garde"/>
        </w:rPr>
        <w:t>Se</w:t>
      </w:r>
      <w:r w:rsidR="00F679D5" w:rsidRPr="006F3CEC">
        <w:rPr>
          <w:rFonts w:ascii="ITC Avant Garde" w:hAnsi="ITC Avant Garde"/>
        </w:rPr>
        <w:t xml:space="preserve"> puede observar que, son pocos los países que consideran los parámetros técnicos de operación para la regulación de las redes privadas 5G; esto porque en mayor medida se favorece la flexibilidad en su despliegue y operación. No obstante, en todos los países, la(s) bandas(s) de frecuencias designada(s) para la operación de redes privadas 5G no se comparten con otros servicios de radiocomunicaciones, a diferencia de lo que ocurre en México. Por ello, se propone que como complemento a las restricciones de operación que se definan para la convivencia con el SFS y el SAI, también se establezcan límites para ciertos parámetros de operación de las redes privadas 5G, las cuales contribuyan a disminuir la probabilidad de interferencias perjudiciales. Entre dichos parámetros se proponen las siguientes:</w:t>
      </w:r>
    </w:p>
    <w:p w14:paraId="6AF148C0" w14:textId="77777777" w:rsidR="00F679D5" w:rsidRPr="006F3CEC" w:rsidRDefault="00F679D5" w:rsidP="00F679D5">
      <w:pPr>
        <w:spacing w:after="0" w:line="240" w:lineRule="auto"/>
        <w:jc w:val="both"/>
        <w:rPr>
          <w:rFonts w:ascii="ITC Avant Garde" w:hAnsi="ITC Avant Garde"/>
        </w:rPr>
      </w:pPr>
    </w:p>
    <w:p w14:paraId="4580D06E" w14:textId="77777777" w:rsidR="00F679D5" w:rsidRDefault="00F679D5" w:rsidP="00F679D5">
      <w:pPr>
        <w:pStyle w:val="Prrafodelista"/>
        <w:numPr>
          <w:ilvl w:val="0"/>
          <w:numId w:val="11"/>
        </w:numPr>
        <w:spacing w:after="0" w:line="240" w:lineRule="auto"/>
        <w:ind w:left="567" w:hanging="567"/>
        <w:jc w:val="both"/>
        <w:rPr>
          <w:rFonts w:ascii="ITC Avant Garde" w:hAnsi="ITC Avant Garde"/>
        </w:rPr>
      </w:pPr>
      <w:proofErr w:type="gramStart"/>
      <w:r w:rsidRPr="006F3CEC">
        <w:rPr>
          <w:rFonts w:ascii="ITC Avant Garde" w:hAnsi="ITC Avant Garde"/>
        </w:rPr>
        <w:lastRenderedPageBreak/>
        <w:t>PIRE máxima</w:t>
      </w:r>
      <w:proofErr w:type="gramEnd"/>
      <w:r w:rsidRPr="006F3CEC">
        <w:rPr>
          <w:rFonts w:ascii="ITC Avant Garde" w:hAnsi="ITC Avant Garde"/>
        </w:rPr>
        <w:t xml:space="preserve"> para la estación base y la terminal móvil. Diferentes valores de PIRE máxima para la estación base en ambientes </w:t>
      </w:r>
      <w:proofErr w:type="spellStart"/>
      <w:r w:rsidRPr="006F3CEC">
        <w:rPr>
          <w:rFonts w:ascii="ITC Avant Garde" w:hAnsi="ITC Avant Garde"/>
          <w:i/>
        </w:rPr>
        <w:t>outdoor</w:t>
      </w:r>
      <w:proofErr w:type="spellEnd"/>
      <w:r w:rsidRPr="006F3CEC">
        <w:rPr>
          <w:rFonts w:ascii="ITC Avant Garde" w:hAnsi="ITC Avant Garde"/>
        </w:rPr>
        <w:t xml:space="preserve"> e </w:t>
      </w:r>
      <w:proofErr w:type="spellStart"/>
      <w:r w:rsidRPr="006F3CEC">
        <w:rPr>
          <w:rFonts w:ascii="ITC Avant Garde" w:hAnsi="ITC Avant Garde"/>
          <w:i/>
        </w:rPr>
        <w:t>indoor</w:t>
      </w:r>
      <w:proofErr w:type="spellEnd"/>
      <w:r w:rsidRPr="006F3CEC">
        <w:rPr>
          <w:rFonts w:ascii="ITC Avant Garde" w:hAnsi="ITC Avant Garde"/>
        </w:rPr>
        <w:t>, los cuales permitan el despliegue de las redes privadas 5G en ambos ambientes, mientras que la PIRE máxima para la terminal móvil sea aquella recomendada por el 3GPP</w:t>
      </w:r>
      <w:r w:rsidRPr="006F3CEC">
        <w:rPr>
          <w:rStyle w:val="Refdenotaalpie"/>
          <w:rFonts w:ascii="ITC Avant Garde" w:hAnsi="ITC Avant Garde"/>
        </w:rPr>
        <w:footnoteReference w:id="36"/>
      </w:r>
      <w:r w:rsidRPr="006F3CEC">
        <w:rPr>
          <w:rFonts w:ascii="ITC Avant Garde" w:hAnsi="ITC Avant Garde"/>
        </w:rPr>
        <w:t xml:space="preserve"> para la o las bandas de frecuencias de operación establecidas.</w:t>
      </w:r>
    </w:p>
    <w:p w14:paraId="79C8EE57" w14:textId="77777777" w:rsidR="00F679D5" w:rsidRPr="006F3CEC" w:rsidRDefault="00F679D5" w:rsidP="00F679D5">
      <w:pPr>
        <w:pStyle w:val="Prrafodelista"/>
        <w:spacing w:after="0" w:line="240" w:lineRule="auto"/>
        <w:ind w:left="567"/>
        <w:jc w:val="both"/>
        <w:rPr>
          <w:rFonts w:ascii="ITC Avant Garde" w:hAnsi="ITC Avant Garde"/>
        </w:rPr>
      </w:pPr>
    </w:p>
    <w:p w14:paraId="2C6C6C67" w14:textId="77777777" w:rsidR="00F679D5" w:rsidRDefault="00F679D5" w:rsidP="00F679D5">
      <w:pPr>
        <w:pStyle w:val="Prrafodelista"/>
        <w:numPr>
          <w:ilvl w:val="0"/>
          <w:numId w:val="11"/>
        </w:numPr>
        <w:spacing w:after="0" w:line="240" w:lineRule="auto"/>
        <w:ind w:left="567" w:hanging="567"/>
        <w:jc w:val="both"/>
        <w:rPr>
          <w:rFonts w:ascii="ITC Avant Garde" w:hAnsi="ITC Avant Garde"/>
        </w:rPr>
      </w:pPr>
      <w:r w:rsidRPr="006F3CEC">
        <w:rPr>
          <w:rFonts w:ascii="ITC Avant Garde" w:hAnsi="ITC Avant Garde"/>
        </w:rPr>
        <w:t>Altura y ángulo de elevación vertical (tilt) de la antena de la estación base. Con la finalidad de evitar que las emisiones provenientes de las redes privadas 5G interfieran a otros servicios de radiocomunicaciones.</w:t>
      </w:r>
    </w:p>
    <w:p w14:paraId="56877B5E" w14:textId="77777777" w:rsidR="00F679D5" w:rsidRPr="00DF438D" w:rsidRDefault="00F679D5" w:rsidP="00F679D5">
      <w:pPr>
        <w:pStyle w:val="Prrafodelista"/>
        <w:rPr>
          <w:rFonts w:ascii="ITC Avant Garde" w:hAnsi="ITC Avant Garde"/>
        </w:rPr>
      </w:pPr>
    </w:p>
    <w:p w14:paraId="269497B9" w14:textId="77777777" w:rsidR="00F679D5" w:rsidRDefault="00F679D5" w:rsidP="00F679D5">
      <w:pPr>
        <w:pStyle w:val="Prrafodelista"/>
        <w:numPr>
          <w:ilvl w:val="0"/>
          <w:numId w:val="11"/>
        </w:numPr>
        <w:spacing w:after="0" w:line="240" w:lineRule="auto"/>
        <w:ind w:left="567" w:hanging="567"/>
        <w:jc w:val="both"/>
        <w:rPr>
          <w:rFonts w:ascii="ITC Avant Garde" w:hAnsi="ITC Avant Garde"/>
        </w:rPr>
      </w:pPr>
      <w:r w:rsidRPr="007E1D89">
        <w:rPr>
          <w:rFonts w:ascii="ITC Avant Garde" w:hAnsi="ITC Avant Garde"/>
        </w:rPr>
        <w:t>Máscaras de emisión para la estación base y la terminal móvil. Se recomiendan que sean las máscaras de emisión más restrictivas que establezcan organismos de estandarización a nivel internacional, como el 3GPP o ETSI</w:t>
      </w:r>
      <w:r w:rsidRPr="006F3CEC">
        <w:rPr>
          <w:rStyle w:val="Refdenotaalpie"/>
          <w:rFonts w:ascii="ITC Avant Garde" w:hAnsi="ITC Avant Garde"/>
        </w:rPr>
        <w:footnoteReference w:id="37"/>
      </w:r>
      <w:r w:rsidRPr="007E1D89">
        <w:rPr>
          <w:rFonts w:ascii="ITC Avant Garde" w:hAnsi="ITC Avant Garde"/>
        </w:rPr>
        <w:t>, para no afectar a los usuarios del espectro que operen en bandas de frecuencias adyacentes. Con ello, se busca asegurar la convivencia entre las redes privadas con el SFS, el SAI y las propias redes privadas, especialmente si se considera operar con esquemas de sincronización distintos. Para ello, se recomienda que los interesados en operar redes privadas 5G, sólo lo hagan con equipos certificados de homologación emitidos por el IFT, cuyo proceso haya validado que dichos equipos fueron diseñados con tales máscaras de emisión.</w:t>
      </w:r>
    </w:p>
    <w:p w14:paraId="2D8D4E21" w14:textId="77777777" w:rsidR="00F679D5" w:rsidRPr="007E1D89" w:rsidRDefault="00F679D5" w:rsidP="00F679D5">
      <w:pPr>
        <w:pStyle w:val="Prrafodelista"/>
        <w:spacing w:after="0" w:line="240" w:lineRule="auto"/>
        <w:rPr>
          <w:rFonts w:ascii="ITC Avant Garde" w:hAnsi="ITC Avant Garde"/>
        </w:rPr>
      </w:pPr>
    </w:p>
    <w:p w14:paraId="20FB0B20" w14:textId="77777777" w:rsidR="00F679D5" w:rsidRPr="006F3CEC" w:rsidRDefault="00F679D5" w:rsidP="00F679D5">
      <w:pPr>
        <w:spacing w:after="0" w:line="240" w:lineRule="auto"/>
        <w:jc w:val="both"/>
        <w:rPr>
          <w:rFonts w:ascii="ITC Avant Garde" w:hAnsi="ITC Avant Garde"/>
        </w:rPr>
      </w:pPr>
      <w:r w:rsidRPr="006F3CEC">
        <w:rPr>
          <w:rFonts w:ascii="ITC Avant Garde" w:hAnsi="ITC Avant Garde"/>
        </w:rPr>
        <w:t>Cabe mencionar que, en el caso del ancho de banda de canal, a diferencia de los países mencionados anteriormente, en donde la mayoría de las administraciones son las encargadas de asignar el espectro para la operación de redes privadas 5G, se prevé que el espectro para la operación de redes privadas sea proporcionado por un proveedor de capacidad. De esta forma, el ancho de banda de canal dependerá de la aplicación, las necesidades de comunicación y del espectro disponible que el proveedor de capacidad tenga disponible en la zona de operación de la red, bajo lo cual, no se considera conveniente hacer una propuesta relativa a una restricción del ancho de banda de canal.</w:t>
      </w:r>
    </w:p>
    <w:p w14:paraId="67D4EA0C" w14:textId="77777777" w:rsidR="00F679D5" w:rsidRDefault="00F679D5" w:rsidP="00D25CD5">
      <w:pPr>
        <w:spacing w:after="0" w:line="240" w:lineRule="auto"/>
        <w:rPr>
          <w:rFonts w:ascii="ITC Avant Garde" w:hAnsi="ITC Avant Garde"/>
        </w:rPr>
      </w:pPr>
    </w:p>
    <w:p w14:paraId="500A70BC" w14:textId="7C6A7F74" w:rsidR="003D712B" w:rsidRDefault="003D712B" w:rsidP="003E45DE">
      <w:pPr>
        <w:pStyle w:val="Prrafodelista"/>
        <w:numPr>
          <w:ilvl w:val="0"/>
          <w:numId w:val="16"/>
        </w:numPr>
        <w:spacing w:after="0" w:line="240" w:lineRule="auto"/>
        <w:ind w:left="284" w:hanging="284"/>
        <w:jc w:val="both"/>
        <w:rPr>
          <w:rFonts w:ascii="ITC Avant Garde" w:eastAsia="Times New Roman" w:hAnsi="ITC Avant Garde" w:cs="Arial"/>
          <w:b/>
          <w:color w:val="939F27"/>
          <w:sz w:val="26"/>
          <w:szCs w:val="26"/>
        </w:rPr>
      </w:pPr>
      <w:r w:rsidRPr="003E45DE">
        <w:rPr>
          <w:rFonts w:ascii="ITC Avant Garde" w:eastAsia="Times New Roman" w:hAnsi="ITC Avant Garde" w:cs="Arial"/>
          <w:b/>
          <w:color w:val="939F27"/>
          <w:sz w:val="26"/>
          <w:szCs w:val="26"/>
        </w:rPr>
        <w:t>Glosario de términos y acrónimos</w:t>
      </w:r>
    </w:p>
    <w:p w14:paraId="5DDE2080" w14:textId="77777777" w:rsidR="00C758E5" w:rsidRPr="00DF438D" w:rsidRDefault="00C758E5" w:rsidP="00C758E5">
      <w:pPr>
        <w:pStyle w:val="Prrafodelista"/>
        <w:spacing w:after="0" w:line="240" w:lineRule="auto"/>
        <w:ind w:left="612"/>
        <w:rPr>
          <w:rFonts w:ascii="ITC Avant Garde" w:hAnsi="ITC Avant Garde"/>
          <w:b/>
        </w:rPr>
      </w:pPr>
    </w:p>
    <w:tbl>
      <w:tblPr>
        <w:tblStyle w:val="Tablaconcuadrcula4"/>
        <w:tblpPr w:leftFromText="141" w:rightFromText="141" w:vertAnchor="text" w:horzAnchor="page" w:tblpX="2500" w:tblpY="77"/>
        <w:tblW w:w="0" w:type="auto"/>
        <w:tblLook w:val="04A0" w:firstRow="1" w:lastRow="0" w:firstColumn="1" w:lastColumn="0" w:noHBand="0" w:noVBand="1"/>
      </w:tblPr>
      <w:tblGrid>
        <w:gridCol w:w="3119"/>
        <w:gridCol w:w="4389"/>
      </w:tblGrid>
      <w:tr w:rsidR="00C758E5" w:rsidRPr="0005746B" w14:paraId="3F3C3307" w14:textId="77777777" w:rsidTr="00742409">
        <w:tc>
          <w:tcPr>
            <w:tcW w:w="3119" w:type="dxa"/>
            <w:shd w:val="clear" w:color="auto" w:fill="70AD47" w:themeFill="accent6"/>
          </w:tcPr>
          <w:p w14:paraId="2D91A664" w14:textId="77777777" w:rsidR="00C758E5" w:rsidRPr="00015A25" w:rsidRDefault="00C758E5" w:rsidP="00E94675">
            <w:pPr>
              <w:jc w:val="center"/>
              <w:rPr>
                <w:rFonts w:cstheme="minorHAnsi"/>
                <w:b/>
                <w:color w:val="FFFFFF" w:themeColor="background1"/>
              </w:rPr>
            </w:pPr>
            <w:r w:rsidRPr="00015A25">
              <w:rPr>
                <w:rFonts w:cstheme="minorHAnsi"/>
                <w:b/>
                <w:color w:val="FFFFFF" w:themeColor="background1"/>
              </w:rPr>
              <w:t>Acrónimos y referencias</w:t>
            </w:r>
          </w:p>
        </w:tc>
        <w:tc>
          <w:tcPr>
            <w:tcW w:w="4389" w:type="dxa"/>
            <w:shd w:val="clear" w:color="auto" w:fill="70AD47" w:themeFill="accent6"/>
          </w:tcPr>
          <w:p w14:paraId="47A926A4" w14:textId="77777777" w:rsidR="00C758E5" w:rsidRPr="00015A25" w:rsidRDefault="00C758E5" w:rsidP="00E94675">
            <w:pPr>
              <w:jc w:val="center"/>
              <w:rPr>
                <w:rFonts w:cstheme="minorHAnsi"/>
                <w:b/>
                <w:color w:val="FFFFFF" w:themeColor="background1"/>
              </w:rPr>
            </w:pPr>
            <w:r w:rsidRPr="00015A25">
              <w:rPr>
                <w:rFonts w:cstheme="minorHAnsi"/>
                <w:b/>
                <w:color w:val="FFFFFF" w:themeColor="background1"/>
              </w:rPr>
              <w:t>Significado</w:t>
            </w:r>
          </w:p>
        </w:tc>
      </w:tr>
      <w:tr w:rsidR="00C758E5" w:rsidRPr="0005746B" w14:paraId="2C93E5FB" w14:textId="77777777" w:rsidTr="00742409">
        <w:tc>
          <w:tcPr>
            <w:tcW w:w="3119" w:type="dxa"/>
          </w:tcPr>
          <w:p w14:paraId="037E5808" w14:textId="74371F3C" w:rsidR="00C758E5" w:rsidRPr="00A021B8" w:rsidRDefault="00AC55B3" w:rsidP="00015A25">
            <w:pPr>
              <w:jc w:val="both"/>
              <w:rPr>
                <w:rFonts w:cstheme="minorHAnsi"/>
              </w:rPr>
            </w:pPr>
            <w:r>
              <w:rPr>
                <w:rFonts w:cstheme="minorHAnsi"/>
              </w:rPr>
              <w:t>Acceso Inalámbrico</w:t>
            </w:r>
          </w:p>
        </w:tc>
        <w:tc>
          <w:tcPr>
            <w:tcW w:w="4389" w:type="dxa"/>
          </w:tcPr>
          <w:p w14:paraId="2103DF22" w14:textId="4CCB291E" w:rsidR="00C758E5" w:rsidRPr="00A021B8" w:rsidRDefault="00AC55B3" w:rsidP="00015A25">
            <w:pPr>
              <w:jc w:val="both"/>
              <w:rPr>
                <w:rFonts w:cstheme="minorHAnsi"/>
              </w:rPr>
            </w:pPr>
            <w:r>
              <w:rPr>
                <w:rFonts w:cstheme="minorHAnsi"/>
              </w:rPr>
              <w:t xml:space="preserve">El enlace radioeléctrico bidireccional entre una red pública de telecomunicaciones y el usuario final, para la transmisión de </w:t>
            </w:r>
            <w:r>
              <w:rPr>
                <w:rFonts w:cstheme="minorHAnsi"/>
              </w:rPr>
              <w:lastRenderedPageBreak/>
              <w:t>signos, señales, escritos, imágenes, video, voz, sonidos, datos o información de cualquier naturaleza.</w:t>
            </w:r>
          </w:p>
        </w:tc>
      </w:tr>
      <w:tr w:rsidR="00AC55B3" w:rsidRPr="0005746B" w14:paraId="3EC38CE4" w14:textId="77777777" w:rsidTr="00742409">
        <w:tc>
          <w:tcPr>
            <w:tcW w:w="3119" w:type="dxa"/>
          </w:tcPr>
          <w:p w14:paraId="16A9662B" w14:textId="50D2C227" w:rsidR="00AC55B3" w:rsidRPr="00A021B8" w:rsidRDefault="00AC55B3" w:rsidP="00AC55B3">
            <w:pPr>
              <w:jc w:val="both"/>
              <w:rPr>
                <w:rFonts w:cstheme="minorHAnsi"/>
              </w:rPr>
            </w:pPr>
            <w:r w:rsidRPr="00A021B8">
              <w:rPr>
                <w:rFonts w:cstheme="minorHAnsi"/>
              </w:rPr>
              <w:lastRenderedPageBreak/>
              <w:t>Banda de frecuencias</w:t>
            </w:r>
          </w:p>
        </w:tc>
        <w:tc>
          <w:tcPr>
            <w:tcW w:w="4389" w:type="dxa"/>
          </w:tcPr>
          <w:p w14:paraId="7BC13963" w14:textId="406F233E" w:rsidR="00AC55B3" w:rsidRPr="00A021B8" w:rsidRDefault="00AC55B3" w:rsidP="00AC55B3">
            <w:pPr>
              <w:jc w:val="both"/>
              <w:rPr>
                <w:rFonts w:cstheme="minorHAnsi"/>
              </w:rPr>
            </w:pPr>
            <w:r w:rsidRPr="00A021B8">
              <w:rPr>
                <w:rFonts w:cstheme="minorHAnsi"/>
              </w:rPr>
              <w:t>Porción del espectro radioeléctrico comprendido entre dos frecuencias determinadas</w:t>
            </w:r>
            <w:r>
              <w:rPr>
                <w:rFonts w:cstheme="minorHAnsi"/>
              </w:rPr>
              <w:t>.</w:t>
            </w:r>
          </w:p>
        </w:tc>
      </w:tr>
      <w:tr w:rsidR="00AC55B3" w:rsidRPr="0005746B" w14:paraId="127EB466" w14:textId="77777777" w:rsidTr="00742409">
        <w:tc>
          <w:tcPr>
            <w:tcW w:w="3119" w:type="dxa"/>
          </w:tcPr>
          <w:p w14:paraId="40EAA4BA" w14:textId="77777777" w:rsidR="00AC55B3" w:rsidRPr="00A021B8" w:rsidRDefault="00AC55B3" w:rsidP="00AC55B3">
            <w:pPr>
              <w:jc w:val="both"/>
              <w:rPr>
                <w:rFonts w:cstheme="minorHAnsi"/>
              </w:rPr>
            </w:pPr>
            <w:r>
              <w:rPr>
                <w:rFonts w:cstheme="minorHAnsi"/>
              </w:rPr>
              <w:t>CNAF</w:t>
            </w:r>
          </w:p>
        </w:tc>
        <w:tc>
          <w:tcPr>
            <w:tcW w:w="4389" w:type="dxa"/>
          </w:tcPr>
          <w:p w14:paraId="04BE458C" w14:textId="77777777" w:rsidR="00AC55B3" w:rsidRPr="00A021B8" w:rsidRDefault="00AC55B3" w:rsidP="00AC55B3">
            <w:pPr>
              <w:jc w:val="both"/>
              <w:rPr>
                <w:rFonts w:cstheme="minorHAnsi"/>
              </w:rPr>
            </w:pPr>
            <w:r>
              <w:rPr>
                <w:rFonts w:cstheme="minorHAnsi"/>
              </w:rPr>
              <w:t>Cuadro Nacional de Atribución de Frecuencias.</w:t>
            </w:r>
          </w:p>
        </w:tc>
      </w:tr>
      <w:tr w:rsidR="00AC55B3" w:rsidRPr="0005746B" w14:paraId="127E6AAE" w14:textId="77777777" w:rsidTr="00742409">
        <w:tc>
          <w:tcPr>
            <w:tcW w:w="3119" w:type="dxa"/>
          </w:tcPr>
          <w:p w14:paraId="21DB6ACC" w14:textId="77777777" w:rsidR="00AC55B3" w:rsidRDefault="00AC55B3" w:rsidP="00AC55B3">
            <w:pPr>
              <w:jc w:val="both"/>
              <w:rPr>
                <w:rFonts w:cstheme="minorHAnsi"/>
              </w:rPr>
            </w:pPr>
            <w:r>
              <w:rPr>
                <w:rFonts w:cstheme="minorHAnsi"/>
              </w:rPr>
              <w:t>DOF</w:t>
            </w:r>
          </w:p>
        </w:tc>
        <w:tc>
          <w:tcPr>
            <w:tcW w:w="4389" w:type="dxa"/>
          </w:tcPr>
          <w:p w14:paraId="799CE15B" w14:textId="77777777" w:rsidR="00AC55B3" w:rsidRDefault="00AC55B3" w:rsidP="00AC55B3">
            <w:pPr>
              <w:jc w:val="both"/>
              <w:rPr>
                <w:rFonts w:cstheme="minorHAnsi"/>
              </w:rPr>
            </w:pPr>
            <w:r>
              <w:rPr>
                <w:rFonts w:cstheme="minorHAnsi"/>
              </w:rPr>
              <w:t>Diario Oficial de la Federación</w:t>
            </w:r>
          </w:p>
        </w:tc>
      </w:tr>
      <w:tr w:rsidR="00AC55B3" w:rsidRPr="0005746B" w14:paraId="100ED4E1" w14:textId="77777777" w:rsidTr="00742409">
        <w:tc>
          <w:tcPr>
            <w:tcW w:w="3119" w:type="dxa"/>
          </w:tcPr>
          <w:p w14:paraId="16CF4A30" w14:textId="77777777" w:rsidR="00AC55B3" w:rsidRPr="00A021B8" w:rsidRDefault="00AC55B3" w:rsidP="00AC55B3">
            <w:pPr>
              <w:jc w:val="both"/>
              <w:rPr>
                <w:rFonts w:cstheme="minorHAnsi"/>
              </w:rPr>
            </w:pPr>
            <w:r w:rsidRPr="00A021B8">
              <w:rPr>
                <w:rFonts w:cstheme="minorHAnsi"/>
              </w:rPr>
              <w:t>Generaciones móviles (1G a 5G)</w:t>
            </w:r>
          </w:p>
        </w:tc>
        <w:tc>
          <w:tcPr>
            <w:tcW w:w="4389" w:type="dxa"/>
          </w:tcPr>
          <w:p w14:paraId="295DD706" w14:textId="53247B82" w:rsidR="00AC55B3" w:rsidRPr="00A021B8" w:rsidRDefault="00AC55B3" w:rsidP="00AC55B3">
            <w:pPr>
              <w:jc w:val="both"/>
              <w:rPr>
                <w:rFonts w:cstheme="minorHAnsi"/>
              </w:rPr>
            </w:pPr>
            <w:r w:rsidRPr="00F82216">
              <w:rPr>
                <w:rFonts w:cstheme="minorHAnsi"/>
              </w:rPr>
              <w:t>Conjunto de tecnologías, sistemas, servicios, datos y aplicaciones que reúne la evolución de las redes móviles desde la Primera Generación a la Quinta Generación/GSM (2G), GPRS (2.5G), EDGE (2.75G), UMTS (3G), HSDPA (3.5G), HSUPA (3.75G), HSPA+ (3.9G) y LTE (4G).</w:t>
            </w:r>
          </w:p>
        </w:tc>
      </w:tr>
      <w:tr w:rsidR="00AC55B3" w:rsidRPr="0005746B" w14:paraId="7440BA11" w14:textId="77777777" w:rsidTr="00742409">
        <w:tc>
          <w:tcPr>
            <w:tcW w:w="3119" w:type="dxa"/>
          </w:tcPr>
          <w:p w14:paraId="24096B18" w14:textId="77777777" w:rsidR="00AC55B3" w:rsidRPr="00A021B8" w:rsidRDefault="00AC55B3" w:rsidP="00AC55B3">
            <w:pPr>
              <w:jc w:val="both"/>
              <w:rPr>
                <w:rFonts w:cstheme="minorHAnsi"/>
              </w:rPr>
            </w:pPr>
            <w:r w:rsidRPr="00A021B8">
              <w:rPr>
                <w:rFonts w:cstheme="minorHAnsi"/>
              </w:rPr>
              <w:t>Instituto</w:t>
            </w:r>
          </w:p>
        </w:tc>
        <w:tc>
          <w:tcPr>
            <w:tcW w:w="4389" w:type="dxa"/>
          </w:tcPr>
          <w:p w14:paraId="185E49C5" w14:textId="77777777" w:rsidR="00AC55B3" w:rsidRPr="00A021B8" w:rsidRDefault="00AC55B3" w:rsidP="00AC55B3">
            <w:pPr>
              <w:jc w:val="both"/>
              <w:rPr>
                <w:rFonts w:cstheme="minorHAnsi"/>
              </w:rPr>
            </w:pPr>
            <w:r w:rsidRPr="00A021B8">
              <w:rPr>
                <w:rFonts w:cstheme="minorHAnsi"/>
              </w:rPr>
              <w:t>Instituto Federal de Telecomunicaciones</w:t>
            </w:r>
            <w:r>
              <w:rPr>
                <w:rFonts w:cstheme="minorHAnsi"/>
              </w:rPr>
              <w:t>.</w:t>
            </w:r>
          </w:p>
        </w:tc>
      </w:tr>
      <w:tr w:rsidR="00AC55B3" w:rsidRPr="0005746B" w14:paraId="2830CF04" w14:textId="77777777" w:rsidTr="00742409">
        <w:tc>
          <w:tcPr>
            <w:tcW w:w="3119" w:type="dxa"/>
          </w:tcPr>
          <w:p w14:paraId="722F2485" w14:textId="77777777" w:rsidR="00AC55B3" w:rsidRPr="00A021B8" w:rsidRDefault="00AC55B3" w:rsidP="00AC55B3">
            <w:pPr>
              <w:jc w:val="both"/>
              <w:rPr>
                <w:rFonts w:cstheme="minorHAnsi"/>
              </w:rPr>
            </w:pPr>
            <w:r w:rsidRPr="00A021B8">
              <w:rPr>
                <w:rFonts w:cstheme="minorHAnsi"/>
              </w:rPr>
              <w:t>Latencia</w:t>
            </w:r>
          </w:p>
        </w:tc>
        <w:tc>
          <w:tcPr>
            <w:tcW w:w="4389" w:type="dxa"/>
          </w:tcPr>
          <w:p w14:paraId="1598F662" w14:textId="77777777" w:rsidR="00AC55B3" w:rsidRPr="00A021B8" w:rsidRDefault="00AC55B3" w:rsidP="00AC55B3">
            <w:pPr>
              <w:jc w:val="both"/>
              <w:rPr>
                <w:rFonts w:cstheme="minorHAnsi"/>
                <w:highlight w:val="yellow"/>
              </w:rPr>
            </w:pPr>
            <w:r w:rsidRPr="00F82216">
              <w:rPr>
                <w:rFonts w:cstheme="minorHAnsi"/>
              </w:rPr>
              <w:t>Es el tiempo que tardan en entregarse los paquetes de información que son enviados cuando solicitas una página de Internet, un video o la descarga de un archivo, etc. Este tiempo de entrega depende de la distancia entre el origen y el destino, la congestión de la red y el ancho de banda.</w:t>
            </w:r>
          </w:p>
        </w:tc>
      </w:tr>
      <w:tr w:rsidR="00AC55B3" w:rsidRPr="0005746B" w14:paraId="2EE6E6C8" w14:textId="77777777" w:rsidTr="00742409">
        <w:tc>
          <w:tcPr>
            <w:tcW w:w="3119" w:type="dxa"/>
          </w:tcPr>
          <w:p w14:paraId="738295E1" w14:textId="77777777" w:rsidR="00AC55B3" w:rsidRPr="00A021B8" w:rsidRDefault="00AC55B3" w:rsidP="00AC55B3">
            <w:pPr>
              <w:jc w:val="both"/>
              <w:rPr>
                <w:rFonts w:cstheme="minorHAnsi"/>
              </w:rPr>
            </w:pPr>
            <w:r w:rsidRPr="00A021B8">
              <w:rPr>
                <w:rFonts w:cstheme="minorHAnsi"/>
              </w:rPr>
              <w:t>Ley</w:t>
            </w:r>
          </w:p>
        </w:tc>
        <w:tc>
          <w:tcPr>
            <w:tcW w:w="4389" w:type="dxa"/>
          </w:tcPr>
          <w:p w14:paraId="73BCD93D" w14:textId="77777777" w:rsidR="00AC55B3" w:rsidRPr="00A021B8" w:rsidRDefault="00AC55B3" w:rsidP="00AC55B3">
            <w:pPr>
              <w:jc w:val="both"/>
              <w:rPr>
                <w:rFonts w:cstheme="minorHAnsi"/>
              </w:rPr>
            </w:pPr>
            <w:r w:rsidRPr="00A021B8">
              <w:rPr>
                <w:rFonts w:cstheme="minorHAnsi"/>
              </w:rPr>
              <w:t>Ley Federal de Telecomunicaciones y Radiodifusión</w:t>
            </w:r>
            <w:r>
              <w:rPr>
                <w:rFonts w:cstheme="minorHAnsi"/>
              </w:rPr>
              <w:t>.</w:t>
            </w:r>
          </w:p>
        </w:tc>
      </w:tr>
      <w:tr w:rsidR="00AC55B3" w:rsidRPr="0005746B" w14:paraId="53807A2C" w14:textId="77777777" w:rsidTr="00742409">
        <w:tc>
          <w:tcPr>
            <w:tcW w:w="3119" w:type="dxa"/>
          </w:tcPr>
          <w:p w14:paraId="6B30569A" w14:textId="77777777" w:rsidR="00AC55B3" w:rsidRPr="00A021B8" w:rsidRDefault="00AC55B3" w:rsidP="00AC55B3">
            <w:pPr>
              <w:jc w:val="both"/>
              <w:rPr>
                <w:rFonts w:cstheme="minorHAnsi"/>
              </w:rPr>
            </w:pPr>
            <w:r w:rsidRPr="00A021B8">
              <w:rPr>
                <w:rFonts w:cstheme="minorHAnsi"/>
              </w:rPr>
              <w:t>Red de telecomunicaciones</w:t>
            </w:r>
          </w:p>
        </w:tc>
        <w:tc>
          <w:tcPr>
            <w:tcW w:w="4389" w:type="dxa"/>
          </w:tcPr>
          <w:p w14:paraId="38774AE1" w14:textId="77777777" w:rsidR="00AC55B3" w:rsidRPr="00A021B8" w:rsidRDefault="00AC55B3" w:rsidP="00AC55B3">
            <w:pPr>
              <w:jc w:val="both"/>
              <w:rPr>
                <w:rFonts w:cstheme="minorHAnsi"/>
                <w:highlight w:val="yellow"/>
              </w:rPr>
            </w:pPr>
            <w:r w:rsidRPr="00F82216">
              <w:rPr>
                <w:rFonts w:cstheme="minorHAnsi"/>
              </w:rPr>
              <w:t>Sistema integrado por medios de transmisión, tales como canales o circuitos que utilicen bandas de frecuencias del espectro radioeléctrico, enlaces satelitales, cableados, redes de transmisión eléctrica o cualquier otro medio de transmisión, así como, en su caso, centrales, dispositivos de conmutación o cualquier equipo necesario.</w:t>
            </w:r>
          </w:p>
        </w:tc>
      </w:tr>
      <w:tr w:rsidR="00AC55B3" w:rsidRPr="0005746B" w14:paraId="2732AF57" w14:textId="77777777" w:rsidTr="00742409">
        <w:tc>
          <w:tcPr>
            <w:tcW w:w="3119" w:type="dxa"/>
          </w:tcPr>
          <w:p w14:paraId="02DBBB10" w14:textId="77777777" w:rsidR="00AC55B3" w:rsidRPr="00A021B8" w:rsidRDefault="00AC55B3" w:rsidP="00AC55B3">
            <w:pPr>
              <w:jc w:val="both"/>
              <w:rPr>
                <w:rFonts w:cstheme="minorHAnsi"/>
              </w:rPr>
            </w:pPr>
            <w:r w:rsidRPr="00A021B8">
              <w:rPr>
                <w:rFonts w:cstheme="minorHAnsi"/>
              </w:rPr>
              <w:t xml:space="preserve">Red privada </w:t>
            </w:r>
          </w:p>
        </w:tc>
        <w:tc>
          <w:tcPr>
            <w:tcW w:w="4389" w:type="dxa"/>
          </w:tcPr>
          <w:p w14:paraId="42A3F675" w14:textId="77777777" w:rsidR="00AC55B3" w:rsidRPr="00A021B8" w:rsidRDefault="00AC55B3" w:rsidP="00AC55B3">
            <w:pPr>
              <w:jc w:val="both"/>
              <w:rPr>
                <w:rFonts w:cstheme="minorHAnsi"/>
                <w:highlight w:val="yellow"/>
              </w:rPr>
            </w:pPr>
            <w:r w:rsidRPr="00F82216">
              <w:rPr>
                <w:rFonts w:cstheme="minorHAnsi"/>
              </w:rPr>
              <w:t>Sistema</w:t>
            </w:r>
            <w:r w:rsidRPr="00F82216">
              <w:t xml:space="preserve"> en el que los usuarios de dicha red constituyen un grupo cerrado y generalmente la infraestructura de red y los dispositivos son implementados y controlados por dicho grupo.</w:t>
            </w:r>
          </w:p>
        </w:tc>
      </w:tr>
      <w:tr w:rsidR="00AC55B3" w:rsidRPr="0005746B" w14:paraId="3ABD9BBA" w14:textId="77777777" w:rsidTr="00742409">
        <w:tc>
          <w:tcPr>
            <w:tcW w:w="3119" w:type="dxa"/>
          </w:tcPr>
          <w:p w14:paraId="5E7D5600" w14:textId="77777777" w:rsidR="00AC55B3" w:rsidRPr="00A021B8" w:rsidRDefault="00AC55B3" w:rsidP="00AC55B3">
            <w:pPr>
              <w:jc w:val="both"/>
              <w:rPr>
                <w:rFonts w:cstheme="minorHAnsi"/>
              </w:rPr>
            </w:pPr>
            <w:r w:rsidRPr="00A021B8">
              <w:rPr>
                <w:rFonts w:cstheme="minorHAnsi"/>
              </w:rPr>
              <w:t>RPC</w:t>
            </w:r>
          </w:p>
        </w:tc>
        <w:tc>
          <w:tcPr>
            <w:tcW w:w="4389" w:type="dxa"/>
          </w:tcPr>
          <w:p w14:paraId="09591D16" w14:textId="77777777" w:rsidR="00AC55B3" w:rsidRPr="00A021B8" w:rsidRDefault="00AC55B3" w:rsidP="00AC55B3">
            <w:pPr>
              <w:jc w:val="both"/>
              <w:rPr>
                <w:rFonts w:cstheme="minorHAnsi"/>
              </w:rPr>
            </w:pPr>
            <w:r w:rsidRPr="00A021B8">
              <w:rPr>
                <w:rFonts w:cstheme="minorHAnsi"/>
              </w:rPr>
              <w:t>Registro Público de Concesiones del Instituto Federal de Telecomunicaciones</w:t>
            </w:r>
            <w:r>
              <w:rPr>
                <w:rFonts w:cstheme="minorHAnsi"/>
              </w:rPr>
              <w:t>.</w:t>
            </w:r>
          </w:p>
        </w:tc>
      </w:tr>
      <w:tr w:rsidR="00AC55B3" w:rsidRPr="0005746B" w14:paraId="79032A0D" w14:textId="77777777" w:rsidTr="00742409">
        <w:tc>
          <w:tcPr>
            <w:tcW w:w="3119" w:type="dxa"/>
          </w:tcPr>
          <w:p w14:paraId="170BF408" w14:textId="77777777" w:rsidR="00AC55B3" w:rsidRPr="00A021B8" w:rsidRDefault="00AC55B3" w:rsidP="00AC55B3">
            <w:pPr>
              <w:jc w:val="both"/>
              <w:rPr>
                <w:rFonts w:cstheme="minorHAnsi"/>
              </w:rPr>
            </w:pPr>
            <w:r>
              <w:rPr>
                <w:rFonts w:cstheme="minorHAnsi"/>
              </w:rPr>
              <w:lastRenderedPageBreak/>
              <w:t>RR</w:t>
            </w:r>
          </w:p>
        </w:tc>
        <w:tc>
          <w:tcPr>
            <w:tcW w:w="4389" w:type="dxa"/>
          </w:tcPr>
          <w:p w14:paraId="409D98FE" w14:textId="77777777" w:rsidR="00AC55B3" w:rsidRPr="00A021B8" w:rsidRDefault="00AC55B3" w:rsidP="00AC55B3">
            <w:pPr>
              <w:jc w:val="both"/>
              <w:rPr>
                <w:rFonts w:cstheme="minorHAnsi"/>
              </w:rPr>
            </w:pPr>
            <w:r>
              <w:rPr>
                <w:rFonts w:cstheme="minorHAnsi"/>
              </w:rPr>
              <w:t xml:space="preserve">Reglamento de Radiocomunicaciones de la Unión Internacional de Telecomunicaciones. </w:t>
            </w:r>
          </w:p>
        </w:tc>
      </w:tr>
      <w:tr w:rsidR="00AC55B3" w:rsidRPr="0005746B" w14:paraId="00EBF2BA" w14:textId="77777777" w:rsidTr="00742409">
        <w:tc>
          <w:tcPr>
            <w:tcW w:w="3119" w:type="dxa"/>
          </w:tcPr>
          <w:p w14:paraId="48B52521" w14:textId="794C02FB" w:rsidR="00AC55B3" w:rsidRPr="00A021B8" w:rsidRDefault="00AC55B3" w:rsidP="00AC55B3">
            <w:pPr>
              <w:jc w:val="both"/>
              <w:rPr>
                <w:rFonts w:cstheme="minorHAnsi"/>
              </w:rPr>
            </w:pPr>
            <w:r>
              <w:rPr>
                <w:rFonts w:cstheme="minorHAnsi"/>
              </w:rPr>
              <w:t>SFS</w:t>
            </w:r>
          </w:p>
        </w:tc>
        <w:tc>
          <w:tcPr>
            <w:tcW w:w="4389" w:type="dxa"/>
          </w:tcPr>
          <w:p w14:paraId="685E3389" w14:textId="20DB5E44" w:rsidR="00AC55B3" w:rsidRPr="00A021B8" w:rsidRDefault="00AC55B3" w:rsidP="00AC55B3">
            <w:pPr>
              <w:jc w:val="both"/>
              <w:rPr>
                <w:rFonts w:cstheme="minorHAnsi"/>
              </w:rPr>
            </w:pPr>
            <w:r>
              <w:rPr>
                <w:rFonts w:cstheme="minorHAnsi"/>
              </w:rPr>
              <w:t>Servicio Fijo por Satélite</w:t>
            </w:r>
          </w:p>
        </w:tc>
      </w:tr>
      <w:tr w:rsidR="00AC55B3" w:rsidRPr="0005746B" w14:paraId="54845D65" w14:textId="77777777" w:rsidTr="00742409">
        <w:trPr>
          <w:trHeight w:val="47"/>
        </w:trPr>
        <w:tc>
          <w:tcPr>
            <w:tcW w:w="3119" w:type="dxa"/>
          </w:tcPr>
          <w:p w14:paraId="7756007C" w14:textId="77777777" w:rsidR="00AC55B3" w:rsidRPr="00A021B8" w:rsidRDefault="00AC55B3" w:rsidP="00AC55B3">
            <w:pPr>
              <w:jc w:val="both"/>
              <w:rPr>
                <w:rFonts w:cstheme="minorHAnsi"/>
              </w:rPr>
            </w:pPr>
            <w:r w:rsidRPr="00A021B8">
              <w:rPr>
                <w:rFonts w:cstheme="minorHAnsi"/>
              </w:rPr>
              <w:t>UIT</w:t>
            </w:r>
          </w:p>
        </w:tc>
        <w:tc>
          <w:tcPr>
            <w:tcW w:w="4389" w:type="dxa"/>
          </w:tcPr>
          <w:p w14:paraId="395D8A03" w14:textId="77777777" w:rsidR="00AC55B3" w:rsidRPr="00A021B8" w:rsidRDefault="00AC55B3" w:rsidP="00AC55B3">
            <w:pPr>
              <w:jc w:val="both"/>
              <w:rPr>
                <w:rFonts w:cstheme="minorHAnsi"/>
              </w:rPr>
            </w:pPr>
            <w:r w:rsidRPr="00A021B8">
              <w:rPr>
                <w:rFonts w:cstheme="minorHAnsi"/>
              </w:rPr>
              <w:t>Unión Internacional de Telecomunicaciones</w:t>
            </w:r>
            <w:r>
              <w:rPr>
                <w:rFonts w:cstheme="minorHAnsi"/>
              </w:rPr>
              <w:t>.</w:t>
            </w:r>
          </w:p>
        </w:tc>
      </w:tr>
    </w:tbl>
    <w:p w14:paraId="74FFD064" w14:textId="77777777" w:rsidR="00C758E5" w:rsidRDefault="00C758E5" w:rsidP="00C758E5">
      <w:pPr>
        <w:pStyle w:val="Prrafodelista"/>
        <w:spacing w:after="0" w:line="240" w:lineRule="auto"/>
        <w:ind w:left="0"/>
        <w:rPr>
          <w:rFonts w:ascii="ITC Avant Garde" w:hAnsi="ITC Avant Garde"/>
        </w:rPr>
      </w:pPr>
    </w:p>
    <w:p w14:paraId="14EA9154" w14:textId="77777777" w:rsidR="00C758E5" w:rsidRDefault="00C758E5" w:rsidP="00C758E5">
      <w:pPr>
        <w:pStyle w:val="Prrafodelista"/>
        <w:spacing w:after="0" w:line="240" w:lineRule="auto"/>
        <w:ind w:left="0"/>
        <w:rPr>
          <w:rFonts w:ascii="ITC Avant Garde" w:hAnsi="ITC Avant Garde"/>
        </w:rPr>
      </w:pPr>
    </w:p>
    <w:p w14:paraId="05D606E1" w14:textId="77777777" w:rsidR="00C758E5" w:rsidRDefault="00C758E5" w:rsidP="00C758E5">
      <w:pPr>
        <w:pStyle w:val="Prrafodelista"/>
        <w:spacing w:after="0" w:line="240" w:lineRule="auto"/>
        <w:ind w:left="0"/>
        <w:rPr>
          <w:rFonts w:ascii="ITC Avant Garde" w:hAnsi="ITC Avant Garde"/>
        </w:rPr>
      </w:pPr>
    </w:p>
    <w:p w14:paraId="7ED2A486" w14:textId="77777777" w:rsidR="00C758E5" w:rsidRDefault="00C758E5" w:rsidP="00C758E5">
      <w:pPr>
        <w:pStyle w:val="Prrafodelista"/>
        <w:spacing w:after="0" w:line="240" w:lineRule="auto"/>
        <w:ind w:left="0"/>
        <w:rPr>
          <w:rFonts w:ascii="ITC Avant Garde" w:hAnsi="ITC Avant Garde"/>
        </w:rPr>
      </w:pPr>
    </w:p>
    <w:p w14:paraId="71FEB11F" w14:textId="77777777" w:rsidR="00C758E5" w:rsidRDefault="00C758E5" w:rsidP="00C758E5">
      <w:pPr>
        <w:pStyle w:val="Prrafodelista"/>
        <w:spacing w:after="0" w:line="240" w:lineRule="auto"/>
        <w:ind w:left="0"/>
        <w:rPr>
          <w:rFonts w:ascii="ITC Avant Garde" w:hAnsi="ITC Avant Garde"/>
        </w:rPr>
      </w:pPr>
    </w:p>
    <w:p w14:paraId="52DDE99F" w14:textId="77777777" w:rsidR="00C758E5" w:rsidRPr="006F3CEC" w:rsidRDefault="00C758E5" w:rsidP="00C758E5">
      <w:pPr>
        <w:pStyle w:val="Prrafodelista"/>
        <w:spacing w:after="0" w:line="240" w:lineRule="auto"/>
        <w:ind w:left="612"/>
        <w:rPr>
          <w:rFonts w:ascii="ITC Avant Garde" w:hAnsi="ITC Avant Garde"/>
        </w:rPr>
      </w:pPr>
    </w:p>
    <w:p w14:paraId="5479A672" w14:textId="77777777" w:rsidR="00C758E5" w:rsidRDefault="00C758E5" w:rsidP="00C758E5">
      <w:pPr>
        <w:spacing w:after="0" w:line="240" w:lineRule="auto"/>
        <w:jc w:val="both"/>
        <w:rPr>
          <w:rFonts w:ascii="ITC Avant Garde" w:eastAsia="Times New Roman" w:hAnsi="ITC Avant Garde" w:cs="Arial"/>
          <w:b/>
          <w:color w:val="939F27"/>
          <w:sz w:val="26"/>
          <w:szCs w:val="26"/>
        </w:rPr>
      </w:pPr>
    </w:p>
    <w:p w14:paraId="2770D815" w14:textId="77777777" w:rsidR="00C758E5" w:rsidRDefault="00C758E5" w:rsidP="00C758E5">
      <w:pPr>
        <w:spacing w:after="0" w:line="240" w:lineRule="auto"/>
        <w:jc w:val="both"/>
        <w:rPr>
          <w:rFonts w:ascii="ITC Avant Garde" w:eastAsia="Times New Roman" w:hAnsi="ITC Avant Garde" w:cs="Arial"/>
          <w:b/>
          <w:color w:val="939F27"/>
          <w:sz w:val="26"/>
          <w:szCs w:val="26"/>
        </w:rPr>
      </w:pPr>
    </w:p>
    <w:p w14:paraId="3B9E2D83" w14:textId="77777777" w:rsidR="00C758E5" w:rsidRDefault="00C758E5" w:rsidP="00C758E5">
      <w:pPr>
        <w:spacing w:after="0" w:line="240" w:lineRule="auto"/>
        <w:jc w:val="both"/>
        <w:rPr>
          <w:rFonts w:ascii="ITC Avant Garde" w:eastAsia="Times New Roman" w:hAnsi="ITC Avant Garde" w:cs="Arial"/>
          <w:b/>
          <w:color w:val="939F27"/>
          <w:sz w:val="26"/>
          <w:szCs w:val="26"/>
        </w:rPr>
      </w:pPr>
    </w:p>
    <w:p w14:paraId="7129168B" w14:textId="77777777" w:rsidR="00C758E5" w:rsidRDefault="00C758E5" w:rsidP="00C758E5">
      <w:pPr>
        <w:spacing w:after="0" w:line="240" w:lineRule="auto"/>
        <w:jc w:val="both"/>
        <w:rPr>
          <w:rFonts w:ascii="ITC Avant Garde" w:eastAsia="Times New Roman" w:hAnsi="ITC Avant Garde" w:cs="Arial"/>
          <w:b/>
          <w:color w:val="939F27"/>
          <w:sz w:val="26"/>
          <w:szCs w:val="26"/>
        </w:rPr>
      </w:pPr>
    </w:p>
    <w:p w14:paraId="14D16A1F" w14:textId="77777777" w:rsidR="00C758E5" w:rsidRDefault="00C758E5" w:rsidP="00C758E5">
      <w:pPr>
        <w:spacing w:after="0" w:line="240" w:lineRule="auto"/>
        <w:jc w:val="both"/>
        <w:rPr>
          <w:rFonts w:ascii="ITC Avant Garde" w:eastAsia="Times New Roman" w:hAnsi="ITC Avant Garde" w:cs="Arial"/>
          <w:b/>
          <w:color w:val="939F27"/>
          <w:sz w:val="26"/>
          <w:szCs w:val="26"/>
        </w:rPr>
      </w:pPr>
    </w:p>
    <w:p w14:paraId="6436D023" w14:textId="6A70B8B8" w:rsidR="00C758E5" w:rsidRDefault="00C758E5" w:rsidP="00C758E5">
      <w:pPr>
        <w:spacing w:after="0" w:line="240" w:lineRule="auto"/>
        <w:jc w:val="both"/>
        <w:rPr>
          <w:rFonts w:ascii="ITC Avant Garde" w:eastAsia="Times New Roman" w:hAnsi="ITC Avant Garde" w:cs="Arial"/>
          <w:b/>
          <w:color w:val="939F27"/>
          <w:sz w:val="26"/>
          <w:szCs w:val="26"/>
        </w:rPr>
      </w:pPr>
    </w:p>
    <w:p w14:paraId="7822F2A4" w14:textId="383A5D26" w:rsidR="00C758E5" w:rsidRPr="00C758E5" w:rsidRDefault="00C758E5" w:rsidP="00C758E5">
      <w:pPr>
        <w:spacing w:after="0" w:line="240" w:lineRule="auto"/>
        <w:jc w:val="both"/>
        <w:rPr>
          <w:rFonts w:ascii="ITC Avant Garde" w:hAnsi="ITC Avant Garde"/>
        </w:rPr>
      </w:pPr>
    </w:p>
    <w:p w14:paraId="2849B5AB" w14:textId="77777777" w:rsidR="00C12D98" w:rsidRPr="00C758E5" w:rsidRDefault="00C12D98" w:rsidP="00C758E5">
      <w:pPr>
        <w:spacing w:after="0" w:line="240" w:lineRule="auto"/>
        <w:jc w:val="both"/>
        <w:rPr>
          <w:rFonts w:ascii="ITC Avant Garde" w:hAnsi="ITC Avant Garde"/>
        </w:rPr>
      </w:pPr>
    </w:p>
    <w:p w14:paraId="5A07BA03" w14:textId="64F6269C" w:rsidR="00C758E5" w:rsidRDefault="00C758E5">
      <w:pPr>
        <w:rPr>
          <w:rFonts w:ascii="ITC Avant Garde" w:hAnsi="ITC Avant Garde"/>
        </w:rPr>
      </w:pPr>
      <w:r>
        <w:rPr>
          <w:rFonts w:ascii="ITC Avant Garde" w:hAnsi="ITC Avant Garde"/>
        </w:rPr>
        <w:br w:type="page"/>
      </w:r>
    </w:p>
    <w:p w14:paraId="523418B2" w14:textId="632AAA75" w:rsidR="00C758E5" w:rsidRPr="00742409" w:rsidRDefault="00C758E5" w:rsidP="00C758E5">
      <w:pPr>
        <w:spacing w:after="0" w:line="240" w:lineRule="auto"/>
        <w:jc w:val="center"/>
        <w:rPr>
          <w:rFonts w:ascii="ITC Avant Garde" w:eastAsia="Times New Roman" w:hAnsi="ITC Avant Garde" w:cs="Arial"/>
          <w:b/>
          <w:color w:val="939F27"/>
          <w:sz w:val="26"/>
          <w:szCs w:val="26"/>
        </w:rPr>
      </w:pPr>
      <w:r w:rsidRPr="00742409">
        <w:rPr>
          <w:rFonts w:ascii="ITC Avant Garde" w:eastAsia="Times New Roman" w:hAnsi="ITC Avant Garde" w:cs="Arial"/>
          <w:b/>
          <w:color w:val="939F27"/>
          <w:sz w:val="26"/>
          <w:szCs w:val="26"/>
        </w:rPr>
        <w:lastRenderedPageBreak/>
        <w:t xml:space="preserve">ANEXO 1. Metodología para la </w:t>
      </w:r>
      <w:r w:rsidR="00421FF3" w:rsidRPr="00742409">
        <w:rPr>
          <w:rFonts w:ascii="ITC Avant Garde" w:eastAsia="Times New Roman" w:hAnsi="ITC Avant Garde" w:cs="Arial"/>
          <w:b/>
          <w:color w:val="939F27"/>
          <w:sz w:val="26"/>
          <w:szCs w:val="26"/>
        </w:rPr>
        <w:t xml:space="preserve">determinación de las zonas geográficas para la asignación de espectro </w:t>
      </w:r>
      <w:r w:rsidR="00742409">
        <w:rPr>
          <w:rFonts w:ascii="ITC Avant Garde" w:eastAsia="Times New Roman" w:hAnsi="ITC Avant Garde" w:cs="Arial"/>
          <w:b/>
          <w:color w:val="939F27"/>
          <w:sz w:val="26"/>
          <w:szCs w:val="26"/>
        </w:rPr>
        <w:t xml:space="preserve">radioeléctrico </w:t>
      </w:r>
      <w:r w:rsidR="00421FF3" w:rsidRPr="00742409">
        <w:rPr>
          <w:rFonts w:ascii="ITC Avant Garde" w:eastAsia="Times New Roman" w:hAnsi="ITC Avant Garde" w:cs="Arial"/>
          <w:b/>
          <w:color w:val="939F27"/>
          <w:sz w:val="26"/>
          <w:szCs w:val="26"/>
        </w:rPr>
        <w:t>para redes privadas</w:t>
      </w:r>
    </w:p>
    <w:p w14:paraId="339165A8" w14:textId="77777777" w:rsidR="00C758E5" w:rsidRDefault="00C758E5" w:rsidP="00C758E5">
      <w:pPr>
        <w:spacing w:after="0" w:line="240" w:lineRule="auto"/>
        <w:jc w:val="both"/>
        <w:rPr>
          <w:rFonts w:ascii="ITC Avant Garde" w:hAnsi="ITC Avant Garde"/>
        </w:rPr>
      </w:pPr>
    </w:p>
    <w:p w14:paraId="3670F802" w14:textId="77777777"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El INEGI tiene a disposición del público el Directorio Estadístico Nacional de Unidades Económicas (DENUE), el cual proporciona información sobre los establecimientos de México.  En ese sentido, el DENUE ofrece datos de identificación, ubicación, actividad económica y tamaño de los negocios, según el estrato de personal ocupado. Para el presente análisis se utilizó la versión 2024 y se consideraron las actividades económicas de las industrias manufactureras, comercio al por mayor, transportes, correos y almacenamiento y minería que representan un universo de 823,</w:t>
      </w:r>
      <w:r>
        <w:rPr>
          <w:rFonts w:ascii="ITC Avant Garde" w:hAnsi="ITC Avant Garde" w:cstheme="minorHAnsi"/>
        </w:rPr>
        <w:t xml:space="preserve"> </w:t>
      </w:r>
      <w:r w:rsidRPr="006F3CEC">
        <w:rPr>
          <w:rFonts w:ascii="ITC Avant Garde" w:hAnsi="ITC Avant Garde" w:cstheme="minorHAnsi"/>
        </w:rPr>
        <w:t>993 unidades económicas. De este universo, se seleccionaron aquellas cuyo tipo de asentamiento fuera corredor industrial, ciudad industrial o parque industrial, lo que representa un total de 12,961. Por último, se hizo una limpieza de la base de datos con base en el nombre del establecimiento, descartando lugares que no correspondieran a un complejo industrial, por ejemplo, cajeros, abarrotes, tlapalerías entre otros reduciendo el número de unidades económicas a 12,787.</w:t>
      </w:r>
    </w:p>
    <w:p w14:paraId="26E724B8" w14:textId="77777777" w:rsidR="00C758E5" w:rsidRDefault="00C758E5" w:rsidP="00C758E5">
      <w:pPr>
        <w:spacing w:after="0" w:line="240" w:lineRule="auto"/>
        <w:ind w:left="708"/>
        <w:jc w:val="both"/>
        <w:rPr>
          <w:rFonts w:ascii="ITC Avant Garde" w:hAnsi="ITC Avant Garde" w:cstheme="minorHAnsi"/>
        </w:rPr>
      </w:pPr>
    </w:p>
    <w:p w14:paraId="0C785EF8" w14:textId="64D8E4BD"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En el DENUE, la información de ubicación geográfica o domicilio geográfico se complementa con la clave geoestadística hasta nivel de manzana. Asimismo, se proveen las coordenadas geográficas (latitud y longitud) que permiten contar con la ubicación aproximada de los negocios en la cartografía geoestadística. Para asociar cada una de las unidades económicas al polígono de una manzana, se utilizó el Marco Geoestadístico, diciembre 2023 del INEGI</w:t>
      </w:r>
      <w:r w:rsidR="00044BE4">
        <w:rPr>
          <w:rFonts w:ascii="ITC Avant Garde" w:hAnsi="ITC Avant Garde" w:cstheme="minorHAnsi"/>
        </w:rPr>
        <w:t xml:space="preserve"> (última versión disponible durante la realización de este análisis)</w:t>
      </w:r>
      <w:r w:rsidRPr="006F3CEC">
        <w:rPr>
          <w:rFonts w:ascii="ITC Avant Garde" w:hAnsi="ITC Avant Garde" w:cstheme="minorHAnsi"/>
        </w:rPr>
        <w:t xml:space="preserve">. Esta asociación se implementó de manera </w:t>
      </w:r>
      <w:r w:rsidR="00185897">
        <w:rPr>
          <w:rFonts w:ascii="ITC Avant Garde" w:hAnsi="ITC Avant Garde" w:cstheme="minorHAnsi"/>
        </w:rPr>
        <w:t>geo</w:t>
      </w:r>
      <w:r w:rsidRPr="006F3CEC">
        <w:rPr>
          <w:rFonts w:ascii="ITC Avant Garde" w:hAnsi="ITC Avant Garde" w:cstheme="minorHAnsi"/>
        </w:rPr>
        <w:t xml:space="preserve">espacial utilizando las coordenadas geográficas de las unidades económicas; sin embargo, solo se encontraron </w:t>
      </w:r>
      <w:r>
        <w:rPr>
          <w:rFonts w:ascii="ITC Avant Garde" w:hAnsi="ITC Avant Garde" w:cstheme="minorHAnsi"/>
        </w:rPr>
        <w:t>polígonos</w:t>
      </w:r>
      <w:r w:rsidRPr="006F3CEC">
        <w:rPr>
          <w:rFonts w:ascii="ITC Avant Garde" w:hAnsi="ITC Avant Garde" w:cstheme="minorHAnsi"/>
        </w:rPr>
        <w:t xml:space="preserve"> para el 49.75% de estas. </w:t>
      </w:r>
    </w:p>
    <w:p w14:paraId="00E00572" w14:textId="77777777" w:rsidR="00C758E5" w:rsidRDefault="00C758E5" w:rsidP="00C758E5">
      <w:pPr>
        <w:spacing w:after="0" w:line="240" w:lineRule="auto"/>
        <w:jc w:val="both"/>
        <w:rPr>
          <w:rFonts w:ascii="ITC Avant Garde" w:hAnsi="ITC Avant Garde" w:cstheme="minorHAnsi"/>
        </w:rPr>
      </w:pPr>
    </w:p>
    <w:p w14:paraId="2D3DA67B" w14:textId="77777777" w:rsidR="00C758E5"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Para las 6,425 unidades económicas sin un polígono asociado, se utilizó como criterio de asociación la distancia en metros al centroide del polígono de la manzana más cercana.</w:t>
      </w:r>
      <w:r>
        <w:rPr>
          <w:rFonts w:ascii="ITC Avant Garde" w:hAnsi="ITC Avant Garde" w:cstheme="minorHAnsi"/>
        </w:rPr>
        <w:t xml:space="preserve"> </w:t>
      </w:r>
      <w:r w:rsidRPr="006F3CEC">
        <w:rPr>
          <w:rFonts w:ascii="ITC Avant Garde" w:hAnsi="ITC Avant Garde" w:cstheme="minorHAnsi"/>
        </w:rPr>
        <w:t>En la Figura 1, se puede observar que el rango de valores llega hasta por encima de los 10,500 metros y que la pendiente de la curva de cuantiles se vuelve más pronunciada en la cola superior, por lo que existe una mayor dispersión en el 10% de los valores más altos.</w:t>
      </w:r>
    </w:p>
    <w:p w14:paraId="31287BC7" w14:textId="77777777" w:rsidR="00C758E5" w:rsidRPr="006F3CEC" w:rsidRDefault="00C758E5" w:rsidP="00E5624C">
      <w:pPr>
        <w:spacing w:after="0" w:line="240" w:lineRule="auto"/>
        <w:ind w:left="1701"/>
        <w:rPr>
          <w:rFonts w:ascii="ITC Avant Garde" w:hAnsi="ITC Avant Garde" w:cstheme="minorHAnsi"/>
        </w:rPr>
      </w:pPr>
      <w:r w:rsidRPr="006F3CEC">
        <w:rPr>
          <w:rFonts w:ascii="ITC Avant Garde" w:hAnsi="ITC Avant Garde" w:cstheme="minorHAnsi"/>
          <w:noProof/>
          <w14:ligatures w14:val="none"/>
        </w:rPr>
        <w:lastRenderedPageBreak/>
        <w:drawing>
          <wp:inline distT="0" distB="0" distL="0" distR="0" wp14:anchorId="157C5D43" wp14:editId="6F55BB5D">
            <wp:extent cx="4059310" cy="2882111"/>
            <wp:effectExtent l="0" t="0" r="0" b="0"/>
            <wp:docPr id="1140569072" name="Imagen 2" descr="Gráfico, Histo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18113" name="Imagen 2" descr="Gráfico, Histograma&#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4068026" cy="2888299"/>
                    </a:xfrm>
                    <a:prstGeom prst="rect">
                      <a:avLst/>
                    </a:prstGeom>
                  </pic:spPr>
                </pic:pic>
              </a:graphicData>
            </a:graphic>
          </wp:inline>
        </w:drawing>
      </w:r>
    </w:p>
    <w:p w14:paraId="79213E05" w14:textId="77777777" w:rsidR="00C758E5" w:rsidRPr="00742409" w:rsidRDefault="00C758E5" w:rsidP="00C758E5">
      <w:pPr>
        <w:spacing w:after="0" w:line="240" w:lineRule="auto"/>
        <w:ind w:left="1134" w:right="899"/>
        <w:jc w:val="center"/>
        <w:rPr>
          <w:rFonts w:ascii="ITC Avant Garde" w:hAnsi="ITC Avant Garde" w:cstheme="minorHAnsi"/>
          <w:sz w:val="14"/>
          <w:szCs w:val="14"/>
        </w:rPr>
      </w:pPr>
      <w:r w:rsidRPr="00742409">
        <w:rPr>
          <w:rFonts w:ascii="ITC Avant Garde" w:hAnsi="ITC Avant Garde" w:cstheme="minorHAnsi"/>
          <w:sz w:val="14"/>
          <w:szCs w:val="14"/>
        </w:rPr>
        <w:t>Figura 1: Gráfica de cuantiles de la distancia en metros de las unidades económicas sin un polígono asociado al centroide de la manzana más cercana.</w:t>
      </w:r>
    </w:p>
    <w:p w14:paraId="0B553B45" w14:textId="77777777" w:rsidR="00C758E5" w:rsidRDefault="00C758E5" w:rsidP="00C758E5">
      <w:pPr>
        <w:spacing w:after="0" w:line="240" w:lineRule="auto"/>
        <w:ind w:left="708"/>
        <w:jc w:val="both"/>
        <w:rPr>
          <w:rFonts w:ascii="ITC Avant Garde" w:hAnsi="ITC Avant Garde" w:cstheme="minorHAnsi"/>
        </w:rPr>
      </w:pPr>
    </w:p>
    <w:p w14:paraId="5FCF8215" w14:textId="77777777"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 xml:space="preserve">Con el objetivo de definir un umbral para asociar unidades económicas a un polígono, se calculó el percentil 75% y se le sumó 1.5 veces el rango intercuartílico (la diferencia entre el percentil 75% y el 25%), obteniendo un valor de 735.92 metros. Esta estadística que nombraremos como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s</m:t>
            </m:r>
          </m:sub>
        </m:sSub>
        <m:r>
          <w:rPr>
            <w:rStyle w:val="Refdenotaalpie"/>
            <w:rFonts w:ascii="Cambria Math" w:hAnsi="Cambria Math" w:cstheme="minorHAnsi"/>
            <w:i/>
          </w:rPr>
          <w:footnoteReference w:id="38"/>
        </m:r>
      </m:oMath>
      <w:r w:rsidRPr="006F3CEC">
        <w:rPr>
          <w:rFonts w:ascii="ITC Avant Garde" w:hAnsi="ITC Avant Garde" w:cstheme="minorHAnsi"/>
        </w:rPr>
        <w:t xml:space="preserve">, se utiliza comúnmente para definir valores atípicos en </w:t>
      </w:r>
      <w:r>
        <w:rPr>
          <w:rFonts w:ascii="ITC Avant Garde" w:hAnsi="ITC Avant Garde" w:cstheme="minorHAnsi"/>
        </w:rPr>
        <w:t>conjuntos de</w:t>
      </w:r>
      <w:r w:rsidRPr="006F3CEC">
        <w:rPr>
          <w:rFonts w:ascii="ITC Avant Garde" w:hAnsi="ITC Avant Garde" w:cstheme="minorHAnsi"/>
        </w:rPr>
        <w:t xml:space="preserve"> datos</w:t>
      </w:r>
      <w:r>
        <w:rPr>
          <w:rFonts w:ascii="ITC Avant Garde" w:hAnsi="ITC Avant Garde" w:cstheme="minorHAnsi"/>
        </w:rPr>
        <w:t xml:space="preserve"> debido a que el rango intercuartílico es menos sensible a valores extremos en comparación a la media y la desviación estándar</w:t>
      </w:r>
      <w:r w:rsidRPr="006F3CEC">
        <w:rPr>
          <w:rFonts w:ascii="ITC Avant Garde" w:hAnsi="ITC Avant Garde" w:cstheme="minorHAnsi"/>
        </w:rPr>
        <w:t>. En la Figura 1 se resalta e</w:t>
      </w:r>
      <w:r>
        <w:rPr>
          <w:rFonts w:ascii="ITC Avant Garde" w:hAnsi="ITC Avant Garde" w:cstheme="minorHAnsi"/>
        </w:rPr>
        <w:t>l</w:t>
      </w:r>
      <w:r w:rsidRPr="006F3CEC">
        <w:rPr>
          <w:rFonts w:ascii="ITC Avant Garde" w:hAnsi="ITC Avant Garde" w:cstheme="minorHAnsi"/>
        </w:rPr>
        <w:t xml:space="preserve"> valor</w:t>
      </w:r>
      <w:r>
        <w:rPr>
          <w:rFonts w:ascii="ITC Avant Garde" w:hAnsi="ITC Avant Garde" w:cstheme="minorHAnsi"/>
        </w:rPr>
        <w:t xml:space="preserve"> de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s</m:t>
            </m:r>
          </m:sub>
        </m:sSub>
      </m:oMath>
      <w:r>
        <w:rPr>
          <w:rFonts w:ascii="ITC Avant Garde" w:hAnsi="ITC Avant Garde" w:cstheme="minorHAnsi"/>
        </w:rPr>
        <w:t xml:space="preserve"> </w:t>
      </w:r>
      <w:r w:rsidRPr="006F3CEC">
        <w:rPr>
          <w:rFonts w:ascii="ITC Avant Garde" w:hAnsi="ITC Avant Garde" w:cstheme="minorHAnsi"/>
        </w:rPr>
        <w:t xml:space="preserve">con una línea roja. En consecuencia, con este criterio el 97.38% de las unidades fueron asociadas al polígono de una manzana. </w:t>
      </w:r>
    </w:p>
    <w:p w14:paraId="36BE4C6D" w14:textId="77777777" w:rsidR="00C758E5" w:rsidRDefault="00C758E5" w:rsidP="00C758E5">
      <w:pPr>
        <w:spacing w:after="0" w:line="240" w:lineRule="auto"/>
        <w:jc w:val="both"/>
        <w:rPr>
          <w:rFonts w:ascii="ITC Avant Garde" w:hAnsi="ITC Avant Garde" w:cstheme="minorHAnsi"/>
        </w:rPr>
      </w:pPr>
    </w:p>
    <w:p w14:paraId="3D86C18C" w14:textId="77777777"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Una vez definidas las manzanas de interés, se hizo una depuración de las ubicaciones de manera visual utilizando como referencia los mapas de Google. Finalmente, se obtuvo un total de 3,43</w:t>
      </w:r>
      <w:r>
        <w:rPr>
          <w:rFonts w:ascii="ITC Avant Garde" w:hAnsi="ITC Avant Garde" w:cstheme="minorHAnsi"/>
        </w:rPr>
        <w:t>7</w:t>
      </w:r>
      <w:r w:rsidRPr="006F3CEC">
        <w:rPr>
          <w:rFonts w:ascii="ITC Avant Garde" w:hAnsi="ITC Avant Garde" w:cstheme="minorHAnsi"/>
        </w:rPr>
        <w:t xml:space="preserve"> polígonos. </w:t>
      </w:r>
    </w:p>
    <w:p w14:paraId="75BBEA6D" w14:textId="77777777" w:rsidR="00C758E5" w:rsidRDefault="00C758E5" w:rsidP="00C758E5">
      <w:pPr>
        <w:spacing w:after="0" w:line="240" w:lineRule="auto"/>
        <w:jc w:val="both"/>
        <w:rPr>
          <w:rFonts w:ascii="ITC Avant Garde" w:hAnsi="ITC Avant Garde" w:cstheme="minorHAnsi"/>
        </w:rPr>
      </w:pPr>
    </w:p>
    <w:p w14:paraId="451D5E3E" w14:textId="77777777" w:rsidR="00C758E5"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En la Figura 2, se puede observar en color rojo la media (</w:t>
      </w:r>
      <w:r>
        <w:rPr>
          <w:rFonts w:ascii="ITC Avant Garde" w:hAnsi="ITC Avant Garde" w:cstheme="minorHAnsi"/>
        </w:rPr>
        <w:t>155,736</w:t>
      </w:r>
      <w:r w:rsidRPr="006F3CEC">
        <w:rPr>
          <w:rFonts w:ascii="ITC Avant Garde" w:hAnsi="ITC Avant Garde" w:cstheme="minorHAnsi"/>
        </w:rPr>
        <w:t xml:space="preserve"> m</w:t>
      </w:r>
      <w:r w:rsidRPr="006F3CEC">
        <w:rPr>
          <w:rFonts w:ascii="ITC Avant Garde" w:hAnsi="ITC Avant Garde" w:cstheme="minorHAnsi"/>
          <w:vertAlign w:val="superscript"/>
        </w:rPr>
        <w:t>2</w:t>
      </w:r>
      <w:r>
        <w:rPr>
          <w:rFonts w:ascii="ITC Avant Garde" w:hAnsi="ITC Avant Garde" w:cstheme="minorHAnsi"/>
          <w:vertAlign w:val="superscript"/>
        </w:rPr>
        <w:t xml:space="preserve"> </w:t>
      </w:r>
      <w:r>
        <w:rPr>
          <w:rFonts w:ascii="ITC Avant Garde" w:hAnsi="ITC Avant Garde" w:cstheme="minorHAnsi"/>
        </w:rPr>
        <w:t>o 15.57 hectáreas)</w:t>
      </w:r>
      <w:r w:rsidRPr="006F3CEC">
        <w:rPr>
          <w:rFonts w:ascii="ITC Avant Garde" w:hAnsi="ITC Avant Garde" w:cstheme="minorHAnsi"/>
        </w:rPr>
        <w:t xml:space="preserve"> y en color azul la mediana (</w:t>
      </w:r>
      <w:r>
        <w:rPr>
          <w:rFonts w:ascii="ITC Avant Garde" w:hAnsi="ITC Avant Garde" w:cstheme="minorHAnsi"/>
        </w:rPr>
        <w:t>80,751</w:t>
      </w:r>
      <w:r w:rsidRPr="006F3CEC">
        <w:rPr>
          <w:rFonts w:ascii="ITC Avant Garde" w:hAnsi="ITC Avant Garde" w:cstheme="minorHAnsi"/>
        </w:rPr>
        <w:t xml:space="preserve"> m</w:t>
      </w:r>
      <w:r w:rsidRPr="006F3CEC">
        <w:rPr>
          <w:rFonts w:ascii="ITC Avant Garde" w:hAnsi="ITC Avant Garde" w:cstheme="minorHAnsi"/>
          <w:vertAlign w:val="superscript"/>
        </w:rPr>
        <w:t>2</w:t>
      </w:r>
      <w:r>
        <w:rPr>
          <w:rFonts w:ascii="ITC Avant Garde" w:hAnsi="ITC Avant Garde" w:cstheme="minorHAnsi"/>
        </w:rPr>
        <w:t xml:space="preserve"> o 8.07 hectáreas)</w:t>
      </w:r>
      <w:r w:rsidRPr="006F3CEC">
        <w:rPr>
          <w:rFonts w:ascii="ITC Avant Garde" w:hAnsi="ITC Avant Garde" w:cstheme="minorHAnsi"/>
        </w:rPr>
        <w:t xml:space="preserve"> de las áreas de las manzanas asociadas a un complejo industrial. Cabe resaltar que el rango de valores es muy amplio, ya que va </w:t>
      </w:r>
      <w:r>
        <w:rPr>
          <w:rFonts w:ascii="ITC Avant Garde" w:hAnsi="ITC Avant Garde" w:cstheme="minorHAnsi"/>
        </w:rPr>
        <w:t xml:space="preserve">de </w:t>
      </w:r>
      <w:r w:rsidRPr="006F3CEC">
        <w:rPr>
          <w:rFonts w:ascii="ITC Avant Garde" w:hAnsi="ITC Avant Garde" w:cstheme="minorHAnsi"/>
        </w:rPr>
        <w:t>528 a 12,544,832 m</w:t>
      </w:r>
      <w:r w:rsidRPr="006F3CEC">
        <w:rPr>
          <w:rFonts w:ascii="ITC Avant Garde" w:hAnsi="ITC Avant Garde" w:cstheme="minorHAnsi"/>
          <w:vertAlign w:val="superscript"/>
        </w:rPr>
        <w:t>2</w:t>
      </w:r>
      <w:r w:rsidRPr="006F3CEC">
        <w:rPr>
          <w:rFonts w:ascii="ITC Avant Garde" w:hAnsi="ITC Avant Garde" w:cstheme="minorHAnsi"/>
        </w:rPr>
        <w:t>. Observación: 1 km</w:t>
      </w:r>
      <w:r w:rsidRPr="006F3CEC">
        <w:rPr>
          <w:rFonts w:ascii="ITC Avant Garde" w:hAnsi="ITC Avant Garde" w:cstheme="minorHAnsi"/>
          <w:vertAlign w:val="superscript"/>
        </w:rPr>
        <w:t>2</w:t>
      </w:r>
      <w:r w:rsidRPr="006F3CEC">
        <w:rPr>
          <w:rFonts w:ascii="ITC Avant Garde" w:hAnsi="ITC Avant Garde" w:cstheme="minorHAnsi"/>
        </w:rPr>
        <w:t xml:space="preserve"> = 1,000,000 m</w:t>
      </w:r>
      <w:r w:rsidRPr="006F3CEC">
        <w:rPr>
          <w:rFonts w:ascii="ITC Avant Garde" w:hAnsi="ITC Avant Garde" w:cstheme="minorHAnsi"/>
          <w:vertAlign w:val="superscript"/>
        </w:rPr>
        <w:t>2</w:t>
      </w:r>
      <w:r w:rsidRPr="006F3CEC">
        <w:rPr>
          <w:rFonts w:ascii="ITC Avant Garde" w:hAnsi="ITC Avant Garde" w:cstheme="minorHAnsi"/>
        </w:rPr>
        <w:t>.</w:t>
      </w:r>
    </w:p>
    <w:p w14:paraId="12B55A1A" w14:textId="77777777" w:rsidR="00C758E5" w:rsidRPr="006F3CEC" w:rsidRDefault="00C758E5" w:rsidP="00C758E5">
      <w:pPr>
        <w:spacing w:after="0" w:line="240" w:lineRule="auto"/>
        <w:jc w:val="both"/>
        <w:rPr>
          <w:rFonts w:ascii="ITC Avant Garde" w:hAnsi="ITC Avant Garde" w:cstheme="minorHAnsi"/>
        </w:rPr>
      </w:pPr>
    </w:p>
    <w:p w14:paraId="524E484C" w14:textId="77777777" w:rsidR="00C758E5" w:rsidRPr="006F3CEC" w:rsidRDefault="00C758E5" w:rsidP="00C758E5">
      <w:pPr>
        <w:spacing w:after="0" w:line="240" w:lineRule="auto"/>
        <w:ind w:left="1134"/>
        <w:jc w:val="both"/>
        <w:rPr>
          <w:rFonts w:ascii="ITC Avant Garde" w:hAnsi="ITC Avant Garde" w:cstheme="minorHAnsi"/>
        </w:rPr>
      </w:pPr>
      <w:r w:rsidRPr="006F3CEC">
        <w:rPr>
          <w:rFonts w:ascii="ITC Avant Garde" w:hAnsi="ITC Avant Garde" w:cstheme="minorHAnsi"/>
          <w:noProof/>
          <w14:ligatures w14:val="none"/>
        </w:rPr>
        <w:lastRenderedPageBreak/>
        <w:drawing>
          <wp:inline distT="0" distB="0" distL="0" distR="0" wp14:anchorId="6551EB84" wp14:editId="12C524D6">
            <wp:extent cx="4431323" cy="3001347"/>
            <wp:effectExtent l="0" t="0" r="7620" b="8890"/>
            <wp:docPr id="367114492" name="Imagen 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2288" name="Imagen 4" descr="Gráfico, Histo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435543" cy="3004205"/>
                    </a:xfrm>
                    <a:prstGeom prst="rect">
                      <a:avLst/>
                    </a:prstGeom>
                  </pic:spPr>
                </pic:pic>
              </a:graphicData>
            </a:graphic>
          </wp:inline>
        </w:drawing>
      </w:r>
    </w:p>
    <w:p w14:paraId="203875EF" w14:textId="77777777" w:rsidR="00C758E5" w:rsidRPr="00742409" w:rsidRDefault="00C758E5" w:rsidP="00C758E5">
      <w:pPr>
        <w:spacing w:after="0" w:line="240" w:lineRule="auto"/>
        <w:ind w:right="899" w:firstLine="1134"/>
        <w:jc w:val="center"/>
        <w:rPr>
          <w:rFonts w:ascii="ITC Avant Garde" w:hAnsi="ITC Avant Garde" w:cstheme="minorHAnsi"/>
          <w:sz w:val="14"/>
          <w:szCs w:val="14"/>
        </w:rPr>
      </w:pPr>
      <w:r w:rsidRPr="00742409">
        <w:rPr>
          <w:rFonts w:ascii="ITC Avant Garde" w:hAnsi="ITC Avant Garde" w:cstheme="minorHAnsi"/>
          <w:sz w:val="14"/>
          <w:szCs w:val="14"/>
        </w:rPr>
        <w:t>Figura 2: Histograma del tamaño de las manzanas asociadas a un complejo industrial</w:t>
      </w:r>
    </w:p>
    <w:p w14:paraId="31112200" w14:textId="77777777" w:rsidR="00C758E5" w:rsidRDefault="00C758E5" w:rsidP="00C758E5">
      <w:pPr>
        <w:spacing w:after="0" w:line="240" w:lineRule="auto"/>
        <w:jc w:val="both"/>
        <w:rPr>
          <w:rFonts w:ascii="ITC Avant Garde" w:hAnsi="ITC Avant Garde" w:cstheme="minorHAnsi"/>
        </w:rPr>
      </w:pPr>
    </w:p>
    <w:p w14:paraId="79521B1C" w14:textId="77777777"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 xml:space="preserve">Dado que normalmente los complejos industriales se componen de varias manzanas y generalmente éstas se encuentran separadas por calles (los polígonos de las manzanas no comparten una frontera en común), se procedió a relacionarlas con base en la distancia entre sí. En la </w:t>
      </w:r>
      <w:r>
        <w:rPr>
          <w:rFonts w:ascii="ITC Avant Garde" w:hAnsi="ITC Avant Garde" w:cstheme="minorHAnsi"/>
        </w:rPr>
        <w:t>F</w:t>
      </w:r>
      <w:r w:rsidRPr="006F3CEC">
        <w:rPr>
          <w:rFonts w:ascii="ITC Avant Garde" w:hAnsi="ITC Avant Garde" w:cstheme="minorHAnsi"/>
        </w:rPr>
        <w:t>igura 3 se muestra gráficamente una relación de vecindad</w:t>
      </w:r>
      <w:r>
        <w:rPr>
          <w:rFonts w:ascii="ITC Avant Garde" w:hAnsi="ITC Avant Garde" w:cstheme="minorHAnsi"/>
        </w:rPr>
        <w:t>,</w:t>
      </w:r>
      <w:r w:rsidRPr="006F3CEC">
        <w:rPr>
          <w:rFonts w:ascii="ITC Avant Garde" w:hAnsi="ITC Avant Garde" w:cstheme="minorHAnsi"/>
        </w:rPr>
        <w:t xml:space="preserve"> tomando como referencia el polígono de color negro. Para el presente análisis se establece que dos polígonos son vecinos s</w:t>
      </w:r>
      <w:r>
        <w:rPr>
          <w:rFonts w:ascii="ITC Avant Garde" w:hAnsi="ITC Avant Garde" w:cstheme="minorHAnsi"/>
        </w:rPr>
        <w:t>í</w:t>
      </w:r>
      <w:r w:rsidRPr="006F3CEC">
        <w:rPr>
          <w:rFonts w:ascii="ITC Avant Garde" w:hAnsi="ITC Avant Garde" w:cstheme="minorHAnsi"/>
        </w:rPr>
        <w:t xml:space="preserve"> y solo s</w:t>
      </w:r>
      <w:r>
        <w:rPr>
          <w:rFonts w:ascii="ITC Avant Garde" w:hAnsi="ITC Avant Garde" w:cstheme="minorHAnsi"/>
        </w:rPr>
        <w:t>í</w:t>
      </w:r>
      <w:r w:rsidRPr="006F3CEC">
        <w:rPr>
          <w:rFonts w:ascii="ITC Avant Garde" w:hAnsi="ITC Avant Garde" w:cstheme="minorHAnsi"/>
        </w:rPr>
        <w:t xml:space="preserve"> la distancia entre el centro de cada polígono (centroide) se encuentra a menos de una distancia </w:t>
      </w:r>
      <w:r w:rsidRPr="006F3CEC">
        <w:rPr>
          <w:rFonts w:ascii="ITC Avant Garde" w:hAnsi="ITC Avant Garde" w:cstheme="minorHAnsi"/>
          <w:i/>
          <w:iCs/>
        </w:rPr>
        <w:t>R</w:t>
      </w:r>
      <w:r w:rsidRPr="006F3CEC">
        <w:rPr>
          <w:rFonts w:ascii="ITC Avant Garde" w:hAnsi="ITC Avant Garde" w:cstheme="minorHAnsi"/>
        </w:rPr>
        <w:t xml:space="preserve">. Nótese que el número de vecinos depende directamente del valor del parámetro </w:t>
      </w:r>
      <w:r w:rsidRPr="006F3CEC">
        <w:rPr>
          <w:rFonts w:ascii="ITC Avant Garde" w:hAnsi="ITC Avant Garde" w:cstheme="minorHAnsi"/>
          <w:i/>
          <w:iCs/>
        </w:rPr>
        <w:t>R</w:t>
      </w:r>
      <w:r w:rsidRPr="006F3CEC">
        <w:rPr>
          <w:rFonts w:ascii="ITC Avant Garde" w:hAnsi="ITC Avant Garde" w:cstheme="minorHAnsi"/>
        </w:rPr>
        <w:t>.</w:t>
      </w:r>
    </w:p>
    <w:p w14:paraId="5DE6FB74" w14:textId="77777777" w:rsidR="00C758E5" w:rsidRPr="006F3CEC" w:rsidRDefault="00C758E5" w:rsidP="00C758E5">
      <w:pPr>
        <w:spacing w:after="0" w:line="240" w:lineRule="auto"/>
        <w:ind w:left="708"/>
        <w:jc w:val="center"/>
        <w:rPr>
          <w:rFonts w:ascii="ITC Avant Garde" w:hAnsi="ITC Avant Garde" w:cstheme="minorHAnsi"/>
        </w:rPr>
      </w:pPr>
      <w:r w:rsidRPr="006F3CEC">
        <w:rPr>
          <w:rFonts w:ascii="ITC Avant Garde" w:hAnsi="ITC Avant Garde" w:cstheme="minorHAnsi"/>
          <w:noProof/>
        </w:rPr>
        <w:lastRenderedPageBreak/>
        <w:drawing>
          <wp:inline distT="0" distB="0" distL="0" distR="0" wp14:anchorId="3022DF37" wp14:editId="44DA00AB">
            <wp:extent cx="3196800" cy="2283480"/>
            <wp:effectExtent l="0" t="0" r="3810" b="2540"/>
            <wp:docPr id="85112992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90802" name="Imagen 1" descr="Imagen que contiene For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6800" cy="2283480"/>
                    </a:xfrm>
                    <a:prstGeom prst="rect">
                      <a:avLst/>
                    </a:prstGeom>
                  </pic:spPr>
                </pic:pic>
              </a:graphicData>
            </a:graphic>
          </wp:inline>
        </w:drawing>
      </w:r>
    </w:p>
    <w:p w14:paraId="01497BC5" w14:textId="77777777" w:rsidR="00C758E5" w:rsidRPr="00742409" w:rsidRDefault="00C758E5" w:rsidP="00C758E5">
      <w:pPr>
        <w:spacing w:after="0" w:line="240" w:lineRule="auto"/>
        <w:ind w:left="1134" w:right="899"/>
        <w:jc w:val="center"/>
        <w:rPr>
          <w:rFonts w:ascii="ITC Avant Garde" w:hAnsi="ITC Avant Garde" w:cstheme="minorHAnsi"/>
          <w:sz w:val="14"/>
          <w:szCs w:val="14"/>
        </w:rPr>
      </w:pPr>
      <w:r w:rsidRPr="00742409">
        <w:rPr>
          <w:rFonts w:ascii="ITC Avant Garde" w:hAnsi="ITC Avant Garde" w:cstheme="minorHAnsi"/>
          <w:sz w:val="14"/>
          <w:szCs w:val="14"/>
        </w:rPr>
        <w:t xml:space="preserve">Figura 3: Polígonos vecinos con base en la distancia entre sí. El área de referencia se representa en color negro y los vecinos en color gris. El centro del círculo es el centroide del área de referencia y el radio es una distancia fija </w:t>
      </w:r>
      <w:r w:rsidRPr="00742409">
        <w:rPr>
          <w:rFonts w:ascii="ITC Avant Garde" w:hAnsi="ITC Avant Garde" w:cstheme="minorHAnsi"/>
          <w:i/>
          <w:sz w:val="14"/>
          <w:szCs w:val="14"/>
        </w:rPr>
        <w:t xml:space="preserve">R </w:t>
      </w:r>
      <w:r w:rsidRPr="00742409">
        <w:rPr>
          <w:rStyle w:val="Refdenotaalpie"/>
          <w:rFonts w:ascii="ITC Avant Garde" w:hAnsi="ITC Avant Garde" w:cstheme="minorHAnsi"/>
          <w:i/>
          <w:sz w:val="14"/>
          <w:szCs w:val="14"/>
        </w:rPr>
        <w:footnoteReference w:id="39"/>
      </w:r>
      <w:r w:rsidRPr="00742409">
        <w:rPr>
          <w:rFonts w:ascii="ITC Avant Garde" w:hAnsi="ITC Avant Garde" w:cstheme="minorHAnsi"/>
          <w:sz w:val="14"/>
          <w:szCs w:val="14"/>
        </w:rPr>
        <w:t>.</w:t>
      </w:r>
    </w:p>
    <w:p w14:paraId="7B1DD3E2" w14:textId="77777777" w:rsidR="00C758E5" w:rsidRDefault="00C758E5" w:rsidP="00C758E5">
      <w:pPr>
        <w:spacing w:after="0" w:line="240" w:lineRule="auto"/>
        <w:jc w:val="both"/>
        <w:rPr>
          <w:rFonts w:ascii="ITC Avant Garde" w:hAnsi="ITC Avant Garde" w:cstheme="minorHAnsi"/>
        </w:rPr>
      </w:pPr>
    </w:p>
    <w:p w14:paraId="42568275" w14:textId="1EC9349E"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 xml:space="preserve">Para definir un valor apropiado para el parámetro </w:t>
      </w:r>
      <w:r w:rsidRPr="006F3CEC">
        <w:rPr>
          <w:rFonts w:ascii="ITC Avant Garde" w:hAnsi="ITC Avant Garde" w:cstheme="minorHAnsi"/>
          <w:i/>
          <w:iCs/>
        </w:rPr>
        <w:t>R</w:t>
      </w:r>
      <w:r w:rsidRPr="006F3CEC">
        <w:rPr>
          <w:rFonts w:ascii="ITC Avant Garde" w:hAnsi="ITC Avant Garde" w:cstheme="minorHAnsi"/>
        </w:rPr>
        <w:t>, se tomó como referen</w:t>
      </w:r>
      <w:r>
        <w:rPr>
          <w:rFonts w:ascii="ITC Avant Garde" w:hAnsi="ITC Avant Garde" w:cstheme="minorHAnsi"/>
        </w:rPr>
        <w:t>cia</w:t>
      </w:r>
      <w:r w:rsidRPr="006F3CEC">
        <w:rPr>
          <w:rFonts w:ascii="ITC Avant Garde" w:hAnsi="ITC Avant Garde" w:cstheme="minorHAnsi"/>
        </w:rPr>
        <w:t xml:space="preserve"> la distancia a la manzana más cercana (que representaremos con la letra </w:t>
      </w:r>
      <w:r w:rsidRPr="006F3CEC">
        <w:rPr>
          <w:rFonts w:ascii="ITC Avant Garde" w:hAnsi="ITC Avant Garde" w:cstheme="minorHAnsi"/>
          <w:i/>
          <w:iCs/>
        </w:rPr>
        <w:t>r</w:t>
      </w:r>
      <w:r w:rsidRPr="006F3CEC">
        <w:rPr>
          <w:rFonts w:ascii="ITC Avant Garde" w:hAnsi="ITC Avant Garde" w:cstheme="minorHAnsi"/>
        </w:rPr>
        <w:t>). Entonces, para cada una de las 3,43</w:t>
      </w:r>
      <w:r>
        <w:rPr>
          <w:rFonts w:ascii="ITC Avant Garde" w:hAnsi="ITC Avant Garde" w:cstheme="minorHAnsi"/>
        </w:rPr>
        <w:t>7</w:t>
      </w:r>
      <w:r w:rsidRPr="006F3CEC">
        <w:rPr>
          <w:rFonts w:ascii="ITC Avant Garde" w:hAnsi="ITC Avant Garde" w:cstheme="minorHAnsi"/>
        </w:rPr>
        <w:t xml:space="preserve"> manzanas asociadas a un complejo industrial, se calculó el valor de </w:t>
      </w:r>
      <w:r w:rsidRPr="006F3CEC">
        <w:rPr>
          <w:rFonts w:ascii="ITC Avant Garde" w:hAnsi="ITC Avant Garde" w:cstheme="minorHAnsi"/>
          <w:i/>
          <w:iCs/>
        </w:rPr>
        <w:t>r</w:t>
      </w:r>
      <w:r w:rsidRPr="006F3CEC">
        <w:rPr>
          <w:rFonts w:ascii="ITC Avant Garde" w:hAnsi="ITC Avant Garde" w:cstheme="minorHAnsi"/>
        </w:rPr>
        <w:t xml:space="preserve"> y se analizó su distribución. En la </w:t>
      </w:r>
      <w:r w:rsidR="007C47E3">
        <w:rPr>
          <w:rFonts w:ascii="ITC Avant Garde" w:hAnsi="ITC Avant Garde" w:cstheme="minorHAnsi"/>
        </w:rPr>
        <w:t>F</w:t>
      </w:r>
      <w:r w:rsidRPr="006F3CEC">
        <w:rPr>
          <w:rFonts w:ascii="ITC Avant Garde" w:hAnsi="ITC Avant Garde" w:cstheme="minorHAnsi"/>
        </w:rPr>
        <w:t xml:space="preserve">igura 4, se puede observar que la curva de cuantiles de </w:t>
      </w:r>
      <w:r w:rsidRPr="006F3CEC">
        <w:rPr>
          <w:rFonts w:ascii="ITC Avant Garde" w:hAnsi="ITC Avant Garde" w:cstheme="minorHAnsi"/>
          <w:i/>
          <w:iCs/>
        </w:rPr>
        <w:t>r</w:t>
      </w:r>
      <w:r w:rsidRPr="006F3CEC">
        <w:rPr>
          <w:rFonts w:ascii="ITC Avant Garde" w:hAnsi="ITC Avant Garde" w:cstheme="minorHAnsi"/>
        </w:rPr>
        <w:t xml:space="preserve"> es plana hasta los últimos valores, lo que nos muestra que un porcentaje reducido de las manzanas se encuentran muy alejadas</w:t>
      </w:r>
      <w:r>
        <w:rPr>
          <w:rFonts w:ascii="ITC Avant Garde" w:hAnsi="ITC Avant Garde" w:cstheme="minorHAnsi"/>
        </w:rPr>
        <w:t xml:space="preserve"> de otra</w:t>
      </w:r>
      <w:r w:rsidRPr="006F3CEC">
        <w:rPr>
          <w:rFonts w:ascii="ITC Avant Garde" w:hAnsi="ITC Avant Garde" w:cstheme="minorHAnsi"/>
        </w:rPr>
        <w:t>.</w:t>
      </w:r>
    </w:p>
    <w:p w14:paraId="0BD7A38A" w14:textId="77777777" w:rsidR="00C758E5" w:rsidRDefault="00C758E5" w:rsidP="00C758E5">
      <w:pPr>
        <w:spacing w:after="0" w:line="240" w:lineRule="auto"/>
        <w:jc w:val="both"/>
        <w:rPr>
          <w:rFonts w:ascii="ITC Avant Garde" w:hAnsi="ITC Avant Garde" w:cstheme="minorHAnsi"/>
        </w:rPr>
      </w:pPr>
    </w:p>
    <w:p w14:paraId="6AA9A139" w14:textId="12A5F08D"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 xml:space="preserve">Análogamente a lo realizado con las unidades económicas, se definió un umbral para relacionar dos manzanas con base en los valores de </w:t>
      </w:r>
      <w:r w:rsidRPr="006F3CEC">
        <w:rPr>
          <w:rFonts w:ascii="ITC Avant Garde" w:hAnsi="ITC Avant Garde" w:cstheme="minorHAnsi"/>
          <w:i/>
          <w:iCs/>
        </w:rPr>
        <w:t>r</w:t>
      </w:r>
      <w:r w:rsidRPr="006F3CEC">
        <w:rPr>
          <w:rFonts w:ascii="ITC Avant Garde" w:hAnsi="ITC Avant Garde" w:cstheme="minorHAnsi"/>
        </w:rPr>
        <w:t xml:space="preserve"> y se calculó l</w:t>
      </w:r>
      <w:r>
        <w:rPr>
          <w:rFonts w:ascii="ITC Avant Garde" w:hAnsi="ITC Avant Garde" w:cstheme="minorHAnsi"/>
        </w:rPr>
        <w:t xml:space="preserve">a </w:t>
      </w:r>
      <w:r w:rsidRPr="006F3CEC">
        <w:rPr>
          <w:rFonts w:ascii="ITC Avant Garde" w:hAnsi="ITC Avant Garde" w:cstheme="minorHAnsi"/>
        </w:rPr>
        <w:t xml:space="preserve">estadística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s</m:t>
            </m:r>
          </m:sub>
        </m:sSub>
      </m:oMath>
      <w:r w:rsidRPr="006F3CEC">
        <w:rPr>
          <w:rFonts w:ascii="ITC Avant Garde" w:hAnsi="ITC Avant Garde" w:cstheme="minorHAnsi"/>
        </w:rPr>
        <w:t>, obteniendo un valor de 945.1</w:t>
      </w:r>
      <w:r>
        <w:rPr>
          <w:rFonts w:ascii="ITC Avant Garde" w:hAnsi="ITC Avant Garde" w:cstheme="minorHAnsi"/>
        </w:rPr>
        <w:t>1</w:t>
      </w:r>
      <w:r w:rsidRPr="006F3CEC">
        <w:rPr>
          <w:rFonts w:ascii="ITC Avant Garde" w:hAnsi="ITC Avant Garde" w:cstheme="minorHAnsi"/>
        </w:rPr>
        <w:t xml:space="preserve"> metros. En la </w:t>
      </w:r>
      <w:r w:rsidR="007C47E3">
        <w:rPr>
          <w:rFonts w:ascii="ITC Avant Garde" w:hAnsi="ITC Avant Garde" w:cstheme="minorHAnsi"/>
        </w:rPr>
        <w:t>F</w:t>
      </w:r>
      <w:r w:rsidRPr="006F3CEC">
        <w:rPr>
          <w:rFonts w:ascii="ITC Avant Garde" w:hAnsi="ITC Avant Garde" w:cstheme="minorHAnsi"/>
        </w:rPr>
        <w:t>igura 4, se resalta este valor con una línea roja.</w:t>
      </w:r>
    </w:p>
    <w:p w14:paraId="089AFB7A" w14:textId="77777777" w:rsidR="00C758E5" w:rsidRDefault="00C758E5" w:rsidP="00C758E5">
      <w:pPr>
        <w:spacing w:after="0" w:line="240" w:lineRule="auto"/>
        <w:jc w:val="both"/>
        <w:rPr>
          <w:rFonts w:ascii="ITC Avant Garde" w:hAnsi="ITC Avant Garde" w:cstheme="minorHAnsi"/>
        </w:rPr>
      </w:pPr>
    </w:p>
    <w:p w14:paraId="3CAE1CC9" w14:textId="2EF003ED"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Una vez que se definió el criterio para que dos manzanas se</w:t>
      </w:r>
      <w:r>
        <w:rPr>
          <w:rFonts w:ascii="ITC Avant Garde" w:hAnsi="ITC Avant Garde" w:cstheme="minorHAnsi"/>
        </w:rPr>
        <w:t xml:space="preserve">an </w:t>
      </w:r>
      <w:r w:rsidRPr="006F3CEC">
        <w:rPr>
          <w:rFonts w:ascii="ITC Avant Garde" w:hAnsi="ITC Avant Garde" w:cstheme="minorHAnsi"/>
        </w:rPr>
        <w:t xml:space="preserve">vecinas, se procedió a generar un mapa de vecinos y a agrupar las manzanas con base en estos mapas. En la figura 5, se muestra un ejemplo del proceso para agrupar manzanas en el municipio de </w:t>
      </w:r>
      <w:r w:rsidR="007C47E3" w:rsidRPr="006F3CEC">
        <w:rPr>
          <w:rFonts w:ascii="ITC Avant Garde" w:hAnsi="ITC Avant Garde" w:cstheme="minorHAnsi"/>
        </w:rPr>
        <w:t>Mexicali</w:t>
      </w:r>
      <w:r w:rsidRPr="006F3CEC">
        <w:rPr>
          <w:rFonts w:ascii="ITC Avant Garde" w:hAnsi="ITC Avant Garde" w:cstheme="minorHAnsi"/>
        </w:rPr>
        <w:t>. La agrupación se hace con base en el mapa de vecinos, es decir, dos manzanas pertenecen al mismo grupo si hay una sucesión de manzanas vecinas que las conecte. En el ejemplo podemos observar que hay dos grupos, los cuales corresponden a los parques industriales PIMSA I a la izquierda y PIMSA IV a la derecha de la imagen.</w:t>
      </w:r>
    </w:p>
    <w:p w14:paraId="7E931DF6" w14:textId="77777777" w:rsidR="00C758E5" w:rsidRPr="006F3CEC" w:rsidRDefault="00C758E5" w:rsidP="00C758E5">
      <w:pPr>
        <w:spacing w:after="0" w:line="240" w:lineRule="auto"/>
        <w:jc w:val="both"/>
        <w:rPr>
          <w:rFonts w:ascii="ITC Avant Garde" w:hAnsi="ITC Avant Garde" w:cstheme="minorHAnsi"/>
        </w:rPr>
      </w:pPr>
    </w:p>
    <w:p w14:paraId="6CF1697D" w14:textId="77777777" w:rsidR="00C758E5" w:rsidRPr="006F3CEC" w:rsidRDefault="00C758E5" w:rsidP="00C758E5">
      <w:pPr>
        <w:spacing w:after="0" w:line="240" w:lineRule="auto"/>
        <w:ind w:left="851" w:firstLine="709"/>
        <w:rPr>
          <w:rFonts w:ascii="ITC Avant Garde" w:hAnsi="ITC Avant Garde" w:cstheme="minorHAnsi"/>
        </w:rPr>
      </w:pPr>
      <w:r w:rsidRPr="006F3CEC">
        <w:rPr>
          <w:rFonts w:ascii="ITC Avant Garde" w:hAnsi="ITC Avant Garde" w:cstheme="minorHAnsi"/>
          <w:noProof/>
          <w14:ligatures w14:val="none"/>
        </w:rPr>
        <w:lastRenderedPageBreak/>
        <w:drawing>
          <wp:inline distT="0" distB="0" distL="0" distR="0" wp14:anchorId="7A588918" wp14:editId="319049EB">
            <wp:extent cx="4108938" cy="2904803"/>
            <wp:effectExtent l="0" t="0" r="6350" b="0"/>
            <wp:docPr id="1005375880"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97626" name="Imagen 6" descr="Gráfico, Histo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115344" cy="2909332"/>
                    </a:xfrm>
                    <a:prstGeom prst="rect">
                      <a:avLst/>
                    </a:prstGeom>
                  </pic:spPr>
                </pic:pic>
              </a:graphicData>
            </a:graphic>
          </wp:inline>
        </w:drawing>
      </w:r>
    </w:p>
    <w:p w14:paraId="0468DBD2" w14:textId="77777777" w:rsidR="00C758E5" w:rsidRPr="00742409" w:rsidRDefault="00C758E5" w:rsidP="00C758E5">
      <w:pPr>
        <w:spacing w:after="0" w:line="240" w:lineRule="auto"/>
        <w:ind w:right="899" w:firstLine="1134"/>
        <w:jc w:val="center"/>
        <w:rPr>
          <w:rFonts w:ascii="ITC Avant Garde" w:hAnsi="ITC Avant Garde" w:cstheme="minorHAnsi"/>
          <w:sz w:val="14"/>
          <w:szCs w:val="14"/>
        </w:rPr>
      </w:pPr>
      <w:r w:rsidRPr="00742409">
        <w:rPr>
          <w:rFonts w:ascii="ITC Avant Garde" w:hAnsi="ITC Avant Garde" w:cstheme="minorHAnsi"/>
          <w:sz w:val="14"/>
          <w:szCs w:val="14"/>
        </w:rPr>
        <w:t>Figura 4: Gráfica de cuantiles de la distancia en metros a la manzana más cercana</w:t>
      </w:r>
    </w:p>
    <w:p w14:paraId="45C5C10F" w14:textId="77777777" w:rsidR="00C758E5" w:rsidRPr="006F3CEC" w:rsidRDefault="00C758E5" w:rsidP="00C758E5">
      <w:pPr>
        <w:spacing w:after="0" w:line="240" w:lineRule="auto"/>
        <w:ind w:firstLine="567"/>
        <w:jc w:val="center"/>
        <w:rPr>
          <w:rFonts w:ascii="ITC Avant Garde" w:hAnsi="ITC Avant Garde" w:cs="Times New Roman"/>
        </w:rPr>
      </w:pPr>
      <w:r w:rsidRPr="006F3CEC">
        <w:rPr>
          <w:rFonts w:ascii="ITC Avant Garde" w:hAnsi="ITC Avant Garde" w:cs="Times New Roman"/>
          <w:noProof/>
          <w14:ligatures w14:val="none"/>
        </w:rPr>
        <w:drawing>
          <wp:inline distT="0" distB="0" distL="0" distR="0" wp14:anchorId="07707AF1" wp14:editId="0129165E">
            <wp:extent cx="4376057" cy="1953720"/>
            <wp:effectExtent l="0" t="0" r="5715" b="8890"/>
            <wp:docPr id="978581081" name="Imagen 1" descr="Imagen que contiene texto, l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76236" name="Imagen 1" descr="Imagen que contiene texto, lego&#10;&#10;Descripción generada automáticamente"/>
                    <pic:cNvPicPr/>
                  </pic:nvPicPr>
                  <pic:blipFill rotWithShape="1">
                    <a:blip r:embed="rId17">
                      <a:extLst>
                        <a:ext uri="{28A0092B-C50C-407E-A947-70E740481C1C}">
                          <a14:useLocalDpi xmlns:a14="http://schemas.microsoft.com/office/drawing/2010/main" val="0"/>
                        </a:ext>
                      </a:extLst>
                    </a:blip>
                    <a:srcRect l="14452" t="21264" r="7554" b="29482"/>
                    <a:stretch/>
                  </pic:blipFill>
                  <pic:spPr bwMode="auto">
                    <a:xfrm>
                      <a:off x="0" y="0"/>
                      <a:ext cx="4377033" cy="1954156"/>
                    </a:xfrm>
                    <a:prstGeom prst="rect">
                      <a:avLst/>
                    </a:prstGeom>
                    <a:ln>
                      <a:noFill/>
                    </a:ln>
                    <a:extLst>
                      <a:ext uri="{53640926-AAD7-44D8-BBD7-CCE9431645EC}">
                        <a14:shadowObscured xmlns:a14="http://schemas.microsoft.com/office/drawing/2010/main"/>
                      </a:ext>
                    </a:extLst>
                  </pic:spPr>
                </pic:pic>
              </a:graphicData>
            </a:graphic>
          </wp:inline>
        </w:drawing>
      </w:r>
    </w:p>
    <w:p w14:paraId="4E8C3803" w14:textId="77777777" w:rsidR="00C758E5" w:rsidRPr="00742409" w:rsidRDefault="00C758E5" w:rsidP="00C758E5">
      <w:pPr>
        <w:spacing w:after="0" w:line="240" w:lineRule="auto"/>
        <w:ind w:right="757" w:firstLine="1134"/>
        <w:jc w:val="center"/>
        <w:rPr>
          <w:rFonts w:ascii="ITC Avant Garde" w:hAnsi="ITC Avant Garde" w:cstheme="minorHAnsi"/>
          <w:sz w:val="14"/>
          <w:szCs w:val="14"/>
        </w:rPr>
      </w:pPr>
      <w:r w:rsidRPr="00742409">
        <w:rPr>
          <w:rFonts w:ascii="ITC Avant Garde" w:hAnsi="ITC Avant Garde" w:cstheme="minorHAnsi"/>
          <w:sz w:val="14"/>
          <w:szCs w:val="14"/>
        </w:rPr>
        <w:t>Figura 5: Mapas de vecinos separados por una distancia menor a 945.15 metros.</w:t>
      </w:r>
    </w:p>
    <w:p w14:paraId="744DA394" w14:textId="77777777" w:rsidR="00C758E5" w:rsidRDefault="00C758E5" w:rsidP="00C758E5">
      <w:pPr>
        <w:spacing w:after="0" w:line="240" w:lineRule="auto"/>
        <w:jc w:val="both"/>
        <w:rPr>
          <w:rFonts w:ascii="ITC Avant Garde" w:hAnsi="ITC Avant Garde" w:cstheme="minorHAnsi"/>
        </w:rPr>
      </w:pPr>
    </w:p>
    <w:p w14:paraId="61895275" w14:textId="32CD75EC"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Como resultado, se agruparon las 3,43</w:t>
      </w:r>
      <w:r>
        <w:rPr>
          <w:rFonts w:ascii="ITC Avant Garde" w:hAnsi="ITC Avant Garde" w:cstheme="minorHAnsi"/>
        </w:rPr>
        <w:t>7</w:t>
      </w:r>
      <w:r w:rsidRPr="006F3CEC">
        <w:rPr>
          <w:rFonts w:ascii="ITC Avant Garde" w:hAnsi="ITC Avant Garde" w:cstheme="minorHAnsi"/>
        </w:rPr>
        <w:t xml:space="preserve"> manzanas asociadas a un complejo industrial en 692 grupos. Por otro lado, para cada grupo de manzanas se generó la envolvente convexa</w:t>
      </w:r>
      <w:r>
        <w:rPr>
          <w:rStyle w:val="Refdenotaalpie"/>
          <w:rFonts w:ascii="ITC Avant Garde" w:hAnsi="ITC Avant Garde" w:cstheme="minorHAnsi"/>
        </w:rPr>
        <w:footnoteReference w:id="40"/>
      </w:r>
      <w:r w:rsidRPr="006F3CEC">
        <w:rPr>
          <w:rFonts w:ascii="ITC Avant Garde" w:hAnsi="ITC Avant Garde" w:cstheme="minorHAnsi"/>
        </w:rPr>
        <w:t xml:space="preserve"> para tener un polígono por grupo. En la </w:t>
      </w:r>
      <w:r w:rsidR="007C47E3">
        <w:rPr>
          <w:rFonts w:ascii="ITC Avant Garde" w:hAnsi="ITC Avant Garde" w:cstheme="minorHAnsi"/>
        </w:rPr>
        <w:t>F</w:t>
      </w:r>
      <w:r w:rsidRPr="006F3CEC">
        <w:rPr>
          <w:rFonts w:ascii="ITC Avant Garde" w:hAnsi="ITC Avant Garde" w:cstheme="minorHAnsi"/>
        </w:rPr>
        <w:t>igura 6, se muestra la envolvente convexa para los parques industriales PIMSA I y PIMSA IV en color rojo.</w:t>
      </w:r>
    </w:p>
    <w:p w14:paraId="6C2D4FB5" w14:textId="77777777" w:rsidR="00C758E5" w:rsidRPr="006F3CEC" w:rsidRDefault="00C758E5" w:rsidP="00C758E5">
      <w:pPr>
        <w:spacing w:after="0" w:line="240" w:lineRule="auto"/>
        <w:ind w:left="708"/>
        <w:jc w:val="center"/>
        <w:rPr>
          <w:rFonts w:ascii="ITC Avant Garde" w:hAnsi="ITC Avant Garde" w:cstheme="minorHAnsi"/>
        </w:rPr>
      </w:pPr>
      <w:r w:rsidRPr="006F3CEC">
        <w:rPr>
          <w:rFonts w:ascii="ITC Avant Garde" w:hAnsi="ITC Avant Garde" w:cstheme="minorHAnsi"/>
          <w:noProof/>
        </w:rPr>
        <w:lastRenderedPageBreak/>
        <w:drawing>
          <wp:inline distT="0" distB="0" distL="0" distR="0" wp14:anchorId="204BCB13" wp14:editId="16BA50DA">
            <wp:extent cx="4377600" cy="1763324"/>
            <wp:effectExtent l="0" t="0" r="4445" b="8890"/>
            <wp:docPr id="1226173615"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63586" name="Imagen 1" descr="Imagen que contiene Logotipo&#10;&#10;Descripción generada automáticamente"/>
                    <pic:cNvPicPr/>
                  </pic:nvPicPr>
                  <pic:blipFill rotWithShape="1">
                    <a:blip r:embed="rId18" cstate="print">
                      <a:extLst>
                        <a:ext uri="{28A0092B-C50C-407E-A947-70E740481C1C}">
                          <a14:useLocalDpi xmlns:a14="http://schemas.microsoft.com/office/drawing/2010/main" val="0"/>
                        </a:ext>
                      </a:extLst>
                    </a:blip>
                    <a:srcRect t="24324" b="18707"/>
                    <a:stretch/>
                  </pic:blipFill>
                  <pic:spPr bwMode="auto">
                    <a:xfrm>
                      <a:off x="0" y="0"/>
                      <a:ext cx="4377600" cy="1763324"/>
                    </a:xfrm>
                    <a:prstGeom prst="rect">
                      <a:avLst/>
                    </a:prstGeom>
                    <a:ln>
                      <a:noFill/>
                    </a:ln>
                    <a:extLst>
                      <a:ext uri="{53640926-AAD7-44D8-BBD7-CCE9431645EC}">
                        <a14:shadowObscured xmlns:a14="http://schemas.microsoft.com/office/drawing/2010/main"/>
                      </a:ext>
                    </a:extLst>
                  </pic:spPr>
                </pic:pic>
              </a:graphicData>
            </a:graphic>
          </wp:inline>
        </w:drawing>
      </w:r>
    </w:p>
    <w:p w14:paraId="2157C09A" w14:textId="77777777" w:rsidR="00C758E5" w:rsidRPr="00742409" w:rsidRDefault="00C758E5" w:rsidP="00C758E5">
      <w:pPr>
        <w:spacing w:after="0" w:line="240" w:lineRule="auto"/>
        <w:ind w:left="1134" w:right="899"/>
        <w:jc w:val="center"/>
        <w:rPr>
          <w:rFonts w:ascii="ITC Avant Garde" w:hAnsi="ITC Avant Garde" w:cstheme="minorHAnsi"/>
          <w:sz w:val="14"/>
          <w:szCs w:val="14"/>
        </w:rPr>
      </w:pPr>
      <w:r w:rsidRPr="00742409">
        <w:rPr>
          <w:rFonts w:ascii="ITC Avant Garde" w:hAnsi="ITC Avant Garde" w:cstheme="minorHAnsi"/>
          <w:sz w:val="14"/>
          <w:szCs w:val="14"/>
        </w:rPr>
        <w:t>Figura 6: Envolventes convexas para las manzanas que componen a los parques industriales PIMSA I y PIMSA IV</w:t>
      </w:r>
    </w:p>
    <w:p w14:paraId="3E849283" w14:textId="77777777" w:rsidR="00C758E5" w:rsidRDefault="00C758E5" w:rsidP="00C758E5">
      <w:pPr>
        <w:spacing w:after="0" w:line="240" w:lineRule="auto"/>
        <w:jc w:val="both"/>
        <w:rPr>
          <w:rFonts w:ascii="ITC Avant Garde" w:hAnsi="ITC Avant Garde" w:cstheme="minorHAnsi"/>
        </w:rPr>
      </w:pPr>
    </w:p>
    <w:p w14:paraId="7EF578C3" w14:textId="26934629" w:rsidR="00C758E5" w:rsidRPr="006F3CEC"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 xml:space="preserve">No obstante, al momento de generar las envolventes convexas, existen casos donde los polígonos de dos grupos diferentes se intersecan.  En la </w:t>
      </w:r>
      <w:r w:rsidR="007C47E3">
        <w:rPr>
          <w:rFonts w:ascii="ITC Avant Garde" w:hAnsi="ITC Avant Garde" w:cstheme="minorHAnsi"/>
        </w:rPr>
        <w:t>F</w:t>
      </w:r>
      <w:r w:rsidRPr="006F3CEC">
        <w:rPr>
          <w:rFonts w:ascii="ITC Avant Garde" w:hAnsi="ITC Avant Garde" w:cstheme="minorHAnsi"/>
        </w:rPr>
        <w:t>igura 7, se puede observar un ejemplo de este fenómeno en dos grupos que forman parte del parque industrial San Martín de Obispo en el municipio de Cuautitlán Izcalli en el Estado de México. Lo anterior ocurre debido a la gran diversidad de formas y tamaños que pueden llegar a tener los polígonos de las manzanas analizadas. Más aún, lo que se buscaría es que polígonos que pertenecen a un mismo parque industrial estuvieran en el mismo mapa de vecinos.</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50"/>
      </w:tblGrid>
      <w:tr w:rsidR="00C758E5" w:rsidRPr="006F3CEC" w14:paraId="1582B45B" w14:textId="77777777" w:rsidTr="00E94675">
        <w:tc>
          <w:tcPr>
            <w:tcW w:w="4414" w:type="dxa"/>
          </w:tcPr>
          <w:p w14:paraId="2A26D47E" w14:textId="77777777" w:rsidR="00C758E5" w:rsidRPr="006F3CEC" w:rsidRDefault="00C758E5" w:rsidP="00E94675">
            <w:pPr>
              <w:jc w:val="center"/>
              <w:rPr>
                <w:rFonts w:ascii="ITC Avant Garde" w:hAnsi="ITC Avant Garde" w:cstheme="minorHAnsi"/>
              </w:rPr>
            </w:pPr>
            <w:r w:rsidRPr="006F3CEC">
              <w:rPr>
                <w:rFonts w:ascii="ITC Avant Garde" w:hAnsi="ITC Avant Garde" w:cstheme="minorHAnsi"/>
                <w:noProof/>
              </w:rPr>
              <w:drawing>
                <wp:inline distT="0" distB="0" distL="0" distR="0" wp14:anchorId="04BC7BFA" wp14:editId="4DECC733">
                  <wp:extent cx="2387600" cy="2444115"/>
                  <wp:effectExtent l="0" t="0" r="0" b="0"/>
                  <wp:docPr id="531774528" name="Imagen 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4004" name="Imagen 3" descr="Imagen que contiene Mapa&#10;&#10;Descripción generada automáticamente"/>
                          <pic:cNvPicPr/>
                        </pic:nvPicPr>
                        <pic:blipFill rotWithShape="1">
                          <a:blip r:embed="rId19">
                            <a:extLst>
                              <a:ext uri="{28A0092B-C50C-407E-A947-70E740481C1C}">
                                <a14:useLocalDpi xmlns:a14="http://schemas.microsoft.com/office/drawing/2010/main" val="0"/>
                              </a:ext>
                            </a:extLst>
                          </a:blip>
                          <a:srcRect l="33742" t="17944" r="25856" b="23554"/>
                          <a:stretch/>
                        </pic:blipFill>
                        <pic:spPr bwMode="auto">
                          <a:xfrm>
                            <a:off x="0" y="0"/>
                            <a:ext cx="2390630" cy="2447217"/>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2EB29ECC" w14:textId="77777777" w:rsidR="00C758E5" w:rsidRPr="006F3CEC" w:rsidRDefault="00C758E5" w:rsidP="00E94675">
            <w:pPr>
              <w:jc w:val="both"/>
              <w:rPr>
                <w:rFonts w:ascii="ITC Avant Garde" w:hAnsi="ITC Avant Garde" w:cstheme="minorHAnsi"/>
              </w:rPr>
            </w:pPr>
            <w:r w:rsidRPr="006F3CEC">
              <w:rPr>
                <w:rFonts w:ascii="ITC Avant Garde" w:hAnsi="ITC Avant Garde" w:cstheme="minorHAnsi"/>
                <w:noProof/>
              </w:rPr>
              <w:drawing>
                <wp:inline distT="0" distB="0" distL="0" distR="0" wp14:anchorId="0FA2D984" wp14:editId="757F60FC">
                  <wp:extent cx="2401765" cy="2444750"/>
                  <wp:effectExtent l="0" t="0" r="0" b="0"/>
                  <wp:docPr id="792563957" name="Imagen 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29510" name="Imagen 2" descr="Una caricatura de una persona&#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l="18763" t="3960" r="18650" b="5937"/>
                          <a:stretch/>
                        </pic:blipFill>
                        <pic:spPr bwMode="auto">
                          <a:xfrm>
                            <a:off x="0" y="0"/>
                            <a:ext cx="2403145" cy="24461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4DBC08" w14:textId="77777777" w:rsidR="00C758E5" w:rsidRPr="00742409" w:rsidRDefault="00C758E5" w:rsidP="00C758E5">
      <w:pPr>
        <w:spacing w:after="0" w:line="240" w:lineRule="auto"/>
        <w:ind w:left="1134" w:right="899"/>
        <w:jc w:val="center"/>
        <w:rPr>
          <w:rFonts w:ascii="ITC Avant Garde" w:hAnsi="ITC Avant Garde" w:cstheme="minorHAnsi"/>
          <w:sz w:val="14"/>
          <w:szCs w:val="14"/>
        </w:rPr>
      </w:pPr>
      <w:r w:rsidRPr="00742409">
        <w:rPr>
          <w:rFonts w:ascii="ITC Avant Garde" w:hAnsi="ITC Avant Garde" w:cstheme="minorHAnsi"/>
          <w:sz w:val="14"/>
          <w:szCs w:val="14"/>
        </w:rPr>
        <w:t>Figura 7: Parque Industrial San Martín Obispo. Izquierda: Mapa de vecinos Derecha: Polígonos de las envolventes convexas de los dos grupos identificados.</w:t>
      </w:r>
    </w:p>
    <w:p w14:paraId="0B3368DC" w14:textId="77777777" w:rsidR="00C758E5" w:rsidRDefault="00C758E5" w:rsidP="00C758E5">
      <w:pPr>
        <w:spacing w:after="0" w:line="240" w:lineRule="auto"/>
        <w:jc w:val="both"/>
        <w:rPr>
          <w:rFonts w:ascii="ITC Avant Garde" w:hAnsi="ITC Avant Garde" w:cstheme="minorHAnsi"/>
        </w:rPr>
      </w:pPr>
    </w:p>
    <w:p w14:paraId="4E4A6D41" w14:textId="40ECACC4" w:rsidR="00C758E5" w:rsidRDefault="00C758E5" w:rsidP="00C758E5">
      <w:pPr>
        <w:spacing w:after="0" w:line="240" w:lineRule="auto"/>
        <w:jc w:val="both"/>
        <w:rPr>
          <w:rFonts w:ascii="ITC Avant Garde" w:hAnsi="ITC Avant Garde" w:cstheme="minorHAnsi"/>
        </w:rPr>
      </w:pPr>
      <w:r w:rsidRPr="006F3CEC">
        <w:rPr>
          <w:rFonts w:ascii="ITC Avant Garde" w:hAnsi="ITC Avant Garde" w:cstheme="minorHAnsi"/>
        </w:rPr>
        <w:t>Para solucionar este problema, se decidió unificar los grupos que se intersecan y generar envolventes convexas a partir de las manzanas que pertenecen a esta nueva agrupación. Finalmente, se obtuvieron</w:t>
      </w:r>
      <w:r>
        <w:rPr>
          <w:rFonts w:ascii="ITC Avant Garde" w:hAnsi="ITC Avant Garde" w:cstheme="minorHAnsi"/>
        </w:rPr>
        <w:t xml:space="preserve"> </w:t>
      </w:r>
      <w:r w:rsidRPr="00E5624C">
        <w:rPr>
          <w:rFonts w:ascii="ITC Avant Garde" w:hAnsi="ITC Avant Garde" w:cstheme="minorHAnsi"/>
        </w:rPr>
        <w:t>676</w:t>
      </w:r>
      <w:r w:rsidRPr="006F3CEC">
        <w:rPr>
          <w:rFonts w:ascii="ITC Avant Garde" w:hAnsi="ITC Avant Garde" w:cstheme="minorHAnsi"/>
        </w:rPr>
        <w:t xml:space="preserve"> </w:t>
      </w:r>
      <w:r w:rsidR="00185897">
        <w:rPr>
          <w:rFonts w:ascii="ITC Avant Garde" w:hAnsi="ITC Avant Garde" w:cstheme="minorHAnsi"/>
        </w:rPr>
        <w:t>zonas</w:t>
      </w:r>
      <w:r w:rsidRPr="006F3CEC">
        <w:rPr>
          <w:rFonts w:ascii="ITC Avant Garde" w:hAnsi="ITC Avant Garde" w:cstheme="minorHAnsi"/>
        </w:rPr>
        <w:t xml:space="preserve"> disjuntas</w:t>
      </w:r>
      <w:r>
        <w:rPr>
          <w:rFonts w:ascii="ITC Avant Garde" w:hAnsi="ITC Avant Garde" w:cstheme="minorHAnsi"/>
        </w:rPr>
        <w:t xml:space="preserve">. </w:t>
      </w:r>
      <w:r w:rsidRPr="006F3CEC">
        <w:rPr>
          <w:rFonts w:ascii="ITC Avant Garde" w:hAnsi="ITC Avant Garde" w:cstheme="minorHAnsi"/>
        </w:rPr>
        <w:t xml:space="preserve">En la Figura 8, se puede </w:t>
      </w:r>
      <w:r w:rsidRPr="006F3CEC">
        <w:rPr>
          <w:rFonts w:ascii="ITC Avant Garde" w:hAnsi="ITC Avant Garde" w:cstheme="minorHAnsi"/>
        </w:rPr>
        <w:lastRenderedPageBreak/>
        <w:t>observar que la media (1,42</w:t>
      </w:r>
      <w:r>
        <w:rPr>
          <w:rFonts w:ascii="ITC Avant Garde" w:hAnsi="ITC Avant Garde" w:cstheme="minorHAnsi"/>
        </w:rPr>
        <w:t>5</w:t>
      </w:r>
      <w:r w:rsidRPr="006F3CEC">
        <w:rPr>
          <w:rFonts w:ascii="ITC Avant Garde" w:hAnsi="ITC Avant Garde" w:cstheme="minorHAnsi"/>
        </w:rPr>
        <w:t>,3</w:t>
      </w:r>
      <w:r>
        <w:rPr>
          <w:rFonts w:ascii="ITC Avant Garde" w:hAnsi="ITC Avant Garde" w:cstheme="minorHAnsi"/>
        </w:rPr>
        <w:t>92</w:t>
      </w:r>
      <w:r w:rsidRPr="006F3CEC">
        <w:rPr>
          <w:rFonts w:ascii="ITC Avant Garde" w:hAnsi="ITC Avant Garde" w:cstheme="minorHAnsi"/>
        </w:rPr>
        <w:t xml:space="preserve"> m</w:t>
      </w:r>
      <w:r w:rsidRPr="006F3CEC">
        <w:rPr>
          <w:rFonts w:ascii="ITC Avant Garde" w:hAnsi="ITC Avant Garde" w:cstheme="minorHAnsi"/>
          <w:vertAlign w:val="superscript"/>
        </w:rPr>
        <w:t>2</w:t>
      </w:r>
      <w:r w:rsidRPr="006F3CEC">
        <w:rPr>
          <w:rFonts w:ascii="ITC Avant Garde" w:hAnsi="ITC Avant Garde" w:cstheme="minorHAnsi"/>
        </w:rPr>
        <w:t>) en color rojo y la mediana con (314,159 m</w:t>
      </w:r>
      <w:r w:rsidRPr="006F3CEC">
        <w:rPr>
          <w:rFonts w:ascii="ITC Avant Garde" w:hAnsi="ITC Avant Garde" w:cstheme="minorHAnsi"/>
          <w:vertAlign w:val="superscript"/>
        </w:rPr>
        <w:t>2</w:t>
      </w:r>
      <w:r w:rsidRPr="006F3CEC">
        <w:rPr>
          <w:rFonts w:ascii="ITC Avant Garde" w:hAnsi="ITC Avant Garde" w:cstheme="minorHAnsi"/>
        </w:rPr>
        <w:t>) en color azul aumentaron con respecto a los valores de la figura 2. Adicionalmente, se observa que el rango de valores se extendió, ya que va de 528 a 4</w:t>
      </w:r>
      <w:r>
        <w:rPr>
          <w:rFonts w:ascii="ITC Avant Garde" w:hAnsi="ITC Avant Garde" w:cstheme="minorHAnsi"/>
        </w:rPr>
        <w:t>0</w:t>
      </w:r>
      <w:r w:rsidRPr="006F3CEC">
        <w:rPr>
          <w:rFonts w:ascii="ITC Avant Garde" w:hAnsi="ITC Avant Garde" w:cstheme="minorHAnsi"/>
        </w:rPr>
        <w:t>,</w:t>
      </w:r>
      <w:r>
        <w:rPr>
          <w:rFonts w:ascii="ITC Avant Garde" w:hAnsi="ITC Avant Garde" w:cstheme="minorHAnsi"/>
        </w:rPr>
        <w:t>934</w:t>
      </w:r>
      <w:r w:rsidRPr="006F3CEC">
        <w:rPr>
          <w:rFonts w:ascii="ITC Avant Garde" w:hAnsi="ITC Avant Garde" w:cstheme="minorHAnsi"/>
        </w:rPr>
        <w:t>,</w:t>
      </w:r>
      <w:r>
        <w:rPr>
          <w:rFonts w:ascii="ITC Avant Garde" w:hAnsi="ITC Avant Garde" w:cstheme="minorHAnsi"/>
        </w:rPr>
        <w:t>812</w:t>
      </w:r>
      <w:r w:rsidRPr="006F3CEC">
        <w:rPr>
          <w:rFonts w:ascii="ITC Avant Garde" w:hAnsi="ITC Avant Garde" w:cstheme="minorHAnsi"/>
        </w:rPr>
        <w:t xml:space="preserve"> m</w:t>
      </w:r>
      <w:r w:rsidRPr="006F3CEC">
        <w:rPr>
          <w:rFonts w:ascii="ITC Avant Garde" w:hAnsi="ITC Avant Garde" w:cstheme="minorHAnsi"/>
          <w:vertAlign w:val="superscript"/>
        </w:rPr>
        <w:t>2</w:t>
      </w:r>
      <w:r w:rsidRPr="006F3CEC">
        <w:rPr>
          <w:rFonts w:ascii="ITC Avant Garde" w:hAnsi="ITC Avant Garde" w:cstheme="minorHAnsi"/>
        </w:rPr>
        <w:t>.</w:t>
      </w:r>
    </w:p>
    <w:p w14:paraId="184E2C56" w14:textId="77777777" w:rsidR="00C758E5" w:rsidRDefault="00C758E5" w:rsidP="00C758E5">
      <w:pPr>
        <w:spacing w:after="0" w:line="240" w:lineRule="auto"/>
        <w:jc w:val="both"/>
        <w:rPr>
          <w:rFonts w:ascii="ITC Avant Garde" w:hAnsi="ITC Avant Garde" w:cstheme="minorHAnsi"/>
        </w:rPr>
      </w:pPr>
    </w:p>
    <w:p w14:paraId="0A078AEE" w14:textId="323A6439" w:rsidR="00C758E5" w:rsidRPr="006F3CEC" w:rsidRDefault="00656D06" w:rsidP="00C758E5">
      <w:pPr>
        <w:spacing w:after="0" w:line="240" w:lineRule="auto"/>
        <w:ind w:left="993"/>
        <w:jc w:val="both"/>
        <w:rPr>
          <w:rFonts w:ascii="ITC Avant Garde" w:hAnsi="ITC Avant Garde" w:cstheme="minorHAnsi"/>
        </w:rPr>
      </w:pPr>
      <w:r>
        <w:rPr>
          <w:rFonts w:ascii="ITC Avant Garde" w:hAnsi="ITC Avant Garde" w:cstheme="minorHAnsi"/>
          <w:noProof/>
        </w:rPr>
        <w:drawing>
          <wp:inline distT="0" distB="0" distL="0" distR="0" wp14:anchorId="1D168151" wp14:editId="2074E9A0">
            <wp:extent cx="4679024" cy="3308400"/>
            <wp:effectExtent l="0" t="0" r="7620" b="6350"/>
            <wp:docPr id="75983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3175"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4679024" cy="3308400"/>
                    </a:xfrm>
                    <a:prstGeom prst="rect">
                      <a:avLst/>
                    </a:prstGeom>
                  </pic:spPr>
                </pic:pic>
              </a:graphicData>
            </a:graphic>
          </wp:inline>
        </w:drawing>
      </w:r>
    </w:p>
    <w:p w14:paraId="5E697BF7" w14:textId="35029AD1" w:rsidR="00C758E5" w:rsidRPr="00742409" w:rsidRDefault="00C758E5" w:rsidP="00C758E5">
      <w:pPr>
        <w:spacing w:after="0" w:line="240" w:lineRule="auto"/>
        <w:ind w:left="1134" w:right="899"/>
        <w:jc w:val="center"/>
        <w:rPr>
          <w:rFonts w:ascii="ITC Avant Garde" w:hAnsi="ITC Avant Garde" w:cstheme="minorHAnsi"/>
          <w:sz w:val="14"/>
          <w:szCs w:val="14"/>
        </w:rPr>
      </w:pPr>
      <w:r w:rsidRPr="00742409">
        <w:rPr>
          <w:rFonts w:ascii="ITC Avant Garde" w:hAnsi="ITC Avant Garde" w:cstheme="minorHAnsi"/>
          <w:sz w:val="14"/>
          <w:szCs w:val="14"/>
        </w:rPr>
        <w:t xml:space="preserve">Figura 8: Histograma del tamaño de las </w:t>
      </w:r>
      <w:r w:rsidR="00BA652D" w:rsidRPr="00742409">
        <w:rPr>
          <w:rFonts w:ascii="ITC Avant Garde" w:hAnsi="ITC Avant Garde" w:cstheme="minorHAnsi"/>
          <w:sz w:val="14"/>
          <w:szCs w:val="14"/>
        </w:rPr>
        <w:t>zonas</w:t>
      </w:r>
      <w:r w:rsidRPr="00742409">
        <w:rPr>
          <w:rFonts w:ascii="ITC Avant Garde" w:hAnsi="ITC Avant Garde" w:cstheme="minorHAnsi"/>
          <w:sz w:val="14"/>
          <w:szCs w:val="14"/>
        </w:rPr>
        <w:t xml:space="preserve"> identificadas</w:t>
      </w:r>
    </w:p>
    <w:p w14:paraId="0FC592B8" w14:textId="77777777" w:rsidR="00C758E5" w:rsidRDefault="00C758E5" w:rsidP="00C758E5">
      <w:pPr>
        <w:spacing w:after="0" w:line="240" w:lineRule="auto"/>
        <w:ind w:right="899"/>
        <w:rPr>
          <w:rFonts w:ascii="ITC Avant Garde" w:hAnsi="ITC Avant Garde" w:cstheme="minorHAnsi"/>
          <w:sz w:val="18"/>
          <w:szCs w:val="18"/>
        </w:rPr>
      </w:pPr>
    </w:p>
    <w:p w14:paraId="299A441C" w14:textId="17FBF847" w:rsidR="00C758E5" w:rsidRPr="004824C5" w:rsidRDefault="00C758E5" w:rsidP="00C758E5">
      <w:pPr>
        <w:spacing w:after="0" w:line="240" w:lineRule="auto"/>
        <w:ind w:right="48"/>
        <w:jc w:val="both"/>
        <w:rPr>
          <w:rFonts w:ascii="ITC Avant Garde" w:hAnsi="ITC Avant Garde" w:cstheme="minorHAnsi"/>
        </w:rPr>
      </w:pPr>
      <w:r>
        <w:rPr>
          <w:rFonts w:ascii="ITC Avant Garde" w:hAnsi="ITC Avant Garde" w:cstheme="minorHAnsi"/>
        </w:rPr>
        <w:t xml:space="preserve">Adicionalmente a los complejos industriales, los aeropuertos son zonas atractivas para el despliegue de redes privadas. En los cuadros 1 y 2 se presentan los principales </w:t>
      </w:r>
      <w:r w:rsidRPr="004824C5">
        <w:rPr>
          <w:rFonts w:ascii="ITC Avant Garde" w:hAnsi="ITC Avant Garde" w:cstheme="minorHAnsi"/>
        </w:rPr>
        <w:t>aeropuertos de pasajeros y de carga en México</w:t>
      </w:r>
      <w:r w:rsidRPr="004824C5">
        <w:rPr>
          <w:rStyle w:val="Refdenotaalpie"/>
          <w:rFonts w:ascii="ITC Avant Garde" w:hAnsi="ITC Avant Garde" w:cstheme="minorHAnsi"/>
        </w:rPr>
        <w:footnoteReference w:id="41"/>
      </w:r>
      <w:r w:rsidR="000E26B2" w:rsidRPr="004824C5">
        <w:rPr>
          <w:rFonts w:ascii="ITC Avant Garde" w:hAnsi="ITC Avant Garde" w:cstheme="minorHAnsi"/>
        </w:rPr>
        <w:t>,</w:t>
      </w:r>
      <w:r w:rsidR="004824C5" w:rsidRPr="004824C5">
        <w:rPr>
          <w:rFonts w:ascii="ITC Avant Garde" w:hAnsi="ITC Avant Garde" w:cstheme="minorHAnsi"/>
        </w:rPr>
        <w:t xml:space="preserve"> </w:t>
      </w:r>
      <w:r w:rsidR="00422833" w:rsidRPr="004824C5">
        <w:rPr>
          <w:rFonts w:ascii="ITC Avant Garde" w:hAnsi="ITC Avant Garde" w:cstheme="minorHAnsi"/>
        </w:rPr>
        <w:t>cuya información pertenece al período que comprende de enero a mayo de 2024</w:t>
      </w:r>
      <w:r w:rsidRPr="004824C5">
        <w:rPr>
          <w:rFonts w:ascii="ITC Avant Garde" w:hAnsi="ITC Avant Garde" w:cstheme="minorHAnsi"/>
        </w:rPr>
        <w:t>:</w:t>
      </w:r>
    </w:p>
    <w:p w14:paraId="1E33A08B" w14:textId="77777777" w:rsidR="00C758E5" w:rsidRPr="004824C5" w:rsidRDefault="00C758E5" w:rsidP="00C758E5">
      <w:pPr>
        <w:spacing w:after="0" w:line="240" w:lineRule="auto"/>
        <w:ind w:right="48"/>
        <w:jc w:val="both"/>
        <w:rPr>
          <w:rFonts w:ascii="ITC Avant Garde" w:hAnsi="ITC Avant Garde" w:cstheme="minorHAnsi"/>
        </w:rPr>
      </w:pPr>
    </w:p>
    <w:tbl>
      <w:tblPr>
        <w:tblStyle w:val="Tablaconcuadrcula4-nfasis6"/>
        <w:tblW w:w="0" w:type="auto"/>
        <w:tblLook w:val="04A0" w:firstRow="1" w:lastRow="0" w:firstColumn="1" w:lastColumn="0" w:noHBand="0" w:noVBand="1"/>
      </w:tblPr>
      <w:tblGrid>
        <w:gridCol w:w="4697"/>
        <w:gridCol w:w="4697"/>
      </w:tblGrid>
      <w:tr w:rsidR="00C758E5" w14:paraId="5877BE7F" w14:textId="77777777" w:rsidTr="00E94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3DA2BB14" w14:textId="77777777" w:rsidR="00C758E5" w:rsidRPr="004824C5" w:rsidRDefault="00C758E5" w:rsidP="00E94675">
            <w:pPr>
              <w:ind w:right="48"/>
              <w:jc w:val="center"/>
              <w:rPr>
                <w:rFonts w:ascii="ITC Avant Garde" w:hAnsi="ITC Avant Garde" w:cstheme="minorHAnsi"/>
              </w:rPr>
            </w:pPr>
            <w:r w:rsidRPr="004824C5">
              <w:rPr>
                <w:rFonts w:ascii="ITC Avant Garde" w:hAnsi="ITC Avant Garde" w:cstheme="minorHAnsi"/>
              </w:rPr>
              <w:t>Top 10</w:t>
            </w:r>
          </w:p>
        </w:tc>
        <w:tc>
          <w:tcPr>
            <w:tcW w:w="4697" w:type="dxa"/>
          </w:tcPr>
          <w:p w14:paraId="26EFCC27" w14:textId="6486CD92" w:rsidR="00C758E5" w:rsidRDefault="00422833" w:rsidP="00E94675">
            <w:pPr>
              <w:ind w:right="48"/>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theme="minorHAnsi"/>
              </w:rPr>
            </w:pPr>
            <w:r w:rsidRPr="004824C5">
              <w:rPr>
                <w:rFonts w:ascii="ITC Avant Garde" w:hAnsi="ITC Avant Garde" w:cstheme="minorHAnsi"/>
              </w:rPr>
              <w:t xml:space="preserve"> Pasajeros</w:t>
            </w:r>
          </w:p>
        </w:tc>
      </w:tr>
      <w:tr w:rsidR="00C758E5" w14:paraId="6266F7AA"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04D3EF2C" w14:textId="77777777" w:rsidR="00C758E5" w:rsidRDefault="00C758E5" w:rsidP="00E94675">
            <w:pPr>
              <w:ind w:right="48"/>
              <w:rPr>
                <w:rFonts w:ascii="ITC Avant Garde" w:hAnsi="ITC Avant Garde" w:cstheme="minorHAnsi"/>
              </w:rPr>
            </w:pPr>
            <w:r>
              <w:rPr>
                <w:rFonts w:ascii="ITC Avant Garde" w:hAnsi="ITC Avant Garde" w:cstheme="minorHAnsi"/>
              </w:rPr>
              <w:t>Ciudad de México</w:t>
            </w:r>
          </w:p>
        </w:tc>
        <w:tc>
          <w:tcPr>
            <w:tcW w:w="4697" w:type="dxa"/>
          </w:tcPr>
          <w:p w14:paraId="518B2713"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18,603.7</w:t>
            </w:r>
          </w:p>
        </w:tc>
      </w:tr>
      <w:tr w:rsidR="00C758E5" w14:paraId="402A6678"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233826F3" w14:textId="77777777" w:rsidR="00C758E5" w:rsidRDefault="00C758E5" w:rsidP="00E94675">
            <w:pPr>
              <w:ind w:right="48"/>
              <w:rPr>
                <w:rFonts w:ascii="ITC Avant Garde" w:hAnsi="ITC Avant Garde" w:cstheme="minorHAnsi"/>
              </w:rPr>
            </w:pPr>
            <w:r>
              <w:rPr>
                <w:rFonts w:ascii="ITC Avant Garde" w:hAnsi="ITC Avant Garde" w:cstheme="minorHAnsi"/>
              </w:rPr>
              <w:t>Cancún</w:t>
            </w:r>
          </w:p>
        </w:tc>
        <w:tc>
          <w:tcPr>
            <w:tcW w:w="4697" w:type="dxa"/>
          </w:tcPr>
          <w:p w14:paraId="3C3B0B39"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13,824.3</w:t>
            </w:r>
          </w:p>
        </w:tc>
      </w:tr>
      <w:tr w:rsidR="00C758E5" w14:paraId="51CAC53E"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35A9DE7D" w14:textId="77777777" w:rsidR="00C758E5" w:rsidRDefault="00C758E5" w:rsidP="00E94675">
            <w:pPr>
              <w:ind w:right="48"/>
              <w:rPr>
                <w:rFonts w:ascii="ITC Avant Garde" w:hAnsi="ITC Avant Garde" w:cstheme="minorHAnsi"/>
              </w:rPr>
            </w:pPr>
            <w:r>
              <w:rPr>
                <w:rFonts w:ascii="ITC Avant Garde" w:hAnsi="ITC Avant Garde" w:cstheme="minorHAnsi"/>
              </w:rPr>
              <w:t>Guadalajara</w:t>
            </w:r>
          </w:p>
        </w:tc>
        <w:tc>
          <w:tcPr>
            <w:tcW w:w="4697" w:type="dxa"/>
          </w:tcPr>
          <w:p w14:paraId="50C93388"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7,038.2</w:t>
            </w:r>
          </w:p>
        </w:tc>
      </w:tr>
      <w:tr w:rsidR="00C758E5" w14:paraId="68BDC704"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6AFDB762" w14:textId="77777777" w:rsidR="00C758E5" w:rsidRDefault="00C758E5" w:rsidP="00E94675">
            <w:pPr>
              <w:ind w:right="48"/>
              <w:rPr>
                <w:rFonts w:ascii="ITC Avant Garde" w:hAnsi="ITC Avant Garde" w:cstheme="minorHAnsi"/>
              </w:rPr>
            </w:pPr>
            <w:r>
              <w:rPr>
                <w:rFonts w:ascii="ITC Avant Garde" w:hAnsi="ITC Avant Garde" w:cstheme="minorHAnsi"/>
              </w:rPr>
              <w:t>Monterrey</w:t>
            </w:r>
          </w:p>
        </w:tc>
        <w:tc>
          <w:tcPr>
            <w:tcW w:w="4697" w:type="dxa"/>
          </w:tcPr>
          <w:p w14:paraId="22711EF8"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4,997.7</w:t>
            </w:r>
          </w:p>
        </w:tc>
      </w:tr>
      <w:tr w:rsidR="00C758E5" w14:paraId="43B886C7"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5388C3C3" w14:textId="77777777" w:rsidR="00C758E5" w:rsidRDefault="00C758E5" w:rsidP="00E94675">
            <w:pPr>
              <w:ind w:right="48"/>
              <w:rPr>
                <w:rFonts w:ascii="ITC Avant Garde" w:hAnsi="ITC Avant Garde" w:cstheme="minorHAnsi"/>
              </w:rPr>
            </w:pPr>
            <w:r>
              <w:rPr>
                <w:rFonts w:ascii="ITC Avant Garde" w:hAnsi="ITC Avant Garde" w:cstheme="minorHAnsi"/>
              </w:rPr>
              <w:t>Tijuana</w:t>
            </w:r>
          </w:p>
        </w:tc>
        <w:tc>
          <w:tcPr>
            <w:tcW w:w="4697" w:type="dxa"/>
          </w:tcPr>
          <w:p w14:paraId="40CAEB7A"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4,969.8</w:t>
            </w:r>
          </w:p>
        </w:tc>
      </w:tr>
      <w:tr w:rsidR="00C758E5" w14:paraId="25D6489C"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191769DF" w14:textId="77777777" w:rsidR="00C758E5" w:rsidRDefault="00C758E5" w:rsidP="00E94675">
            <w:pPr>
              <w:ind w:right="48"/>
              <w:rPr>
                <w:rFonts w:ascii="ITC Avant Garde" w:hAnsi="ITC Avant Garde" w:cstheme="minorHAnsi"/>
              </w:rPr>
            </w:pPr>
            <w:r>
              <w:rPr>
                <w:rFonts w:ascii="ITC Avant Garde" w:hAnsi="ITC Avant Garde" w:cstheme="minorHAnsi"/>
              </w:rPr>
              <w:t>San José del Cabo</w:t>
            </w:r>
          </w:p>
        </w:tc>
        <w:tc>
          <w:tcPr>
            <w:tcW w:w="4697" w:type="dxa"/>
          </w:tcPr>
          <w:p w14:paraId="324540DE"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3,301.3</w:t>
            </w:r>
          </w:p>
        </w:tc>
      </w:tr>
      <w:tr w:rsidR="00C758E5" w14:paraId="072A40D6"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28AC58D9" w14:textId="77777777" w:rsidR="00C758E5" w:rsidRDefault="00C758E5" w:rsidP="00E94675">
            <w:pPr>
              <w:ind w:right="48"/>
              <w:rPr>
                <w:rFonts w:ascii="ITC Avant Garde" w:hAnsi="ITC Avant Garde" w:cstheme="minorHAnsi"/>
              </w:rPr>
            </w:pPr>
            <w:r>
              <w:rPr>
                <w:rFonts w:ascii="ITC Avant Garde" w:hAnsi="ITC Avant Garde" w:cstheme="minorHAnsi"/>
              </w:rPr>
              <w:lastRenderedPageBreak/>
              <w:t>Santa Lucía</w:t>
            </w:r>
          </w:p>
        </w:tc>
        <w:tc>
          <w:tcPr>
            <w:tcW w:w="4697" w:type="dxa"/>
          </w:tcPr>
          <w:p w14:paraId="76D93DF1"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2,165.2</w:t>
            </w:r>
          </w:p>
        </w:tc>
      </w:tr>
      <w:tr w:rsidR="00C758E5" w14:paraId="59CDA580"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7B061600" w14:textId="77777777" w:rsidR="00C758E5" w:rsidRDefault="00C758E5" w:rsidP="00E94675">
            <w:pPr>
              <w:ind w:right="48"/>
              <w:rPr>
                <w:rFonts w:ascii="ITC Avant Garde" w:hAnsi="ITC Avant Garde" w:cstheme="minorHAnsi"/>
              </w:rPr>
            </w:pPr>
            <w:r>
              <w:rPr>
                <w:rFonts w:ascii="ITC Avant Garde" w:hAnsi="ITC Avant Garde" w:cstheme="minorHAnsi"/>
              </w:rPr>
              <w:t>Puerto Vallarta</w:t>
            </w:r>
          </w:p>
        </w:tc>
        <w:tc>
          <w:tcPr>
            <w:tcW w:w="4697" w:type="dxa"/>
          </w:tcPr>
          <w:p w14:paraId="3386EA0C"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3250.0</w:t>
            </w:r>
          </w:p>
        </w:tc>
      </w:tr>
      <w:tr w:rsidR="00C758E5" w14:paraId="51E7154C"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15302DB" w14:textId="77777777" w:rsidR="00C758E5" w:rsidRDefault="00C758E5" w:rsidP="00E94675">
            <w:pPr>
              <w:ind w:right="48"/>
              <w:rPr>
                <w:rFonts w:ascii="ITC Avant Garde" w:hAnsi="ITC Avant Garde" w:cstheme="minorHAnsi"/>
              </w:rPr>
            </w:pPr>
            <w:r>
              <w:rPr>
                <w:rFonts w:ascii="ITC Avant Garde" w:hAnsi="ITC Avant Garde" w:cstheme="minorHAnsi"/>
              </w:rPr>
              <w:t>Mérida</w:t>
            </w:r>
          </w:p>
        </w:tc>
        <w:tc>
          <w:tcPr>
            <w:tcW w:w="4697" w:type="dxa"/>
          </w:tcPr>
          <w:p w14:paraId="28A15FDB"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1,494.6</w:t>
            </w:r>
          </w:p>
        </w:tc>
      </w:tr>
      <w:tr w:rsidR="00C758E5" w14:paraId="4125DFAA"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2928DC0D" w14:textId="77777777" w:rsidR="00C758E5" w:rsidRDefault="00C758E5" w:rsidP="00E94675">
            <w:pPr>
              <w:ind w:right="48"/>
              <w:rPr>
                <w:rFonts w:ascii="ITC Avant Garde" w:hAnsi="ITC Avant Garde" w:cstheme="minorHAnsi"/>
              </w:rPr>
            </w:pPr>
            <w:r>
              <w:rPr>
                <w:rFonts w:ascii="ITC Avant Garde" w:hAnsi="ITC Avant Garde" w:cstheme="minorHAnsi"/>
              </w:rPr>
              <w:t>Del Bajío</w:t>
            </w:r>
          </w:p>
        </w:tc>
        <w:tc>
          <w:tcPr>
            <w:tcW w:w="4697" w:type="dxa"/>
          </w:tcPr>
          <w:p w14:paraId="1F8EB797"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1,223.8</w:t>
            </w:r>
          </w:p>
        </w:tc>
      </w:tr>
    </w:tbl>
    <w:p w14:paraId="6502655B" w14:textId="77777777" w:rsidR="00C758E5" w:rsidRPr="00742409" w:rsidRDefault="00C758E5" w:rsidP="00C758E5">
      <w:pPr>
        <w:spacing w:after="0" w:line="240" w:lineRule="auto"/>
        <w:ind w:right="48"/>
        <w:jc w:val="center"/>
        <w:rPr>
          <w:rFonts w:ascii="ITC Avant Garde" w:hAnsi="ITC Avant Garde" w:cstheme="minorHAnsi"/>
          <w:sz w:val="14"/>
          <w:szCs w:val="14"/>
        </w:rPr>
      </w:pPr>
      <w:r w:rsidRPr="00742409">
        <w:rPr>
          <w:rFonts w:ascii="ITC Avant Garde" w:hAnsi="ITC Avant Garde" w:cstheme="minorHAnsi"/>
          <w:sz w:val="14"/>
          <w:szCs w:val="14"/>
        </w:rPr>
        <w:t>Cuadro 1: Estadística de pasajeros totales atendidos por los principales aeropuertos (miles de pasajeros)</w:t>
      </w:r>
    </w:p>
    <w:p w14:paraId="27F743C7" w14:textId="77777777" w:rsidR="00C758E5" w:rsidRDefault="00C758E5" w:rsidP="00C758E5">
      <w:pPr>
        <w:spacing w:after="0" w:line="240" w:lineRule="auto"/>
        <w:ind w:right="48"/>
        <w:jc w:val="center"/>
        <w:rPr>
          <w:rFonts w:ascii="ITC Avant Garde" w:hAnsi="ITC Avant Garde" w:cstheme="minorHAnsi"/>
          <w:sz w:val="18"/>
          <w:szCs w:val="18"/>
        </w:rPr>
      </w:pPr>
    </w:p>
    <w:tbl>
      <w:tblPr>
        <w:tblStyle w:val="Tablaconcuadrcula4-nfasis6"/>
        <w:tblW w:w="0" w:type="auto"/>
        <w:tblLook w:val="04A0" w:firstRow="1" w:lastRow="0" w:firstColumn="1" w:lastColumn="0" w:noHBand="0" w:noVBand="1"/>
      </w:tblPr>
      <w:tblGrid>
        <w:gridCol w:w="4697"/>
        <w:gridCol w:w="4697"/>
      </w:tblGrid>
      <w:tr w:rsidR="00C758E5" w14:paraId="197A4C4E" w14:textId="77777777" w:rsidTr="00E94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53EFFC76" w14:textId="77777777" w:rsidR="00C758E5" w:rsidRDefault="00C758E5" w:rsidP="00E94675">
            <w:pPr>
              <w:ind w:right="48"/>
              <w:jc w:val="center"/>
              <w:rPr>
                <w:rFonts w:ascii="ITC Avant Garde" w:hAnsi="ITC Avant Garde" w:cstheme="minorHAnsi"/>
              </w:rPr>
            </w:pPr>
            <w:r>
              <w:rPr>
                <w:rFonts w:ascii="ITC Avant Garde" w:hAnsi="ITC Avant Garde" w:cstheme="minorHAnsi"/>
              </w:rPr>
              <w:t>Top 10</w:t>
            </w:r>
          </w:p>
        </w:tc>
        <w:tc>
          <w:tcPr>
            <w:tcW w:w="4697" w:type="dxa"/>
          </w:tcPr>
          <w:p w14:paraId="38B52C89" w14:textId="22893C6C" w:rsidR="00C758E5" w:rsidRDefault="00422833" w:rsidP="00E94675">
            <w:pPr>
              <w:ind w:right="48"/>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theme="minorHAnsi"/>
              </w:rPr>
            </w:pPr>
            <w:r w:rsidRPr="004824C5">
              <w:rPr>
                <w:rFonts w:ascii="ITC Avant Garde" w:hAnsi="ITC Avant Garde" w:cstheme="minorHAnsi"/>
              </w:rPr>
              <w:t xml:space="preserve"> Pasajeros</w:t>
            </w:r>
          </w:p>
        </w:tc>
      </w:tr>
      <w:tr w:rsidR="00C758E5" w14:paraId="6C6A90CE"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03CDF939" w14:textId="77777777" w:rsidR="00C758E5" w:rsidRDefault="00C758E5" w:rsidP="00E94675">
            <w:pPr>
              <w:ind w:right="48"/>
              <w:rPr>
                <w:rFonts w:ascii="ITC Avant Garde" w:hAnsi="ITC Avant Garde" w:cstheme="minorHAnsi"/>
              </w:rPr>
            </w:pPr>
            <w:r>
              <w:rPr>
                <w:rFonts w:ascii="ITC Avant Garde" w:hAnsi="ITC Avant Garde" w:cstheme="minorHAnsi"/>
              </w:rPr>
              <w:t>Santa Lucía</w:t>
            </w:r>
          </w:p>
        </w:tc>
        <w:tc>
          <w:tcPr>
            <w:tcW w:w="4697" w:type="dxa"/>
          </w:tcPr>
          <w:p w14:paraId="0FDEAB9E"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182,985.6</w:t>
            </w:r>
          </w:p>
        </w:tc>
      </w:tr>
      <w:tr w:rsidR="00C758E5" w14:paraId="772788CC"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4F4228D2" w14:textId="77777777" w:rsidR="00C758E5" w:rsidRDefault="00C758E5" w:rsidP="00E94675">
            <w:pPr>
              <w:ind w:right="48"/>
              <w:rPr>
                <w:rFonts w:ascii="ITC Avant Garde" w:hAnsi="ITC Avant Garde" w:cstheme="minorHAnsi"/>
              </w:rPr>
            </w:pPr>
            <w:r>
              <w:rPr>
                <w:rFonts w:ascii="ITC Avant Garde" w:hAnsi="ITC Avant Garde" w:cstheme="minorHAnsi"/>
              </w:rPr>
              <w:t>Ciudad de México</w:t>
            </w:r>
          </w:p>
        </w:tc>
        <w:tc>
          <w:tcPr>
            <w:tcW w:w="4697" w:type="dxa"/>
          </w:tcPr>
          <w:p w14:paraId="3824CF0A"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96,270.9</w:t>
            </w:r>
          </w:p>
        </w:tc>
      </w:tr>
      <w:tr w:rsidR="00C758E5" w14:paraId="61D407E6"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2B7F5F7" w14:textId="77777777" w:rsidR="00C758E5" w:rsidRDefault="00C758E5" w:rsidP="00E94675">
            <w:pPr>
              <w:ind w:right="48"/>
              <w:rPr>
                <w:rFonts w:ascii="ITC Avant Garde" w:hAnsi="ITC Avant Garde" w:cstheme="minorHAnsi"/>
              </w:rPr>
            </w:pPr>
            <w:r>
              <w:rPr>
                <w:rFonts w:ascii="ITC Avant Garde" w:hAnsi="ITC Avant Garde" w:cstheme="minorHAnsi"/>
              </w:rPr>
              <w:t>Guadalajara</w:t>
            </w:r>
          </w:p>
        </w:tc>
        <w:tc>
          <w:tcPr>
            <w:tcW w:w="4697" w:type="dxa"/>
          </w:tcPr>
          <w:p w14:paraId="2663E850"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69,720.5</w:t>
            </w:r>
          </w:p>
        </w:tc>
      </w:tr>
      <w:tr w:rsidR="00C758E5" w14:paraId="4F571FDD"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1E3FDD4C" w14:textId="77777777" w:rsidR="00C758E5" w:rsidRDefault="00C758E5" w:rsidP="00E94675">
            <w:pPr>
              <w:ind w:right="48"/>
              <w:rPr>
                <w:rFonts w:ascii="ITC Avant Garde" w:hAnsi="ITC Avant Garde" w:cstheme="minorHAnsi"/>
              </w:rPr>
            </w:pPr>
            <w:r>
              <w:rPr>
                <w:rFonts w:ascii="ITC Avant Garde" w:hAnsi="ITC Avant Garde" w:cstheme="minorHAnsi"/>
              </w:rPr>
              <w:t>Monterrey</w:t>
            </w:r>
          </w:p>
        </w:tc>
        <w:tc>
          <w:tcPr>
            <w:tcW w:w="4697" w:type="dxa"/>
          </w:tcPr>
          <w:p w14:paraId="13195ED0"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30,655.9</w:t>
            </w:r>
          </w:p>
        </w:tc>
      </w:tr>
      <w:tr w:rsidR="00C758E5" w14:paraId="1AC64D63"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5C6E3401" w14:textId="77777777" w:rsidR="00C758E5" w:rsidRDefault="00C758E5" w:rsidP="00E94675">
            <w:pPr>
              <w:ind w:right="48"/>
              <w:rPr>
                <w:rFonts w:ascii="ITC Avant Garde" w:hAnsi="ITC Avant Garde" w:cstheme="minorHAnsi"/>
              </w:rPr>
            </w:pPr>
            <w:r>
              <w:rPr>
                <w:rFonts w:ascii="ITC Avant Garde" w:hAnsi="ITC Avant Garde" w:cstheme="minorHAnsi"/>
              </w:rPr>
              <w:t>Querétaro</w:t>
            </w:r>
          </w:p>
        </w:tc>
        <w:tc>
          <w:tcPr>
            <w:tcW w:w="4697" w:type="dxa"/>
          </w:tcPr>
          <w:p w14:paraId="0ACDF896"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31,230.2</w:t>
            </w:r>
          </w:p>
        </w:tc>
      </w:tr>
      <w:tr w:rsidR="00C758E5" w14:paraId="54A15D84"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44939FF6" w14:textId="77777777" w:rsidR="00C758E5" w:rsidRDefault="00C758E5" w:rsidP="00E94675">
            <w:pPr>
              <w:ind w:right="48"/>
              <w:rPr>
                <w:rFonts w:ascii="ITC Avant Garde" w:hAnsi="ITC Avant Garde" w:cstheme="minorHAnsi"/>
              </w:rPr>
            </w:pPr>
            <w:r>
              <w:rPr>
                <w:rFonts w:ascii="ITC Avant Garde" w:hAnsi="ITC Avant Garde" w:cstheme="minorHAnsi"/>
              </w:rPr>
              <w:t>Toluca</w:t>
            </w:r>
          </w:p>
        </w:tc>
        <w:tc>
          <w:tcPr>
            <w:tcW w:w="4697" w:type="dxa"/>
          </w:tcPr>
          <w:p w14:paraId="6E6C87C4"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16,214.5</w:t>
            </w:r>
          </w:p>
        </w:tc>
      </w:tr>
      <w:tr w:rsidR="00C758E5" w14:paraId="632E16A5"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D8D7FC6" w14:textId="77777777" w:rsidR="00C758E5" w:rsidRDefault="00C758E5" w:rsidP="00E94675">
            <w:pPr>
              <w:ind w:right="48"/>
              <w:rPr>
                <w:rFonts w:ascii="ITC Avant Garde" w:hAnsi="ITC Avant Garde" w:cstheme="minorHAnsi"/>
              </w:rPr>
            </w:pPr>
            <w:r>
              <w:rPr>
                <w:rFonts w:ascii="ITC Avant Garde" w:hAnsi="ITC Avant Garde" w:cstheme="minorHAnsi"/>
              </w:rPr>
              <w:t>Tijuana</w:t>
            </w:r>
          </w:p>
        </w:tc>
        <w:tc>
          <w:tcPr>
            <w:tcW w:w="4697" w:type="dxa"/>
          </w:tcPr>
          <w:p w14:paraId="486B9B35"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15,721.0</w:t>
            </w:r>
          </w:p>
        </w:tc>
      </w:tr>
      <w:tr w:rsidR="00C758E5" w14:paraId="548814D1"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7A27A256" w14:textId="77777777" w:rsidR="00C758E5" w:rsidRDefault="00C758E5" w:rsidP="00E94675">
            <w:pPr>
              <w:ind w:right="48"/>
              <w:rPr>
                <w:rFonts w:ascii="ITC Avant Garde" w:hAnsi="ITC Avant Garde" w:cstheme="minorHAnsi"/>
              </w:rPr>
            </w:pPr>
            <w:r>
              <w:rPr>
                <w:rFonts w:ascii="ITC Avant Garde" w:hAnsi="ITC Avant Garde" w:cstheme="minorHAnsi"/>
              </w:rPr>
              <w:t>Cancún</w:t>
            </w:r>
          </w:p>
        </w:tc>
        <w:tc>
          <w:tcPr>
            <w:tcW w:w="4697" w:type="dxa"/>
          </w:tcPr>
          <w:p w14:paraId="5D8BBABF"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16,079.6</w:t>
            </w:r>
          </w:p>
        </w:tc>
      </w:tr>
      <w:tr w:rsidR="00C758E5" w14:paraId="6490DDAF" w14:textId="77777777" w:rsidTr="00E94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03937131" w14:textId="77777777" w:rsidR="00C758E5" w:rsidRDefault="00C758E5" w:rsidP="00E94675">
            <w:pPr>
              <w:ind w:right="48"/>
              <w:rPr>
                <w:rFonts w:ascii="ITC Avant Garde" w:hAnsi="ITC Avant Garde" w:cstheme="minorHAnsi"/>
              </w:rPr>
            </w:pPr>
            <w:r>
              <w:rPr>
                <w:rFonts w:ascii="ITC Avant Garde" w:hAnsi="ITC Avant Garde" w:cstheme="minorHAnsi"/>
              </w:rPr>
              <w:t>San Luis Potosí</w:t>
            </w:r>
          </w:p>
        </w:tc>
        <w:tc>
          <w:tcPr>
            <w:tcW w:w="4697" w:type="dxa"/>
          </w:tcPr>
          <w:p w14:paraId="4A6A216B" w14:textId="77777777" w:rsidR="00C758E5" w:rsidRDefault="00C758E5" w:rsidP="00E94675">
            <w:pPr>
              <w:ind w:right="48"/>
              <w:jc w:val="right"/>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rPr>
            </w:pPr>
            <w:r>
              <w:rPr>
                <w:rFonts w:ascii="ITC Avant Garde" w:hAnsi="ITC Avant Garde" w:cstheme="minorHAnsi"/>
              </w:rPr>
              <w:t>11,364.4</w:t>
            </w:r>
          </w:p>
        </w:tc>
      </w:tr>
      <w:tr w:rsidR="00C758E5" w14:paraId="0DBD54AF" w14:textId="77777777" w:rsidTr="00E94675">
        <w:tc>
          <w:tcPr>
            <w:cnfStyle w:val="001000000000" w:firstRow="0" w:lastRow="0" w:firstColumn="1" w:lastColumn="0" w:oddVBand="0" w:evenVBand="0" w:oddHBand="0" w:evenHBand="0" w:firstRowFirstColumn="0" w:firstRowLastColumn="0" w:lastRowFirstColumn="0" w:lastRowLastColumn="0"/>
            <w:tcW w:w="4697" w:type="dxa"/>
          </w:tcPr>
          <w:p w14:paraId="24957E48" w14:textId="77777777" w:rsidR="00C758E5" w:rsidRDefault="00C758E5" w:rsidP="00E94675">
            <w:pPr>
              <w:ind w:right="48"/>
              <w:rPr>
                <w:rFonts w:ascii="ITC Avant Garde" w:hAnsi="ITC Avant Garde" w:cstheme="minorHAnsi"/>
              </w:rPr>
            </w:pPr>
            <w:r>
              <w:rPr>
                <w:rFonts w:ascii="ITC Avant Garde" w:hAnsi="ITC Avant Garde" w:cstheme="minorHAnsi"/>
              </w:rPr>
              <w:t>Mérida</w:t>
            </w:r>
          </w:p>
        </w:tc>
        <w:tc>
          <w:tcPr>
            <w:tcW w:w="4697" w:type="dxa"/>
          </w:tcPr>
          <w:p w14:paraId="161A65BA" w14:textId="77777777" w:rsidR="00C758E5" w:rsidRDefault="00C758E5" w:rsidP="00E94675">
            <w:pPr>
              <w:ind w:right="48"/>
              <w:jc w:val="right"/>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rPr>
            </w:pPr>
            <w:r>
              <w:rPr>
                <w:rFonts w:ascii="ITC Avant Garde" w:hAnsi="ITC Avant Garde" w:cstheme="minorHAnsi"/>
              </w:rPr>
              <w:t>10,703.2</w:t>
            </w:r>
          </w:p>
        </w:tc>
      </w:tr>
    </w:tbl>
    <w:p w14:paraId="33667552" w14:textId="77777777" w:rsidR="00C758E5" w:rsidRPr="00742409" w:rsidRDefault="00C758E5" w:rsidP="00C758E5">
      <w:pPr>
        <w:spacing w:after="0" w:line="240" w:lineRule="auto"/>
        <w:ind w:right="48"/>
        <w:jc w:val="center"/>
        <w:rPr>
          <w:rFonts w:ascii="ITC Avant Garde" w:hAnsi="ITC Avant Garde" w:cstheme="minorHAnsi"/>
          <w:sz w:val="14"/>
          <w:szCs w:val="14"/>
        </w:rPr>
      </w:pPr>
      <w:r w:rsidRPr="00742409">
        <w:rPr>
          <w:rFonts w:ascii="ITC Avant Garde" w:hAnsi="ITC Avant Garde" w:cstheme="minorHAnsi"/>
          <w:sz w:val="14"/>
          <w:szCs w:val="14"/>
        </w:rPr>
        <w:t>Cuadro 2: Estadística de carga total manejada por los principales aeropuertos (toneladas)</w:t>
      </w:r>
    </w:p>
    <w:p w14:paraId="7CAFAA05" w14:textId="77777777" w:rsidR="00C758E5" w:rsidRDefault="00C758E5" w:rsidP="00C758E5">
      <w:pPr>
        <w:spacing w:after="0" w:line="240" w:lineRule="auto"/>
        <w:ind w:right="48"/>
        <w:jc w:val="center"/>
        <w:rPr>
          <w:rFonts w:ascii="ITC Avant Garde" w:hAnsi="ITC Avant Garde" w:cstheme="minorHAnsi"/>
          <w:sz w:val="18"/>
          <w:szCs w:val="18"/>
        </w:rPr>
      </w:pPr>
    </w:p>
    <w:p w14:paraId="7A1A7CD8" w14:textId="77777777" w:rsidR="00C758E5" w:rsidRDefault="00C758E5" w:rsidP="00C758E5">
      <w:pPr>
        <w:spacing w:after="0" w:line="240" w:lineRule="auto"/>
        <w:ind w:right="48"/>
        <w:jc w:val="both"/>
        <w:rPr>
          <w:rFonts w:ascii="ITC Avant Garde" w:hAnsi="ITC Avant Garde" w:cstheme="minorHAnsi"/>
        </w:rPr>
      </w:pPr>
      <w:r>
        <w:rPr>
          <w:rFonts w:ascii="ITC Avant Garde" w:hAnsi="ITC Avant Garde" w:cstheme="minorHAnsi"/>
        </w:rPr>
        <w:t xml:space="preserve">De los trece aeropuertos que se muestran en los dos cuadros anteriores, Cancún y Guadalajara no están mapeados en </w:t>
      </w:r>
      <w:r w:rsidRPr="006F3CEC">
        <w:rPr>
          <w:rFonts w:ascii="ITC Avant Garde" w:hAnsi="ITC Avant Garde" w:cstheme="minorHAnsi"/>
        </w:rPr>
        <w:t>el Marco Geoestadístico, diciembre 2023 del INEGI</w:t>
      </w:r>
      <w:r>
        <w:rPr>
          <w:rFonts w:ascii="ITC Avant Garde" w:hAnsi="ITC Avant Garde" w:cstheme="minorHAnsi"/>
        </w:rPr>
        <w:t>. En consecuencia, se decidió solo incluir los 11 aeropuertos restantes en el presente ejercicio. Para cada uno de estos, se identificó de manera visual las manzanas que caen en el área física del aeropuerto. Para los aeropuertos que estuvieran compuestos de más de un polígono se generó una envolvente convexa para tener un solo polígono por aeropuerto.</w:t>
      </w:r>
    </w:p>
    <w:p w14:paraId="6534748F" w14:textId="77777777" w:rsidR="00C758E5" w:rsidRDefault="00C758E5" w:rsidP="00C758E5">
      <w:pPr>
        <w:spacing w:after="0" w:line="240" w:lineRule="auto"/>
        <w:ind w:right="48"/>
        <w:jc w:val="both"/>
        <w:rPr>
          <w:rFonts w:ascii="ITC Avant Garde" w:hAnsi="ITC Avant Garde" w:cstheme="minorHAnsi"/>
        </w:rPr>
      </w:pPr>
    </w:p>
    <w:p w14:paraId="28688929" w14:textId="44C6CF01" w:rsidR="00C758E5" w:rsidRDefault="00C758E5" w:rsidP="00C758E5">
      <w:pPr>
        <w:spacing w:after="0" w:line="240" w:lineRule="auto"/>
        <w:jc w:val="both"/>
        <w:rPr>
          <w:rFonts w:ascii="ITC Avant Garde" w:hAnsi="ITC Avant Garde" w:cstheme="minorHAnsi"/>
        </w:rPr>
      </w:pPr>
      <w:r w:rsidRPr="00A42457">
        <w:rPr>
          <w:rFonts w:ascii="ITC Avant Garde" w:hAnsi="ITC Avant Garde" w:cstheme="minorHAnsi"/>
        </w:rPr>
        <w:t xml:space="preserve">Tras obtener las </w:t>
      </w:r>
      <w:r w:rsidR="00BA652D">
        <w:rPr>
          <w:rFonts w:ascii="ITC Avant Garde" w:hAnsi="ITC Avant Garde" w:cstheme="minorHAnsi"/>
        </w:rPr>
        <w:t>zonas</w:t>
      </w:r>
      <w:r w:rsidRPr="00A42457">
        <w:rPr>
          <w:rFonts w:ascii="ITC Avant Garde" w:hAnsi="ITC Avant Garde" w:cstheme="minorHAnsi"/>
        </w:rPr>
        <w:t xml:space="preserve"> correspondientes a los aeropuertos, se observó que algunas de estas se superponían con </w:t>
      </w:r>
      <w:r w:rsidR="00BA652D">
        <w:rPr>
          <w:rFonts w:ascii="ITC Avant Garde" w:hAnsi="ITC Avant Garde" w:cstheme="minorHAnsi"/>
        </w:rPr>
        <w:t>zonas</w:t>
      </w:r>
      <w:r w:rsidRPr="00A42457">
        <w:rPr>
          <w:rFonts w:ascii="ITC Avant Garde" w:hAnsi="ITC Avant Garde" w:cstheme="minorHAnsi"/>
        </w:rPr>
        <w:t xml:space="preserve"> destinadas a complejos industriales, en particular en los aeropuertos de Mérida</w:t>
      </w:r>
      <w:r w:rsidR="00656D06">
        <w:rPr>
          <w:rFonts w:ascii="ITC Avant Garde" w:hAnsi="ITC Avant Garde" w:cstheme="minorHAnsi"/>
        </w:rPr>
        <w:t>, Toluca</w:t>
      </w:r>
      <w:r w:rsidRPr="00A42457">
        <w:rPr>
          <w:rFonts w:ascii="ITC Avant Garde" w:hAnsi="ITC Avant Garde" w:cstheme="minorHAnsi"/>
        </w:rPr>
        <w:t xml:space="preserve"> y </w:t>
      </w:r>
      <w:r w:rsidR="0055678B">
        <w:rPr>
          <w:rFonts w:ascii="ITC Avant Garde" w:hAnsi="ITC Avant Garde" w:cstheme="minorHAnsi"/>
        </w:rPr>
        <w:t>d</w:t>
      </w:r>
      <w:r>
        <w:rPr>
          <w:rFonts w:ascii="ITC Avant Garde" w:hAnsi="ITC Avant Garde" w:cstheme="minorHAnsi"/>
        </w:rPr>
        <w:t xml:space="preserve">el </w:t>
      </w:r>
      <w:r w:rsidRPr="00A42457">
        <w:rPr>
          <w:rFonts w:ascii="ITC Avant Garde" w:hAnsi="ITC Avant Garde" w:cstheme="minorHAnsi"/>
        </w:rPr>
        <w:t xml:space="preserve">Bajío. </w:t>
      </w:r>
      <w:r>
        <w:rPr>
          <w:rFonts w:ascii="ITC Avant Garde" w:hAnsi="ITC Avant Garde" w:cstheme="minorHAnsi"/>
        </w:rPr>
        <w:t xml:space="preserve">En la </w:t>
      </w:r>
      <w:r w:rsidR="0055678B">
        <w:rPr>
          <w:rFonts w:ascii="ITC Avant Garde" w:hAnsi="ITC Avant Garde" w:cstheme="minorHAnsi"/>
        </w:rPr>
        <w:t>F</w:t>
      </w:r>
      <w:r>
        <w:rPr>
          <w:rFonts w:ascii="ITC Avant Garde" w:hAnsi="ITC Avant Garde" w:cstheme="minorHAnsi"/>
        </w:rPr>
        <w:t xml:space="preserve">igura 9, se muestra un ejemplo de este fenómeno. </w:t>
      </w:r>
      <w:r w:rsidRPr="00A42457">
        <w:rPr>
          <w:rFonts w:ascii="ITC Avant Garde" w:hAnsi="ITC Avant Garde" w:cstheme="minorHAnsi"/>
        </w:rPr>
        <w:t xml:space="preserve">Por ello, se decidió excluir las </w:t>
      </w:r>
      <w:r w:rsidR="00BA652D">
        <w:rPr>
          <w:rFonts w:ascii="ITC Avant Garde" w:hAnsi="ITC Avant Garde" w:cstheme="minorHAnsi"/>
        </w:rPr>
        <w:t>áreas</w:t>
      </w:r>
      <w:r w:rsidRPr="00A42457">
        <w:rPr>
          <w:rFonts w:ascii="ITC Avant Garde" w:hAnsi="ITC Avant Garde" w:cstheme="minorHAnsi"/>
        </w:rPr>
        <w:t xml:space="preserve"> de intersección en las </w:t>
      </w:r>
      <w:r w:rsidR="00BA652D">
        <w:rPr>
          <w:rFonts w:ascii="ITC Avant Garde" w:hAnsi="ITC Avant Garde" w:cstheme="minorHAnsi"/>
        </w:rPr>
        <w:t>zonas</w:t>
      </w:r>
      <w:r w:rsidRPr="00A42457">
        <w:rPr>
          <w:rFonts w:ascii="ITC Avant Garde" w:hAnsi="ITC Avant Garde" w:cstheme="minorHAnsi"/>
        </w:rPr>
        <w:t xml:space="preserve"> de los complejos industriales. Como resultado, se eliminó la porción de los complejos industriales que coincidía con </w:t>
      </w:r>
      <w:r w:rsidR="00BA652D">
        <w:rPr>
          <w:rFonts w:ascii="ITC Avant Garde" w:hAnsi="ITC Avant Garde" w:cstheme="minorHAnsi"/>
        </w:rPr>
        <w:t>la zona</w:t>
      </w:r>
      <w:r w:rsidRPr="00A42457">
        <w:rPr>
          <w:rFonts w:ascii="ITC Avant Garde" w:hAnsi="ITC Avant Garde" w:cstheme="minorHAnsi"/>
        </w:rPr>
        <w:t xml:space="preserve"> de un aeropuerto</w:t>
      </w:r>
      <w:r>
        <w:rPr>
          <w:rFonts w:ascii="ITC Avant Garde" w:hAnsi="ITC Avant Garde" w:cstheme="minorHAnsi"/>
        </w:rPr>
        <w:t xml:space="preserve"> como se puede observar en la figura 9</w:t>
      </w:r>
      <w:r w:rsidRPr="00A42457">
        <w:rPr>
          <w:rFonts w:ascii="ITC Avant Garde" w:hAnsi="ITC Avant Garde" w:cstheme="minorHAnsi"/>
        </w:rPr>
        <w:t xml:space="preserve">, logrando así un conjunto de </w:t>
      </w:r>
      <w:r w:rsidR="00BA652D">
        <w:rPr>
          <w:rFonts w:ascii="ITC Avant Garde" w:hAnsi="ITC Avant Garde" w:cstheme="minorHAnsi"/>
        </w:rPr>
        <w:t>zonas</w:t>
      </w:r>
      <w:r w:rsidRPr="00A42457">
        <w:rPr>
          <w:rFonts w:ascii="ITC Avant Garde" w:hAnsi="ITC Avant Garde" w:cstheme="minorHAnsi"/>
        </w:rPr>
        <w:t xml:space="preserve"> disjuntas que servirán como referencia para la concesión de espectro destinado a redes privadas</w:t>
      </w:r>
      <w:r>
        <w:rPr>
          <w:rFonts w:ascii="ITC Avant Garde" w:hAnsi="ITC Avant Garde" w:cstheme="minorHAnsi"/>
        </w:rPr>
        <w:t>.</w:t>
      </w:r>
    </w:p>
    <w:p w14:paraId="4D62C35C" w14:textId="77777777" w:rsidR="00C758E5" w:rsidRDefault="00C758E5" w:rsidP="00C758E5">
      <w:pPr>
        <w:spacing w:after="0" w:line="240" w:lineRule="auto"/>
        <w:jc w:val="both"/>
        <w:rPr>
          <w:rFonts w:ascii="ITC Avant Garde" w:hAnsi="ITC Avant Garde" w:cstheme="minorHAnsi"/>
        </w:rPr>
      </w:pPr>
    </w:p>
    <w:p w14:paraId="4B856A20" w14:textId="05DFC1AC" w:rsidR="00BA652D" w:rsidRPr="00BA652D" w:rsidRDefault="00BA652D" w:rsidP="00C758E5">
      <w:pPr>
        <w:spacing w:after="0" w:line="240" w:lineRule="auto"/>
        <w:jc w:val="both"/>
        <w:rPr>
          <w:rFonts w:ascii="ITC Avant Garde" w:hAnsi="ITC Avant Garde" w:cstheme="minorHAnsi"/>
        </w:rPr>
      </w:pPr>
      <w:r>
        <w:rPr>
          <w:rFonts w:ascii="ITC Avant Garde" w:hAnsi="ITC Avant Garde" w:cstheme="minorHAnsi"/>
        </w:rPr>
        <w:t xml:space="preserve">Finalmente, se obtuvo un </w:t>
      </w:r>
      <w:r w:rsidR="00E5624C">
        <w:rPr>
          <w:rFonts w:ascii="ITC Avant Garde" w:hAnsi="ITC Avant Garde" w:cstheme="minorHAnsi"/>
        </w:rPr>
        <w:t>número final</w:t>
      </w:r>
      <w:r>
        <w:rPr>
          <w:rFonts w:ascii="ITC Avant Garde" w:hAnsi="ITC Avant Garde" w:cstheme="minorHAnsi"/>
        </w:rPr>
        <w:t xml:space="preserve"> de 688 zonas. </w:t>
      </w:r>
      <w:r w:rsidR="00A65A3B">
        <w:rPr>
          <w:rFonts w:ascii="ITC Avant Garde" w:hAnsi="ITC Avant Garde" w:cstheme="minorHAnsi"/>
        </w:rPr>
        <w:t xml:space="preserve">A cada una de las zonas identificadas se les asignó una Clave de cuatro dígitos con el formato XX.XX: los primeros dos dígitos representan el código de la entidad federativa a la que pertenecen y los últimos dos un identificador asignado por zona. </w:t>
      </w:r>
      <w:r>
        <w:rPr>
          <w:rFonts w:ascii="ITC Avant Garde" w:hAnsi="ITC Avant Garde" w:cstheme="minorHAnsi"/>
        </w:rPr>
        <w:t xml:space="preserve">Cabe mencionar que </w:t>
      </w:r>
      <w:r w:rsidR="00E27382">
        <w:rPr>
          <w:rFonts w:ascii="ITC Avant Garde" w:hAnsi="ITC Avant Garde" w:cstheme="minorHAnsi"/>
        </w:rPr>
        <w:t xml:space="preserve">el estado de </w:t>
      </w:r>
      <w:r w:rsidR="00E27382">
        <w:rPr>
          <w:rFonts w:ascii="ITC Avant Garde" w:hAnsi="ITC Avant Garde" w:cstheme="minorHAnsi"/>
        </w:rPr>
        <w:lastRenderedPageBreak/>
        <w:t xml:space="preserve">Nuevo León </w:t>
      </w:r>
      <w:r>
        <w:rPr>
          <w:rFonts w:ascii="ITC Avant Garde" w:hAnsi="ITC Avant Garde" w:cstheme="minorHAnsi"/>
        </w:rPr>
        <w:t xml:space="preserve">tiene una zona adicional a las </w:t>
      </w:r>
      <w:r w:rsidRPr="004824C5">
        <w:rPr>
          <w:rFonts w:ascii="ITC Avant Garde" w:hAnsi="ITC Avant Garde" w:cstheme="minorHAnsi"/>
        </w:rPr>
        <w:t>identificadas de</w:t>
      </w:r>
      <w:r>
        <w:rPr>
          <w:rFonts w:ascii="ITC Avant Garde" w:hAnsi="ITC Avant Garde" w:cstheme="minorHAnsi"/>
        </w:rPr>
        <w:t xml:space="preserve"> manera inicial, la cual corresponde al parque industrial </w:t>
      </w:r>
      <w:r w:rsidRPr="00BA652D">
        <w:rPr>
          <w:rFonts w:ascii="ITC Avant Garde" w:hAnsi="ITC Avant Garde" w:cstheme="minorHAnsi"/>
          <w:i/>
          <w:iCs/>
        </w:rPr>
        <w:t>Aero Industrial Park</w:t>
      </w:r>
      <w:r>
        <w:rPr>
          <w:rFonts w:ascii="ITC Avant Garde" w:hAnsi="ITC Avant Garde" w:cstheme="minorHAnsi"/>
        </w:rPr>
        <w:t>, el cual se excluy</w:t>
      </w:r>
      <w:r w:rsidR="000E1634">
        <w:rPr>
          <w:rFonts w:ascii="ITC Avant Garde" w:hAnsi="ITC Avant Garde" w:cstheme="minorHAnsi"/>
        </w:rPr>
        <w:t>ó</w:t>
      </w:r>
      <w:r>
        <w:rPr>
          <w:rFonts w:ascii="ITC Avant Garde" w:hAnsi="ITC Avant Garde" w:cstheme="minorHAnsi"/>
        </w:rPr>
        <w:t xml:space="preserve"> de la agrupación inicial con el objetivo de </w:t>
      </w:r>
      <w:r w:rsidR="00A65A3B">
        <w:rPr>
          <w:rFonts w:ascii="ITC Avant Garde" w:hAnsi="ITC Avant Garde" w:cstheme="minorHAnsi"/>
        </w:rPr>
        <w:t xml:space="preserve">reducir el tamaño de la zona 19.11, la cual tiene una extensión de </w:t>
      </w:r>
      <w:r w:rsidR="00A65A3B" w:rsidRPr="00A65A3B">
        <w:rPr>
          <w:rFonts w:ascii="ITC Avant Garde" w:hAnsi="ITC Avant Garde" w:cstheme="minorHAnsi"/>
        </w:rPr>
        <w:t>40,934,812 m</w:t>
      </w:r>
      <w:r w:rsidR="00A65A3B" w:rsidRPr="00E27382">
        <w:rPr>
          <w:rFonts w:ascii="ITC Avant Garde" w:hAnsi="ITC Avant Garde" w:cstheme="minorHAnsi"/>
          <w:vertAlign w:val="superscript"/>
        </w:rPr>
        <w:t>2</w:t>
      </w:r>
      <w:r w:rsidR="00A65A3B">
        <w:rPr>
          <w:rFonts w:ascii="ITC Avant Garde" w:hAnsi="ITC Avant Garde" w:cstheme="minorHAnsi"/>
        </w:rPr>
        <w:t xml:space="preserve"> y engloba múltiples parques industriales.</w:t>
      </w:r>
      <w:r w:rsidR="00E27382">
        <w:rPr>
          <w:rFonts w:ascii="ITC Avant Garde" w:hAnsi="ITC Avant Garde" w:cstheme="minorHAnsi"/>
        </w:rPr>
        <w:t xml:space="preserve"> </w:t>
      </w:r>
    </w:p>
    <w:p w14:paraId="60ED759D" w14:textId="77777777" w:rsidR="00C758E5" w:rsidRDefault="00C758E5" w:rsidP="00C758E5">
      <w:pPr>
        <w:ind w:firstLine="708"/>
        <w:rPr>
          <w:rFonts w:cstheme="minorHAnsi"/>
        </w:rPr>
      </w:pPr>
      <w:r>
        <w:rPr>
          <w:rFonts w:cstheme="minorHAnsi"/>
          <w:noProof/>
        </w:rPr>
        <w:drawing>
          <wp:inline distT="0" distB="0" distL="0" distR="0" wp14:anchorId="640DDA6E" wp14:editId="02819118">
            <wp:extent cx="2484096" cy="2262325"/>
            <wp:effectExtent l="0" t="0" r="0" b="5080"/>
            <wp:docPr id="768808703" name="Imagen 76880870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persona&#10;&#10;Descripción generada automáticamente con confianza baja"/>
                    <pic:cNvPicPr/>
                  </pic:nvPicPr>
                  <pic:blipFill rotWithShape="1">
                    <a:blip r:embed="rId22" cstate="print">
                      <a:extLst>
                        <a:ext uri="{28A0092B-C50C-407E-A947-70E740481C1C}">
                          <a14:useLocalDpi xmlns:a14="http://schemas.microsoft.com/office/drawing/2010/main" val="0"/>
                        </a:ext>
                      </a:extLst>
                    </a:blip>
                    <a:srcRect l="21214" t="19061" r="27141" b="16140"/>
                    <a:stretch/>
                  </pic:blipFill>
                  <pic:spPr bwMode="auto">
                    <a:xfrm>
                      <a:off x="0" y="0"/>
                      <a:ext cx="2496740" cy="227384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Pr>
          <w:rFonts w:cstheme="minorHAnsi"/>
          <w:noProof/>
        </w:rPr>
        <w:drawing>
          <wp:inline distT="0" distB="0" distL="0" distR="0" wp14:anchorId="3FA8051C" wp14:editId="2BD8D047">
            <wp:extent cx="2352675" cy="2156604"/>
            <wp:effectExtent l="0" t="0" r="0" b="0"/>
            <wp:docPr id="655434448" name="Imagen 65543444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dibujo de una persona&#10;&#10;Descripción generada automáticamente con confianza baja"/>
                    <pic:cNvPicPr/>
                  </pic:nvPicPr>
                  <pic:blipFill rotWithShape="1">
                    <a:blip r:embed="rId23" cstate="print">
                      <a:extLst>
                        <a:ext uri="{28A0092B-C50C-407E-A947-70E740481C1C}">
                          <a14:useLocalDpi xmlns:a14="http://schemas.microsoft.com/office/drawing/2010/main" val="0"/>
                        </a:ext>
                      </a:extLst>
                    </a:blip>
                    <a:srcRect l="20677" t="23744" r="27584" b="26373"/>
                    <a:stretch/>
                  </pic:blipFill>
                  <pic:spPr bwMode="auto">
                    <a:xfrm>
                      <a:off x="0" y="0"/>
                      <a:ext cx="2436686" cy="2233613"/>
                    </a:xfrm>
                    <a:prstGeom prst="rect">
                      <a:avLst/>
                    </a:prstGeom>
                    <a:ln>
                      <a:noFill/>
                    </a:ln>
                    <a:extLst>
                      <a:ext uri="{53640926-AAD7-44D8-BBD7-CCE9431645EC}">
                        <a14:shadowObscured xmlns:a14="http://schemas.microsoft.com/office/drawing/2010/main"/>
                      </a:ext>
                    </a:extLst>
                  </pic:spPr>
                </pic:pic>
              </a:graphicData>
            </a:graphic>
          </wp:inline>
        </w:drawing>
      </w:r>
    </w:p>
    <w:p w14:paraId="10C5F608" w14:textId="77777777" w:rsidR="00C758E5" w:rsidRPr="00742409" w:rsidRDefault="00C758E5" w:rsidP="00742409">
      <w:pPr>
        <w:ind w:left="1701" w:right="1040"/>
        <w:jc w:val="center"/>
        <w:rPr>
          <w:rFonts w:ascii="ITC Avant Garde" w:hAnsi="ITC Avant Garde" w:cstheme="minorHAnsi"/>
          <w:sz w:val="14"/>
          <w:szCs w:val="14"/>
        </w:rPr>
      </w:pPr>
      <w:r w:rsidRPr="00742409">
        <w:rPr>
          <w:rFonts w:ascii="ITC Avant Garde" w:hAnsi="ITC Avant Garde" w:cstheme="minorHAnsi"/>
          <w:sz w:val="14"/>
          <w:szCs w:val="14"/>
        </w:rPr>
        <w:t xml:space="preserve">Figura 9: Izquierda: Intersección entre el área asignada al Parque Industrial </w:t>
      </w:r>
      <w:proofErr w:type="spellStart"/>
      <w:r w:rsidRPr="00742409">
        <w:rPr>
          <w:rFonts w:ascii="ITC Avant Garde" w:hAnsi="ITC Avant Garde" w:cstheme="minorHAnsi"/>
          <w:sz w:val="14"/>
          <w:szCs w:val="14"/>
        </w:rPr>
        <w:t>Advance</w:t>
      </w:r>
      <w:proofErr w:type="spellEnd"/>
      <w:r w:rsidRPr="00742409">
        <w:rPr>
          <w:rFonts w:ascii="ITC Avant Garde" w:hAnsi="ITC Avant Garde" w:cstheme="minorHAnsi"/>
          <w:sz w:val="14"/>
          <w:szCs w:val="14"/>
        </w:rPr>
        <w:t xml:space="preserve"> Puerto Interior y el Aeropuerto Internacional de Guanajuato (Del Bajío). Derecha: Nueva área asignada al Parque Industrial </w:t>
      </w:r>
      <w:proofErr w:type="spellStart"/>
      <w:r w:rsidRPr="00742409">
        <w:rPr>
          <w:rFonts w:ascii="ITC Avant Garde" w:hAnsi="ITC Avant Garde" w:cstheme="minorHAnsi"/>
          <w:sz w:val="14"/>
          <w:szCs w:val="14"/>
        </w:rPr>
        <w:t>Advance</w:t>
      </w:r>
      <w:proofErr w:type="spellEnd"/>
      <w:r w:rsidRPr="00742409">
        <w:rPr>
          <w:rFonts w:ascii="ITC Avant Garde" w:hAnsi="ITC Avant Garde" w:cstheme="minorHAnsi"/>
          <w:sz w:val="14"/>
          <w:szCs w:val="14"/>
        </w:rPr>
        <w:t>.</w:t>
      </w:r>
    </w:p>
    <w:p w14:paraId="2204DAD1" w14:textId="77777777" w:rsidR="00C758E5" w:rsidRPr="00C758E5" w:rsidRDefault="00C758E5" w:rsidP="00C758E5">
      <w:pPr>
        <w:spacing w:after="0" w:line="240" w:lineRule="auto"/>
        <w:jc w:val="both"/>
        <w:rPr>
          <w:rFonts w:ascii="ITC Avant Garde" w:hAnsi="ITC Avant Garde"/>
        </w:rPr>
      </w:pPr>
    </w:p>
    <w:sectPr w:rsidR="00C758E5" w:rsidRPr="00C758E5" w:rsidSect="00234089">
      <w:headerReference w:type="default" r:id="rId24"/>
      <w:footerReference w:type="default" r:id="rId25"/>
      <w:pgSz w:w="12240" w:h="15840"/>
      <w:pgMar w:top="3005" w:right="1418" w:bottom="1985"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9E9134" w16cex:dateUtc="2024-10-11T15:39:00Z"/>
  <w16cex:commentExtensible w16cex:durableId="52876A62" w16cex:dateUtc="2024-10-11T16:07:00Z"/>
  <w16cex:commentExtensible w16cex:durableId="28DB9738" w16cex:dateUtc="2024-10-10T16:00:00Z"/>
  <w16cex:commentExtensible w16cex:durableId="73FD73D0" w16cex:dateUtc="2024-10-14T00:29:00Z"/>
  <w16cex:commentExtensible w16cex:durableId="2FC482FB" w16cex:dateUtc="2024-10-10T15:57:00Z"/>
  <w16cex:commentExtensible w16cex:durableId="5451BFAF" w16cex:dateUtc="2024-10-14T00:42:00Z"/>
  <w16cex:commentExtensible w16cex:durableId="45C50688" w16cex:dateUtc="2024-10-14T01: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FAADC" w14:textId="77777777" w:rsidR="008D6E2D" w:rsidRDefault="008D6E2D" w:rsidP="004148C7">
      <w:pPr>
        <w:spacing w:after="0" w:line="240" w:lineRule="auto"/>
      </w:pPr>
      <w:r>
        <w:separator/>
      </w:r>
    </w:p>
  </w:endnote>
  <w:endnote w:type="continuationSeparator" w:id="0">
    <w:p w14:paraId="51DEBF68" w14:textId="77777777" w:rsidR="008D6E2D" w:rsidRDefault="008D6E2D" w:rsidP="004148C7">
      <w:pPr>
        <w:spacing w:after="0" w:line="240" w:lineRule="auto"/>
      </w:pPr>
      <w:r>
        <w:continuationSeparator/>
      </w:r>
    </w:p>
  </w:endnote>
  <w:endnote w:type="continuationNotice" w:id="1">
    <w:p w14:paraId="6BAB6EF8" w14:textId="77777777" w:rsidR="008D6E2D" w:rsidRDefault="008D6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146149"/>
      <w:docPartObj>
        <w:docPartGallery w:val="Page Numbers (Bottom of Page)"/>
        <w:docPartUnique/>
      </w:docPartObj>
    </w:sdtPr>
    <w:sdtEndPr/>
    <w:sdtContent>
      <w:p w14:paraId="014F95E3" w14:textId="77777777" w:rsidR="008D6E2D" w:rsidRPr="00492DBD" w:rsidRDefault="008D6E2D" w:rsidP="00C80608">
        <w:pPr>
          <w:pStyle w:val="Piedepgina"/>
          <w:jc w:val="center"/>
          <w:rPr>
            <w:rFonts w:ascii="ITC Avant Garde" w:hAnsi="ITC Avant Garde"/>
            <w:sz w:val="18"/>
          </w:rPr>
        </w:pPr>
        <w:r w:rsidRPr="00492DBD">
          <w:rPr>
            <w:rFonts w:ascii="ITC Avant Garde" w:hAnsi="ITC Avant Garde"/>
            <w:b/>
            <w:sz w:val="18"/>
          </w:rPr>
          <w:fldChar w:fldCharType="begin"/>
        </w:r>
        <w:r w:rsidRPr="00492DBD">
          <w:rPr>
            <w:rFonts w:ascii="ITC Avant Garde" w:hAnsi="ITC Avant Garde"/>
            <w:b/>
            <w:sz w:val="18"/>
          </w:rPr>
          <w:instrText>PAGE  \* Arabic  \* MERGEFORMAT</w:instrText>
        </w:r>
        <w:r w:rsidRPr="00492DBD">
          <w:rPr>
            <w:rFonts w:ascii="ITC Avant Garde" w:hAnsi="ITC Avant Garde"/>
            <w:b/>
            <w:sz w:val="18"/>
          </w:rPr>
          <w:fldChar w:fldCharType="separate"/>
        </w:r>
        <w:r>
          <w:rPr>
            <w:rFonts w:ascii="ITC Avant Garde" w:hAnsi="ITC Avant Garde"/>
            <w:b/>
            <w:sz w:val="18"/>
          </w:rPr>
          <w:t>1</w:t>
        </w:r>
        <w:r w:rsidRPr="00492DBD">
          <w:rPr>
            <w:rFonts w:ascii="ITC Avant Garde" w:hAnsi="ITC Avant Garde"/>
            <w:b/>
            <w:sz w:val="18"/>
          </w:rPr>
          <w:fldChar w:fldCharType="end"/>
        </w:r>
        <w:r w:rsidRPr="00492DBD">
          <w:rPr>
            <w:rFonts w:ascii="ITC Avant Garde" w:hAnsi="ITC Avant Garde"/>
            <w:b/>
            <w:sz w:val="18"/>
            <w:lang w:val="es-ES"/>
          </w:rPr>
          <w:t xml:space="preserve"> </w:t>
        </w:r>
        <w:r w:rsidRPr="00492DBD">
          <w:rPr>
            <w:rFonts w:ascii="ITC Avant Garde" w:hAnsi="ITC Avant Garde"/>
            <w:sz w:val="18"/>
            <w:lang w:val="es-ES"/>
          </w:rPr>
          <w:t xml:space="preserve">de </w:t>
        </w:r>
        <w:r w:rsidRPr="00492DBD">
          <w:rPr>
            <w:rFonts w:ascii="ITC Avant Garde" w:hAnsi="ITC Avant Garde"/>
            <w:b/>
            <w:sz w:val="18"/>
          </w:rPr>
          <w:fldChar w:fldCharType="begin"/>
        </w:r>
        <w:r w:rsidRPr="00492DBD">
          <w:rPr>
            <w:rFonts w:ascii="ITC Avant Garde" w:hAnsi="ITC Avant Garde"/>
            <w:b/>
            <w:sz w:val="18"/>
          </w:rPr>
          <w:instrText>NUMPAGES  \* Arabic  \* MERGEFORMAT</w:instrText>
        </w:r>
        <w:r w:rsidRPr="00492DBD">
          <w:rPr>
            <w:rFonts w:ascii="ITC Avant Garde" w:hAnsi="ITC Avant Garde"/>
            <w:b/>
            <w:sz w:val="18"/>
          </w:rPr>
          <w:fldChar w:fldCharType="separate"/>
        </w:r>
        <w:r>
          <w:rPr>
            <w:rFonts w:ascii="ITC Avant Garde" w:hAnsi="ITC Avant Garde"/>
            <w:b/>
            <w:sz w:val="18"/>
          </w:rPr>
          <w:t>7</w:t>
        </w:r>
        <w:r w:rsidRPr="00492DBD">
          <w:rPr>
            <w:rFonts w:ascii="ITC Avant Garde" w:hAnsi="ITC Avant Garde"/>
            <w:b/>
            <w:sz w:val="18"/>
          </w:rPr>
          <w:fldChar w:fldCharType="end"/>
        </w:r>
      </w:p>
      <w:p w14:paraId="556D8F92" w14:textId="7AF82AE7" w:rsidR="008D6E2D" w:rsidRDefault="00E80444">
        <w:pPr>
          <w:pStyle w:val="Piedepgina"/>
          <w:jc w:val="right"/>
        </w:pPr>
      </w:p>
    </w:sdtContent>
  </w:sdt>
  <w:p w14:paraId="6CB201BA" w14:textId="26079A66" w:rsidR="008D6E2D" w:rsidRPr="00E8544A" w:rsidRDefault="008D6E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C0922" w14:textId="77777777" w:rsidR="008D6E2D" w:rsidRDefault="008D6E2D" w:rsidP="004148C7">
      <w:pPr>
        <w:spacing w:after="0" w:line="240" w:lineRule="auto"/>
      </w:pPr>
      <w:r>
        <w:separator/>
      </w:r>
    </w:p>
  </w:footnote>
  <w:footnote w:type="continuationSeparator" w:id="0">
    <w:p w14:paraId="219F45C0" w14:textId="77777777" w:rsidR="008D6E2D" w:rsidRDefault="008D6E2D" w:rsidP="004148C7">
      <w:pPr>
        <w:spacing w:after="0" w:line="240" w:lineRule="auto"/>
      </w:pPr>
      <w:r>
        <w:continuationSeparator/>
      </w:r>
    </w:p>
  </w:footnote>
  <w:footnote w:type="continuationNotice" w:id="1">
    <w:p w14:paraId="1D3689E7" w14:textId="77777777" w:rsidR="008D6E2D" w:rsidRDefault="008D6E2D">
      <w:pPr>
        <w:spacing w:after="0" w:line="240" w:lineRule="auto"/>
      </w:pPr>
    </w:p>
  </w:footnote>
  <w:footnote w:id="2">
    <w:p w14:paraId="34EE9BBC" w14:textId="77777777" w:rsidR="008D6E2D" w:rsidRPr="00105095" w:rsidRDefault="008D6E2D" w:rsidP="00EB5610">
      <w:pPr>
        <w:pStyle w:val="Textonotapie"/>
        <w:jc w:val="both"/>
        <w:rPr>
          <w:rFonts w:ascii="ITC Avant Garde" w:hAnsi="ITC Avant Garde"/>
          <w:sz w:val="14"/>
          <w:szCs w:val="14"/>
        </w:rPr>
      </w:pPr>
      <w:r w:rsidRPr="00105095">
        <w:rPr>
          <w:rStyle w:val="Refdenotaalpie"/>
          <w:rFonts w:ascii="ITC Avant Garde" w:hAnsi="ITC Avant Garde"/>
          <w:sz w:val="14"/>
          <w:szCs w:val="14"/>
        </w:rPr>
        <w:footnoteRef/>
      </w:r>
      <w:r w:rsidRPr="00105095">
        <w:rPr>
          <w:rFonts w:ascii="ITC Avant Garde" w:hAnsi="ITC Avant Garde"/>
          <w:sz w:val="14"/>
          <w:szCs w:val="14"/>
        </w:rPr>
        <w:t xml:space="preserve"> La latencia se refiere al tiempo de respuesta de la red ante la solicitud de información o de ejecución de un comando por parte de un usuario final.</w:t>
      </w:r>
    </w:p>
  </w:footnote>
  <w:footnote w:id="3">
    <w:p w14:paraId="1D627815" w14:textId="5ACA9FB0" w:rsidR="008D6E2D" w:rsidRPr="00105095" w:rsidRDefault="008D6E2D" w:rsidP="00EB5610">
      <w:pPr>
        <w:pStyle w:val="Textonotapie"/>
        <w:jc w:val="both"/>
        <w:rPr>
          <w:rFonts w:ascii="ITC Avant Garde" w:hAnsi="ITC Avant Garde"/>
          <w:sz w:val="14"/>
          <w:szCs w:val="14"/>
        </w:rPr>
      </w:pPr>
      <w:r w:rsidRPr="00105095">
        <w:rPr>
          <w:rStyle w:val="Refdenotaalpie"/>
          <w:rFonts w:ascii="ITC Avant Garde" w:hAnsi="ITC Avant Garde"/>
          <w:sz w:val="14"/>
          <w:szCs w:val="14"/>
        </w:rPr>
        <w:footnoteRef/>
      </w:r>
      <w:r w:rsidRPr="00105095">
        <w:rPr>
          <w:rFonts w:ascii="ITC Avant Garde" w:hAnsi="ITC Avant Garde"/>
          <w:sz w:val="14"/>
          <w:szCs w:val="14"/>
        </w:rPr>
        <w:t xml:space="preserve"> Información detallada sobre estos estándares puede hallarse en: </w:t>
      </w:r>
      <w:hyperlink r:id="rId1" w:history="1">
        <w:r w:rsidRPr="00A23EE8">
          <w:rPr>
            <w:rStyle w:val="Hipervnculo"/>
            <w:rFonts w:ascii="ITC Avant Garde" w:hAnsi="ITC Avant Garde"/>
            <w:sz w:val="14"/>
            <w:szCs w:val="14"/>
          </w:rPr>
          <w:t>https://ieeexplore.ieee.org/browse/standards/get-program/page/series?id=68</w:t>
        </w:r>
      </w:hyperlink>
    </w:p>
  </w:footnote>
  <w:footnote w:id="4">
    <w:p w14:paraId="40D957FC" w14:textId="04F965FA" w:rsidR="008D6E2D" w:rsidRPr="0047660A" w:rsidRDefault="008D6E2D" w:rsidP="00EB5610">
      <w:pPr>
        <w:pStyle w:val="Textonotapie"/>
        <w:jc w:val="both"/>
        <w:rPr>
          <w:rFonts w:ascii="ITC Avant Garde" w:hAnsi="ITC Avant Garde"/>
          <w:sz w:val="16"/>
          <w:szCs w:val="16"/>
        </w:rPr>
      </w:pPr>
      <w:r w:rsidRPr="00105095">
        <w:rPr>
          <w:rStyle w:val="Refdenotaalpie"/>
          <w:rFonts w:ascii="ITC Avant Garde" w:hAnsi="ITC Avant Garde"/>
          <w:sz w:val="14"/>
          <w:szCs w:val="14"/>
        </w:rPr>
        <w:footnoteRef/>
      </w:r>
      <w:r w:rsidRPr="00105095">
        <w:rPr>
          <w:rFonts w:ascii="ITC Avant Garde" w:hAnsi="ITC Avant Garde"/>
          <w:sz w:val="14"/>
          <w:szCs w:val="14"/>
        </w:rPr>
        <w:t xml:space="preserve"> Un listado de las bandas de espectro libre en México y sus características de operación se encuentra en: </w:t>
      </w:r>
      <w:hyperlink r:id="rId2" w:history="1">
        <w:r w:rsidRPr="00105095">
          <w:rPr>
            <w:rStyle w:val="Hipervnculo"/>
            <w:rFonts w:ascii="ITC Avant Garde" w:hAnsi="ITC Avant Garde"/>
            <w:sz w:val="14"/>
            <w:szCs w:val="14"/>
          </w:rPr>
          <w:t>https://www.ift.org.mx/sites/default/files/contenidogeneral/espectro-radioelectrico/inventariodebandasdefrecuenciasclasificadascomoespectrolibre-marzo2023.pdf</w:t>
        </w:r>
      </w:hyperlink>
      <w:r w:rsidRPr="0047660A">
        <w:rPr>
          <w:rFonts w:ascii="ITC Avant Garde" w:hAnsi="ITC Avant Garde"/>
          <w:sz w:val="16"/>
          <w:szCs w:val="16"/>
        </w:rPr>
        <w:t xml:space="preserve"> </w:t>
      </w:r>
    </w:p>
  </w:footnote>
  <w:footnote w:id="5">
    <w:p w14:paraId="253179CA" w14:textId="255B9537" w:rsidR="008D6E2D" w:rsidRDefault="008D6E2D">
      <w:pPr>
        <w:pStyle w:val="Textonotapie"/>
      </w:pPr>
      <w:r w:rsidRPr="001020EF">
        <w:rPr>
          <w:rStyle w:val="Refdenotaalpie"/>
          <w:rFonts w:ascii="ITC Avant Garde" w:hAnsi="ITC Avant Garde"/>
        </w:rPr>
        <w:footnoteRef/>
      </w:r>
      <w:r w:rsidRPr="001020EF">
        <w:rPr>
          <w:rFonts w:ascii="ITC Avant Garde" w:hAnsi="ITC Avant Garde"/>
        </w:rPr>
        <w:t xml:space="preserve"> </w:t>
      </w:r>
      <w:r w:rsidRPr="001020EF">
        <w:rPr>
          <w:rFonts w:ascii="ITC Avant Garde" w:hAnsi="ITC Avant Garde"/>
          <w:sz w:val="16"/>
        </w:rPr>
        <w:t xml:space="preserve">OFDMA: Del </w:t>
      </w:r>
      <w:r>
        <w:rPr>
          <w:rFonts w:ascii="ITC Avant Garde" w:hAnsi="ITC Avant Garde"/>
          <w:sz w:val="16"/>
        </w:rPr>
        <w:t>inglés</w:t>
      </w:r>
      <w:r w:rsidRPr="001020EF">
        <w:rPr>
          <w:rFonts w:ascii="ITC Avant Garde" w:hAnsi="ITC Avant Garde"/>
          <w:sz w:val="16"/>
        </w:rPr>
        <w:t xml:space="preserve"> “</w:t>
      </w:r>
      <w:proofErr w:type="spellStart"/>
      <w:r w:rsidRPr="001020EF">
        <w:rPr>
          <w:rFonts w:ascii="ITC Avant Garde" w:hAnsi="ITC Avant Garde"/>
          <w:i/>
          <w:sz w:val="16"/>
        </w:rPr>
        <w:t>Orthogonal</w:t>
      </w:r>
      <w:proofErr w:type="spellEnd"/>
      <w:r w:rsidRPr="001020EF">
        <w:rPr>
          <w:rFonts w:ascii="ITC Avant Garde" w:hAnsi="ITC Avant Garde"/>
          <w:i/>
          <w:sz w:val="16"/>
        </w:rPr>
        <w:t xml:space="preserve"> </w:t>
      </w:r>
      <w:proofErr w:type="spellStart"/>
      <w:r w:rsidRPr="001020EF">
        <w:rPr>
          <w:rFonts w:ascii="ITC Avant Garde" w:hAnsi="ITC Avant Garde"/>
          <w:i/>
          <w:sz w:val="16"/>
        </w:rPr>
        <w:t>Frequency-Division</w:t>
      </w:r>
      <w:proofErr w:type="spellEnd"/>
      <w:r w:rsidRPr="001020EF">
        <w:rPr>
          <w:rFonts w:ascii="ITC Avant Garde" w:hAnsi="ITC Avant Garde"/>
          <w:i/>
          <w:sz w:val="16"/>
        </w:rPr>
        <w:t xml:space="preserve"> </w:t>
      </w:r>
      <w:proofErr w:type="spellStart"/>
      <w:r w:rsidRPr="001020EF">
        <w:rPr>
          <w:rFonts w:ascii="ITC Avant Garde" w:hAnsi="ITC Avant Garde"/>
          <w:i/>
          <w:sz w:val="16"/>
        </w:rPr>
        <w:t>Multiple</w:t>
      </w:r>
      <w:proofErr w:type="spellEnd"/>
      <w:r w:rsidRPr="001020EF">
        <w:rPr>
          <w:rFonts w:ascii="ITC Avant Garde" w:hAnsi="ITC Avant Garde"/>
          <w:i/>
          <w:sz w:val="16"/>
        </w:rPr>
        <w:t xml:space="preserve"> Access</w:t>
      </w:r>
      <w:r w:rsidRPr="001020EF">
        <w:rPr>
          <w:rFonts w:ascii="ITC Avant Garde" w:hAnsi="ITC Avant Garde"/>
          <w:sz w:val="16"/>
        </w:rPr>
        <w:t>” es una técnica de acceso múltiple que divide el ancho de banda disponible en múltiples subportadoras ortogonales para permitir que varios usuarios compartan el mismo canal de comunicación simultáneamente</w:t>
      </w:r>
      <w:r w:rsidRPr="001020EF">
        <w:rPr>
          <w:sz w:val="16"/>
        </w:rPr>
        <w:t>.</w:t>
      </w:r>
    </w:p>
  </w:footnote>
  <w:footnote w:id="6">
    <w:p w14:paraId="3AD317A8" w14:textId="202B29C3" w:rsidR="008D6E2D" w:rsidRDefault="008D6E2D">
      <w:pPr>
        <w:pStyle w:val="Textonotapie"/>
      </w:pPr>
      <w:r>
        <w:rPr>
          <w:rStyle w:val="Refdenotaalpie"/>
        </w:rPr>
        <w:footnoteRef/>
      </w:r>
      <w:r>
        <w:t xml:space="preserve"> </w:t>
      </w:r>
      <w:r w:rsidRPr="001020EF">
        <w:rPr>
          <w:rFonts w:ascii="ITC Avant Garde" w:hAnsi="ITC Avant Garde"/>
          <w:sz w:val="16"/>
          <w:szCs w:val="16"/>
        </w:rPr>
        <w:t xml:space="preserve">MIMO: Del inglés </w:t>
      </w:r>
      <w:r>
        <w:rPr>
          <w:rFonts w:ascii="ITC Avant Garde" w:hAnsi="ITC Avant Garde"/>
          <w:sz w:val="16"/>
          <w:szCs w:val="16"/>
        </w:rPr>
        <w:t>“</w:t>
      </w:r>
      <w:proofErr w:type="spellStart"/>
      <w:r w:rsidRPr="001020EF">
        <w:rPr>
          <w:rFonts w:ascii="ITC Avant Garde" w:hAnsi="ITC Avant Garde"/>
          <w:i/>
          <w:sz w:val="16"/>
          <w:szCs w:val="16"/>
        </w:rPr>
        <w:t>Multiple</w:t>
      </w:r>
      <w:proofErr w:type="spellEnd"/>
      <w:r w:rsidRPr="001020EF">
        <w:rPr>
          <w:rFonts w:ascii="ITC Avant Garde" w:hAnsi="ITC Avant Garde"/>
          <w:i/>
          <w:sz w:val="16"/>
          <w:szCs w:val="16"/>
        </w:rPr>
        <w:t xml:space="preserve"> Input – </w:t>
      </w:r>
      <w:proofErr w:type="spellStart"/>
      <w:r w:rsidRPr="001020EF">
        <w:rPr>
          <w:rFonts w:ascii="ITC Avant Garde" w:hAnsi="ITC Avant Garde"/>
          <w:i/>
          <w:sz w:val="16"/>
          <w:szCs w:val="16"/>
        </w:rPr>
        <w:t>Multiple</w:t>
      </w:r>
      <w:proofErr w:type="spellEnd"/>
      <w:r w:rsidRPr="001020EF">
        <w:rPr>
          <w:rFonts w:ascii="ITC Avant Garde" w:hAnsi="ITC Avant Garde"/>
          <w:i/>
          <w:sz w:val="16"/>
          <w:szCs w:val="16"/>
        </w:rPr>
        <w:t xml:space="preserve"> Output</w:t>
      </w:r>
      <w:r>
        <w:rPr>
          <w:rFonts w:ascii="ITC Avant Garde" w:hAnsi="ITC Avant Garde"/>
          <w:i/>
          <w:sz w:val="16"/>
          <w:szCs w:val="16"/>
        </w:rPr>
        <w:t>”</w:t>
      </w:r>
      <w:r w:rsidRPr="001020EF">
        <w:rPr>
          <w:rFonts w:ascii="ITC Avant Garde" w:hAnsi="ITC Avant Garde"/>
          <w:sz w:val="16"/>
          <w:szCs w:val="16"/>
        </w:rPr>
        <w:t>, múltiples entradas y múltiples salidas</w:t>
      </w:r>
      <w:r>
        <w:rPr>
          <w:rFonts w:ascii="ITC Avant Garde" w:hAnsi="ITC Avant Garde"/>
          <w:sz w:val="16"/>
          <w:szCs w:val="16"/>
        </w:rPr>
        <w:t>.</w:t>
      </w:r>
    </w:p>
  </w:footnote>
  <w:footnote w:id="7">
    <w:p w14:paraId="441AC6B9" w14:textId="5E707EF4" w:rsidR="008D6E2D" w:rsidRPr="00105095" w:rsidRDefault="008D6E2D" w:rsidP="00105095">
      <w:pPr>
        <w:pStyle w:val="Textonotapie"/>
        <w:jc w:val="both"/>
        <w:rPr>
          <w:rFonts w:ascii="ITC Avant Garde" w:hAnsi="ITC Avant Garde"/>
          <w:sz w:val="14"/>
          <w:szCs w:val="14"/>
        </w:rPr>
      </w:pPr>
      <w:r w:rsidRPr="00105095">
        <w:rPr>
          <w:rStyle w:val="Refdenotaalpie"/>
          <w:rFonts w:ascii="ITC Avant Garde" w:hAnsi="ITC Avant Garde"/>
          <w:sz w:val="14"/>
          <w:szCs w:val="14"/>
        </w:rPr>
        <w:footnoteRef/>
      </w:r>
      <w:r w:rsidRPr="00105095">
        <w:rPr>
          <w:rFonts w:ascii="ITC Avant Garde" w:hAnsi="ITC Avant Garde"/>
          <w:sz w:val="14"/>
          <w:szCs w:val="14"/>
        </w:rPr>
        <w:t xml:space="preserve"> En general, una red de telecomunicaciones móviles consta de tres secciones: red de acceso (comunicación bidireccional entre </w:t>
      </w:r>
      <w:proofErr w:type="gramStart"/>
      <w:r w:rsidRPr="00105095">
        <w:rPr>
          <w:rFonts w:ascii="ITC Avant Garde" w:hAnsi="ITC Avant Garde"/>
          <w:sz w:val="14"/>
          <w:szCs w:val="14"/>
        </w:rPr>
        <w:t>las radio</w:t>
      </w:r>
      <w:proofErr w:type="gramEnd"/>
      <w:r w:rsidRPr="00105095">
        <w:rPr>
          <w:rFonts w:ascii="ITC Avant Garde" w:hAnsi="ITC Avant Garde"/>
          <w:sz w:val="14"/>
          <w:szCs w:val="14"/>
        </w:rPr>
        <w:t xml:space="preserve"> bases y el equipo terminal de usuario), una red de transporte (para comunicar a las radio bases con el núcleo de la red) y un núcleo o </w:t>
      </w:r>
      <w:proofErr w:type="spellStart"/>
      <w:r w:rsidRPr="00105095">
        <w:rPr>
          <w:rFonts w:ascii="ITC Avant Garde" w:hAnsi="ITC Avant Garde"/>
          <w:sz w:val="14"/>
          <w:szCs w:val="14"/>
        </w:rPr>
        <w:t>core</w:t>
      </w:r>
      <w:proofErr w:type="spellEnd"/>
      <w:r w:rsidRPr="00105095">
        <w:rPr>
          <w:rFonts w:ascii="ITC Avant Garde" w:hAnsi="ITC Avant Garde"/>
          <w:sz w:val="14"/>
          <w:szCs w:val="14"/>
        </w:rPr>
        <w:t xml:space="preserve"> de la red donde se realizan funciones de gestión central de la red de telecomunicaciones.</w:t>
      </w:r>
    </w:p>
  </w:footnote>
  <w:footnote w:id="8">
    <w:p w14:paraId="7E1C3BE8" w14:textId="1B8D887C" w:rsidR="008D6E2D" w:rsidRPr="0047660A" w:rsidRDefault="008D6E2D" w:rsidP="00EB5610">
      <w:pPr>
        <w:pStyle w:val="Textonotapie"/>
        <w:jc w:val="both"/>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Dentro de la categoría de “servicios móviles” se agrupan los servicios de acceso inalámbrico móvil como la telefonía móvil o celular y</w:t>
      </w:r>
      <w:r>
        <w:rPr>
          <w:rFonts w:ascii="ITC Avant Garde" w:hAnsi="ITC Avant Garde"/>
          <w:sz w:val="16"/>
          <w:szCs w:val="16"/>
        </w:rPr>
        <w:t xml:space="preserve"> la banda ancha móvil</w:t>
      </w:r>
    </w:p>
  </w:footnote>
  <w:footnote w:id="9">
    <w:p w14:paraId="45175E25" w14:textId="3CA7D1C4" w:rsidR="008D6E2D" w:rsidRPr="0047660A" w:rsidRDefault="008D6E2D">
      <w:pPr>
        <w:pStyle w:val="Textonotapie"/>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El RPC puede consultarse en: https://rpc.ift.org.mx/vrpc/</w:t>
      </w:r>
    </w:p>
  </w:footnote>
  <w:footnote w:id="10">
    <w:p w14:paraId="53C1B309" w14:textId="3C4284F0" w:rsidR="008D6E2D" w:rsidRPr="0047660A" w:rsidRDefault="008D6E2D" w:rsidP="00117FFB">
      <w:pPr>
        <w:pStyle w:val="Textonotapie"/>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Ver artículo 76 fracción II, inciso a) de la Ley.</w:t>
      </w:r>
    </w:p>
  </w:footnote>
  <w:footnote w:id="11">
    <w:p w14:paraId="3AC0E582" w14:textId="2FCC232A" w:rsidR="008D6E2D" w:rsidRPr="0047660A" w:rsidRDefault="008D6E2D" w:rsidP="00E41A44">
      <w:pPr>
        <w:pStyle w:val="Textonotapie"/>
        <w:jc w:val="both"/>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Complejos industriales: Censos Económicos 2019 / Instituto Nacional de Estadística y Geografía. -- México: INEGI, c2021.</w:t>
      </w:r>
    </w:p>
  </w:footnote>
  <w:footnote w:id="12">
    <w:p w14:paraId="644874FC" w14:textId="77777777" w:rsidR="008D6E2D" w:rsidRPr="0047660A" w:rsidRDefault="008D6E2D" w:rsidP="00F679D5">
      <w:pPr>
        <w:pStyle w:val="Textonotapie"/>
        <w:tabs>
          <w:tab w:val="left" w:pos="9923"/>
        </w:tabs>
        <w:rPr>
          <w:rFonts w:ascii="ITC Avant Garde" w:hAnsi="ITC Avant Garde"/>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Reglamento de Radiocomunicaciones, disponible para consulta en: </w:t>
      </w:r>
      <w:hyperlink r:id="rId3" w:history="1">
        <w:r w:rsidRPr="0047660A">
          <w:rPr>
            <w:rStyle w:val="Hipervnculo"/>
            <w:rFonts w:ascii="ITC Avant Garde" w:hAnsi="ITC Avant Garde" w:cstheme="minorHAnsi"/>
            <w:sz w:val="16"/>
            <w:szCs w:val="16"/>
          </w:rPr>
          <w:t>https://www.itu.int/pub/R-REG-RR-2020/es</w:t>
        </w:r>
      </w:hyperlink>
    </w:p>
  </w:footnote>
  <w:footnote w:id="13">
    <w:p w14:paraId="4ABCE32E" w14:textId="77777777" w:rsidR="008D6E2D" w:rsidRPr="0047660A" w:rsidRDefault="008D6E2D" w:rsidP="00F679D5">
      <w:pPr>
        <w:pStyle w:val="Textonotapie"/>
        <w:tabs>
          <w:tab w:val="left" w:pos="9923"/>
        </w:tabs>
        <w:rPr>
          <w:rStyle w:val="Hipervnculo"/>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Acuerdo DOF 30-12-2021, disponible para consulta en: </w:t>
      </w:r>
      <w:hyperlink r:id="rId4" w:history="1">
        <w:r w:rsidRPr="0047660A">
          <w:rPr>
            <w:rStyle w:val="Hipervnculo"/>
            <w:rFonts w:ascii="ITC Avant Garde" w:hAnsi="ITC Avant Garde"/>
            <w:sz w:val="16"/>
            <w:szCs w:val="16"/>
          </w:rPr>
          <w:t>https://www.dof.gob.mx/nota_detalle.php?codigo=5639765&amp;fecha=30/12/2021</w:t>
        </w:r>
      </w:hyperlink>
    </w:p>
  </w:footnote>
  <w:footnote w:id="14">
    <w:p w14:paraId="4B642A4F"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Disponible para su consulta en: </w:t>
      </w:r>
      <w:hyperlink r:id="rId5" w:history="1">
        <w:r w:rsidRPr="0047660A">
          <w:rPr>
            <w:rStyle w:val="Hipervnculo"/>
            <w:rFonts w:ascii="ITC Avant Garde" w:hAnsi="ITC Avant Garde" w:cstheme="minorHAnsi"/>
            <w:sz w:val="16"/>
            <w:szCs w:val="16"/>
          </w:rPr>
          <w:t>https://www.itu.int/rec/R-REC-M.1036-7-202312-I/es</w:t>
        </w:r>
      </w:hyperlink>
    </w:p>
  </w:footnote>
  <w:footnote w:id="15">
    <w:p w14:paraId="5CB8074B"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Disponible para su consulta en: </w:t>
      </w:r>
      <w:hyperlink r:id="rId6" w:history="1">
        <w:r w:rsidRPr="0047660A">
          <w:rPr>
            <w:rStyle w:val="Hipervnculo"/>
            <w:rFonts w:ascii="ITC Avant Garde" w:hAnsi="ITC Avant Garde" w:cstheme="minorHAnsi"/>
            <w:sz w:val="16"/>
            <w:szCs w:val="16"/>
          </w:rPr>
          <w:t>https://www.oas.org/citelevents/en/Documents/DocumentsFile/2803</w:t>
        </w:r>
      </w:hyperlink>
      <w:r w:rsidRPr="0047660A">
        <w:rPr>
          <w:rFonts w:ascii="ITC Avant Garde" w:hAnsi="ITC Avant Garde" w:cstheme="minorHAnsi"/>
          <w:sz w:val="16"/>
          <w:szCs w:val="16"/>
        </w:rPr>
        <w:t xml:space="preserve"> </w:t>
      </w:r>
    </w:p>
  </w:footnote>
  <w:footnote w:id="16">
    <w:p w14:paraId="1AFCA5FC"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Organismo de estandarización que se encarga de cubrir los aspectos de tecnologías de redes celulares en telecomunicaciones, incluyendo el acceso de radio, las redes de transporte, capacidad-calidad del servicio y especificaciones técnicas de sistemas.</w:t>
      </w:r>
    </w:p>
  </w:footnote>
  <w:footnote w:id="17">
    <w:p w14:paraId="697870F0"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Sistema Integral de Administración del Espectro Radioeléctrico, plataforma de gestión interna del Instituto.</w:t>
      </w:r>
    </w:p>
  </w:footnote>
  <w:footnote w:id="18">
    <w:p w14:paraId="4C919076" w14:textId="77777777" w:rsidR="008D6E2D" w:rsidRPr="00105095" w:rsidRDefault="008D6E2D" w:rsidP="00F679D5">
      <w:pPr>
        <w:pStyle w:val="Textonotapie"/>
        <w:jc w:val="both"/>
        <w:rPr>
          <w:rFonts w:ascii="ITC Avant Garde" w:hAnsi="ITC Avant Garde" w:cstheme="minorHAnsi"/>
          <w:sz w:val="14"/>
          <w:szCs w:val="14"/>
        </w:rPr>
      </w:pPr>
      <w:r w:rsidRPr="00105095">
        <w:rPr>
          <w:rStyle w:val="Refdenotaalpie"/>
          <w:rFonts w:ascii="ITC Avant Garde" w:hAnsi="ITC Avant Garde" w:cstheme="minorHAnsi"/>
          <w:sz w:val="14"/>
          <w:szCs w:val="14"/>
        </w:rPr>
        <w:footnoteRef/>
      </w:r>
      <w:r w:rsidRPr="00105095">
        <w:rPr>
          <w:rFonts w:ascii="ITC Avant Garde" w:hAnsi="ITC Avant Garde" w:cstheme="minorHAnsi"/>
          <w:sz w:val="14"/>
          <w:szCs w:val="14"/>
        </w:rPr>
        <w:t xml:space="preserve"> Consultable en: https://rpc.ift.org.mx/vrpc</w:t>
      </w:r>
    </w:p>
  </w:footnote>
  <w:footnote w:id="19">
    <w:p w14:paraId="075FE094" w14:textId="77777777" w:rsidR="008D6E2D" w:rsidRPr="0047660A" w:rsidRDefault="008D6E2D" w:rsidP="00F679D5">
      <w:pPr>
        <w:pStyle w:val="Textonotapie"/>
        <w:jc w:val="both"/>
        <w:rPr>
          <w:rFonts w:ascii="ITC Avant Garde" w:hAnsi="ITC Avant Garde" w:cstheme="minorHAnsi"/>
          <w:sz w:val="16"/>
          <w:szCs w:val="16"/>
        </w:rPr>
      </w:pPr>
      <w:r w:rsidRPr="00105095">
        <w:rPr>
          <w:rStyle w:val="Refdenotaalpie"/>
          <w:rFonts w:ascii="ITC Avant Garde" w:hAnsi="ITC Avant Garde" w:cstheme="minorHAnsi"/>
          <w:sz w:val="14"/>
          <w:szCs w:val="14"/>
        </w:rPr>
        <w:footnoteRef/>
      </w:r>
      <w:r w:rsidRPr="00105095">
        <w:rPr>
          <w:rFonts w:ascii="ITC Avant Garde" w:hAnsi="ITC Avant Garde" w:cstheme="minorHAnsi"/>
          <w:sz w:val="14"/>
          <w:szCs w:val="14"/>
        </w:rPr>
        <w:t xml:space="preserve"> Acuerdo entre EE. UU. y México relativo al uso de la banda 2310-2360 MHz, disponible para consulta en: </w:t>
      </w:r>
      <w:hyperlink r:id="rId7" w:anchor="gsc.tab=0" w:history="1">
        <w:r w:rsidRPr="00105095">
          <w:rPr>
            <w:rStyle w:val="Hipervnculo"/>
            <w:rFonts w:ascii="ITC Avant Garde" w:hAnsi="ITC Avant Garde" w:cstheme="minorHAnsi"/>
            <w:sz w:val="14"/>
            <w:szCs w:val="14"/>
          </w:rPr>
          <w:t>https://www.dof.gob.mx/nota_detalle.php?codigo=763322&amp;fecha=16/07/2001#gsc.tab=0</w:t>
        </w:r>
      </w:hyperlink>
      <w:r w:rsidRPr="0047660A">
        <w:rPr>
          <w:rFonts w:ascii="ITC Avant Garde" w:hAnsi="ITC Avant Garde" w:cstheme="minorHAnsi"/>
          <w:sz w:val="16"/>
          <w:szCs w:val="16"/>
        </w:rPr>
        <w:t xml:space="preserve"> </w:t>
      </w:r>
    </w:p>
  </w:footnote>
  <w:footnote w:id="20">
    <w:p w14:paraId="04373BDA" w14:textId="77777777" w:rsidR="008D6E2D" w:rsidRPr="00105095" w:rsidRDefault="008D6E2D" w:rsidP="00F679D5">
      <w:pPr>
        <w:pStyle w:val="Textonotapie"/>
        <w:jc w:val="both"/>
        <w:rPr>
          <w:rFonts w:ascii="ITC Avant Garde" w:hAnsi="ITC Avant Garde" w:cstheme="minorHAnsi"/>
          <w:sz w:val="14"/>
          <w:szCs w:val="14"/>
        </w:rPr>
      </w:pPr>
      <w:r w:rsidRPr="00105095">
        <w:rPr>
          <w:rStyle w:val="Refdenotaalpie"/>
          <w:rFonts w:ascii="ITC Avant Garde" w:hAnsi="ITC Avant Garde" w:cstheme="minorHAnsi"/>
          <w:sz w:val="14"/>
          <w:szCs w:val="14"/>
        </w:rPr>
        <w:footnoteRef/>
      </w:r>
      <w:r w:rsidRPr="00105095">
        <w:rPr>
          <w:rFonts w:ascii="ITC Avant Garde" w:hAnsi="ITC Avant Garde" w:cstheme="minorHAnsi"/>
          <w:sz w:val="14"/>
          <w:szCs w:val="14"/>
        </w:rPr>
        <w:t xml:space="preserve"> Disponible para su consulta en: </w:t>
      </w:r>
      <w:hyperlink r:id="rId8" w:history="1">
        <w:r w:rsidRPr="00105095">
          <w:rPr>
            <w:rStyle w:val="Hipervnculo"/>
            <w:rFonts w:ascii="ITC Avant Garde" w:hAnsi="ITC Avant Garde" w:cstheme="minorHAnsi"/>
            <w:sz w:val="14"/>
            <w:szCs w:val="14"/>
          </w:rPr>
          <w:t>https://www.itu.int/rec/R-REC-M.1036-7-202312-I/es</w:t>
        </w:r>
      </w:hyperlink>
    </w:p>
  </w:footnote>
  <w:footnote w:id="21">
    <w:p w14:paraId="55FFC281" w14:textId="77777777" w:rsidR="008D6E2D" w:rsidRPr="00105095" w:rsidRDefault="008D6E2D" w:rsidP="00F679D5">
      <w:pPr>
        <w:pStyle w:val="Textonotapie"/>
        <w:jc w:val="both"/>
        <w:rPr>
          <w:rFonts w:ascii="ITC Avant Garde" w:hAnsi="ITC Avant Garde" w:cstheme="minorHAnsi"/>
          <w:sz w:val="14"/>
          <w:szCs w:val="14"/>
        </w:rPr>
      </w:pPr>
      <w:r w:rsidRPr="00105095">
        <w:rPr>
          <w:rStyle w:val="Refdenotaalpie"/>
          <w:rFonts w:ascii="ITC Avant Garde" w:hAnsi="ITC Avant Garde" w:cstheme="minorHAnsi"/>
          <w:sz w:val="14"/>
          <w:szCs w:val="14"/>
        </w:rPr>
        <w:footnoteRef/>
      </w:r>
      <w:r w:rsidRPr="00105095">
        <w:rPr>
          <w:rFonts w:ascii="ITC Avant Garde" w:hAnsi="ITC Avant Garde" w:cstheme="minorHAnsi"/>
          <w:sz w:val="14"/>
          <w:szCs w:val="14"/>
        </w:rPr>
        <w:t xml:space="preserve"> Disponible para su consulta en: </w:t>
      </w:r>
      <w:hyperlink r:id="rId9" w:history="1">
        <w:r w:rsidRPr="00105095">
          <w:rPr>
            <w:rStyle w:val="Hipervnculo"/>
            <w:rFonts w:ascii="ITC Avant Garde" w:hAnsi="ITC Avant Garde" w:cstheme="minorHAnsi"/>
            <w:sz w:val="14"/>
            <w:szCs w:val="14"/>
          </w:rPr>
          <w:t>https://www.oas.org/citelevents/en/Documents/DocumentsFile/2803</w:t>
        </w:r>
      </w:hyperlink>
      <w:r w:rsidRPr="00105095">
        <w:rPr>
          <w:rFonts w:ascii="ITC Avant Garde" w:hAnsi="ITC Avant Garde" w:cstheme="minorHAnsi"/>
          <w:sz w:val="14"/>
          <w:szCs w:val="14"/>
        </w:rPr>
        <w:t xml:space="preserve"> </w:t>
      </w:r>
    </w:p>
  </w:footnote>
  <w:footnote w:id="22">
    <w:p w14:paraId="4FD5C46D" w14:textId="77777777" w:rsidR="008D6E2D" w:rsidRPr="0047660A" w:rsidRDefault="008D6E2D" w:rsidP="00F679D5">
      <w:pPr>
        <w:pStyle w:val="Textonotapie"/>
        <w:jc w:val="both"/>
        <w:rPr>
          <w:rFonts w:ascii="ITC Avant Garde" w:hAnsi="ITC Avant Garde" w:cstheme="minorHAnsi"/>
          <w:sz w:val="16"/>
          <w:szCs w:val="16"/>
        </w:rPr>
      </w:pPr>
      <w:r w:rsidRPr="00105095">
        <w:rPr>
          <w:rStyle w:val="Refdenotaalpie"/>
          <w:rFonts w:ascii="ITC Avant Garde" w:hAnsi="ITC Avant Garde" w:cstheme="minorHAnsi"/>
          <w:sz w:val="14"/>
          <w:szCs w:val="14"/>
        </w:rPr>
        <w:footnoteRef/>
      </w:r>
      <w:r w:rsidRPr="00105095">
        <w:rPr>
          <w:rFonts w:ascii="ITC Avant Garde" w:hAnsi="ITC Avant Garde" w:cstheme="minorHAnsi"/>
          <w:sz w:val="14"/>
          <w:szCs w:val="14"/>
        </w:rPr>
        <w:t xml:space="preserve"> Organismo de estandarización que se encarga de cubrir los aspectos de tecnologías de redes celulares en telecomunicaciones, incluyendo el acceso de radio, las redes de transporte, capacidad-calidad del servicio y especificaciones técnicas de sistemas.</w:t>
      </w:r>
    </w:p>
  </w:footnote>
  <w:footnote w:id="23">
    <w:p w14:paraId="56DD6336" w14:textId="77777777" w:rsidR="008D6E2D" w:rsidRPr="0047660A" w:rsidRDefault="008D6E2D" w:rsidP="00F679D5">
      <w:pPr>
        <w:pStyle w:val="Textonotapie"/>
        <w:tabs>
          <w:tab w:val="left" w:pos="9923"/>
        </w:tabs>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Reglamento de Radiocomunicaciones, disponible para consulta en: </w:t>
      </w:r>
      <w:hyperlink r:id="rId10" w:history="1">
        <w:r w:rsidRPr="0047660A">
          <w:rPr>
            <w:rStyle w:val="Hipervnculo"/>
            <w:rFonts w:ascii="ITC Avant Garde" w:hAnsi="ITC Avant Garde"/>
            <w:sz w:val="16"/>
            <w:szCs w:val="16"/>
          </w:rPr>
          <w:t>https://www.itu.int/pub/R-REG-RR-2020/es</w:t>
        </w:r>
      </w:hyperlink>
    </w:p>
  </w:footnote>
  <w:footnote w:id="24">
    <w:p w14:paraId="0633F1C0" w14:textId="77777777" w:rsidR="008D6E2D" w:rsidRPr="0047660A" w:rsidRDefault="008D6E2D" w:rsidP="00F679D5">
      <w:pPr>
        <w:pStyle w:val="Textonotapie"/>
        <w:tabs>
          <w:tab w:val="left" w:pos="9923"/>
        </w:tabs>
        <w:jc w:val="both"/>
        <w:rPr>
          <w:rStyle w:val="Hipervnculo"/>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Acuerdo DOF 30-12-2021, disponible para consulta en: </w:t>
      </w:r>
      <w:hyperlink r:id="rId11" w:history="1">
        <w:r w:rsidRPr="0047660A">
          <w:rPr>
            <w:rStyle w:val="Hipervnculo"/>
            <w:rFonts w:ascii="ITC Avant Garde" w:hAnsi="ITC Avant Garde"/>
            <w:sz w:val="16"/>
            <w:szCs w:val="16"/>
          </w:rPr>
          <w:t>https://www.dof.gob.mx/nota_detalle.php?codigo=5639765&amp;fecha=30/12/2021</w:t>
        </w:r>
      </w:hyperlink>
    </w:p>
  </w:footnote>
  <w:footnote w:id="25">
    <w:p w14:paraId="11CE1224"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Disponible para su consulta en: </w:t>
      </w:r>
      <w:hyperlink r:id="rId12" w:history="1">
        <w:r w:rsidRPr="0047660A">
          <w:rPr>
            <w:rStyle w:val="Hipervnculo"/>
            <w:rFonts w:ascii="ITC Avant Garde" w:hAnsi="ITC Avant Garde" w:cstheme="minorHAnsi"/>
            <w:sz w:val="16"/>
            <w:szCs w:val="16"/>
          </w:rPr>
          <w:t>https://www.itu.int/rec/R-REC-M.1036-7-202312-I/es</w:t>
        </w:r>
      </w:hyperlink>
    </w:p>
  </w:footnote>
  <w:footnote w:id="26">
    <w:p w14:paraId="299ABC2E"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Disponible para su consulta en: </w:t>
      </w:r>
      <w:hyperlink r:id="rId13" w:history="1">
        <w:r w:rsidRPr="0047660A">
          <w:rPr>
            <w:rStyle w:val="Hipervnculo"/>
            <w:rFonts w:ascii="ITC Avant Garde" w:hAnsi="ITC Avant Garde" w:cstheme="minorHAnsi"/>
            <w:sz w:val="16"/>
            <w:szCs w:val="16"/>
          </w:rPr>
          <w:t>https://www.oas.org/citelevents/es/Documents/DocumentsFile/2394</w:t>
        </w:r>
      </w:hyperlink>
    </w:p>
  </w:footnote>
  <w:footnote w:id="27">
    <w:p w14:paraId="30320708" w14:textId="77777777" w:rsidR="008D6E2D" w:rsidRPr="0047660A" w:rsidRDefault="008D6E2D" w:rsidP="00F679D5">
      <w:pPr>
        <w:pStyle w:val="Textonotapie"/>
        <w:jc w:val="both"/>
        <w:rPr>
          <w:rFonts w:ascii="ITC Avant Garde" w:hAnsi="ITC Avant Garde" w:cstheme="minorHAnsi"/>
          <w:sz w:val="16"/>
          <w:szCs w:val="16"/>
        </w:rPr>
      </w:pPr>
      <w:r w:rsidRPr="0047660A">
        <w:rPr>
          <w:rStyle w:val="Refdenotaalpie"/>
          <w:rFonts w:ascii="ITC Avant Garde" w:hAnsi="ITC Avant Garde" w:cstheme="minorHAnsi"/>
          <w:sz w:val="16"/>
          <w:szCs w:val="16"/>
        </w:rPr>
        <w:footnoteRef/>
      </w:r>
      <w:r w:rsidRPr="0047660A">
        <w:rPr>
          <w:rFonts w:ascii="ITC Avant Garde" w:hAnsi="ITC Avant Garde" w:cstheme="minorHAnsi"/>
          <w:sz w:val="16"/>
          <w:szCs w:val="16"/>
        </w:rPr>
        <w:t xml:space="preserve"> Organismo de estandarización que se encarga de cubrir los aspectos de tecnologías de redes celulares en telecomunicaciones, incluyendo el acceso de radio, las redes de transporte, capacidad-calidad del servicio y especificaciones técnicas de sistemas.</w:t>
      </w:r>
    </w:p>
  </w:footnote>
  <w:footnote w:id="28">
    <w:p w14:paraId="17EB974E"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IFT, “Registro Público de Concesiones”, </w:t>
      </w:r>
      <w:r w:rsidRPr="00015A25">
        <w:rPr>
          <w:rFonts w:ascii="ITC Avant Garde" w:hAnsi="ITC Avant Garde"/>
          <w:i/>
          <w:sz w:val="14"/>
          <w:szCs w:val="14"/>
        </w:rPr>
        <w:t>IFT</w:t>
      </w:r>
      <w:r w:rsidRPr="00015A25">
        <w:rPr>
          <w:rFonts w:ascii="ITC Avant Garde" w:hAnsi="ITC Avant Garde"/>
          <w:sz w:val="14"/>
          <w:szCs w:val="14"/>
        </w:rPr>
        <w:t xml:space="preserve">, México, 2024. Consultado el 21 de junio de 2024, disponible en: </w:t>
      </w:r>
      <w:r w:rsidRPr="00015A25">
        <w:rPr>
          <w:rFonts w:ascii="ITC Avant Garde" w:hAnsi="ITC Avant Garde"/>
          <w:i/>
          <w:sz w:val="14"/>
          <w:szCs w:val="14"/>
        </w:rPr>
        <w:t>https://rpc.ift.org.mx/vrpc</w:t>
      </w:r>
    </w:p>
  </w:footnote>
  <w:footnote w:id="29">
    <w:p w14:paraId="4418500C"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https://www.fcc.gov/</w:t>
      </w:r>
    </w:p>
  </w:footnote>
  <w:footnote w:id="30">
    <w:p w14:paraId="73C3A57D"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https://ised-isde.canada.ca/site/ised/en</w:t>
      </w:r>
    </w:p>
  </w:footnote>
  <w:footnote w:id="31">
    <w:p w14:paraId="33B0910A"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https://www.ofcom.org.uk/</w:t>
      </w:r>
    </w:p>
  </w:footnote>
  <w:footnote w:id="32">
    <w:p w14:paraId="17B90460"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https://www.gov.br/anatel/pt-br</w:t>
      </w:r>
    </w:p>
  </w:footnote>
  <w:footnote w:id="33">
    <w:p w14:paraId="2FE9A540"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https://www.subtel.gob.cl/</w:t>
      </w:r>
    </w:p>
  </w:footnote>
  <w:footnote w:id="34">
    <w:p w14:paraId="317561F1"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https://www.imda.gov.sg/</w:t>
      </w:r>
    </w:p>
  </w:footnote>
  <w:footnote w:id="35">
    <w:p w14:paraId="7F3B1E48" w14:textId="77777777" w:rsidR="008D6E2D" w:rsidRPr="0047660A" w:rsidRDefault="008D6E2D" w:rsidP="00F679D5">
      <w:pPr>
        <w:pStyle w:val="Textonotapie"/>
        <w:rPr>
          <w:rFonts w:ascii="ITC Avant Garde" w:hAnsi="ITC Avant Garde"/>
          <w:sz w:val="16"/>
          <w:szCs w:val="16"/>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Para mayor información, consúltese en: </w:t>
      </w:r>
      <w:r w:rsidRPr="00015A25">
        <w:rPr>
          <w:rFonts w:ascii="ITC Avant Garde" w:hAnsi="ITC Avant Garde"/>
          <w:i/>
          <w:sz w:val="14"/>
          <w:szCs w:val="14"/>
        </w:rPr>
        <w:t>https://www.acma.gov.au/</w:t>
      </w:r>
    </w:p>
  </w:footnote>
  <w:footnote w:id="36">
    <w:p w14:paraId="1A05B827" w14:textId="77777777" w:rsidR="008D6E2D" w:rsidRPr="00015A25" w:rsidRDefault="008D6E2D" w:rsidP="00F679D5">
      <w:pPr>
        <w:pStyle w:val="Textonotapie"/>
        <w:rPr>
          <w:rFonts w:ascii="ITC Avant Garde" w:hAnsi="ITC Avant Garde"/>
          <w:sz w:val="14"/>
          <w:szCs w:val="14"/>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w:t>
      </w:r>
      <w:r w:rsidRPr="00015A25">
        <w:rPr>
          <w:rFonts w:ascii="ITC Avant Garde" w:hAnsi="ITC Avant Garde"/>
          <w:i/>
          <w:sz w:val="14"/>
          <w:szCs w:val="14"/>
        </w:rPr>
        <w:t xml:space="preserve">3rd </w:t>
      </w:r>
      <w:proofErr w:type="spellStart"/>
      <w:r w:rsidRPr="00015A25">
        <w:rPr>
          <w:rFonts w:ascii="ITC Avant Garde" w:hAnsi="ITC Avant Garde"/>
          <w:i/>
          <w:sz w:val="14"/>
          <w:szCs w:val="14"/>
        </w:rPr>
        <w:t>Generation</w:t>
      </w:r>
      <w:proofErr w:type="spellEnd"/>
      <w:r w:rsidRPr="00015A25">
        <w:rPr>
          <w:rFonts w:ascii="ITC Avant Garde" w:hAnsi="ITC Avant Garde"/>
          <w:i/>
          <w:sz w:val="14"/>
          <w:szCs w:val="14"/>
        </w:rPr>
        <w:t xml:space="preserve"> </w:t>
      </w:r>
      <w:proofErr w:type="spellStart"/>
      <w:r w:rsidRPr="00015A25">
        <w:rPr>
          <w:rFonts w:ascii="ITC Avant Garde" w:hAnsi="ITC Avant Garde"/>
          <w:i/>
          <w:sz w:val="14"/>
          <w:szCs w:val="14"/>
        </w:rPr>
        <w:t>Partnership</w:t>
      </w:r>
      <w:proofErr w:type="spellEnd"/>
      <w:r w:rsidRPr="00015A25">
        <w:rPr>
          <w:rFonts w:ascii="ITC Avant Garde" w:hAnsi="ITC Avant Garde"/>
          <w:i/>
          <w:sz w:val="14"/>
          <w:szCs w:val="14"/>
        </w:rPr>
        <w:t xml:space="preserve"> Project</w:t>
      </w:r>
      <w:r w:rsidRPr="00015A25">
        <w:rPr>
          <w:rFonts w:ascii="ITC Avant Garde" w:hAnsi="ITC Avant Garde"/>
          <w:sz w:val="14"/>
          <w:szCs w:val="14"/>
        </w:rPr>
        <w:t>, por sus siglas en idioma inglés.</w:t>
      </w:r>
    </w:p>
  </w:footnote>
  <w:footnote w:id="37">
    <w:p w14:paraId="68767DB7" w14:textId="77777777" w:rsidR="008D6E2D" w:rsidRPr="0047660A" w:rsidRDefault="008D6E2D" w:rsidP="00F679D5">
      <w:pPr>
        <w:pStyle w:val="Textonotapie"/>
        <w:rPr>
          <w:rFonts w:ascii="ITC Avant Garde" w:hAnsi="ITC Avant Garde"/>
          <w:sz w:val="16"/>
          <w:szCs w:val="16"/>
        </w:rPr>
      </w:pPr>
      <w:r w:rsidRPr="00015A25">
        <w:rPr>
          <w:rStyle w:val="Refdenotaalpie"/>
          <w:rFonts w:ascii="ITC Avant Garde" w:hAnsi="ITC Avant Garde"/>
          <w:sz w:val="14"/>
          <w:szCs w:val="14"/>
        </w:rPr>
        <w:footnoteRef/>
      </w:r>
      <w:r w:rsidRPr="00015A25">
        <w:rPr>
          <w:rFonts w:ascii="ITC Avant Garde" w:hAnsi="ITC Avant Garde"/>
          <w:sz w:val="14"/>
          <w:szCs w:val="14"/>
        </w:rPr>
        <w:t xml:space="preserve"> </w:t>
      </w:r>
      <w:proofErr w:type="spellStart"/>
      <w:r w:rsidRPr="00015A25">
        <w:rPr>
          <w:rFonts w:ascii="ITC Avant Garde" w:hAnsi="ITC Avant Garde"/>
          <w:i/>
          <w:sz w:val="14"/>
          <w:szCs w:val="14"/>
        </w:rPr>
        <w:t>European</w:t>
      </w:r>
      <w:proofErr w:type="spellEnd"/>
      <w:r w:rsidRPr="00015A25">
        <w:rPr>
          <w:rFonts w:ascii="ITC Avant Garde" w:hAnsi="ITC Avant Garde"/>
          <w:i/>
          <w:sz w:val="14"/>
          <w:szCs w:val="14"/>
        </w:rPr>
        <w:t xml:space="preserve"> </w:t>
      </w:r>
      <w:proofErr w:type="spellStart"/>
      <w:r w:rsidRPr="00015A25">
        <w:rPr>
          <w:rFonts w:ascii="ITC Avant Garde" w:hAnsi="ITC Avant Garde"/>
          <w:i/>
          <w:sz w:val="14"/>
          <w:szCs w:val="14"/>
        </w:rPr>
        <w:t>Telecommunications</w:t>
      </w:r>
      <w:proofErr w:type="spellEnd"/>
      <w:r w:rsidRPr="00015A25">
        <w:rPr>
          <w:rFonts w:ascii="ITC Avant Garde" w:hAnsi="ITC Avant Garde"/>
          <w:i/>
          <w:sz w:val="14"/>
          <w:szCs w:val="14"/>
        </w:rPr>
        <w:t xml:space="preserve"> </w:t>
      </w:r>
      <w:proofErr w:type="spellStart"/>
      <w:r w:rsidRPr="00015A25">
        <w:rPr>
          <w:rFonts w:ascii="ITC Avant Garde" w:hAnsi="ITC Avant Garde"/>
          <w:i/>
          <w:sz w:val="14"/>
          <w:szCs w:val="14"/>
        </w:rPr>
        <w:t>Standards</w:t>
      </w:r>
      <w:proofErr w:type="spellEnd"/>
      <w:r w:rsidRPr="00015A25">
        <w:rPr>
          <w:rFonts w:ascii="ITC Avant Garde" w:hAnsi="ITC Avant Garde"/>
          <w:i/>
          <w:sz w:val="14"/>
          <w:szCs w:val="14"/>
        </w:rPr>
        <w:t xml:space="preserve"> </w:t>
      </w:r>
      <w:proofErr w:type="spellStart"/>
      <w:r w:rsidRPr="00015A25">
        <w:rPr>
          <w:rFonts w:ascii="ITC Avant Garde" w:hAnsi="ITC Avant Garde"/>
          <w:i/>
          <w:sz w:val="14"/>
          <w:szCs w:val="14"/>
        </w:rPr>
        <w:t>Institute</w:t>
      </w:r>
      <w:proofErr w:type="spellEnd"/>
      <w:r w:rsidRPr="00015A25">
        <w:rPr>
          <w:rFonts w:ascii="ITC Avant Garde" w:hAnsi="ITC Avant Garde"/>
          <w:sz w:val="14"/>
          <w:szCs w:val="14"/>
        </w:rPr>
        <w:t>, por sus siglas en idioma inglés.</w:t>
      </w:r>
    </w:p>
  </w:footnote>
  <w:footnote w:id="38">
    <w:p w14:paraId="37BAFAC0" w14:textId="77777777" w:rsidR="008D6E2D" w:rsidRPr="00123A57" w:rsidRDefault="008D6E2D" w:rsidP="00C758E5">
      <w:pPr>
        <w:pStyle w:val="Textonotapie"/>
        <w:jc w:val="both"/>
        <w:rPr>
          <w:rFonts w:ascii="ITC Avant Garde" w:hAnsi="ITC Avant Garde"/>
          <w:sz w:val="16"/>
          <w:szCs w:val="16"/>
          <w:lang w:val="en-US"/>
        </w:rPr>
      </w:pPr>
      <w:r w:rsidRPr="0047660A">
        <w:rPr>
          <w:rStyle w:val="Refdenotaalpie"/>
          <w:rFonts w:ascii="ITC Avant Garde" w:hAnsi="ITC Avant Garde"/>
          <w:sz w:val="16"/>
          <w:szCs w:val="16"/>
        </w:rPr>
        <w:footnoteRef/>
      </w:r>
      <w:r w:rsidRPr="00123A57">
        <w:rPr>
          <w:rFonts w:ascii="ITC Avant Garde" w:hAnsi="ITC Avant Garde"/>
          <w:sz w:val="16"/>
          <w:szCs w:val="16"/>
          <w:lang w:val="en-US"/>
        </w:rPr>
        <w:t xml:space="preserve"> Tukey, J. W. (1977). Exploratory Data Analysis. Addison-Wesley.</w:t>
      </w:r>
    </w:p>
  </w:footnote>
  <w:footnote w:id="39">
    <w:p w14:paraId="1B32721E" w14:textId="77777777" w:rsidR="008D6E2D" w:rsidRPr="00742409" w:rsidRDefault="008D6E2D" w:rsidP="009B031B">
      <w:pPr>
        <w:pStyle w:val="Textonotapie"/>
        <w:jc w:val="both"/>
        <w:rPr>
          <w:rFonts w:ascii="ITC Avant Garde" w:hAnsi="ITC Avant Garde"/>
          <w:sz w:val="14"/>
          <w:szCs w:val="14"/>
        </w:rPr>
      </w:pPr>
      <w:r w:rsidRPr="00742409">
        <w:rPr>
          <w:rStyle w:val="Refdenotaalpie"/>
          <w:rFonts w:ascii="ITC Avant Garde" w:hAnsi="ITC Avant Garde"/>
          <w:sz w:val="14"/>
          <w:szCs w:val="14"/>
        </w:rPr>
        <w:footnoteRef/>
      </w:r>
      <w:r w:rsidRPr="00742409">
        <w:rPr>
          <w:rFonts w:ascii="ITC Avant Garde" w:hAnsi="ITC Avant Garde"/>
          <w:sz w:val="14"/>
          <w:szCs w:val="14"/>
          <w:lang w:val="en-US"/>
        </w:rPr>
        <w:t xml:space="preserve"> Moraga, Paula. (2023). Spatial Statistics for Data Science: Theory and Practice with R. Chapman &amp; Hall/CRC Data Science Series. </w:t>
      </w:r>
      <w:r w:rsidRPr="00742409">
        <w:rPr>
          <w:rFonts w:ascii="ITC Avant Garde" w:hAnsi="ITC Avant Garde"/>
          <w:sz w:val="14"/>
          <w:szCs w:val="14"/>
        </w:rPr>
        <w:t>ISBN 9781032633510</w:t>
      </w:r>
    </w:p>
  </w:footnote>
  <w:footnote w:id="40">
    <w:p w14:paraId="79509E9E" w14:textId="77777777" w:rsidR="008D6E2D" w:rsidRPr="0047660A" w:rsidRDefault="008D6E2D" w:rsidP="00C758E5">
      <w:pPr>
        <w:pStyle w:val="Textonotapie"/>
        <w:rPr>
          <w:rFonts w:ascii="ITC Avant Garde" w:hAnsi="ITC Avant Garde"/>
          <w:sz w:val="16"/>
          <w:szCs w:val="16"/>
        </w:rPr>
      </w:pPr>
      <w:r w:rsidRPr="0047660A">
        <w:rPr>
          <w:rStyle w:val="Refdenotaalpie"/>
          <w:rFonts w:ascii="ITC Avant Garde" w:hAnsi="ITC Avant Garde"/>
          <w:sz w:val="16"/>
          <w:szCs w:val="16"/>
        </w:rPr>
        <w:footnoteRef/>
      </w:r>
      <w:r w:rsidRPr="0047660A">
        <w:rPr>
          <w:rFonts w:ascii="ITC Avant Garde" w:hAnsi="ITC Avant Garde"/>
          <w:sz w:val="16"/>
          <w:szCs w:val="16"/>
        </w:rPr>
        <w:t xml:space="preserve"> </w:t>
      </w:r>
      <w:proofErr w:type="spellStart"/>
      <w:r w:rsidRPr="0047660A">
        <w:rPr>
          <w:rFonts w:ascii="ITC Avant Garde" w:hAnsi="ITC Avant Garde"/>
          <w:sz w:val="16"/>
          <w:szCs w:val="16"/>
        </w:rPr>
        <w:t>Grünbaum</w:t>
      </w:r>
      <w:proofErr w:type="spellEnd"/>
      <w:r w:rsidRPr="0047660A">
        <w:rPr>
          <w:rFonts w:ascii="ITC Avant Garde" w:hAnsi="ITC Avant Garde"/>
          <w:sz w:val="16"/>
          <w:szCs w:val="16"/>
        </w:rPr>
        <w:t xml:space="preserve">, </w:t>
      </w:r>
      <w:proofErr w:type="spellStart"/>
      <w:r w:rsidRPr="0047660A">
        <w:rPr>
          <w:rFonts w:ascii="ITC Avant Garde" w:hAnsi="ITC Avant Garde"/>
          <w:sz w:val="16"/>
          <w:szCs w:val="16"/>
        </w:rPr>
        <w:t>Branko</w:t>
      </w:r>
      <w:proofErr w:type="spellEnd"/>
      <w:r w:rsidRPr="0047660A">
        <w:rPr>
          <w:rFonts w:ascii="ITC Avant Garde" w:hAnsi="ITC Avant Garde"/>
          <w:sz w:val="16"/>
          <w:szCs w:val="16"/>
        </w:rPr>
        <w:t xml:space="preserve">. </w:t>
      </w:r>
      <w:proofErr w:type="spellStart"/>
      <w:r w:rsidRPr="0047660A">
        <w:rPr>
          <w:rFonts w:ascii="ITC Avant Garde" w:hAnsi="ITC Avant Garde"/>
          <w:sz w:val="16"/>
          <w:szCs w:val="16"/>
        </w:rPr>
        <w:t>Convex</w:t>
      </w:r>
      <w:proofErr w:type="spellEnd"/>
      <w:r w:rsidRPr="0047660A">
        <w:rPr>
          <w:rFonts w:ascii="ITC Avant Garde" w:hAnsi="ITC Avant Garde"/>
          <w:sz w:val="16"/>
          <w:szCs w:val="16"/>
        </w:rPr>
        <w:t xml:space="preserve"> </w:t>
      </w:r>
      <w:proofErr w:type="spellStart"/>
      <w:r w:rsidRPr="0047660A">
        <w:rPr>
          <w:rFonts w:ascii="ITC Avant Garde" w:hAnsi="ITC Avant Garde"/>
          <w:sz w:val="16"/>
          <w:szCs w:val="16"/>
        </w:rPr>
        <w:t>Polytopes</w:t>
      </w:r>
      <w:proofErr w:type="spellEnd"/>
      <w:r w:rsidRPr="0047660A">
        <w:rPr>
          <w:rFonts w:ascii="ITC Avant Garde" w:hAnsi="ITC Avant Garde"/>
          <w:sz w:val="16"/>
          <w:szCs w:val="16"/>
        </w:rPr>
        <w:t>. 2nd ed., Springer-</w:t>
      </w:r>
      <w:proofErr w:type="spellStart"/>
      <w:r w:rsidRPr="0047660A">
        <w:rPr>
          <w:rFonts w:ascii="ITC Avant Garde" w:hAnsi="ITC Avant Garde"/>
          <w:sz w:val="16"/>
          <w:szCs w:val="16"/>
        </w:rPr>
        <w:t>Verlag</w:t>
      </w:r>
      <w:proofErr w:type="spellEnd"/>
      <w:r w:rsidRPr="0047660A">
        <w:rPr>
          <w:rFonts w:ascii="ITC Avant Garde" w:hAnsi="ITC Avant Garde"/>
          <w:sz w:val="16"/>
          <w:szCs w:val="16"/>
        </w:rPr>
        <w:t>, 2003</w:t>
      </w:r>
    </w:p>
  </w:footnote>
  <w:footnote w:id="41">
    <w:p w14:paraId="24E21CAB" w14:textId="77777777" w:rsidR="008D6E2D" w:rsidRPr="00742409" w:rsidRDefault="008D6E2D" w:rsidP="00C758E5">
      <w:pPr>
        <w:pStyle w:val="Textonotapie"/>
        <w:jc w:val="both"/>
        <w:rPr>
          <w:rFonts w:ascii="ITC Avant Garde" w:hAnsi="ITC Avant Garde"/>
          <w:sz w:val="14"/>
          <w:szCs w:val="14"/>
        </w:rPr>
      </w:pPr>
      <w:r w:rsidRPr="00742409">
        <w:rPr>
          <w:rStyle w:val="Refdenotaalpie"/>
          <w:rFonts w:ascii="ITC Avant Garde" w:hAnsi="ITC Avant Garde"/>
          <w:sz w:val="14"/>
          <w:szCs w:val="14"/>
        </w:rPr>
        <w:footnoteRef/>
      </w:r>
      <w:r w:rsidRPr="00742409">
        <w:rPr>
          <w:rFonts w:ascii="ITC Avant Garde" w:hAnsi="ITC Avant Garde"/>
          <w:sz w:val="14"/>
          <w:szCs w:val="14"/>
        </w:rPr>
        <w:t xml:space="preserve"> Estadística Operacional de Aeropuertos (</w:t>
      </w:r>
      <w:proofErr w:type="gramStart"/>
      <w:r w:rsidRPr="00742409">
        <w:rPr>
          <w:rFonts w:ascii="ITC Avant Garde" w:hAnsi="ITC Avant Garde"/>
          <w:sz w:val="14"/>
          <w:szCs w:val="14"/>
        </w:rPr>
        <w:t>Mayo</w:t>
      </w:r>
      <w:proofErr w:type="gramEnd"/>
      <w:r w:rsidRPr="00742409">
        <w:rPr>
          <w:rFonts w:ascii="ITC Avant Garde" w:hAnsi="ITC Avant Garde"/>
          <w:sz w:val="14"/>
          <w:szCs w:val="14"/>
        </w:rPr>
        <w:t xml:space="preserve"> 2024), disponible para consulta en: https://www.gob.mx/cms/uploads/attachment/file/924045/producto-aeropuertos-es-may-24-27062024.pdf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A3307" w14:textId="60F43C0A" w:rsidR="008D6E2D" w:rsidRDefault="00E80444">
    <w:pPr>
      <w:pStyle w:val="Encabezado"/>
    </w:pPr>
    <w:r>
      <w:rPr>
        <w:noProof/>
      </w:rPr>
      <w:pict w14:anchorId="3BE50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245236" o:spid="_x0000_s2049" type="#_x0000_t75" style="position:absolute;margin-left:-72.55pt;margin-top:-150.45pt;width:612pt;height:11in;z-index:-251658752;mso-position-horizontal-relative:margin;mso-position-vertical-relative:margin" o:allowincell="f">
          <v:imagedata r:id="rId1" o:title="Demarcacion Territorial_bostón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0AE"/>
    <w:multiLevelType w:val="hybridMultilevel"/>
    <w:tmpl w:val="62B41134"/>
    <w:lvl w:ilvl="0" w:tplc="4D40EC9A">
      <w:start w:val="1"/>
      <w:numFmt w:val="lowerLetter"/>
      <w:lvlText w:val="%1."/>
      <w:lvlJc w:val="left"/>
      <w:pPr>
        <w:ind w:left="1416" w:hanging="708"/>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11D55FB"/>
    <w:multiLevelType w:val="multilevel"/>
    <w:tmpl w:val="86B0A5EE"/>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0F73B1"/>
    <w:multiLevelType w:val="multilevel"/>
    <w:tmpl w:val="3418E8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E65A28"/>
    <w:multiLevelType w:val="hybridMultilevel"/>
    <w:tmpl w:val="DB40DF92"/>
    <w:lvl w:ilvl="0" w:tplc="080A0003">
      <w:start w:val="1"/>
      <w:numFmt w:val="bullet"/>
      <w:lvlText w:val="o"/>
      <w:lvlJc w:val="left"/>
      <w:pPr>
        <w:ind w:left="1428" w:hanging="360"/>
      </w:pPr>
      <w:rPr>
        <w:rFonts w:ascii="Courier New" w:hAnsi="Courier New" w:cs="Courier New" w:hint="default"/>
      </w:rPr>
    </w:lvl>
    <w:lvl w:ilvl="1" w:tplc="080A000B">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A96DC1"/>
    <w:multiLevelType w:val="multilevel"/>
    <w:tmpl w:val="DBF4B4B4"/>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0A3968"/>
    <w:multiLevelType w:val="multilevel"/>
    <w:tmpl w:val="F962DE9E"/>
    <w:lvl w:ilvl="0">
      <w:start w:val="5"/>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 w15:restartNumberingAfterBreak="0">
    <w:nsid w:val="2D5021C5"/>
    <w:multiLevelType w:val="hybridMultilevel"/>
    <w:tmpl w:val="82C43940"/>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2E6E6737"/>
    <w:multiLevelType w:val="hybridMultilevel"/>
    <w:tmpl w:val="74FEA76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34F60B32"/>
    <w:multiLevelType w:val="multilevel"/>
    <w:tmpl w:val="BC14C6A2"/>
    <w:lvl w:ilvl="0">
      <w:start w:val="1"/>
      <w:numFmt w:val="decimal"/>
      <w:lvlText w:val="%1."/>
      <w:lvlJc w:val="left"/>
      <w:pPr>
        <w:ind w:left="36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9" w15:restartNumberingAfterBreak="0">
    <w:nsid w:val="38750E46"/>
    <w:multiLevelType w:val="hybridMultilevel"/>
    <w:tmpl w:val="9626DD08"/>
    <w:lvl w:ilvl="0" w:tplc="080A000F">
      <w:start w:val="1"/>
      <w:numFmt w:val="decimal"/>
      <w:lvlText w:val="%1."/>
      <w:lvlJc w:val="left"/>
      <w:pPr>
        <w:ind w:left="-676" w:hanging="360"/>
      </w:pPr>
      <w:rPr>
        <w:color w:val="939F27"/>
      </w:rPr>
    </w:lvl>
    <w:lvl w:ilvl="1" w:tplc="FE2EF44E">
      <w:numFmt w:val="bullet"/>
      <w:lvlText w:val="-"/>
      <w:lvlJc w:val="left"/>
      <w:pPr>
        <w:ind w:left="44" w:hanging="360"/>
      </w:pPr>
      <w:rPr>
        <w:rFonts w:ascii="ITC Avant Garde" w:eastAsiaTheme="minorHAnsi" w:hAnsi="ITC Avant Garde" w:cstheme="minorBidi" w:hint="default"/>
      </w:rPr>
    </w:lvl>
    <w:lvl w:ilvl="2" w:tplc="080A001B" w:tentative="1">
      <w:start w:val="1"/>
      <w:numFmt w:val="lowerRoman"/>
      <w:lvlText w:val="%3."/>
      <w:lvlJc w:val="right"/>
      <w:pPr>
        <w:ind w:left="764" w:hanging="180"/>
      </w:pPr>
    </w:lvl>
    <w:lvl w:ilvl="3" w:tplc="080A000F" w:tentative="1">
      <w:start w:val="1"/>
      <w:numFmt w:val="decimal"/>
      <w:lvlText w:val="%4."/>
      <w:lvlJc w:val="left"/>
      <w:pPr>
        <w:ind w:left="1484" w:hanging="360"/>
      </w:pPr>
    </w:lvl>
    <w:lvl w:ilvl="4" w:tplc="080A0019" w:tentative="1">
      <w:start w:val="1"/>
      <w:numFmt w:val="lowerLetter"/>
      <w:lvlText w:val="%5."/>
      <w:lvlJc w:val="left"/>
      <w:pPr>
        <w:ind w:left="2204" w:hanging="360"/>
      </w:pPr>
    </w:lvl>
    <w:lvl w:ilvl="5" w:tplc="080A001B" w:tentative="1">
      <w:start w:val="1"/>
      <w:numFmt w:val="lowerRoman"/>
      <w:lvlText w:val="%6."/>
      <w:lvlJc w:val="right"/>
      <w:pPr>
        <w:ind w:left="2924" w:hanging="180"/>
      </w:pPr>
    </w:lvl>
    <w:lvl w:ilvl="6" w:tplc="080A000F" w:tentative="1">
      <w:start w:val="1"/>
      <w:numFmt w:val="decimal"/>
      <w:lvlText w:val="%7."/>
      <w:lvlJc w:val="left"/>
      <w:pPr>
        <w:ind w:left="3644" w:hanging="360"/>
      </w:pPr>
    </w:lvl>
    <w:lvl w:ilvl="7" w:tplc="080A0019" w:tentative="1">
      <w:start w:val="1"/>
      <w:numFmt w:val="lowerLetter"/>
      <w:lvlText w:val="%8."/>
      <w:lvlJc w:val="left"/>
      <w:pPr>
        <w:ind w:left="4364" w:hanging="360"/>
      </w:pPr>
    </w:lvl>
    <w:lvl w:ilvl="8" w:tplc="080A001B" w:tentative="1">
      <w:start w:val="1"/>
      <w:numFmt w:val="lowerRoman"/>
      <w:lvlText w:val="%9."/>
      <w:lvlJc w:val="right"/>
      <w:pPr>
        <w:ind w:left="5084" w:hanging="180"/>
      </w:pPr>
    </w:lvl>
  </w:abstractNum>
  <w:abstractNum w:abstractNumId="10" w15:restartNumberingAfterBreak="0">
    <w:nsid w:val="3B83470E"/>
    <w:multiLevelType w:val="hybridMultilevel"/>
    <w:tmpl w:val="3312C716"/>
    <w:lvl w:ilvl="0" w:tplc="080A0001">
      <w:start w:val="1"/>
      <w:numFmt w:val="bullet"/>
      <w:lvlText w:val=""/>
      <w:lvlJc w:val="left"/>
      <w:pPr>
        <w:ind w:left="1805" w:hanging="360"/>
      </w:pPr>
      <w:rPr>
        <w:rFonts w:ascii="Symbol" w:hAnsi="Symbol" w:hint="default"/>
      </w:rPr>
    </w:lvl>
    <w:lvl w:ilvl="1" w:tplc="080A0003" w:tentative="1">
      <w:start w:val="1"/>
      <w:numFmt w:val="bullet"/>
      <w:lvlText w:val="o"/>
      <w:lvlJc w:val="left"/>
      <w:pPr>
        <w:ind w:left="2525" w:hanging="360"/>
      </w:pPr>
      <w:rPr>
        <w:rFonts w:ascii="Courier New" w:hAnsi="Courier New" w:cs="Courier New" w:hint="default"/>
      </w:rPr>
    </w:lvl>
    <w:lvl w:ilvl="2" w:tplc="080A0005" w:tentative="1">
      <w:start w:val="1"/>
      <w:numFmt w:val="bullet"/>
      <w:lvlText w:val=""/>
      <w:lvlJc w:val="left"/>
      <w:pPr>
        <w:ind w:left="3245" w:hanging="360"/>
      </w:pPr>
      <w:rPr>
        <w:rFonts w:ascii="Wingdings" w:hAnsi="Wingdings" w:hint="default"/>
      </w:rPr>
    </w:lvl>
    <w:lvl w:ilvl="3" w:tplc="080A0001" w:tentative="1">
      <w:start w:val="1"/>
      <w:numFmt w:val="bullet"/>
      <w:lvlText w:val=""/>
      <w:lvlJc w:val="left"/>
      <w:pPr>
        <w:ind w:left="3965" w:hanging="360"/>
      </w:pPr>
      <w:rPr>
        <w:rFonts w:ascii="Symbol" w:hAnsi="Symbol" w:hint="default"/>
      </w:rPr>
    </w:lvl>
    <w:lvl w:ilvl="4" w:tplc="080A0003" w:tentative="1">
      <w:start w:val="1"/>
      <w:numFmt w:val="bullet"/>
      <w:lvlText w:val="o"/>
      <w:lvlJc w:val="left"/>
      <w:pPr>
        <w:ind w:left="4685" w:hanging="360"/>
      </w:pPr>
      <w:rPr>
        <w:rFonts w:ascii="Courier New" w:hAnsi="Courier New" w:cs="Courier New" w:hint="default"/>
      </w:rPr>
    </w:lvl>
    <w:lvl w:ilvl="5" w:tplc="080A0005" w:tentative="1">
      <w:start w:val="1"/>
      <w:numFmt w:val="bullet"/>
      <w:lvlText w:val=""/>
      <w:lvlJc w:val="left"/>
      <w:pPr>
        <w:ind w:left="5405" w:hanging="360"/>
      </w:pPr>
      <w:rPr>
        <w:rFonts w:ascii="Wingdings" w:hAnsi="Wingdings" w:hint="default"/>
      </w:rPr>
    </w:lvl>
    <w:lvl w:ilvl="6" w:tplc="080A0001" w:tentative="1">
      <w:start w:val="1"/>
      <w:numFmt w:val="bullet"/>
      <w:lvlText w:val=""/>
      <w:lvlJc w:val="left"/>
      <w:pPr>
        <w:ind w:left="6125" w:hanging="360"/>
      </w:pPr>
      <w:rPr>
        <w:rFonts w:ascii="Symbol" w:hAnsi="Symbol" w:hint="default"/>
      </w:rPr>
    </w:lvl>
    <w:lvl w:ilvl="7" w:tplc="080A0003" w:tentative="1">
      <w:start w:val="1"/>
      <w:numFmt w:val="bullet"/>
      <w:lvlText w:val="o"/>
      <w:lvlJc w:val="left"/>
      <w:pPr>
        <w:ind w:left="6845" w:hanging="360"/>
      </w:pPr>
      <w:rPr>
        <w:rFonts w:ascii="Courier New" w:hAnsi="Courier New" w:cs="Courier New" w:hint="default"/>
      </w:rPr>
    </w:lvl>
    <w:lvl w:ilvl="8" w:tplc="080A0005" w:tentative="1">
      <w:start w:val="1"/>
      <w:numFmt w:val="bullet"/>
      <w:lvlText w:val=""/>
      <w:lvlJc w:val="left"/>
      <w:pPr>
        <w:ind w:left="7565" w:hanging="360"/>
      </w:pPr>
      <w:rPr>
        <w:rFonts w:ascii="Wingdings" w:hAnsi="Wingdings" w:hint="default"/>
      </w:rPr>
    </w:lvl>
  </w:abstractNum>
  <w:abstractNum w:abstractNumId="11" w15:restartNumberingAfterBreak="0">
    <w:nsid w:val="3C4E2AFB"/>
    <w:multiLevelType w:val="multilevel"/>
    <w:tmpl w:val="2CEEF95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495915"/>
    <w:multiLevelType w:val="hybridMultilevel"/>
    <w:tmpl w:val="352C5E2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1FF02E2"/>
    <w:multiLevelType w:val="hybridMultilevel"/>
    <w:tmpl w:val="95B4826A"/>
    <w:lvl w:ilvl="0" w:tplc="080A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507C648C"/>
    <w:multiLevelType w:val="hybridMultilevel"/>
    <w:tmpl w:val="5A98E0C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15:restartNumberingAfterBreak="0">
    <w:nsid w:val="52967B90"/>
    <w:multiLevelType w:val="multilevel"/>
    <w:tmpl w:val="DD9063B4"/>
    <w:lvl w:ilvl="0">
      <w:start w:val="1"/>
      <w:numFmt w:val="lowerLetter"/>
      <w:lvlText w:val="%1."/>
      <w:lvlJc w:val="left"/>
      <w:pPr>
        <w:ind w:left="1080" w:hanging="72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3C0868"/>
    <w:multiLevelType w:val="hybridMultilevel"/>
    <w:tmpl w:val="97621A20"/>
    <w:lvl w:ilvl="0" w:tplc="4AE236FA">
      <w:start w:val="1"/>
      <w:numFmt w:val="lowerLetter"/>
      <w:lvlText w:val="%1."/>
      <w:lvlJc w:val="left"/>
      <w:pPr>
        <w:ind w:left="1416" w:hanging="708"/>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5D431819"/>
    <w:multiLevelType w:val="hybridMultilevel"/>
    <w:tmpl w:val="7F1244A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60A85077"/>
    <w:multiLevelType w:val="hybridMultilevel"/>
    <w:tmpl w:val="54661E2C"/>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64875143"/>
    <w:multiLevelType w:val="hybridMultilevel"/>
    <w:tmpl w:val="8C7ABC84"/>
    <w:lvl w:ilvl="0" w:tplc="080A0019">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9F4EC4"/>
    <w:multiLevelType w:val="hybridMultilevel"/>
    <w:tmpl w:val="1054C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880962"/>
    <w:multiLevelType w:val="multilevel"/>
    <w:tmpl w:val="15B07288"/>
    <w:lvl w:ilvl="0">
      <w:start w:val="5"/>
      <w:numFmt w:val="decimal"/>
      <w:lvlText w:val="%1"/>
      <w:lvlJc w:val="left"/>
      <w:pPr>
        <w:ind w:left="360" w:hanging="360"/>
      </w:pPr>
      <w:rPr>
        <w:rFonts w:asciiTheme="minorHAnsi" w:hAnsiTheme="minorHAnsi" w:hint="default"/>
        <w:b/>
      </w:rPr>
    </w:lvl>
    <w:lvl w:ilvl="1">
      <w:start w:val="1"/>
      <w:numFmt w:val="decimal"/>
      <w:lvlText w:val="%1.%2"/>
      <w:lvlJc w:val="left"/>
      <w:pPr>
        <w:ind w:left="360" w:hanging="360"/>
      </w:pPr>
      <w:rPr>
        <w:rFonts w:ascii="ITC Avant Garde" w:hAnsi="ITC Avant Garde"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22" w15:restartNumberingAfterBreak="0">
    <w:nsid w:val="68D61D4B"/>
    <w:multiLevelType w:val="hybridMultilevel"/>
    <w:tmpl w:val="CB72874A"/>
    <w:lvl w:ilvl="0" w:tplc="C59ED23C">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D93688"/>
    <w:multiLevelType w:val="multilevel"/>
    <w:tmpl w:val="5A560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5F63DC"/>
    <w:multiLevelType w:val="multilevel"/>
    <w:tmpl w:val="934C60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AB7743"/>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9BD2329"/>
    <w:multiLevelType w:val="hybridMultilevel"/>
    <w:tmpl w:val="50509CC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822721"/>
    <w:multiLevelType w:val="multilevel"/>
    <w:tmpl w:val="D230F5EC"/>
    <w:lvl w:ilvl="0">
      <w:start w:val="6"/>
      <w:numFmt w:val="decimal"/>
      <w:lvlText w:val="%1"/>
      <w:lvlJc w:val="left"/>
      <w:pPr>
        <w:ind w:left="528" w:hanging="528"/>
      </w:pPr>
      <w:rPr>
        <w:rFonts w:hint="default"/>
      </w:rPr>
    </w:lvl>
    <w:lvl w:ilvl="1">
      <w:start w:val="2"/>
      <w:numFmt w:val="decimal"/>
      <w:lvlText w:val="%1.%2"/>
      <w:lvlJc w:val="left"/>
      <w:pPr>
        <w:ind w:left="528" w:hanging="528"/>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2"/>
  </w:num>
  <w:num w:numId="3">
    <w:abstractNumId w:val="14"/>
  </w:num>
  <w:num w:numId="4">
    <w:abstractNumId w:val="25"/>
  </w:num>
  <w:num w:numId="5">
    <w:abstractNumId w:val="26"/>
  </w:num>
  <w:num w:numId="6">
    <w:abstractNumId w:val="18"/>
  </w:num>
  <w:num w:numId="7">
    <w:abstractNumId w:val="13"/>
  </w:num>
  <w:num w:numId="8">
    <w:abstractNumId w:val="4"/>
  </w:num>
  <w:num w:numId="9">
    <w:abstractNumId w:val="15"/>
  </w:num>
  <w:num w:numId="10">
    <w:abstractNumId w:val="1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num>
  <w:num w:numId="14">
    <w:abstractNumId w:val="5"/>
  </w:num>
  <w:num w:numId="15">
    <w:abstractNumId w:val="7"/>
  </w:num>
  <w:num w:numId="16">
    <w:abstractNumId w:val="9"/>
  </w:num>
  <w:num w:numId="17">
    <w:abstractNumId w:val="0"/>
  </w:num>
  <w:num w:numId="18">
    <w:abstractNumId w:val="16"/>
  </w:num>
  <w:num w:numId="19">
    <w:abstractNumId w:val="3"/>
  </w:num>
  <w:num w:numId="20">
    <w:abstractNumId w:val="6"/>
  </w:num>
  <w:num w:numId="21">
    <w:abstractNumId w:val="23"/>
  </w:num>
  <w:num w:numId="22">
    <w:abstractNumId w:val="2"/>
  </w:num>
  <w:num w:numId="23">
    <w:abstractNumId w:val="24"/>
  </w:num>
  <w:num w:numId="24">
    <w:abstractNumId w:val="21"/>
  </w:num>
  <w:num w:numId="25">
    <w:abstractNumId w:val="11"/>
  </w:num>
  <w:num w:numId="26">
    <w:abstractNumId w:val="27"/>
  </w:num>
  <w:num w:numId="27">
    <w:abstractNumId w:val="1"/>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NotTrackMoves/>
  <w:doNotTrackFormatting/>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71"/>
    <w:rsid w:val="00000C8A"/>
    <w:rsid w:val="00007B9F"/>
    <w:rsid w:val="00010C71"/>
    <w:rsid w:val="00015A04"/>
    <w:rsid w:val="00015A25"/>
    <w:rsid w:val="0002630C"/>
    <w:rsid w:val="000302ED"/>
    <w:rsid w:val="00040417"/>
    <w:rsid w:val="00044BE4"/>
    <w:rsid w:val="0005784C"/>
    <w:rsid w:val="00057951"/>
    <w:rsid w:val="00065207"/>
    <w:rsid w:val="00065564"/>
    <w:rsid w:val="00071F4C"/>
    <w:rsid w:val="00071FC0"/>
    <w:rsid w:val="00072302"/>
    <w:rsid w:val="0008027D"/>
    <w:rsid w:val="00081A06"/>
    <w:rsid w:val="00090A31"/>
    <w:rsid w:val="000927FC"/>
    <w:rsid w:val="00095D61"/>
    <w:rsid w:val="0009636B"/>
    <w:rsid w:val="00096AC7"/>
    <w:rsid w:val="00096FF1"/>
    <w:rsid w:val="000A1924"/>
    <w:rsid w:val="000A495B"/>
    <w:rsid w:val="000A520F"/>
    <w:rsid w:val="000B2EA6"/>
    <w:rsid w:val="000C4C9D"/>
    <w:rsid w:val="000C60C7"/>
    <w:rsid w:val="000D29B9"/>
    <w:rsid w:val="000D3116"/>
    <w:rsid w:val="000E0979"/>
    <w:rsid w:val="000E1634"/>
    <w:rsid w:val="000E26B2"/>
    <w:rsid w:val="000E4C7A"/>
    <w:rsid w:val="000E567F"/>
    <w:rsid w:val="000E6643"/>
    <w:rsid w:val="000F312B"/>
    <w:rsid w:val="000F41EF"/>
    <w:rsid w:val="000F5F1B"/>
    <w:rsid w:val="000F7BEF"/>
    <w:rsid w:val="001020EF"/>
    <w:rsid w:val="0010296B"/>
    <w:rsid w:val="00105095"/>
    <w:rsid w:val="00106959"/>
    <w:rsid w:val="0011036F"/>
    <w:rsid w:val="0011041A"/>
    <w:rsid w:val="00113CCF"/>
    <w:rsid w:val="00113D4B"/>
    <w:rsid w:val="00116099"/>
    <w:rsid w:val="00117FFB"/>
    <w:rsid w:val="00120BE2"/>
    <w:rsid w:val="001232D1"/>
    <w:rsid w:val="00123A57"/>
    <w:rsid w:val="00124E89"/>
    <w:rsid w:val="00136C50"/>
    <w:rsid w:val="00137D7A"/>
    <w:rsid w:val="001409F9"/>
    <w:rsid w:val="001545C4"/>
    <w:rsid w:val="00165BA9"/>
    <w:rsid w:val="00171CE5"/>
    <w:rsid w:val="00176077"/>
    <w:rsid w:val="00176E50"/>
    <w:rsid w:val="00181884"/>
    <w:rsid w:val="00182F0B"/>
    <w:rsid w:val="00185897"/>
    <w:rsid w:val="00190532"/>
    <w:rsid w:val="001947C2"/>
    <w:rsid w:val="001C6083"/>
    <w:rsid w:val="001C6794"/>
    <w:rsid w:val="001D78B6"/>
    <w:rsid w:val="001E050B"/>
    <w:rsid w:val="001E3643"/>
    <w:rsid w:val="001E47B6"/>
    <w:rsid w:val="001E5836"/>
    <w:rsid w:val="00203C0B"/>
    <w:rsid w:val="00205767"/>
    <w:rsid w:val="00220B6F"/>
    <w:rsid w:val="002250A5"/>
    <w:rsid w:val="0023141D"/>
    <w:rsid w:val="00231E14"/>
    <w:rsid w:val="00233C13"/>
    <w:rsid w:val="00234089"/>
    <w:rsid w:val="0023449D"/>
    <w:rsid w:val="002344C1"/>
    <w:rsid w:val="00240FD7"/>
    <w:rsid w:val="00242C33"/>
    <w:rsid w:val="0024691D"/>
    <w:rsid w:val="0026046B"/>
    <w:rsid w:val="00266282"/>
    <w:rsid w:val="002711E5"/>
    <w:rsid w:val="00284C9C"/>
    <w:rsid w:val="00287753"/>
    <w:rsid w:val="00296A88"/>
    <w:rsid w:val="002A2226"/>
    <w:rsid w:val="002A361F"/>
    <w:rsid w:val="002B0616"/>
    <w:rsid w:val="002B3ED1"/>
    <w:rsid w:val="002B3F9B"/>
    <w:rsid w:val="002B53B6"/>
    <w:rsid w:val="002B6D0F"/>
    <w:rsid w:val="002C0C7D"/>
    <w:rsid w:val="002D2611"/>
    <w:rsid w:val="002E376E"/>
    <w:rsid w:val="002F2D9E"/>
    <w:rsid w:val="002F5D25"/>
    <w:rsid w:val="00303692"/>
    <w:rsid w:val="00315A8C"/>
    <w:rsid w:val="00323104"/>
    <w:rsid w:val="00324AF2"/>
    <w:rsid w:val="0033183E"/>
    <w:rsid w:val="003329FC"/>
    <w:rsid w:val="00333AF6"/>
    <w:rsid w:val="00334644"/>
    <w:rsid w:val="00343066"/>
    <w:rsid w:val="00345D07"/>
    <w:rsid w:val="00346FCD"/>
    <w:rsid w:val="0035168D"/>
    <w:rsid w:val="00353691"/>
    <w:rsid w:val="00362A29"/>
    <w:rsid w:val="003710AD"/>
    <w:rsid w:val="00374553"/>
    <w:rsid w:val="00375434"/>
    <w:rsid w:val="003826A9"/>
    <w:rsid w:val="003827C2"/>
    <w:rsid w:val="0039514A"/>
    <w:rsid w:val="003952A7"/>
    <w:rsid w:val="003A246C"/>
    <w:rsid w:val="003A3FA7"/>
    <w:rsid w:val="003A4031"/>
    <w:rsid w:val="003A4D8E"/>
    <w:rsid w:val="003B07B3"/>
    <w:rsid w:val="003B1AAB"/>
    <w:rsid w:val="003C1A8C"/>
    <w:rsid w:val="003D12AA"/>
    <w:rsid w:val="003D294B"/>
    <w:rsid w:val="003D490A"/>
    <w:rsid w:val="003D5DDD"/>
    <w:rsid w:val="003D712B"/>
    <w:rsid w:val="003E2ECB"/>
    <w:rsid w:val="003E45DE"/>
    <w:rsid w:val="003E4F49"/>
    <w:rsid w:val="003E7773"/>
    <w:rsid w:val="003F46DE"/>
    <w:rsid w:val="0040193B"/>
    <w:rsid w:val="00405153"/>
    <w:rsid w:val="00405277"/>
    <w:rsid w:val="00405E5D"/>
    <w:rsid w:val="00407D45"/>
    <w:rsid w:val="00413D20"/>
    <w:rsid w:val="004148C7"/>
    <w:rsid w:val="00414C31"/>
    <w:rsid w:val="00415792"/>
    <w:rsid w:val="00416A9D"/>
    <w:rsid w:val="00420FAE"/>
    <w:rsid w:val="00421FF3"/>
    <w:rsid w:val="00422833"/>
    <w:rsid w:val="0043167D"/>
    <w:rsid w:val="004321CF"/>
    <w:rsid w:val="00435170"/>
    <w:rsid w:val="004460C7"/>
    <w:rsid w:val="0044668C"/>
    <w:rsid w:val="00447C5E"/>
    <w:rsid w:val="00452DF4"/>
    <w:rsid w:val="00453A00"/>
    <w:rsid w:val="004568E1"/>
    <w:rsid w:val="00466BC4"/>
    <w:rsid w:val="0047247D"/>
    <w:rsid w:val="0047660A"/>
    <w:rsid w:val="004824C5"/>
    <w:rsid w:val="00483485"/>
    <w:rsid w:val="004948DE"/>
    <w:rsid w:val="004A1D11"/>
    <w:rsid w:val="004A2DA6"/>
    <w:rsid w:val="004B5DE3"/>
    <w:rsid w:val="004C043F"/>
    <w:rsid w:val="004C5B68"/>
    <w:rsid w:val="004D6F02"/>
    <w:rsid w:val="004E301B"/>
    <w:rsid w:val="004F0F4B"/>
    <w:rsid w:val="004F1AEE"/>
    <w:rsid w:val="004F6F5E"/>
    <w:rsid w:val="00502337"/>
    <w:rsid w:val="00520598"/>
    <w:rsid w:val="0052131F"/>
    <w:rsid w:val="0052265E"/>
    <w:rsid w:val="00546E36"/>
    <w:rsid w:val="005545F4"/>
    <w:rsid w:val="00555D42"/>
    <w:rsid w:val="0055678B"/>
    <w:rsid w:val="005628C8"/>
    <w:rsid w:val="0057104C"/>
    <w:rsid w:val="00576F89"/>
    <w:rsid w:val="00582CCD"/>
    <w:rsid w:val="0059323C"/>
    <w:rsid w:val="00594A2D"/>
    <w:rsid w:val="005B0B5C"/>
    <w:rsid w:val="005B4104"/>
    <w:rsid w:val="005B6DDA"/>
    <w:rsid w:val="005C5600"/>
    <w:rsid w:val="005C5B7E"/>
    <w:rsid w:val="005D6621"/>
    <w:rsid w:val="005D7065"/>
    <w:rsid w:val="005E2F12"/>
    <w:rsid w:val="005E6E43"/>
    <w:rsid w:val="005E77CA"/>
    <w:rsid w:val="005F648A"/>
    <w:rsid w:val="0060187D"/>
    <w:rsid w:val="00601EEE"/>
    <w:rsid w:val="00602313"/>
    <w:rsid w:val="00603E83"/>
    <w:rsid w:val="006052BB"/>
    <w:rsid w:val="00613CA6"/>
    <w:rsid w:val="00626583"/>
    <w:rsid w:val="0063508C"/>
    <w:rsid w:val="006356A2"/>
    <w:rsid w:val="0063692E"/>
    <w:rsid w:val="00637081"/>
    <w:rsid w:val="00643F3A"/>
    <w:rsid w:val="00650981"/>
    <w:rsid w:val="00653F99"/>
    <w:rsid w:val="00656D06"/>
    <w:rsid w:val="0066092D"/>
    <w:rsid w:val="006729A4"/>
    <w:rsid w:val="006761F0"/>
    <w:rsid w:val="00681DA9"/>
    <w:rsid w:val="00682F9D"/>
    <w:rsid w:val="00686526"/>
    <w:rsid w:val="00687808"/>
    <w:rsid w:val="00695228"/>
    <w:rsid w:val="006A237C"/>
    <w:rsid w:val="006A67C2"/>
    <w:rsid w:val="006B2A8A"/>
    <w:rsid w:val="006B7610"/>
    <w:rsid w:val="006D3F4F"/>
    <w:rsid w:val="006E5377"/>
    <w:rsid w:val="006F3CEC"/>
    <w:rsid w:val="006F7180"/>
    <w:rsid w:val="007017FB"/>
    <w:rsid w:val="00705B0B"/>
    <w:rsid w:val="007073A7"/>
    <w:rsid w:val="00725FFE"/>
    <w:rsid w:val="007260AC"/>
    <w:rsid w:val="00726371"/>
    <w:rsid w:val="0073621A"/>
    <w:rsid w:val="0074024C"/>
    <w:rsid w:val="00742409"/>
    <w:rsid w:val="00742E03"/>
    <w:rsid w:val="00745670"/>
    <w:rsid w:val="0075016D"/>
    <w:rsid w:val="007501E4"/>
    <w:rsid w:val="00750E1F"/>
    <w:rsid w:val="00752150"/>
    <w:rsid w:val="00780DFA"/>
    <w:rsid w:val="007A4240"/>
    <w:rsid w:val="007A6FD8"/>
    <w:rsid w:val="007A7A99"/>
    <w:rsid w:val="007B22BF"/>
    <w:rsid w:val="007B2C29"/>
    <w:rsid w:val="007C1A69"/>
    <w:rsid w:val="007C47E3"/>
    <w:rsid w:val="007C6486"/>
    <w:rsid w:val="007D3564"/>
    <w:rsid w:val="007E1D89"/>
    <w:rsid w:val="007E32C0"/>
    <w:rsid w:val="007E34F6"/>
    <w:rsid w:val="007F0831"/>
    <w:rsid w:val="007F16CE"/>
    <w:rsid w:val="007F2F32"/>
    <w:rsid w:val="00815AA4"/>
    <w:rsid w:val="008164FB"/>
    <w:rsid w:val="008214BC"/>
    <w:rsid w:val="00822FB6"/>
    <w:rsid w:val="008350F7"/>
    <w:rsid w:val="008418A6"/>
    <w:rsid w:val="00843136"/>
    <w:rsid w:val="0086003A"/>
    <w:rsid w:val="008609B6"/>
    <w:rsid w:val="0086109E"/>
    <w:rsid w:val="00863E61"/>
    <w:rsid w:val="0088675A"/>
    <w:rsid w:val="008927DC"/>
    <w:rsid w:val="008948FE"/>
    <w:rsid w:val="008A11AB"/>
    <w:rsid w:val="008C3DC5"/>
    <w:rsid w:val="008D20BC"/>
    <w:rsid w:val="008D6E2D"/>
    <w:rsid w:val="008D6F82"/>
    <w:rsid w:val="008E0508"/>
    <w:rsid w:val="008F0491"/>
    <w:rsid w:val="008F1CDD"/>
    <w:rsid w:val="009040FE"/>
    <w:rsid w:val="00922E83"/>
    <w:rsid w:val="0092525A"/>
    <w:rsid w:val="00932B9A"/>
    <w:rsid w:val="00935B31"/>
    <w:rsid w:val="00945FE1"/>
    <w:rsid w:val="00946067"/>
    <w:rsid w:val="00957667"/>
    <w:rsid w:val="00973DB4"/>
    <w:rsid w:val="00991B8D"/>
    <w:rsid w:val="009A2739"/>
    <w:rsid w:val="009A641D"/>
    <w:rsid w:val="009B031B"/>
    <w:rsid w:val="009B0B01"/>
    <w:rsid w:val="009B4DD9"/>
    <w:rsid w:val="009C124A"/>
    <w:rsid w:val="009C2E9B"/>
    <w:rsid w:val="009D316D"/>
    <w:rsid w:val="009D5144"/>
    <w:rsid w:val="009E7684"/>
    <w:rsid w:val="009E789B"/>
    <w:rsid w:val="009F133D"/>
    <w:rsid w:val="009F585E"/>
    <w:rsid w:val="009F64B8"/>
    <w:rsid w:val="00A021B8"/>
    <w:rsid w:val="00A04212"/>
    <w:rsid w:val="00A05D2E"/>
    <w:rsid w:val="00A105AB"/>
    <w:rsid w:val="00A138C1"/>
    <w:rsid w:val="00A313B1"/>
    <w:rsid w:val="00A32702"/>
    <w:rsid w:val="00A337C1"/>
    <w:rsid w:val="00A42457"/>
    <w:rsid w:val="00A42610"/>
    <w:rsid w:val="00A4326A"/>
    <w:rsid w:val="00A46094"/>
    <w:rsid w:val="00A556AC"/>
    <w:rsid w:val="00A604C2"/>
    <w:rsid w:val="00A65A3B"/>
    <w:rsid w:val="00A66BC1"/>
    <w:rsid w:val="00A70D5E"/>
    <w:rsid w:val="00A74B1D"/>
    <w:rsid w:val="00A94D0B"/>
    <w:rsid w:val="00AA1C80"/>
    <w:rsid w:val="00AA700A"/>
    <w:rsid w:val="00AA7946"/>
    <w:rsid w:val="00AB02BF"/>
    <w:rsid w:val="00AB1048"/>
    <w:rsid w:val="00AB219B"/>
    <w:rsid w:val="00AB2CC0"/>
    <w:rsid w:val="00AB52AE"/>
    <w:rsid w:val="00AB70F0"/>
    <w:rsid w:val="00AC55B3"/>
    <w:rsid w:val="00AD63F9"/>
    <w:rsid w:val="00AE7A80"/>
    <w:rsid w:val="00AF0202"/>
    <w:rsid w:val="00AF066B"/>
    <w:rsid w:val="00AF1962"/>
    <w:rsid w:val="00AF1F12"/>
    <w:rsid w:val="00B00AF1"/>
    <w:rsid w:val="00B11021"/>
    <w:rsid w:val="00B12E80"/>
    <w:rsid w:val="00B13237"/>
    <w:rsid w:val="00B16F47"/>
    <w:rsid w:val="00B21EB8"/>
    <w:rsid w:val="00B3549B"/>
    <w:rsid w:val="00B437DE"/>
    <w:rsid w:val="00B43FD5"/>
    <w:rsid w:val="00B47230"/>
    <w:rsid w:val="00B507BA"/>
    <w:rsid w:val="00B61099"/>
    <w:rsid w:val="00B71ED0"/>
    <w:rsid w:val="00B74213"/>
    <w:rsid w:val="00B75605"/>
    <w:rsid w:val="00B825AC"/>
    <w:rsid w:val="00B86FDB"/>
    <w:rsid w:val="00B87B49"/>
    <w:rsid w:val="00B923B7"/>
    <w:rsid w:val="00B946C6"/>
    <w:rsid w:val="00B9476B"/>
    <w:rsid w:val="00B9553F"/>
    <w:rsid w:val="00BA27BE"/>
    <w:rsid w:val="00BA4276"/>
    <w:rsid w:val="00BA652D"/>
    <w:rsid w:val="00BB5938"/>
    <w:rsid w:val="00BB7E01"/>
    <w:rsid w:val="00BC1346"/>
    <w:rsid w:val="00BC7D4C"/>
    <w:rsid w:val="00BC7FBB"/>
    <w:rsid w:val="00BD7D03"/>
    <w:rsid w:val="00BE1578"/>
    <w:rsid w:val="00BE2EA3"/>
    <w:rsid w:val="00BF09CC"/>
    <w:rsid w:val="00BF12E2"/>
    <w:rsid w:val="00BF429A"/>
    <w:rsid w:val="00BF5D34"/>
    <w:rsid w:val="00BF7338"/>
    <w:rsid w:val="00C00743"/>
    <w:rsid w:val="00C07AB0"/>
    <w:rsid w:val="00C12D98"/>
    <w:rsid w:val="00C14EE9"/>
    <w:rsid w:val="00C17242"/>
    <w:rsid w:val="00C17F86"/>
    <w:rsid w:val="00C24A3B"/>
    <w:rsid w:val="00C3097F"/>
    <w:rsid w:val="00C507CF"/>
    <w:rsid w:val="00C51208"/>
    <w:rsid w:val="00C5220F"/>
    <w:rsid w:val="00C52E09"/>
    <w:rsid w:val="00C54BB7"/>
    <w:rsid w:val="00C57712"/>
    <w:rsid w:val="00C5777F"/>
    <w:rsid w:val="00C6628F"/>
    <w:rsid w:val="00C71FA8"/>
    <w:rsid w:val="00C71FB1"/>
    <w:rsid w:val="00C745FE"/>
    <w:rsid w:val="00C758E5"/>
    <w:rsid w:val="00C80608"/>
    <w:rsid w:val="00C8741C"/>
    <w:rsid w:val="00C95933"/>
    <w:rsid w:val="00CA0F24"/>
    <w:rsid w:val="00CA2495"/>
    <w:rsid w:val="00CA629A"/>
    <w:rsid w:val="00CB4FAD"/>
    <w:rsid w:val="00CB7BD5"/>
    <w:rsid w:val="00CC46DB"/>
    <w:rsid w:val="00CC6C74"/>
    <w:rsid w:val="00CD5747"/>
    <w:rsid w:val="00CE26C2"/>
    <w:rsid w:val="00CE53B9"/>
    <w:rsid w:val="00CF0DC4"/>
    <w:rsid w:val="00CF24EA"/>
    <w:rsid w:val="00CF5BA1"/>
    <w:rsid w:val="00CF74DE"/>
    <w:rsid w:val="00D00883"/>
    <w:rsid w:val="00D00E87"/>
    <w:rsid w:val="00D00E97"/>
    <w:rsid w:val="00D01267"/>
    <w:rsid w:val="00D0661C"/>
    <w:rsid w:val="00D10B34"/>
    <w:rsid w:val="00D25CD5"/>
    <w:rsid w:val="00D34766"/>
    <w:rsid w:val="00D4024B"/>
    <w:rsid w:val="00D43C60"/>
    <w:rsid w:val="00D44C16"/>
    <w:rsid w:val="00D512A5"/>
    <w:rsid w:val="00D565E4"/>
    <w:rsid w:val="00D61BAD"/>
    <w:rsid w:val="00D768F7"/>
    <w:rsid w:val="00D905DB"/>
    <w:rsid w:val="00D91195"/>
    <w:rsid w:val="00DA13F2"/>
    <w:rsid w:val="00DA3A3D"/>
    <w:rsid w:val="00DA4828"/>
    <w:rsid w:val="00DB0F71"/>
    <w:rsid w:val="00DB2438"/>
    <w:rsid w:val="00DB3679"/>
    <w:rsid w:val="00DC01FB"/>
    <w:rsid w:val="00DC566B"/>
    <w:rsid w:val="00DC5F68"/>
    <w:rsid w:val="00DC6C27"/>
    <w:rsid w:val="00DD1098"/>
    <w:rsid w:val="00DD2D50"/>
    <w:rsid w:val="00DD709E"/>
    <w:rsid w:val="00DE21CF"/>
    <w:rsid w:val="00DE42DC"/>
    <w:rsid w:val="00DF0831"/>
    <w:rsid w:val="00DF438D"/>
    <w:rsid w:val="00DF68D1"/>
    <w:rsid w:val="00E02FAF"/>
    <w:rsid w:val="00E03F2C"/>
    <w:rsid w:val="00E04266"/>
    <w:rsid w:val="00E05406"/>
    <w:rsid w:val="00E11BE5"/>
    <w:rsid w:val="00E251BE"/>
    <w:rsid w:val="00E25BE6"/>
    <w:rsid w:val="00E27382"/>
    <w:rsid w:val="00E34FE0"/>
    <w:rsid w:val="00E356CE"/>
    <w:rsid w:val="00E40F8F"/>
    <w:rsid w:val="00E41A44"/>
    <w:rsid w:val="00E504DA"/>
    <w:rsid w:val="00E5624C"/>
    <w:rsid w:val="00E662DE"/>
    <w:rsid w:val="00E67806"/>
    <w:rsid w:val="00E70B3C"/>
    <w:rsid w:val="00E80444"/>
    <w:rsid w:val="00E80C90"/>
    <w:rsid w:val="00E81D70"/>
    <w:rsid w:val="00E8544A"/>
    <w:rsid w:val="00E85659"/>
    <w:rsid w:val="00E85E37"/>
    <w:rsid w:val="00E91D23"/>
    <w:rsid w:val="00E93A29"/>
    <w:rsid w:val="00E94675"/>
    <w:rsid w:val="00EA12E5"/>
    <w:rsid w:val="00EB453C"/>
    <w:rsid w:val="00EB5610"/>
    <w:rsid w:val="00EB5ED2"/>
    <w:rsid w:val="00EB6697"/>
    <w:rsid w:val="00EB7122"/>
    <w:rsid w:val="00EC6B6A"/>
    <w:rsid w:val="00ED05F1"/>
    <w:rsid w:val="00EE0904"/>
    <w:rsid w:val="00EE1E39"/>
    <w:rsid w:val="00EE3F45"/>
    <w:rsid w:val="00EF5C4B"/>
    <w:rsid w:val="00F009C3"/>
    <w:rsid w:val="00F011C6"/>
    <w:rsid w:val="00F0193F"/>
    <w:rsid w:val="00F12EBE"/>
    <w:rsid w:val="00F132E2"/>
    <w:rsid w:val="00F3386D"/>
    <w:rsid w:val="00F426E7"/>
    <w:rsid w:val="00F44806"/>
    <w:rsid w:val="00F51E57"/>
    <w:rsid w:val="00F679D5"/>
    <w:rsid w:val="00F715F0"/>
    <w:rsid w:val="00F82216"/>
    <w:rsid w:val="00F90D03"/>
    <w:rsid w:val="00F950B9"/>
    <w:rsid w:val="00FA71C1"/>
    <w:rsid w:val="00FB3A61"/>
    <w:rsid w:val="00FD1B0B"/>
    <w:rsid w:val="00FD1FCD"/>
    <w:rsid w:val="00FD68C3"/>
    <w:rsid w:val="00FE1829"/>
    <w:rsid w:val="00FE3D23"/>
    <w:rsid w:val="00FE4627"/>
    <w:rsid w:val="00FE47F9"/>
    <w:rsid w:val="00FE6B6F"/>
    <w:rsid w:val="00FF7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F8DF864"/>
  <w15:chartTrackingRefBased/>
  <w15:docId w15:val="{152CCC83-C88A-4AD7-A13A-FEA004D4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
    <w:basedOn w:val="Normal"/>
    <w:link w:val="PrrafodelistaCar"/>
    <w:uiPriority w:val="34"/>
    <w:qFormat/>
    <w:rsid w:val="00DB0F71"/>
    <w:pPr>
      <w:ind w:left="720"/>
      <w:contextualSpacing/>
    </w:pPr>
  </w:style>
  <w:style w:type="paragraph" w:styleId="Textodeglobo">
    <w:name w:val="Balloon Text"/>
    <w:basedOn w:val="Normal"/>
    <w:link w:val="TextodegloboCar"/>
    <w:uiPriority w:val="99"/>
    <w:semiHidden/>
    <w:unhideWhenUsed/>
    <w:rsid w:val="00BA27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27BE"/>
    <w:rPr>
      <w:rFonts w:ascii="Segoe UI" w:hAnsi="Segoe UI" w:cs="Segoe UI"/>
      <w:sz w:val="18"/>
      <w:szCs w:val="18"/>
    </w:rPr>
  </w:style>
  <w:style w:type="paragraph" w:styleId="Revisin">
    <w:name w:val="Revision"/>
    <w:hidden/>
    <w:uiPriority w:val="99"/>
    <w:semiHidden/>
    <w:rsid w:val="00333AF6"/>
    <w:pPr>
      <w:spacing w:after="0" w:line="240" w:lineRule="auto"/>
    </w:pPr>
  </w:style>
  <w:style w:type="character" w:styleId="Refdecomentario">
    <w:name w:val="annotation reference"/>
    <w:basedOn w:val="Fuentedeprrafopredeter"/>
    <w:uiPriority w:val="99"/>
    <w:semiHidden/>
    <w:unhideWhenUsed/>
    <w:rsid w:val="00333AF6"/>
    <w:rPr>
      <w:sz w:val="16"/>
      <w:szCs w:val="16"/>
    </w:rPr>
  </w:style>
  <w:style w:type="paragraph" w:styleId="Textocomentario">
    <w:name w:val="annotation text"/>
    <w:basedOn w:val="Normal"/>
    <w:link w:val="TextocomentarioCar"/>
    <w:uiPriority w:val="99"/>
    <w:unhideWhenUsed/>
    <w:rsid w:val="00333AF6"/>
    <w:pPr>
      <w:spacing w:line="240" w:lineRule="auto"/>
    </w:pPr>
    <w:rPr>
      <w:sz w:val="20"/>
      <w:szCs w:val="20"/>
    </w:rPr>
  </w:style>
  <w:style w:type="character" w:customStyle="1" w:styleId="TextocomentarioCar">
    <w:name w:val="Texto comentario Car"/>
    <w:basedOn w:val="Fuentedeprrafopredeter"/>
    <w:link w:val="Textocomentario"/>
    <w:uiPriority w:val="99"/>
    <w:rsid w:val="00333AF6"/>
    <w:rPr>
      <w:sz w:val="20"/>
      <w:szCs w:val="20"/>
    </w:rPr>
  </w:style>
  <w:style w:type="paragraph" w:styleId="Asuntodelcomentario">
    <w:name w:val="annotation subject"/>
    <w:basedOn w:val="Textocomentario"/>
    <w:next w:val="Textocomentario"/>
    <w:link w:val="AsuntodelcomentarioCar"/>
    <w:uiPriority w:val="99"/>
    <w:semiHidden/>
    <w:unhideWhenUsed/>
    <w:rsid w:val="00333AF6"/>
    <w:rPr>
      <w:b/>
      <w:bCs/>
    </w:rPr>
  </w:style>
  <w:style w:type="character" w:customStyle="1" w:styleId="AsuntodelcomentarioCar">
    <w:name w:val="Asunto del comentario Car"/>
    <w:basedOn w:val="TextocomentarioCar"/>
    <w:link w:val="Asuntodelcomentario"/>
    <w:uiPriority w:val="99"/>
    <w:semiHidden/>
    <w:rsid w:val="00333AF6"/>
    <w:rPr>
      <w:b/>
      <w:bCs/>
      <w:sz w:val="20"/>
      <w:szCs w:val="20"/>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TextonotapieCar"/>
    <w:uiPriority w:val="99"/>
    <w:unhideWhenUsed/>
    <w:rsid w:val="004148C7"/>
    <w:pPr>
      <w:spacing w:after="0" w:line="240" w:lineRule="auto"/>
    </w:pPr>
    <w:rPr>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
    <w:basedOn w:val="Fuentedeprrafopredeter"/>
    <w:link w:val="Textonotapie"/>
    <w:uiPriority w:val="99"/>
    <w:rsid w:val="004148C7"/>
    <w:rPr>
      <w:sz w:val="20"/>
      <w:szCs w:val="20"/>
    </w:rPr>
  </w:style>
  <w:style w:type="character" w:styleId="Refdenotaalpie">
    <w:name w:val="footnote reference"/>
    <w:aliases w:val="Appel note de bas de p,Footnote Reference/,Ref. de nota al pie 2,Footnotes refss,Texto de nota al pie"/>
    <w:basedOn w:val="Fuentedeprrafopredeter"/>
    <w:uiPriority w:val="99"/>
    <w:unhideWhenUsed/>
    <w:rsid w:val="004148C7"/>
    <w:rPr>
      <w:vertAlign w:val="superscript"/>
    </w:rPr>
  </w:style>
  <w:style w:type="character" w:styleId="Hipervnculo">
    <w:name w:val="Hyperlink"/>
    <w:basedOn w:val="Fuentedeprrafopredeter"/>
    <w:uiPriority w:val="99"/>
    <w:unhideWhenUsed/>
    <w:rsid w:val="004148C7"/>
    <w:rPr>
      <w:color w:val="0563C1" w:themeColor="hyperlink"/>
      <w:u w:val="single"/>
    </w:rPr>
  </w:style>
  <w:style w:type="paragraph" w:styleId="Encabezado">
    <w:name w:val="header"/>
    <w:basedOn w:val="Normal"/>
    <w:link w:val="EncabezadoCar"/>
    <w:uiPriority w:val="99"/>
    <w:unhideWhenUsed/>
    <w:rsid w:val="000652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207"/>
  </w:style>
  <w:style w:type="paragraph" w:styleId="Piedepgina">
    <w:name w:val="footer"/>
    <w:basedOn w:val="Normal"/>
    <w:link w:val="PiedepginaCar"/>
    <w:unhideWhenUsed/>
    <w:rsid w:val="00065207"/>
    <w:pPr>
      <w:tabs>
        <w:tab w:val="center" w:pos="4419"/>
        <w:tab w:val="right" w:pos="8838"/>
      </w:tabs>
      <w:spacing w:after="0" w:line="240" w:lineRule="auto"/>
    </w:pPr>
  </w:style>
  <w:style w:type="character" w:customStyle="1" w:styleId="PiedepginaCar">
    <w:name w:val="Pie de página Car"/>
    <w:basedOn w:val="Fuentedeprrafopredeter"/>
    <w:link w:val="Piedepgina"/>
    <w:rsid w:val="00065207"/>
  </w:style>
  <w:style w:type="table" w:styleId="Tablaconcuadrcula1clara-nfasis6">
    <w:name w:val="Grid Table 1 Light Accent 6"/>
    <w:basedOn w:val="Tablanormal"/>
    <w:uiPriority w:val="46"/>
    <w:rsid w:val="00D9119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escripcin">
    <w:name w:val="caption"/>
    <w:basedOn w:val="Normal"/>
    <w:next w:val="Normal"/>
    <w:link w:val="DescripcinCar"/>
    <w:uiPriority w:val="35"/>
    <w:unhideWhenUsed/>
    <w:qFormat/>
    <w:rsid w:val="00D91195"/>
    <w:pPr>
      <w:spacing w:after="200" w:line="240" w:lineRule="auto"/>
      <w:jc w:val="both"/>
    </w:pPr>
    <w:rPr>
      <w:rFonts w:ascii="Roboto Light" w:hAnsi="Roboto Light"/>
      <w:i/>
      <w:iCs/>
      <w:color w:val="44546A" w:themeColor="text2"/>
      <w:sz w:val="18"/>
      <w:szCs w:val="18"/>
    </w:rPr>
  </w:style>
  <w:style w:type="table" w:customStyle="1" w:styleId="Tablaconcuadrcula1">
    <w:name w:val="Tabla con cuadrícula1"/>
    <w:basedOn w:val="Tablanormal"/>
    <w:next w:val="Tablaconcuadrcula"/>
    <w:uiPriority w:val="59"/>
    <w:rsid w:val="008948F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89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4 Viñ 1nivel Car,Numeración 1 Car,Cuadrícula media 1 - Énfasis 21 Car,Listas Car,lp1 Car"/>
    <w:link w:val="Prrafodelista"/>
    <w:uiPriority w:val="34"/>
    <w:locked/>
    <w:rsid w:val="008948FE"/>
  </w:style>
  <w:style w:type="paragraph" w:styleId="NormalWeb">
    <w:name w:val="Normal (Web)"/>
    <w:basedOn w:val="Normal"/>
    <w:uiPriority w:val="99"/>
    <w:unhideWhenUsed/>
    <w:rsid w:val="008948FE"/>
    <w:pPr>
      <w:spacing w:after="0" w:line="240" w:lineRule="auto"/>
    </w:pPr>
    <w:rPr>
      <w:rFonts w:ascii="Times New Roman" w:eastAsiaTheme="minorEastAsia" w:hAnsi="Times New Roman" w:cs="Times New Roman"/>
      <w:kern w:val="0"/>
      <w:sz w:val="24"/>
      <w:szCs w:val="24"/>
      <w:lang w:eastAsia="es-MX"/>
      <w14:ligatures w14:val="none"/>
    </w:rPr>
  </w:style>
  <w:style w:type="character" w:styleId="Textoennegrita">
    <w:name w:val="Strong"/>
    <w:basedOn w:val="Fuentedeprrafopredeter"/>
    <w:uiPriority w:val="22"/>
    <w:qFormat/>
    <w:rsid w:val="008948FE"/>
    <w:rPr>
      <w:b/>
      <w:bCs/>
    </w:rPr>
  </w:style>
  <w:style w:type="paragraph" w:customStyle="1" w:styleId="Default">
    <w:name w:val="Default"/>
    <w:link w:val="DefaultCar"/>
    <w:rsid w:val="008948FE"/>
    <w:pPr>
      <w:autoSpaceDE w:val="0"/>
      <w:autoSpaceDN w:val="0"/>
      <w:adjustRightInd w:val="0"/>
      <w:spacing w:after="0" w:line="240" w:lineRule="auto"/>
    </w:pPr>
    <w:rPr>
      <w:rFonts w:ascii="Century Gothic" w:hAnsi="Century Gothic" w:cs="Century Gothic"/>
      <w:color w:val="000000"/>
      <w:kern w:val="0"/>
      <w:sz w:val="24"/>
      <w:szCs w:val="24"/>
      <w14:ligatures w14:val="none"/>
    </w:rPr>
  </w:style>
  <w:style w:type="character" w:customStyle="1" w:styleId="DefaultCar">
    <w:name w:val="Default Car"/>
    <w:link w:val="Default"/>
    <w:locked/>
    <w:rsid w:val="008948FE"/>
    <w:rPr>
      <w:rFonts w:ascii="Century Gothic" w:hAnsi="Century Gothic" w:cs="Century Gothic"/>
      <w:color w:val="000000"/>
      <w:kern w:val="0"/>
      <w:sz w:val="24"/>
      <w:szCs w:val="24"/>
      <w14:ligatures w14:val="none"/>
    </w:rPr>
  </w:style>
  <w:style w:type="character" w:styleId="nfasis">
    <w:name w:val="Emphasis"/>
    <w:basedOn w:val="Fuentedeprrafopredeter"/>
    <w:qFormat/>
    <w:rsid w:val="008948FE"/>
    <w:rPr>
      <w:i/>
      <w:iCs/>
    </w:rPr>
  </w:style>
  <w:style w:type="table" w:customStyle="1" w:styleId="Tablaconcuadrcula4">
    <w:name w:val="Tabla con cuadrícula4"/>
    <w:basedOn w:val="Tablanormal"/>
    <w:next w:val="Tablaconcuadrcula"/>
    <w:uiPriority w:val="39"/>
    <w:rsid w:val="008D6F82"/>
    <w:pPr>
      <w:spacing w:after="0" w:line="240" w:lineRule="auto"/>
    </w:pPr>
    <w:rPr>
      <w:rFonts w:ascii="ITC Avant Garde" w:hAnsi="ITC Avant Garde"/>
      <w:color w:val="3B3838" w:themeColor="background2" w:themeShade="40"/>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A12E5"/>
    <w:rPr>
      <w:color w:val="954F72" w:themeColor="followedHyperlink"/>
      <w:u w:val="single"/>
    </w:rPr>
  </w:style>
  <w:style w:type="character" w:styleId="Mencinsinresolver">
    <w:name w:val="Unresolved Mention"/>
    <w:basedOn w:val="Fuentedeprrafopredeter"/>
    <w:uiPriority w:val="99"/>
    <w:semiHidden/>
    <w:unhideWhenUsed/>
    <w:rsid w:val="002F2D9E"/>
    <w:rPr>
      <w:color w:val="605E5C"/>
      <w:shd w:val="clear" w:color="auto" w:fill="E1DFDD"/>
    </w:rPr>
  </w:style>
  <w:style w:type="character" w:styleId="Textodelmarcadordeposicin">
    <w:name w:val="Placeholder Text"/>
    <w:basedOn w:val="Fuentedeprrafopredeter"/>
    <w:uiPriority w:val="99"/>
    <w:semiHidden/>
    <w:rsid w:val="00040417"/>
    <w:rPr>
      <w:color w:val="808080"/>
    </w:rPr>
  </w:style>
  <w:style w:type="paragraph" w:styleId="HTMLconformatoprevio">
    <w:name w:val="HTML Preformatted"/>
    <w:basedOn w:val="Normal"/>
    <w:link w:val="HTMLconformatoprevioCar"/>
    <w:uiPriority w:val="99"/>
    <w:semiHidden/>
    <w:unhideWhenUsed/>
    <w:rsid w:val="00B1102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11021"/>
    <w:rPr>
      <w:rFonts w:ascii="Consolas" w:hAnsi="Consolas"/>
      <w:sz w:val="20"/>
      <w:szCs w:val="20"/>
    </w:rPr>
  </w:style>
  <w:style w:type="table" w:styleId="Tablaconcuadrcula4-nfasis6">
    <w:name w:val="Grid Table 4 Accent 6"/>
    <w:basedOn w:val="Tablanormal"/>
    <w:uiPriority w:val="49"/>
    <w:rsid w:val="00C12D98"/>
    <w:pPr>
      <w:spacing w:after="0" w:line="240" w:lineRule="auto"/>
      <w:jc w:val="both"/>
    </w:pPr>
    <w:rPr>
      <w:rFonts w:eastAsiaTheme="minorEastAsia"/>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escripcinCar">
    <w:name w:val="Descripción Car"/>
    <w:basedOn w:val="Fuentedeprrafopredeter"/>
    <w:link w:val="Descripcin"/>
    <w:uiPriority w:val="35"/>
    <w:rsid w:val="0075016D"/>
    <w:rPr>
      <w:rFonts w:ascii="Roboto Light" w:hAnsi="Roboto Light"/>
      <w:i/>
      <w:iCs/>
      <w:color w:val="44546A" w:themeColor="text2"/>
      <w:sz w:val="18"/>
      <w:szCs w:val="18"/>
    </w:rPr>
  </w:style>
  <w:style w:type="paragraph" w:customStyle="1" w:styleId="Estilo12">
    <w:name w:val="Estilo12"/>
    <w:basedOn w:val="Normal"/>
    <w:link w:val="Estilo12Car"/>
    <w:rsid w:val="0075016D"/>
    <w:pPr>
      <w:spacing w:before="120" w:after="280" w:line="276" w:lineRule="auto"/>
      <w:jc w:val="center"/>
    </w:pPr>
    <w:rPr>
      <w:rFonts w:ascii="Segoe UI" w:hAnsi="Segoe UI" w:cs="Segoe UI"/>
      <w:color w:val="FFFFFF" w:themeColor="background1"/>
      <w:kern w:val="0"/>
      <w:sz w:val="72"/>
      <w14:ligatures w14:val="none"/>
    </w:rPr>
  </w:style>
  <w:style w:type="character" w:customStyle="1" w:styleId="Estilo12Car">
    <w:name w:val="Estilo12 Car"/>
    <w:basedOn w:val="Fuentedeprrafopredeter"/>
    <w:link w:val="Estilo12"/>
    <w:rsid w:val="0075016D"/>
    <w:rPr>
      <w:rFonts w:ascii="Segoe UI" w:hAnsi="Segoe UI" w:cs="Segoe UI"/>
      <w:color w:val="FFFFFF" w:themeColor="background1"/>
      <w:kern w:val="0"/>
      <w:sz w:val="7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7867">
      <w:bodyDiv w:val="1"/>
      <w:marLeft w:val="0"/>
      <w:marRight w:val="0"/>
      <w:marTop w:val="0"/>
      <w:marBottom w:val="0"/>
      <w:divBdr>
        <w:top w:val="none" w:sz="0" w:space="0" w:color="auto"/>
        <w:left w:val="none" w:sz="0" w:space="0" w:color="auto"/>
        <w:bottom w:val="none" w:sz="0" w:space="0" w:color="auto"/>
        <w:right w:val="none" w:sz="0" w:space="0" w:color="auto"/>
      </w:divBdr>
    </w:div>
    <w:div w:id="658965629">
      <w:bodyDiv w:val="1"/>
      <w:marLeft w:val="0"/>
      <w:marRight w:val="0"/>
      <w:marTop w:val="0"/>
      <w:marBottom w:val="0"/>
      <w:divBdr>
        <w:top w:val="none" w:sz="0" w:space="0" w:color="auto"/>
        <w:left w:val="none" w:sz="0" w:space="0" w:color="auto"/>
        <w:bottom w:val="none" w:sz="0" w:space="0" w:color="auto"/>
        <w:right w:val="none" w:sz="0" w:space="0" w:color="auto"/>
      </w:divBdr>
    </w:div>
    <w:div w:id="702829977">
      <w:bodyDiv w:val="1"/>
      <w:marLeft w:val="0"/>
      <w:marRight w:val="0"/>
      <w:marTop w:val="0"/>
      <w:marBottom w:val="0"/>
      <w:divBdr>
        <w:top w:val="none" w:sz="0" w:space="0" w:color="auto"/>
        <w:left w:val="none" w:sz="0" w:space="0" w:color="auto"/>
        <w:bottom w:val="none" w:sz="0" w:space="0" w:color="auto"/>
        <w:right w:val="none" w:sz="0" w:space="0" w:color="auto"/>
      </w:divBdr>
    </w:div>
    <w:div w:id="750466720">
      <w:bodyDiv w:val="1"/>
      <w:marLeft w:val="0"/>
      <w:marRight w:val="0"/>
      <w:marTop w:val="0"/>
      <w:marBottom w:val="0"/>
      <w:divBdr>
        <w:top w:val="none" w:sz="0" w:space="0" w:color="auto"/>
        <w:left w:val="none" w:sz="0" w:space="0" w:color="auto"/>
        <w:bottom w:val="none" w:sz="0" w:space="0" w:color="auto"/>
        <w:right w:val="none" w:sz="0" w:space="0" w:color="auto"/>
      </w:divBdr>
    </w:div>
    <w:div w:id="753866771">
      <w:bodyDiv w:val="1"/>
      <w:marLeft w:val="0"/>
      <w:marRight w:val="0"/>
      <w:marTop w:val="0"/>
      <w:marBottom w:val="0"/>
      <w:divBdr>
        <w:top w:val="none" w:sz="0" w:space="0" w:color="auto"/>
        <w:left w:val="none" w:sz="0" w:space="0" w:color="auto"/>
        <w:bottom w:val="none" w:sz="0" w:space="0" w:color="auto"/>
        <w:right w:val="none" w:sz="0" w:space="0" w:color="auto"/>
      </w:divBdr>
    </w:div>
    <w:div w:id="897937645">
      <w:bodyDiv w:val="1"/>
      <w:marLeft w:val="0"/>
      <w:marRight w:val="0"/>
      <w:marTop w:val="0"/>
      <w:marBottom w:val="0"/>
      <w:divBdr>
        <w:top w:val="none" w:sz="0" w:space="0" w:color="auto"/>
        <w:left w:val="none" w:sz="0" w:space="0" w:color="auto"/>
        <w:bottom w:val="none" w:sz="0" w:space="0" w:color="auto"/>
        <w:right w:val="none" w:sz="0" w:space="0" w:color="auto"/>
      </w:divBdr>
    </w:div>
    <w:div w:id="1082920711">
      <w:bodyDiv w:val="1"/>
      <w:marLeft w:val="0"/>
      <w:marRight w:val="0"/>
      <w:marTop w:val="0"/>
      <w:marBottom w:val="0"/>
      <w:divBdr>
        <w:top w:val="none" w:sz="0" w:space="0" w:color="auto"/>
        <w:left w:val="none" w:sz="0" w:space="0" w:color="auto"/>
        <w:bottom w:val="none" w:sz="0" w:space="0" w:color="auto"/>
        <w:right w:val="none" w:sz="0" w:space="0" w:color="auto"/>
      </w:divBdr>
    </w:div>
    <w:div w:id="1261795287">
      <w:bodyDiv w:val="1"/>
      <w:marLeft w:val="0"/>
      <w:marRight w:val="0"/>
      <w:marTop w:val="0"/>
      <w:marBottom w:val="0"/>
      <w:divBdr>
        <w:top w:val="none" w:sz="0" w:space="0" w:color="auto"/>
        <w:left w:val="none" w:sz="0" w:space="0" w:color="auto"/>
        <w:bottom w:val="none" w:sz="0" w:space="0" w:color="auto"/>
        <w:right w:val="none" w:sz="0" w:space="0" w:color="auto"/>
      </w:divBdr>
    </w:div>
    <w:div w:id="1286814617">
      <w:bodyDiv w:val="1"/>
      <w:marLeft w:val="0"/>
      <w:marRight w:val="0"/>
      <w:marTop w:val="0"/>
      <w:marBottom w:val="0"/>
      <w:divBdr>
        <w:top w:val="none" w:sz="0" w:space="0" w:color="auto"/>
        <w:left w:val="none" w:sz="0" w:space="0" w:color="auto"/>
        <w:bottom w:val="none" w:sz="0" w:space="0" w:color="auto"/>
        <w:right w:val="none" w:sz="0" w:space="0" w:color="auto"/>
      </w:divBdr>
    </w:div>
    <w:div w:id="1571113639">
      <w:bodyDiv w:val="1"/>
      <w:marLeft w:val="0"/>
      <w:marRight w:val="0"/>
      <w:marTop w:val="0"/>
      <w:marBottom w:val="0"/>
      <w:divBdr>
        <w:top w:val="none" w:sz="0" w:space="0" w:color="auto"/>
        <w:left w:val="none" w:sz="0" w:space="0" w:color="auto"/>
        <w:bottom w:val="none" w:sz="0" w:space="0" w:color="auto"/>
        <w:right w:val="none" w:sz="0" w:space="0" w:color="auto"/>
      </w:divBdr>
    </w:div>
    <w:div w:id="175920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felt.com/map/Zonas-para-redes-privadas-J9B67xJcGTmW2jpTE9ALrPbD?loc=24.664,-101.966,5.49z&amp;share=1%20"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rec/R-REC-M.1036-7-202312-I/es" TargetMode="External"/><Relationship Id="rId13" Type="http://schemas.openxmlformats.org/officeDocument/2006/relationships/hyperlink" Target="https://www.oas.org/citelevents/es/Documents/DocumentsFile/2394" TargetMode="External"/><Relationship Id="rId3" Type="http://schemas.openxmlformats.org/officeDocument/2006/relationships/hyperlink" Target="https://www.itu.int/pub/R-REG-RR-2020/es" TargetMode="External"/><Relationship Id="rId7" Type="http://schemas.openxmlformats.org/officeDocument/2006/relationships/hyperlink" Target="https://www.dof.gob.mx/nota_detalle.php?codigo=763322&amp;fecha=16/07/2001" TargetMode="External"/><Relationship Id="rId12" Type="http://schemas.openxmlformats.org/officeDocument/2006/relationships/hyperlink" Target="https://www.itu.int/rec/R-REC-M.1036-7-202312-I/es" TargetMode="External"/><Relationship Id="rId2" Type="http://schemas.openxmlformats.org/officeDocument/2006/relationships/hyperlink" Target="https://www.ift.org.mx/sites/default/files/contenidogeneral/espectro-radioelectrico/inventariodebandasdefrecuenciasclasificadascomoespectrolibre-marzo2023.pdf" TargetMode="External"/><Relationship Id="rId1" Type="http://schemas.openxmlformats.org/officeDocument/2006/relationships/hyperlink" Target="https://ieeexplore.ieee.org/browse/standards/get-program/page/series?id=68" TargetMode="External"/><Relationship Id="rId6" Type="http://schemas.openxmlformats.org/officeDocument/2006/relationships/hyperlink" Target="https://www.oas.org/citelevents/en/Documents/DocumentsFile/2803" TargetMode="External"/><Relationship Id="rId11" Type="http://schemas.openxmlformats.org/officeDocument/2006/relationships/hyperlink" Target="https://www.dof.gob.mx/nota_detalle.php?codigo=5639765&amp;fecha=30/12/2021" TargetMode="External"/><Relationship Id="rId5" Type="http://schemas.openxmlformats.org/officeDocument/2006/relationships/hyperlink" Target="https://www.itu.int/rec/R-REC-M.1036-7-202312-I/es" TargetMode="External"/><Relationship Id="rId10" Type="http://schemas.openxmlformats.org/officeDocument/2006/relationships/hyperlink" Target="https://www.itu.int/pub/R-REG-RR-2020/es" TargetMode="External"/><Relationship Id="rId4" Type="http://schemas.openxmlformats.org/officeDocument/2006/relationships/hyperlink" Target="https://www.dof.gob.mx/nota_detalle.php?codigo=5639765&amp;fecha=30/12/2021" TargetMode="External"/><Relationship Id="rId9" Type="http://schemas.openxmlformats.org/officeDocument/2006/relationships/hyperlink" Target="https://www.oas.org/citelevents/en/Documents/DocumentsFile/28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GSA24</b:Tag>
    <b:SourceType>Report</b:SourceType>
    <b:Guid>{7BF6122A-B16D-4611-B931-E38377670827}</b:Guid>
    <b:Title>Private Mobile Networks</b:Title>
    <b:Year>2024a</b:Year>
    <b:Author>
      <b:Author>
        <b:NameList>
          <b:Person>
            <b:Last>GSA</b:Last>
          </b:Person>
        </b:NameList>
      </b:Author>
    </b:Author>
    <b:RefOrder>7</b:RefOrder>
  </b:Source>
</b:Sources>
</file>

<file path=customXml/itemProps1.xml><?xml version="1.0" encoding="utf-8"?>
<ds:datastoreItem xmlns:ds="http://schemas.openxmlformats.org/officeDocument/2006/customXml" ds:itemID="{C32C93EF-0BB6-442C-8688-6FA8F294AAC0}">
  <ds:schemaRefs>
    <ds:schemaRef ds:uri="http://schemas.microsoft.com/sharepoint/v3/contenttype/forms"/>
  </ds:schemaRefs>
</ds:datastoreItem>
</file>

<file path=customXml/itemProps2.xml><?xml version="1.0" encoding="utf-8"?>
<ds:datastoreItem xmlns:ds="http://schemas.openxmlformats.org/officeDocument/2006/customXml" ds:itemID="{248217B0-DD4F-498E-91A7-64760FED7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936AB-B6FB-46E1-A581-D19A2F1C229F}">
  <ds:schemaRefs>
    <ds:schemaRef ds:uri="5b84ea7b-5334-4931-9489-1d79ae7d4671"/>
    <ds:schemaRef ds:uri="http://purl.org/dc/dcmityp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4BC84E6-032F-495C-A58D-F5C81FA7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13017</Words>
  <Characters>71599</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84448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Navarrete Torres</dc:creator>
  <cp:keywords/>
  <dc:description/>
  <cp:lastModifiedBy>DAE</cp:lastModifiedBy>
  <cp:revision>2</cp:revision>
  <dcterms:created xsi:type="dcterms:W3CDTF">2024-10-17T17:44:00Z</dcterms:created>
  <dcterms:modified xsi:type="dcterms:W3CDTF">2024-10-17T17:44:00Z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