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5A00EF50" w14:textId="77777777" w:rsidR="007A75A4"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1D3C28">
              <w:rPr>
                <w:rFonts w:ascii="ITC Avant Garde" w:hAnsi="ITC Avant Garde"/>
                <w:b/>
                <w:sz w:val="18"/>
                <w:szCs w:val="18"/>
              </w:rPr>
              <w:t xml:space="preserve"> </w:t>
            </w:r>
          </w:p>
          <w:p w14:paraId="3DCB3D69" w14:textId="77777777" w:rsidR="007A75A4" w:rsidRDefault="007A75A4" w:rsidP="00501ADF">
            <w:pPr>
              <w:jc w:val="both"/>
              <w:rPr>
                <w:rFonts w:ascii="ITC Avant Garde" w:hAnsi="ITC Avant Garde"/>
                <w:b/>
                <w:sz w:val="18"/>
                <w:szCs w:val="18"/>
              </w:rPr>
            </w:pPr>
          </w:p>
          <w:p w14:paraId="4410292B" w14:textId="520CF7A9" w:rsidR="00501ADF" w:rsidRPr="0014119A" w:rsidRDefault="007A75A4" w:rsidP="00501ADF">
            <w:pPr>
              <w:jc w:val="both"/>
              <w:rPr>
                <w:rFonts w:ascii="ITC Avant Garde" w:hAnsi="ITC Avant Garde"/>
                <w:bCs/>
                <w:sz w:val="18"/>
                <w:szCs w:val="18"/>
              </w:rPr>
            </w:pPr>
            <w:r w:rsidRPr="0014119A">
              <w:rPr>
                <w:rFonts w:ascii="ITC Avant Garde" w:hAnsi="ITC Avant Garde"/>
                <w:bCs/>
                <w:sz w:val="18"/>
                <w:szCs w:val="18"/>
              </w:rPr>
              <w:t>UNIDAD DE CONCESIONES Y SERVICIOS</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46D2A084" w14:textId="7723549D" w:rsidR="007B23C8" w:rsidRPr="00E559DA" w:rsidRDefault="00990938" w:rsidP="007B23C8">
            <w:pPr>
              <w:pStyle w:val="texto0"/>
              <w:spacing w:after="80" w:line="276" w:lineRule="auto"/>
              <w:ind w:firstLine="0"/>
              <w:contextualSpacing/>
              <w:rPr>
                <w:rFonts w:ascii="ITC Avant Garde" w:eastAsia="Arial" w:hAnsi="ITC Avant Garde"/>
                <w:b/>
                <w:bCs/>
              </w:rPr>
            </w:pPr>
            <w:bookmarkStart w:id="0" w:name="_Hlk85806137"/>
            <w:r>
              <w:rPr>
                <w:rFonts w:ascii="ITC Avant Garde" w:eastAsia="Arial" w:hAnsi="ITC Avant Garde"/>
                <w:b/>
                <w:bCs/>
              </w:rPr>
              <w:t>Proyecto</w:t>
            </w:r>
            <w:r w:rsidRPr="00E559DA">
              <w:rPr>
                <w:rFonts w:ascii="ITC Avant Garde" w:eastAsia="Arial" w:hAnsi="ITC Avant Garde"/>
                <w:b/>
                <w:bCs/>
              </w:rPr>
              <w:t xml:space="preserve"> </w:t>
            </w:r>
            <w:r w:rsidR="00E559DA" w:rsidRPr="00E559DA">
              <w:rPr>
                <w:rFonts w:ascii="ITC Avant Garde" w:eastAsia="Arial" w:hAnsi="ITC Avant Garde"/>
                <w:b/>
                <w:bCs/>
              </w:rPr>
              <w:t>de Acuerdo mediante el cual el Pleno del Instituto Federal de Telecomunicaciones modifica los Planes Técnicos Fundamentales de Numeración y Señalización, publicados en el Diario Oficial de la Federación el 11 de mayo de 2018</w:t>
            </w:r>
            <w:r w:rsidR="00E559DA">
              <w:rPr>
                <w:rFonts w:ascii="ITC Avant Garde" w:eastAsia="Arial" w:hAnsi="ITC Avant Garde"/>
                <w:b/>
                <w:bCs/>
              </w:rPr>
              <w:t xml:space="preserve"> </w:t>
            </w:r>
            <w:r w:rsidR="00011BE2">
              <w:rPr>
                <w:rFonts w:ascii="ITC Avant Garde" w:eastAsiaTheme="minorHAnsi" w:hAnsi="ITC Avant Garde" w:cstheme="minorBidi"/>
                <w:b/>
                <w:lang w:eastAsia="en-US"/>
              </w:rPr>
              <w:t>(“</w:t>
            </w:r>
            <w:r>
              <w:rPr>
                <w:rFonts w:ascii="ITC Avant Garde" w:eastAsiaTheme="minorHAnsi" w:hAnsi="ITC Avant Garde" w:cstheme="minorBidi"/>
                <w:b/>
                <w:lang w:eastAsia="en-US"/>
              </w:rPr>
              <w:t>Proyecto</w:t>
            </w:r>
            <w:r w:rsidR="00011BE2">
              <w:rPr>
                <w:rFonts w:ascii="ITC Avant Garde" w:eastAsiaTheme="minorHAnsi" w:hAnsi="ITC Avant Garde" w:cstheme="minorBidi"/>
                <w:b/>
                <w:lang w:eastAsia="en-US"/>
              </w:rPr>
              <w:t>”)</w:t>
            </w:r>
            <w:r w:rsidR="007B23C8" w:rsidRPr="007B23C8">
              <w:rPr>
                <w:rFonts w:ascii="ITC Avant Garde" w:eastAsiaTheme="minorHAnsi" w:hAnsi="ITC Avant Garde" w:cstheme="minorBidi"/>
                <w:b/>
                <w:lang w:eastAsia="en-US"/>
              </w:rPr>
              <w:t>.</w:t>
            </w:r>
            <w:bookmarkEnd w:id="0"/>
          </w:p>
          <w:p w14:paraId="43AB2B2C" w14:textId="013AC635" w:rsidR="001D3C28" w:rsidRPr="009D4B7A" w:rsidRDefault="001D3C28" w:rsidP="001D3C28">
            <w:pPr>
              <w:jc w:val="both"/>
              <w:rPr>
                <w:rFonts w:ascii="ITC Avant Garde" w:hAnsi="ITC Avant Garde"/>
                <w:sz w:val="18"/>
                <w:szCs w:val="18"/>
              </w:rPr>
            </w:pP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AB3B7B8" w:rsidR="0068307E" w:rsidRPr="00451B7D" w:rsidRDefault="007B23C8" w:rsidP="00501ADF">
            <w:pPr>
              <w:jc w:val="both"/>
              <w:rPr>
                <w:rFonts w:ascii="ITC Avant Garde" w:hAnsi="ITC Avant Garde"/>
                <w:sz w:val="18"/>
                <w:szCs w:val="18"/>
              </w:rPr>
            </w:pPr>
            <w:r>
              <w:rPr>
                <w:rFonts w:ascii="ITC Avant Garde" w:hAnsi="ITC Avant Garde"/>
                <w:sz w:val="18"/>
                <w:szCs w:val="18"/>
              </w:rPr>
              <w:t>Álvaro Guzmán Gutiérrez</w:t>
            </w:r>
          </w:p>
          <w:p w14:paraId="25E2A8DE" w14:textId="7EAE5FA6" w:rsidR="0068307E" w:rsidRPr="00451B7D" w:rsidRDefault="00700E9A" w:rsidP="00501ADF">
            <w:pPr>
              <w:jc w:val="both"/>
              <w:rPr>
                <w:rFonts w:ascii="ITC Avant Garde" w:hAnsi="ITC Avant Garde"/>
                <w:sz w:val="18"/>
                <w:szCs w:val="18"/>
              </w:rPr>
            </w:pPr>
            <w:r>
              <w:rPr>
                <w:rFonts w:ascii="ITC Avant Garde" w:hAnsi="ITC Avant Garde"/>
                <w:sz w:val="18"/>
                <w:szCs w:val="18"/>
              </w:rPr>
              <w:t xml:space="preserve">Teléfono: </w:t>
            </w:r>
            <w:r w:rsidR="001F31F8">
              <w:rPr>
                <w:rFonts w:ascii="ITC Avant Garde" w:hAnsi="ITC Avant Garde"/>
                <w:sz w:val="18"/>
                <w:szCs w:val="18"/>
              </w:rPr>
              <w:t>555015</w:t>
            </w:r>
            <w:r>
              <w:rPr>
                <w:rFonts w:ascii="ITC Avant Garde" w:hAnsi="ITC Avant Garde"/>
                <w:sz w:val="18"/>
                <w:szCs w:val="18"/>
              </w:rPr>
              <w:t>41</w:t>
            </w:r>
            <w:r w:rsidR="007B23C8">
              <w:rPr>
                <w:rFonts w:ascii="ITC Avant Garde" w:hAnsi="ITC Avant Garde"/>
                <w:sz w:val="18"/>
                <w:szCs w:val="18"/>
              </w:rPr>
              <w:t>06</w:t>
            </w:r>
            <w:r w:rsidR="0068307E" w:rsidRPr="00451B7D">
              <w:rPr>
                <w:rFonts w:ascii="ITC Avant Garde" w:hAnsi="ITC Avant Garde"/>
                <w:sz w:val="18"/>
                <w:szCs w:val="18"/>
              </w:rPr>
              <w:t xml:space="preserve"> </w:t>
            </w:r>
          </w:p>
          <w:p w14:paraId="03752238" w14:textId="0EE454A0"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688F363F" w14:textId="721F547B" w:rsidR="00700E9A" w:rsidRPr="00451B7D" w:rsidRDefault="007B23C8" w:rsidP="00501ADF">
            <w:pPr>
              <w:jc w:val="both"/>
              <w:rPr>
                <w:rFonts w:ascii="ITC Avant Garde" w:hAnsi="ITC Avant Garde"/>
                <w:sz w:val="18"/>
                <w:szCs w:val="18"/>
              </w:rPr>
            </w:pPr>
            <w:r>
              <w:rPr>
                <w:rFonts w:ascii="ITC Avant Garde" w:hAnsi="ITC Avant Garde"/>
                <w:sz w:val="18"/>
                <w:szCs w:val="18"/>
              </w:rPr>
              <w:t>alvaro.guzman</w:t>
            </w:r>
            <w:r w:rsidR="00700E9A">
              <w:rPr>
                <w:rFonts w:ascii="ITC Avant Garde" w:hAnsi="ITC Avant Garde"/>
                <w:sz w:val="18"/>
                <w:szCs w:val="18"/>
              </w:rPr>
              <w:t>@ift.org.mx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74E5718A" w:rsidR="0068307E" w:rsidRPr="00451B7D" w:rsidRDefault="00587FEF" w:rsidP="008E48F5">
            <w:pPr>
              <w:jc w:val="center"/>
              <w:rPr>
                <w:rFonts w:ascii="ITC Avant Garde" w:hAnsi="ITC Avant Garde"/>
                <w:sz w:val="18"/>
                <w:szCs w:val="18"/>
              </w:rPr>
            </w:pPr>
            <w:r>
              <w:rPr>
                <w:rFonts w:ascii="ITC Avant Garde" w:hAnsi="ITC Avant Garde"/>
                <w:sz w:val="18"/>
                <w:szCs w:val="18"/>
              </w:rPr>
              <w:t>05</w:t>
            </w:r>
            <w:r w:rsidR="00265043">
              <w:rPr>
                <w:rFonts w:ascii="ITC Avant Garde" w:hAnsi="ITC Avant Garde"/>
                <w:sz w:val="18"/>
                <w:szCs w:val="18"/>
              </w:rPr>
              <w:t>/0</w:t>
            </w:r>
            <w:r>
              <w:rPr>
                <w:rFonts w:ascii="ITC Avant Garde" w:hAnsi="ITC Avant Garde"/>
                <w:sz w:val="18"/>
                <w:szCs w:val="18"/>
              </w:rPr>
              <w:t>9</w:t>
            </w:r>
            <w:r w:rsidR="00265043">
              <w:rPr>
                <w:rFonts w:ascii="ITC Avant Garde" w:hAnsi="ITC Avant Garde"/>
                <w:sz w:val="18"/>
                <w:szCs w:val="18"/>
              </w:rPr>
              <w:t>/</w:t>
            </w:r>
            <w:r w:rsidR="00681C6C">
              <w:rPr>
                <w:rFonts w:ascii="ITC Avant Garde" w:hAnsi="ITC Avant Garde"/>
                <w:sz w:val="18"/>
                <w:szCs w:val="18"/>
              </w:rPr>
              <w:t>202</w:t>
            </w:r>
            <w:r w:rsidR="00E559DA">
              <w:rPr>
                <w:rFonts w:ascii="ITC Avant Garde" w:hAnsi="ITC Avant Garde"/>
                <w:sz w:val="18"/>
                <w:szCs w:val="18"/>
              </w:rPr>
              <w:t>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7284CF7" w:rsidR="0068307E" w:rsidRPr="00451B7D" w:rsidRDefault="009266C0" w:rsidP="003057AE">
            <w:pPr>
              <w:jc w:val="center"/>
              <w:rPr>
                <w:rFonts w:ascii="ITC Avant Garde" w:hAnsi="ITC Avant Garde"/>
                <w:sz w:val="18"/>
                <w:szCs w:val="18"/>
              </w:rPr>
            </w:pPr>
            <w:r>
              <w:rPr>
                <w:rFonts w:ascii="ITC Avant Garde" w:hAnsi="ITC Avant Garde"/>
                <w:sz w:val="18"/>
                <w:szCs w:val="18"/>
              </w:rPr>
              <w:t>23/09/2024 – 21/10/2024</w:t>
            </w:r>
            <w:bookmarkStart w:id="1" w:name="_GoBack"/>
            <w:bookmarkEnd w:id="1"/>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18F31A2F"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477E9AD4" w14:textId="77777777" w:rsidR="00FF649C" w:rsidRDefault="00FF649C" w:rsidP="007130A3">
            <w:pPr>
              <w:spacing w:line="276" w:lineRule="auto"/>
              <w:contextualSpacing/>
              <w:jc w:val="both"/>
              <w:rPr>
                <w:rFonts w:ascii="ITC Avant Garde" w:hAnsi="ITC Avant Garde"/>
                <w:b/>
                <w:sz w:val="18"/>
                <w:szCs w:val="18"/>
              </w:rPr>
            </w:pPr>
          </w:p>
          <w:p w14:paraId="26643D8C" w14:textId="77777777" w:rsidR="00302AC9" w:rsidRDefault="009A4912" w:rsidP="007130A3">
            <w:pPr>
              <w:spacing w:line="276" w:lineRule="auto"/>
              <w:contextualSpacing/>
              <w:jc w:val="both"/>
              <w:rPr>
                <w:rFonts w:ascii="ITC Avant Garde" w:hAnsi="ITC Avant Garde"/>
                <w:b/>
                <w:sz w:val="18"/>
                <w:szCs w:val="18"/>
              </w:rPr>
            </w:pPr>
            <w:r>
              <w:rPr>
                <w:rFonts w:ascii="ITC Avant Garde" w:hAnsi="ITC Avant Garde"/>
                <w:b/>
                <w:sz w:val="18"/>
                <w:szCs w:val="18"/>
              </w:rPr>
              <w:t>E</w:t>
            </w:r>
            <w:r w:rsidR="001E5792">
              <w:rPr>
                <w:rFonts w:ascii="ITC Avant Garde" w:hAnsi="ITC Avant Garde"/>
                <w:b/>
                <w:sz w:val="18"/>
                <w:szCs w:val="18"/>
              </w:rPr>
              <w:t xml:space="preserve">n el </w:t>
            </w:r>
            <w:r w:rsidR="001E5792" w:rsidRPr="00FF649C">
              <w:rPr>
                <w:rFonts w:ascii="ITC Avant Garde" w:hAnsi="ITC Avant Garde"/>
                <w:b/>
                <w:sz w:val="18"/>
                <w:szCs w:val="18"/>
              </w:rPr>
              <w:t>“</w:t>
            </w:r>
            <w:r w:rsidR="001E5792" w:rsidRPr="00302AC9">
              <w:rPr>
                <w:rFonts w:ascii="ITC Avant Garde" w:hAnsi="ITC Avant Garde"/>
                <w:b/>
                <w:i/>
                <w:iCs/>
                <w:sz w:val="18"/>
                <w:szCs w:val="18"/>
              </w:rPr>
              <w:t>Acuerdo mediante el cual el Pleno del Instituto Federal de Telecomunicaciones modifica los Planes Técnicos Fundamentales de Numeración y Señalización, publicados en el Diario Oficial de la Federación el 11 de mayo de 2018, así como las Reglas de Portabilidad Numérica, publicadas en el Diario Oficial de la Federación el 12 de noviembre de 2014</w:t>
            </w:r>
            <w:r w:rsidR="001E5792" w:rsidRPr="00FF649C">
              <w:rPr>
                <w:rFonts w:ascii="ITC Avant Garde" w:hAnsi="ITC Avant Garde"/>
                <w:b/>
                <w:sz w:val="18"/>
                <w:szCs w:val="18"/>
              </w:rPr>
              <w:t>”</w:t>
            </w:r>
            <w:r w:rsidR="001E5792">
              <w:rPr>
                <w:rFonts w:ascii="ITC Avant Garde" w:hAnsi="ITC Avant Garde"/>
                <w:b/>
                <w:sz w:val="18"/>
                <w:szCs w:val="18"/>
              </w:rPr>
              <w:t>, (“</w:t>
            </w:r>
            <w:r w:rsidR="001E5792" w:rsidRPr="00FF649C">
              <w:rPr>
                <w:rFonts w:ascii="ITC Avant Garde" w:hAnsi="ITC Avant Garde"/>
                <w:b/>
                <w:sz w:val="18"/>
                <w:szCs w:val="18"/>
              </w:rPr>
              <w:t>Acuerdo de Modificación</w:t>
            </w:r>
            <w:r w:rsidR="001E5792">
              <w:rPr>
                <w:rFonts w:ascii="ITC Avant Garde" w:hAnsi="ITC Avant Garde"/>
                <w:b/>
                <w:sz w:val="18"/>
                <w:szCs w:val="18"/>
              </w:rPr>
              <w:t xml:space="preserve">”), publicado </w:t>
            </w:r>
            <w:r w:rsidR="001E5792" w:rsidRPr="00FF649C">
              <w:rPr>
                <w:rFonts w:ascii="ITC Avant Garde" w:hAnsi="ITC Avant Garde"/>
                <w:b/>
                <w:sz w:val="18"/>
                <w:szCs w:val="18"/>
              </w:rPr>
              <w:t>en el D</w:t>
            </w:r>
            <w:r w:rsidR="001E5792">
              <w:rPr>
                <w:rFonts w:ascii="ITC Avant Garde" w:hAnsi="ITC Avant Garde"/>
                <w:b/>
                <w:sz w:val="18"/>
                <w:szCs w:val="18"/>
              </w:rPr>
              <w:t xml:space="preserve">iario </w:t>
            </w:r>
            <w:r w:rsidR="001E5792" w:rsidRPr="00FF649C">
              <w:rPr>
                <w:rFonts w:ascii="ITC Avant Garde" w:hAnsi="ITC Avant Garde"/>
                <w:b/>
                <w:sz w:val="18"/>
                <w:szCs w:val="18"/>
              </w:rPr>
              <w:t>O</w:t>
            </w:r>
            <w:r w:rsidR="001E5792">
              <w:rPr>
                <w:rFonts w:ascii="ITC Avant Garde" w:hAnsi="ITC Avant Garde"/>
                <w:b/>
                <w:sz w:val="18"/>
                <w:szCs w:val="18"/>
              </w:rPr>
              <w:t xml:space="preserve">ficial de la </w:t>
            </w:r>
            <w:r w:rsidR="001E5792" w:rsidRPr="00FF649C">
              <w:rPr>
                <w:rFonts w:ascii="ITC Avant Garde" w:hAnsi="ITC Avant Garde"/>
                <w:b/>
                <w:sz w:val="18"/>
                <w:szCs w:val="18"/>
              </w:rPr>
              <w:t>F</w:t>
            </w:r>
            <w:r w:rsidR="001E5792">
              <w:rPr>
                <w:rFonts w:ascii="ITC Avant Garde" w:hAnsi="ITC Avant Garde"/>
                <w:b/>
                <w:sz w:val="18"/>
                <w:szCs w:val="18"/>
              </w:rPr>
              <w:t>ederación (“DOF”)</w:t>
            </w:r>
            <w:r w:rsidR="001E5792" w:rsidRPr="00FF649C">
              <w:rPr>
                <w:rFonts w:ascii="ITC Avant Garde" w:hAnsi="ITC Avant Garde"/>
                <w:b/>
                <w:sz w:val="18"/>
                <w:szCs w:val="18"/>
              </w:rPr>
              <w:t xml:space="preserve"> </w:t>
            </w:r>
            <w:r w:rsidR="001E5792">
              <w:rPr>
                <w:rFonts w:ascii="ITC Avant Garde" w:hAnsi="ITC Avant Garde"/>
                <w:b/>
                <w:sz w:val="18"/>
                <w:szCs w:val="18"/>
              </w:rPr>
              <w:t>e</w:t>
            </w:r>
            <w:r w:rsidR="001E5792" w:rsidRPr="00FF649C">
              <w:rPr>
                <w:rFonts w:ascii="ITC Avant Garde" w:hAnsi="ITC Avant Garde"/>
                <w:b/>
                <w:sz w:val="18"/>
                <w:szCs w:val="18"/>
              </w:rPr>
              <w:t>l 24 de noviembre de 2023</w:t>
            </w:r>
            <w:r w:rsidR="001E5792">
              <w:rPr>
                <w:rFonts w:ascii="ITC Avant Garde" w:hAnsi="ITC Avant Garde"/>
                <w:b/>
                <w:sz w:val="18"/>
                <w:szCs w:val="18"/>
              </w:rPr>
              <w:t>,</w:t>
            </w:r>
            <w:r w:rsidR="001E5792" w:rsidRPr="00FF649C">
              <w:rPr>
                <w:rFonts w:ascii="ITC Avant Garde" w:hAnsi="ITC Avant Garde"/>
                <w:b/>
                <w:sz w:val="18"/>
                <w:szCs w:val="18"/>
              </w:rPr>
              <w:t xml:space="preserve"> el Instituto modificó </w:t>
            </w:r>
            <w:r w:rsidRPr="009A4912">
              <w:rPr>
                <w:rFonts w:ascii="ITC Avant Garde" w:hAnsi="ITC Avant Garde"/>
                <w:b/>
                <w:sz w:val="18"/>
                <w:szCs w:val="18"/>
              </w:rPr>
              <w:t>el inciso b) del artículo primero transitorio del Plan Técnico Fundamental de Numeración a efecto de establecer que las disposiciones relativas a la estructura del número nacional, a los N</w:t>
            </w:r>
            <w:r w:rsidR="00302AC9">
              <w:rPr>
                <w:rFonts w:ascii="ITC Avant Garde" w:hAnsi="ITC Avant Garde"/>
                <w:b/>
                <w:sz w:val="18"/>
                <w:szCs w:val="18"/>
              </w:rPr>
              <w:t xml:space="preserve">úmeros </w:t>
            </w:r>
            <w:r w:rsidRPr="009A4912">
              <w:rPr>
                <w:rFonts w:ascii="ITC Avant Garde" w:hAnsi="ITC Avant Garde"/>
                <w:b/>
                <w:sz w:val="18"/>
                <w:szCs w:val="18"/>
              </w:rPr>
              <w:t>I</w:t>
            </w:r>
            <w:r w:rsidR="00302AC9">
              <w:rPr>
                <w:rFonts w:ascii="ITC Avant Garde" w:hAnsi="ITC Avant Garde"/>
                <w:b/>
                <w:sz w:val="18"/>
                <w:szCs w:val="18"/>
              </w:rPr>
              <w:t xml:space="preserve">dentificadores de </w:t>
            </w:r>
            <w:r w:rsidRPr="009A4912">
              <w:rPr>
                <w:rFonts w:ascii="ITC Avant Garde" w:hAnsi="ITC Avant Garde"/>
                <w:b/>
                <w:sz w:val="18"/>
                <w:szCs w:val="18"/>
              </w:rPr>
              <w:t>R</w:t>
            </w:r>
            <w:r w:rsidR="00302AC9">
              <w:rPr>
                <w:rFonts w:ascii="ITC Avant Garde" w:hAnsi="ITC Avant Garde"/>
                <w:b/>
                <w:sz w:val="18"/>
                <w:szCs w:val="18"/>
              </w:rPr>
              <w:t>egión (“NIR”)</w:t>
            </w:r>
            <w:r w:rsidRPr="009A4912">
              <w:rPr>
                <w:rFonts w:ascii="ITC Avant Garde" w:hAnsi="ITC Avant Garde"/>
                <w:b/>
                <w:sz w:val="18"/>
                <w:szCs w:val="18"/>
              </w:rPr>
              <w:t xml:space="preserve"> y a los procedimientos de asignación y administración de todos los recursos numéricos del Plan Técnico Fundamental de Numeración, publicado en el DOF el 21 de junio de 1996 y sus consecuentes modificaciones, seguirán vigentes hasta el 31 de diciembre de 2024. </w:t>
            </w:r>
          </w:p>
          <w:p w14:paraId="249B0E38" w14:textId="77777777" w:rsidR="00302AC9" w:rsidRDefault="00302AC9" w:rsidP="007130A3">
            <w:pPr>
              <w:spacing w:line="276" w:lineRule="auto"/>
              <w:contextualSpacing/>
              <w:jc w:val="both"/>
              <w:rPr>
                <w:rFonts w:ascii="ITC Avant Garde" w:hAnsi="ITC Avant Garde"/>
                <w:b/>
                <w:sz w:val="18"/>
                <w:szCs w:val="18"/>
              </w:rPr>
            </w:pPr>
          </w:p>
          <w:p w14:paraId="3BB5FD75" w14:textId="6B7D3E00" w:rsidR="001E5792" w:rsidRDefault="009A4912" w:rsidP="007130A3">
            <w:pPr>
              <w:spacing w:line="276" w:lineRule="auto"/>
              <w:contextualSpacing/>
              <w:jc w:val="both"/>
              <w:rPr>
                <w:rFonts w:ascii="ITC Avant Garde" w:hAnsi="ITC Avant Garde"/>
                <w:b/>
                <w:sz w:val="18"/>
                <w:szCs w:val="18"/>
              </w:rPr>
            </w:pPr>
            <w:r w:rsidRPr="009A4912">
              <w:rPr>
                <w:rFonts w:ascii="ITC Avant Garde" w:hAnsi="ITC Avant Garde"/>
                <w:b/>
                <w:sz w:val="18"/>
                <w:szCs w:val="18"/>
              </w:rPr>
              <w:t>De igual forma, en el Acuerdo de Modificación el Instituto modificó el inciso b) del artículo primero transitorio del Plan Técnico Fundamental de Señalización a efecto de establecer que las disposiciones relativas a los procedimientos de asignación y administración de todos los recursos de señalización contenidos en el Plan Técnico Fundamental de Señalización, publicado en el DOF el 21 de junio de 1996, así como sus consecuentes modificaciones, seguirán vigentes hasta el 31 de diciembre de 2024</w:t>
            </w:r>
            <w:r w:rsidR="00302AC9">
              <w:rPr>
                <w:rFonts w:ascii="ITC Avant Garde" w:hAnsi="ITC Avant Garde"/>
                <w:b/>
                <w:sz w:val="18"/>
                <w:szCs w:val="18"/>
              </w:rPr>
              <w:t>.</w:t>
            </w:r>
          </w:p>
          <w:p w14:paraId="7531A51C" w14:textId="77777777" w:rsidR="001E5792" w:rsidRDefault="001E5792" w:rsidP="007130A3">
            <w:pPr>
              <w:spacing w:line="276" w:lineRule="auto"/>
              <w:contextualSpacing/>
              <w:jc w:val="both"/>
              <w:rPr>
                <w:rFonts w:ascii="ITC Avant Garde" w:hAnsi="ITC Avant Garde"/>
                <w:b/>
                <w:sz w:val="18"/>
                <w:szCs w:val="18"/>
              </w:rPr>
            </w:pPr>
          </w:p>
          <w:p w14:paraId="48A266E6" w14:textId="0C9EA667" w:rsidR="009A4912" w:rsidRPr="009A4912" w:rsidRDefault="009A4912" w:rsidP="009A4912">
            <w:pPr>
              <w:snapToGrid w:val="0"/>
              <w:spacing w:line="276" w:lineRule="auto"/>
              <w:jc w:val="both"/>
              <w:rPr>
                <w:rFonts w:ascii="ITC Avant Garde" w:hAnsi="ITC Avant Garde"/>
                <w:b/>
                <w:sz w:val="18"/>
                <w:szCs w:val="18"/>
              </w:rPr>
            </w:pPr>
            <w:r w:rsidRPr="009A4912">
              <w:rPr>
                <w:rFonts w:ascii="ITC Avant Garde" w:hAnsi="ITC Avant Garde"/>
                <w:b/>
                <w:sz w:val="18"/>
                <w:szCs w:val="18"/>
              </w:rPr>
              <w:t xml:space="preserve">La fecha de conclusión de la vigencia de las disposiciones indicadas en </w:t>
            </w:r>
            <w:r w:rsidR="00302AC9">
              <w:rPr>
                <w:rFonts w:ascii="ITC Avant Garde" w:hAnsi="ITC Avant Garde"/>
                <w:b/>
                <w:sz w:val="18"/>
                <w:szCs w:val="18"/>
              </w:rPr>
              <w:t>los</w:t>
            </w:r>
            <w:r w:rsidRPr="009A4912">
              <w:rPr>
                <w:rFonts w:ascii="ITC Avant Garde" w:hAnsi="ITC Avant Garde"/>
                <w:b/>
                <w:sz w:val="18"/>
                <w:szCs w:val="18"/>
              </w:rPr>
              <w:t xml:space="preserve"> párrafo</w:t>
            </w:r>
            <w:r w:rsidR="00302AC9">
              <w:rPr>
                <w:rFonts w:ascii="ITC Avant Garde" w:hAnsi="ITC Avant Garde"/>
                <w:b/>
                <w:sz w:val="18"/>
                <w:szCs w:val="18"/>
              </w:rPr>
              <w:t>s</w:t>
            </w:r>
            <w:r w:rsidRPr="009A4912">
              <w:rPr>
                <w:rFonts w:ascii="ITC Avant Garde" w:hAnsi="ITC Avant Garde"/>
                <w:b/>
                <w:sz w:val="18"/>
                <w:szCs w:val="18"/>
              </w:rPr>
              <w:t xml:space="preserve"> anterior</w:t>
            </w:r>
            <w:r w:rsidR="00302AC9">
              <w:rPr>
                <w:rFonts w:ascii="ITC Avant Garde" w:hAnsi="ITC Avant Garde"/>
                <w:b/>
                <w:sz w:val="18"/>
                <w:szCs w:val="18"/>
              </w:rPr>
              <w:t>es</w:t>
            </w:r>
            <w:r w:rsidRPr="009A4912">
              <w:rPr>
                <w:rFonts w:ascii="ITC Avant Garde" w:hAnsi="ITC Avant Garde"/>
                <w:b/>
                <w:sz w:val="18"/>
                <w:szCs w:val="18"/>
              </w:rPr>
              <w:t xml:space="preserve"> corresponde con la establecida en el </w:t>
            </w:r>
            <w:r w:rsidRPr="00587847">
              <w:rPr>
                <w:rFonts w:ascii="ITC Avant Garde" w:hAnsi="ITC Avant Garde"/>
                <w:b/>
                <w:sz w:val="18"/>
                <w:szCs w:val="18"/>
              </w:rPr>
              <w:t>anteproyecto</w:t>
            </w:r>
            <w:r w:rsidRPr="009A4912">
              <w:rPr>
                <w:rFonts w:ascii="ITC Avant Garde" w:hAnsi="ITC Avant Garde"/>
                <w:b/>
                <w:sz w:val="18"/>
                <w:szCs w:val="18"/>
              </w:rPr>
              <w:t xml:space="preserve"> del Acuerdo de Modificación que fue sometido a consulta pública, siendo que este plazo debió ser diferido al 30 de junio de 2025, ello tras a</w:t>
            </w:r>
            <w:r w:rsidR="00302AC9">
              <w:rPr>
                <w:rFonts w:ascii="ITC Avant Garde" w:hAnsi="ITC Avant Garde"/>
                <w:b/>
                <w:sz w:val="18"/>
                <w:szCs w:val="18"/>
              </w:rPr>
              <w:t>utorizar</w:t>
            </w:r>
            <w:r w:rsidRPr="009A4912">
              <w:rPr>
                <w:rFonts w:ascii="ITC Avant Garde" w:hAnsi="ITC Avant Garde"/>
                <w:b/>
                <w:sz w:val="18"/>
                <w:szCs w:val="18"/>
              </w:rPr>
              <w:t xml:space="preserve"> la ampliación del diferimiento para la entrada en vigor de la administración de la numeración nacional por Zonas que solicitaron diversos Proveedores</w:t>
            </w:r>
            <w:r w:rsidR="00302AC9">
              <w:rPr>
                <w:rFonts w:ascii="ITC Avant Garde" w:hAnsi="ITC Avant Garde"/>
                <w:b/>
                <w:sz w:val="18"/>
                <w:szCs w:val="18"/>
              </w:rPr>
              <w:t xml:space="preserve"> de Servicios de Telecomunicaciones</w:t>
            </w:r>
            <w:r w:rsidR="0047021A">
              <w:rPr>
                <w:rFonts w:ascii="ITC Avant Garde" w:hAnsi="ITC Avant Garde"/>
                <w:b/>
                <w:sz w:val="18"/>
                <w:szCs w:val="18"/>
              </w:rPr>
              <w:t xml:space="preserve"> (“Proveedores”) </w:t>
            </w:r>
            <w:r w:rsidRPr="009A4912">
              <w:rPr>
                <w:rFonts w:ascii="ITC Avant Garde" w:hAnsi="ITC Avant Garde"/>
                <w:b/>
                <w:sz w:val="18"/>
                <w:szCs w:val="18"/>
              </w:rPr>
              <w:t xml:space="preserve">durante </w:t>
            </w:r>
            <w:r w:rsidR="0047021A">
              <w:rPr>
                <w:rFonts w:ascii="ITC Avant Garde" w:hAnsi="ITC Avant Garde"/>
                <w:b/>
                <w:sz w:val="18"/>
                <w:szCs w:val="18"/>
              </w:rPr>
              <w:t>este</w:t>
            </w:r>
            <w:r w:rsidR="00302AC9">
              <w:rPr>
                <w:rFonts w:ascii="ITC Avant Garde" w:hAnsi="ITC Avant Garde"/>
                <w:b/>
                <w:sz w:val="18"/>
                <w:szCs w:val="18"/>
              </w:rPr>
              <w:t xml:space="preserve"> proces</w:t>
            </w:r>
            <w:r w:rsidR="0047021A">
              <w:rPr>
                <w:rFonts w:ascii="ITC Avant Garde" w:hAnsi="ITC Avant Garde"/>
                <w:b/>
                <w:sz w:val="18"/>
                <w:szCs w:val="18"/>
              </w:rPr>
              <w:t>o</w:t>
            </w:r>
            <w:r w:rsidRPr="009A4912">
              <w:rPr>
                <w:rFonts w:ascii="ITC Avant Garde" w:hAnsi="ITC Avant Garde"/>
                <w:b/>
                <w:sz w:val="18"/>
                <w:szCs w:val="18"/>
              </w:rPr>
              <w:t>. Lo anterior</w:t>
            </w:r>
            <w:r w:rsidR="0047021A">
              <w:rPr>
                <w:rFonts w:ascii="ITC Avant Garde" w:hAnsi="ITC Avant Garde"/>
                <w:b/>
                <w:sz w:val="18"/>
                <w:szCs w:val="18"/>
              </w:rPr>
              <w:t>,</w:t>
            </w:r>
            <w:r w:rsidRPr="009A4912">
              <w:rPr>
                <w:rFonts w:ascii="ITC Avant Garde" w:hAnsi="ITC Avant Garde"/>
                <w:b/>
                <w:sz w:val="18"/>
                <w:szCs w:val="18"/>
              </w:rPr>
              <w:t xml:space="preserve"> en consistencia con las modificaciones realizadas en los artículos primero transitorio, inciso a) y segundo transitorio de los </w:t>
            </w:r>
            <w:r w:rsidRPr="009A4912">
              <w:rPr>
                <w:rFonts w:ascii="ITC Avant Garde" w:hAnsi="ITC Avant Garde"/>
                <w:b/>
                <w:sz w:val="18"/>
                <w:szCs w:val="18"/>
              </w:rPr>
              <w:lastRenderedPageBreak/>
              <w:t>Planes Técnicos Fundamentales de Numeración y Señalización, publicados en el DOF el 11 de mayo de 2018, en las cuales se establece el 1° de julio de 2025 como la fecha de entrada en vigor de diversas secciones de estos planes técnicos fundamentales y de abrogación de los Planes Técnicos Fundamentales de Numeración y Señalización</w:t>
            </w:r>
            <w:r w:rsidR="00F431E4">
              <w:rPr>
                <w:rFonts w:ascii="ITC Avant Garde" w:hAnsi="ITC Avant Garde"/>
                <w:b/>
                <w:sz w:val="18"/>
                <w:szCs w:val="18"/>
              </w:rPr>
              <w:t>,</w:t>
            </w:r>
            <w:r w:rsidRPr="009A4912">
              <w:rPr>
                <w:rFonts w:ascii="ITC Avant Garde" w:hAnsi="ITC Avant Garde"/>
                <w:b/>
                <w:sz w:val="18"/>
                <w:szCs w:val="18"/>
              </w:rPr>
              <w:t xml:space="preserve"> publicados en el DOF que 21 de junio de 1996.</w:t>
            </w:r>
          </w:p>
          <w:p w14:paraId="3F701B37" w14:textId="77777777" w:rsidR="001E5792" w:rsidRPr="009A4912" w:rsidRDefault="001E5792" w:rsidP="007130A3">
            <w:pPr>
              <w:spacing w:line="276" w:lineRule="auto"/>
              <w:contextualSpacing/>
              <w:jc w:val="both"/>
              <w:rPr>
                <w:rFonts w:ascii="ITC Avant Garde" w:hAnsi="ITC Avant Garde"/>
                <w:b/>
                <w:sz w:val="18"/>
                <w:szCs w:val="18"/>
              </w:rPr>
            </w:pPr>
          </w:p>
          <w:p w14:paraId="33BA7066" w14:textId="4BD4268B" w:rsidR="009A4912" w:rsidRDefault="003F2071" w:rsidP="009A4912">
            <w:pPr>
              <w:spacing w:line="276" w:lineRule="auto"/>
              <w:contextualSpacing/>
              <w:jc w:val="both"/>
              <w:rPr>
                <w:rFonts w:ascii="ITC Avant Garde" w:hAnsi="ITC Avant Garde"/>
                <w:b/>
                <w:sz w:val="18"/>
                <w:szCs w:val="18"/>
              </w:rPr>
            </w:pPr>
            <w:r>
              <w:rPr>
                <w:rFonts w:ascii="ITC Avant Garde" w:hAnsi="ITC Avant Garde"/>
                <w:b/>
                <w:sz w:val="18"/>
                <w:szCs w:val="18"/>
              </w:rPr>
              <w:t>Por lo anterior, l</w:t>
            </w:r>
            <w:r w:rsidR="009A4912">
              <w:rPr>
                <w:rFonts w:ascii="ITC Avant Garde" w:hAnsi="ITC Avant Garde"/>
                <w:b/>
                <w:sz w:val="18"/>
                <w:szCs w:val="18"/>
              </w:rPr>
              <w:t xml:space="preserve">a propuesta de modificación a la regulación tiene como objetivo </w:t>
            </w:r>
            <w:r w:rsidR="00DB4692" w:rsidRPr="00DB4692">
              <w:rPr>
                <w:rFonts w:ascii="ITC Avant Garde" w:hAnsi="ITC Avant Garde"/>
                <w:b/>
                <w:sz w:val="18"/>
                <w:szCs w:val="18"/>
              </w:rPr>
              <w:t xml:space="preserve">dar certeza jurídica a los Proveedores respecto de las disposiciones relativas a la estructura del número nacional, a los NIR y a los procedimientos de asignación y administración de todos los recursos numéricos y de señalización que deberán observarse hasta el 30 de junio de 2025, y que adicionalmente  se lleve a cabo una  transición transparente e ininterrumpida entre los Planes Técnicos Fundamentales de Numeración y Señalización publicados en el año 1996 </w:t>
            </w:r>
            <w:r w:rsidR="00D74AC3">
              <w:rPr>
                <w:rFonts w:ascii="ITC Avant Garde" w:hAnsi="ITC Avant Garde"/>
                <w:b/>
                <w:sz w:val="18"/>
                <w:szCs w:val="18"/>
              </w:rPr>
              <w:t>y</w:t>
            </w:r>
            <w:r w:rsidR="00DB4692" w:rsidRPr="00DB4692">
              <w:rPr>
                <w:rFonts w:ascii="ITC Avant Garde" w:hAnsi="ITC Avant Garde"/>
                <w:b/>
                <w:sz w:val="18"/>
                <w:szCs w:val="18"/>
              </w:rPr>
              <w:t xml:space="preserve"> los publicados en el año 2018, </w:t>
            </w:r>
            <w:bookmarkStart w:id="2" w:name="_Hlk176879766"/>
            <w:r w:rsidR="00D74AC3" w:rsidRPr="00D74AC3">
              <w:rPr>
                <w:rFonts w:ascii="ITC Avant Garde" w:hAnsi="ITC Avant Garde"/>
                <w:b/>
                <w:sz w:val="18"/>
                <w:szCs w:val="18"/>
              </w:rPr>
              <w:t>siendo estos los únicos vigentes a partir del 1° de julio de 2025</w:t>
            </w:r>
            <w:bookmarkEnd w:id="2"/>
            <w:r w:rsidR="00D74AC3">
              <w:rPr>
                <w:rFonts w:ascii="ITC Avant Garde" w:hAnsi="ITC Avant Garde"/>
                <w:b/>
                <w:sz w:val="18"/>
                <w:szCs w:val="18"/>
              </w:rPr>
              <w:t xml:space="preserve">, </w:t>
            </w:r>
            <w:r w:rsidR="00DB4692" w:rsidRPr="00DB4692">
              <w:rPr>
                <w:rFonts w:ascii="ITC Avant Garde" w:hAnsi="ITC Avant Garde"/>
                <w:b/>
                <w:sz w:val="18"/>
                <w:szCs w:val="18"/>
              </w:rPr>
              <w:t>este Instituto determina modificar el inciso b) del artículo primero transitorio de los Planes Técnicos Fundamentales de Numeración y Señalización publicados en el DOF el 11 de mayo de 2018</w:t>
            </w:r>
            <w:r w:rsidR="009A4912">
              <w:rPr>
                <w:rFonts w:ascii="ITC Avant Garde" w:hAnsi="ITC Avant Garde"/>
                <w:b/>
                <w:sz w:val="18"/>
                <w:szCs w:val="18"/>
              </w:rPr>
              <w:t>.</w:t>
            </w:r>
          </w:p>
          <w:p w14:paraId="77B70C94" w14:textId="52435063" w:rsidR="00700E9A" w:rsidRPr="00FF649C" w:rsidRDefault="00700E9A" w:rsidP="00FF649C">
            <w:pPr>
              <w:pStyle w:val="Texto"/>
              <w:spacing w:line="252" w:lineRule="exact"/>
              <w:ind w:firstLine="0"/>
              <w:rPr>
                <w:rFonts w:ascii="ITC Avant Garde" w:eastAsiaTheme="minorHAnsi" w:hAnsi="ITC Avant Garde" w:cstheme="minorBidi"/>
                <w:bCs/>
                <w:szCs w:val="18"/>
                <w:lang w:val="es-MX" w:eastAsia="en-US"/>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18EC2C5"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 </w:t>
                  </w:r>
                  <w:r w:rsidR="00700E9A">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9266C0">
                  <w:pPr>
                    <w:framePr w:hSpace="141" w:wrap="around" w:vAnchor="text" w:hAnchor="margin" w:y="356"/>
                    <w:jc w:val="both"/>
                    <w:rPr>
                      <w:rFonts w:ascii="ITC Avant Garde" w:hAnsi="ITC Avant Garde"/>
                      <w:sz w:val="18"/>
                      <w:szCs w:val="18"/>
                    </w:rPr>
                  </w:pPr>
                </w:p>
                <w:p w14:paraId="7CA4A6B4" w14:textId="77777777" w:rsidR="00596FDE" w:rsidRDefault="00596FDE" w:rsidP="009266C0">
                  <w:pPr>
                    <w:framePr w:hSpace="141" w:wrap="around" w:vAnchor="text" w:hAnchor="margin" w:y="356"/>
                    <w:jc w:val="both"/>
                    <w:rPr>
                      <w:rFonts w:ascii="ITC Avant Garde" w:hAnsi="ITC Avant Garde"/>
                      <w:sz w:val="18"/>
                      <w:szCs w:val="18"/>
                    </w:rPr>
                  </w:pPr>
                </w:p>
                <w:p w14:paraId="40DA22A2" w14:textId="1A2FE211" w:rsidR="000C16BC" w:rsidRPr="00451B7D" w:rsidRDefault="00C2119A" w:rsidP="009266C0">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8673" w:type="dxa"/>
              <w:tblLook w:val="04A0" w:firstRow="1" w:lastRow="0" w:firstColumn="1" w:lastColumn="0" w:noHBand="0" w:noVBand="1"/>
            </w:tblPr>
            <w:tblGrid>
              <w:gridCol w:w="1876"/>
              <w:gridCol w:w="2684"/>
              <w:gridCol w:w="4113"/>
            </w:tblGrid>
            <w:tr w:rsidR="00BE7D1C" w:rsidRPr="00451B7D" w14:paraId="2593A0C9" w14:textId="77777777" w:rsidTr="00F431E4">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4113"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F431E4">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0A7A0548" w:rsidR="00BE7D1C" w:rsidRPr="00451B7D" w:rsidRDefault="00700E9A"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83F4ED4" w14:textId="3FB9E847" w:rsidR="00A709BF" w:rsidRDefault="000E4C0F" w:rsidP="001A7400">
                  <w:pPr>
                    <w:jc w:val="both"/>
                    <w:rPr>
                      <w:rFonts w:ascii="ITC Avant Garde" w:hAnsi="ITC Avant Garde"/>
                      <w:sz w:val="18"/>
                      <w:szCs w:val="18"/>
                    </w:rPr>
                  </w:pPr>
                  <w:r w:rsidRPr="00855BF0">
                    <w:rPr>
                      <w:rFonts w:ascii="ITC Avant Garde" w:hAnsi="ITC Avant Garde"/>
                      <w:sz w:val="18"/>
                      <w:szCs w:val="18"/>
                    </w:rPr>
                    <w:t>N</w:t>
                  </w:r>
                  <w:r w:rsidR="001A7400" w:rsidRPr="00855BF0">
                    <w:rPr>
                      <w:rFonts w:ascii="ITC Avant Garde" w:hAnsi="ITC Avant Garde"/>
                      <w:sz w:val="18"/>
                      <w:szCs w:val="18"/>
                    </w:rPr>
                    <w:t>o</w:t>
                  </w:r>
                  <w:r w:rsidR="00585269" w:rsidRPr="00855BF0">
                    <w:rPr>
                      <w:rFonts w:ascii="ITC Avant Garde" w:hAnsi="ITC Avant Garde"/>
                      <w:sz w:val="18"/>
                      <w:szCs w:val="18"/>
                    </w:rPr>
                    <w:t xml:space="preserve"> emitir la pre</w:t>
                  </w:r>
                  <w:r w:rsidRPr="00855BF0">
                    <w:rPr>
                      <w:rFonts w:ascii="ITC Avant Garde" w:hAnsi="ITC Avant Garde"/>
                      <w:sz w:val="18"/>
                      <w:szCs w:val="18"/>
                    </w:rPr>
                    <w:t>sente propuesta de modificación, implicar</w:t>
                  </w:r>
                  <w:r w:rsidR="00E354C1" w:rsidRPr="00855BF0">
                    <w:rPr>
                      <w:rFonts w:ascii="ITC Avant Garde" w:hAnsi="ITC Avant Garde"/>
                      <w:sz w:val="18"/>
                      <w:szCs w:val="18"/>
                    </w:rPr>
                    <w:t>á</w:t>
                  </w:r>
                  <w:r w:rsidRPr="00855BF0">
                    <w:rPr>
                      <w:rFonts w:ascii="ITC Avant Garde" w:hAnsi="ITC Avant Garde"/>
                      <w:sz w:val="18"/>
                      <w:szCs w:val="18"/>
                    </w:rPr>
                    <w:t xml:space="preserve"> </w:t>
                  </w:r>
                  <w:r w:rsidR="00182543">
                    <w:rPr>
                      <w:rFonts w:ascii="ITC Avant Garde" w:hAnsi="ITC Avant Garde"/>
                      <w:sz w:val="18"/>
                      <w:szCs w:val="18"/>
                    </w:rPr>
                    <w:t>que</w:t>
                  </w:r>
                  <w:r w:rsidR="0047021A">
                    <w:rPr>
                      <w:rFonts w:ascii="ITC Avant Garde" w:hAnsi="ITC Avant Garde"/>
                      <w:sz w:val="18"/>
                      <w:szCs w:val="18"/>
                    </w:rPr>
                    <w:t>,</w:t>
                  </w:r>
                  <w:r w:rsidR="00182543">
                    <w:rPr>
                      <w:rFonts w:ascii="ITC Avant Garde" w:hAnsi="ITC Avant Garde"/>
                      <w:sz w:val="18"/>
                      <w:szCs w:val="18"/>
                    </w:rPr>
                    <w:t xml:space="preserve"> dentro del periodo comprendido del 1° de enero al 30 de junio de </w:t>
                  </w:r>
                  <w:r w:rsidR="00A709BF">
                    <w:rPr>
                      <w:rFonts w:ascii="ITC Avant Garde" w:hAnsi="ITC Avant Garde"/>
                      <w:sz w:val="18"/>
                      <w:szCs w:val="18"/>
                    </w:rPr>
                    <w:lastRenderedPageBreak/>
                    <w:t>2025</w:t>
                  </w:r>
                  <w:r w:rsidR="0047021A">
                    <w:rPr>
                      <w:rFonts w:ascii="ITC Avant Garde" w:hAnsi="ITC Avant Garde"/>
                      <w:sz w:val="18"/>
                      <w:szCs w:val="18"/>
                    </w:rPr>
                    <w:t>,</w:t>
                  </w:r>
                  <w:r w:rsidR="00182543">
                    <w:rPr>
                      <w:rFonts w:ascii="ITC Avant Garde" w:hAnsi="ITC Avant Garde"/>
                      <w:sz w:val="18"/>
                      <w:szCs w:val="18"/>
                    </w:rPr>
                    <w:t xml:space="preserve"> no existirán </w:t>
                  </w:r>
                  <w:r w:rsidR="00A709BF">
                    <w:rPr>
                      <w:rFonts w:ascii="ITC Avant Garde" w:hAnsi="ITC Avant Garde"/>
                      <w:sz w:val="18"/>
                      <w:szCs w:val="18"/>
                    </w:rPr>
                    <w:t>trámites vigentes</w:t>
                  </w:r>
                  <w:r w:rsidR="00182543">
                    <w:rPr>
                      <w:rFonts w:ascii="ITC Avant Garde" w:hAnsi="ITC Avant Garde"/>
                      <w:sz w:val="18"/>
                      <w:szCs w:val="18"/>
                    </w:rPr>
                    <w:t xml:space="preserve"> para la asignación y administración de los recursos de numeración y señalización a cargo del Instituto</w:t>
                  </w:r>
                  <w:r w:rsidR="00950296" w:rsidRPr="00855BF0">
                    <w:rPr>
                      <w:rFonts w:ascii="ITC Avant Garde" w:hAnsi="ITC Avant Garde"/>
                      <w:sz w:val="18"/>
                      <w:szCs w:val="18"/>
                    </w:rPr>
                    <w:t>.</w:t>
                  </w:r>
                  <w:r w:rsidR="00182543">
                    <w:rPr>
                      <w:rFonts w:ascii="ITC Avant Garde" w:hAnsi="ITC Avant Garde"/>
                      <w:sz w:val="18"/>
                      <w:szCs w:val="18"/>
                    </w:rPr>
                    <w:t xml:space="preserve"> </w:t>
                  </w:r>
                </w:p>
                <w:p w14:paraId="43BF349C" w14:textId="77777777" w:rsidR="00A709BF" w:rsidRDefault="00A709BF" w:rsidP="001A7400">
                  <w:pPr>
                    <w:jc w:val="both"/>
                    <w:rPr>
                      <w:rFonts w:ascii="ITC Avant Garde" w:hAnsi="ITC Avant Garde"/>
                      <w:sz w:val="18"/>
                      <w:szCs w:val="18"/>
                    </w:rPr>
                  </w:pPr>
                </w:p>
                <w:p w14:paraId="59FD84F5" w14:textId="4BFD8470" w:rsidR="000E4C0F" w:rsidRPr="00855BF0" w:rsidRDefault="00182543" w:rsidP="001A7400">
                  <w:pPr>
                    <w:jc w:val="both"/>
                    <w:rPr>
                      <w:rFonts w:ascii="ITC Avant Garde" w:hAnsi="ITC Avant Garde"/>
                      <w:sz w:val="18"/>
                      <w:szCs w:val="18"/>
                    </w:rPr>
                  </w:pPr>
                  <w:r>
                    <w:rPr>
                      <w:rFonts w:ascii="ITC Avant Garde" w:hAnsi="ITC Avant Garde"/>
                      <w:sz w:val="18"/>
                      <w:szCs w:val="18"/>
                    </w:rPr>
                    <w:t xml:space="preserve">Adicionalmente, </w:t>
                  </w:r>
                  <w:r w:rsidR="00906AA8">
                    <w:rPr>
                      <w:rFonts w:ascii="ITC Avant Garde" w:hAnsi="ITC Avant Garde"/>
                      <w:sz w:val="18"/>
                      <w:szCs w:val="18"/>
                    </w:rPr>
                    <w:t xml:space="preserve">durante este periodo </w:t>
                  </w:r>
                  <w:r>
                    <w:rPr>
                      <w:rFonts w:ascii="ITC Avant Garde" w:hAnsi="ITC Avant Garde"/>
                      <w:sz w:val="18"/>
                      <w:szCs w:val="18"/>
                    </w:rPr>
                    <w:t>no existirá una definición</w:t>
                  </w:r>
                  <w:r w:rsidR="00906AA8">
                    <w:rPr>
                      <w:rFonts w:ascii="ITC Avant Garde" w:hAnsi="ITC Avant Garde"/>
                      <w:sz w:val="18"/>
                      <w:szCs w:val="18"/>
                    </w:rPr>
                    <w:t xml:space="preserve"> vigente para la estructura </w:t>
                  </w:r>
                  <w:r w:rsidR="00906AA8" w:rsidRPr="00906AA8">
                    <w:rPr>
                      <w:rFonts w:ascii="ITC Avant Garde" w:hAnsi="ITC Avant Garde"/>
                      <w:sz w:val="18"/>
                      <w:szCs w:val="18"/>
                    </w:rPr>
                    <w:t xml:space="preserve">del número nacional, </w:t>
                  </w:r>
                  <w:r w:rsidR="00906AA8">
                    <w:rPr>
                      <w:rFonts w:ascii="ITC Avant Garde" w:hAnsi="ITC Avant Garde"/>
                      <w:sz w:val="18"/>
                      <w:szCs w:val="18"/>
                    </w:rPr>
                    <w:t xml:space="preserve">así como para los números identificadores de región, cuya referencia geográfica es </w:t>
                  </w:r>
                  <w:r w:rsidR="007270FC">
                    <w:rPr>
                      <w:rFonts w:ascii="ITC Avant Garde" w:hAnsi="ITC Avant Garde"/>
                      <w:sz w:val="18"/>
                      <w:szCs w:val="18"/>
                    </w:rPr>
                    <w:t xml:space="preserve">asociada con la numeración nacional </w:t>
                  </w:r>
                  <w:r w:rsidR="00F431E4">
                    <w:rPr>
                      <w:rFonts w:ascii="ITC Avant Garde" w:hAnsi="ITC Avant Garde"/>
                      <w:sz w:val="18"/>
                      <w:szCs w:val="18"/>
                    </w:rPr>
                    <w:t xml:space="preserve">al momento de ser </w:t>
                  </w:r>
                  <w:r w:rsidR="007270FC">
                    <w:rPr>
                      <w:rFonts w:ascii="ITC Avant Garde" w:hAnsi="ITC Avant Garde"/>
                      <w:sz w:val="18"/>
                      <w:szCs w:val="18"/>
                    </w:rPr>
                    <w:t>asignada por el Instituto.</w:t>
                  </w:r>
                  <w:r>
                    <w:rPr>
                      <w:rFonts w:ascii="ITC Avant Garde" w:hAnsi="ITC Avant Garde"/>
                      <w:sz w:val="18"/>
                      <w:szCs w:val="18"/>
                    </w:rPr>
                    <w:t xml:space="preserve"> </w:t>
                  </w:r>
                </w:p>
                <w:p w14:paraId="360D5F57" w14:textId="337051A3" w:rsidR="001A7400" w:rsidRPr="00855BF0" w:rsidRDefault="001A7400" w:rsidP="00E517AC">
                  <w:pPr>
                    <w:jc w:val="both"/>
                    <w:rPr>
                      <w:rFonts w:ascii="Arial" w:hAnsi="Arial" w:cs="Arial"/>
                    </w:rPr>
                  </w:pPr>
                </w:p>
              </w:tc>
              <w:tc>
                <w:tcPr>
                  <w:tcW w:w="4113" w:type="dxa"/>
                  <w:shd w:val="clear" w:color="auto" w:fill="auto"/>
                </w:tcPr>
                <w:p w14:paraId="173E12DD" w14:textId="47A58EAE" w:rsidR="00182543" w:rsidRDefault="00393251" w:rsidP="006A5680">
                  <w:pPr>
                    <w:jc w:val="both"/>
                    <w:rPr>
                      <w:rFonts w:ascii="ITC Avant Garde" w:hAnsi="ITC Avant Garde"/>
                      <w:sz w:val="18"/>
                      <w:szCs w:val="18"/>
                    </w:rPr>
                  </w:pPr>
                  <w:r w:rsidRPr="00855BF0">
                    <w:rPr>
                      <w:rFonts w:ascii="ITC Avant Garde" w:hAnsi="ITC Avant Garde"/>
                      <w:sz w:val="18"/>
                      <w:szCs w:val="18"/>
                    </w:rPr>
                    <w:lastRenderedPageBreak/>
                    <w:t xml:space="preserve">Esta alternativa no se considera conveniente, debido a que </w:t>
                  </w:r>
                  <w:r w:rsidR="00182543">
                    <w:rPr>
                      <w:rFonts w:ascii="ITC Avant Garde" w:hAnsi="ITC Avant Garde"/>
                      <w:sz w:val="18"/>
                      <w:szCs w:val="18"/>
                    </w:rPr>
                    <w:t xml:space="preserve">generará confusión e incertidumbre jurídica </w:t>
                  </w:r>
                  <w:r w:rsidR="00E71880">
                    <w:rPr>
                      <w:rFonts w:ascii="ITC Avant Garde" w:hAnsi="ITC Avant Garde"/>
                      <w:sz w:val="18"/>
                      <w:szCs w:val="18"/>
                    </w:rPr>
                    <w:t>en</w:t>
                  </w:r>
                  <w:r w:rsidR="00182543">
                    <w:rPr>
                      <w:rFonts w:ascii="ITC Avant Garde" w:hAnsi="ITC Avant Garde"/>
                      <w:sz w:val="18"/>
                      <w:szCs w:val="18"/>
                    </w:rPr>
                    <w:t xml:space="preserve"> los </w:t>
                  </w:r>
                  <w:r w:rsidR="00906AA8">
                    <w:rPr>
                      <w:rFonts w:ascii="ITC Avant Garde" w:hAnsi="ITC Avant Garde"/>
                      <w:sz w:val="18"/>
                      <w:szCs w:val="18"/>
                    </w:rPr>
                    <w:t>Proveedores</w:t>
                  </w:r>
                  <w:r w:rsidR="00F431E4">
                    <w:rPr>
                      <w:rFonts w:ascii="ITC Avant Garde" w:hAnsi="ITC Avant Garde"/>
                      <w:sz w:val="18"/>
                      <w:szCs w:val="18"/>
                    </w:rPr>
                    <w:t>, quienes</w:t>
                  </w:r>
                  <w:r w:rsidR="00182543">
                    <w:rPr>
                      <w:rFonts w:ascii="ITC Avant Garde" w:hAnsi="ITC Avant Garde"/>
                      <w:sz w:val="18"/>
                      <w:szCs w:val="18"/>
                    </w:rPr>
                    <w:t xml:space="preserve"> </w:t>
                  </w:r>
                  <w:r w:rsidR="00F431E4">
                    <w:rPr>
                      <w:rFonts w:ascii="ITC Avant Garde" w:hAnsi="ITC Avant Garde"/>
                      <w:sz w:val="18"/>
                      <w:szCs w:val="18"/>
                    </w:rPr>
                    <w:t xml:space="preserve">durante el periodo comprendido del 1° de enero al 30 de junio </w:t>
                  </w:r>
                  <w:r w:rsidR="00F431E4">
                    <w:rPr>
                      <w:rFonts w:ascii="ITC Avant Garde" w:hAnsi="ITC Avant Garde"/>
                      <w:sz w:val="18"/>
                      <w:szCs w:val="18"/>
                    </w:rPr>
                    <w:lastRenderedPageBreak/>
                    <w:t xml:space="preserve">de 2025 </w:t>
                  </w:r>
                  <w:r w:rsidR="00182543">
                    <w:rPr>
                      <w:rFonts w:ascii="ITC Avant Garde" w:hAnsi="ITC Avant Garde"/>
                      <w:sz w:val="18"/>
                      <w:szCs w:val="18"/>
                    </w:rPr>
                    <w:t>no contar</w:t>
                  </w:r>
                  <w:r w:rsidR="00F431E4">
                    <w:rPr>
                      <w:rFonts w:ascii="ITC Avant Garde" w:hAnsi="ITC Avant Garde"/>
                      <w:sz w:val="18"/>
                      <w:szCs w:val="18"/>
                    </w:rPr>
                    <w:t>án</w:t>
                  </w:r>
                  <w:r w:rsidR="00182543">
                    <w:rPr>
                      <w:rFonts w:ascii="ITC Avant Garde" w:hAnsi="ITC Avant Garde"/>
                      <w:sz w:val="18"/>
                      <w:szCs w:val="18"/>
                    </w:rPr>
                    <w:t xml:space="preserve"> con procedimientos vigentes para la asignación</w:t>
                  </w:r>
                  <w:r w:rsidR="00F431E4">
                    <w:rPr>
                      <w:rFonts w:ascii="ITC Avant Garde" w:hAnsi="ITC Avant Garde"/>
                      <w:sz w:val="18"/>
                      <w:szCs w:val="18"/>
                    </w:rPr>
                    <w:t xml:space="preserve"> y</w:t>
                  </w:r>
                  <w:r w:rsidR="00182543">
                    <w:rPr>
                      <w:rFonts w:ascii="ITC Avant Garde" w:hAnsi="ITC Avant Garde"/>
                      <w:sz w:val="18"/>
                      <w:szCs w:val="18"/>
                    </w:rPr>
                    <w:t xml:space="preserve"> </w:t>
                  </w:r>
                  <w:r w:rsidR="00F431E4">
                    <w:rPr>
                      <w:rFonts w:ascii="ITC Avant Garde" w:hAnsi="ITC Avant Garde"/>
                      <w:sz w:val="18"/>
                      <w:szCs w:val="18"/>
                    </w:rPr>
                    <w:t xml:space="preserve">la administración </w:t>
                  </w:r>
                  <w:r w:rsidR="00182543">
                    <w:rPr>
                      <w:rFonts w:ascii="ITC Avant Garde" w:hAnsi="ITC Avant Garde"/>
                      <w:sz w:val="18"/>
                      <w:szCs w:val="18"/>
                    </w:rPr>
                    <w:t xml:space="preserve">de los recursos de numeración y señalización </w:t>
                  </w:r>
                  <w:r w:rsidR="00F431E4">
                    <w:rPr>
                      <w:rFonts w:ascii="ITC Avant Garde" w:hAnsi="ITC Avant Garde"/>
                      <w:sz w:val="18"/>
                      <w:szCs w:val="18"/>
                    </w:rPr>
                    <w:t xml:space="preserve">que se encuentran </w:t>
                  </w:r>
                  <w:r w:rsidR="00182543">
                    <w:rPr>
                      <w:rFonts w:ascii="ITC Avant Garde" w:hAnsi="ITC Avant Garde"/>
                      <w:sz w:val="18"/>
                      <w:szCs w:val="18"/>
                    </w:rPr>
                    <w:t>a cargo del Instituto.</w:t>
                  </w:r>
                </w:p>
                <w:p w14:paraId="2E18AB93" w14:textId="77777777" w:rsidR="00906AA8" w:rsidRDefault="00906AA8" w:rsidP="006A5680">
                  <w:pPr>
                    <w:jc w:val="both"/>
                    <w:rPr>
                      <w:rFonts w:ascii="ITC Avant Garde" w:hAnsi="ITC Avant Garde"/>
                      <w:sz w:val="18"/>
                      <w:szCs w:val="18"/>
                    </w:rPr>
                  </w:pPr>
                </w:p>
                <w:p w14:paraId="4F9873E5" w14:textId="49FA0D6B" w:rsidR="005A3912" w:rsidRPr="00855BF0" w:rsidRDefault="00F431E4" w:rsidP="006A5680">
                  <w:pPr>
                    <w:jc w:val="both"/>
                    <w:rPr>
                      <w:rFonts w:ascii="ITC Avant Garde" w:hAnsi="ITC Avant Garde"/>
                      <w:sz w:val="18"/>
                      <w:szCs w:val="18"/>
                    </w:rPr>
                  </w:pPr>
                  <w:r>
                    <w:rPr>
                      <w:rFonts w:ascii="ITC Avant Garde" w:hAnsi="ITC Avant Garde"/>
                      <w:sz w:val="18"/>
                      <w:szCs w:val="18"/>
                    </w:rPr>
                    <w:t>Por otra parte</w:t>
                  </w:r>
                  <w:r w:rsidR="0047660B">
                    <w:rPr>
                      <w:rFonts w:ascii="ITC Avant Garde" w:hAnsi="ITC Avant Garde"/>
                      <w:sz w:val="18"/>
                      <w:szCs w:val="18"/>
                    </w:rPr>
                    <w:t>, esta alternativa no permite dar cumplimiento a los objetivos de la política regulatoria aplicables en la administración pública federal</w:t>
                  </w:r>
                  <w:r>
                    <w:rPr>
                      <w:rFonts w:ascii="ITC Avant Garde" w:hAnsi="ITC Avant Garde"/>
                      <w:sz w:val="18"/>
                      <w:szCs w:val="18"/>
                    </w:rPr>
                    <w:t>,</w:t>
                  </w:r>
                  <w:r w:rsidR="0047660B">
                    <w:rPr>
                      <w:rFonts w:ascii="ITC Avant Garde" w:hAnsi="ITC Avant Garde"/>
                      <w:sz w:val="18"/>
                      <w:szCs w:val="18"/>
                    </w:rPr>
                    <w:t xml:space="preserve"> al no generar seguridad jurídica, claridad y transparencia en la aplicación de trámites y servicios</w:t>
                  </w:r>
                  <w:r>
                    <w:rPr>
                      <w:rFonts w:ascii="ITC Avant Garde" w:hAnsi="ITC Avant Garde"/>
                      <w:sz w:val="18"/>
                      <w:szCs w:val="18"/>
                    </w:rPr>
                    <w:t xml:space="preserve"> ofrecidos por el Instituto</w:t>
                  </w:r>
                  <w:r w:rsidR="0047660B">
                    <w:rPr>
                      <w:rFonts w:ascii="ITC Avant Garde" w:hAnsi="ITC Avant Garde"/>
                      <w:sz w:val="18"/>
                      <w:szCs w:val="18"/>
                    </w:rPr>
                    <w:t>.</w:t>
                  </w:r>
                </w:p>
                <w:p w14:paraId="4FA9D8F7" w14:textId="77777777" w:rsidR="00AD3E6B" w:rsidRPr="00855BF0" w:rsidRDefault="00AD3E6B" w:rsidP="006A5680">
                  <w:pPr>
                    <w:jc w:val="both"/>
                    <w:rPr>
                      <w:rFonts w:ascii="ITC Avant Garde" w:hAnsi="ITC Avant Garde"/>
                      <w:sz w:val="18"/>
                      <w:szCs w:val="18"/>
                    </w:rPr>
                  </w:pPr>
                </w:p>
                <w:p w14:paraId="6D1A99F5" w14:textId="77777777" w:rsidR="00542AC7" w:rsidRDefault="00542AC7" w:rsidP="002E34C3">
                  <w:pPr>
                    <w:jc w:val="both"/>
                    <w:rPr>
                      <w:rFonts w:ascii="Arial" w:hAnsi="Arial" w:cs="Arial"/>
                    </w:rPr>
                  </w:pPr>
                </w:p>
                <w:p w14:paraId="3A0F5AC2" w14:textId="1BDA7606" w:rsidR="00542AC7" w:rsidRPr="00855BF0" w:rsidRDefault="00542AC7" w:rsidP="002E34C3">
                  <w:pPr>
                    <w:jc w:val="both"/>
                    <w:rPr>
                      <w:rFonts w:ascii="Arial" w:hAnsi="Arial" w:cs="Arial"/>
                    </w:rPr>
                  </w:pPr>
                </w:p>
              </w:tc>
            </w:tr>
            <w:tr w:rsidR="00BE7D1C" w:rsidRPr="00451B7D" w14:paraId="504B2907" w14:textId="77777777" w:rsidTr="00F431E4">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70EB689" w:rsidR="00BE7D1C" w:rsidRPr="00451B7D" w:rsidRDefault="003F05BA"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62ACF279" w14:textId="66949E89" w:rsidR="00790133" w:rsidRPr="00500184" w:rsidRDefault="00433279" w:rsidP="00790133">
                  <w:pPr>
                    <w:jc w:val="both"/>
                    <w:rPr>
                      <w:rFonts w:ascii="ITC Avant Garde" w:hAnsi="ITC Avant Garde"/>
                      <w:sz w:val="18"/>
                      <w:szCs w:val="18"/>
                    </w:rPr>
                  </w:pPr>
                  <w:r w:rsidRPr="00500184">
                    <w:rPr>
                      <w:rFonts w:ascii="ITC Avant Garde" w:hAnsi="ITC Avant Garde"/>
                      <w:sz w:val="18"/>
                      <w:szCs w:val="18"/>
                    </w:rPr>
                    <w:t>Emitir un</w:t>
                  </w:r>
                  <w:r w:rsidR="00790133">
                    <w:rPr>
                      <w:rFonts w:ascii="ITC Avant Garde" w:hAnsi="ITC Avant Garde"/>
                      <w:sz w:val="18"/>
                      <w:szCs w:val="18"/>
                    </w:rPr>
                    <w:t>a fe de erratas en la que se corrija la fecha de terminación de la vigencia de los procedimientos de asignación y administración de los recursos de numeración y señalización a cargo del Instituto</w:t>
                  </w:r>
                  <w:r w:rsidR="00056CBE">
                    <w:rPr>
                      <w:rFonts w:ascii="ITC Avant Garde" w:hAnsi="ITC Avant Garde"/>
                      <w:sz w:val="18"/>
                      <w:szCs w:val="18"/>
                    </w:rPr>
                    <w:t>,</w:t>
                  </w:r>
                  <w:r w:rsidR="00790133">
                    <w:rPr>
                      <w:rFonts w:ascii="ITC Avant Garde" w:hAnsi="ITC Avant Garde"/>
                      <w:sz w:val="18"/>
                      <w:szCs w:val="18"/>
                    </w:rPr>
                    <w:t xml:space="preserve"> </w:t>
                  </w:r>
                  <w:r w:rsidR="00056CBE">
                    <w:rPr>
                      <w:rFonts w:ascii="ITC Avant Garde" w:hAnsi="ITC Avant Garde"/>
                      <w:sz w:val="18"/>
                      <w:szCs w:val="18"/>
                    </w:rPr>
                    <w:t xml:space="preserve">así como de </w:t>
                  </w:r>
                  <w:r w:rsidR="005E01F5">
                    <w:rPr>
                      <w:rFonts w:ascii="ITC Avant Garde" w:hAnsi="ITC Avant Garde"/>
                      <w:sz w:val="18"/>
                      <w:szCs w:val="18"/>
                    </w:rPr>
                    <w:t>la definición de la estructura del número nacional y los números identificadores de región.</w:t>
                  </w:r>
                  <w:r w:rsidR="00790133">
                    <w:rPr>
                      <w:rFonts w:ascii="ITC Avant Garde" w:hAnsi="ITC Avant Garde"/>
                      <w:sz w:val="18"/>
                      <w:szCs w:val="18"/>
                    </w:rPr>
                    <w:t xml:space="preserve"> </w:t>
                  </w:r>
                </w:p>
                <w:p w14:paraId="45F86C45" w14:textId="799698F5" w:rsidR="00B23AB5" w:rsidRPr="00500184" w:rsidRDefault="00B23AB5" w:rsidP="006D412A">
                  <w:pPr>
                    <w:jc w:val="both"/>
                    <w:rPr>
                      <w:rFonts w:ascii="ITC Avant Garde" w:hAnsi="ITC Avant Garde"/>
                      <w:sz w:val="18"/>
                      <w:szCs w:val="18"/>
                    </w:rPr>
                  </w:pPr>
                  <w:r w:rsidRPr="00500184">
                    <w:rPr>
                      <w:rFonts w:ascii="ITC Avant Garde" w:hAnsi="ITC Avant Garde"/>
                      <w:sz w:val="18"/>
                      <w:szCs w:val="18"/>
                    </w:rPr>
                    <w:t>.</w:t>
                  </w:r>
                </w:p>
              </w:tc>
              <w:tc>
                <w:tcPr>
                  <w:tcW w:w="4113" w:type="dxa"/>
                </w:tcPr>
                <w:p w14:paraId="665E7213" w14:textId="07292FED" w:rsidR="00AC5AC6" w:rsidRPr="00500184" w:rsidRDefault="005A717C" w:rsidP="006D412A">
                  <w:pPr>
                    <w:jc w:val="both"/>
                    <w:rPr>
                      <w:rFonts w:ascii="ITC Avant Garde" w:hAnsi="ITC Avant Garde"/>
                      <w:sz w:val="18"/>
                      <w:szCs w:val="18"/>
                    </w:rPr>
                  </w:pPr>
                  <w:r w:rsidRPr="00500184">
                    <w:rPr>
                      <w:rFonts w:ascii="ITC Avant Garde" w:hAnsi="ITC Avant Garde"/>
                      <w:sz w:val="18"/>
                      <w:szCs w:val="18"/>
                    </w:rPr>
                    <w:t xml:space="preserve">Esta alternativa no se considera conveniente, debido a que </w:t>
                  </w:r>
                  <w:r w:rsidR="00062FAA">
                    <w:rPr>
                      <w:rFonts w:ascii="ITC Avant Garde" w:hAnsi="ITC Avant Garde"/>
                      <w:sz w:val="18"/>
                      <w:szCs w:val="18"/>
                    </w:rPr>
                    <w:t>la modifica</w:t>
                  </w:r>
                  <w:r w:rsidR="00056CBE">
                    <w:rPr>
                      <w:rFonts w:ascii="ITC Avant Garde" w:hAnsi="ITC Avant Garde"/>
                      <w:sz w:val="18"/>
                      <w:szCs w:val="18"/>
                    </w:rPr>
                    <w:t>ción de</w:t>
                  </w:r>
                  <w:r w:rsidR="00062FAA">
                    <w:rPr>
                      <w:rFonts w:ascii="ITC Avant Garde" w:hAnsi="ITC Avant Garde"/>
                      <w:sz w:val="18"/>
                      <w:szCs w:val="18"/>
                    </w:rPr>
                    <w:t xml:space="preserve"> la fecha de terminación de vigencia de los procedimientos de asignación y administración de los recursos de numeración y señalización a cargo del Instituto</w:t>
                  </w:r>
                  <w:r w:rsidR="00056CBE">
                    <w:rPr>
                      <w:rFonts w:ascii="ITC Avant Garde" w:hAnsi="ITC Avant Garde"/>
                      <w:sz w:val="18"/>
                      <w:szCs w:val="18"/>
                    </w:rPr>
                    <w:t xml:space="preserve">, así como de </w:t>
                  </w:r>
                  <w:r w:rsidR="004013A3">
                    <w:rPr>
                      <w:rFonts w:ascii="ITC Avant Garde" w:hAnsi="ITC Avant Garde"/>
                      <w:sz w:val="18"/>
                      <w:szCs w:val="18"/>
                    </w:rPr>
                    <w:t>la definición de la estructura del número nacional y los números identificadores de región</w:t>
                  </w:r>
                  <w:r w:rsidR="00056CBE">
                    <w:rPr>
                      <w:rFonts w:ascii="ITC Avant Garde" w:hAnsi="ITC Avant Garde"/>
                      <w:sz w:val="18"/>
                      <w:szCs w:val="18"/>
                    </w:rPr>
                    <w:t>,</w:t>
                  </w:r>
                  <w:r w:rsidR="00062FAA">
                    <w:rPr>
                      <w:rFonts w:ascii="ITC Avant Garde" w:hAnsi="ITC Avant Garde"/>
                      <w:sz w:val="18"/>
                      <w:szCs w:val="18"/>
                    </w:rPr>
                    <w:t xml:space="preserve"> implica</w:t>
                  </w:r>
                  <w:r w:rsidR="004013A3">
                    <w:rPr>
                      <w:rFonts w:ascii="ITC Avant Garde" w:hAnsi="ITC Avant Garde"/>
                      <w:sz w:val="18"/>
                      <w:szCs w:val="18"/>
                    </w:rPr>
                    <w:t>n</w:t>
                  </w:r>
                  <w:r w:rsidR="005E01F5">
                    <w:rPr>
                      <w:rFonts w:ascii="ITC Avant Garde" w:hAnsi="ITC Avant Garde"/>
                      <w:sz w:val="18"/>
                      <w:szCs w:val="18"/>
                    </w:rPr>
                    <w:t xml:space="preserve"> </w:t>
                  </w:r>
                  <w:r w:rsidR="00062FAA">
                    <w:rPr>
                      <w:rFonts w:ascii="ITC Avant Garde" w:hAnsi="ITC Avant Garde"/>
                      <w:sz w:val="18"/>
                      <w:szCs w:val="18"/>
                    </w:rPr>
                    <w:t xml:space="preserve">un cambio sustantivo </w:t>
                  </w:r>
                  <w:r w:rsidR="004013A3">
                    <w:rPr>
                      <w:rFonts w:ascii="ITC Avant Garde" w:hAnsi="ITC Avant Garde"/>
                      <w:sz w:val="18"/>
                      <w:szCs w:val="18"/>
                    </w:rPr>
                    <w:t xml:space="preserve">en los planes técnicos fundamentales de numeración y señalización, lo cual </w:t>
                  </w:r>
                  <w:r w:rsidR="00125BFB">
                    <w:rPr>
                      <w:rFonts w:ascii="ITC Avant Garde" w:hAnsi="ITC Avant Garde"/>
                      <w:sz w:val="18"/>
                      <w:szCs w:val="18"/>
                    </w:rPr>
                    <w:t>impacta directamente en el sentido d</w:t>
                  </w:r>
                  <w:r w:rsidR="00056CBE">
                    <w:rPr>
                      <w:rFonts w:ascii="ITC Avant Garde" w:hAnsi="ITC Avant Garde"/>
                      <w:sz w:val="18"/>
                      <w:szCs w:val="18"/>
                    </w:rPr>
                    <w:t xml:space="preserve">el contenido de </w:t>
                  </w:r>
                  <w:r w:rsidR="00062FAA">
                    <w:rPr>
                      <w:rFonts w:ascii="ITC Avant Garde" w:hAnsi="ITC Avant Garde"/>
                      <w:sz w:val="18"/>
                      <w:szCs w:val="18"/>
                    </w:rPr>
                    <w:t xml:space="preserve">una resolución aprobada por el Pleno del Instituto. </w:t>
                  </w:r>
                </w:p>
              </w:tc>
            </w:tr>
            <w:tr w:rsidR="00BE7D1C" w:rsidRPr="00451B7D" w14:paraId="6C041033" w14:textId="77777777" w:rsidTr="00F431E4">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4113" w:type="dxa"/>
                </w:tcPr>
                <w:p w14:paraId="4B969CA4"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0030B0A" w14:textId="2DAF8E39" w:rsidR="00B46736" w:rsidRDefault="00B46736" w:rsidP="00B46736">
            <w:pPr>
              <w:pStyle w:val="Texto"/>
              <w:spacing w:after="60" w:line="213" w:lineRule="exact"/>
              <w:ind w:firstLine="0"/>
              <w:rPr>
                <w:rFonts w:ascii="ITC Avant Garde" w:eastAsiaTheme="minorHAnsi" w:hAnsi="ITC Avant Garde" w:cstheme="minorBidi"/>
                <w:szCs w:val="18"/>
                <w:lang w:val="es-MX" w:eastAsia="en-US"/>
              </w:rPr>
            </w:pPr>
          </w:p>
          <w:p w14:paraId="30710488" w14:textId="34FC8E5C" w:rsidR="004970F0" w:rsidRDefault="004B5C20" w:rsidP="00272DC7">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En atención al </w:t>
            </w:r>
            <w:r>
              <w:rPr>
                <w:rFonts w:ascii="ITC Avant Garde" w:hAnsi="ITC Avant Garde"/>
                <w:szCs w:val="18"/>
              </w:rPr>
              <w:t xml:space="preserve">Lineamiento Vigésimo Primero de los </w:t>
            </w:r>
            <w:r w:rsidRPr="009B617C">
              <w:rPr>
                <w:rFonts w:ascii="ITC Avant Garde" w:hAnsi="ITC Avant Garde"/>
                <w:i/>
                <w:iCs/>
                <w:szCs w:val="18"/>
              </w:rPr>
              <w:t>Lineamientos de Consulta Pública y Análisis de Impacto Regulatorio del Instituto Federal de Telecomunicaciones</w:t>
            </w:r>
            <w:r w:rsidRPr="004026D0">
              <w:rPr>
                <w:rFonts w:ascii="ITC Avant Garde" w:hAnsi="ITC Avant Garde"/>
                <w:iCs/>
                <w:szCs w:val="18"/>
              </w:rPr>
              <w:t>,</w:t>
            </w:r>
            <w:r>
              <w:rPr>
                <w:rFonts w:ascii="ITC Avant Garde" w:hAnsi="ITC Avant Garde"/>
                <w:iCs/>
                <w:szCs w:val="18"/>
              </w:rPr>
              <w:t xml:space="preserve"> publicados en el Diario Oficial de la Federación el 8 de noviembre de 2017, s</w:t>
            </w:r>
            <w:proofErr w:type="spellStart"/>
            <w:r w:rsidR="008B7CF5">
              <w:rPr>
                <w:rFonts w:ascii="ITC Avant Garde" w:eastAsiaTheme="minorHAnsi" w:hAnsi="ITC Avant Garde" w:cstheme="minorBidi"/>
                <w:szCs w:val="18"/>
                <w:lang w:val="es-MX" w:eastAsia="en-US"/>
              </w:rPr>
              <w:t>e</w:t>
            </w:r>
            <w:proofErr w:type="spellEnd"/>
            <w:r w:rsidR="008B7CF5">
              <w:rPr>
                <w:rFonts w:ascii="ITC Avant Garde" w:eastAsiaTheme="minorHAnsi" w:hAnsi="ITC Avant Garde" w:cstheme="minorBidi"/>
                <w:szCs w:val="18"/>
                <w:lang w:val="es-MX" w:eastAsia="en-US"/>
              </w:rPr>
              <w:t xml:space="preserve"> </w:t>
            </w:r>
            <w:r w:rsidR="008B7CF5" w:rsidRPr="004B5C20">
              <w:rPr>
                <w:rFonts w:ascii="ITC Avant Garde" w:eastAsiaTheme="minorHAnsi" w:hAnsi="ITC Avant Garde" w:cstheme="minorBidi"/>
                <w:szCs w:val="18"/>
                <w:lang w:val="es-MX" w:eastAsia="en-US"/>
              </w:rPr>
              <w:t>considera que la</w:t>
            </w:r>
            <w:r w:rsidR="0030071B">
              <w:rPr>
                <w:rFonts w:ascii="ITC Avant Garde" w:eastAsiaTheme="minorHAnsi" w:hAnsi="ITC Avant Garde" w:cstheme="minorBidi"/>
                <w:szCs w:val="18"/>
                <w:lang w:val="es-MX" w:eastAsia="en-US"/>
              </w:rPr>
              <w:t>s</w:t>
            </w:r>
            <w:r w:rsidR="008B7CF5" w:rsidRPr="004B5C20">
              <w:rPr>
                <w:rFonts w:ascii="ITC Avant Garde" w:eastAsiaTheme="minorHAnsi" w:hAnsi="ITC Avant Garde" w:cstheme="minorBidi"/>
                <w:szCs w:val="18"/>
                <w:lang w:val="es-MX" w:eastAsia="en-US"/>
              </w:rPr>
              <w:t xml:space="preserve"> modificaci</w:t>
            </w:r>
            <w:r w:rsidR="0030071B">
              <w:rPr>
                <w:rFonts w:ascii="ITC Avant Garde" w:eastAsiaTheme="minorHAnsi" w:hAnsi="ITC Avant Garde" w:cstheme="minorBidi"/>
                <w:szCs w:val="18"/>
                <w:lang w:val="es-MX" w:eastAsia="en-US"/>
              </w:rPr>
              <w:t>ones</w:t>
            </w:r>
            <w:r w:rsidR="008B7CF5" w:rsidRPr="004B5C20">
              <w:rPr>
                <w:rFonts w:ascii="ITC Avant Garde" w:eastAsiaTheme="minorHAnsi" w:hAnsi="ITC Avant Garde" w:cstheme="minorBidi"/>
                <w:szCs w:val="18"/>
                <w:lang w:val="es-MX" w:eastAsia="en-US"/>
              </w:rPr>
              <w:t xml:space="preserve"> a </w:t>
            </w:r>
            <w:r w:rsidR="008B7CF5" w:rsidRPr="004B5C20">
              <w:rPr>
                <w:rFonts w:ascii="ITC Avant Garde" w:eastAsiaTheme="minorHAnsi" w:hAnsi="ITC Avant Garde" w:cstheme="minorBidi"/>
                <w:szCs w:val="18"/>
              </w:rPr>
              <w:t xml:space="preserve">los </w:t>
            </w:r>
            <w:r w:rsidR="00067DAE" w:rsidRPr="004B5C20">
              <w:rPr>
                <w:rFonts w:ascii="ITC Avant Garde" w:eastAsiaTheme="minorHAnsi" w:hAnsi="ITC Avant Garde" w:cstheme="minorBidi"/>
                <w:szCs w:val="18"/>
              </w:rPr>
              <w:t>Planes</w:t>
            </w:r>
            <w:r w:rsidR="0030071B">
              <w:rPr>
                <w:rFonts w:ascii="ITC Avant Garde" w:eastAsiaTheme="minorHAnsi" w:hAnsi="ITC Avant Garde" w:cstheme="minorBidi"/>
                <w:szCs w:val="18"/>
              </w:rPr>
              <w:t xml:space="preserve"> </w:t>
            </w:r>
            <w:r w:rsidR="004013A3">
              <w:rPr>
                <w:rFonts w:ascii="ITC Avant Garde" w:eastAsiaTheme="minorHAnsi" w:hAnsi="ITC Avant Garde" w:cstheme="minorBidi"/>
                <w:szCs w:val="18"/>
              </w:rPr>
              <w:t>Técnicos Fundamentales de Numeración y Señalización, publicados en el DOF el 11 de mayo de 2018</w:t>
            </w:r>
            <w:r w:rsidR="00760FBD">
              <w:rPr>
                <w:rFonts w:ascii="ITC Avant Garde" w:eastAsiaTheme="minorHAnsi" w:hAnsi="ITC Avant Garde" w:cstheme="minorBidi"/>
                <w:szCs w:val="18"/>
              </w:rPr>
              <w:t>,</w:t>
            </w:r>
            <w:r w:rsidR="004013A3">
              <w:rPr>
                <w:rFonts w:ascii="ITC Avant Garde" w:eastAsiaTheme="minorHAnsi" w:hAnsi="ITC Avant Garde" w:cstheme="minorBidi"/>
                <w:szCs w:val="18"/>
              </w:rPr>
              <w:t xml:space="preserve"> </w:t>
            </w:r>
            <w:r w:rsidRPr="004B5C20">
              <w:rPr>
                <w:rFonts w:ascii="ITC Avant Garde" w:eastAsiaTheme="minorHAnsi" w:hAnsi="ITC Avant Garde" w:cstheme="minorBidi"/>
                <w:szCs w:val="18"/>
              </w:rPr>
              <w:t>contenida</w:t>
            </w:r>
            <w:r w:rsidR="0030071B">
              <w:rPr>
                <w:rFonts w:ascii="ITC Avant Garde" w:eastAsiaTheme="minorHAnsi" w:hAnsi="ITC Avant Garde" w:cstheme="minorBidi"/>
                <w:szCs w:val="18"/>
              </w:rPr>
              <w:t>s</w:t>
            </w:r>
            <w:r w:rsidRPr="004B5C20">
              <w:rPr>
                <w:rFonts w:ascii="ITC Avant Garde" w:eastAsiaTheme="minorHAnsi" w:hAnsi="ITC Avant Garde" w:cstheme="minorBidi"/>
                <w:szCs w:val="18"/>
              </w:rPr>
              <w:t xml:space="preserve"> en el </w:t>
            </w:r>
            <w:r w:rsidR="00990938">
              <w:rPr>
                <w:rFonts w:ascii="ITC Avant Garde" w:eastAsiaTheme="minorHAnsi" w:hAnsi="ITC Avant Garde" w:cstheme="minorBidi"/>
                <w:szCs w:val="18"/>
              </w:rPr>
              <w:t>Proyecto</w:t>
            </w:r>
            <w:r w:rsidR="00990938" w:rsidRPr="004B5C20">
              <w:rPr>
                <w:rFonts w:ascii="ITC Avant Garde" w:eastAsiaTheme="minorHAnsi" w:hAnsi="ITC Avant Garde" w:cstheme="minorBidi"/>
                <w:szCs w:val="18"/>
              </w:rPr>
              <w:t xml:space="preserve"> </w:t>
            </w:r>
            <w:r w:rsidR="008B7CF5" w:rsidRPr="004B5C20">
              <w:rPr>
                <w:rFonts w:ascii="ITC Avant Garde" w:eastAsiaTheme="minorHAnsi" w:hAnsi="ITC Avant Garde" w:cstheme="minorBidi"/>
                <w:szCs w:val="18"/>
                <w:lang w:val="es-MX" w:eastAsia="en-US"/>
              </w:rPr>
              <w:t>no genera</w:t>
            </w:r>
            <w:r w:rsidR="004013A3">
              <w:rPr>
                <w:rFonts w:ascii="ITC Avant Garde" w:eastAsiaTheme="minorHAnsi" w:hAnsi="ITC Avant Garde" w:cstheme="minorBidi"/>
                <w:szCs w:val="18"/>
                <w:lang w:val="es-MX" w:eastAsia="en-US"/>
              </w:rPr>
              <w:t>n</w:t>
            </w:r>
            <w:r w:rsidRPr="004B5C20">
              <w:rPr>
                <w:rFonts w:ascii="ITC Avant Garde" w:eastAsiaTheme="minorHAnsi" w:hAnsi="ITC Avant Garde" w:cstheme="minorBidi"/>
                <w:szCs w:val="18"/>
                <w:lang w:val="es-MX" w:eastAsia="en-US"/>
              </w:rPr>
              <w:t xml:space="preserve"> nuevos</w:t>
            </w:r>
            <w:r w:rsidR="008B7CF5" w:rsidRPr="004B5C20">
              <w:rPr>
                <w:rFonts w:ascii="ITC Avant Garde" w:eastAsiaTheme="minorHAnsi" w:hAnsi="ITC Avant Garde" w:cstheme="minorBidi"/>
                <w:szCs w:val="18"/>
                <w:lang w:val="es-MX" w:eastAsia="en-US"/>
              </w:rPr>
              <w:t xml:space="preserve"> costos de cumplimiento</w:t>
            </w:r>
            <w:r w:rsidR="00067DAE">
              <w:rPr>
                <w:rFonts w:ascii="ITC Avant Garde" w:eastAsiaTheme="minorHAnsi" w:hAnsi="ITC Avant Garde" w:cstheme="minorBidi"/>
                <w:szCs w:val="18"/>
                <w:lang w:val="es-MX" w:eastAsia="en-US"/>
              </w:rPr>
              <w:t xml:space="preserve"> a los regulados</w:t>
            </w:r>
            <w:r w:rsidR="008B7CF5">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en virtud de que no implica</w:t>
            </w:r>
            <w:r w:rsidR="00760FBD">
              <w:rPr>
                <w:rFonts w:ascii="ITC Avant Garde" w:eastAsiaTheme="minorHAnsi" w:hAnsi="ITC Avant Garde" w:cstheme="minorBidi"/>
                <w:szCs w:val="18"/>
                <w:lang w:val="es-MX" w:eastAsia="en-US"/>
              </w:rPr>
              <w:t>n</w:t>
            </w:r>
            <w:r w:rsidR="00067DAE">
              <w:rPr>
                <w:rFonts w:ascii="ITC Avant Garde" w:eastAsiaTheme="minorHAnsi" w:hAnsi="ITC Avant Garde" w:cstheme="minorBidi"/>
                <w:szCs w:val="18"/>
                <w:lang w:val="es-MX" w:eastAsia="en-US"/>
              </w:rPr>
              <w:t xml:space="preserve"> la creación de nuevas obligaciones</w:t>
            </w:r>
            <w:r w:rsidR="00760FBD">
              <w:rPr>
                <w:rFonts w:ascii="ITC Avant Garde" w:eastAsiaTheme="minorHAnsi" w:hAnsi="ITC Avant Garde" w:cstheme="minorBidi"/>
                <w:szCs w:val="18"/>
                <w:lang w:val="es-MX" w:eastAsia="en-US"/>
              </w:rPr>
              <w:t>,</w:t>
            </w:r>
            <w:r w:rsidR="00F424EE">
              <w:rPr>
                <w:rFonts w:ascii="ITC Avant Garde" w:eastAsiaTheme="minorHAnsi" w:hAnsi="ITC Avant Garde" w:cstheme="minorBidi"/>
                <w:szCs w:val="18"/>
                <w:lang w:val="es-MX" w:eastAsia="en-US"/>
              </w:rPr>
              <w:t xml:space="preserve"> ni la reducción o restricción de derechos o prestaciones a los sujetos regulados</w:t>
            </w:r>
            <w:r w:rsidR="00860D63">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w:t>
            </w:r>
            <w:r w:rsidR="00860D63">
              <w:rPr>
                <w:rFonts w:ascii="ITC Avant Garde" w:eastAsiaTheme="minorHAnsi" w:hAnsi="ITC Avant Garde" w:cstheme="minorBidi"/>
                <w:szCs w:val="18"/>
                <w:lang w:val="es-MX" w:eastAsia="en-US"/>
              </w:rPr>
              <w:t xml:space="preserve">Por el contrario, </w:t>
            </w:r>
            <w:r w:rsidR="004013A3">
              <w:rPr>
                <w:rFonts w:ascii="ITC Avant Garde" w:eastAsiaTheme="minorHAnsi" w:hAnsi="ITC Avant Garde" w:cstheme="minorBidi"/>
                <w:szCs w:val="18"/>
                <w:lang w:val="es-MX" w:eastAsia="en-US"/>
              </w:rPr>
              <w:t>brinda</w:t>
            </w:r>
            <w:r w:rsidR="00760FBD">
              <w:rPr>
                <w:rFonts w:ascii="ITC Avant Garde" w:eastAsiaTheme="minorHAnsi" w:hAnsi="ITC Avant Garde" w:cstheme="minorBidi"/>
                <w:szCs w:val="18"/>
                <w:lang w:val="es-MX" w:eastAsia="en-US"/>
              </w:rPr>
              <w:t>n</w:t>
            </w:r>
            <w:r w:rsidR="004013A3">
              <w:rPr>
                <w:rFonts w:ascii="ITC Avant Garde" w:eastAsiaTheme="minorHAnsi" w:hAnsi="ITC Avant Garde" w:cstheme="minorBidi"/>
                <w:szCs w:val="18"/>
                <w:lang w:val="es-MX" w:eastAsia="en-US"/>
              </w:rPr>
              <w:t xml:space="preserve"> </w:t>
            </w:r>
            <w:r w:rsidR="00760FBD">
              <w:rPr>
                <w:rFonts w:ascii="ITC Avant Garde" w:eastAsiaTheme="minorHAnsi" w:hAnsi="ITC Avant Garde" w:cstheme="minorBidi"/>
                <w:szCs w:val="18"/>
                <w:lang w:val="es-MX" w:eastAsia="en-US"/>
              </w:rPr>
              <w:t xml:space="preserve">claridad y </w:t>
            </w:r>
            <w:r w:rsidR="004013A3">
              <w:rPr>
                <w:rFonts w:ascii="ITC Avant Garde" w:eastAsiaTheme="minorHAnsi" w:hAnsi="ITC Avant Garde" w:cstheme="minorBidi"/>
                <w:szCs w:val="18"/>
                <w:lang w:val="es-MX" w:eastAsia="en-US"/>
              </w:rPr>
              <w:t xml:space="preserve">certeza jurídica </w:t>
            </w:r>
            <w:r w:rsidR="00DC5631">
              <w:rPr>
                <w:rFonts w:ascii="ITC Avant Garde" w:eastAsiaTheme="minorHAnsi" w:hAnsi="ITC Avant Garde" w:cstheme="minorBidi"/>
                <w:szCs w:val="18"/>
                <w:lang w:val="es-MX" w:eastAsia="en-US"/>
              </w:rPr>
              <w:t>a los sujetos regulados</w:t>
            </w:r>
            <w:r>
              <w:rPr>
                <w:rFonts w:ascii="ITC Avant Garde" w:eastAsiaTheme="minorHAnsi" w:hAnsi="ITC Avant Garde" w:cstheme="minorBidi"/>
                <w:szCs w:val="18"/>
                <w:lang w:val="es-MX" w:eastAsia="en-US"/>
              </w:rPr>
              <w:t>,</w:t>
            </w:r>
            <w:r w:rsidR="00F431E4">
              <w:rPr>
                <w:rFonts w:ascii="ITC Avant Garde" w:eastAsiaTheme="minorHAnsi" w:hAnsi="ITC Avant Garde" w:cstheme="minorBidi"/>
                <w:szCs w:val="18"/>
                <w:lang w:val="es-MX" w:eastAsia="en-US"/>
              </w:rPr>
              <w:t xml:space="preserve"> </w:t>
            </w:r>
            <w:r w:rsidR="00302AC9">
              <w:rPr>
                <w:rFonts w:ascii="ITC Avant Garde" w:eastAsiaTheme="minorHAnsi" w:hAnsi="ITC Avant Garde" w:cstheme="minorBidi"/>
                <w:szCs w:val="18"/>
                <w:lang w:val="es-MX" w:eastAsia="en-US"/>
              </w:rPr>
              <w:t>ya que da</w:t>
            </w:r>
            <w:r w:rsidR="00760FBD">
              <w:rPr>
                <w:rFonts w:ascii="ITC Avant Garde" w:eastAsiaTheme="minorHAnsi" w:hAnsi="ITC Avant Garde" w:cstheme="minorBidi"/>
                <w:szCs w:val="18"/>
                <w:lang w:val="es-MX" w:eastAsia="en-US"/>
              </w:rPr>
              <w:t>n</w:t>
            </w:r>
            <w:r w:rsidR="00302AC9">
              <w:rPr>
                <w:rFonts w:ascii="ITC Avant Garde" w:eastAsiaTheme="minorHAnsi" w:hAnsi="ITC Avant Garde" w:cstheme="minorBidi"/>
                <w:szCs w:val="18"/>
                <w:lang w:val="es-MX" w:eastAsia="en-US"/>
              </w:rPr>
              <w:t xml:space="preserve"> continuidad a los trámites existentes y permite</w:t>
            </w:r>
            <w:r w:rsidR="00760FBD">
              <w:rPr>
                <w:rFonts w:ascii="ITC Avant Garde" w:eastAsiaTheme="minorHAnsi" w:hAnsi="ITC Avant Garde" w:cstheme="minorBidi"/>
                <w:szCs w:val="18"/>
                <w:lang w:val="es-MX" w:eastAsia="en-US"/>
              </w:rPr>
              <w:t>n</w:t>
            </w:r>
            <w:r w:rsidR="00302AC9">
              <w:rPr>
                <w:rFonts w:ascii="ITC Avant Garde" w:eastAsiaTheme="minorHAnsi" w:hAnsi="ITC Avant Garde" w:cstheme="minorBidi"/>
                <w:szCs w:val="18"/>
                <w:lang w:val="es-MX" w:eastAsia="en-US"/>
              </w:rPr>
              <w:t xml:space="preserve"> </w:t>
            </w:r>
            <w:r w:rsidR="00760FBD">
              <w:rPr>
                <w:rFonts w:ascii="ITC Avant Garde" w:eastAsiaTheme="minorHAnsi" w:hAnsi="ITC Avant Garde" w:cstheme="minorBidi"/>
                <w:szCs w:val="18"/>
                <w:lang w:val="es-MX" w:eastAsia="en-US"/>
              </w:rPr>
              <w:t>que la</w:t>
            </w:r>
            <w:r w:rsidR="00302AC9">
              <w:rPr>
                <w:rFonts w:ascii="ITC Avant Garde" w:eastAsiaTheme="minorHAnsi" w:hAnsi="ITC Avant Garde" w:cstheme="minorBidi"/>
                <w:szCs w:val="18"/>
                <w:lang w:val="es-MX" w:eastAsia="en-US"/>
              </w:rPr>
              <w:t xml:space="preserve"> transición</w:t>
            </w:r>
            <w:r w:rsidR="0047021A">
              <w:rPr>
                <w:rFonts w:ascii="ITC Avant Garde" w:eastAsiaTheme="minorHAnsi" w:hAnsi="ITC Avant Garde" w:cstheme="minorBidi"/>
                <w:szCs w:val="18"/>
                <w:lang w:val="es-MX" w:eastAsia="en-US"/>
              </w:rPr>
              <w:t xml:space="preserve"> </w:t>
            </w:r>
            <w:r w:rsidR="00760FBD">
              <w:rPr>
                <w:rFonts w:ascii="ITC Avant Garde" w:eastAsiaTheme="minorHAnsi" w:hAnsi="ITC Avant Garde" w:cstheme="minorBidi"/>
                <w:szCs w:val="18"/>
                <w:lang w:val="es-MX" w:eastAsia="en-US"/>
              </w:rPr>
              <w:t>de las disposiciones normativas contenidas en los planes técnicos fundamentales de numeración y señalización, publicados en el DOF el 21 de junio de 1996 hacia las</w:t>
            </w:r>
            <w:r w:rsidR="009C79A7">
              <w:rPr>
                <w:rFonts w:ascii="ITC Avant Garde" w:eastAsiaTheme="minorHAnsi" w:hAnsi="ITC Avant Garde" w:cstheme="minorBidi"/>
                <w:szCs w:val="18"/>
                <w:lang w:val="es-MX" w:eastAsia="en-US"/>
              </w:rPr>
              <w:t xml:space="preserve"> disposiciones normativas contenidas en los planes técnicos fundamentales de numeración y señalización publicad</w:t>
            </w:r>
            <w:r w:rsidR="00D74AC3">
              <w:rPr>
                <w:rFonts w:ascii="ITC Avant Garde" w:eastAsiaTheme="minorHAnsi" w:hAnsi="ITC Avant Garde" w:cstheme="minorBidi"/>
                <w:szCs w:val="18"/>
                <w:lang w:val="es-MX" w:eastAsia="en-US"/>
              </w:rPr>
              <w:t>o</w:t>
            </w:r>
            <w:r w:rsidR="009C79A7">
              <w:rPr>
                <w:rFonts w:ascii="ITC Avant Garde" w:eastAsiaTheme="minorHAnsi" w:hAnsi="ITC Avant Garde" w:cstheme="minorBidi"/>
                <w:szCs w:val="18"/>
                <w:lang w:val="es-MX" w:eastAsia="en-US"/>
              </w:rPr>
              <w:t>s en e</w:t>
            </w:r>
            <w:r w:rsidR="00D74AC3">
              <w:rPr>
                <w:rFonts w:ascii="ITC Avant Garde" w:eastAsiaTheme="minorHAnsi" w:hAnsi="ITC Avant Garde" w:cstheme="minorBidi"/>
                <w:szCs w:val="18"/>
                <w:lang w:val="es-MX" w:eastAsia="en-US"/>
              </w:rPr>
              <w:t>l</w:t>
            </w:r>
            <w:r w:rsidR="009C79A7">
              <w:rPr>
                <w:rFonts w:ascii="ITC Avant Garde" w:eastAsiaTheme="minorHAnsi" w:hAnsi="ITC Avant Garde" w:cstheme="minorBidi"/>
                <w:szCs w:val="18"/>
                <w:lang w:val="es-MX" w:eastAsia="en-US"/>
              </w:rPr>
              <w:t xml:space="preserve"> DOF el 11 de mayo de 2018 se lleve a cabo de forma continua y </w:t>
            </w:r>
            <w:r w:rsidR="0047021A">
              <w:rPr>
                <w:rFonts w:ascii="ITC Avant Garde" w:eastAsiaTheme="minorHAnsi" w:hAnsi="ITC Avant Garde" w:cstheme="minorBidi"/>
                <w:szCs w:val="18"/>
                <w:lang w:val="es-MX" w:eastAsia="en-US"/>
              </w:rPr>
              <w:t>transparente</w:t>
            </w:r>
            <w:r w:rsidR="001910E8">
              <w:rPr>
                <w:rFonts w:ascii="ITC Avant Garde" w:eastAsiaTheme="minorHAnsi" w:hAnsi="ITC Avant Garde" w:cstheme="minorBidi"/>
                <w:szCs w:val="18"/>
                <w:lang w:val="es-MX" w:eastAsia="en-US"/>
              </w:rPr>
              <w:t xml:space="preserve">. </w:t>
            </w:r>
          </w:p>
          <w:p w14:paraId="05780536" w14:textId="5DBF1FC4" w:rsidR="00EB701D" w:rsidRPr="009C79A7" w:rsidRDefault="00444A01" w:rsidP="009C79A7">
            <w:pPr>
              <w:pStyle w:val="Texto"/>
              <w:spacing w:after="60" w:line="213" w:lineRule="exact"/>
              <w:ind w:firstLine="0"/>
              <w:rPr>
                <w:rFonts w:ascii="ITC Avant Garde" w:eastAsiaTheme="minorHAnsi" w:hAnsi="ITC Avant Garde" w:cstheme="minorBidi"/>
                <w:szCs w:val="18"/>
                <w:lang w:val="es-MX" w:eastAsia="en-US"/>
              </w:rPr>
            </w:pPr>
            <w:r>
              <w:rPr>
                <w:rFonts w:ascii="ITC Avant Garde" w:hAnsi="ITC Avant Garde"/>
                <w:szCs w:val="18"/>
              </w:rPr>
              <w:t xml:space="preserve">. </w:t>
            </w: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A0BE33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2627ED7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7E56B43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00700E9A">
              <w:rPr>
                <w:rFonts w:ascii="ITC Avant Garde" w:hAnsi="ITC Avant Garde"/>
                <w:sz w:val="18"/>
                <w:szCs w:val="18"/>
              </w:rPr>
              <w:t xml:space="preserve"> )</w:t>
            </w:r>
            <w:proofErr w:type="gramEnd"/>
            <w:r w:rsidR="00700E9A">
              <w:rPr>
                <w:rFonts w:ascii="ITC Avant Garde" w:hAnsi="ITC Avant Garde"/>
                <w:sz w:val="18"/>
                <w:szCs w:val="18"/>
              </w:rPr>
              <w:t xml:space="preserve"> No (X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B82763">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B82763">
              <w:rPr>
                <w:rFonts w:ascii="ITC Avant Garde" w:hAnsi="ITC Avant Garde"/>
                <w:sz w:val="18"/>
                <w:szCs w:val="18"/>
              </w:rPr>
              <w:t>ciones, prestaciones o trámites</w:t>
            </w:r>
            <w:r w:rsidRPr="00B82763">
              <w:rPr>
                <w:rFonts w:ascii="ITC Avant Garde" w:hAnsi="ITC Avant Garde"/>
                <w:sz w:val="18"/>
                <w:szCs w:val="18"/>
              </w:rPr>
              <w:t>.</w:t>
            </w:r>
          </w:p>
        </w:tc>
        <w:tc>
          <w:tcPr>
            <w:tcW w:w="1462" w:type="dxa"/>
          </w:tcPr>
          <w:p w14:paraId="40FD2722" w14:textId="22A4244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00700E9A">
              <w:rPr>
                <w:rFonts w:ascii="ITC Avant Garde" w:hAnsi="ITC Avant Garde"/>
                <w:sz w:val="18"/>
                <w:szCs w:val="18"/>
              </w:rPr>
              <w:t>)</w:t>
            </w:r>
            <w:proofErr w:type="gramEnd"/>
            <w:r w:rsidR="00700E9A">
              <w:rPr>
                <w:rFonts w:ascii="ITC Avant Garde" w:hAnsi="ITC Avant Garde"/>
                <w:sz w:val="18"/>
                <w:szCs w:val="18"/>
              </w:rPr>
              <w:t xml:space="preserve"> No (X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34AE2226" w:rsidR="00B74C55" w:rsidRPr="00272DC7" w:rsidRDefault="00BE7D1C" w:rsidP="00A73AD8">
            <w:pPr>
              <w:jc w:val="both"/>
              <w:rPr>
                <w:rFonts w:ascii="ITC Avant Garde" w:hAnsi="ITC Avant Garde"/>
                <w:sz w:val="18"/>
                <w:szCs w:val="18"/>
              </w:rPr>
            </w:pPr>
            <w:r w:rsidRPr="00272DC7">
              <w:rPr>
                <w:rFonts w:ascii="ITC Avant Garde" w:hAnsi="ITC Avant Garde"/>
                <w:sz w:val="18"/>
                <w:szCs w:val="18"/>
              </w:rPr>
              <w:t>6</w:t>
            </w:r>
            <w:r w:rsidR="00A73AD8" w:rsidRPr="00272DC7">
              <w:rPr>
                <w:rFonts w:ascii="ITC Avant Garde" w:hAnsi="ITC Avant Garde"/>
                <w:sz w:val="18"/>
                <w:szCs w:val="18"/>
              </w:rPr>
              <w:t xml:space="preserve">.- Enliste </w:t>
            </w:r>
            <w:r w:rsidR="00B74C55" w:rsidRPr="00272DC7">
              <w:rPr>
                <w:rFonts w:ascii="ITC Avant Garde" w:hAnsi="ITC Avant Garde"/>
                <w:sz w:val="18"/>
                <w:szCs w:val="18"/>
              </w:rPr>
              <w:t>los datos bibliográficos o las direcciones electrónicas consultadas para el diseño y redacción</w:t>
            </w:r>
            <w:r w:rsidR="00804F49" w:rsidRPr="00272DC7">
              <w:rPr>
                <w:rFonts w:ascii="ITC Avant Garde" w:hAnsi="ITC Avant Garde"/>
                <w:sz w:val="18"/>
                <w:szCs w:val="18"/>
              </w:rPr>
              <w:t xml:space="preserve"> </w:t>
            </w:r>
            <w:r w:rsidR="00D23BD5" w:rsidRPr="00272DC7">
              <w:rPr>
                <w:rFonts w:ascii="ITC Avant Garde" w:hAnsi="ITC Avant Garde"/>
                <w:sz w:val="18"/>
                <w:szCs w:val="18"/>
              </w:rPr>
              <w:t>de la propuesta</w:t>
            </w:r>
            <w:r w:rsidR="00804F49" w:rsidRPr="00272DC7">
              <w:rPr>
                <w:rFonts w:ascii="ITC Avant Garde" w:hAnsi="ITC Avant Garde"/>
                <w:sz w:val="18"/>
                <w:szCs w:val="18"/>
              </w:rPr>
              <w:t xml:space="preserve"> de regulación, así como cualquier otra documentación que se considere de interés.</w:t>
            </w:r>
          </w:p>
          <w:p w14:paraId="1760EA5E" w14:textId="77777777" w:rsidR="00304150" w:rsidRPr="00272DC7" w:rsidRDefault="00304150" w:rsidP="00A73AD8">
            <w:pPr>
              <w:jc w:val="both"/>
              <w:rPr>
                <w:rFonts w:ascii="ITC Avant Garde" w:hAnsi="ITC Avant Garde"/>
                <w:sz w:val="18"/>
                <w:szCs w:val="18"/>
              </w:rPr>
            </w:pPr>
          </w:p>
          <w:p w14:paraId="089E6783" w14:textId="0C854510" w:rsidR="001F32F3" w:rsidRPr="00D06DEE" w:rsidRDefault="001F32F3"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Plan Técnico Fundamental de Numeración</w:t>
            </w:r>
            <w:r>
              <w:rPr>
                <w:rFonts w:ascii="ITC Avant Garde" w:eastAsiaTheme="minorHAnsi" w:hAnsi="ITC Avant Garde" w:cstheme="minorBidi"/>
                <w:color w:val="auto"/>
                <w:sz w:val="18"/>
                <w:szCs w:val="18"/>
                <w:bdr w:val="none" w:sz="0" w:space="0" w:color="auto"/>
                <w:lang w:val="es-ES" w:eastAsia="en-US"/>
              </w:rPr>
              <w:t xml:space="preserve">, </w:t>
            </w:r>
            <w:r w:rsidRPr="001F32F3">
              <w:rPr>
                <w:rFonts w:ascii="ITC Avant Garde" w:eastAsiaTheme="minorHAnsi" w:hAnsi="ITC Avant Garde" w:cstheme="minorBidi"/>
                <w:color w:val="auto"/>
                <w:sz w:val="18"/>
                <w:szCs w:val="18"/>
                <w:bdr w:val="none" w:sz="0" w:space="0" w:color="auto"/>
                <w:lang w:val="es-ES" w:eastAsia="en-US"/>
              </w:rPr>
              <w:t>public</w:t>
            </w:r>
            <w:r>
              <w:rPr>
                <w:rFonts w:ascii="ITC Avant Garde" w:eastAsiaTheme="minorHAnsi" w:hAnsi="ITC Avant Garde" w:cstheme="minorBidi"/>
                <w:color w:val="auto"/>
                <w:sz w:val="18"/>
                <w:szCs w:val="18"/>
                <w:bdr w:val="none" w:sz="0" w:space="0" w:color="auto"/>
                <w:lang w:val="es-ES" w:eastAsia="en-US"/>
              </w:rPr>
              <w:t>ado</w:t>
            </w:r>
            <w:r w:rsidRPr="001F32F3">
              <w:rPr>
                <w:rFonts w:ascii="ITC Avant Garde" w:eastAsiaTheme="minorHAnsi" w:hAnsi="ITC Avant Garde" w:cstheme="minorBidi"/>
                <w:color w:val="auto"/>
                <w:sz w:val="18"/>
                <w:szCs w:val="18"/>
                <w:bdr w:val="none" w:sz="0" w:space="0" w:color="auto"/>
                <w:lang w:val="es-ES" w:eastAsia="en-US"/>
              </w:rPr>
              <w:t xml:space="preserve"> en el Diario Oficial de la Federación </w:t>
            </w:r>
            <w:r>
              <w:rPr>
                <w:rFonts w:ascii="ITC Avant Garde" w:eastAsiaTheme="minorHAnsi" w:hAnsi="ITC Avant Garde" w:cstheme="minorBidi"/>
                <w:color w:val="auto"/>
                <w:sz w:val="18"/>
                <w:szCs w:val="18"/>
                <w:bdr w:val="none" w:sz="0" w:space="0" w:color="auto"/>
                <w:lang w:val="es-ES" w:eastAsia="en-US"/>
              </w:rPr>
              <w:t>e</w:t>
            </w:r>
            <w:r w:rsidRPr="001F32F3">
              <w:rPr>
                <w:rFonts w:ascii="ITC Avant Garde" w:eastAsiaTheme="minorHAnsi" w:hAnsi="ITC Avant Garde" w:cstheme="minorBidi"/>
                <w:color w:val="auto"/>
                <w:sz w:val="18"/>
                <w:szCs w:val="18"/>
                <w:bdr w:val="none" w:sz="0" w:space="0" w:color="auto"/>
                <w:lang w:val="es-ES" w:eastAsia="en-US"/>
              </w:rPr>
              <w:t>l 21 de junio de 1996</w:t>
            </w:r>
            <w:r>
              <w:rPr>
                <w:rFonts w:ascii="ITC Avant Garde" w:eastAsiaTheme="minorHAnsi" w:hAnsi="ITC Avant Garde" w:cstheme="minorBidi"/>
                <w:color w:val="auto"/>
                <w:sz w:val="18"/>
                <w:szCs w:val="18"/>
                <w:bdr w:val="none" w:sz="0" w:space="0" w:color="auto"/>
                <w:lang w:val="es-ES" w:eastAsia="en-US"/>
              </w:rPr>
              <w:t>.</w:t>
            </w:r>
            <w:r w:rsidR="00990938">
              <w:rPr>
                <w:rFonts w:ascii="ITC Avant Garde" w:eastAsiaTheme="minorHAnsi" w:hAnsi="ITC Avant Garde" w:cstheme="minorBidi"/>
                <w:color w:val="auto"/>
                <w:sz w:val="18"/>
                <w:szCs w:val="18"/>
                <w:bdr w:val="none" w:sz="0" w:space="0" w:color="auto"/>
                <w:lang w:val="es-ES" w:eastAsia="en-US"/>
              </w:rPr>
              <w:t xml:space="preserve"> Disponible en: </w:t>
            </w:r>
            <w:hyperlink r:id="rId11" w:history="1">
              <w:r w:rsidR="00587847" w:rsidRPr="00391014">
                <w:rPr>
                  <w:rStyle w:val="Hipervnculo"/>
                  <w:rFonts w:ascii="ITC Avant Garde" w:eastAsiaTheme="minorHAnsi" w:hAnsi="ITC Avant Garde" w:cstheme="minorBidi"/>
                  <w:sz w:val="18"/>
                  <w:szCs w:val="18"/>
                  <w:bdr w:val="none" w:sz="0" w:space="0" w:color="auto"/>
                  <w:lang w:val="es-ES" w:eastAsia="en-US"/>
                </w:rPr>
                <w:t>https://www.dof.gob.mx/nota_to_imagen_fs.php?codnota=4889295&amp;fecha=21/06/1996&amp;cod_diario=209528</w:t>
              </w:r>
            </w:hyperlink>
          </w:p>
          <w:p w14:paraId="760D8E8F" w14:textId="6FB724AB" w:rsidR="001F32F3" w:rsidRPr="001F32F3" w:rsidRDefault="001F32F3"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 xml:space="preserve">Plan Técnico Fundamental de </w:t>
            </w:r>
            <w:r>
              <w:rPr>
                <w:rFonts w:ascii="ITC Avant Garde" w:eastAsiaTheme="minorHAnsi" w:hAnsi="ITC Avant Garde" w:cstheme="minorBidi"/>
                <w:color w:val="auto"/>
                <w:sz w:val="18"/>
                <w:szCs w:val="18"/>
                <w:bdr w:val="none" w:sz="0" w:space="0" w:color="auto"/>
                <w:lang w:val="es-ES" w:eastAsia="en-US"/>
              </w:rPr>
              <w:t>Señalización</w:t>
            </w:r>
            <w:r w:rsidRPr="001F32F3">
              <w:rPr>
                <w:rFonts w:ascii="ITC Avant Garde" w:eastAsiaTheme="minorHAnsi" w:hAnsi="ITC Avant Garde" w:cstheme="minorBidi"/>
                <w:color w:val="auto"/>
                <w:sz w:val="18"/>
                <w:szCs w:val="18"/>
                <w:bdr w:val="none" w:sz="0" w:space="0" w:color="auto"/>
                <w:lang w:val="es-ES" w:eastAsia="en-US"/>
              </w:rPr>
              <w:t>, publicado en el Diario Oficial de la Federación el 21 de junio de 1996.</w:t>
            </w:r>
            <w:r w:rsidR="004E7DC3">
              <w:rPr>
                <w:rFonts w:ascii="ITC Avant Garde" w:eastAsiaTheme="minorHAnsi" w:hAnsi="ITC Avant Garde" w:cstheme="minorBidi"/>
                <w:color w:val="auto"/>
                <w:sz w:val="18"/>
                <w:szCs w:val="18"/>
                <w:bdr w:val="none" w:sz="0" w:space="0" w:color="auto"/>
                <w:lang w:val="es-ES" w:eastAsia="en-US"/>
              </w:rPr>
              <w:t xml:space="preserve"> Disponible en: </w:t>
            </w:r>
            <w:hyperlink r:id="rId12" w:history="1">
              <w:r w:rsidR="00587847" w:rsidRPr="00391014">
                <w:rPr>
                  <w:rStyle w:val="Hipervnculo"/>
                  <w:rFonts w:ascii="ITC Avant Garde" w:eastAsiaTheme="minorHAnsi" w:hAnsi="ITC Avant Garde" w:cstheme="minorBidi"/>
                  <w:sz w:val="18"/>
                  <w:szCs w:val="18"/>
                  <w:bdr w:val="none" w:sz="0" w:space="0" w:color="auto"/>
                  <w:lang w:val="es-ES" w:eastAsia="en-US"/>
                </w:rPr>
                <w:t>https://www.dof.gob.mx/nota_to_imagen_fs.php?codnota=4889297&amp;fecha=21/06/1996&amp;cod_diario=209528</w:t>
              </w:r>
            </w:hyperlink>
          </w:p>
          <w:p w14:paraId="6E4AFE02" w14:textId="60069441" w:rsidR="001F32F3" w:rsidRDefault="001F32F3"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Resolución por la que el Pleno de la Comisión Federal de Telecomunicaciones modifica el Plan Técnico Fundamental de Señalización, publicado el 21 de junio de 1996</w:t>
            </w:r>
            <w:r>
              <w:rPr>
                <w:rFonts w:ascii="ITC Avant Garde" w:eastAsiaTheme="minorHAnsi" w:hAnsi="ITC Avant Garde" w:cstheme="minorBidi"/>
                <w:color w:val="auto"/>
                <w:sz w:val="18"/>
                <w:szCs w:val="18"/>
                <w:bdr w:val="none" w:sz="0" w:space="0" w:color="auto"/>
                <w:lang w:val="es-ES" w:eastAsia="en-US"/>
              </w:rPr>
              <w:t xml:space="preserve">, </w:t>
            </w:r>
            <w:r w:rsidRPr="001F32F3">
              <w:rPr>
                <w:rFonts w:ascii="ITC Avant Garde" w:eastAsiaTheme="minorHAnsi" w:hAnsi="ITC Avant Garde" w:cstheme="minorBidi"/>
                <w:color w:val="auto"/>
                <w:sz w:val="18"/>
                <w:szCs w:val="18"/>
                <w:bdr w:val="none" w:sz="0" w:space="0" w:color="auto"/>
                <w:lang w:val="es-ES" w:eastAsia="en-US"/>
              </w:rPr>
              <w:t>publicad</w:t>
            </w:r>
            <w:r>
              <w:rPr>
                <w:rFonts w:ascii="ITC Avant Garde" w:eastAsiaTheme="minorHAnsi" w:hAnsi="ITC Avant Garde" w:cstheme="minorBidi"/>
                <w:color w:val="auto"/>
                <w:sz w:val="18"/>
                <w:szCs w:val="18"/>
                <w:bdr w:val="none" w:sz="0" w:space="0" w:color="auto"/>
                <w:lang w:val="es-ES" w:eastAsia="en-US"/>
              </w:rPr>
              <w:t>a</w:t>
            </w:r>
            <w:r w:rsidRPr="001F32F3">
              <w:rPr>
                <w:rFonts w:ascii="ITC Avant Garde" w:eastAsiaTheme="minorHAnsi" w:hAnsi="ITC Avant Garde" w:cstheme="minorBidi"/>
                <w:color w:val="auto"/>
                <w:sz w:val="18"/>
                <w:szCs w:val="18"/>
                <w:bdr w:val="none" w:sz="0" w:space="0" w:color="auto"/>
                <w:lang w:val="es-ES" w:eastAsia="en-US"/>
              </w:rPr>
              <w:t xml:space="preserve"> en el Diario Oficial de la Federación el </w:t>
            </w:r>
            <w:r>
              <w:rPr>
                <w:rFonts w:ascii="ITC Avant Garde" w:eastAsiaTheme="minorHAnsi" w:hAnsi="ITC Avant Garde" w:cstheme="minorBidi"/>
                <w:color w:val="auto"/>
                <w:sz w:val="18"/>
                <w:szCs w:val="18"/>
                <w:bdr w:val="none" w:sz="0" w:space="0" w:color="auto"/>
                <w:lang w:val="es-ES" w:eastAsia="en-US"/>
              </w:rPr>
              <w:t>14</w:t>
            </w:r>
            <w:r w:rsidRPr="001F32F3">
              <w:rPr>
                <w:rFonts w:ascii="ITC Avant Garde" w:eastAsiaTheme="minorHAnsi" w:hAnsi="ITC Avant Garde" w:cstheme="minorBidi"/>
                <w:color w:val="auto"/>
                <w:sz w:val="18"/>
                <w:szCs w:val="18"/>
                <w:bdr w:val="none" w:sz="0" w:space="0" w:color="auto"/>
                <w:lang w:val="es-ES" w:eastAsia="en-US"/>
              </w:rPr>
              <w:t xml:space="preserve"> de </w:t>
            </w:r>
            <w:r>
              <w:rPr>
                <w:rFonts w:ascii="ITC Avant Garde" w:eastAsiaTheme="minorHAnsi" w:hAnsi="ITC Avant Garde" w:cstheme="minorBidi"/>
                <w:color w:val="auto"/>
                <w:sz w:val="18"/>
                <w:szCs w:val="18"/>
                <w:bdr w:val="none" w:sz="0" w:space="0" w:color="auto"/>
                <w:lang w:val="es-ES" w:eastAsia="en-US"/>
              </w:rPr>
              <w:t>octubre</w:t>
            </w:r>
            <w:r w:rsidRPr="001F32F3">
              <w:rPr>
                <w:rFonts w:ascii="ITC Avant Garde" w:eastAsiaTheme="minorHAnsi" w:hAnsi="ITC Avant Garde" w:cstheme="minorBidi"/>
                <w:color w:val="auto"/>
                <w:sz w:val="18"/>
                <w:szCs w:val="18"/>
                <w:bdr w:val="none" w:sz="0" w:space="0" w:color="auto"/>
                <w:lang w:val="es-ES" w:eastAsia="en-US"/>
              </w:rPr>
              <w:t xml:space="preserve"> de </w:t>
            </w:r>
            <w:r>
              <w:rPr>
                <w:rFonts w:ascii="ITC Avant Garde" w:eastAsiaTheme="minorHAnsi" w:hAnsi="ITC Avant Garde" w:cstheme="minorBidi"/>
                <w:color w:val="auto"/>
                <w:sz w:val="18"/>
                <w:szCs w:val="18"/>
                <w:bdr w:val="none" w:sz="0" w:space="0" w:color="auto"/>
                <w:lang w:val="es-ES" w:eastAsia="en-US"/>
              </w:rPr>
              <w:t>2011.</w:t>
            </w:r>
            <w:r w:rsidR="00832B4C">
              <w:rPr>
                <w:rFonts w:ascii="ITC Avant Garde" w:eastAsiaTheme="minorHAnsi" w:hAnsi="ITC Avant Garde" w:cstheme="minorBidi"/>
                <w:color w:val="auto"/>
                <w:sz w:val="18"/>
                <w:szCs w:val="18"/>
                <w:bdr w:val="none" w:sz="0" w:space="0" w:color="auto"/>
                <w:lang w:val="es-ES" w:eastAsia="en-US"/>
              </w:rPr>
              <w:t xml:space="preserve"> Disponible en: </w:t>
            </w:r>
            <w:hyperlink r:id="rId13" w:anchor="gsc.tab=0" w:history="1">
              <w:r w:rsidR="00587847" w:rsidRPr="00391014">
                <w:rPr>
                  <w:rStyle w:val="Hipervnculo"/>
                  <w:rFonts w:ascii="ITC Avant Garde" w:eastAsiaTheme="minorHAnsi" w:hAnsi="ITC Avant Garde" w:cstheme="minorBidi"/>
                  <w:sz w:val="18"/>
                  <w:szCs w:val="18"/>
                  <w:bdr w:val="none" w:sz="0" w:space="0" w:color="auto"/>
                  <w:lang w:val="es-ES" w:eastAsia="en-US"/>
                </w:rPr>
                <w:t>https://www.dof.gob.mx/nota_detalle.php?codigo=5214310&amp;fecha=14/10/2011#gsc.tab=0</w:t>
              </w:r>
            </w:hyperlink>
          </w:p>
          <w:p w14:paraId="4DB73357" w14:textId="77725D3F" w:rsidR="0030071B" w:rsidRDefault="0030071B"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071B">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00866A55">
              <w:rPr>
                <w:rFonts w:ascii="ITC Avant Garde" w:eastAsiaTheme="minorHAnsi" w:hAnsi="ITC Avant Garde" w:cstheme="minorBidi"/>
                <w:color w:val="auto"/>
                <w:sz w:val="18"/>
                <w:szCs w:val="18"/>
                <w:bdr w:val="none" w:sz="0" w:space="0" w:color="auto"/>
                <w:lang w:val="es-MX" w:eastAsia="en-US"/>
              </w:rPr>
              <w:t>,</w:t>
            </w:r>
            <w:r w:rsidR="00866A55" w:rsidRPr="0050672D">
              <w:rPr>
                <w:rFonts w:ascii="ITC Avant Garde" w:eastAsiaTheme="minorHAnsi" w:hAnsi="ITC Avant Garde" w:cstheme="minorBidi"/>
                <w:color w:val="auto"/>
                <w:sz w:val="18"/>
                <w:szCs w:val="18"/>
                <w:bdr w:val="none" w:sz="0" w:space="0" w:color="auto"/>
                <w:lang w:val="es-MX" w:eastAsia="en-US"/>
              </w:rPr>
              <w:t xml:space="preserve"> publicad</w:t>
            </w:r>
            <w:r w:rsidR="00866A55">
              <w:rPr>
                <w:rFonts w:ascii="ITC Avant Garde" w:eastAsiaTheme="minorHAnsi" w:hAnsi="ITC Avant Garde" w:cstheme="minorBidi"/>
                <w:color w:val="auto"/>
                <w:sz w:val="18"/>
                <w:szCs w:val="18"/>
                <w:bdr w:val="none" w:sz="0" w:space="0" w:color="auto"/>
                <w:lang w:val="es-MX" w:eastAsia="en-US"/>
              </w:rPr>
              <w:t>o</w:t>
            </w:r>
            <w:r w:rsidR="00866A55" w:rsidRPr="0050672D">
              <w:rPr>
                <w:rFonts w:ascii="ITC Avant Garde" w:eastAsiaTheme="minorHAnsi" w:hAnsi="ITC Avant Garde" w:cstheme="minorBidi"/>
                <w:color w:val="auto"/>
                <w:sz w:val="18"/>
                <w:szCs w:val="18"/>
                <w:bdr w:val="none" w:sz="0" w:space="0" w:color="auto"/>
                <w:lang w:val="es-MX" w:eastAsia="en-US"/>
              </w:rPr>
              <w:t xml:space="preserve"> en el </w:t>
            </w:r>
            <w:r w:rsidR="00866A55"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sidR="00866A55">
              <w:rPr>
                <w:rFonts w:ascii="ITC Avant Garde" w:eastAsiaTheme="minorHAnsi" w:hAnsi="ITC Avant Garde" w:cstheme="minorBidi"/>
                <w:color w:val="auto"/>
                <w:sz w:val="18"/>
                <w:szCs w:val="18"/>
                <w:bdr w:val="none" w:sz="0" w:space="0" w:color="auto"/>
                <w:lang w:val="es-MX" w:eastAsia="en-US"/>
              </w:rPr>
              <w:t>e</w:t>
            </w:r>
            <w:r w:rsidR="00866A55" w:rsidRPr="0030071B">
              <w:rPr>
                <w:rFonts w:ascii="ITC Avant Garde" w:eastAsiaTheme="minorHAnsi" w:hAnsi="ITC Avant Garde" w:cstheme="minorBidi"/>
                <w:color w:val="auto"/>
                <w:sz w:val="18"/>
                <w:szCs w:val="18"/>
                <w:bdr w:val="none" w:sz="0" w:space="0" w:color="auto"/>
                <w:lang w:val="es-MX" w:eastAsia="en-US"/>
              </w:rPr>
              <w:t>l 12 de noviembre de 2014</w:t>
            </w:r>
            <w:r w:rsidR="00866A55">
              <w:rPr>
                <w:rFonts w:ascii="ITC Avant Garde" w:eastAsiaTheme="minorHAnsi" w:hAnsi="ITC Avant Garde" w:cstheme="minorBidi"/>
                <w:color w:val="auto"/>
                <w:sz w:val="18"/>
                <w:szCs w:val="18"/>
                <w:bdr w:val="none" w:sz="0" w:space="0" w:color="auto"/>
                <w:lang w:val="es-MX" w:eastAsia="en-US"/>
              </w:rPr>
              <w:t>.</w:t>
            </w:r>
            <w:r w:rsidR="00832B4C">
              <w:rPr>
                <w:rFonts w:ascii="ITC Avant Garde" w:eastAsiaTheme="minorHAnsi" w:hAnsi="ITC Avant Garde" w:cstheme="minorBidi"/>
                <w:color w:val="auto"/>
                <w:sz w:val="18"/>
                <w:szCs w:val="18"/>
                <w:bdr w:val="none" w:sz="0" w:space="0" w:color="auto"/>
                <w:lang w:val="es-MX" w:eastAsia="en-US"/>
              </w:rPr>
              <w:t xml:space="preserve"> Disponible en: </w:t>
            </w:r>
            <w:hyperlink r:id="rId14" w:anchor="gsc.tab=0" w:history="1">
              <w:r w:rsidR="00587847" w:rsidRPr="00391014">
                <w:rPr>
                  <w:rStyle w:val="Hipervnculo"/>
                  <w:rFonts w:ascii="ITC Avant Garde" w:eastAsiaTheme="minorHAnsi" w:hAnsi="ITC Avant Garde" w:cstheme="minorBidi"/>
                  <w:sz w:val="18"/>
                  <w:szCs w:val="18"/>
                  <w:bdr w:val="none" w:sz="0" w:space="0" w:color="auto"/>
                  <w:lang w:val="es-MX" w:eastAsia="en-US"/>
                </w:rPr>
                <w:t>https://www.dof.gob.mx/nota_detalle.php?codigo=5368027&amp;fecha=12/11/2014#gsc.tab=0</w:t>
              </w:r>
            </w:hyperlink>
          </w:p>
          <w:p w14:paraId="24042B8B" w14:textId="79703FB5" w:rsidR="00230A23" w:rsidRPr="00E2244D" w:rsidRDefault="00230A23"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30A23">
              <w:rPr>
                <w:rFonts w:ascii="ITC Avant Garde" w:eastAsiaTheme="minorHAnsi" w:hAnsi="ITC Avant Garde" w:cstheme="minorBidi"/>
                <w:color w:val="auto"/>
                <w:sz w:val="18"/>
                <w:szCs w:val="18"/>
                <w:bdr w:val="none" w:sz="0" w:space="0" w:color="auto"/>
                <w:lang w:val="es-ES" w:eastAsia="en-US"/>
              </w:rPr>
              <w:lastRenderedPageBreak/>
              <w:t>Acuerdo mediante el cual el Pleno del Instituto Federal de Telecomunicaciones modifica las Reglas de Portabilidad Numérica publicadas el 12 de noviembre de 2014, así como el Plan Técnico Fundamental de Numeración publicado el 21 de junio de 1996</w:t>
            </w:r>
            <w:r>
              <w:rPr>
                <w:rFonts w:ascii="ITC Avant Garde" w:eastAsiaTheme="minorHAnsi" w:hAnsi="ITC Avant Garde" w:cstheme="minorBidi"/>
                <w:color w:val="auto"/>
                <w:sz w:val="18"/>
                <w:szCs w:val="18"/>
                <w:bdr w:val="none" w:sz="0" w:space="0" w:color="auto"/>
                <w:lang w:val="es-ES"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Pr>
                <w:rFonts w:ascii="ITC Avant Garde" w:eastAsiaTheme="minorHAnsi" w:hAnsi="ITC Avant Garde" w:cstheme="minorBidi"/>
                <w:color w:val="auto"/>
                <w:sz w:val="18"/>
                <w:szCs w:val="18"/>
                <w:bdr w:val="none" w:sz="0" w:space="0" w:color="auto"/>
                <w:lang w:val="es-MX" w:eastAsia="en-US"/>
              </w:rPr>
              <w:t>e</w:t>
            </w:r>
            <w:r w:rsidRPr="0030071B">
              <w:rPr>
                <w:rFonts w:ascii="ITC Avant Garde" w:eastAsiaTheme="minorHAnsi" w:hAnsi="ITC Avant Garde" w:cstheme="minorBidi"/>
                <w:color w:val="auto"/>
                <w:sz w:val="18"/>
                <w:szCs w:val="18"/>
                <w:bdr w:val="none" w:sz="0" w:space="0" w:color="auto"/>
                <w:lang w:val="es-MX" w:eastAsia="en-US"/>
              </w:rPr>
              <w:t>l</w:t>
            </w:r>
            <w:r w:rsidRPr="00230A23">
              <w:rPr>
                <w:rFonts w:ascii="ITC Avant Garde" w:eastAsiaTheme="minorHAnsi" w:hAnsi="ITC Avant Garde" w:cstheme="minorBidi"/>
                <w:color w:val="auto"/>
                <w:sz w:val="18"/>
                <w:szCs w:val="18"/>
                <w:bdr w:val="none" w:sz="0" w:space="0" w:color="auto"/>
                <w:lang w:val="es-ES" w:eastAsia="en-US"/>
              </w:rPr>
              <w:t xml:space="preserve"> 23 de junio de 2015</w:t>
            </w:r>
            <w:r>
              <w:rPr>
                <w:rFonts w:ascii="ITC Avant Garde" w:eastAsiaTheme="minorHAnsi" w:hAnsi="ITC Avant Garde" w:cstheme="minorBidi"/>
                <w:color w:val="auto"/>
                <w:sz w:val="18"/>
                <w:szCs w:val="18"/>
                <w:bdr w:val="none" w:sz="0" w:space="0" w:color="auto"/>
                <w:lang w:val="es-ES" w:eastAsia="en-US"/>
              </w:rPr>
              <w:t>.</w:t>
            </w:r>
            <w:r w:rsidRPr="00230A23">
              <w:rPr>
                <w:rFonts w:ascii="ITC Avant Garde" w:eastAsiaTheme="minorHAnsi" w:hAnsi="ITC Avant Garde" w:cstheme="minorBidi"/>
                <w:color w:val="auto"/>
                <w:sz w:val="18"/>
                <w:szCs w:val="18"/>
                <w:bdr w:val="none" w:sz="0" w:space="0" w:color="auto"/>
                <w:lang w:val="es-ES" w:eastAsia="en-US"/>
              </w:rPr>
              <w:t xml:space="preserve"> </w:t>
            </w:r>
            <w:r w:rsidR="00832B4C">
              <w:rPr>
                <w:rFonts w:ascii="ITC Avant Garde" w:eastAsiaTheme="minorHAnsi" w:hAnsi="ITC Avant Garde" w:cstheme="minorBidi"/>
                <w:color w:val="auto"/>
                <w:sz w:val="18"/>
                <w:szCs w:val="18"/>
                <w:bdr w:val="none" w:sz="0" w:space="0" w:color="auto"/>
                <w:lang w:val="es-ES" w:eastAsia="en-US"/>
              </w:rPr>
              <w:t xml:space="preserve">Disponible en: </w:t>
            </w:r>
            <w:hyperlink r:id="rId15" w:anchor="gsc.tab=0" w:history="1">
              <w:r w:rsidR="00587847" w:rsidRPr="00391014">
                <w:rPr>
                  <w:rStyle w:val="Hipervnculo"/>
                  <w:rFonts w:ascii="ITC Avant Garde" w:eastAsiaTheme="minorHAnsi" w:hAnsi="ITC Avant Garde" w:cstheme="minorBidi"/>
                  <w:sz w:val="18"/>
                  <w:szCs w:val="18"/>
                  <w:bdr w:val="none" w:sz="0" w:space="0" w:color="auto"/>
                  <w:lang w:val="es-ES" w:eastAsia="en-US"/>
                </w:rPr>
                <w:t>https://www.dof.gob.mx/nota_detalle.php?codigo=5397621&amp;fecha=23/06/2015#gsc.tab=0</w:t>
              </w:r>
            </w:hyperlink>
          </w:p>
          <w:p w14:paraId="224FD737" w14:textId="6248EC7A" w:rsidR="00304150" w:rsidRDefault="00304150"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11 de mayo de 2018</w:t>
            </w:r>
            <w:r w:rsidR="00832B4C">
              <w:rPr>
                <w:rFonts w:ascii="ITC Avant Garde" w:eastAsiaTheme="minorHAnsi" w:hAnsi="ITC Avant Garde" w:cstheme="minorBidi"/>
                <w:color w:val="auto"/>
                <w:sz w:val="18"/>
                <w:szCs w:val="18"/>
                <w:bdr w:val="none" w:sz="0" w:space="0" w:color="auto"/>
                <w:lang w:val="es-MX" w:eastAsia="en-US"/>
              </w:rPr>
              <w:t xml:space="preserve">. Disponible en: </w:t>
            </w:r>
            <w:hyperlink r:id="rId16" w:anchor="gsc.tab=0" w:history="1">
              <w:r w:rsidR="00587847" w:rsidRPr="00391014">
                <w:rPr>
                  <w:rStyle w:val="Hipervnculo"/>
                  <w:rFonts w:ascii="ITC Avant Garde" w:eastAsiaTheme="minorHAnsi" w:hAnsi="ITC Avant Garde" w:cstheme="minorBidi"/>
                  <w:sz w:val="18"/>
                  <w:szCs w:val="18"/>
                  <w:bdr w:val="none" w:sz="0" w:space="0" w:color="auto"/>
                  <w:lang w:val="es-MX" w:eastAsia="en-US"/>
                </w:rPr>
                <w:t>https://www.dof.gob.mx/nota_detalle.php?codigo=5522388&amp;fecha=11/05/2018#gsc.tab=0</w:t>
              </w:r>
            </w:hyperlink>
          </w:p>
          <w:p w14:paraId="69CA5DBC" w14:textId="22A4E98D" w:rsidR="00304150" w:rsidRDefault="00304150"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Planes Técnicos Fundamentales de Numeración y Señalización, así como lo referente a las Reglas de Potabilidad Numérica, publicados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20 de marzo de 2019</w:t>
            </w:r>
            <w:r w:rsidR="00A76AFE">
              <w:rPr>
                <w:rFonts w:ascii="ITC Avant Garde" w:eastAsiaTheme="minorHAnsi" w:hAnsi="ITC Avant Garde" w:cstheme="minorBidi"/>
                <w:color w:val="auto"/>
                <w:sz w:val="18"/>
                <w:szCs w:val="18"/>
                <w:bdr w:val="none" w:sz="0" w:space="0" w:color="auto"/>
                <w:lang w:val="es-MX" w:eastAsia="en-US"/>
              </w:rPr>
              <w:t xml:space="preserve">. Disponible en: </w:t>
            </w:r>
            <w:hyperlink r:id="rId17" w:anchor="gsc.tab=0" w:history="1">
              <w:r w:rsidR="00587847" w:rsidRPr="00391014">
                <w:rPr>
                  <w:rStyle w:val="Hipervnculo"/>
                  <w:rFonts w:ascii="ITC Avant Garde" w:eastAsiaTheme="minorHAnsi" w:hAnsi="ITC Avant Garde" w:cstheme="minorBidi"/>
                  <w:sz w:val="18"/>
                  <w:szCs w:val="18"/>
                  <w:bdr w:val="none" w:sz="0" w:space="0" w:color="auto"/>
                  <w:lang w:val="es-MX" w:eastAsia="en-US"/>
                </w:rPr>
                <w:t>https://www.dof.gob.mx/nota_detalle.php?codigo=5554698&amp;fecha=20/03/2019#gsc.tab=0</w:t>
              </w:r>
            </w:hyperlink>
          </w:p>
          <w:p w14:paraId="1EC776AD" w14:textId="2BA088E9" w:rsidR="00304150" w:rsidRDefault="00304150"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el Plan Técnico Fundamental de Numeración, publicado en el Diario Oficial de la Federación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8F131B"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17 de julio de 2019</w:t>
            </w:r>
            <w:r w:rsidR="00D8427F">
              <w:rPr>
                <w:rFonts w:ascii="ITC Avant Garde" w:eastAsiaTheme="minorHAnsi" w:hAnsi="ITC Avant Garde" w:cstheme="minorBidi"/>
                <w:color w:val="auto"/>
                <w:sz w:val="18"/>
                <w:szCs w:val="18"/>
                <w:bdr w:val="none" w:sz="0" w:space="0" w:color="auto"/>
                <w:lang w:val="es-MX" w:eastAsia="en-US"/>
              </w:rPr>
              <w:t xml:space="preserve">. Disponible en: </w:t>
            </w:r>
            <w:hyperlink r:id="rId18" w:anchor="gsc.tab=0" w:history="1">
              <w:r w:rsidR="00587847" w:rsidRPr="00391014">
                <w:rPr>
                  <w:rStyle w:val="Hipervnculo"/>
                  <w:rFonts w:ascii="ITC Avant Garde" w:eastAsiaTheme="minorHAnsi" w:hAnsi="ITC Avant Garde" w:cstheme="minorBidi"/>
                  <w:sz w:val="18"/>
                  <w:szCs w:val="18"/>
                  <w:bdr w:val="none" w:sz="0" w:space="0" w:color="auto"/>
                  <w:lang w:val="es-MX" w:eastAsia="en-US"/>
                </w:rPr>
                <w:t>https://www.dof.gob.mx/nota_detalle.php?codigo=5565973&amp;fecha=17/07/2019#gsc.tab=0</w:t>
              </w:r>
            </w:hyperlink>
          </w:p>
          <w:p w14:paraId="3DB01628" w14:textId="48B11F72" w:rsidR="00272DC7" w:rsidRDefault="00272DC7"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72DC7">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w:t>
            </w:r>
            <w:r>
              <w:rPr>
                <w:rFonts w:ascii="ITC Avant Garde" w:eastAsiaTheme="minorHAnsi" w:hAnsi="ITC Avant Garde" w:cstheme="minorBidi"/>
                <w:color w:val="auto"/>
                <w:sz w:val="18"/>
                <w:szCs w:val="18"/>
                <w:bdr w:val="none" w:sz="0" w:space="0" w:color="auto"/>
                <w:lang w:val="es-MX" w:eastAsia="en-US"/>
              </w:rPr>
              <w:t>, publicado en el Diario Oficial de la Federación el 8 de noviembre de 2021.</w:t>
            </w:r>
            <w:r w:rsidR="00D8427F">
              <w:rPr>
                <w:rFonts w:ascii="ITC Avant Garde" w:eastAsiaTheme="minorHAnsi" w:hAnsi="ITC Avant Garde" w:cstheme="minorBidi"/>
                <w:color w:val="auto"/>
                <w:sz w:val="18"/>
                <w:szCs w:val="18"/>
                <w:bdr w:val="none" w:sz="0" w:space="0" w:color="auto"/>
                <w:lang w:val="es-MX" w:eastAsia="en-US"/>
              </w:rPr>
              <w:t xml:space="preserve"> Disponible en: </w:t>
            </w:r>
            <w:hyperlink r:id="rId19" w:anchor="gsc.tab=0" w:history="1">
              <w:r w:rsidR="00587847" w:rsidRPr="00391014">
                <w:rPr>
                  <w:rStyle w:val="Hipervnculo"/>
                  <w:rFonts w:ascii="ITC Avant Garde" w:eastAsiaTheme="minorHAnsi" w:hAnsi="ITC Avant Garde" w:cstheme="minorBidi"/>
                  <w:sz w:val="18"/>
                  <w:szCs w:val="18"/>
                  <w:bdr w:val="none" w:sz="0" w:space="0" w:color="auto"/>
                  <w:lang w:val="es-MX" w:eastAsia="en-US"/>
                </w:rPr>
                <w:t>https://www.dof.gob.mx/nota_detalle.php?codigo=5634739&amp;fecha=08/11/2021#gsc.tab=0</w:t>
              </w:r>
            </w:hyperlink>
          </w:p>
          <w:p w14:paraId="7CDC0B4D" w14:textId="4E103939" w:rsidR="00272DC7" w:rsidRPr="00587847" w:rsidRDefault="00C932CE" w:rsidP="00587847">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C932CE">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Planes Técnicos Fundamentales de Numeración y Señalización, publicados en el Diario Oficial de la Federación el 11 de mayo de 2018, así como las Reglas de Portabilidad Numérica, publicadas en el Diario Oficial de la Federación el 12 de noviembre de 2014, publicado en el Diario Oficial de la Federación el 24 de noviembre de 2023</w:t>
            </w:r>
            <w:r w:rsidR="00D8427F">
              <w:rPr>
                <w:rFonts w:ascii="ITC Avant Garde" w:eastAsiaTheme="minorHAnsi" w:hAnsi="ITC Avant Garde" w:cstheme="minorBidi"/>
                <w:color w:val="auto"/>
                <w:sz w:val="18"/>
                <w:szCs w:val="18"/>
                <w:bdr w:val="none" w:sz="0" w:space="0" w:color="auto"/>
                <w:lang w:val="es-MX" w:eastAsia="en-US"/>
              </w:rPr>
              <w:t xml:space="preserve">. Disponible en: </w:t>
            </w:r>
            <w:hyperlink r:id="rId20" w:anchor="gsc.tab=0" w:history="1">
              <w:r w:rsidR="00587847" w:rsidRPr="00391014">
                <w:rPr>
                  <w:rStyle w:val="Hipervnculo"/>
                  <w:rFonts w:ascii="ITC Avant Garde" w:eastAsiaTheme="minorHAnsi" w:hAnsi="ITC Avant Garde" w:cstheme="minorBidi"/>
                  <w:sz w:val="18"/>
                  <w:szCs w:val="18"/>
                  <w:bdr w:val="none" w:sz="0" w:space="0" w:color="auto"/>
                  <w:lang w:val="es-MX" w:eastAsia="en-US"/>
                </w:rPr>
                <w:t>https://www.dof.gob.mx/nota_detalle.php?codigo=5709447&amp;fecha=24/11/2023#gsc.tab=0</w:t>
              </w:r>
            </w:hyperlink>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66A5" w14:textId="77777777" w:rsidR="00E1077C" w:rsidRDefault="00E1077C" w:rsidP="00501ADF">
      <w:pPr>
        <w:spacing w:after="0" w:line="240" w:lineRule="auto"/>
      </w:pPr>
      <w:r>
        <w:separator/>
      </w:r>
    </w:p>
  </w:endnote>
  <w:endnote w:type="continuationSeparator" w:id="0">
    <w:p w14:paraId="048D060A" w14:textId="77777777" w:rsidR="00E1077C" w:rsidRDefault="00E1077C"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7BCF8F6F"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265043">
              <w:rPr>
                <w:b/>
                <w:bCs/>
                <w:noProof/>
                <w:sz w:val="20"/>
              </w:rPr>
              <w:t>5</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5D48" w14:textId="77777777" w:rsidR="00E1077C" w:rsidRDefault="00E1077C" w:rsidP="00501ADF">
      <w:pPr>
        <w:spacing w:after="0" w:line="240" w:lineRule="auto"/>
      </w:pPr>
      <w:r>
        <w:separator/>
      </w:r>
    </w:p>
  </w:footnote>
  <w:footnote w:type="continuationSeparator" w:id="0">
    <w:p w14:paraId="5FA6B751" w14:textId="77777777" w:rsidR="00E1077C" w:rsidRDefault="00E1077C" w:rsidP="00501ADF">
      <w:pPr>
        <w:spacing w:after="0" w:line="240" w:lineRule="auto"/>
      </w:pPr>
      <w:r>
        <w:continuationSeparator/>
      </w:r>
    </w:p>
  </w:footnote>
  <w:footnote w:id="1">
    <w:p w14:paraId="05EB7592" w14:textId="7C1FF113" w:rsidR="008E1AD3"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w:t>
      </w:r>
      <w:r w:rsidR="00B94F56">
        <w:rPr>
          <w:rFonts w:ascii="ITC Avant Garde" w:hAnsi="ITC Avant Garde"/>
          <w:sz w:val="16"/>
          <w:szCs w:val="16"/>
        </w:rPr>
        <w:t>de que se emita una resolución.</w:t>
      </w:r>
    </w:p>
    <w:p w14:paraId="70705C66" w14:textId="77777777" w:rsidR="00B94F56" w:rsidRPr="007C425A" w:rsidRDefault="00B94F56" w:rsidP="00BA4E93">
      <w:pPr>
        <w:pStyle w:val="Textonotapie"/>
        <w:jc w:val="both"/>
        <w:rPr>
          <w:rFonts w:ascii="ITC Avant Garde" w:hAnsi="ITC Avant Garde"/>
          <w:sz w:val="16"/>
          <w:szCs w:val="16"/>
        </w:rPr>
      </w:pP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3B24DC"/>
    <w:multiLevelType w:val="hybridMultilevel"/>
    <w:tmpl w:val="B0A8D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394626"/>
    <w:multiLevelType w:val="hybridMultilevel"/>
    <w:tmpl w:val="FB0C848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E729A1"/>
    <w:multiLevelType w:val="hybridMultilevel"/>
    <w:tmpl w:val="DB80788A"/>
    <w:lvl w:ilvl="0" w:tplc="27BCA956">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107EC"/>
    <w:rsid w:val="00011BE2"/>
    <w:rsid w:val="00021824"/>
    <w:rsid w:val="00021FB4"/>
    <w:rsid w:val="00040A9F"/>
    <w:rsid w:val="00042C47"/>
    <w:rsid w:val="00044D30"/>
    <w:rsid w:val="00046665"/>
    <w:rsid w:val="00055431"/>
    <w:rsid w:val="00056AE8"/>
    <w:rsid w:val="00056CBE"/>
    <w:rsid w:val="000600B6"/>
    <w:rsid w:val="00060B6A"/>
    <w:rsid w:val="00062FAA"/>
    <w:rsid w:val="0006478F"/>
    <w:rsid w:val="00067DAE"/>
    <w:rsid w:val="00074B25"/>
    <w:rsid w:val="0008149E"/>
    <w:rsid w:val="0008542D"/>
    <w:rsid w:val="00085D19"/>
    <w:rsid w:val="000A4428"/>
    <w:rsid w:val="000B4BF7"/>
    <w:rsid w:val="000B6749"/>
    <w:rsid w:val="000C16BC"/>
    <w:rsid w:val="000C3E5D"/>
    <w:rsid w:val="000D401B"/>
    <w:rsid w:val="000D649B"/>
    <w:rsid w:val="000E4C0F"/>
    <w:rsid w:val="000E6A13"/>
    <w:rsid w:val="000F3A5D"/>
    <w:rsid w:val="000F669B"/>
    <w:rsid w:val="0010698B"/>
    <w:rsid w:val="001106AE"/>
    <w:rsid w:val="001178D9"/>
    <w:rsid w:val="00123D31"/>
    <w:rsid w:val="00125BFB"/>
    <w:rsid w:val="00131AE2"/>
    <w:rsid w:val="0014119A"/>
    <w:rsid w:val="0014159C"/>
    <w:rsid w:val="001435EA"/>
    <w:rsid w:val="00144F23"/>
    <w:rsid w:val="00147C6B"/>
    <w:rsid w:val="00150559"/>
    <w:rsid w:val="001525EA"/>
    <w:rsid w:val="00152C97"/>
    <w:rsid w:val="00162F3F"/>
    <w:rsid w:val="00177F7B"/>
    <w:rsid w:val="00181A32"/>
    <w:rsid w:val="00182543"/>
    <w:rsid w:val="00182F9C"/>
    <w:rsid w:val="00184C7B"/>
    <w:rsid w:val="001910E8"/>
    <w:rsid w:val="001932FC"/>
    <w:rsid w:val="001979AB"/>
    <w:rsid w:val="001A0B05"/>
    <w:rsid w:val="001A7400"/>
    <w:rsid w:val="001B2EE7"/>
    <w:rsid w:val="001B4A51"/>
    <w:rsid w:val="001C33BF"/>
    <w:rsid w:val="001C6869"/>
    <w:rsid w:val="001D3C28"/>
    <w:rsid w:val="001E26FE"/>
    <w:rsid w:val="001E5792"/>
    <w:rsid w:val="001F31F8"/>
    <w:rsid w:val="001F32F3"/>
    <w:rsid w:val="001F56D5"/>
    <w:rsid w:val="002026A5"/>
    <w:rsid w:val="0020307B"/>
    <w:rsid w:val="00206C6C"/>
    <w:rsid w:val="00211C96"/>
    <w:rsid w:val="002150FB"/>
    <w:rsid w:val="0021791E"/>
    <w:rsid w:val="00224B33"/>
    <w:rsid w:val="00230A23"/>
    <w:rsid w:val="0023764E"/>
    <w:rsid w:val="00247B33"/>
    <w:rsid w:val="00262122"/>
    <w:rsid w:val="00265043"/>
    <w:rsid w:val="00266C17"/>
    <w:rsid w:val="00272DC7"/>
    <w:rsid w:val="00282CF4"/>
    <w:rsid w:val="002840F7"/>
    <w:rsid w:val="00286496"/>
    <w:rsid w:val="00295E97"/>
    <w:rsid w:val="002A47B8"/>
    <w:rsid w:val="002B4246"/>
    <w:rsid w:val="002C038C"/>
    <w:rsid w:val="002C5DD3"/>
    <w:rsid w:val="002D28C7"/>
    <w:rsid w:val="002D35C7"/>
    <w:rsid w:val="002D4791"/>
    <w:rsid w:val="002E34C3"/>
    <w:rsid w:val="002E56F1"/>
    <w:rsid w:val="0030055F"/>
    <w:rsid w:val="0030066A"/>
    <w:rsid w:val="0030071B"/>
    <w:rsid w:val="0030281E"/>
    <w:rsid w:val="00302AC9"/>
    <w:rsid w:val="003039BF"/>
    <w:rsid w:val="00304150"/>
    <w:rsid w:val="00304F52"/>
    <w:rsid w:val="003057AE"/>
    <w:rsid w:val="003103A6"/>
    <w:rsid w:val="00323167"/>
    <w:rsid w:val="00323E3E"/>
    <w:rsid w:val="00333B41"/>
    <w:rsid w:val="00342B04"/>
    <w:rsid w:val="00345E0B"/>
    <w:rsid w:val="00364950"/>
    <w:rsid w:val="00372BF7"/>
    <w:rsid w:val="00375F17"/>
    <w:rsid w:val="0039169A"/>
    <w:rsid w:val="00393251"/>
    <w:rsid w:val="003949C0"/>
    <w:rsid w:val="003A72BC"/>
    <w:rsid w:val="003B48A5"/>
    <w:rsid w:val="003C5DFB"/>
    <w:rsid w:val="003D43BA"/>
    <w:rsid w:val="003D5D98"/>
    <w:rsid w:val="003E1D84"/>
    <w:rsid w:val="003F05BA"/>
    <w:rsid w:val="003F05E7"/>
    <w:rsid w:val="003F1542"/>
    <w:rsid w:val="003F2071"/>
    <w:rsid w:val="004013A3"/>
    <w:rsid w:val="0041521B"/>
    <w:rsid w:val="004226AE"/>
    <w:rsid w:val="00424B77"/>
    <w:rsid w:val="00433279"/>
    <w:rsid w:val="004335F4"/>
    <w:rsid w:val="004441F5"/>
    <w:rsid w:val="00444A01"/>
    <w:rsid w:val="00446247"/>
    <w:rsid w:val="00451B7D"/>
    <w:rsid w:val="004603F7"/>
    <w:rsid w:val="00465BBF"/>
    <w:rsid w:val="00466036"/>
    <w:rsid w:val="0047021A"/>
    <w:rsid w:val="0047660B"/>
    <w:rsid w:val="0049127C"/>
    <w:rsid w:val="00491B60"/>
    <w:rsid w:val="004970F0"/>
    <w:rsid w:val="004A7C30"/>
    <w:rsid w:val="004B5C20"/>
    <w:rsid w:val="004B6836"/>
    <w:rsid w:val="004B6CC7"/>
    <w:rsid w:val="004C2806"/>
    <w:rsid w:val="004C3543"/>
    <w:rsid w:val="004C7F92"/>
    <w:rsid w:val="004D13A4"/>
    <w:rsid w:val="004D360A"/>
    <w:rsid w:val="004E0AA9"/>
    <w:rsid w:val="004E0DA9"/>
    <w:rsid w:val="004E0F1D"/>
    <w:rsid w:val="004E50DB"/>
    <w:rsid w:val="004E7DC3"/>
    <w:rsid w:val="00500123"/>
    <w:rsid w:val="00500184"/>
    <w:rsid w:val="00501A52"/>
    <w:rsid w:val="00501ADF"/>
    <w:rsid w:val="00501B92"/>
    <w:rsid w:val="00503966"/>
    <w:rsid w:val="00504D19"/>
    <w:rsid w:val="0050672D"/>
    <w:rsid w:val="005070C3"/>
    <w:rsid w:val="00517B64"/>
    <w:rsid w:val="00525271"/>
    <w:rsid w:val="005309A3"/>
    <w:rsid w:val="005319D5"/>
    <w:rsid w:val="005364EF"/>
    <w:rsid w:val="00536893"/>
    <w:rsid w:val="00542AC7"/>
    <w:rsid w:val="00552C3D"/>
    <w:rsid w:val="00572B32"/>
    <w:rsid w:val="00585269"/>
    <w:rsid w:val="00587847"/>
    <w:rsid w:val="00587FEF"/>
    <w:rsid w:val="005915CE"/>
    <w:rsid w:val="00591D4F"/>
    <w:rsid w:val="00596FDE"/>
    <w:rsid w:val="005A06B2"/>
    <w:rsid w:val="005A3912"/>
    <w:rsid w:val="005A40FB"/>
    <w:rsid w:val="005A4269"/>
    <w:rsid w:val="005A4F42"/>
    <w:rsid w:val="005A717C"/>
    <w:rsid w:val="005B2C92"/>
    <w:rsid w:val="005C44A8"/>
    <w:rsid w:val="005D297B"/>
    <w:rsid w:val="005D455D"/>
    <w:rsid w:val="005E01F5"/>
    <w:rsid w:val="005F1777"/>
    <w:rsid w:val="00617951"/>
    <w:rsid w:val="00620113"/>
    <w:rsid w:val="006220C6"/>
    <w:rsid w:val="00623EB8"/>
    <w:rsid w:val="00634DE8"/>
    <w:rsid w:val="00641D09"/>
    <w:rsid w:val="006431EB"/>
    <w:rsid w:val="00647FB6"/>
    <w:rsid w:val="006549D4"/>
    <w:rsid w:val="006609D5"/>
    <w:rsid w:val="006717D5"/>
    <w:rsid w:val="00681C6C"/>
    <w:rsid w:val="0068307E"/>
    <w:rsid w:val="006A3A0E"/>
    <w:rsid w:val="006A5680"/>
    <w:rsid w:val="006A6C15"/>
    <w:rsid w:val="006C66E0"/>
    <w:rsid w:val="006C6900"/>
    <w:rsid w:val="006D412A"/>
    <w:rsid w:val="006D7556"/>
    <w:rsid w:val="006D7A08"/>
    <w:rsid w:val="006F3D68"/>
    <w:rsid w:val="00700E9A"/>
    <w:rsid w:val="007018A1"/>
    <w:rsid w:val="00710A5D"/>
    <w:rsid w:val="00712636"/>
    <w:rsid w:val="007130A3"/>
    <w:rsid w:val="00714252"/>
    <w:rsid w:val="00721854"/>
    <w:rsid w:val="00725DE7"/>
    <w:rsid w:val="007270FC"/>
    <w:rsid w:val="00733325"/>
    <w:rsid w:val="00742377"/>
    <w:rsid w:val="0074323F"/>
    <w:rsid w:val="0074776A"/>
    <w:rsid w:val="00751052"/>
    <w:rsid w:val="00760FBD"/>
    <w:rsid w:val="0076488A"/>
    <w:rsid w:val="00765DA1"/>
    <w:rsid w:val="00783D69"/>
    <w:rsid w:val="00790133"/>
    <w:rsid w:val="007906D0"/>
    <w:rsid w:val="00793772"/>
    <w:rsid w:val="007A37D6"/>
    <w:rsid w:val="007A75A4"/>
    <w:rsid w:val="007B23C8"/>
    <w:rsid w:val="007C0F20"/>
    <w:rsid w:val="007C425A"/>
    <w:rsid w:val="007D4E5B"/>
    <w:rsid w:val="007E4250"/>
    <w:rsid w:val="007E5807"/>
    <w:rsid w:val="007F18A6"/>
    <w:rsid w:val="007F37BF"/>
    <w:rsid w:val="007F5D16"/>
    <w:rsid w:val="007F6D6D"/>
    <w:rsid w:val="00801FED"/>
    <w:rsid w:val="00804F49"/>
    <w:rsid w:val="008135FB"/>
    <w:rsid w:val="008145B1"/>
    <w:rsid w:val="00814A48"/>
    <w:rsid w:val="008206B9"/>
    <w:rsid w:val="008215EE"/>
    <w:rsid w:val="008231CD"/>
    <w:rsid w:val="00827470"/>
    <w:rsid w:val="00832B4C"/>
    <w:rsid w:val="0083573E"/>
    <w:rsid w:val="00842E2B"/>
    <w:rsid w:val="0084560D"/>
    <w:rsid w:val="00853D04"/>
    <w:rsid w:val="00855BF0"/>
    <w:rsid w:val="00855FA5"/>
    <w:rsid w:val="00860D63"/>
    <w:rsid w:val="00860EAF"/>
    <w:rsid w:val="008658BC"/>
    <w:rsid w:val="0086684A"/>
    <w:rsid w:val="00866A55"/>
    <w:rsid w:val="00870931"/>
    <w:rsid w:val="00876D05"/>
    <w:rsid w:val="0089319E"/>
    <w:rsid w:val="008A1704"/>
    <w:rsid w:val="008A2605"/>
    <w:rsid w:val="008A48B0"/>
    <w:rsid w:val="008B7CF5"/>
    <w:rsid w:val="008C6578"/>
    <w:rsid w:val="008C6F09"/>
    <w:rsid w:val="008C76AF"/>
    <w:rsid w:val="008D5E3D"/>
    <w:rsid w:val="008D6437"/>
    <w:rsid w:val="008E1AD3"/>
    <w:rsid w:val="008E3011"/>
    <w:rsid w:val="008E48F5"/>
    <w:rsid w:val="008F0A9A"/>
    <w:rsid w:val="008F131B"/>
    <w:rsid w:val="008F3DD4"/>
    <w:rsid w:val="00904FBE"/>
    <w:rsid w:val="009058DB"/>
    <w:rsid w:val="00906AA8"/>
    <w:rsid w:val="00911216"/>
    <w:rsid w:val="009134CD"/>
    <w:rsid w:val="009266C0"/>
    <w:rsid w:val="00930980"/>
    <w:rsid w:val="009349DD"/>
    <w:rsid w:val="009442FD"/>
    <w:rsid w:val="00946B4C"/>
    <w:rsid w:val="00950296"/>
    <w:rsid w:val="00957CA5"/>
    <w:rsid w:val="009656B1"/>
    <w:rsid w:val="009806B7"/>
    <w:rsid w:val="00986E23"/>
    <w:rsid w:val="00990938"/>
    <w:rsid w:val="009A4912"/>
    <w:rsid w:val="009C3539"/>
    <w:rsid w:val="009C79A7"/>
    <w:rsid w:val="009D10E1"/>
    <w:rsid w:val="009D4B7A"/>
    <w:rsid w:val="009D5C70"/>
    <w:rsid w:val="009D73E5"/>
    <w:rsid w:val="009E2E36"/>
    <w:rsid w:val="009E2F03"/>
    <w:rsid w:val="009E4C3E"/>
    <w:rsid w:val="009E513E"/>
    <w:rsid w:val="009F237F"/>
    <w:rsid w:val="009F6097"/>
    <w:rsid w:val="00A07BD0"/>
    <w:rsid w:val="00A14D75"/>
    <w:rsid w:val="00A1622C"/>
    <w:rsid w:val="00A244A5"/>
    <w:rsid w:val="00A3349D"/>
    <w:rsid w:val="00A345D3"/>
    <w:rsid w:val="00A67316"/>
    <w:rsid w:val="00A709BF"/>
    <w:rsid w:val="00A7211D"/>
    <w:rsid w:val="00A73202"/>
    <w:rsid w:val="00A73AD8"/>
    <w:rsid w:val="00A7440F"/>
    <w:rsid w:val="00A76AFE"/>
    <w:rsid w:val="00A81C3A"/>
    <w:rsid w:val="00A855B0"/>
    <w:rsid w:val="00AA4CB3"/>
    <w:rsid w:val="00AB4306"/>
    <w:rsid w:val="00AC4F79"/>
    <w:rsid w:val="00AC5AC6"/>
    <w:rsid w:val="00AD3E6B"/>
    <w:rsid w:val="00AE0B54"/>
    <w:rsid w:val="00B01055"/>
    <w:rsid w:val="00B105BE"/>
    <w:rsid w:val="00B22A5A"/>
    <w:rsid w:val="00B2360F"/>
    <w:rsid w:val="00B23AB5"/>
    <w:rsid w:val="00B24AB5"/>
    <w:rsid w:val="00B32137"/>
    <w:rsid w:val="00B32DDD"/>
    <w:rsid w:val="00B41294"/>
    <w:rsid w:val="00B41497"/>
    <w:rsid w:val="00B43D57"/>
    <w:rsid w:val="00B46736"/>
    <w:rsid w:val="00B6461E"/>
    <w:rsid w:val="00B71ADA"/>
    <w:rsid w:val="00B74C55"/>
    <w:rsid w:val="00B74F10"/>
    <w:rsid w:val="00B77B4B"/>
    <w:rsid w:val="00B82763"/>
    <w:rsid w:val="00B84187"/>
    <w:rsid w:val="00B94F56"/>
    <w:rsid w:val="00BA0F10"/>
    <w:rsid w:val="00BA4E93"/>
    <w:rsid w:val="00BA5B4A"/>
    <w:rsid w:val="00BB73BA"/>
    <w:rsid w:val="00BB7A79"/>
    <w:rsid w:val="00BC1863"/>
    <w:rsid w:val="00BC28B8"/>
    <w:rsid w:val="00BC2FF7"/>
    <w:rsid w:val="00BC354D"/>
    <w:rsid w:val="00BC4426"/>
    <w:rsid w:val="00BC6584"/>
    <w:rsid w:val="00BE3A96"/>
    <w:rsid w:val="00BE7D1C"/>
    <w:rsid w:val="00BF47C3"/>
    <w:rsid w:val="00C16628"/>
    <w:rsid w:val="00C16E93"/>
    <w:rsid w:val="00C2119A"/>
    <w:rsid w:val="00C346EE"/>
    <w:rsid w:val="00C37872"/>
    <w:rsid w:val="00C510BF"/>
    <w:rsid w:val="00C51F8C"/>
    <w:rsid w:val="00C5305E"/>
    <w:rsid w:val="00C53388"/>
    <w:rsid w:val="00C5470D"/>
    <w:rsid w:val="00C6683C"/>
    <w:rsid w:val="00C77C95"/>
    <w:rsid w:val="00C82D23"/>
    <w:rsid w:val="00C917FC"/>
    <w:rsid w:val="00C932CE"/>
    <w:rsid w:val="00C957EE"/>
    <w:rsid w:val="00C95F0B"/>
    <w:rsid w:val="00CA2299"/>
    <w:rsid w:val="00CB6924"/>
    <w:rsid w:val="00CC12AF"/>
    <w:rsid w:val="00CE234F"/>
    <w:rsid w:val="00CE2EA1"/>
    <w:rsid w:val="00D02DA9"/>
    <w:rsid w:val="00D0386B"/>
    <w:rsid w:val="00D06C55"/>
    <w:rsid w:val="00D06DEE"/>
    <w:rsid w:val="00D17A58"/>
    <w:rsid w:val="00D221B5"/>
    <w:rsid w:val="00D23BD5"/>
    <w:rsid w:val="00D240FC"/>
    <w:rsid w:val="00D270C4"/>
    <w:rsid w:val="00D30CBD"/>
    <w:rsid w:val="00D31AE9"/>
    <w:rsid w:val="00D55CA7"/>
    <w:rsid w:val="00D67E6D"/>
    <w:rsid w:val="00D74AC3"/>
    <w:rsid w:val="00D74E86"/>
    <w:rsid w:val="00D8281E"/>
    <w:rsid w:val="00D83C89"/>
    <w:rsid w:val="00D8427F"/>
    <w:rsid w:val="00D84B80"/>
    <w:rsid w:val="00D855EF"/>
    <w:rsid w:val="00DA01A6"/>
    <w:rsid w:val="00DA7BF8"/>
    <w:rsid w:val="00DB01FA"/>
    <w:rsid w:val="00DB0A05"/>
    <w:rsid w:val="00DB4692"/>
    <w:rsid w:val="00DC488B"/>
    <w:rsid w:val="00DC5631"/>
    <w:rsid w:val="00DD07D9"/>
    <w:rsid w:val="00DD609E"/>
    <w:rsid w:val="00DE198C"/>
    <w:rsid w:val="00DE6F24"/>
    <w:rsid w:val="00DF08F8"/>
    <w:rsid w:val="00E036B1"/>
    <w:rsid w:val="00E046F4"/>
    <w:rsid w:val="00E1077C"/>
    <w:rsid w:val="00E16506"/>
    <w:rsid w:val="00E21B49"/>
    <w:rsid w:val="00E2244D"/>
    <w:rsid w:val="00E266E0"/>
    <w:rsid w:val="00E27972"/>
    <w:rsid w:val="00E354C1"/>
    <w:rsid w:val="00E45263"/>
    <w:rsid w:val="00E517AC"/>
    <w:rsid w:val="00E559DA"/>
    <w:rsid w:val="00E6080B"/>
    <w:rsid w:val="00E6650D"/>
    <w:rsid w:val="00E71880"/>
    <w:rsid w:val="00E74348"/>
    <w:rsid w:val="00E768BA"/>
    <w:rsid w:val="00E8340B"/>
    <w:rsid w:val="00E86D03"/>
    <w:rsid w:val="00E94FB3"/>
    <w:rsid w:val="00E96D28"/>
    <w:rsid w:val="00EB0C48"/>
    <w:rsid w:val="00EB0D4B"/>
    <w:rsid w:val="00EB701D"/>
    <w:rsid w:val="00ED232B"/>
    <w:rsid w:val="00EE42D7"/>
    <w:rsid w:val="00EE6FE8"/>
    <w:rsid w:val="00F008D0"/>
    <w:rsid w:val="00F03289"/>
    <w:rsid w:val="00F17D50"/>
    <w:rsid w:val="00F31821"/>
    <w:rsid w:val="00F342A4"/>
    <w:rsid w:val="00F35A0C"/>
    <w:rsid w:val="00F424EE"/>
    <w:rsid w:val="00F431E4"/>
    <w:rsid w:val="00F500C9"/>
    <w:rsid w:val="00F67BA3"/>
    <w:rsid w:val="00F72CC2"/>
    <w:rsid w:val="00F75427"/>
    <w:rsid w:val="00F75A99"/>
    <w:rsid w:val="00F75C80"/>
    <w:rsid w:val="00F81CDA"/>
    <w:rsid w:val="00F87AAA"/>
    <w:rsid w:val="00F9299E"/>
    <w:rsid w:val="00F93016"/>
    <w:rsid w:val="00F94A28"/>
    <w:rsid w:val="00FB158A"/>
    <w:rsid w:val="00FB1B7A"/>
    <w:rsid w:val="00FB4FEA"/>
    <w:rsid w:val="00FB58BA"/>
    <w:rsid w:val="00FC7BDF"/>
    <w:rsid w:val="00FD121A"/>
    <w:rsid w:val="00FE174F"/>
    <w:rsid w:val="00FF46F5"/>
    <w:rsid w:val="00FF6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nhideWhenUsed/>
    <w:rsid w:val="008135FB"/>
    <w:pPr>
      <w:spacing w:line="240" w:lineRule="auto"/>
    </w:pPr>
    <w:rPr>
      <w:sz w:val="20"/>
      <w:szCs w:val="20"/>
    </w:rPr>
  </w:style>
  <w:style w:type="character" w:customStyle="1" w:styleId="TextocomentarioCar">
    <w:name w:val="Texto comentario Car"/>
    <w:basedOn w:val="Fuentedeprrafopredeter"/>
    <w:link w:val="Textocomentario"/>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EntuizerCuerpo">
    <w:name w:val="Entuizer Cuerpo"/>
    <w:basedOn w:val="Normal"/>
    <w:qFormat/>
    <w:rsid w:val="00700E9A"/>
    <w:pPr>
      <w:pBdr>
        <w:top w:val="nil"/>
        <w:left w:val="nil"/>
        <w:bottom w:val="nil"/>
        <w:right w:val="nil"/>
        <w:between w:val="nil"/>
        <w:bar w:val="nil"/>
      </w:pBdr>
      <w:spacing w:before="60" w:after="0" w:line="276" w:lineRule="auto"/>
      <w:jc w:val="both"/>
    </w:pPr>
    <w:rPr>
      <w:rFonts w:ascii="Calibri Light" w:eastAsia="Helvetica Neue Light" w:hAnsi="Calibri Light" w:cs="Helvetica Neue Light"/>
      <w:color w:val="000000"/>
      <w:sz w:val="24"/>
      <w:szCs w:val="24"/>
      <w:bdr w:val="nil"/>
      <w:lang w:val="es-ES_tradnl" w:eastAsia="es-ES"/>
    </w:rPr>
  </w:style>
  <w:style w:type="character" w:customStyle="1" w:styleId="PrrafodelistaCar">
    <w:name w:val="Párrafo de lista Car"/>
    <w:link w:val="Prrafodelista"/>
    <w:uiPriority w:val="34"/>
    <w:locked/>
    <w:rsid w:val="00700E9A"/>
  </w:style>
  <w:style w:type="paragraph" w:customStyle="1" w:styleId="Texto">
    <w:name w:val="Texto"/>
    <w:basedOn w:val="Normal"/>
    <w:link w:val="TextoCar"/>
    <w:rsid w:val="00A7440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7440F"/>
    <w:rPr>
      <w:rFonts w:ascii="Arial" w:eastAsia="Times New Roman" w:hAnsi="Arial" w:cs="Arial"/>
      <w:sz w:val="18"/>
      <w:szCs w:val="20"/>
      <w:lang w:val="es-ES" w:eastAsia="es-ES"/>
    </w:rPr>
  </w:style>
  <w:style w:type="paragraph" w:customStyle="1" w:styleId="texto0">
    <w:name w:val="texto"/>
    <w:basedOn w:val="Normal"/>
    <w:rsid w:val="007B23C8"/>
    <w:pPr>
      <w:snapToGrid w:val="0"/>
      <w:spacing w:after="101" w:line="216" w:lineRule="exact"/>
      <w:ind w:firstLine="288"/>
      <w:jc w:val="both"/>
    </w:pPr>
    <w:rPr>
      <w:rFonts w:ascii="Arial" w:eastAsia="Times New Roman" w:hAnsi="Arial" w:cs="Arial"/>
      <w:sz w:val="18"/>
      <w:szCs w:val="18"/>
      <w:lang w:eastAsia="es-ES"/>
    </w:rPr>
  </w:style>
  <w:style w:type="character" w:styleId="Mencinsinresolver">
    <w:name w:val="Unresolved Mention"/>
    <w:basedOn w:val="Fuentedeprrafopredeter"/>
    <w:uiPriority w:val="99"/>
    <w:semiHidden/>
    <w:unhideWhenUsed/>
    <w:rsid w:val="002B4246"/>
    <w:rPr>
      <w:color w:val="605E5C"/>
      <w:shd w:val="clear" w:color="auto" w:fill="E1DFDD"/>
    </w:rPr>
  </w:style>
  <w:style w:type="character" w:styleId="Hipervnculovisitado">
    <w:name w:val="FollowedHyperlink"/>
    <w:basedOn w:val="Fuentedeprrafopredeter"/>
    <w:uiPriority w:val="99"/>
    <w:semiHidden/>
    <w:unhideWhenUsed/>
    <w:rsid w:val="00E036B1"/>
    <w:rPr>
      <w:color w:val="954F72" w:themeColor="followedHyperlink"/>
      <w:u w:val="single"/>
    </w:rPr>
  </w:style>
  <w:style w:type="character" w:styleId="nfasis">
    <w:name w:val="Emphasis"/>
    <w:basedOn w:val="Fuentedeprrafopredeter"/>
    <w:uiPriority w:val="20"/>
    <w:qFormat/>
    <w:rsid w:val="00542A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4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f.gob.mx/nota_detalle.php?codigo=5214310&amp;fecha=14/10/2011" TargetMode="External"/><Relationship Id="rId18" Type="http://schemas.openxmlformats.org/officeDocument/2006/relationships/hyperlink" Target="https://www.dof.gob.mx/nota_detalle.php?codigo=5565973&amp;fecha=17/07/201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of.gob.mx/nota_to_imagen_fs.php?codnota=4889297&amp;fecha=21/06/1996&amp;cod_diario=209528" TargetMode="External"/><Relationship Id="rId17" Type="http://schemas.openxmlformats.org/officeDocument/2006/relationships/hyperlink" Target="https://www.dof.gob.mx/nota_detalle.php?codigo=5554698&amp;fecha=20/03/20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f.gob.mx/nota_detalle.php?codigo=5522388&amp;fecha=11/05/2018" TargetMode="External"/><Relationship Id="rId20" Type="http://schemas.openxmlformats.org/officeDocument/2006/relationships/hyperlink" Target="https://www.dof.gob.mx/nota_detalle.php?codigo=5709447&amp;fecha=24/11/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to_imagen_fs.php?codnota=4889295&amp;fecha=21/06/1996&amp;cod_diario=209528"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dof.gob.mx/nota_detalle.php?codigo=5397621&amp;fecha=23/06/201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f.gob.mx/nota_detalle.php?codigo=5634739&amp;fecha=08/11/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f.gob.mx/nota_detalle.php?codigo=5368027&amp;fecha=12/11/2014"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43AB1"/>
    <w:rsid w:val="00055F24"/>
    <w:rsid w:val="000970D1"/>
    <w:rsid w:val="00126D9F"/>
    <w:rsid w:val="00131BAD"/>
    <w:rsid w:val="00156B10"/>
    <w:rsid w:val="00162398"/>
    <w:rsid w:val="00175213"/>
    <w:rsid w:val="00180921"/>
    <w:rsid w:val="001A5A9C"/>
    <w:rsid w:val="001B4064"/>
    <w:rsid w:val="001D35B4"/>
    <w:rsid w:val="001F04F5"/>
    <w:rsid w:val="002D1216"/>
    <w:rsid w:val="002E44E4"/>
    <w:rsid w:val="00303C4E"/>
    <w:rsid w:val="00354F0E"/>
    <w:rsid w:val="00361AF2"/>
    <w:rsid w:val="00375F17"/>
    <w:rsid w:val="003A0826"/>
    <w:rsid w:val="0046051D"/>
    <w:rsid w:val="004709C4"/>
    <w:rsid w:val="004E0F1D"/>
    <w:rsid w:val="00504DE3"/>
    <w:rsid w:val="0051743B"/>
    <w:rsid w:val="00517B64"/>
    <w:rsid w:val="005309A3"/>
    <w:rsid w:val="00540EA6"/>
    <w:rsid w:val="0058081F"/>
    <w:rsid w:val="006020B4"/>
    <w:rsid w:val="00622624"/>
    <w:rsid w:val="0067131A"/>
    <w:rsid w:val="007118CA"/>
    <w:rsid w:val="0073279B"/>
    <w:rsid w:val="007371F1"/>
    <w:rsid w:val="00760FAD"/>
    <w:rsid w:val="00773EB6"/>
    <w:rsid w:val="007B146F"/>
    <w:rsid w:val="007D35E4"/>
    <w:rsid w:val="00814413"/>
    <w:rsid w:val="00832D70"/>
    <w:rsid w:val="0089178B"/>
    <w:rsid w:val="00895355"/>
    <w:rsid w:val="00917B75"/>
    <w:rsid w:val="009614C0"/>
    <w:rsid w:val="00963F51"/>
    <w:rsid w:val="00981D52"/>
    <w:rsid w:val="009B3D61"/>
    <w:rsid w:val="009D4F76"/>
    <w:rsid w:val="00A63D9D"/>
    <w:rsid w:val="00A80CA9"/>
    <w:rsid w:val="00B04438"/>
    <w:rsid w:val="00B05362"/>
    <w:rsid w:val="00B05773"/>
    <w:rsid w:val="00B234BA"/>
    <w:rsid w:val="00B3665A"/>
    <w:rsid w:val="00B53C30"/>
    <w:rsid w:val="00B566A9"/>
    <w:rsid w:val="00B748CE"/>
    <w:rsid w:val="00BD02AE"/>
    <w:rsid w:val="00BD59E5"/>
    <w:rsid w:val="00CC12AF"/>
    <w:rsid w:val="00CE234F"/>
    <w:rsid w:val="00CF1BA4"/>
    <w:rsid w:val="00DB3940"/>
    <w:rsid w:val="00E268DB"/>
    <w:rsid w:val="00E75A8C"/>
    <w:rsid w:val="00EB2284"/>
    <w:rsid w:val="00F008E4"/>
    <w:rsid w:val="00F04DDA"/>
    <w:rsid w:val="00F374B6"/>
    <w:rsid w:val="00F504ED"/>
    <w:rsid w:val="00F74A8A"/>
    <w:rsid w:val="00F873A7"/>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08395E91-C200-416F-A208-B228D226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2286</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Guzman Hernandez</cp:lastModifiedBy>
  <cp:revision>8</cp:revision>
  <cp:lastPrinted>2024-09-20T20:53:00Z</cp:lastPrinted>
  <dcterms:created xsi:type="dcterms:W3CDTF">2024-09-10T23:00:00Z</dcterms:created>
  <dcterms:modified xsi:type="dcterms:W3CDTF">2024-11-05T19:31:00Z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