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40258" w14:textId="6201778B" w:rsidR="00030DD9" w:rsidRPr="00B6020B" w:rsidRDefault="00C45224" w:rsidP="007C328C">
      <w:pPr>
        <w:spacing w:line="276" w:lineRule="auto"/>
        <w:rPr>
          <w:rFonts w:ascii="ITC Avant Garde" w:eastAsia="Calibri" w:hAnsi="ITC Avant Garde" w:cs="Times New Roman"/>
          <w:b/>
          <w:lang w:val="es-ES"/>
        </w:rPr>
      </w:pPr>
      <w:bookmarkStart w:id="0" w:name="_Toc323285056"/>
      <w:bookmarkStart w:id="1" w:name="_GoBack"/>
      <w:bookmarkEnd w:id="1"/>
      <w:r w:rsidRPr="00B6020B">
        <w:rPr>
          <w:rFonts w:ascii="ITC Avant Garde" w:hAnsi="ITC Avant Garde"/>
          <w:b/>
        </w:rPr>
        <w:t>INFORME DE CONSIDERACIONES SOBRE LAS MANIFESTACIONES, OPINIONES, COMENTARIOS Y PROPUESTAS, PRESENTAD</w:t>
      </w:r>
      <w:r w:rsidR="0067234C" w:rsidRPr="00B6020B">
        <w:rPr>
          <w:rFonts w:ascii="ITC Avant Garde" w:hAnsi="ITC Avant Garde"/>
          <w:b/>
        </w:rPr>
        <w:t>O</w:t>
      </w:r>
      <w:r w:rsidRPr="00B6020B">
        <w:rPr>
          <w:rFonts w:ascii="ITC Avant Garde" w:hAnsi="ITC Avant Garde"/>
          <w:b/>
        </w:rPr>
        <w:t xml:space="preserve">S DURANTE LA CONSULTA PÚBLICA </w:t>
      </w:r>
      <w:r w:rsidR="00CC291D" w:rsidRPr="00B6020B">
        <w:rPr>
          <w:rFonts w:ascii="ITC Avant Garde" w:hAnsi="ITC Avant Garde"/>
          <w:b/>
        </w:rPr>
        <w:t>SOBRE</w:t>
      </w:r>
      <w:r w:rsidRPr="00B6020B">
        <w:rPr>
          <w:rFonts w:ascii="ITC Avant Garde" w:hAnsi="ITC Avant Garde"/>
          <w:b/>
        </w:rPr>
        <w:t xml:space="preserve"> LA </w:t>
      </w:r>
      <w:r w:rsidR="001A78FD" w:rsidRPr="00B6020B">
        <w:rPr>
          <w:rFonts w:ascii="ITC Avant Garde" w:hAnsi="ITC Avant Garde"/>
          <w:b/>
        </w:rPr>
        <w:t>“</w:t>
      </w:r>
      <w:r w:rsidR="00CC291D" w:rsidRPr="00B6020B">
        <w:rPr>
          <w:rFonts w:ascii="ITC Avant Garde" w:hAnsi="ITC Avant Garde"/>
          <w:b/>
          <w:i/>
        </w:rPr>
        <w:t xml:space="preserve">PROPUESTA DE </w:t>
      </w:r>
      <w:r w:rsidR="00305DC4" w:rsidRPr="00B6020B">
        <w:rPr>
          <w:rFonts w:ascii="ITC Avant Garde" w:eastAsia="Calibri" w:hAnsi="ITC Avant Garde" w:cs="Times New Roman"/>
          <w:b/>
          <w:i/>
          <w:lang w:val="es-ES"/>
        </w:rPr>
        <w:t>OFERTA</w:t>
      </w:r>
      <w:r w:rsidR="00305DC4" w:rsidRPr="00B6020B">
        <w:rPr>
          <w:rFonts w:ascii="ITC Avant Garde" w:eastAsia="Calibri" w:hAnsi="ITC Avant Garde" w:cs="Times New Roman"/>
          <w:b/>
          <w:bCs/>
          <w:i/>
          <w:lang w:val="es-ES"/>
        </w:rPr>
        <w:t xml:space="preserve"> DE REFERENCIA PARA </w:t>
      </w:r>
      <w:r w:rsidR="00305DC4" w:rsidRPr="00B6020B">
        <w:rPr>
          <w:rFonts w:ascii="ITC Avant Garde" w:eastAsia="Calibri" w:hAnsi="ITC Avant Garde" w:cs="Times New Roman"/>
          <w:b/>
          <w:i/>
          <w:lang w:val="es-ES"/>
        </w:rPr>
        <w:t>EL</w:t>
      </w:r>
      <w:r w:rsidR="00305DC4" w:rsidRPr="00B6020B">
        <w:rPr>
          <w:rFonts w:ascii="ITC Avant Garde" w:eastAsia="Calibri" w:hAnsi="ITC Avant Garde" w:cs="Times New Roman"/>
          <w:b/>
          <w:bCs/>
          <w:i/>
          <w:lang w:val="es-ES"/>
        </w:rPr>
        <w:t xml:space="preserve"> ACCESO Y USO COMPARTIDO DE INFRAESTRUCTURA</w:t>
      </w:r>
      <w:r w:rsidR="00305DC4" w:rsidRPr="00B6020B">
        <w:rPr>
          <w:rFonts w:ascii="ITC Avant Garde" w:eastAsia="Calibri" w:hAnsi="ITC Avant Garde" w:cs="Times New Roman"/>
          <w:b/>
          <w:i/>
          <w:lang w:val="es-ES"/>
        </w:rPr>
        <w:t xml:space="preserve"> PASIVA</w:t>
      </w:r>
      <w:r w:rsidR="00AE57D0" w:rsidRPr="00B6020B">
        <w:rPr>
          <w:rFonts w:ascii="ITC Avant Garde" w:eastAsia="Calibri" w:hAnsi="ITC Avant Garde" w:cs="Times New Roman"/>
          <w:b/>
          <w:i/>
          <w:lang w:val="es-ES"/>
        </w:rPr>
        <w:t>”.</w:t>
      </w:r>
    </w:p>
    <w:bookmarkEnd w:id="0"/>
    <w:p w14:paraId="771AB917" w14:textId="77777777" w:rsidR="00195C02" w:rsidRPr="00B6020B" w:rsidRDefault="00195C02" w:rsidP="007C328C">
      <w:pPr>
        <w:spacing w:line="276" w:lineRule="auto"/>
        <w:rPr>
          <w:rFonts w:ascii="ITC Avant Garde" w:eastAsiaTheme="majorEastAsia" w:hAnsi="ITC Avant Garde" w:cstheme="majorBidi"/>
          <w:b/>
          <w:lang w:val="es-ES"/>
        </w:rPr>
      </w:pPr>
      <w:r w:rsidRPr="00B6020B">
        <w:rPr>
          <w:rFonts w:ascii="ITC Avant Garde" w:eastAsiaTheme="majorEastAsia" w:hAnsi="ITC Avant Garde" w:cstheme="majorBidi"/>
          <w:b/>
          <w:lang w:val="es-ES"/>
        </w:rPr>
        <w:t>Fecha de elaboración:</w:t>
      </w:r>
    </w:p>
    <w:p w14:paraId="573BA05D" w14:textId="77777777" w:rsidR="00DF6668" w:rsidRPr="00B6020B" w:rsidRDefault="00637B30" w:rsidP="007C328C">
      <w:pPr>
        <w:spacing w:line="276" w:lineRule="auto"/>
        <w:rPr>
          <w:rFonts w:ascii="ITC Avant Garde" w:eastAsiaTheme="majorEastAsia" w:hAnsi="ITC Avant Garde" w:cstheme="majorBidi"/>
          <w:lang w:val="es-ES"/>
        </w:rPr>
      </w:pPr>
      <w:r w:rsidRPr="00B6020B">
        <w:rPr>
          <w:rFonts w:ascii="ITC Avant Garde" w:eastAsiaTheme="majorEastAsia" w:hAnsi="ITC Avant Garde" w:cstheme="majorBidi"/>
          <w:lang w:val="es-ES"/>
        </w:rPr>
        <w:t xml:space="preserve">11 </w:t>
      </w:r>
      <w:r w:rsidR="000D7A44" w:rsidRPr="00B6020B">
        <w:rPr>
          <w:rFonts w:ascii="ITC Avant Garde" w:eastAsiaTheme="majorEastAsia" w:hAnsi="ITC Avant Garde" w:cstheme="majorBidi"/>
          <w:lang w:val="es-ES"/>
        </w:rPr>
        <w:t xml:space="preserve">de </w:t>
      </w:r>
      <w:r w:rsidR="00904CA9" w:rsidRPr="00B6020B">
        <w:rPr>
          <w:rFonts w:ascii="ITC Avant Garde" w:eastAsiaTheme="majorEastAsia" w:hAnsi="ITC Avant Garde" w:cstheme="majorBidi"/>
          <w:lang w:val="es-ES"/>
        </w:rPr>
        <w:t>noviembre</w:t>
      </w:r>
      <w:r w:rsidR="0067234C" w:rsidRPr="00B6020B">
        <w:rPr>
          <w:rFonts w:ascii="ITC Avant Garde" w:eastAsiaTheme="majorEastAsia" w:hAnsi="ITC Avant Garde" w:cstheme="majorBidi"/>
          <w:lang w:val="es-ES"/>
        </w:rPr>
        <w:t xml:space="preserve"> </w:t>
      </w:r>
      <w:r w:rsidR="00EB5B4B" w:rsidRPr="00B6020B">
        <w:rPr>
          <w:rFonts w:ascii="ITC Avant Garde" w:eastAsiaTheme="majorEastAsia" w:hAnsi="ITC Avant Garde" w:cstheme="majorBidi"/>
          <w:lang w:val="es-ES"/>
        </w:rPr>
        <w:t>de 20</w:t>
      </w:r>
      <w:r w:rsidR="000C2DF4" w:rsidRPr="00B6020B">
        <w:rPr>
          <w:rFonts w:ascii="ITC Avant Garde" w:eastAsiaTheme="majorEastAsia" w:hAnsi="ITC Avant Garde" w:cstheme="majorBidi"/>
          <w:lang w:val="es-ES"/>
        </w:rPr>
        <w:t>2</w:t>
      </w:r>
      <w:r w:rsidR="000D7A44" w:rsidRPr="00B6020B">
        <w:rPr>
          <w:rFonts w:ascii="ITC Avant Garde" w:eastAsiaTheme="majorEastAsia" w:hAnsi="ITC Avant Garde" w:cstheme="majorBidi"/>
          <w:lang w:val="es-ES"/>
        </w:rPr>
        <w:t>4</w:t>
      </w:r>
    </w:p>
    <w:p w14:paraId="2583F71D" w14:textId="77777777" w:rsidR="00195C02" w:rsidRPr="00B6020B" w:rsidRDefault="00195C02" w:rsidP="007C328C">
      <w:pPr>
        <w:spacing w:line="276" w:lineRule="auto"/>
        <w:rPr>
          <w:rFonts w:ascii="ITC Avant Garde" w:eastAsiaTheme="majorEastAsia" w:hAnsi="ITC Avant Garde" w:cstheme="majorBidi"/>
          <w:b/>
          <w:lang w:val="es-ES"/>
        </w:rPr>
      </w:pPr>
      <w:r w:rsidRPr="00B6020B">
        <w:rPr>
          <w:rFonts w:ascii="ITC Avant Garde" w:eastAsiaTheme="majorEastAsia" w:hAnsi="ITC Avant Garde" w:cstheme="majorBidi"/>
          <w:b/>
          <w:lang w:val="es-ES"/>
        </w:rPr>
        <w:t>Título o denominación de la consulta pública:</w:t>
      </w:r>
    </w:p>
    <w:p w14:paraId="52ABD984" w14:textId="77777777" w:rsidR="00195C02" w:rsidRPr="00B6020B" w:rsidRDefault="00EB5B4B" w:rsidP="007C328C">
      <w:pPr>
        <w:spacing w:line="276" w:lineRule="auto"/>
        <w:rPr>
          <w:rFonts w:ascii="ITC Avant Garde" w:eastAsiaTheme="majorEastAsia" w:hAnsi="ITC Avant Garde" w:cstheme="majorBidi"/>
          <w:i/>
          <w:lang w:val="es-ES"/>
        </w:rPr>
      </w:pPr>
      <w:r w:rsidRPr="00B6020B">
        <w:rPr>
          <w:rFonts w:ascii="ITC Avant Garde" w:eastAsiaTheme="majorEastAsia" w:hAnsi="ITC Avant Garde" w:cstheme="majorBidi"/>
          <w:i/>
          <w:lang w:val="es-ES"/>
        </w:rPr>
        <w:t>“</w:t>
      </w:r>
      <w:r w:rsidR="00E91905" w:rsidRPr="00B6020B">
        <w:rPr>
          <w:rFonts w:ascii="ITC Avant Garde" w:eastAsiaTheme="majorEastAsia" w:hAnsi="ITC Avant Garde" w:cstheme="majorBidi"/>
          <w:i/>
          <w:lang w:val="es-ES"/>
        </w:rPr>
        <w:t>Propuestas de Ofertas de Referencia de los Servicios Mayoristas de Usuario Visitante; de Reventa de Servicios; de Acceso y Uso Compartido de Infraestructura presentadas por el AEP en el sector de las telecomunicaciones</w:t>
      </w:r>
      <w:r w:rsidR="00195C02" w:rsidRPr="00B6020B">
        <w:rPr>
          <w:rFonts w:ascii="ITC Avant Garde" w:eastAsiaTheme="majorEastAsia" w:hAnsi="ITC Avant Garde" w:cstheme="majorBidi"/>
          <w:i/>
          <w:lang w:val="es-ES"/>
        </w:rPr>
        <w:t>”</w:t>
      </w:r>
    </w:p>
    <w:p w14:paraId="25C48FD2" w14:textId="77777777" w:rsidR="00195C02" w:rsidRPr="00B6020B" w:rsidRDefault="00195C02" w:rsidP="007C328C">
      <w:pPr>
        <w:spacing w:line="276" w:lineRule="auto"/>
        <w:rPr>
          <w:rFonts w:ascii="ITC Avant Garde" w:eastAsiaTheme="majorEastAsia" w:hAnsi="ITC Avant Garde" w:cstheme="majorBidi"/>
          <w:b/>
          <w:lang w:val="es-ES"/>
        </w:rPr>
      </w:pPr>
      <w:r w:rsidRPr="00B6020B">
        <w:rPr>
          <w:rFonts w:ascii="ITC Avant Garde" w:eastAsiaTheme="majorEastAsia" w:hAnsi="ITC Avant Garde" w:cstheme="majorBidi"/>
          <w:b/>
          <w:lang w:val="es-ES"/>
        </w:rPr>
        <w:t>Descripción de la consulta pública:</w:t>
      </w:r>
    </w:p>
    <w:p w14:paraId="00CE303A" w14:textId="7CB355C2" w:rsidR="008F17B2" w:rsidRPr="00B6020B" w:rsidRDefault="00651C1F" w:rsidP="007C328C">
      <w:pPr>
        <w:spacing w:line="276" w:lineRule="auto"/>
        <w:rPr>
          <w:rFonts w:ascii="ITC Avant Garde" w:hAnsi="ITC Avant Garde"/>
        </w:rPr>
      </w:pPr>
      <w:r w:rsidRPr="00B6020B">
        <w:rPr>
          <w:rFonts w:ascii="ITC Avant Garde" w:eastAsiaTheme="majorEastAsia" w:hAnsi="ITC Avant Garde" w:cstheme="majorBidi"/>
          <w:lang w:val="es-ES"/>
        </w:rPr>
        <w:t xml:space="preserve">Del </w:t>
      </w:r>
      <w:r w:rsidR="00744429" w:rsidRPr="00B6020B">
        <w:rPr>
          <w:rFonts w:ascii="ITC Avant Garde" w:eastAsiaTheme="majorEastAsia" w:hAnsi="ITC Avant Garde" w:cstheme="majorBidi"/>
          <w:lang w:val="es-ES"/>
        </w:rPr>
        <w:t>1</w:t>
      </w:r>
      <w:r w:rsidR="000D7A44" w:rsidRPr="00B6020B">
        <w:rPr>
          <w:rFonts w:ascii="ITC Avant Garde" w:eastAsiaTheme="majorEastAsia" w:hAnsi="ITC Avant Garde" w:cstheme="majorBidi"/>
          <w:lang w:val="es-ES"/>
        </w:rPr>
        <w:t>9</w:t>
      </w:r>
      <w:r w:rsidR="00E91905" w:rsidRPr="00B6020B">
        <w:rPr>
          <w:rFonts w:ascii="ITC Avant Garde" w:eastAsiaTheme="majorEastAsia" w:hAnsi="ITC Avant Garde" w:cstheme="majorBidi"/>
          <w:lang w:val="es-ES"/>
        </w:rPr>
        <w:t xml:space="preserve"> de agosto </w:t>
      </w:r>
      <w:r w:rsidRPr="00B6020B">
        <w:rPr>
          <w:rFonts w:ascii="ITC Avant Garde" w:eastAsiaTheme="majorEastAsia" w:hAnsi="ITC Avant Garde" w:cstheme="majorBidi"/>
          <w:lang w:val="es-ES"/>
        </w:rPr>
        <w:t xml:space="preserve">al </w:t>
      </w:r>
      <w:r w:rsidR="000D7A44" w:rsidRPr="00B6020B">
        <w:rPr>
          <w:rFonts w:ascii="ITC Avant Garde" w:eastAsiaTheme="majorEastAsia" w:hAnsi="ITC Avant Garde" w:cstheme="majorBidi"/>
          <w:lang w:val="es-ES"/>
        </w:rPr>
        <w:t>1</w:t>
      </w:r>
      <w:r w:rsidR="00232952" w:rsidRPr="00B6020B">
        <w:rPr>
          <w:rFonts w:ascii="ITC Avant Garde" w:eastAsiaTheme="majorEastAsia" w:hAnsi="ITC Avant Garde" w:cstheme="majorBidi"/>
          <w:lang w:val="es-ES"/>
        </w:rPr>
        <w:t>8</w:t>
      </w:r>
      <w:r w:rsidRPr="00B6020B">
        <w:rPr>
          <w:rFonts w:ascii="ITC Avant Garde" w:eastAsiaTheme="majorEastAsia" w:hAnsi="ITC Avant Garde" w:cstheme="majorBidi"/>
          <w:lang w:val="es-ES"/>
        </w:rPr>
        <w:t xml:space="preserve"> de </w:t>
      </w:r>
      <w:r w:rsidR="00E91905" w:rsidRPr="00B6020B">
        <w:rPr>
          <w:rFonts w:ascii="ITC Avant Garde" w:eastAsiaTheme="majorEastAsia" w:hAnsi="ITC Avant Garde" w:cstheme="majorBidi"/>
          <w:lang w:val="es-ES"/>
        </w:rPr>
        <w:t>septiembre</w:t>
      </w:r>
      <w:r w:rsidRPr="00B6020B">
        <w:rPr>
          <w:rFonts w:ascii="ITC Avant Garde" w:eastAsiaTheme="majorEastAsia" w:hAnsi="ITC Avant Garde" w:cstheme="majorBidi"/>
          <w:lang w:val="es-ES"/>
        </w:rPr>
        <w:t xml:space="preserve"> de 20</w:t>
      </w:r>
      <w:r w:rsidR="00E91905" w:rsidRPr="00B6020B">
        <w:rPr>
          <w:rFonts w:ascii="ITC Avant Garde" w:eastAsiaTheme="majorEastAsia" w:hAnsi="ITC Avant Garde" w:cstheme="majorBidi"/>
          <w:lang w:val="es-ES"/>
        </w:rPr>
        <w:t>2</w:t>
      </w:r>
      <w:r w:rsidR="000D7A44" w:rsidRPr="00B6020B">
        <w:rPr>
          <w:rFonts w:ascii="ITC Avant Garde" w:eastAsiaTheme="majorEastAsia" w:hAnsi="ITC Avant Garde" w:cstheme="majorBidi"/>
          <w:lang w:val="es-ES"/>
        </w:rPr>
        <w:t>4</w:t>
      </w:r>
      <w:r w:rsidRPr="00B6020B">
        <w:rPr>
          <w:rFonts w:ascii="ITC Avant Garde" w:eastAsiaTheme="majorEastAsia" w:hAnsi="ITC Avant Garde" w:cstheme="majorBidi"/>
          <w:lang w:val="es-ES"/>
        </w:rPr>
        <w:t xml:space="preserve"> e</w:t>
      </w:r>
      <w:r w:rsidR="00195C02" w:rsidRPr="00B6020B">
        <w:rPr>
          <w:rFonts w:ascii="ITC Avant Garde" w:eastAsiaTheme="majorEastAsia" w:hAnsi="ITC Avant Garde" w:cstheme="majorBidi"/>
          <w:lang w:val="es-ES"/>
        </w:rPr>
        <w:t xml:space="preserve">l Instituto Federal de Telecomunicaciones (en lo sucesivo, “Instituto”) </w:t>
      </w:r>
      <w:r w:rsidR="0067234C" w:rsidRPr="00B6020B">
        <w:rPr>
          <w:rFonts w:ascii="ITC Avant Garde" w:eastAsiaTheme="majorEastAsia" w:hAnsi="ITC Avant Garde" w:cstheme="majorBidi"/>
          <w:lang w:val="es-ES"/>
        </w:rPr>
        <w:t xml:space="preserve">llevó a cabo el proceso de consulta pública </w:t>
      </w:r>
      <w:r w:rsidR="00FE4ECA" w:rsidRPr="00B6020B">
        <w:rPr>
          <w:rFonts w:ascii="ITC Avant Garde" w:eastAsiaTheme="majorEastAsia" w:hAnsi="ITC Avant Garde" w:cstheme="majorBidi"/>
          <w:lang w:val="es-ES"/>
        </w:rPr>
        <w:t>denominado</w:t>
      </w:r>
      <w:r w:rsidRPr="00B6020B">
        <w:rPr>
          <w:rFonts w:ascii="ITC Avant Garde" w:eastAsiaTheme="majorEastAsia" w:hAnsi="ITC Avant Garde" w:cstheme="majorBidi"/>
          <w:lang w:val="es-ES"/>
        </w:rPr>
        <w:t xml:space="preserve"> </w:t>
      </w:r>
      <w:r w:rsidR="008F17B2" w:rsidRPr="00B6020B">
        <w:rPr>
          <w:rFonts w:ascii="ITC Avant Garde" w:eastAsiaTheme="majorEastAsia" w:hAnsi="ITC Avant Garde" w:cstheme="majorBidi"/>
          <w:lang w:val="es-ES"/>
        </w:rPr>
        <w:t>“</w:t>
      </w:r>
      <w:r w:rsidR="00195C02" w:rsidRPr="00B6020B">
        <w:rPr>
          <w:rFonts w:ascii="ITC Avant Garde" w:eastAsia="Calibri" w:hAnsi="ITC Avant Garde" w:cs="Times New Roman"/>
          <w:i/>
          <w:lang w:val="es-ES"/>
        </w:rPr>
        <w:t>Oferta</w:t>
      </w:r>
      <w:r w:rsidR="00195C02" w:rsidRPr="00B6020B">
        <w:rPr>
          <w:rFonts w:ascii="ITC Avant Garde" w:eastAsia="Calibri" w:hAnsi="ITC Avant Garde" w:cs="Times New Roman"/>
          <w:bCs/>
          <w:i/>
          <w:lang w:val="es-ES"/>
        </w:rPr>
        <w:t xml:space="preserve"> de Referencia para </w:t>
      </w:r>
      <w:r w:rsidR="00195C02" w:rsidRPr="00B6020B">
        <w:rPr>
          <w:rFonts w:ascii="ITC Avant Garde" w:eastAsia="Calibri" w:hAnsi="ITC Avant Garde" w:cs="Times New Roman"/>
          <w:i/>
          <w:lang w:val="es-ES"/>
        </w:rPr>
        <w:t>el</w:t>
      </w:r>
      <w:r w:rsidR="00195C02" w:rsidRPr="00B6020B">
        <w:rPr>
          <w:rFonts w:ascii="ITC Avant Garde" w:eastAsia="Calibri" w:hAnsi="ITC Avant Garde" w:cs="Times New Roman"/>
          <w:bCs/>
          <w:i/>
          <w:lang w:val="es-ES"/>
        </w:rPr>
        <w:t xml:space="preserve"> Acceso y Uso Compartido de Infraestructura</w:t>
      </w:r>
      <w:r w:rsidR="00195C02" w:rsidRPr="00B6020B">
        <w:rPr>
          <w:rFonts w:ascii="ITC Avant Garde" w:eastAsia="Calibri" w:hAnsi="ITC Avant Garde" w:cs="Times New Roman"/>
          <w:i/>
          <w:lang w:val="es-ES"/>
        </w:rPr>
        <w:t xml:space="preserve"> Pasiva</w:t>
      </w:r>
      <w:r w:rsidRPr="00B6020B">
        <w:rPr>
          <w:rFonts w:ascii="ITC Avant Garde" w:eastAsia="Calibri" w:hAnsi="ITC Avant Garde" w:cs="Times New Roman"/>
          <w:i/>
          <w:lang w:val="es-ES"/>
        </w:rPr>
        <w:t xml:space="preserve"> aplicable del 1 de enero de 202</w:t>
      </w:r>
      <w:r w:rsidR="000D7A44" w:rsidRPr="00B6020B">
        <w:rPr>
          <w:rFonts w:ascii="ITC Avant Garde" w:eastAsia="Calibri" w:hAnsi="ITC Avant Garde" w:cs="Times New Roman"/>
          <w:i/>
          <w:lang w:val="es-ES"/>
        </w:rPr>
        <w:t>5</w:t>
      </w:r>
      <w:r w:rsidR="00195C02" w:rsidRPr="00B6020B">
        <w:rPr>
          <w:rFonts w:ascii="ITC Avant Garde" w:eastAsia="Calibri" w:hAnsi="ITC Avant Garde" w:cs="Times New Roman"/>
          <w:i/>
          <w:lang w:val="es-ES"/>
        </w:rPr>
        <w:t xml:space="preserve"> </w:t>
      </w:r>
      <w:r w:rsidRPr="00B6020B">
        <w:rPr>
          <w:rFonts w:ascii="ITC Avant Garde" w:eastAsia="Calibri" w:hAnsi="ITC Avant Garde" w:cs="Times New Roman"/>
          <w:i/>
          <w:lang w:val="es-ES"/>
        </w:rPr>
        <w:t>al 31 de diciembre de 20</w:t>
      </w:r>
      <w:r w:rsidR="00744429" w:rsidRPr="00B6020B">
        <w:rPr>
          <w:rFonts w:ascii="ITC Avant Garde" w:eastAsia="Calibri" w:hAnsi="ITC Avant Garde" w:cs="Times New Roman"/>
          <w:i/>
          <w:lang w:val="es-ES"/>
        </w:rPr>
        <w:t>2</w:t>
      </w:r>
      <w:r w:rsidR="000D7A44" w:rsidRPr="00B6020B">
        <w:rPr>
          <w:rFonts w:ascii="ITC Avant Garde" w:eastAsia="Calibri" w:hAnsi="ITC Avant Garde" w:cs="Times New Roman"/>
          <w:i/>
          <w:lang w:val="es-ES"/>
        </w:rPr>
        <w:t>5</w:t>
      </w:r>
      <w:r w:rsidR="00195C02" w:rsidRPr="00B6020B">
        <w:rPr>
          <w:rFonts w:ascii="ITC Avant Garde" w:eastAsia="Calibri" w:hAnsi="ITC Avant Garde" w:cs="Times New Roman"/>
          <w:lang w:val="es-ES"/>
        </w:rPr>
        <w:t>” (en lo sucesivo “Propuesta de Oferta de Referencia”), presentada</w:t>
      </w:r>
      <w:r w:rsidR="00195C02" w:rsidRPr="00B6020B">
        <w:rPr>
          <w:rFonts w:ascii="ITC Avant Garde" w:eastAsia="Calibri" w:hAnsi="ITC Avant Garde" w:cs="Times New Roman"/>
          <w:bCs/>
          <w:lang w:val="es-ES"/>
        </w:rPr>
        <w:t xml:space="preserve"> por </w:t>
      </w:r>
      <w:r w:rsidR="008C027B" w:rsidRPr="00B6020B">
        <w:rPr>
          <w:rFonts w:ascii="ITC Avant Garde" w:eastAsia="Calibri" w:hAnsi="ITC Avant Garde" w:cs="Times New Roman"/>
          <w:bCs/>
          <w:lang w:val="es-ES"/>
        </w:rPr>
        <w:t xml:space="preserve">el apoderado legal de </w:t>
      </w:r>
      <w:r w:rsidR="00195C02" w:rsidRPr="00B6020B">
        <w:rPr>
          <w:rFonts w:ascii="ITC Avant Garde" w:eastAsia="Calibri" w:hAnsi="ITC Avant Garde" w:cs="Times New Roman"/>
          <w:lang w:val="es-ES"/>
        </w:rPr>
        <w:t>Operadora de Sites Mexicanos, S.A.</w:t>
      </w:r>
      <w:r w:rsidR="00232952" w:rsidRPr="00B6020B">
        <w:rPr>
          <w:rFonts w:ascii="ITC Avant Garde" w:eastAsia="Calibri" w:hAnsi="ITC Avant Garde" w:cs="Times New Roman"/>
          <w:lang w:val="es-ES"/>
        </w:rPr>
        <w:t>B.</w:t>
      </w:r>
      <w:r w:rsidR="00195C02" w:rsidRPr="00B6020B">
        <w:rPr>
          <w:rFonts w:ascii="ITC Avant Garde" w:eastAsia="Calibri" w:hAnsi="ITC Avant Garde" w:cs="Times New Roman"/>
          <w:lang w:val="es-ES"/>
        </w:rPr>
        <w:t xml:space="preserve"> de C.V. (en lo sucesivo, “</w:t>
      </w:r>
      <w:proofErr w:type="spellStart"/>
      <w:r w:rsidR="00195C02" w:rsidRPr="00B6020B">
        <w:rPr>
          <w:rFonts w:ascii="ITC Avant Garde" w:eastAsia="Calibri" w:hAnsi="ITC Avant Garde" w:cs="Times New Roman"/>
          <w:lang w:val="es-ES"/>
        </w:rPr>
        <w:t>Telesites</w:t>
      </w:r>
      <w:proofErr w:type="spellEnd"/>
      <w:r w:rsidR="00195C02" w:rsidRPr="00B6020B">
        <w:rPr>
          <w:rFonts w:ascii="ITC Avant Garde" w:eastAsia="Calibri" w:hAnsi="ITC Avant Garde" w:cs="Times New Roman"/>
          <w:lang w:val="es-ES"/>
        </w:rPr>
        <w:t>”</w:t>
      </w:r>
      <w:r w:rsidR="00195C02" w:rsidRPr="00B6020B">
        <w:rPr>
          <w:rFonts w:ascii="ITC Avant Garde" w:hAnsi="ITC Avant Garde"/>
        </w:rPr>
        <w:t>)</w:t>
      </w:r>
      <w:r w:rsidR="008C027B" w:rsidRPr="00B6020B">
        <w:rPr>
          <w:rFonts w:ascii="ITC Avant Garde" w:hAnsi="ITC Avant Garde"/>
        </w:rPr>
        <w:t xml:space="preserve"> y Banco Actinver, S.A., Institución de Banca Múltiple, Grupo Financiero Actinver, División Fiduciaria, este último exclusivamente en su carácter de Fiduciario del “FIDEICOMISO OPSIMEX 4594”, (en lo sucesivo, “Fibra”)</w:t>
      </w:r>
      <w:r w:rsidR="004561DE" w:rsidRPr="00B6020B">
        <w:rPr>
          <w:rFonts w:ascii="ITC Avant Garde" w:hAnsi="ITC Avant Garde"/>
        </w:rPr>
        <w:t xml:space="preserve"> tomando en cuenta los términos y condiciones de la “</w:t>
      </w:r>
      <w:r w:rsidR="004561DE" w:rsidRPr="00B6020B">
        <w:rPr>
          <w:rFonts w:ascii="ITC Avant Garde" w:eastAsia="Calibri" w:hAnsi="ITC Avant Garde" w:cs="Times New Roman"/>
          <w:i/>
          <w:lang w:val="es-ES"/>
        </w:rPr>
        <w:t>Oferta</w:t>
      </w:r>
      <w:r w:rsidR="004561DE" w:rsidRPr="00B6020B">
        <w:rPr>
          <w:rFonts w:ascii="ITC Avant Garde" w:eastAsia="Calibri" w:hAnsi="ITC Avant Garde" w:cs="Times New Roman"/>
          <w:bCs/>
          <w:i/>
          <w:lang w:val="es-ES"/>
        </w:rPr>
        <w:t xml:space="preserve"> de Referencia para </w:t>
      </w:r>
      <w:r w:rsidR="004561DE" w:rsidRPr="00B6020B">
        <w:rPr>
          <w:rFonts w:ascii="ITC Avant Garde" w:eastAsia="Calibri" w:hAnsi="ITC Avant Garde" w:cs="Times New Roman"/>
          <w:i/>
          <w:lang w:val="es-ES"/>
        </w:rPr>
        <w:t>el</w:t>
      </w:r>
      <w:r w:rsidR="004561DE" w:rsidRPr="00B6020B">
        <w:rPr>
          <w:rFonts w:ascii="ITC Avant Garde" w:eastAsia="Calibri" w:hAnsi="ITC Avant Garde" w:cs="Times New Roman"/>
          <w:bCs/>
          <w:i/>
          <w:lang w:val="es-ES"/>
        </w:rPr>
        <w:t xml:space="preserve"> Acceso y Uso Compartido de Infraestructura</w:t>
      </w:r>
      <w:r w:rsidR="004561DE" w:rsidRPr="00B6020B">
        <w:rPr>
          <w:rFonts w:ascii="ITC Avant Garde" w:eastAsia="Calibri" w:hAnsi="ITC Avant Garde" w:cs="Times New Roman"/>
          <w:i/>
          <w:lang w:val="es-ES"/>
        </w:rPr>
        <w:t xml:space="preserve"> Pasiva aplicable del 1 de enero de 202</w:t>
      </w:r>
      <w:r w:rsidR="000D7A44" w:rsidRPr="00B6020B">
        <w:rPr>
          <w:rFonts w:ascii="ITC Avant Garde" w:eastAsia="Calibri" w:hAnsi="ITC Avant Garde" w:cs="Times New Roman"/>
          <w:i/>
          <w:lang w:val="es-ES"/>
        </w:rPr>
        <w:t>4</w:t>
      </w:r>
      <w:r w:rsidR="004561DE" w:rsidRPr="00B6020B">
        <w:rPr>
          <w:rFonts w:ascii="ITC Avant Garde" w:eastAsia="Calibri" w:hAnsi="ITC Avant Garde" w:cs="Times New Roman"/>
          <w:i/>
          <w:lang w:val="es-ES"/>
        </w:rPr>
        <w:t xml:space="preserve"> al 31 de diciembre de 202</w:t>
      </w:r>
      <w:r w:rsidR="000D7A44" w:rsidRPr="00B6020B">
        <w:rPr>
          <w:rFonts w:ascii="ITC Avant Garde" w:eastAsia="Calibri" w:hAnsi="ITC Avant Garde" w:cs="Times New Roman"/>
          <w:i/>
          <w:lang w:val="es-ES"/>
        </w:rPr>
        <w:t>4</w:t>
      </w:r>
      <w:r w:rsidR="004561DE" w:rsidRPr="00B6020B">
        <w:rPr>
          <w:rFonts w:ascii="ITC Avant Garde" w:eastAsia="Calibri" w:hAnsi="ITC Avant Garde" w:cs="Times New Roman"/>
          <w:lang w:val="es-ES"/>
        </w:rPr>
        <w:t>”</w:t>
      </w:r>
      <w:r w:rsidR="0086394E" w:rsidRPr="00B6020B">
        <w:rPr>
          <w:rFonts w:ascii="ITC Avant Garde" w:eastAsia="Calibri" w:hAnsi="ITC Avant Garde" w:cs="Times New Roman"/>
          <w:lang w:val="es-ES"/>
        </w:rPr>
        <w:t>, (en lo sucesivo, “Oferta de Referencia Autorizada”)</w:t>
      </w:r>
      <w:r w:rsidR="00E81B4E" w:rsidRPr="00B6020B">
        <w:rPr>
          <w:rFonts w:ascii="ITC Avant Garde" w:eastAsia="Calibri" w:hAnsi="ITC Avant Garde" w:cs="Times New Roman"/>
          <w:lang w:val="es-ES"/>
        </w:rPr>
        <w:t xml:space="preserve"> para dichas empresas</w:t>
      </w:r>
      <w:r w:rsidR="00E81B4E" w:rsidRPr="00B6020B">
        <w:rPr>
          <w:rStyle w:val="Refdenotaalpie"/>
          <w:rFonts w:ascii="ITC Avant Garde" w:eastAsia="Calibri" w:hAnsi="ITC Avant Garde" w:cs="Times New Roman"/>
          <w:lang w:val="es-ES"/>
        </w:rPr>
        <w:footnoteReference w:id="2"/>
      </w:r>
      <w:r w:rsidR="008F17B2" w:rsidRPr="00B6020B">
        <w:rPr>
          <w:rFonts w:ascii="ITC Avant Garde" w:hAnsi="ITC Avant Garde"/>
        </w:rPr>
        <w:t>.</w:t>
      </w:r>
    </w:p>
    <w:p w14:paraId="7123C866" w14:textId="06EDF003" w:rsidR="00256341" w:rsidRPr="00B6020B" w:rsidRDefault="00256341" w:rsidP="007C328C">
      <w:pPr>
        <w:spacing w:line="276" w:lineRule="auto"/>
        <w:rPr>
          <w:rFonts w:ascii="ITC Avant Garde" w:eastAsia="Calibri" w:hAnsi="ITC Avant Garde" w:cs="Times New Roman"/>
          <w:lang w:val="es-ES"/>
        </w:rPr>
      </w:pPr>
      <w:r w:rsidRPr="00B6020B">
        <w:rPr>
          <w:rFonts w:ascii="ITC Avant Garde" w:eastAsia="Calibri" w:hAnsi="ITC Avant Garde" w:cs="Times New Roman"/>
          <w:lang w:val="es-ES"/>
        </w:rPr>
        <w:t xml:space="preserve">De igual manera, se </w:t>
      </w:r>
      <w:r w:rsidR="00E81B4E" w:rsidRPr="00B6020B">
        <w:rPr>
          <w:rFonts w:ascii="ITC Avant Garde" w:eastAsia="Calibri" w:hAnsi="ITC Avant Garde" w:cs="Times New Roman"/>
          <w:lang w:val="es-ES"/>
        </w:rPr>
        <w:t xml:space="preserve">llevó a cabo el proceso de consulta pública de la Propuesta de Oferta de Referencia presentado por el apoderado legal de </w:t>
      </w:r>
      <w:proofErr w:type="spellStart"/>
      <w:r w:rsidR="00E81B4E" w:rsidRPr="00B6020B">
        <w:rPr>
          <w:rFonts w:ascii="ITC Avant Garde" w:eastAsia="Calibri" w:hAnsi="ITC Avant Garde" w:cs="Times New Roman"/>
          <w:lang w:val="es-ES"/>
        </w:rPr>
        <w:t>Radiomóvil</w:t>
      </w:r>
      <w:proofErr w:type="spellEnd"/>
      <w:r w:rsidR="00E81B4E" w:rsidRPr="00B6020B">
        <w:rPr>
          <w:rFonts w:ascii="ITC Avant Garde" w:eastAsia="Calibri" w:hAnsi="ITC Avant Garde" w:cs="Times New Roman"/>
          <w:lang w:val="es-ES"/>
        </w:rPr>
        <w:t xml:space="preserve"> Dipsa, S.A. de C.V. (en lo </w:t>
      </w:r>
      <w:r w:rsidR="002B3256" w:rsidRPr="00B6020B">
        <w:rPr>
          <w:rFonts w:ascii="ITC Avant Garde" w:eastAsia="Calibri" w:hAnsi="ITC Avant Garde" w:cs="Times New Roman"/>
          <w:lang w:val="es-ES"/>
        </w:rPr>
        <w:t>sucesivo</w:t>
      </w:r>
      <w:r w:rsidR="00E81B4E" w:rsidRPr="00B6020B">
        <w:rPr>
          <w:rFonts w:ascii="ITC Avant Garde" w:eastAsia="Calibri" w:hAnsi="ITC Avant Garde" w:cs="Times New Roman"/>
          <w:lang w:val="es-ES"/>
        </w:rPr>
        <w:t>, “Telcel”), tomando en cuenta los términos y condiciones de la Oferta de Referencia Autorizada para dicho concesionario</w:t>
      </w:r>
      <w:r w:rsidR="00E81B4E" w:rsidRPr="00B6020B">
        <w:rPr>
          <w:rStyle w:val="Refdenotaalpie"/>
          <w:rFonts w:eastAsia="Calibri" w:cs="Times New Roman"/>
          <w:lang w:val="es-ES"/>
        </w:rPr>
        <w:footnoteReference w:id="3"/>
      </w:r>
      <w:r w:rsidR="00E81B4E" w:rsidRPr="00B6020B">
        <w:rPr>
          <w:rFonts w:ascii="ITC Avant Garde" w:eastAsia="Calibri" w:hAnsi="ITC Avant Garde" w:cs="Times New Roman"/>
          <w:lang w:val="es-ES"/>
        </w:rPr>
        <w:t>.</w:t>
      </w:r>
    </w:p>
    <w:p w14:paraId="011CD8BF" w14:textId="77777777" w:rsidR="00195C02" w:rsidRPr="00B6020B" w:rsidRDefault="0067234C" w:rsidP="007C328C">
      <w:pPr>
        <w:spacing w:line="276" w:lineRule="auto"/>
        <w:rPr>
          <w:rFonts w:ascii="ITC Avant Garde" w:eastAsiaTheme="majorEastAsia" w:hAnsi="ITC Avant Garde" w:cstheme="majorBidi"/>
          <w:lang w:val="es-ES"/>
        </w:rPr>
      </w:pPr>
      <w:r w:rsidRPr="00B6020B">
        <w:rPr>
          <w:rFonts w:ascii="ITC Avant Garde" w:hAnsi="ITC Avant Garde"/>
        </w:rPr>
        <w:t>E</w:t>
      </w:r>
      <w:r w:rsidR="008F17B2" w:rsidRPr="00B6020B">
        <w:rPr>
          <w:rFonts w:ascii="ITC Avant Garde" w:hAnsi="ITC Avant Garde"/>
        </w:rPr>
        <w:t xml:space="preserve">l Instituto </w:t>
      </w:r>
      <w:r w:rsidRPr="00B6020B">
        <w:rPr>
          <w:rFonts w:ascii="ITC Avant Garde" w:hAnsi="ITC Avant Garde"/>
        </w:rPr>
        <w:t xml:space="preserve">puso a disposición de los interesados los siguientes medios para recibir </w:t>
      </w:r>
      <w:r w:rsidR="008437B4" w:rsidRPr="00B6020B">
        <w:rPr>
          <w:rFonts w:ascii="ITC Avant Garde" w:hAnsi="ITC Avant Garde"/>
        </w:rPr>
        <w:t>las participaciones</w:t>
      </w:r>
      <w:r w:rsidRPr="00B6020B">
        <w:rPr>
          <w:rFonts w:ascii="ITC Avant Garde" w:hAnsi="ITC Avant Garde"/>
        </w:rPr>
        <w:t>:</w:t>
      </w:r>
      <w:r w:rsidR="008437B4" w:rsidRPr="00B6020B">
        <w:rPr>
          <w:rFonts w:ascii="ITC Avant Garde" w:hAnsi="ITC Avant Garde"/>
        </w:rPr>
        <w:t xml:space="preserve"> </w:t>
      </w:r>
      <w:r w:rsidR="008437B4" w:rsidRPr="00B6020B">
        <w:rPr>
          <w:rFonts w:ascii="ITC Avant Garde" w:eastAsiaTheme="majorEastAsia" w:hAnsi="ITC Avant Garde" w:cstheme="majorBidi"/>
          <w:lang w:val="es-ES"/>
        </w:rPr>
        <w:t>a través de la</w:t>
      </w:r>
      <w:r w:rsidR="00195C02" w:rsidRPr="00B6020B">
        <w:rPr>
          <w:rFonts w:ascii="ITC Avant Garde" w:eastAsiaTheme="majorEastAsia" w:hAnsi="ITC Avant Garde" w:cstheme="majorBidi"/>
          <w:lang w:val="es-ES"/>
        </w:rPr>
        <w:t xml:space="preserve"> dirección de correo electrónico ofertas.referencia@ift.org.mx, o mediante escrito presentado en la Oficialía de Partes Común del Instituto ubicada en Insurgentes Sur 1143, colonia Nochebuena, Delegación Benito Juárez, C.P. 03720, Ciudad de México, de lunes a jueves de las </w:t>
      </w:r>
      <w:r w:rsidR="00195C02" w:rsidRPr="00B6020B">
        <w:rPr>
          <w:rFonts w:ascii="ITC Avant Garde" w:eastAsiaTheme="majorEastAsia" w:hAnsi="ITC Avant Garde" w:cstheme="majorBidi"/>
          <w:lang w:val="es-ES"/>
        </w:rPr>
        <w:lastRenderedPageBreak/>
        <w:t>9:00 a las 18:30 horas y los viernes de las 9:00 a las 15:00 horas</w:t>
      </w:r>
      <w:r w:rsidRPr="00B6020B">
        <w:rPr>
          <w:rFonts w:ascii="ITC Avant Garde" w:eastAsiaTheme="majorEastAsia" w:hAnsi="ITC Avant Garde" w:cstheme="majorBidi"/>
          <w:lang w:val="es-ES"/>
        </w:rPr>
        <w:t xml:space="preserve">, así como </w:t>
      </w:r>
      <w:r w:rsidR="00195C02" w:rsidRPr="00B6020B">
        <w:rPr>
          <w:rFonts w:ascii="ITC Avant Garde" w:eastAsiaTheme="majorEastAsia" w:hAnsi="ITC Avant Garde" w:cstheme="majorBidi"/>
          <w:lang w:val="es-ES"/>
        </w:rPr>
        <w:t xml:space="preserve">el </w:t>
      </w:r>
      <w:r w:rsidR="00195C02" w:rsidRPr="00B6020B">
        <w:rPr>
          <w:rFonts w:ascii="ITC Avant Garde" w:eastAsiaTheme="majorEastAsia" w:hAnsi="ITC Avant Garde" w:cstheme="majorBidi"/>
          <w:i/>
          <w:lang w:val="es-ES"/>
        </w:rPr>
        <w:t>“Formato para participar en la Consulta Pública”</w:t>
      </w:r>
      <w:r w:rsidR="00195C02" w:rsidRPr="00B6020B">
        <w:rPr>
          <w:rFonts w:ascii="ITC Avant Garde" w:eastAsiaTheme="majorEastAsia" w:hAnsi="ITC Avant Garde" w:cstheme="majorBidi"/>
          <w:lang w:val="es-ES"/>
        </w:rPr>
        <w:t>.</w:t>
      </w:r>
    </w:p>
    <w:p w14:paraId="4AB3C94A" w14:textId="77777777" w:rsidR="00305DC4" w:rsidRPr="00B6020B" w:rsidRDefault="00195C02" w:rsidP="007C328C">
      <w:pPr>
        <w:spacing w:line="276" w:lineRule="auto"/>
        <w:rPr>
          <w:rFonts w:ascii="ITC Avant Garde" w:eastAsiaTheme="majorEastAsia" w:hAnsi="ITC Avant Garde" w:cstheme="majorBidi"/>
          <w:lang w:val="es-ES"/>
        </w:rPr>
      </w:pPr>
      <w:r w:rsidRPr="00B6020B">
        <w:rPr>
          <w:rFonts w:ascii="ITC Avant Garde" w:eastAsiaTheme="majorEastAsia" w:hAnsi="ITC Avant Garde" w:cstheme="majorBidi"/>
          <w:lang w:val="es-ES"/>
        </w:rPr>
        <w:t xml:space="preserve">La información </w:t>
      </w:r>
      <w:r w:rsidR="008529A4" w:rsidRPr="00B6020B">
        <w:rPr>
          <w:rFonts w:ascii="ITC Avant Garde" w:eastAsiaTheme="majorEastAsia" w:hAnsi="ITC Avant Garde" w:cstheme="majorBidi"/>
          <w:lang w:val="es-ES"/>
        </w:rPr>
        <w:t xml:space="preserve">y opiniones </w:t>
      </w:r>
      <w:r w:rsidRPr="00B6020B">
        <w:rPr>
          <w:rFonts w:ascii="ITC Avant Garde" w:eastAsiaTheme="majorEastAsia" w:hAnsi="ITC Avant Garde" w:cstheme="majorBidi"/>
          <w:lang w:val="es-ES"/>
        </w:rPr>
        <w:t xml:space="preserve">que los interesados </w:t>
      </w:r>
      <w:r w:rsidR="008437B4" w:rsidRPr="00B6020B">
        <w:rPr>
          <w:rFonts w:ascii="ITC Avant Garde" w:eastAsiaTheme="majorEastAsia" w:hAnsi="ITC Avant Garde" w:cstheme="majorBidi"/>
          <w:lang w:val="es-ES"/>
        </w:rPr>
        <w:t>hicieron</w:t>
      </w:r>
      <w:r w:rsidRPr="00B6020B">
        <w:rPr>
          <w:rFonts w:ascii="ITC Avant Garde" w:eastAsiaTheme="majorEastAsia" w:hAnsi="ITC Avant Garde" w:cstheme="majorBidi"/>
          <w:lang w:val="es-ES"/>
        </w:rPr>
        <w:t xml:space="preserve"> llegar al Instituto</w:t>
      </w:r>
      <w:r w:rsidR="00442011" w:rsidRPr="00B6020B">
        <w:rPr>
          <w:rFonts w:ascii="ITC Avant Garde" w:eastAsiaTheme="majorEastAsia" w:hAnsi="ITC Avant Garde" w:cstheme="majorBidi"/>
          <w:lang w:val="es-ES"/>
        </w:rPr>
        <w:t>,</w:t>
      </w:r>
      <w:r w:rsidRPr="00B6020B">
        <w:rPr>
          <w:rFonts w:ascii="ITC Avant Garde" w:eastAsiaTheme="majorEastAsia" w:hAnsi="ITC Avant Garde" w:cstheme="majorBidi"/>
          <w:lang w:val="es-ES"/>
        </w:rPr>
        <w:t xml:space="preserve"> de acuerdo </w:t>
      </w:r>
      <w:r w:rsidR="00866049" w:rsidRPr="00B6020B">
        <w:rPr>
          <w:rFonts w:ascii="ITC Avant Garde" w:eastAsiaTheme="majorEastAsia" w:hAnsi="ITC Avant Garde" w:cstheme="majorBidi"/>
          <w:lang w:val="es-ES"/>
        </w:rPr>
        <w:t>con</w:t>
      </w:r>
      <w:r w:rsidRPr="00B6020B">
        <w:rPr>
          <w:rFonts w:ascii="ITC Avant Garde" w:eastAsiaTheme="majorEastAsia" w:hAnsi="ITC Avant Garde" w:cstheme="majorBidi"/>
          <w:lang w:val="es-ES"/>
        </w:rPr>
        <w:t xml:space="preserve"> los plazos y términos descritos en esta mecánica</w:t>
      </w:r>
      <w:r w:rsidR="00442011" w:rsidRPr="00B6020B">
        <w:rPr>
          <w:rFonts w:ascii="ITC Avant Garde" w:eastAsiaTheme="majorEastAsia" w:hAnsi="ITC Avant Garde" w:cstheme="majorBidi"/>
          <w:lang w:val="es-ES"/>
        </w:rPr>
        <w:t>,</w:t>
      </w:r>
      <w:r w:rsidRPr="00B6020B">
        <w:rPr>
          <w:rFonts w:ascii="ITC Avant Garde" w:eastAsiaTheme="majorEastAsia" w:hAnsi="ITC Avant Garde" w:cstheme="majorBidi"/>
          <w:lang w:val="es-ES"/>
        </w:rPr>
        <w:t xml:space="preserve"> no tiene</w:t>
      </w:r>
      <w:r w:rsidR="00866049" w:rsidRPr="00B6020B">
        <w:rPr>
          <w:rFonts w:ascii="ITC Avant Garde" w:eastAsiaTheme="majorEastAsia" w:hAnsi="ITC Avant Garde" w:cstheme="majorBidi"/>
          <w:lang w:val="es-ES"/>
        </w:rPr>
        <w:t>n</w:t>
      </w:r>
      <w:r w:rsidRPr="00B6020B">
        <w:rPr>
          <w:rFonts w:ascii="ITC Avant Garde" w:eastAsiaTheme="majorEastAsia" w:hAnsi="ITC Avant Garde" w:cstheme="majorBidi"/>
          <w:lang w:val="es-ES"/>
        </w:rPr>
        <w:t xml:space="preserve"> carácter vinculante, sin perjuicio de que el Instituto pueda ponderarla en un documento que refleje los resultados de dicha consulta, el cual se hará público en el apartado de la página de la consulta pública.</w:t>
      </w:r>
    </w:p>
    <w:p w14:paraId="6E3E002B" w14:textId="77777777" w:rsidR="00195C02" w:rsidRPr="00B6020B" w:rsidRDefault="00195C02" w:rsidP="007C328C">
      <w:pPr>
        <w:spacing w:line="276" w:lineRule="auto"/>
        <w:rPr>
          <w:rFonts w:ascii="ITC Avant Garde" w:eastAsiaTheme="majorEastAsia" w:hAnsi="ITC Avant Garde" w:cstheme="majorBidi"/>
          <w:b/>
          <w:lang w:val="es-ES"/>
        </w:rPr>
      </w:pPr>
      <w:r w:rsidRPr="00B6020B">
        <w:rPr>
          <w:rFonts w:ascii="ITC Avant Garde" w:eastAsiaTheme="majorEastAsia" w:hAnsi="ITC Avant Garde" w:cstheme="majorBidi"/>
          <w:b/>
          <w:lang w:val="es-ES"/>
        </w:rPr>
        <w:t>Objetivo de la consulta pública:</w:t>
      </w:r>
    </w:p>
    <w:p w14:paraId="5B9972DF" w14:textId="1A8E67FF" w:rsidR="00744429" w:rsidRPr="00B6020B" w:rsidRDefault="008F17B2" w:rsidP="007C328C">
      <w:pPr>
        <w:spacing w:line="276" w:lineRule="auto"/>
        <w:rPr>
          <w:rFonts w:ascii="ITC Avant Garde" w:eastAsiaTheme="majorEastAsia" w:hAnsi="ITC Avant Garde" w:cstheme="majorBidi"/>
          <w:lang w:val="es-ES"/>
        </w:rPr>
      </w:pPr>
      <w:r w:rsidRPr="00B6020B">
        <w:rPr>
          <w:rFonts w:ascii="ITC Avant Garde" w:eastAsiaTheme="majorEastAsia" w:hAnsi="ITC Avant Garde" w:cstheme="majorBidi"/>
          <w:lang w:val="es-ES"/>
        </w:rPr>
        <w:t xml:space="preserve">Los objetivos principales de la consulta pública consistieron en: </w:t>
      </w:r>
      <w:r w:rsidR="00744429" w:rsidRPr="00B6020B">
        <w:rPr>
          <w:rFonts w:ascii="ITC Avant Garde" w:eastAsiaTheme="majorEastAsia" w:hAnsi="ITC Avant Garde" w:cstheme="majorBidi"/>
          <w:lang w:val="es-ES"/>
        </w:rPr>
        <w:t xml:space="preserve">i) contar con mayores elementos para determinar las condiciones bajo las cuales </w:t>
      </w:r>
      <w:r w:rsidR="007236CE" w:rsidRPr="00B6020B">
        <w:rPr>
          <w:rFonts w:ascii="ITC Avant Garde" w:eastAsiaTheme="majorEastAsia" w:hAnsi="ITC Avant Garde" w:cstheme="majorBidi"/>
          <w:lang w:val="es-ES"/>
        </w:rPr>
        <w:t xml:space="preserve">el Pleno del Instituto </w:t>
      </w:r>
      <w:r w:rsidR="00744429" w:rsidRPr="00B6020B">
        <w:rPr>
          <w:rFonts w:ascii="ITC Avant Garde" w:eastAsiaTheme="majorEastAsia" w:hAnsi="ITC Avant Garde" w:cstheme="majorBidi"/>
          <w:lang w:val="es-ES"/>
        </w:rPr>
        <w:t>deberá aprobar las Ofertas de Referencia impuestas a</w:t>
      </w:r>
      <w:r w:rsidR="007236CE" w:rsidRPr="00B6020B">
        <w:rPr>
          <w:rFonts w:ascii="ITC Avant Garde" w:eastAsiaTheme="majorEastAsia" w:hAnsi="ITC Avant Garde" w:cstheme="majorBidi"/>
          <w:lang w:val="es-ES"/>
        </w:rPr>
        <w:t xml:space="preserve"> integrantes del</w:t>
      </w:r>
      <w:r w:rsidR="00744429" w:rsidRPr="00B6020B">
        <w:rPr>
          <w:rFonts w:ascii="ITC Avant Garde" w:eastAsiaTheme="majorEastAsia" w:hAnsi="ITC Avant Garde" w:cstheme="majorBidi"/>
          <w:lang w:val="es-ES"/>
        </w:rPr>
        <w:t xml:space="preserve"> Agente Económico Preponderante en el sector de las telecomunicaciones; ii) favorecer la transparencia y participación ciudadana con el fin de recibir los comentarios, opiniones y aportaciones de la industria, académicos, analistas, gobierno, ámbito internacional y sociedad en general sobre las Ofertas de Referencia, y iii) establecer las bases para aprobar o modificar las mismas.</w:t>
      </w:r>
    </w:p>
    <w:p w14:paraId="28D8BB97" w14:textId="77777777" w:rsidR="00195C02" w:rsidRPr="00B6020B" w:rsidRDefault="00195C02" w:rsidP="007C328C">
      <w:pPr>
        <w:spacing w:line="276" w:lineRule="auto"/>
        <w:rPr>
          <w:rFonts w:ascii="ITC Avant Garde" w:eastAsiaTheme="majorEastAsia" w:hAnsi="ITC Avant Garde" w:cstheme="majorBidi"/>
          <w:b/>
          <w:lang w:val="es-ES"/>
        </w:rPr>
      </w:pPr>
      <w:r w:rsidRPr="00B6020B">
        <w:rPr>
          <w:rFonts w:ascii="ITC Avant Garde" w:eastAsiaTheme="majorEastAsia" w:hAnsi="ITC Avant Garde" w:cstheme="majorBidi"/>
          <w:b/>
          <w:lang w:val="es-ES"/>
        </w:rPr>
        <w:t>Unidades y/o Coordinaciones Generales responsables de la consulta pública</w:t>
      </w:r>
      <w:r w:rsidR="008F17B2" w:rsidRPr="00B6020B">
        <w:rPr>
          <w:rFonts w:ascii="ITC Avant Garde" w:eastAsiaTheme="majorEastAsia" w:hAnsi="ITC Avant Garde" w:cstheme="majorBidi"/>
          <w:b/>
          <w:lang w:val="es-ES"/>
        </w:rPr>
        <w:t>:</w:t>
      </w:r>
    </w:p>
    <w:p w14:paraId="1DA15CE2" w14:textId="77777777" w:rsidR="00195C02" w:rsidRPr="00B6020B" w:rsidRDefault="00195C02" w:rsidP="007C328C">
      <w:pPr>
        <w:spacing w:line="276" w:lineRule="auto"/>
        <w:rPr>
          <w:rFonts w:ascii="ITC Avant Garde" w:eastAsiaTheme="majorEastAsia" w:hAnsi="ITC Avant Garde" w:cstheme="majorBidi"/>
          <w:lang w:val="es-ES"/>
        </w:rPr>
      </w:pPr>
      <w:r w:rsidRPr="00B6020B">
        <w:rPr>
          <w:rFonts w:ascii="ITC Avant Garde" w:eastAsiaTheme="majorEastAsia" w:hAnsi="ITC Avant Garde" w:cstheme="majorBidi"/>
          <w:lang w:val="es-ES"/>
        </w:rPr>
        <w:t>Unidad Política Regulatoria</w:t>
      </w:r>
      <w:r w:rsidR="00866049" w:rsidRPr="00B6020B">
        <w:rPr>
          <w:rFonts w:ascii="ITC Avant Garde" w:eastAsiaTheme="majorEastAsia" w:hAnsi="ITC Avant Garde" w:cstheme="majorBidi"/>
          <w:lang w:val="es-ES"/>
        </w:rPr>
        <w:t xml:space="preserve"> (en lo sucesivo, la “UPR”).</w:t>
      </w:r>
    </w:p>
    <w:p w14:paraId="52751973" w14:textId="77777777" w:rsidR="00195C02" w:rsidRPr="00B6020B" w:rsidRDefault="00195C02" w:rsidP="007C328C">
      <w:pPr>
        <w:spacing w:line="276" w:lineRule="auto"/>
        <w:rPr>
          <w:rFonts w:ascii="ITC Avant Garde" w:eastAsiaTheme="majorEastAsia" w:hAnsi="ITC Avant Garde" w:cstheme="majorBidi"/>
          <w:b/>
          <w:lang w:val="es-ES"/>
        </w:rPr>
      </w:pPr>
      <w:r w:rsidRPr="00B6020B">
        <w:rPr>
          <w:rFonts w:ascii="ITC Avant Garde" w:eastAsiaTheme="majorEastAsia" w:hAnsi="ITC Avant Garde" w:cstheme="majorBidi"/>
          <w:b/>
          <w:lang w:val="es-ES"/>
        </w:rPr>
        <w:t>Descripción de los participantes en la consulta pública</w:t>
      </w:r>
      <w:r w:rsidR="008F17B2" w:rsidRPr="00B6020B">
        <w:rPr>
          <w:rFonts w:ascii="ITC Avant Garde" w:eastAsiaTheme="majorEastAsia" w:hAnsi="ITC Avant Garde" w:cstheme="majorBidi"/>
          <w:b/>
          <w:lang w:val="es-ES"/>
        </w:rPr>
        <w:t>:</w:t>
      </w:r>
    </w:p>
    <w:p w14:paraId="715E3853" w14:textId="48BA12C3" w:rsidR="00B029FD" w:rsidRPr="00B6020B" w:rsidRDefault="008F7AB3" w:rsidP="007C328C">
      <w:pPr>
        <w:spacing w:line="276" w:lineRule="auto"/>
        <w:rPr>
          <w:rFonts w:ascii="ITC Avant Garde" w:eastAsia="Calibri" w:hAnsi="ITC Avant Garde" w:cs="Times New Roman"/>
          <w:lang w:val="es-ES"/>
        </w:rPr>
      </w:pPr>
      <w:r w:rsidRPr="00B6020B">
        <w:rPr>
          <w:rFonts w:ascii="ITC Avant Garde" w:eastAsia="Calibri" w:hAnsi="ITC Avant Garde" w:cs="Times New Roman"/>
          <w:lang w:val="es-ES"/>
        </w:rPr>
        <w:t>D</w:t>
      </w:r>
      <w:r w:rsidR="00AE57D0" w:rsidRPr="00B6020B">
        <w:rPr>
          <w:rFonts w:ascii="ITC Avant Garde" w:eastAsia="Calibri" w:hAnsi="ITC Avant Garde" w:cs="Times New Roman"/>
          <w:lang w:val="es-ES"/>
        </w:rPr>
        <w:t>urante</w:t>
      </w:r>
      <w:r w:rsidR="00B029FD" w:rsidRPr="00B6020B">
        <w:rPr>
          <w:rFonts w:ascii="ITC Avant Garde" w:eastAsia="Calibri" w:hAnsi="ITC Avant Garde" w:cs="Times New Roman"/>
          <w:lang w:val="es-ES"/>
        </w:rPr>
        <w:t xml:space="preserve"> el </w:t>
      </w:r>
      <w:r w:rsidR="00AE57D0" w:rsidRPr="00B6020B">
        <w:rPr>
          <w:rFonts w:ascii="ITC Avant Garde" w:eastAsia="Calibri" w:hAnsi="ITC Avant Garde" w:cs="Times New Roman"/>
          <w:lang w:val="es-ES"/>
        </w:rPr>
        <w:t>periodo</w:t>
      </w:r>
      <w:r w:rsidR="00B029FD" w:rsidRPr="00B6020B">
        <w:rPr>
          <w:rFonts w:ascii="ITC Avant Garde" w:eastAsia="Calibri" w:hAnsi="ITC Avant Garde" w:cs="Times New Roman"/>
          <w:lang w:val="es-ES"/>
        </w:rPr>
        <w:t xml:space="preserve"> de la consulta pública de mérito s</w:t>
      </w:r>
      <w:r w:rsidR="008529A4" w:rsidRPr="00B6020B">
        <w:rPr>
          <w:rFonts w:ascii="ITC Avant Garde" w:eastAsia="Calibri" w:hAnsi="ITC Avant Garde" w:cs="Times New Roman"/>
          <w:lang w:val="es-ES"/>
        </w:rPr>
        <w:t xml:space="preserve">ólo se </w:t>
      </w:r>
      <w:r w:rsidR="00B029FD" w:rsidRPr="00B6020B">
        <w:rPr>
          <w:rFonts w:ascii="ITC Avant Garde" w:eastAsia="Calibri" w:hAnsi="ITC Avant Garde" w:cs="Times New Roman"/>
          <w:lang w:val="es-ES"/>
        </w:rPr>
        <w:t xml:space="preserve">recibieron </w:t>
      </w:r>
      <w:r w:rsidR="00A64D68" w:rsidRPr="00B6020B">
        <w:rPr>
          <w:rFonts w:ascii="ITC Avant Garde" w:eastAsia="Calibri" w:hAnsi="ITC Avant Garde" w:cs="Times New Roman"/>
          <w:lang w:val="es-ES"/>
        </w:rPr>
        <w:t>comentarios</w:t>
      </w:r>
      <w:r w:rsidR="00AE57D0" w:rsidRPr="00B6020B">
        <w:rPr>
          <w:rFonts w:ascii="ITC Avant Garde" w:eastAsia="Calibri" w:hAnsi="ITC Avant Garde" w:cs="Times New Roman"/>
          <w:lang w:val="es-ES"/>
        </w:rPr>
        <w:t xml:space="preserve"> </w:t>
      </w:r>
      <w:r w:rsidR="00E81B4E" w:rsidRPr="00B6020B">
        <w:rPr>
          <w:rFonts w:ascii="ITC Avant Garde" w:eastAsia="Calibri" w:hAnsi="ITC Avant Garde" w:cs="Times New Roman"/>
          <w:lang w:val="es-ES"/>
        </w:rPr>
        <w:t xml:space="preserve">a la Propuesta de Oferta de Referencia de </w:t>
      </w:r>
      <w:proofErr w:type="spellStart"/>
      <w:r w:rsidR="00E81B4E" w:rsidRPr="00B6020B">
        <w:rPr>
          <w:rFonts w:ascii="ITC Avant Garde" w:eastAsia="Calibri" w:hAnsi="ITC Avant Garde" w:cs="Times New Roman"/>
          <w:lang w:val="es-ES"/>
        </w:rPr>
        <w:t>Telesites</w:t>
      </w:r>
      <w:proofErr w:type="spellEnd"/>
      <w:r w:rsidR="00E81B4E" w:rsidRPr="00B6020B">
        <w:rPr>
          <w:rFonts w:ascii="ITC Avant Garde" w:eastAsia="Calibri" w:hAnsi="ITC Avant Garde" w:cs="Times New Roman"/>
          <w:lang w:val="es-ES"/>
        </w:rPr>
        <w:t xml:space="preserve"> y Fibra por parte de las siguientes participantes</w:t>
      </w:r>
      <w:r w:rsidR="00B029FD" w:rsidRPr="00B6020B">
        <w:rPr>
          <w:rFonts w:ascii="ITC Avant Garde" w:eastAsia="Calibri" w:hAnsi="ITC Avant Garde" w:cs="Times New Roman"/>
          <w:lang w:val="es-ES"/>
        </w:rPr>
        <w:t>:</w:t>
      </w:r>
    </w:p>
    <w:p w14:paraId="46A3C967" w14:textId="77777777" w:rsidR="00744429" w:rsidRPr="00B6020B" w:rsidRDefault="00744429" w:rsidP="007C328C">
      <w:pPr>
        <w:pStyle w:val="Prrafodelista"/>
        <w:numPr>
          <w:ilvl w:val="0"/>
          <w:numId w:val="10"/>
        </w:numPr>
        <w:spacing w:line="276" w:lineRule="auto"/>
        <w:rPr>
          <w:rFonts w:ascii="ITC Avant Garde" w:hAnsi="ITC Avant Garde"/>
        </w:rPr>
      </w:pPr>
      <w:r w:rsidRPr="00B6020B">
        <w:rPr>
          <w:rFonts w:ascii="ITC Avant Garde" w:hAnsi="ITC Avant Garde"/>
        </w:rPr>
        <w:t>AT&amp;T Comunicaciones Digitales, S. de R.L. de C.V., Grupo AT&amp;T Celullar, S. de R.L. de C.V. y AT&amp;T Comercialización Móvil, S. de R.L. de C.V. (en lo sucesivo de manera conjunta, “AT&amp;T”)</w:t>
      </w:r>
    </w:p>
    <w:p w14:paraId="14725AFF" w14:textId="77777777" w:rsidR="00744429" w:rsidRPr="00B6020B" w:rsidRDefault="00744429" w:rsidP="007C328C">
      <w:pPr>
        <w:pStyle w:val="Prrafodelista"/>
        <w:spacing w:line="276" w:lineRule="auto"/>
        <w:ind w:left="1080"/>
        <w:rPr>
          <w:rFonts w:ascii="ITC Avant Garde" w:hAnsi="ITC Avant Garde"/>
        </w:rPr>
      </w:pPr>
    </w:p>
    <w:p w14:paraId="0219B5AB" w14:textId="77777777" w:rsidR="00744429" w:rsidRPr="00B6020B" w:rsidRDefault="00AE57D0" w:rsidP="007C328C">
      <w:pPr>
        <w:pStyle w:val="Prrafodelista"/>
        <w:numPr>
          <w:ilvl w:val="0"/>
          <w:numId w:val="10"/>
        </w:numPr>
        <w:spacing w:line="276" w:lineRule="auto"/>
        <w:rPr>
          <w:rFonts w:ascii="ITC Avant Garde" w:hAnsi="ITC Avant Garde"/>
        </w:rPr>
      </w:pPr>
      <w:r w:rsidRPr="00B6020B">
        <w:rPr>
          <w:rFonts w:ascii="ITC Avant Garde" w:eastAsiaTheme="minorHAnsi" w:hAnsi="ITC Avant Garde" w:cs="ITC Avant Garde"/>
        </w:rPr>
        <w:t>Operbes, S.A. de C.V.</w:t>
      </w:r>
      <w:r w:rsidR="00F63699" w:rsidRPr="00B6020B">
        <w:rPr>
          <w:rFonts w:ascii="ITC Avant Garde" w:eastAsiaTheme="minorHAnsi" w:hAnsi="ITC Avant Garde" w:cs="ITC Avant Garde"/>
        </w:rPr>
        <w:t xml:space="preserve"> </w:t>
      </w:r>
      <w:r w:rsidR="00C05A76" w:rsidRPr="00B6020B">
        <w:rPr>
          <w:rFonts w:ascii="ITC Avant Garde" w:hAnsi="ITC Avant Garde"/>
        </w:rPr>
        <w:t>(</w:t>
      </w:r>
      <w:r w:rsidR="00AC0936" w:rsidRPr="00B6020B">
        <w:rPr>
          <w:rFonts w:ascii="ITC Avant Garde" w:hAnsi="ITC Avant Garde"/>
        </w:rPr>
        <w:t>en</w:t>
      </w:r>
      <w:r w:rsidR="00C05A76" w:rsidRPr="00B6020B">
        <w:rPr>
          <w:rFonts w:ascii="ITC Avant Garde" w:hAnsi="ITC Avant Garde"/>
        </w:rPr>
        <w:t xml:space="preserve"> lo sucesivo</w:t>
      </w:r>
      <w:r w:rsidR="006C558C" w:rsidRPr="00B6020B">
        <w:rPr>
          <w:rFonts w:ascii="ITC Avant Garde" w:hAnsi="ITC Avant Garde"/>
        </w:rPr>
        <w:t>,</w:t>
      </w:r>
      <w:r w:rsidR="00C05A76" w:rsidRPr="00B6020B">
        <w:rPr>
          <w:rFonts w:ascii="ITC Avant Garde" w:hAnsi="ITC Avant Garde"/>
        </w:rPr>
        <w:t xml:space="preserve"> “</w:t>
      </w:r>
      <w:r w:rsidR="00A7790A" w:rsidRPr="00B6020B">
        <w:rPr>
          <w:rFonts w:ascii="ITC Avant Garde" w:hAnsi="ITC Avant Garde"/>
        </w:rPr>
        <w:t>Televisa</w:t>
      </w:r>
      <w:r w:rsidR="00C05A76" w:rsidRPr="00B6020B">
        <w:rPr>
          <w:rFonts w:ascii="ITC Avant Garde" w:hAnsi="ITC Avant Garde"/>
        </w:rPr>
        <w:t>”).</w:t>
      </w:r>
    </w:p>
    <w:p w14:paraId="2F5B0A1C" w14:textId="77777777" w:rsidR="00744429" w:rsidRPr="00B6020B" w:rsidRDefault="00EE5B91" w:rsidP="007C328C">
      <w:pPr>
        <w:spacing w:line="276" w:lineRule="auto"/>
        <w:rPr>
          <w:rFonts w:ascii="ITC Avant Garde" w:hAnsi="ITC Avant Garde"/>
        </w:rPr>
      </w:pPr>
      <w:r w:rsidRPr="00B6020B">
        <w:rPr>
          <w:rFonts w:ascii="ITC Avant Garde" w:hAnsi="ITC Avant Garde"/>
        </w:rPr>
        <w:t>Dicha</w:t>
      </w:r>
      <w:r w:rsidR="00744429" w:rsidRPr="00B6020B">
        <w:rPr>
          <w:rFonts w:ascii="ITC Avant Garde" w:hAnsi="ITC Avant Garde"/>
        </w:rPr>
        <w:t>s</w:t>
      </w:r>
      <w:r w:rsidRPr="00B6020B">
        <w:rPr>
          <w:rFonts w:ascii="ITC Avant Garde" w:hAnsi="ITC Avant Garde"/>
        </w:rPr>
        <w:t xml:space="preserve"> participaci</w:t>
      </w:r>
      <w:r w:rsidR="00744429" w:rsidRPr="00B6020B">
        <w:rPr>
          <w:rFonts w:ascii="ITC Avant Garde" w:hAnsi="ITC Avant Garde"/>
        </w:rPr>
        <w:t>ones</w:t>
      </w:r>
      <w:r w:rsidRPr="00B6020B">
        <w:rPr>
          <w:rFonts w:ascii="ITC Avant Garde" w:hAnsi="ITC Avant Garde"/>
        </w:rPr>
        <w:t xml:space="preserve"> se encuentra disponible para su consulta en la página de internet del Instituto:</w:t>
      </w:r>
      <w:r w:rsidR="00C45224" w:rsidRPr="00B6020B">
        <w:rPr>
          <w:rFonts w:ascii="ITC Avant Garde" w:hAnsi="ITC Avant Garde"/>
        </w:rPr>
        <w:t xml:space="preserve"> </w:t>
      </w:r>
      <w:hyperlink r:id="rId11" w:history="1">
        <w:r w:rsidR="000D7A44" w:rsidRPr="00B6020B">
          <w:rPr>
            <w:rFonts w:ascii="ITC Avant Garde" w:hAnsi="ITC Avant Garde"/>
          </w:rPr>
          <w:t>https://www.ift.org.mx/industria/consultas-publicas/consulta-publica-sobre-las-propuestas-de-ofertas-de-referencia-de-los-servicios-mayoristas-de-5</w:t>
        </w:r>
      </w:hyperlink>
      <w:r w:rsidR="000D7A44" w:rsidRPr="00B6020B">
        <w:rPr>
          <w:rFonts w:ascii="ITC Avant Garde" w:hAnsi="ITC Avant Garde"/>
        </w:rPr>
        <w:t xml:space="preserve"> </w:t>
      </w:r>
    </w:p>
    <w:p w14:paraId="529F955C" w14:textId="77777777" w:rsidR="00EE5B91" w:rsidRPr="00B6020B" w:rsidRDefault="00EE5B91" w:rsidP="007C328C">
      <w:pPr>
        <w:pStyle w:val="IFTnormal"/>
      </w:pPr>
      <w:r w:rsidRPr="00B6020B">
        <w:rPr>
          <w:b/>
        </w:rPr>
        <w:t xml:space="preserve">Respuestas o posicionamientos por parte </w:t>
      </w:r>
      <w:r w:rsidR="00505055" w:rsidRPr="00B6020B">
        <w:rPr>
          <w:b/>
        </w:rPr>
        <w:t>de la UPR</w:t>
      </w:r>
      <w:r w:rsidRPr="00B6020B">
        <w:rPr>
          <w:b/>
        </w:rPr>
        <w:t xml:space="preserve">: </w:t>
      </w:r>
      <w:r w:rsidRPr="00B6020B">
        <w:t>con relación a las manifestaciones, opiniones, comentarios y propuestas concretas sobre la Propuesta de Oferta de Referencia, el orden en que s</w:t>
      </w:r>
      <w:r w:rsidR="008529A4" w:rsidRPr="00B6020B">
        <w:t>erán</w:t>
      </w:r>
      <w:r w:rsidRPr="00B6020B">
        <w:t xml:space="preserve"> abordados cada uno de los temas obedece al orden en que cada uno de éstos aparecen en </w:t>
      </w:r>
      <w:r w:rsidR="00866049" w:rsidRPr="00B6020B">
        <w:t>dicha p</w:t>
      </w:r>
      <w:r w:rsidRPr="00B6020B">
        <w:t>ropuesta, así como a los anexos de la misma.</w:t>
      </w:r>
    </w:p>
    <w:p w14:paraId="4F31DC50" w14:textId="77777777" w:rsidR="000D7A44" w:rsidRPr="00B6020B" w:rsidRDefault="00EE5B91" w:rsidP="007C328C">
      <w:pPr>
        <w:pStyle w:val="1TitPrin"/>
        <w:outlineLvl w:val="9"/>
      </w:pPr>
      <w:r w:rsidRPr="00B6020B">
        <w:rPr>
          <w:b w:val="0"/>
          <w:color w:val="000000"/>
          <w:u w:val="none"/>
          <w:lang w:val="es-ES_tradnl"/>
        </w:rPr>
        <w:lastRenderedPageBreak/>
        <w:t xml:space="preserve">Por lo anterior, </w:t>
      </w:r>
      <w:r w:rsidR="008529A4" w:rsidRPr="00B6020B">
        <w:rPr>
          <w:b w:val="0"/>
          <w:color w:val="000000"/>
          <w:u w:val="none"/>
          <w:lang w:val="es-ES_tradnl"/>
        </w:rPr>
        <w:t xml:space="preserve">la </w:t>
      </w:r>
      <w:r w:rsidR="00866049" w:rsidRPr="00B6020B">
        <w:rPr>
          <w:b w:val="0"/>
          <w:color w:val="000000"/>
          <w:u w:val="none"/>
          <w:lang w:val="es-ES_tradnl"/>
        </w:rPr>
        <w:t xml:space="preserve">UPR </w:t>
      </w:r>
      <w:r w:rsidRPr="00B6020B">
        <w:rPr>
          <w:b w:val="0"/>
          <w:color w:val="000000"/>
          <w:u w:val="none"/>
          <w:lang w:val="es-ES_tradnl"/>
        </w:rPr>
        <w:t>emite las siguientes respuestas y consideraciones:</w:t>
      </w:r>
      <w:r w:rsidR="00E91905" w:rsidRPr="00B6020B">
        <w:t xml:space="preserve"> </w:t>
      </w:r>
    </w:p>
    <w:p w14:paraId="46DDC67F" w14:textId="77777777" w:rsidR="009F3558" w:rsidRPr="00B6020B" w:rsidRDefault="009F3558" w:rsidP="007C328C">
      <w:pPr>
        <w:pStyle w:val="1TitPrin"/>
        <w:numPr>
          <w:ilvl w:val="0"/>
          <w:numId w:val="12"/>
        </w:numPr>
        <w:outlineLvl w:val="9"/>
        <w:rPr>
          <w:b w:val="0"/>
          <w:lang w:val="es-ES_tradnl"/>
        </w:rPr>
      </w:pPr>
      <w:r w:rsidRPr="00B6020B">
        <w:rPr>
          <w:lang w:val="es-ES_tradnl"/>
        </w:rPr>
        <w:t>Intereses Moratorios Oferta de Referencia Apartado II. Definiciones</w:t>
      </w:r>
    </w:p>
    <w:p w14:paraId="4514E362" w14:textId="256EAFDD" w:rsidR="009F3558" w:rsidRPr="00B6020B" w:rsidRDefault="009F3558" w:rsidP="007C328C">
      <w:pPr>
        <w:spacing w:after="120" w:line="276" w:lineRule="auto"/>
        <w:rPr>
          <w:rFonts w:ascii="ITC Avant Garde" w:hAnsi="ITC Avant Garde"/>
          <w:lang w:val="es-ES_tradnl"/>
        </w:rPr>
      </w:pPr>
      <w:r w:rsidRPr="00B6020B">
        <w:rPr>
          <w:rFonts w:ascii="ITC Avant Garde" w:hAnsi="ITC Avant Garde"/>
          <w:lang w:val="es-ES_tradnl"/>
        </w:rPr>
        <w:t xml:space="preserve">Respecto el apartado </w:t>
      </w:r>
      <w:r w:rsidRPr="00B6020B">
        <w:rPr>
          <w:rFonts w:ascii="ITC Avant Garde" w:hAnsi="ITC Avant Garde"/>
          <w:i/>
          <w:lang w:val="es-ES_tradnl"/>
        </w:rPr>
        <w:t xml:space="preserve">“II. DEFINICIONES” </w:t>
      </w:r>
      <w:r w:rsidRPr="00B6020B">
        <w:rPr>
          <w:rFonts w:ascii="ITC Avant Garde" w:hAnsi="ITC Avant Garde"/>
          <w:lang w:val="es-ES_tradnl"/>
        </w:rPr>
        <w:t>dentro de la Propuesta de Oferta de Referencia, Televisa coment</w:t>
      </w:r>
      <w:r w:rsidR="00372826" w:rsidRPr="00B6020B">
        <w:rPr>
          <w:rFonts w:ascii="ITC Avant Garde" w:hAnsi="ITC Avant Garde"/>
          <w:lang w:val="es-ES_tradnl"/>
        </w:rPr>
        <w:t>ó</w:t>
      </w:r>
      <w:r w:rsidRPr="00B6020B">
        <w:rPr>
          <w:rFonts w:ascii="ITC Avant Garde" w:hAnsi="ITC Avant Garde"/>
          <w:lang w:val="es-ES_tradnl"/>
        </w:rPr>
        <w:t xml:space="preserve"> que en la definición de Intereses Moratorios se indica que la Tasa de Interés Interbancaria de Equilibrio (conocida como TIIE) se multiplicará a razón de 3 veces, lo cual considera un cobro elevado en relación con los términos utilizados en el mercado. </w:t>
      </w:r>
    </w:p>
    <w:p w14:paraId="4D63F9FF" w14:textId="77777777" w:rsidR="009F3558" w:rsidRPr="00B6020B" w:rsidRDefault="00372826" w:rsidP="007C328C">
      <w:pPr>
        <w:spacing w:after="120" w:line="276" w:lineRule="auto"/>
        <w:rPr>
          <w:rFonts w:ascii="ITC Avant Garde" w:hAnsi="ITC Avant Garde"/>
          <w:lang w:val="es-ES_tradnl"/>
        </w:rPr>
      </w:pPr>
      <w:r w:rsidRPr="00B6020B">
        <w:rPr>
          <w:rFonts w:ascii="ITC Avant Garde" w:hAnsi="ITC Avant Garde"/>
          <w:lang w:val="es-ES_tradnl"/>
        </w:rPr>
        <w:t>En consideración de lo anterior sugirió</w:t>
      </w:r>
      <w:r w:rsidR="009F3558" w:rsidRPr="00B6020B">
        <w:rPr>
          <w:rFonts w:ascii="ITC Avant Garde" w:hAnsi="ITC Avant Garde"/>
          <w:lang w:val="es-ES_tradnl"/>
        </w:rPr>
        <w:t xml:space="preserve"> la modificación de la definición </w:t>
      </w:r>
      <w:r w:rsidR="009F3558" w:rsidRPr="00B6020B">
        <w:rPr>
          <w:rFonts w:ascii="ITC Avant Garde" w:hAnsi="ITC Avant Garde"/>
          <w:i/>
          <w:lang w:val="es-ES_tradnl"/>
        </w:rPr>
        <w:t>“Intereses Moratorios”</w:t>
      </w:r>
      <w:r w:rsidR="009F3558" w:rsidRPr="00B6020B">
        <w:rPr>
          <w:rFonts w:ascii="ITC Avant Garde" w:hAnsi="ITC Avant Garde"/>
          <w:lang w:val="es-ES_tradnl"/>
        </w:rPr>
        <w:t xml:space="preserve"> dentro de la Propuesta de Oferta de Referencia para que se indique que la TIIE será multiplicada por </w:t>
      </w:r>
      <w:r w:rsidR="008664F7" w:rsidRPr="00B6020B">
        <w:rPr>
          <w:rFonts w:ascii="ITC Avant Garde" w:hAnsi="ITC Avant Garde"/>
          <w:lang w:val="es-ES_tradnl"/>
        </w:rPr>
        <w:t>1.5 veces, entre 365 días por el saldo promedio diario vencido</w:t>
      </w:r>
      <w:r w:rsidR="009F3558" w:rsidRPr="00B6020B">
        <w:rPr>
          <w:rFonts w:ascii="ITC Avant Garde" w:hAnsi="ITC Avant Garde"/>
          <w:lang w:val="es-ES_tradnl"/>
        </w:rPr>
        <w:t>.</w:t>
      </w:r>
    </w:p>
    <w:p w14:paraId="0F7A8BD9" w14:textId="77777777" w:rsidR="009F3558" w:rsidRPr="00B6020B" w:rsidRDefault="009F3558" w:rsidP="007C328C">
      <w:pPr>
        <w:spacing w:after="120" w:line="276" w:lineRule="auto"/>
        <w:rPr>
          <w:rFonts w:ascii="ITC Avant Garde" w:hAnsi="ITC Avant Garde"/>
          <w:u w:val="single"/>
          <w:lang w:val="es-ES_tradnl"/>
        </w:rPr>
      </w:pPr>
      <w:r w:rsidRPr="00B6020B">
        <w:rPr>
          <w:rFonts w:ascii="ITC Avant Garde" w:hAnsi="ITC Avant Garde"/>
          <w:u w:val="single"/>
          <w:lang w:val="es-ES_tradnl"/>
        </w:rPr>
        <w:t>Respuesta de la UPR</w:t>
      </w:r>
    </w:p>
    <w:p w14:paraId="6B53BFFF" w14:textId="77777777" w:rsidR="009F3558" w:rsidRPr="00B6020B" w:rsidRDefault="009F3558" w:rsidP="007C328C">
      <w:pPr>
        <w:pStyle w:val="Textoindependiente"/>
        <w:spacing w:line="276" w:lineRule="auto"/>
        <w:rPr>
          <w:rFonts w:ascii="ITC Avant Garde" w:hAnsi="ITC Avant Garde"/>
          <w:lang w:val="es-ES_tradnl"/>
        </w:rPr>
      </w:pPr>
      <w:r w:rsidRPr="00B6020B">
        <w:rPr>
          <w:rFonts w:ascii="ITC Avant Garde" w:hAnsi="ITC Avant Garde"/>
          <w:lang w:val="es-ES_tradnl"/>
        </w:rPr>
        <w:t xml:space="preserve">Por lo que hace </w:t>
      </w:r>
      <w:r w:rsidR="00372826" w:rsidRPr="00B6020B">
        <w:rPr>
          <w:rFonts w:ascii="ITC Avant Garde" w:hAnsi="ITC Avant Garde"/>
          <w:lang w:val="es-ES_tradnl"/>
        </w:rPr>
        <w:t>a dichas manifestaciones,</w:t>
      </w:r>
      <w:r w:rsidRPr="00B6020B">
        <w:rPr>
          <w:rFonts w:ascii="ITC Avant Garde" w:hAnsi="ITC Avant Garde"/>
          <w:lang w:val="es-ES_tradnl"/>
        </w:rPr>
        <w:t xml:space="preserve"> la UPR considera que la TIIE establecida ha prevalecido de Ofertas de Referencia </w:t>
      </w:r>
      <w:r w:rsidR="00372826" w:rsidRPr="00B6020B">
        <w:rPr>
          <w:rFonts w:ascii="ITC Avant Garde" w:hAnsi="ITC Avant Garde"/>
          <w:lang w:val="es-ES_tradnl"/>
        </w:rPr>
        <w:t>autorizadas por el Instituto en ejercicios previos</w:t>
      </w:r>
      <w:r w:rsidRPr="00B6020B">
        <w:rPr>
          <w:rFonts w:ascii="ITC Avant Garde" w:hAnsi="ITC Avant Garde"/>
          <w:lang w:val="es-ES_tradnl"/>
        </w:rPr>
        <w:t xml:space="preserve">, mismas que han </w:t>
      </w:r>
      <w:r w:rsidR="00372826" w:rsidRPr="00B6020B">
        <w:rPr>
          <w:rFonts w:ascii="ITC Avant Garde" w:hAnsi="ITC Avant Garde"/>
          <w:lang w:val="es-ES_tradnl"/>
        </w:rPr>
        <w:t>sido</w:t>
      </w:r>
      <w:r w:rsidRPr="00B6020B">
        <w:rPr>
          <w:rFonts w:ascii="ITC Avant Garde" w:hAnsi="ITC Avant Garde"/>
          <w:lang w:val="es-ES_tradnl"/>
        </w:rPr>
        <w:t xml:space="preserve"> </w:t>
      </w:r>
      <w:r w:rsidR="00372826" w:rsidRPr="00B6020B">
        <w:rPr>
          <w:rFonts w:ascii="ITC Avant Garde" w:hAnsi="ITC Avant Garde"/>
          <w:lang w:val="es-ES_tradnl"/>
        </w:rPr>
        <w:t>acordadas por diversos CS para</w:t>
      </w:r>
      <w:r w:rsidRPr="00B6020B">
        <w:rPr>
          <w:rFonts w:ascii="ITC Avant Garde" w:hAnsi="ITC Avant Garde"/>
          <w:lang w:val="es-ES_tradnl"/>
        </w:rPr>
        <w:t xml:space="preserve"> la prestación de servicios de compartición de infraestructura pasiva</w:t>
      </w:r>
      <w:r w:rsidR="00372826" w:rsidRPr="00B6020B">
        <w:rPr>
          <w:rFonts w:ascii="ITC Avant Garde" w:hAnsi="ITC Avant Garde"/>
          <w:lang w:val="es-ES_tradnl"/>
        </w:rPr>
        <w:t>, sin que de ello hubiera resultado alguna afectación o desacuerdo promovido ante el Instituto sobre la aplicación de dicho parámetro</w:t>
      </w:r>
      <w:r w:rsidRPr="00B6020B">
        <w:rPr>
          <w:rFonts w:ascii="ITC Avant Garde" w:hAnsi="ITC Avant Garde"/>
          <w:lang w:val="es-ES_tradnl"/>
        </w:rPr>
        <w:t xml:space="preserve">. </w:t>
      </w:r>
    </w:p>
    <w:p w14:paraId="06F99460" w14:textId="77777777" w:rsidR="009F3558" w:rsidRPr="00B6020B" w:rsidRDefault="00372826" w:rsidP="007C328C">
      <w:pPr>
        <w:pStyle w:val="Textoindependiente"/>
        <w:spacing w:line="276" w:lineRule="auto"/>
        <w:rPr>
          <w:rFonts w:ascii="ITC Avant Garde" w:hAnsi="ITC Avant Garde"/>
          <w:lang w:val="es-ES_tradnl"/>
        </w:rPr>
      </w:pPr>
      <w:r w:rsidRPr="00B6020B">
        <w:rPr>
          <w:rFonts w:ascii="ITC Avant Garde" w:hAnsi="ITC Avant Garde"/>
          <w:lang w:val="es-ES_tradnl"/>
        </w:rPr>
        <w:t>De cualquier forma,</w:t>
      </w:r>
      <w:r w:rsidR="009F3558" w:rsidRPr="00B6020B">
        <w:rPr>
          <w:rFonts w:ascii="ITC Avant Garde" w:hAnsi="ITC Avant Garde"/>
          <w:lang w:val="es-ES_tradnl"/>
        </w:rPr>
        <w:t xml:space="preserve"> es importante resaltar que </w:t>
      </w:r>
      <w:r w:rsidRPr="00B6020B">
        <w:rPr>
          <w:rFonts w:ascii="ITC Avant Garde" w:hAnsi="ITC Avant Garde"/>
          <w:lang w:val="es-ES_tradnl"/>
        </w:rPr>
        <w:t xml:space="preserve">utilizar como referencia a la </w:t>
      </w:r>
      <w:r w:rsidR="009F3558" w:rsidRPr="00B6020B">
        <w:rPr>
          <w:rFonts w:ascii="ITC Avant Garde" w:hAnsi="ITC Avant Garde"/>
          <w:lang w:val="es-ES_tradnl"/>
        </w:rPr>
        <w:t xml:space="preserve">TIIE </w:t>
      </w:r>
      <w:r w:rsidRPr="00B6020B">
        <w:rPr>
          <w:rFonts w:ascii="ITC Avant Garde" w:hAnsi="ITC Avant Garde"/>
          <w:lang w:val="es-ES_tradnl"/>
        </w:rPr>
        <w:t>tiene aplicación exclusivamente para aquellos casos de</w:t>
      </w:r>
      <w:r w:rsidR="009F3558" w:rsidRPr="00B6020B">
        <w:rPr>
          <w:rFonts w:ascii="ITC Avant Garde" w:hAnsi="ITC Avant Garde"/>
          <w:lang w:val="es-ES_tradnl"/>
        </w:rPr>
        <w:t xml:space="preserve"> </w:t>
      </w:r>
      <w:r w:rsidR="00FE485E" w:rsidRPr="00B6020B">
        <w:rPr>
          <w:rFonts w:ascii="ITC Avant Garde" w:hAnsi="ITC Avant Garde"/>
          <w:lang w:val="es-ES_tradnl"/>
        </w:rPr>
        <w:t>in</w:t>
      </w:r>
      <w:r w:rsidR="009F3558" w:rsidRPr="00B6020B">
        <w:rPr>
          <w:rFonts w:ascii="ITC Avant Garde" w:hAnsi="ITC Avant Garde"/>
          <w:lang w:val="es-ES_tradnl"/>
        </w:rPr>
        <w:t>cumplimiento de los acuerdos establecidos</w:t>
      </w:r>
      <w:r w:rsidRPr="00B6020B">
        <w:rPr>
          <w:rFonts w:ascii="ITC Avant Garde" w:hAnsi="ITC Avant Garde"/>
          <w:lang w:val="es-ES_tradnl"/>
        </w:rPr>
        <w:t xml:space="preserve"> </w:t>
      </w:r>
      <w:r w:rsidR="00FE485E" w:rsidRPr="00B6020B">
        <w:rPr>
          <w:rFonts w:ascii="ITC Avant Garde" w:hAnsi="ITC Avant Garde"/>
          <w:lang w:val="es-ES_tradnl"/>
        </w:rPr>
        <w:t xml:space="preserve">para </w:t>
      </w:r>
      <w:r w:rsidRPr="00B6020B">
        <w:rPr>
          <w:rFonts w:ascii="ITC Avant Garde" w:hAnsi="ITC Avant Garde"/>
          <w:lang w:val="es-ES_tradnl"/>
        </w:rPr>
        <w:t xml:space="preserve">el cálculo de intereses moratorios. </w:t>
      </w:r>
      <w:r w:rsidR="00FE485E" w:rsidRPr="00B6020B">
        <w:rPr>
          <w:rFonts w:ascii="ITC Avant Garde" w:hAnsi="ITC Avant Garde"/>
          <w:lang w:val="es-ES_tradnl"/>
        </w:rPr>
        <w:t>Lo anterior, sin menoscabo de que ante cualquier desacuerdo técnico y tarifario pueda ser solicitado al Instituto para la atención y resolución correspondiente.</w:t>
      </w:r>
      <w:r w:rsidRPr="00B6020B">
        <w:rPr>
          <w:rFonts w:ascii="ITC Avant Garde" w:hAnsi="ITC Avant Garde"/>
          <w:lang w:val="es-ES_tradnl"/>
        </w:rPr>
        <w:t xml:space="preserve">   </w:t>
      </w:r>
      <w:r w:rsidR="009F3558" w:rsidRPr="00B6020B">
        <w:rPr>
          <w:rFonts w:ascii="ITC Avant Garde" w:hAnsi="ITC Avant Garde"/>
          <w:lang w:val="es-ES_tradnl"/>
        </w:rPr>
        <w:t xml:space="preserve"> </w:t>
      </w:r>
    </w:p>
    <w:p w14:paraId="2FBDC85F" w14:textId="77777777" w:rsidR="00A1038C" w:rsidRPr="00B6020B" w:rsidRDefault="00A1038C" w:rsidP="007C328C">
      <w:pPr>
        <w:pStyle w:val="Textoindependiente"/>
        <w:spacing w:line="276" w:lineRule="auto"/>
        <w:rPr>
          <w:rFonts w:ascii="ITC Avant Garde" w:hAnsi="ITC Avant Garde"/>
          <w:lang w:val="es-ES_tradnl"/>
        </w:rPr>
      </w:pPr>
    </w:p>
    <w:p w14:paraId="1EBC9F68" w14:textId="77777777" w:rsidR="00564424" w:rsidRPr="00B6020B" w:rsidRDefault="00564424" w:rsidP="00564424">
      <w:pPr>
        <w:pStyle w:val="Default"/>
        <w:numPr>
          <w:ilvl w:val="0"/>
          <w:numId w:val="12"/>
        </w:numPr>
        <w:spacing w:after="100" w:afterAutospacing="1" w:line="276" w:lineRule="auto"/>
        <w:jc w:val="both"/>
        <w:rPr>
          <w:rFonts w:ascii="ITC Avant Garde" w:hAnsi="ITC Avant Garde" w:cs="Arial"/>
          <w:b/>
          <w:sz w:val="22"/>
          <w:szCs w:val="22"/>
        </w:rPr>
      </w:pPr>
      <w:r w:rsidRPr="00B6020B">
        <w:rPr>
          <w:rFonts w:ascii="ITC Avant Garde" w:hAnsi="ITC Avant Garde" w:cs="Arial"/>
          <w:b/>
          <w:bCs/>
          <w:sz w:val="22"/>
          <w:szCs w:val="22"/>
        </w:rPr>
        <w:t xml:space="preserve">Negación de Acceso dentro del </w:t>
      </w:r>
      <w:r w:rsidRPr="00B6020B">
        <w:rPr>
          <w:rFonts w:ascii="ITC Avant Garde" w:hAnsi="ITC Avant Garde" w:cs="Arial"/>
          <w:b/>
          <w:i/>
          <w:sz w:val="22"/>
          <w:szCs w:val="22"/>
        </w:rPr>
        <w:t>“Anexo “I”: Servicios”.</w:t>
      </w:r>
    </w:p>
    <w:p w14:paraId="453C29C7" w14:textId="682AA864" w:rsidR="00564424" w:rsidRPr="00B6020B" w:rsidRDefault="00564424" w:rsidP="00564424">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 xml:space="preserve">El participante AT&amp;T señala que la Oferta de Referencia no </w:t>
      </w:r>
      <w:proofErr w:type="spellStart"/>
      <w:r w:rsidRPr="00B6020B">
        <w:rPr>
          <w:rFonts w:ascii="ITC Avant Garde" w:hAnsi="ITC Avant Garde" w:cs="Arial"/>
          <w:sz w:val="22"/>
          <w:szCs w:val="22"/>
        </w:rPr>
        <w:t>contempla</w:t>
      </w:r>
      <w:proofErr w:type="spellEnd"/>
      <w:r w:rsidRPr="00B6020B">
        <w:rPr>
          <w:rFonts w:ascii="ITC Avant Garde" w:hAnsi="ITC Avant Garde" w:cs="Arial"/>
          <w:sz w:val="22"/>
          <w:szCs w:val="22"/>
        </w:rPr>
        <w:t xml:space="preserve"> un </w:t>
      </w:r>
      <w:proofErr w:type="spellStart"/>
      <w:r w:rsidRPr="00B6020B">
        <w:rPr>
          <w:rFonts w:ascii="ITC Avant Garde" w:hAnsi="ITC Avant Garde" w:cs="Arial"/>
          <w:sz w:val="22"/>
          <w:szCs w:val="22"/>
        </w:rPr>
        <w:t>tiempo</w:t>
      </w:r>
      <w:proofErr w:type="spellEnd"/>
      <w:r w:rsidRPr="00B6020B">
        <w:rPr>
          <w:rFonts w:ascii="ITC Avant Garde" w:hAnsi="ITC Avant Garde" w:cs="Arial"/>
          <w:sz w:val="22"/>
          <w:szCs w:val="22"/>
        </w:rPr>
        <w:t xml:space="preserve"> de </w:t>
      </w:r>
      <w:proofErr w:type="spellStart"/>
      <w:r w:rsidRPr="00B6020B">
        <w:rPr>
          <w:rFonts w:ascii="ITC Avant Garde" w:hAnsi="ITC Avant Garde" w:cs="Arial"/>
          <w:sz w:val="22"/>
          <w:szCs w:val="22"/>
        </w:rPr>
        <w:t>solución</w:t>
      </w:r>
      <w:proofErr w:type="spellEnd"/>
      <w:r w:rsidRPr="00B6020B">
        <w:rPr>
          <w:rFonts w:ascii="ITC Avant Garde" w:hAnsi="ITC Avant Garde" w:cs="Arial"/>
          <w:sz w:val="22"/>
          <w:szCs w:val="22"/>
        </w:rPr>
        <w:t xml:space="preserve"> por </w:t>
      </w:r>
      <w:proofErr w:type="spellStart"/>
      <w:r w:rsidRPr="00B6020B">
        <w:rPr>
          <w:rFonts w:ascii="ITC Avant Garde" w:hAnsi="ITC Avant Garde" w:cs="Arial"/>
          <w:sz w:val="22"/>
          <w:szCs w:val="22"/>
        </w:rPr>
        <w:t>parte</w:t>
      </w:r>
      <w:proofErr w:type="spellEnd"/>
      <w:r w:rsidRPr="00B6020B">
        <w:rPr>
          <w:rFonts w:ascii="ITC Avant Garde" w:hAnsi="ITC Avant Garde" w:cs="Arial"/>
          <w:sz w:val="22"/>
          <w:szCs w:val="22"/>
        </w:rPr>
        <w:t xml:space="preserve"> de </w:t>
      </w:r>
      <w:proofErr w:type="spellStart"/>
      <w:r w:rsidRPr="00B6020B">
        <w:rPr>
          <w:rFonts w:ascii="ITC Avant Garde" w:hAnsi="ITC Avant Garde" w:cs="Arial"/>
          <w:sz w:val="22"/>
          <w:szCs w:val="22"/>
        </w:rPr>
        <w:t>Telesites</w:t>
      </w:r>
      <w:proofErr w:type="spellEnd"/>
      <w:r w:rsidRPr="00B6020B">
        <w:rPr>
          <w:rFonts w:ascii="ITC Avant Garde" w:hAnsi="ITC Avant Garde" w:cs="Arial"/>
          <w:sz w:val="22"/>
          <w:szCs w:val="22"/>
        </w:rPr>
        <w:t xml:space="preserve"> </w:t>
      </w:r>
      <w:r w:rsidR="000714C3" w:rsidRPr="00B6020B">
        <w:rPr>
          <w:rFonts w:ascii="ITC Avant Garde" w:hAnsi="ITC Avant Garde" w:cs="Arial"/>
          <w:sz w:val="22"/>
          <w:szCs w:val="22"/>
        </w:rPr>
        <w:t xml:space="preserve">y </w:t>
      </w:r>
      <w:proofErr w:type="spellStart"/>
      <w:r w:rsidRPr="00B6020B">
        <w:rPr>
          <w:rFonts w:ascii="ITC Avant Garde" w:hAnsi="ITC Avant Garde" w:cs="Arial"/>
          <w:sz w:val="22"/>
          <w:szCs w:val="22"/>
        </w:rPr>
        <w:t>Fibra</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en</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aquellos</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casos</w:t>
      </w:r>
      <w:proofErr w:type="spellEnd"/>
      <w:r w:rsidRPr="00B6020B">
        <w:rPr>
          <w:rFonts w:ascii="ITC Avant Garde" w:hAnsi="ITC Avant Garde" w:cs="Arial"/>
          <w:sz w:val="22"/>
          <w:szCs w:val="22"/>
        </w:rPr>
        <w:t xml:space="preserve"> </w:t>
      </w:r>
      <w:proofErr w:type="spellStart"/>
      <w:r w:rsidR="00B6020B">
        <w:rPr>
          <w:rFonts w:ascii="ITC Avant Garde" w:hAnsi="ITC Avant Garde" w:cs="Arial"/>
          <w:sz w:val="22"/>
          <w:szCs w:val="22"/>
        </w:rPr>
        <w:t>donde</w:t>
      </w:r>
      <w:proofErr w:type="spellEnd"/>
      <w:r w:rsidRPr="00B6020B">
        <w:rPr>
          <w:rFonts w:ascii="ITC Avant Garde" w:hAnsi="ITC Avant Garde" w:cs="Arial"/>
          <w:sz w:val="22"/>
          <w:szCs w:val="22"/>
        </w:rPr>
        <w:t xml:space="preserve"> el </w:t>
      </w:r>
      <w:proofErr w:type="spellStart"/>
      <w:r w:rsidRPr="00B6020B">
        <w:rPr>
          <w:rFonts w:ascii="ITC Avant Garde" w:hAnsi="ITC Avant Garde" w:cs="Arial"/>
          <w:sz w:val="22"/>
          <w:szCs w:val="22"/>
        </w:rPr>
        <w:t>acceso</w:t>
      </w:r>
      <w:proofErr w:type="spellEnd"/>
      <w:r w:rsidRPr="00B6020B">
        <w:rPr>
          <w:rFonts w:ascii="ITC Avant Garde" w:hAnsi="ITC Avant Garde" w:cs="Arial"/>
          <w:sz w:val="22"/>
          <w:szCs w:val="22"/>
        </w:rPr>
        <w:t xml:space="preserve"> a los Sitios sea negado a los concesionarios. Por lo anterior señala que, </w:t>
      </w:r>
      <w:r w:rsidRPr="00B6020B">
        <w:rPr>
          <w:rFonts w:ascii="ITC Avant Garde" w:hAnsi="ITC Avant Garde" w:cs="Arial"/>
          <w:i/>
          <w:sz w:val="22"/>
          <w:szCs w:val="22"/>
        </w:rPr>
        <w:t>“atendiendo a la importancia que tiene en la operación de los concesionarios garantizar el acceso a los Sitios, es necesario que se incluyan SLAs de tiempo de solución para asegurar los accesos”</w:t>
      </w:r>
      <w:r w:rsidRPr="00B6020B">
        <w:rPr>
          <w:rFonts w:ascii="ITC Avant Garde" w:hAnsi="ITC Avant Garde" w:cs="Arial"/>
          <w:sz w:val="22"/>
          <w:szCs w:val="22"/>
        </w:rPr>
        <w:t xml:space="preserve">. En tal sentido, AT&amp;T propone que se establezca un plazo máximo de 48 horas contadas a partir de la recepción del reporte de negativa de </w:t>
      </w:r>
      <w:proofErr w:type="spellStart"/>
      <w:r w:rsidRPr="00B6020B">
        <w:rPr>
          <w:rFonts w:ascii="ITC Avant Garde" w:hAnsi="ITC Avant Garde" w:cs="Arial"/>
          <w:sz w:val="22"/>
          <w:szCs w:val="22"/>
        </w:rPr>
        <w:t>acceso</w:t>
      </w:r>
      <w:proofErr w:type="spellEnd"/>
      <w:r w:rsidRPr="00B6020B">
        <w:rPr>
          <w:rFonts w:ascii="ITC Avant Garde" w:hAnsi="ITC Avant Garde" w:cs="Arial"/>
          <w:sz w:val="22"/>
          <w:szCs w:val="22"/>
        </w:rPr>
        <w:t xml:space="preserve"> por </w:t>
      </w:r>
      <w:proofErr w:type="spellStart"/>
      <w:r w:rsidRPr="00B6020B">
        <w:rPr>
          <w:rFonts w:ascii="ITC Avant Garde" w:hAnsi="ITC Avant Garde" w:cs="Arial"/>
          <w:sz w:val="22"/>
          <w:szCs w:val="22"/>
        </w:rPr>
        <w:t>parte</w:t>
      </w:r>
      <w:proofErr w:type="spellEnd"/>
      <w:r w:rsidRPr="00B6020B">
        <w:rPr>
          <w:rFonts w:ascii="ITC Avant Garde" w:hAnsi="ITC Avant Garde" w:cs="Arial"/>
          <w:sz w:val="22"/>
          <w:szCs w:val="22"/>
        </w:rPr>
        <w:t xml:space="preserve"> del </w:t>
      </w:r>
      <w:proofErr w:type="spellStart"/>
      <w:r w:rsidRPr="00B6020B">
        <w:rPr>
          <w:rFonts w:ascii="ITC Avant Garde" w:hAnsi="ITC Avant Garde" w:cs="Arial"/>
          <w:sz w:val="22"/>
          <w:szCs w:val="22"/>
        </w:rPr>
        <w:t>concesionario</w:t>
      </w:r>
      <w:proofErr w:type="spellEnd"/>
      <w:r w:rsidRPr="00B6020B">
        <w:rPr>
          <w:rFonts w:ascii="ITC Avant Garde" w:hAnsi="ITC Avant Garde" w:cs="Arial"/>
          <w:sz w:val="22"/>
          <w:szCs w:val="22"/>
        </w:rPr>
        <w:t xml:space="preserve"> para que </w:t>
      </w:r>
      <w:proofErr w:type="spellStart"/>
      <w:r w:rsidRPr="00B6020B">
        <w:rPr>
          <w:rFonts w:ascii="ITC Avant Garde" w:hAnsi="ITC Avant Garde" w:cs="Arial"/>
          <w:sz w:val="22"/>
          <w:szCs w:val="22"/>
        </w:rPr>
        <w:t>Telesites</w:t>
      </w:r>
      <w:proofErr w:type="spellEnd"/>
      <w:r w:rsidRPr="00B6020B">
        <w:rPr>
          <w:rFonts w:ascii="ITC Avant Garde" w:hAnsi="ITC Avant Garde" w:cs="Arial"/>
          <w:sz w:val="22"/>
          <w:szCs w:val="22"/>
        </w:rPr>
        <w:t xml:space="preserve"> </w:t>
      </w:r>
      <w:r w:rsidR="000714C3" w:rsidRPr="00B6020B">
        <w:rPr>
          <w:rFonts w:ascii="ITC Avant Garde" w:hAnsi="ITC Avant Garde" w:cs="Arial"/>
          <w:sz w:val="22"/>
          <w:szCs w:val="22"/>
        </w:rPr>
        <w:t>y</w:t>
      </w:r>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Fibra</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solucionen</w:t>
      </w:r>
      <w:proofErr w:type="spellEnd"/>
      <w:r w:rsidRPr="00B6020B">
        <w:rPr>
          <w:rFonts w:ascii="ITC Avant Garde" w:hAnsi="ITC Avant Garde" w:cs="Arial"/>
          <w:sz w:val="22"/>
          <w:szCs w:val="22"/>
        </w:rPr>
        <w:t xml:space="preserve"> el </w:t>
      </w:r>
      <w:proofErr w:type="spellStart"/>
      <w:r w:rsidRPr="00B6020B">
        <w:rPr>
          <w:rFonts w:ascii="ITC Avant Garde" w:hAnsi="ITC Avant Garde" w:cs="Arial"/>
          <w:sz w:val="22"/>
          <w:szCs w:val="22"/>
        </w:rPr>
        <w:t>problema</w:t>
      </w:r>
      <w:proofErr w:type="spellEnd"/>
      <w:r w:rsidRPr="00B6020B">
        <w:rPr>
          <w:rFonts w:ascii="ITC Avant Garde" w:hAnsi="ITC Avant Garde" w:cs="Arial"/>
          <w:sz w:val="22"/>
          <w:szCs w:val="22"/>
        </w:rPr>
        <w:t xml:space="preserve"> de </w:t>
      </w:r>
      <w:proofErr w:type="spellStart"/>
      <w:r w:rsidRPr="00B6020B">
        <w:rPr>
          <w:rFonts w:ascii="ITC Avant Garde" w:hAnsi="ITC Avant Garde" w:cs="Arial"/>
          <w:sz w:val="22"/>
          <w:szCs w:val="22"/>
        </w:rPr>
        <w:t>acceso</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correspondiente</w:t>
      </w:r>
      <w:proofErr w:type="spellEnd"/>
      <w:r w:rsidRPr="00B6020B">
        <w:rPr>
          <w:rFonts w:ascii="ITC Avant Garde" w:hAnsi="ITC Avant Garde" w:cs="Arial"/>
          <w:sz w:val="22"/>
          <w:szCs w:val="22"/>
        </w:rPr>
        <w:t>.</w:t>
      </w:r>
    </w:p>
    <w:p w14:paraId="301B9EB2" w14:textId="77777777" w:rsidR="00564424" w:rsidRPr="00B6020B" w:rsidRDefault="00564424" w:rsidP="00564424">
      <w:pPr>
        <w:pStyle w:val="Default"/>
        <w:spacing w:after="100" w:afterAutospacing="1" w:line="276" w:lineRule="auto"/>
        <w:jc w:val="both"/>
        <w:rPr>
          <w:rFonts w:ascii="ITC Avant Garde" w:hAnsi="ITC Avant Garde" w:cs="Arial"/>
          <w:sz w:val="22"/>
          <w:szCs w:val="22"/>
          <w:u w:val="single"/>
        </w:rPr>
      </w:pPr>
      <w:r w:rsidRPr="00B6020B">
        <w:rPr>
          <w:rFonts w:ascii="ITC Avant Garde" w:hAnsi="ITC Avant Garde" w:cs="Arial"/>
          <w:sz w:val="22"/>
          <w:szCs w:val="22"/>
          <w:u w:val="single"/>
        </w:rPr>
        <w:t>Respuesta de la UPR</w:t>
      </w:r>
    </w:p>
    <w:p w14:paraId="2EA3DF9E" w14:textId="0E439938" w:rsidR="00456EB2" w:rsidRPr="00B6020B" w:rsidRDefault="00456EB2" w:rsidP="00564424">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 xml:space="preserve">En términos de las condiciones autorizadas en la Oferta de Referencia, se considera que el acceso a los sitios se encuentra sujeto a condiciones de acceso particulares que dependen del sitio respecto del cual se solicite el ingreso. Sin </w:t>
      </w:r>
      <w:r w:rsidRPr="00B6020B">
        <w:rPr>
          <w:rFonts w:ascii="ITC Avant Garde" w:hAnsi="ITC Avant Garde" w:cs="Arial"/>
          <w:sz w:val="22"/>
          <w:szCs w:val="22"/>
        </w:rPr>
        <w:lastRenderedPageBreak/>
        <w:t xml:space="preserve">embargo, </w:t>
      </w:r>
      <w:proofErr w:type="spellStart"/>
      <w:r w:rsidRPr="00B6020B">
        <w:rPr>
          <w:rFonts w:ascii="ITC Avant Garde" w:hAnsi="ITC Avant Garde" w:cs="Arial"/>
          <w:sz w:val="22"/>
          <w:szCs w:val="22"/>
        </w:rPr>
        <w:t>resulta</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relevante</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también</w:t>
      </w:r>
      <w:proofErr w:type="spellEnd"/>
      <w:r w:rsidRPr="00B6020B">
        <w:rPr>
          <w:rFonts w:ascii="ITC Avant Garde" w:hAnsi="ITC Avant Garde" w:cs="Arial"/>
          <w:sz w:val="22"/>
          <w:szCs w:val="22"/>
        </w:rPr>
        <w:t xml:space="preserve"> que </w:t>
      </w:r>
      <w:proofErr w:type="spellStart"/>
      <w:r w:rsidRPr="00B6020B">
        <w:rPr>
          <w:rFonts w:ascii="ITC Avant Garde" w:hAnsi="ITC Avant Garde" w:cs="Arial"/>
          <w:sz w:val="22"/>
          <w:szCs w:val="22"/>
        </w:rPr>
        <w:t>Telesites</w:t>
      </w:r>
      <w:proofErr w:type="spellEnd"/>
      <w:r w:rsidRPr="00B6020B">
        <w:rPr>
          <w:rFonts w:ascii="ITC Avant Garde" w:hAnsi="ITC Avant Garde" w:cs="Arial"/>
          <w:sz w:val="22"/>
          <w:szCs w:val="22"/>
        </w:rPr>
        <w:t xml:space="preserve"> </w:t>
      </w:r>
      <w:r w:rsidR="000714C3" w:rsidRPr="00B6020B">
        <w:rPr>
          <w:rFonts w:ascii="ITC Avant Garde" w:hAnsi="ITC Avant Garde" w:cs="Arial"/>
          <w:sz w:val="22"/>
          <w:szCs w:val="22"/>
        </w:rPr>
        <w:t>y</w:t>
      </w:r>
      <w:r w:rsidR="003C4190" w:rsidRPr="00B6020B">
        <w:rPr>
          <w:rFonts w:ascii="ITC Avant Garde" w:hAnsi="ITC Avant Garde" w:cs="Arial"/>
          <w:sz w:val="22"/>
          <w:szCs w:val="22"/>
        </w:rPr>
        <w:t xml:space="preserve"> </w:t>
      </w:r>
      <w:proofErr w:type="spellStart"/>
      <w:r w:rsidR="003C4190" w:rsidRPr="00B6020B">
        <w:rPr>
          <w:rFonts w:ascii="ITC Avant Garde" w:hAnsi="ITC Avant Garde" w:cs="Arial"/>
          <w:sz w:val="22"/>
          <w:szCs w:val="22"/>
        </w:rPr>
        <w:t>Fibra</w:t>
      </w:r>
      <w:proofErr w:type="spellEnd"/>
      <w:r w:rsidR="003C4190"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pueda</w:t>
      </w:r>
      <w:r w:rsidR="007236CE" w:rsidRPr="00B6020B">
        <w:rPr>
          <w:rFonts w:ascii="ITC Avant Garde" w:hAnsi="ITC Avant Garde" w:cs="Arial"/>
          <w:sz w:val="22"/>
          <w:szCs w:val="22"/>
        </w:rPr>
        <w:t>n</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ofrecer</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información</w:t>
      </w:r>
      <w:proofErr w:type="spellEnd"/>
      <w:r w:rsidRPr="00B6020B">
        <w:rPr>
          <w:rFonts w:ascii="ITC Avant Garde" w:hAnsi="ITC Avant Garde" w:cs="Arial"/>
          <w:sz w:val="22"/>
          <w:szCs w:val="22"/>
        </w:rPr>
        <w:t xml:space="preserve"> que </w:t>
      </w:r>
      <w:proofErr w:type="spellStart"/>
      <w:r w:rsidRPr="00B6020B">
        <w:rPr>
          <w:rFonts w:ascii="ITC Avant Garde" w:hAnsi="ITC Avant Garde" w:cs="Arial"/>
          <w:sz w:val="22"/>
          <w:szCs w:val="22"/>
        </w:rPr>
        <w:t>permita</w:t>
      </w:r>
      <w:proofErr w:type="spellEnd"/>
      <w:r w:rsidRPr="00B6020B">
        <w:rPr>
          <w:rFonts w:ascii="ITC Avant Garde" w:hAnsi="ITC Avant Garde" w:cs="Arial"/>
          <w:sz w:val="22"/>
          <w:szCs w:val="22"/>
        </w:rPr>
        <w:t xml:space="preserve"> a los CS conocer sobre las condiciones de acceso, a efecto de poder solventar cualquier limitante para ingresar al mismo.</w:t>
      </w:r>
    </w:p>
    <w:p w14:paraId="5FC678C7" w14:textId="25A7EA00" w:rsidR="00564424" w:rsidRPr="00B6020B" w:rsidRDefault="00456EB2" w:rsidP="00564424">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 xml:space="preserve">En este tenor, se destaca </w:t>
      </w:r>
      <w:r w:rsidR="00793963" w:rsidRPr="00B6020B">
        <w:rPr>
          <w:rFonts w:ascii="ITC Avant Garde" w:hAnsi="ITC Avant Garde" w:cs="Arial"/>
          <w:sz w:val="22"/>
          <w:szCs w:val="22"/>
        </w:rPr>
        <w:t>del</w:t>
      </w:r>
      <w:r w:rsidR="00793963" w:rsidRPr="00B6020B">
        <w:rPr>
          <w:rFonts w:ascii="ITC Avant Garde" w:hAnsi="ITC Avant Garde" w:cs="Arial"/>
          <w:i/>
          <w:sz w:val="22"/>
          <w:szCs w:val="22"/>
        </w:rPr>
        <w:t xml:space="preserve"> “</w:t>
      </w:r>
      <w:r w:rsidR="00564424" w:rsidRPr="00B6020B">
        <w:rPr>
          <w:rFonts w:ascii="ITC Avant Garde" w:hAnsi="ITC Avant Garde" w:cs="Arial"/>
          <w:i/>
          <w:sz w:val="22"/>
          <w:szCs w:val="22"/>
        </w:rPr>
        <w:t xml:space="preserve">Anexo “I”: </w:t>
      </w:r>
      <w:proofErr w:type="spellStart"/>
      <w:r w:rsidR="00564424" w:rsidRPr="00B6020B">
        <w:rPr>
          <w:rFonts w:ascii="ITC Avant Garde" w:hAnsi="ITC Avant Garde" w:cs="Arial"/>
          <w:i/>
          <w:sz w:val="22"/>
          <w:szCs w:val="22"/>
        </w:rPr>
        <w:t>Servicios</w:t>
      </w:r>
      <w:proofErr w:type="spellEnd"/>
      <w:r w:rsidR="00564424" w:rsidRPr="00B6020B">
        <w:rPr>
          <w:rFonts w:ascii="ITC Avant Garde" w:hAnsi="ITC Avant Garde" w:cs="Arial"/>
          <w:i/>
          <w:sz w:val="22"/>
          <w:szCs w:val="22"/>
        </w:rPr>
        <w:t>”</w:t>
      </w:r>
      <w:r w:rsidR="00564424" w:rsidRPr="00B6020B">
        <w:rPr>
          <w:rFonts w:ascii="ITC Avant Garde" w:hAnsi="ITC Avant Garde" w:cs="Arial"/>
          <w:sz w:val="22"/>
          <w:szCs w:val="22"/>
        </w:rPr>
        <w:t xml:space="preserve"> </w:t>
      </w:r>
      <w:r w:rsidR="007236CE" w:rsidRPr="00B6020B">
        <w:rPr>
          <w:rFonts w:ascii="ITC Avant Garde" w:hAnsi="ITC Avant Garde" w:cs="Arial"/>
          <w:sz w:val="22"/>
          <w:szCs w:val="22"/>
        </w:rPr>
        <w:t xml:space="preserve">de la </w:t>
      </w:r>
      <w:proofErr w:type="spellStart"/>
      <w:r w:rsidR="007236CE" w:rsidRPr="00B6020B">
        <w:rPr>
          <w:rFonts w:ascii="ITC Avant Garde" w:hAnsi="ITC Avant Garde" w:cs="Arial"/>
          <w:sz w:val="22"/>
          <w:szCs w:val="22"/>
        </w:rPr>
        <w:t>propuesta</w:t>
      </w:r>
      <w:proofErr w:type="spellEnd"/>
      <w:r w:rsidR="007236CE" w:rsidRPr="00B6020B">
        <w:rPr>
          <w:rFonts w:ascii="ITC Avant Garde" w:hAnsi="ITC Avant Garde" w:cs="Arial"/>
          <w:sz w:val="22"/>
          <w:szCs w:val="22"/>
        </w:rPr>
        <w:t xml:space="preserve"> de las </w:t>
      </w:r>
      <w:proofErr w:type="spellStart"/>
      <w:r w:rsidR="007236CE" w:rsidRPr="00B6020B">
        <w:rPr>
          <w:rFonts w:ascii="ITC Avant Garde" w:hAnsi="ITC Avant Garde" w:cs="Arial"/>
          <w:sz w:val="22"/>
          <w:szCs w:val="22"/>
        </w:rPr>
        <w:t>empresas</w:t>
      </w:r>
      <w:proofErr w:type="spellEnd"/>
      <w:r w:rsidR="007236CE" w:rsidRPr="00B6020B">
        <w:rPr>
          <w:rFonts w:ascii="ITC Avant Garde" w:hAnsi="ITC Avant Garde" w:cs="Arial"/>
          <w:sz w:val="22"/>
          <w:szCs w:val="22"/>
        </w:rPr>
        <w:t xml:space="preserve"> </w:t>
      </w:r>
      <w:r w:rsidR="00564424" w:rsidRPr="00B6020B">
        <w:rPr>
          <w:rFonts w:ascii="ITC Avant Garde" w:hAnsi="ITC Avant Garde" w:cs="Arial"/>
          <w:sz w:val="22"/>
          <w:szCs w:val="22"/>
        </w:rPr>
        <w:t xml:space="preserve">lo </w:t>
      </w:r>
      <w:proofErr w:type="spellStart"/>
      <w:r w:rsidR="00564424" w:rsidRPr="00B6020B">
        <w:rPr>
          <w:rFonts w:ascii="ITC Avant Garde" w:hAnsi="ITC Avant Garde" w:cs="Arial"/>
          <w:sz w:val="22"/>
          <w:szCs w:val="22"/>
        </w:rPr>
        <w:t>siguiente</w:t>
      </w:r>
      <w:proofErr w:type="spellEnd"/>
      <w:r w:rsidR="00564424" w:rsidRPr="00B6020B">
        <w:rPr>
          <w:rFonts w:ascii="ITC Avant Garde" w:hAnsi="ITC Avant Garde" w:cs="Arial"/>
          <w:sz w:val="22"/>
          <w:szCs w:val="22"/>
        </w:rPr>
        <w:t>:</w:t>
      </w:r>
    </w:p>
    <w:p w14:paraId="5C1455F7" w14:textId="77777777" w:rsidR="00564424" w:rsidRPr="00B6020B" w:rsidRDefault="00564424" w:rsidP="00564424">
      <w:pPr>
        <w:pStyle w:val="Citaift0"/>
        <w:rPr>
          <w:rStyle w:val="nfasis"/>
          <w:rFonts w:ascii="ITC Avant Garde" w:eastAsia="Calibri" w:hAnsi="ITC Avant Garde"/>
          <w:b/>
          <w:sz w:val="18"/>
          <w:szCs w:val="18"/>
        </w:rPr>
      </w:pPr>
      <w:bookmarkStart w:id="2" w:name="_Toc389647272"/>
      <w:r w:rsidRPr="00B6020B">
        <w:rPr>
          <w:rStyle w:val="nfasis"/>
          <w:rFonts w:ascii="ITC Avant Garde" w:eastAsia="Calibri" w:hAnsi="ITC Avant Garde"/>
          <w:b/>
          <w:sz w:val="18"/>
          <w:szCs w:val="18"/>
        </w:rPr>
        <w:t>“2.5.7 De la imposibilidad de practicar la Visita Técnica</w:t>
      </w:r>
      <w:bookmarkEnd w:id="2"/>
    </w:p>
    <w:p w14:paraId="1332BF3F" w14:textId="77777777" w:rsidR="00564424" w:rsidRPr="00B6020B" w:rsidRDefault="00564424" w:rsidP="00564424">
      <w:pPr>
        <w:pStyle w:val="Citaift0"/>
      </w:pPr>
      <w:r w:rsidRPr="00B6020B">
        <w:t>En caso de que previamente a la Visita Técnica o incluso durante la práctica de la misma, se identifique algún elemento que la haga inviable (tal como existencia de sellos de clausura), o bien, que de practicarse o continuarse ponga en riesgo la integridad, seguridad del personal, derechos y/o propiedades de cualquiera de las Partes o de terceros, la misma será cancelada en ese momento sin responsabilidad alguna para las Partes, debiéndose hacer constar en reporte suscrito por personal de ambas Partes la situación que motivó tal cancelación.</w:t>
      </w:r>
    </w:p>
    <w:p w14:paraId="1CDF978D" w14:textId="77777777" w:rsidR="00564424" w:rsidRPr="00B6020B" w:rsidRDefault="00564424" w:rsidP="00564424">
      <w:pPr>
        <w:pStyle w:val="Citaift0"/>
      </w:pPr>
      <w:r w:rsidRPr="00B6020B">
        <w:t>Telesites incluirá como parte de la información relacionada con el Sitio, la existencia de la circunstancia que haya impedido la Visita Técnica.</w:t>
      </w:r>
    </w:p>
    <w:p w14:paraId="48C5B086" w14:textId="77777777" w:rsidR="00564424" w:rsidRPr="00B6020B" w:rsidRDefault="00564424" w:rsidP="00564424">
      <w:pPr>
        <w:pStyle w:val="Citaift0"/>
        <w:rPr>
          <w:rStyle w:val="nfasis"/>
          <w:rFonts w:ascii="ITC Avant Garde" w:eastAsia="Calibri" w:hAnsi="ITC Avant Garde"/>
          <w:b/>
          <w:sz w:val="18"/>
          <w:szCs w:val="18"/>
        </w:rPr>
      </w:pPr>
      <w:bookmarkStart w:id="3" w:name="_Toc389647273"/>
      <w:r w:rsidRPr="00B6020B">
        <w:rPr>
          <w:rStyle w:val="nfasis"/>
          <w:rFonts w:ascii="ITC Avant Garde" w:eastAsia="Calibri" w:hAnsi="ITC Avant Garde"/>
          <w:b/>
          <w:sz w:val="18"/>
          <w:szCs w:val="18"/>
        </w:rPr>
        <w:t>2.5.8 De la indisponibilidad del Servicio de Visita Técnica</w:t>
      </w:r>
      <w:bookmarkEnd w:id="3"/>
    </w:p>
    <w:p w14:paraId="6311D646" w14:textId="77777777" w:rsidR="00564424" w:rsidRPr="00B6020B" w:rsidRDefault="00564424" w:rsidP="00564424">
      <w:pPr>
        <w:pStyle w:val="Citaift0"/>
      </w:pPr>
      <w:r w:rsidRPr="00B6020B">
        <w:t xml:space="preserve">El Servicio de Visita Técnica no estará disponible en los casos siguientes: </w:t>
      </w:r>
    </w:p>
    <w:p w14:paraId="3E563437" w14:textId="77777777" w:rsidR="00564424" w:rsidRPr="00B6020B" w:rsidRDefault="00564424" w:rsidP="00564424">
      <w:pPr>
        <w:pStyle w:val="Citaift0"/>
      </w:pPr>
      <w:r w:rsidRPr="00B6020B">
        <w:t>(i)</w:t>
      </w:r>
      <w:r w:rsidRPr="00B6020B">
        <w:tab/>
        <w:t xml:space="preserve">Se hubiese realizado Visita Técnica previamente para el Sitio a solicitud del Concesionario y a partir de entonces y hasta la fecha de la nueva Solicitud de Visita Técnica: (a) no se hubiese realizado modificación al Sitio diversa a alguna realizada a petición del Concesionario o, (b) no estuviese planeada o en curso modificación relevante al Sitio. </w:t>
      </w:r>
    </w:p>
    <w:p w14:paraId="0C1DF455" w14:textId="77777777" w:rsidR="00564424" w:rsidRPr="00B6020B" w:rsidRDefault="00564424" w:rsidP="00564424">
      <w:pPr>
        <w:pStyle w:val="Citaift0"/>
      </w:pPr>
      <w:r w:rsidRPr="00B6020B">
        <w:t>(ii)</w:t>
      </w:r>
      <w:r w:rsidRPr="00B6020B">
        <w:tab/>
        <w:t xml:space="preserve">Se haya identificado y, hasta donde Telesites tenga conocimiento, prevalezca una causa de imposibilidad, plenamente justificada. </w:t>
      </w:r>
    </w:p>
    <w:p w14:paraId="743305E4" w14:textId="77777777" w:rsidR="00564424" w:rsidRPr="00B6020B" w:rsidRDefault="00564424" w:rsidP="00564424">
      <w:pPr>
        <w:pStyle w:val="Citaift0"/>
        <w:rPr>
          <w:lang w:val="es-ES_tradnl"/>
        </w:rPr>
      </w:pPr>
      <w:r w:rsidRPr="00B6020B">
        <w:t xml:space="preserve">En los casos anteriores, Telesites notificará mediante el SEG dentro de los </w:t>
      </w:r>
      <w:r w:rsidRPr="00B6020B">
        <w:rPr>
          <w:lang w:val="es-419"/>
        </w:rPr>
        <w:t>2</w:t>
      </w:r>
      <w:r w:rsidRPr="00B6020B">
        <w:t xml:space="preserve"> (</w:t>
      </w:r>
      <w:r w:rsidRPr="00B6020B">
        <w:rPr>
          <w:lang w:val="es-419"/>
        </w:rPr>
        <w:t>dos</w:t>
      </w:r>
      <w:r w:rsidRPr="00B6020B">
        <w:t xml:space="preserve">) </w:t>
      </w:r>
      <w:r w:rsidRPr="00B6020B">
        <w:rPr>
          <w:lang w:val="es-ES_tradnl"/>
        </w:rPr>
        <w:t>días hábiles siguientes a la recepción de la solicitud de Visita Técnica del Concesionario, la indisponibilidad del Servicio</w:t>
      </w:r>
      <w:r w:rsidRPr="00B6020B">
        <w:rPr>
          <w:lang w:val="es-419"/>
        </w:rPr>
        <w:t>,</w:t>
      </w:r>
      <w:r w:rsidRPr="00B6020B">
        <w:rPr>
          <w:lang w:val="es-ES_tradnl"/>
        </w:rPr>
        <w:t xml:space="preserve"> la causa de ésta</w:t>
      </w:r>
      <w:r w:rsidRPr="00B6020B">
        <w:rPr>
          <w:lang w:val="es-419"/>
        </w:rPr>
        <w:t xml:space="preserve"> y en su caso el tiempo en que el servicio estará disponible</w:t>
      </w:r>
      <w:r w:rsidRPr="00B6020B">
        <w:rPr>
          <w:lang w:val="es-ES_tradnl"/>
        </w:rPr>
        <w:t>.</w:t>
      </w:r>
    </w:p>
    <w:p w14:paraId="6475F1B0" w14:textId="77777777" w:rsidR="00564424" w:rsidRPr="00B6020B" w:rsidRDefault="00564424" w:rsidP="00564424">
      <w:pPr>
        <w:pStyle w:val="Citaift0"/>
      </w:pPr>
      <w:r w:rsidRPr="00B6020B">
        <w:t>Igualmente, en esa misma fecha, será enviado al correo electrónico señalado por el Concesionario, aviso indicando tal situación y el código de identificación de la Solicitud de Visita Técnica.”</w:t>
      </w:r>
    </w:p>
    <w:p w14:paraId="1BC5E281" w14:textId="77777777" w:rsidR="00564424" w:rsidRPr="00B6020B" w:rsidRDefault="00456EB2" w:rsidP="00564424">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En este caso,</w:t>
      </w:r>
      <w:r w:rsidR="00564424" w:rsidRPr="00B6020B">
        <w:rPr>
          <w:rFonts w:ascii="ITC Avant Garde" w:hAnsi="ITC Avant Garde" w:cs="Arial"/>
          <w:sz w:val="22"/>
          <w:szCs w:val="22"/>
        </w:rPr>
        <w:t xml:space="preserve"> se considera que la Oferta de Referencia establece mecanismos para atender situaciones en las que el acceso a los Sitios sea inviable o esté limitado. Estas disposiciones </w:t>
      </w:r>
      <w:r w:rsidRPr="00B6020B">
        <w:rPr>
          <w:rFonts w:ascii="ITC Avant Garde" w:hAnsi="ITC Avant Garde" w:cs="Arial"/>
          <w:sz w:val="22"/>
          <w:szCs w:val="22"/>
        </w:rPr>
        <w:t>buscan ofrecer elementos de certeza respecto</w:t>
      </w:r>
      <w:r w:rsidR="00564424" w:rsidRPr="00B6020B">
        <w:rPr>
          <w:rFonts w:ascii="ITC Avant Garde" w:hAnsi="ITC Avant Garde" w:cs="Arial"/>
          <w:sz w:val="22"/>
          <w:szCs w:val="22"/>
        </w:rPr>
        <w:t xml:space="preserve"> el acceso</w:t>
      </w:r>
      <w:r w:rsidRPr="00B6020B">
        <w:rPr>
          <w:rFonts w:ascii="ITC Avant Garde" w:hAnsi="ITC Avant Garde" w:cs="Arial"/>
          <w:sz w:val="22"/>
          <w:szCs w:val="22"/>
        </w:rPr>
        <w:t>,</w:t>
      </w:r>
      <w:r w:rsidR="00564424" w:rsidRPr="00B6020B">
        <w:rPr>
          <w:rFonts w:ascii="ITC Avant Garde" w:hAnsi="ITC Avant Garde" w:cs="Arial"/>
          <w:sz w:val="22"/>
          <w:szCs w:val="22"/>
        </w:rPr>
        <w:t xml:space="preserve"> inform</w:t>
      </w:r>
      <w:r w:rsidRPr="00B6020B">
        <w:rPr>
          <w:rFonts w:ascii="ITC Avant Garde" w:hAnsi="ITC Avant Garde" w:cs="Arial"/>
          <w:sz w:val="22"/>
          <w:szCs w:val="22"/>
        </w:rPr>
        <w:t>ando</w:t>
      </w:r>
      <w:r w:rsidR="00564424" w:rsidRPr="00B6020B">
        <w:rPr>
          <w:rFonts w:ascii="ITC Avant Garde" w:hAnsi="ITC Avant Garde" w:cs="Arial"/>
          <w:sz w:val="22"/>
          <w:szCs w:val="22"/>
        </w:rPr>
        <w:t xml:space="preserve"> de manera oportuna</w:t>
      </w:r>
      <w:r w:rsidRPr="00B6020B">
        <w:rPr>
          <w:rFonts w:ascii="ITC Avant Garde" w:hAnsi="ITC Avant Garde" w:cs="Arial"/>
          <w:sz w:val="22"/>
          <w:szCs w:val="22"/>
        </w:rPr>
        <w:t xml:space="preserve"> aquellas situaciones</w:t>
      </w:r>
      <w:r w:rsidR="00564424" w:rsidRPr="00B6020B">
        <w:rPr>
          <w:rFonts w:ascii="ITC Avant Garde" w:hAnsi="ITC Avant Garde" w:cs="Arial"/>
          <w:sz w:val="22"/>
          <w:szCs w:val="22"/>
        </w:rPr>
        <w:t xml:space="preserve"> que permit</w:t>
      </w:r>
      <w:r w:rsidRPr="00B6020B">
        <w:rPr>
          <w:rFonts w:ascii="ITC Avant Garde" w:hAnsi="ITC Avant Garde" w:cs="Arial"/>
          <w:sz w:val="22"/>
          <w:szCs w:val="22"/>
        </w:rPr>
        <w:t>an</w:t>
      </w:r>
      <w:r w:rsidR="00564424" w:rsidRPr="00B6020B">
        <w:rPr>
          <w:rFonts w:ascii="ITC Avant Garde" w:hAnsi="ITC Avant Garde" w:cs="Arial"/>
          <w:sz w:val="22"/>
          <w:szCs w:val="22"/>
        </w:rPr>
        <w:t xml:space="preserve"> a las partes conocer las circunstancias específicas y proceder </w:t>
      </w:r>
      <w:r w:rsidR="00A43910" w:rsidRPr="00B6020B">
        <w:rPr>
          <w:rFonts w:ascii="ITC Avant Garde" w:hAnsi="ITC Avant Garde" w:cs="Arial"/>
          <w:sz w:val="22"/>
          <w:szCs w:val="22"/>
        </w:rPr>
        <w:t>en estos casos</w:t>
      </w:r>
      <w:r w:rsidR="00564424" w:rsidRPr="00B6020B">
        <w:rPr>
          <w:rFonts w:ascii="ITC Avant Garde" w:hAnsi="ITC Avant Garde" w:cs="Arial"/>
          <w:sz w:val="22"/>
          <w:szCs w:val="22"/>
        </w:rPr>
        <w:t>.</w:t>
      </w:r>
    </w:p>
    <w:p w14:paraId="118F221E" w14:textId="77777777" w:rsidR="00186A4B" w:rsidRPr="00B6020B" w:rsidRDefault="00456EB2" w:rsidP="00564424">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 xml:space="preserve">Lo anterior, sin menoscabo de que cualquier causa no justificada </w:t>
      </w:r>
      <w:r w:rsidR="00A43910" w:rsidRPr="00B6020B">
        <w:rPr>
          <w:rFonts w:ascii="ITC Avant Garde" w:hAnsi="ITC Avant Garde" w:cs="Arial"/>
          <w:sz w:val="22"/>
          <w:szCs w:val="22"/>
        </w:rPr>
        <w:t>por parte de Tele</w:t>
      </w:r>
      <w:r w:rsidR="003C4190" w:rsidRPr="00B6020B">
        <w:rPr>
          <w:rFonts w:ascii="ITC Avant Garde" w:hAnsi="ITC Avant Garde" w:cs="Arial"/>
          <w:sz w:val="22"/>
          <w:szCs w:val="22"/>
        </w:rPr>
        <w:t>si</w:t>
      </w:r>
      <w:r w:rsidR="00A43910" w:rsidRPr="00B6020B">
        <w:rPr>
          <w:rFonts w:ascii="ITC Avant Garde" w:hAnsi="ITC Avant Garde" w:cs="Arial"/>
          <w:sz w:val="22"/>
          <w:szCs w:val="22"/>
        </w:rPr>
        <w:t>tes</w:t>
      </w:r>
      <w:r w:rsidR="003C4190" w:rsidRPr="00B6020B">
        <w:rPr>
          <w:rFonts w:ascii="ITC Avant Garde" w:hAnsi="ITC Avant Garde" w:cs="Arial"/>
          <w:sz w:val="22"/>
          <w:szCs w:val="22"/>
        </w:rPr>
        <w:t xml:space="preserve"> y Fibra</w:t>
      </w:r>
      <w:r w:rsidR="00A43910" w:rsidRPr="00B6020B">
        <w:rPr>
          <w:rFonts w:ascii="ITC Avant Garde" w:hAnsi="ITC Avant Garde" w:cs="Arial"/>
          <w:sz w:val="22"/>
          <w:szCs w:val="22"/>
        </w:rPr>
        <w:t xml:space="preserve"> </w:t>
      </w:r>
      <w:r w:rsidRPr="00B6020B">
        <w:rPr>
          <w:rFonts w:ascii="ITC Avant Garde" w:hAnsi="ITC Avant Garde" w:cs="Arial"/>
          <w:sz w:val="22"/>
          <w:szCs w:val="22"/>
        </w:rPr>
        <w:t xml:space="preserve">pueda ser </w:t>
      </w:r>
      <w:r w:rsidR="00A43910" w:rsidRPr="00B6020B">
        <w:rPr>
          <w:rFonts w:ascii="ITC Avant Garde" w:hAnsi="ITC Avant Garde" w:cs="Arial"/>
          <w:sz w:val="22"/>
          <w:szCs w:val="22"/>
        </w:rPr>
        <w:t>atendida y, en su caso, comunicada al Instituto a efecto de que pueda resolver cualquier desacuerdo de carácter técnico.</w:t>
      </w:r>
    </w:p>
    <w:p w14:paraId="3B1C95AA" w14:textId="77777777" w:rsidR="00186A4B" w:rsidRPr="00B6020B" w:rsidRDefault="00426004" w:rsidP="007C328C">
      <w:pPr>
        <w:pStyle w:val="Prrafodelista"/>
        <w:numPr>
          <w:ilvl w:val="0"/>
          <w:numId w:val="12"/>
        </w:numPr>
        <w:tabs>
          <w:tab w:val="left" w:pos="2268"/>
        </w:tabs>
        <w:spacing w:after="120" w:line="276" w:lineRule="auto"/>
        <w:rPr>
          <w:rFonts w:ascii="ITC Avant Garde" w:hAnsi="ITC Avant Garde"/>
          <w:i/>
          <w:lang w:val="es-ES_tradnl"/>
        </w:rPr>
      </w:pPr>
      <w:r w:rsidRPr="00B6020B">
        <w:rPr>
          <w:rFonts w:ascii="ITC Avant Garde" w:hAnsi="ITC Avant Garde"/>
          <w:b/>
          <w:i/>
          <w:lang w:val="es-ES_tradnl"/>
        </w:rPr>
        <w:t xml:space="preserve">“1. DEL ACCESO A LOS SITIOS”, </w:t>
      </w:r>
      <w:r w:rsidRPr="00B6020B">
        <w:rPr>
          <w:rFonts w:ascii="ITC Avant Garde" w:hAnsi="ITC Avant Garde"/>
          <w:b/>
          <w:lang w:val="es-ES_tradnl"/>
        </w:rPr>
        <w:t xml:space="preserve">del </w:t>
      </w:r>
      <w:r w:rsidR="00AF19DC" w:rsidRPr="00B6020B">
        <w:rPr>
          <w:rFonts w:ascii="ITC Avant Garde" w:hAnsi="ITC Avant Garde"/>
          <w:b/>
          <w:i/>
        </w:rPr>
        <w:t>“Anexo “III”: Normativa Técnica”</w:t>
      </w:r>
    </w:p>
    <w:p w14:paraId="52A68082" w14:textId="77777777" w:rsidR="0044021F" w:rsidRPr="00B6020B" w:rsidRDefault="00276C55" w:rsidP="007C328C">
      <w:pPr>
        <w:spacing w:after="120" w:line="276" w:lineRule="auto"/>
        <w:ind w:left="720"/>
        <w:rPr>
          <w:rFonts w:ascii="ITC Avant Garde" w:hAnsi="ITC Avant Garde"/>
          <w:b/>
          <w:lang w:val="es-ES_tradnl"/>
        </w:rPr>
      </w:pPr>
      <w:r w:rsidRPr="00B6020B">
        <w:rPr>
          <w:rFonts w:ascii="ITC Avant Garde" w:hAnsi="ITC Avant Garde"/>
          <w:b/>
          <w:lang w:val="es-ES_tradnl"/>
        </w:rPr>
        <w:lastRenderedPageBreak/>
        <w:t>3.1. Numeral 1.2 de la sección “</w:t>
      </w:r>
      <w:r w:rsidRPr="00B6020B">
        <w:rPr>
          <w:rFonts w:ascii="ITC Avant Garde" w:hAnsi="ITC Avant Garde"/>
          <w:b/>
          <w:i/>
          <w:lang w:val="es-ES_tradnl"/>
        </w:rPr>
        <w:t xml:space="preserve">1. DEL ACCESO A LOS SITIOS”, </w:t>
      </w:r>
      <w:r w:rsidRPr="00B6020B">
        <w:rPr>
          <w:rFonts w:ascii="ITC Avant Garde" w:hAnsi="ITC Avant Garde"/>
          <w:b/>
          <w:lang w:val="es-ES_tradnl"/>
        </w:rPr>
        <w:t xml:space="preserve">del </w:t>
      </w:r>
      <w:r w:rsidR="00AF19DC" w:rsidRPr="00B6020B">
        <w:rPr>
          <w:rFonts w:ascii="ITC Avant Garde" w:hAnsi="ITC Avant Garde"/>
          <w:b/>
          <w:i/>
        </w:rPr>
        <w:t>“Anexo “III”: Normativa Técnica</w:t>
      </w:r>
      <w:r w:rsidR="00AF19DC" w:rsidRPr="00B6020B">
        <w:rPr>
          <w:rFonts w:ascii="ITC Avant Garde" w:hAnsi="ITC Avant Garde"/>
          <w:b/>
        </w:rPr>
        <w:t>”</w:t>
      </w:r>
    </w:p>
    <w:p w14:paraId="589CEEB1" w14:textId="5613DCC7" w:rsidR="002B5F49" w:rsidRPr="00B6020B" w:rsidRDefault="00DB40D1" w:rsidP="007C328C">
      <w:pPr>
        <w:spacing w:after="120" w:line="276" w:lineRule="auto"/>
        <w:rPr>
          <w:rFonts w:ascii="ITC Avant Garde" w:hAnsi="ITC Avant Garde"/>
          <w:lang w:val="es-ES_tradnl"/>
        </w:rPr>
      </w:pPr>
      <w:r w:rsidRPr="00B6020B">
        <w:rPr>
          <w:rFonts w:ascii="ITC Avant Garde" w:hAnsi="ITC Avant Garde"/>
        </w:rPr>
        <w:t>AT&amp;T</w:t>
      </w:r>
      <w:r w:rsidRPr="00B6020B">
        <w:rPr>
          <w:rFonts w:ascii="ITC Avant Garde" w:hAnsi="ITC Avant Garde"/>
          <w:lang w:val="es-ES_tradnl"/>
        </w:rPr>
        <w:t xml:space="preserve"> </w:t>
      </w:r>
      <w:r w:rsidR="00F367B1" w:rsidRPr="00B6020B">
        <w:rPr>
          <w:rFonts w:ascii="ITC Avant Garde" w:hAnsi="ITC Avant Garde"/>
          <w:lang w:val="es-ES_tradnl"/>
        </w:rPr>
        <w:t xml:space="preserve">señala que la </w:t>
      </w:r>
      <w:r w:rsidR="00386943" w:rsidRPr="00B6020B">
        <w:rPr>
          <w:rFonts w:ascii="ITC Avant Garde" w:hAnsi="ITC Avant Garde"/>
          <w:lang w:val="es-ES_tradnl"/>
        </w:rPr>
        <w:t xml:space="preserve">propuesta de </w:t>
      </w:r>
      <w:proofErr w:type="spellStart"/>
      <w:r w:rsidR="00386943" w:rsidRPr="00B6020B">
        <w:rPr>
          <w:rFonts w:ascii="ITC Avant Garde" w:hAnsi="ITC Avant Garde"/>
          <w:lang w:val="es-ES_tradnl"/>
        </w:rPr>
        <w:t>Telesites</w:t>
      </w:r>
      <w:proofErr w:type="spellEnd"/>
      <w:r w:rsidR="00386943" w:rsidRPr="00B6020B">
        <w:rPr>
          <w:rFonts w:ascii="ITC Avant Garde" w:hAnsi="ITC Avant Garde"/>
          <w:lang w:val="es-ES_tradnl"/>
        </w:rPr>
        <w:t xml:space="preserve"> </w:t>
      </w:r>
      <w:r w:rsidR="00F0189A" w:rsidRPr="00B6020B">
        <w:rPr>
          <w:rFonts w:ascii="ITC Avant Garde" w:hAnsi="ITC Avant Garde"/>
          <w:lang w:val="es-ES_tradnl"/>
        </w:rPr>
        <w:t>y</w:t>
      </w:r>
      <w:r w:rsidR="00386943" w:rsidRPr="00B6020B">
        <w:rPr>
          <w:rFonts w:ascii="ITC Avant Garde" w:hAnsi="ITC Avant Garde"/>
          <w:lang w:val="es-ES_tradnl"/>
        </w:rPr>
        <w:t xml:space="preserve"> Fibra </w:t>
      </w:r>
      <w:r w:rsidR="002B5F49" w:rsidRPr="00B6020B">
        <w:rPr>
          <w:rFonts w:ascii="ITC Avant Garde" w:hAnsi="ITC Avant Garde"/>
          <w:lang w:val="es-ES_tradnl"/>
        </w:rPr>
        <w:t xml:space="preserve">modifica el </w:t>
      </w:r>
      <w:r w:rsidR="00426004" w:rsidRPr="00B6020B">
        <w:rPr>
          <w:rFonts w:ascii="ITC Avant Garde" w:hAnsi="ITC Avant Garde"/>
          <w:lang w:val="es-ES_tradnl"/>
        </w:rPr>
        <w:t xml:space="preserve">numeral 1.2 de la sección </w:t>
      </w:r>
      <w:r w:rsidR="00426004" w:rsidRPr="00B6020B">
        <w:rPr>
          <w:rFonts w:ascii="ITC Avant Garde" w:hAnsi="ITC Avant Garde"/>
        </w:rPr>
        <w:t>“</w:t>
      </w:r>
      <w:r w:rsidR="00426004" w:rsidRPr="00B6020B">
        <w:rPr>
          <w:rFonts w:ascii="ITC Avant Garde" w:hAnsi="ITC Avant Garde"/>
          <w:i/>
        </w:rPr>
        <w:t>1. DEL ACCESO A LOS SITIOS</w:t>
      </w:r>
      <w:r w:rsidR="00426004" w:rsidRPr="00B6020B">
        <w:rPr>
          <w:rFonts w:ascii="ITC Avant Garde" w:hAnsi="ITC Avant Garde"/>
        </w:rPr>
        <w:t xml:space="preserve">” del </w:t>
      </w:r>
      <w:r w:rsidR="00AF19DC" w:rsidRPr="00B6020B">
        <w:rPr>
          <w:rFonts w:ascii="ITC Avant Garde" w:hAnsi="ITC Avant Garde"/>
          <w:i/>
        </w:rPr>
        <w:t>“Anexo “III”: Normativa Técnica</w:t>
      </w:r>
      <w:r w:rsidR="00AF19DC" w:rsidRPr="00B6020B">
        <w:rPr>
          <w:rFonts w:ascii="ITC Avant Garde" w:hAnsi="ITC Avant Garde"/>
        </w:rPr>
        <w:t xml:space="preserve">” </w:t>
      </w:r>
      <w:r w:rsidR="002B5F49" w:rsidRPr="00B6020B">
        <w:rPr>
          <w:rFonts w:ascii="ITC Avant Garde" w:hAnsi="ITC Avant Garde"/>
          <w:lang w:val="es-ES_tradnl"/>
        </w:rPr>
        <w:t xml:space="preserve">de la Oferta de Referencia </w:t>
      </w:r>
      <w:r w:rsidR="00633E1C" w:rsidRPr="00B6020B">
        <w:rPr>
          <w:rFonts w:ascii="ITC Avant Garde" w:hAnsi="ITC Avant Garde"/>
          <w:lang w:val="es-ES_tradnl"/>
        </w:rPr>
        <w:t xml:space="preserve">vigente </w:t>
      </w:r>
      <w:r w:rsidR="002B5F49" w:rsidRPr="00B6020B">
        <w:rPr>
          <w:rFonts w:ascii="ITC Avant Garde" w:hAnsi="ITC Avant Garde"/>
          <w:lang w:val="es-ES_tradnl"/>
        </w:rPr>
        <w:t xml:space="preserve">para establecer que el CS deberá entregar a Telesites o a la Fibra, con al menos 24 horas de anticipación, una Solicitud de Acceso a Sitio cada vez que desee ingresar a cualquier Sitio, acompañado de los requisitos que el arrendador solicite de manera puntual. </w:t>
      </w:r>
    </w:p>
    <w:p w14:paraId="177DD29F" w14:textId="77777777" w:rsidR="00186A4B" w:rsidRPr="00B6020B" w:rsidRDefault="00DB40D1" w:rsidP="007C328C">
      <w:pPr>
        <w:spacing w:after="120" w:line="276" w:lineRule="auto"/>
        <w:rPr>
          <w:rFonts w:ascii="ITC Avant Garde" w:hAnsi="ITC Avant Garde" w:cs="Arial"/>
        </w:rPr>
      </w:pPr>
      <w:r w:rsidRPr="00B6020B">
        <w:rPr>
          <w:rFonts w:ascii="ITC Avant Garde" w:hAnsi="ITC Avant Garde"/>
        </w:rPr>
        <w:t>AT&amp;T</w:t>
      </w:r>
      <w:r w:rsidRPr="00B6020B">
        <w:rPr>
          <w:rFonts w:ascii="ITC Avant Garde" w:hAnsi="ITC Avant Garde"/>
          <w:lang w:val="es-ES_tradnl"/>
        </w:rPr>
        <w:t xml:space="preserve"> </w:t>
      </w:r>
      <w:r w:rsidR="002B5F49" w:rsidRPr="00B6020B">
        <w:rPr>
          <w:rFonts w:ascii="ITC Avant Garde" w:hAnsi="ITC Avant Garde"/>
          <w:lang w:val="es-ES_tradnl"/>
        </w:rPr>
        <w:t xml:space="preserve">señala que el </w:t>
      </w:r>
      <w:r w:rsidR="002B5F49" w:rsidRPr="00B6020B">
        <w:rPr>
          <w:rFonts w:ascii="ITC Avant Garde" w:hAnsi="ITC Avant Garde"/>
          <w:i/>
          <w:lang w:val="es-ES_tradnl"/>
        </w:rPr>
        <w:t>“</w:t>
      </w:r>
      <w:r w:rsidR="00186A4B" w:rsidRPr="00B6020B">
        <w:rPr>
          <w:rFonts w:ascii="ITC Avant Garde" w:hAnsi="ITC Avant Garde" w:cs="Arial"/>
          <w:i/>
        </w:rPr>
        <w:t>plazo de 24 horas resulta inconsistente con el plazo actual de 48 horas, además de que el plazo solo es aplicable para el acceso programado, por lo que resulta inconsistente definirlo en este numeral. Por otra parte, Opsimex deberá incluir en la información del sitio en el SEG (Sistema Electrónico de Gestión) la información que el arrendador, en su caso, solicite y de esta manera el solicitante pueda tener conocimiento de manera previa y evitar rechazos discrecionales en el acceso a la infraestructura.</w:t>
      </w:r>
      <w:r w:rsidR="002B5F49" w:rsidRPr="00B6020B">
        <w:rPr>
          <w:rFonts w:ascii="ITC Avant Garde" w:hAnsi="ITC Avant Garde" w:cs="Arial"/>
          <w:i/>
        </w:rPr>
        <w:t>”</w:t>
      </w:r>
    </w:p>
    <w:p w14:paraId="5105DAD4" w14:textId="77777777" w:rsidR="00C349FF" w:rsidRPr="00B6020B" w:rsidRDefault="00C349FF" w:rsidP="007C328C">
      <w:pPr>
        <w:spacing w:after="120" w:line="276" w:lineRule="auto"/>
        <w:rPr>
          <w:rFonts w:ascii="ITC Avant Garde" w:hAnsi="ITC Avant Garde"/>
          <w:u w:val="single"/>
          <w:lang w:val="es-ES_tradnl"/>
        </w:rPr>
      </w:pPr>
      <w:r w:rsidRPr="00B6020B">
        <w:rPr>
          <w:rFonts w:ascii="ITC Avant Garde" w:hAnsi="ITC Avant Garde"/>
          <w:u w:val="single"/>
          <w:lang w:val="es-ES_tradnl"/>
        </w:rPr>
        <w:t>Respuesta de la UPR</w:t>
      </w:r>
    </w:p>
    <w:p w14:paraId="68A8D247" w14:textId="3431EA19" w:rsidR="00CE3394" w:rsidRPr="00B6020B" w:rsidRDefault="00C349FF" w:rsidP="00CE3394">
      <w:pPr>
        <w:spacing w:line="276" w:lineRule="auto"/>
        <w:rPr>
          <w:rFonts w:ascii="ITC Avant Garde" w:hAnsi="ITC Avant Garde"/>
          <w:lang w:val="es-ES_tradnl"/>
        </w:rPr>
      </w:pPr>
      <w:r w:rsidRPr="00B6020B">
        <w:rPr>
          <w:rFonts w:ascii="ITC Avant Garde" w:hAnsi="ITC Avant Garde"/>
          <w:lang w:val="es-ES_tradnl"/>
        </w:rPr>
        <w:t xml:space="preserve">Respecto a dichos comentarios, la UPR señala que </w:t>
      </w:r>
      <w:r w:rsidR="00A43910" w:rsidRPr="00B6020B">
        <w:rPr>
          <w:rFonts w:ascii="ITC Avant Garde" w:hAnsi="ITC Avant Garde"/>
          <w:lang w:val="es-ES_tradnl"/>
        </w:rPr>
        <w:t xml:space="preserve">hará un análisis particular de la propuesta realizada por </w:t>
      </w:r>
      <w:proofErr w:type="spellStart"/>
      <w:r w:rsidR="00A43910" w:rsidRPr="00B6020B">
        <w:rPr>
          <w:rFonts w:ascii="ITC Avant Garde" w:hAnsi="ITC Avant Garde"/>
          <w:lang w:val="es-ES_tradnl"/>
        </w:rPr>
        <w:t>Teles</w:t>
      </w:r>
      <w:r w:rsidR="00935F83" w:rsidRPr="00B6020B">
        <w:rPr>
          <w:rFonts w:ascii="ITC Avant Garde" w:hAnsi="ITC Avant Garde"/>
          <w:lang w:val="es-ES_tradnl"/>
        </w:rPr>
        <w:t>i</w:t>
      </w:r>
      <w:r w:rsidR="00A43910" w:rsidRPr="00B6020B">
        <w:rPr>
          <w:rFonts w:ascii="ITC Avant Garde" w:hAnsi="ITC Avant Garde"/>
          <w:lang w:val="es-ES_tradnl"/>
        </w:rPr>
        <w:t>tes</w:t>
      </w:r>
      <w:proofErr w:type="spellEnd"/>
      <w:r w:rsidR="00C765BA" w:rsidRPr="00B6020B">
        <w:rPr>
          <w:rFonts w:ascii="ITC Avant Garde" w:hAnsi="ITC Avant Garde"/>
          <w:lang w:val="es-ES_tradnl"/>
        </w:rPr>
        <w:t xml:space="preserve"> </w:t>
      </w:r>
      <w:r w:rsidR="00F0189A" w:rsidRPr="00B6020B">
        <w:rPr>
          <w:rFonts w:ascii="ITC Avant Garde" w:hAnsi="ITC Avant Garde"/>
          <w:lang w:val="es-ES_tradnl"/>
        </w:rPr>
        <w:t>y</w:t>
      </w:r>
      <w:r w:rsidR="00C765BA" w:rsidRPr="00B6020B">
        <w:rPr>
          <w:rFonts w:ascii="ITC Avant Garde" w:hAnsi="ITC Avant Garde"/>
          <w:lang w:val="es-ES_tradnl"/>
        </w:rPr>
        <w:t xml:space="preserve"> Fibra</w:t>
      </w:r>
      <w:r w:rsidR="00A43910" w:rsidRPr="00B6020B">
        <w:rPr>
          <w:rFonts w:ascii="ITC Avant Garde" w:hAnsi="ITC Avant Garde"/>
          <w:lang w:val="es-ES_tradnl"/>
        </w:rPr>
        <w:t xml:space="preserve"> a efecto de </w:t>
      </w:r>
      <w:r w:rsidR="00935F83" w:rsidRPr="00B6020B">
        <w:rPr>
          <w:rFonts w:ascii="ITC Avant Garde" w:hAnsi="ITC Avant Garde"/>
          <w:lang w:val="es-ES_tradnl"/>
        </w:rPr>
        <w:t xml:space="preserve">favorecer la comunicación </w:t>
      </w:r>
      <w:r w:rsidR="00633E1C" w:rsidRPr="00B6020B">
        <w:rPr>
          <w:rFonts w:ascii="ITC Avant Garde" w:hAnsi="ITC Avant Garde"/>
          <w:lang w:val="es-ES_tradnl"/>
        </w:rPr>
        <w:t xml:space="preserve">y transparencia </w:t>
      </w:r>
      <w:r w:rsidR="00935F83" w:rsidRPr="00B6020B">
        <w:rPr>
          <w:rFonts w:ascii="ITC Avant Garde" w:hAnsi="ITC Avant Garde"/>
          <w:lang w:val="es-ES_tradnl"/>
        </w:rPr>
        <w:t>entre las partes para el acceso a los sitios, considerando la entrega oportuna de la información para el acceso al sitio y su atención por parte del CS</w:t>
      </w:r>
      <w:r w:rsidR="00276C55" w:rsidRPr="00B6020B">
        <w:rPr>
          <w:rFonts w:ascii="ITC Avant Garde" w:hAnsi="ITC Avant Garde"/>
          <w:lang w:val="es-ES_tradnl"/>
        </w:rPr>
        <w:t>.</w:t>
      </w:r>
    </w:p>
    <w:p w14:paraId="2F97D0C6" w14:textId="77777777" w:rsidR="00CE3394" w:rsidRPr="00B6020B" w:rsidRDefault="00CE3394" w:rsidP="00CE3394">
      <w:pPr>
        <w:spacing w:after="120" w:line="276" w:lineRule="auto"/>
        <w:ind w:left="720"/>
        <w:rPr>
          <w:rFonts w:ascii="ITC Avant Garde" w:hAnsi="ITC Avant Garde"/>
          <w:b/>
          <w:i/>
          <w:lang w:val="es-ES_tradnl"/>
        </w:rPr>
      </w:pPr>
      <w:r w:rsidRPr="00B6020B">
        <w:rPr>
          <w:rFonts w:ascii="ITC Avant Garde" w:hAnsi="ITC Avant Garde"/>
          <w:b/>
          <w:lang w:val="es-ES_tradnl"/>
        </w:rPr>
        <w:t xml:space="preserve">3.2.  Numeral 1.5 de la sección </w:t>
      </w:r>
      <w:r w:rsidRPr="00B6020B">
        <w:rPr>
          <w:rFonts w:ascii="ITC Avant Garde" w:hAnsi="ITC Avant Garde"/>
          <w:b/>
          <w:i/>
          <w:lang w:val="es-ES_tradnl"/>
        </w:rPr>
        <w:t>“1. DEL ACCESO A LOS SITIOS”</w:t>
      </w:r>
      <w:r w:rsidRPr="00B6020B">
        <w:rPr>
          <w:rFonts w:ascii="ITC Avant Garde" w:hAnsi="ITC Avant Garde"/>
          <w:b/>
          <w:lang w:val="es-ES_tradnl"/>
        </w:rPr>
        <w:t xml:space="preserve">, del </w:t>
      </w:r>
      <w:r w:rsidRPr="00B6020B">
        <w:rPr>
          <w:rFonts w:ascii="ITC Avant Garde" w:hAnsi="ITC Avant Garde"/>
          <w:b/>
          <w:i/>
          <w:lang w:val="es-ES_tradnl"/>
        </w:rPr>
        <w:t>“Anexo “III”: Normativa Técnica”</w:t>
      </w:r>
    </w:p>
    <w:p w14:paraId="6E3113BE" w14:textId="77777777" w:rsidR="003C4190" w:rsidRPr="00B6020B" w:rsidRDefault="00CE3394" w:rsidP="00CE3394">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 xml:space="preserve">El participante AT&amp;T menciona que en el numeral 1.5 dentro del </w:t>
      </w:r>
      <w:r w:rsidRPr="00B6020B">
        <w:rPr>
          <w:rFonts w:ascii="ITC Avant Garde" w:hAnsi="ITC Avant Garde" w:cs="Arial"/>
          <w:i/>
          <w:sz w:val="22"/>
          <w:szCs w:val="22"/>
          <w:lang w:val="es-MX"/>
        </w:rPr>
        <w:t xml:space="preserve">“Anexo “III”: Normativa Técnica” </w:t>
      </w:r>
      <w:r w:rsidRPr="00B6020B">
        <w:rPr>
          <w:rFonts w:ascii="ITC Avant Garde" w:hAnsi="ITC Avant Garde" w:cs="Arial"/>
          <w:sz w:val="22"/>
          <w:szCs w:val="22"/>
          <w:lang w:val="es-MX"/>
        </w:rPr>
        <w:t xml:space="preserve">se </w:t>
      </w:r>
      <w:r w:rsidRPr="00B6020B">
        <w:rPr>
          <w:rFonts w:ascii="ITC Avant Garde" w:hAnsi="ITC Avant Garde" w:cs="Arial"/>
          <w:sz w:val="22"/>
          <w:szCs w:val="22"/>
        </w:rPr>
        <w:t xml:space="preserve">señala que </w:t>
      </w:r>
      <w:r w:rsidRPr="00B6020B">
        <w:rPr>
          <w:rFonts w:ascii="ITC Avant Garde" w:hAnsi="ITC Avant Garde" w:cs="Arial"/>
          <w:i/>
          <w:sz w:val="22"/>
          <w:szCs w:val="22"/>
        </w:rPr>
        <w:t>“El día en que el personal del Concesionario se presente al Sitio de que se trate, conforme a la fecha solicitada, deberá presentar una copia de la solicitud de Acceso a Sitio previamente formulada a Telesites o a la Fibra, e identificarse con credencial vigente emitida por el Concesionario o por la empresa en que labore, tratándose de personal subcontratado por el Concesionario”</w:t>
      </w:r>
      <w:r w:rsidRPr="00B6020B">
        <w:rPr>
          <w:rFonts w:ascii="ITC Avant Garde" w:hAnsi="ITC Avant Garde" w:cs="Arial"/>
          <w:sz w:val="22"/>
          <w:szCs w:val="22"/>
        </w:rPr>
        <w:t xml:space="preserve">. </w:t>
      </w:r>
    </w:p>
    <w:p w14:paraId="6BCF5BBA" w14:textId="77777777" w:rsidR="00CE3394" w:rsidRPr="00B6020B" w:rsidRDefault="00CE3394" w:rsidP="00CE3394">
      <w:pPr>
        <w:pStyle w:val="Default"/>
        <w:spacing w:after="100" w:afterAutospacing="1" w:line="276" w:lineRule="auto"/>
        <w:jc w:val="both"/>
        <w:rPr>
          <w:rFonts w:ascii="ITC Avant Garde" w:hAnsi="ITC Avant Garde" w:cs="Arial"/>
          <w:i/>
          <w:sz w:val="18"/>
          <w:szCs w:val="18"/>
        </w:rPr>
      </w:pPr>
      <w:r w:rsidRPr="00B6020B">
        <w:rPr>
          <w:rFonts w:ascii="ITC Avant Garde" w:hAnsi="ITC Avant Garde" w:cs="Arial"/>
          <w:sz w:val="22"/>
          <w:szCs w:val="22"/>
        </w:rPr>
        <w:t xml:space="preserve">Al respecto, el participante señala que </w:t>
      </w:r>
      <w:r w:rsidRPr="00B6020B">
        <w:rPr>
          <w:rFonts w:ascii="ITC Avant Garde" w:hAnsi="ITC Avant Garde" w:cs="Arial"/>
          <w:i/>
          <w:sz w:val="22"/>
          <w:szCs w:val="22"/>
        </w:rPr>
        <w:t xml:space="preserve">“para evitar requisitos innecesarios, se debe precisar que la solicitud se podrá presentar de manera electrónica”. </w:t>
      </w:r>
      <w:r w:rsidRPr="00B6020B">
        <w:rPr>
          <w:rFonts w:ascii="ITC Avant Garde" w:hAnsi="ITC Avant Garde" w:cs="Arial"/>
          <w:sz w:val="22"/>
          <w:szCs w:val="22"/>
        </w:rPr>
        <w:t xml:space="preserve">Además de lo anterior, </w:t>
      </w:r>
      <w:proofErr w:type="spellStart"/>
      <w:r w:rsidRPr="00B6020B">
        <w:rPr>
          <w:rFonts w:ascii="ITC Avant Garde" w:hAnsi="ITC Avant Garde" w:cs="Arial"/>
          <w:sz w:val="22"/>
          <w:szCs w:val="22"/>
        </w:rPr>
        <w:t>menciona</w:t>
      </w:r>
      <w:proofErr w:type="spellEnd"/>
      <w:r w:rsidRPr="00B6020B">
        <w:rPr>
          <w:rFonts w:ascii="ITC Avant Garde" w:hAnsi="ITC Avant Garde" w:cs="Arial"/>
          <w:sz w:val="22"/>
          <w:szCs w:val="22"/>
        </w:rPr>
        <w:t xml:space="preserve"> que </w:t>
      </w:r>
      <w:r w:rsidRPr="00B6020B">
        <w:rPr>
          <w:rFonts w:ascii="ITC Avant Garde" w:hAnsi="ITC Avant Garde" w:cs="Arial"/>
          <w:i/>
          <w:sz w:val="22"/>
          <w:szCs w:val="22"/>
        </w:rPr>
        <w:t>“</w:t>
      </w:r>
      <w:proofErr w:type="spellStart"/>
      <w:r w:rsidRPr="00B6020B">
        <w:rPr>
          <w:rFonts w:ascii="ITC Avant Garde" w:hAnsi="ITC Avant Garde" w:cs="Arial"/>
          <w:i/>
          <w:sz w:val="22"/>
          <w:szCs w:val="22"/>
        </w:rPr>
        <w:t>en</w:t>
      </w:r>
      <w:proofErr w:type="spellEnd"/>
      <w:r w:rsidRPr="00B6020B">
        <w:rPr>
          <w:rFonts w:ascii="ITC Avant Garde" w:hAnsi="ITC Avant Garde" w:cs="Arial"/>
          <w:i/>
          <w:sz w:val="22"/>
          <w:szCs w:val="22"/>
        </w:rPr>
        <w:t xml:space="preserve"> el </w:t>
      </w:r>
      <w:proofErr w:type="spellStart"/>
      <w:r w:rsidRPr="00B6020B">
        <w:rPr>
          <w:rFonts w:ascii="ITC Avant Garde" w:hAnsi="ITC Avant Garde" w:cs="Arial"/>
          <w:i/>
          <w:sz w:val="22"/>
          <w:szCs w:val="22"/>
        </w:rPr>
        <w:t>mismo</w:t>
      </w:r>
      <w:proofErr w:type="spellEnd"/>
      <w:r w:rsidRPr="00B6020B">
        <w:rPr>
          <w:rFonts w:ascii="ITC Avant Garde" w:hAnsi="ITC Avant Garde" w:cs="Arial"/>
          <w:i/>
          <w:sz w:val="22"/>
          <w:szCs w:val="22"/>
        </w:rPr>
        <w:t xml:space="preserve"> </w:t>
      </w:r>
      <w:proofErr w:type="spellStart"/>
      <w:r w:rsidRPr="00B6020B">
        <w:rPr>
          <w:rFonts w:ascii="ITC Avant Garde" w:hAnsi="ITC Avant Garde" w:cs="Arial"/>
          <w:i/>
          <w:sz w:val="22"/>
          <w:szCs w:val="22"/>
        </w:rPr>
        <w:t>anexo</w:t>
      </w:r>
      <w:proofErr w:type="spellEnd"/>
      <w:r w:rsidRPr="00B6020B">
        <w:rPr>
          <w:rFonts w:ascii="ITC Avant Garde" w:hAnsi="ITC Avant Garde" w:cs="Arial"/>
          <w:i/>
          <w:sz w:val="22"/>
          <w:szCs w:val="22"/>
        </w:rPr>
        <w:t xml:space="preserve"> de la </w:t>
      </w:r>
      <w:proofErr w:type="spellStart"/>
      <w:r w:rsidRPr="00B6020B">
        <w:rPr>
          <w:rFonts w:ascii="ITC Avant Garde" w:hAnsi="ITC Avant Garde" w:cs="Arial"/>
          <w:i/>
          <w:sz w:val="22"/>
          <w:szCs w:val="22"/>
        </w:rPr>
        <w:t>oferta</w:t>
      </w:r>
      <w:proofErr w:type="spellEnd"/>
      <w:r w:rsidRPr="00B6020B">
        <w:rPr>
          <w:rFonts w:ascii="ITC Avant Garde" w:hAnsi="ITC Avant Garde" w:cs="Arial"/>
          <w:i/>
          <w:sz w:val="22"/>
          <w:szCs w:val="22"/>
        </w:rPr>
        <w:t xml:space="preserve"> </w:t>
      </w:r>
      <w:proofErr w:type="spellStart"/>
      <w:r w:rsidRPr="00B6020B">
        <w:rPr>
          <w:rFonts w:ascii="ITC Avant Garde" w:hAnsi="ITC Avant Garde" w:cs="Arial"/>
          <w:i/>
          <w:sz w:val="22"/>
          <w:szCs w:val="22"/>
        </w:rPr>
        <w:t>vigente</w:t>
      </w:r>
      <w:proofErr w:type="spellEnd"/>
      <w:r w:rsidRPr="00B6020B">
        <w:rPr>
          <w:rFonts w:ascii="ITC Avant Garde" w:hAnsi="ITC Avant Garde" w:cs="Arial"/>
          <w:i/>
          <w:sz w:val="22"/>
          <w:szCs w:val="22"/>
        </w:rPr>
        <w:t xml:space="preserve"> se </w:t>
      </w:r>
      <w:proofErr w:type="spellStart"/>
      <w:r w:rsidRPr="00B6020B">
        <w:rPr>
          <w:rFonts w:ascii="ITC Avant Garde" w:hAnsi="ITC Avant Garde" w:cs="Arial"/>
          <w:i/>
          <w:sz w:val="22"/>
          <w:szCs w:val="22"/>
        </w:rPr>
        <w:t>establece</w:t>
      </w:r>
      <w:proofErr w:type="spellEnd"/>
      <w:r w:rsidRPr="00B6020B">
        <w:rPr>
          <w:rFonts w:ascii="ITC Avant Garde" w:hAnsi="ITC Avant Garde" w:cs="Arial"/>
          <w:i/>
          <w:sz w:val="22"/>
          <w:szCs w:val="22"/>
        </w:rPr>
        <w:t xml:space="preserve"> que se deberá contar con uniforme con logo de la empresa, lo que resulta en un requisito innecesario, toda vez que el personal que se presenta debe mostrar la identificación y la solicitud de acceso al sitio. Con el objetivo de eliminar requisitos innecesarios que pueden obstaculizar el acceso a la infraestructura, se debe eliminar lo relativo al logo de la empresa”. </w:t>
      </w:r>
    </w:p>
    <w:p w14:paraId="0CFEEA95" w14:textId="77777777" w:rsidR="00CE3394" w:rsidRPr="00B6020B" w:rsidRDefault="00CE3394" w:rsidP="00CE3394">
      <w:pPr>
        <w:pStyle w:val="Default"/>
        <w:spacing w:after="100" w:afterAutospacing="1" w:line="276" w:lineRule="auto"/>
        <w:jc w:val="both"/>
        <w:rPr>
          <w:rFonts w:ascii="ITC Avant Garde" w:hAnsi="ITC Avant Garde" w:cs="Arial"/>
          <w:sz w:val="22"/>
          <w:szCs w:val="22"/>
          <w:u w:val="single"/>
        </w:rPr>
      </w:pPr>
      <w:r w:rsidRPr="00B6020B">
        <w:rPr>
          <w:rFonts w:ascii="ITC Avant Garde" w:hAnsi="ITC Avant Garde" w:cs="Arial"/>
          <w:sz w:val="22"/>
          <w:szCs w:val="22"/>
          <w:u w:val="single"/>
        </w:rPr>
        <w:t>Respuesta de la UPR</w:t>
      </w:r>
    </w:p>
    <w:p w14:paraId="2A79FAEC" w14:textId="5263B9C6" w:rsidR="00CE3394" w:rsidRPr="00B6020B" w:rsidRDefault="00CE3394" w:rsidP="00CE3394">
      <w:pPr>
        <w:pStyle w:val="Default"/>
        <w:spacing w:after="100" w:afterAutospacing="1" w:line="276" w:lineRule="auto"/>
        <w:jc w:val="both"/>
        <w:rPr>
          <w:rFonts w:ascii="ITC Avant Garde" w:hAnsi="ITC Avant Garde"/>
          <w:sz w:val="22"/>
          <w:lang w:val="es-MX"/>
        </w:rPr>
      </w:pPr>
      <w:r w:rsidRPr="00B6020B">
        <w:rPr>
          <w:rFonts w:ascii="ITC Avant Garde" w:hAnsi="ITC Avant Garde"/>
          <w:sz w:val="22"/>
          <w:lang w:val="es-MX"/>
        </w:rPr>
        <w:lastRenderedPageBreak/>
        <w:t xml:space="preserve">Al respecto, la UPR considera que la Oferta de Referencia contempla los elementos pertinentes para garantizar </w:t>
      </w:r>
      <w:r w:rsidR="00935F83" w:rsidRPr="00B6020B">
        <w:rPr>
          <w:rFonts w:ascii="ITC Avant Garde" w:hAnsi="ITC Avant Garde"/>
          <w:sz w:val="22"/>
          <w:lang w:val="es-MX"/>
        </w:rPr>
        <w:t>el acceso a</w:t>
      </w:r>
      <w:r w:rsidRPr="00B6020B">
        <w:rPr>
          <w:rFonts w:ascii="ITC Avant Garde" w:hAnsi="ITC Avant Garde"/>
          <w:sz w:val="22"/>
          <w:lang w:val="es-MX"/>
        </w:rPr>
        <w:t xml:space="preserve"> los sitios</w:t>
      </w:r>
      <w:r w:rsidR="00633E1C" w:rsidRPr="00B6020B">
        <w:rPr>
          <w:rFonts w:ascii="ITC Avant Garde" w:hAnsi="ITC Avant Garde"/>
          <w:sz w:val="22"/>
          <w:lang w:val="es-MX"/>
        </w:rPr>
        <w:t>, p</w:t>
      </w:r>
      <w:r w:rsidR="003C4190" w:rsidRPr="00B6020B">
        <w:rPr>
          <w:rFonts w:ascii="ITC Avant Garde" w:hAnsi="ITC Avant Garde"/>
          <w:sz w:val="22"/>
          <w:lang w:val="es-MX"/>
        </w:rPr>
        <w:t>or lo que, con base en dichos requisitos</w:t>
      </w:r>
      <w:r w:rsidRPr="00B6020B">
        <w:rPr>
          <w:rFonts w:ascii="ITC Avant Garde" w:hAnsi="ITC Avant Garde"/>
          <w:sz w:val="22"/>
          <w:lang w:val="es-MX"/>
        </w:rPr>
        <w:t xml:space="preserve"> no </w:t>
      </w:r>
      <w:r w:rsidR="00110E37" w:rsidRPr="00B6020B">
        <w:rPr>
          <w:rFonts w:ascii="ITC Avant Garde" w:hAnsi="ITC Avant Garde"/>
          <w:sz w:val="22"/>
          <w:lang w:val="es-MX"/>
        </w:rPr>
        <w:t>se observa que resulten en</w:t>
      </w:r>
      <w:r w:rsidRPr="00B6020B">
        <w:rPr>
          <w:rFonts w:ascii="ITC Avant Garde" w:hAnsi="ITC Avant Garde"/>
          <w:sz w:val="22"/>
          <w:lang w:val="es-MX"/>
        </w:rPr>
        <w:t xml:space="preserve"> una carga desproporcionada para los concesionarios</w:t>
      </w:r>
      <w:r w:rsidR="00110E37" w:rsidRPr="00B6020B">
        <w:rPr>
          <w:rFonts w:ascii="ITC Avant Garde" w:hAnsi="ITC Avant Garde"/>
          <w:sz w:val="22"/>
          <w:lang w:val="es-MX"/>
        </w:rPr>
        <w:t xml:space="preserve"> con el propósito de</w:t>
      </w:r>
      <w:r w:rsidR="003C4190" w:rsidRPr="00B6020B">
        <w:rPr>
          <w:rFonts w:ascii="ITC Avant Garde" w:hAnsi="ITC Avant Garde"/>
          <w:sz w:val="22"/>
          <w:lang w:val="es-MX"/>
        </w:rPr>
        <w:t xml:space="preserve"> ofrecer medidas de identificación que permitan</w:t>
      </w:r>
      <w:r w:rsidR="00110E37" w:rsidRPr="00B6020B">
        <w:rPr>
          <w:rFonts w:ascii="ITC Avant Garde" w:hAnsi="ITC Avant Garde"/>
          <w:sz w:val="22"/>
          <w:lang w:val="es-MX"/>
        </w:rPr>
        <w:t xml:space="preserve"> salvaguardar la infraestructura compartida</w:t>
      </w:r>
      <w:r w:rsidRPr="00B6020B">
        <w:rPr>
          <w:rFonts w:ascii="ITC Avant Garde" w:hAnsi="ITC Avant Garde"/>
          <w:sz w:val="22"/>
          <w:lang w:val="es-MX"/>
        </w:rPr>
        <w:t>.</w:t>
      </w:r>
    </w:p>
    <w:p w14:paraId="249BEA55" w14:textId="77777777" w:rsidR="002B5F49" w:rsidRPr="00B6020B" w:rsidRDefault="00276C55" w:rsidP="007C328C">
      <w:pPr>
        <w:spacing w:after="120" w:line="276" w:lineRule="auto"/>
        <w:ind w:left="720"/>
        <w:rPr>
          <w:rFonts w:ascii="ITC Avant Garde" w:hAnsi="ITC Avant Garde"/>
          <w:b/>
          <w:lang w:val="es-ES_tradnl"/>
        </w:rPr>
      </w:pPr>
      <w:r w:rsidRPr="00B6020B">
        <w:rPr>
          <w:rFonts w:ascii="ITC Avant Garde" w:hAnsi="ITC Avant Garde"/>
          <w:b/>
          <w:lang w:val="es-ES_tradnl"/>
        </w:rPr>
        <w:t>3.</w:t>
      </w:r>
      <w:r w:rsidR="00CE3394" w:rsidRPr="00B6020B">
        <w:rPr>
          <w:rFonts w:ascii="ITC Avant Garde" w:hAnsi="ITC Avant Garde"/>
          <w:b/>
          <w:lang w:val="es-ES_tradnl"/>
        </w:rPr>
        <w:t>3</w:t>
      </w:r>
      <w:r w:rsidRPr="00B6020B">
        <w:rPr>
          <w:rFonts w:ascii="ITC Avant Garde" w:hAnsi="ITC Avant Garde"/>
          <w:b/>
          <w:lang w:val="es-ES_tradnl"/>
        </w:rPr>
        <w:t>. Numeral 1.11 de la sección “</w:t>
      </w:r>
      <w:r w:rsidRPr="00B6020B">
        <w:rPr>
          <w:rFonts w:ascii="ITC Avant Garde" w:hAnsi="ITC Avant Garde"/>
          <w:b/>
          <w:i/>
          <w:lang w:val="es-ES_tradnl"/>
        </w:rPr>
        <w:t xml:space="preserve">1. DEL ACCESO A LOS SITIOS”, </w:t>
      </w:r>
      <w:r w:rsidRPr="00B6020B">
        <w:rPr>
          <w:rFonts w:ascii="ITC Avant Garde" w:hAnsi="ITC Avant Garde"/>
          <w:b/>
          <w:lang w:val="es-ES_tradnl"/>
        </w:rPr>
        <w:t xml:space="preserve">del </w:t>
      </w:r>
      <w:r w:rsidR="00AF19DC" w:rsidRPr="00B6020B">
        <w:rPr>
          <w:rFonts w:ascii="ITC Avant Garde" w:hAnsi="ITC Avant Garde"/>
          <w:b/>
          <w:i/>
        </w:rPr>
        <w:t>“Anexo “III”: Normativa Técnica</w:t>
      </w:r>
      <w:r w:rsidR="00AF19DC" w:rsidRPr="00B6020B">
        <w:rPr>
          <w:rFonts w:ascii="ITC Avant Garde" w:hAnsi="ITC Avant Garde"/>
          <w:b/>
        </w:rPr>
        <w:t>”</w:t>
      </w:r>
    </w:p>
    <w:p w14:paraId="0C797402" w14:textId="23FBFE0C" w:rsidR="00186A4B" w:rsidRPr="00B6020B" w:rsidRDefault="00DB40D1" w:rsidP="007C328C">
      <w:pPr>
        <w:spacing w:after="120" w:line="276" w:lineRule="auto"/>
        <w:rPr>
          <w:rFonts w:ascii="ITC Avant Garde" w:hAnsi="ITC Avant Garde"/>
          <w:lang w:val="es-ES_tradnl"/>
        </w:rPr>
      </w:pPr>
      <w:r w:rsidRPr="00B6020B">
        <w:rPr>
          <w:rFonts w:ascii="ITC Avant Garde" w:hAnsi="ITC Avant Garde"/>
        </w:rPr>
        <w:t>AT&amp;T</w:t>
      </w:r>
      <w:r w:rsidRPr="00B6020B">
        <w:rPr>
          <w:rFonts w:ascii="ITC Avant Garde" w:hAnsi="ITC Avant Garde"/>
          <w:lang w:val="es-ES_tradnl"/>
        </w:rPr>
        <w:t xml:space="preserve"> </w:t>
      </w:r>
      <w:r w:rsidR="002B5F49" w:rsidRPr="00B6020B">
        <w:rPr>
          <w:rFonts w:ascii="ITC Avant Garde" w:hAnsi="ITC Avant Garde"/>
          <w:lang w:val="es-ES_tradnl"/>
        </w:rPr>
        <w:t xml:space="preserve">señala que la propuesta de </w:t>
      </w:r>
      <w:proofErr w:type="spellStart"/>
      <w:r w:rsidR="002B5F49" w:rsidRPr="00B6020B">
        <w:rPr>
          <w:rFonts w:ascii="ITC Avant Garde" w:hAnsi="ITC Avant Garde"/>
          <w:lang w:val="es-ES_tradnl"/>
        </w:rPr>
        <w:t>Telesites</w:t>
      </w:r>
      <w:proofErr w:type="spellEnd"/>
      <w:r w:rsidR="002B5F49" w:rsidRPr="00B6020B">
        <w:rPr>
          <w:rFonts w:ascii="ITC Avant Garde" w:hAnsi="ITC Avant Garde"/>
          <w:lang w:val="es-ES_tradnl"/>
        </w:rPr>
        <w:t xml:space="preserve"> </w:t>
      </w:r>
      <w:r w:rsidR="00F0189A" w:rsidRPr="00B6020B">
        <w:rPr>
          <w:rFonts w:ascii="ITC Avant Garde" w:hAnsi="ITC Avant Garde"/>
          <w:lang w:val="es-ES_tradnl"/>
        </w:rPr>
        <w:t>y</w:t>
      </w:r>
      <w:r w:rsidR="002B5F49" w:rsidRPr="00B6020B">
        <w:rPr>
          <w:rFonts w:ascii="ITC Avant Garde" w:hAnsi="ITC Avant Garde"/>
          <w:lang w:val="es-ES_tradnl"/>
        </w:rPr>
        <w:t xml:space="preserve"> la Fibra modifica el </w:t>
      </w:r>
      <w:r w:rsidR="00AF19DC" w:rsidRPr="00B6020B">
        <w:rPr>
          <w:rFonts w:ascii="ITC Avant Garde" w:hAnsi="ITC Avant Garde"/>
          <w:i/>
        </w:rPr>
        <w:t>“Anexo “III”: Normativa Técnica</w:t>
      </w:r>
      <w:r w:rsidR="00AF19DC" w:rsidRPr="00B6020B">
        <w:rPr>
          <w:rFonts w:ascii="ITC Avant Garde" w:hAnsi="ITC Avant Garde"/>
        </w:rPr>
        <w:t xml:space="preserve">” </w:t>
      </w:r>
      <w:r w:rsidR="002B5F49" w:rsidRPr="00B6020B">
        <w:rPr>
          <w:rFonts w:ascii="ITC Avant Garde" w:hAnsi="ITC Avant Garde"/>
          <w:lang w:val="es-ES_tradnl"/>
        </w:rPr>
        <w:t xml:space="preserve">de la Oferta de Referencia para establecer que </w:t>
      </w:r>
      <w:r w:rsidR="000E3867" w:rsidRPr="00B6020B">
        <w:rPr>
          <w:rFonts w:ascii="ITC Avant Garde" w:hAnsi="ITC Avant Garde"/>
          <w:i/>
          <w:lang w:val="es-ES_tradnl"/>
        </w:rPr>
        <w:t xml:space="preserve">“El personal del Concesionario que ingrese a cualquiera de los Sitios y tenga conocimiento de cualquier anomalía o daño preexistente, deberá notificar a Telesites o a la Fibra lo conducente de manera inmediata, </w:t>
      </w:r>
      <w:r w:rsidR="000E3867" w:rsidRPr="00B6020B">
        <w:rPr>
          <w:rFonts w:ascii="ITC Avant Garde" w:hAnsi="ITC Avant Garde"/>
          <w:b/>
          <w:i/>
          <w:lang w:val="es-ES_tradnl"/>
        </w:rPr>
        <w:t>a través del correo electrónico, así como por el SEG</w:t>
      </w:r>
      <w:r w:rsidR="000E3867" w:rsidRPr="00B6020B">
        <w:rPr>
          <w:rFonts w:ascii="ITC Avant Garde" w:hAnsi="ITC Avant Garde"/>
          <w:i/>
          <w:lang w:val="es-ES_tradnl"/>
        </w:rPr>
        <w:t>”</w:t>
      </w:r>
      <w:r w:rsidR="00186A4B" w:rsidRPr="00B6020B">
        <w:rPr>
          <w:rFonts w:ascii="ITC Avant Garde" w:hAnsi="ITC Avant Garde"/>
          <w:lang w:val="es-ES_tradnl"/>
        </w:rPr>
        <w:t xml:space="preserve">. </w:t>
      </w:r>
    </w:p>
    <w:p w14:paraId="2A641BE3" w14:textId="77777777" w:rsidR="00041441" w:rsidRPr="00B6020B" w:rsidRDefault="00DB40D1" w:rsidP="007C328C">
      <w:pPr>
        <w:spacing w:after="120" w:line="276" w:lineRule="auto"/>
        <w:rPr>
          <w:rFonts w:ascii="ITC Avant Garde" w:hAnsi="ITC Avant Garde"/>
          <w:lang w:val="es-ES_tradnl"/>
        </w:rPr>
      </w:pPr>
      <w:r w:rsidRPr="00B6020B">
        <w:rPr>
          <w:rFonts w:ascii="ITC Avant Garde" w:hAnsi="ITC Avant Garde"/>
        </w:rPr>
        <w:t>AT&amp;T</w:t>
      </w:r>
      <w:r w:rsidR="002B5F49" w:rsidRPr="00B6020B">
        <w:rPr>
          <w:rFonts w:ascii="ITC Avant Garde" w:hAnsi="ITC Avant Garde"/>
          <w:lang w:val="es-ES_tradnl"/>
        </w:rPr>
        <w:t xml:space="preserve"> señala que c</w:t>
      </w:r>
      <w:r w:rsidR="00186A4B" w:rsidRPr="00B6020B">
        <w:rPr>
          <w:rFonts w:ascii="ITC Avant Garde" w:hAnsi="ITC Avant Garde"/>
          <w:lang w:val="es-ES_tradnl"/>
        </w:rPr>
        <w:t xml:space="preserve">on la redacción vigente, </w:t>
      </w:r>
      <w:r w:rsidR="002B5F49" w:rsidRPr="00B6020B">
        <w:rPr>
          <w:rFonts w:ascii="ITC Avant Garde" w:hAnsi="ITC Avant Garde"/>
          <w:i/>
          <w:lang w:val="es-ES_tradnl"/>
        </w:rPr>
        <w:t>“</w:t>
      </w:r>
      <w:r w:rsidR="00186A4B" w:rsidRPr="00B6020B">
        <w:rPr>
          <w:rFonts w:ascii="ITC Avant Garde" w:hAnsi="ITC Avant Garde"/>
          <w:i/>
          <w:lang w:val="es-ES_tradnl"/>
        </w:rPr>
        <w:t>ante cualquier anomalía solo bastaba con dar aviso para que no se presuma que esta fue ocasionada por el Concesionario. Con la propuesta, se crea una instancia de revisión por parte de Opsimex en la que podría tener discrecionalidad para determinar unilateralmente la responsabilidad</w:t>
      </w:r>
      <w:r w:rsidR="002B5F49" w:rsidRPr="00B6020B">
        <w:rPr>
          <w:rFonts w:ascii="ITC Avant Garde" w:hAnsi="ITC Avant Garde"/>
          <w:i/>
          <w:lang w:val="es-ES_tradnl"/>
        </w:rPr>
        <w:t>”</w:t>
      </w:r>
      <w:r w:rsidR="00186A4B" w:rsidRPr="00B6020B">
        <w:rPr>
          <w:rFonts w:ascii="ITC Avant Garde" w:hAnsi="ITC Avant Garde"/>
          <w:lang w:val="es-ES_tradnl"/>
        </w:rPr>
        <w:t>.</w:t>
      </w:r>
      <w:r w:rsidR="002B5F49" w:rsidRPr="00B6020B">
        <w:rPr>
          <w:rFonts w:ascii="ITC Avant Garde" w:hAnsi="ITC Avant Garde"/>
          <w:lang w:val="es-ES_tradnl"/>
        </w:rPr>
        <w:t xml:space="preserve"> </w:t>
      </w:r>
    </w:p>
    <w:p w14:paraId="5D8E9EEB" w14:textId="77777777" w:rsidR="00186A4B" w:rsidRPr="00B6020B" w:rsidRDefault="002B5F49" w:rsidP="007C328C">
      <w:pPr>
        <w:spacing w:after="120" w:line="276" w:lineRule="auto"/>
        <w:rPr>
          <w:rFonts w:ascii="ITC Avant Garde" w:hAnsi="ITC Avant Garde"/>
          <w:lang w:val="es-ES_tradnl"/>
        </w:rPr>
      </w:pPr>
      <w:r w:rsidRPr="00B6020B">
        <w:rPr>
          <w:rFonts w:ascii="ITC Avant Garde" w:hAnsi="ITC Avant Garde"/>
          <w:lang w:val="es-ES_tradnl"/>
        </w:rPr>
        <w:t xml:space="preserve">En este sentido, </w:t>
      </w:r>
      <w:r w:rsidR="00DB40D1" w:rsidRPr="00B6020B">
        <w:rPr>
          <w:rFonts w:ascii="ITC Avant Garde" w:hAnsi="ITC Avant Garde"/>
        </w:rPr>
        <w:t>AT&amp;T</w:t>
      </w:r>
      <w:r w:rsidR="00DB40D1" w:rsidRPr="00B6020B">
        <w:rPr>
          <w:rFonts w:ascii="ITC Avant Garde" w:hAnsi="ITC Avant Garde"/>
          <w:lang w:val="es-ES_tradnl"/>
        </w:rPr>
        <w:t xml:space="preserve"> </w:t>
      </w:r>
      <w:r w:rsidRPr="00B6020B">
        <w:rPr>
          <w:rFonts w:ascii="ITC Avant Garde" w:hAnsi="ITC Avant Garde"/>
          <w:lang w:val="es-ES_tradnl"/>
        </w:rPr>
        <w:t xml:space="preserve">considera que </w:t>
      </w:r>
      <w:r w:rsidRPr="00B6020B">
        <w:rPr>
          <w:rFonts w:ascii="ITC Avant Garde" w:hAnsi="ITC Avant Garde"/>
          <w:i/>
          <w:lang w:val="es-ES_tradnl"/>
        </w:rPr>
        <w:t>“</w:t>
      </w:r>
      <w:r w:rsidR="00186A4B" w:rsidRPr="00B6020B">
        <w:rPr>
          <w:rFonts w:ascii="ITC Avant Garde" w:hAnsi="ITC Avant Garde"/>
          <w:i/>
          <w:lang w:val="es-ES_tradnl"/>
        </w:rPr>
        <w:t>únicamente se debe mantener el objeto de avisar ante cualquier situación</w:t>
      </w:r>
      <w:r w:rsidRPr="00B6020B">
        <w:rPr>
          <w:rFonts w:ascii="ITC Avant Garde" w:hAnsi="ITC Avant Garde"/>
          <w:i/>
          <w:lang w:val="es-ES_tradnl"/>
        </w:rPr>
        <w:t>”</w:t>
      </w:r>
      <w:r w:rsidRPr="00B6020B">
        <w:rPr>
          <w:rFonts w:ascii="ITC Avant Garde" w:hAnsi="ITC Avant Garde"/>
          <w:lang w:val="es-ES_tradnl"/>
        </w:rPr>
        <w:t xml:space="preserve">, además de señalar que </w:t>
      </w:r>
      <w:r w:rsidRPr="00B6020B">
        <w:rPr>
          <w:rFonts w:ascii="ITC Avant Garde" w:hAnsi="ITC Avant Garde"/>
          <w:i/>
          <w:lang w:val="es-ES_tradnl"/>
        </w:rPr>
        <w:t>“</w:t>
      </w:r>
      <w:r w:rsidR="00186A4B" w:rsidRPr="00B6020B">
        <w:rPr>
          <w:rFonts w:ascii="ITC Avant Garde" w:hAnsi="ITC Avant Garde"/>
          <w:i/>
          <w:lang w:val="es-ES_tradnl"/>
        </w:rPr>
        <w:t>con el mecanismo de contacto por correo o SEG, se podría prestar a que se asuma que el Concesionario tuvo culpa en la anomalía si por alguna razón no puede realizarlo de forma inmediata</w:t>
      </w:r>
      <w:r w:rsidRPr="00B6020B">
        <w:rPr>
          <w:rFonts w:ascii="ITC Avant Garde" w:hAnsi="ITC Avant Garde"/>
          <w:i/>
          <w:lang w:val="es-ES_tradnl"/>
        </w:rPr>
        <w:t>”</w:t>
      </w:r>
      <w:r w:rsidR="00186A4B" w:rsidRPr="00B6020B">
        <w:rPr>
          <w:rFonts w:ascii="ITC Avant Garde" w:hAnsi="ITC Avant Garde"/>
          <w:lang w:val="es-ES_tradnl"/>
        </w:rPr>
        <w:t>.</w:t>
      </w:r>
    </w:p>
    <w:p w14:paraId="437373D7" w14:textId="77777777" w:rsidR="00AF19DC" w:rsidRPr="00B6020B" w:rsidRDefault="00AF19DC" w:rsidP="007C328C">
      <w:pPr>
        <w:spacing w:after="120" w:line="276" w:lineRule="auto"/>
        <w:rPr>
          <w:rFonts w:ascii="ITC Avant Garde" w:hAnsi="ITC Avant Garde"/>
          <w:u w:val="single"/>
          <w:lang w:val="es-ES_tradnl"/>
        </w:rPr>
      </w:pPr>
      <w:r w:rsidRPr="00B6020B">
        <w:rPr>
          <w:rFonts w:ascii="ITC Avant Garde" w:hAnsi="ITC Avant Garde"/>
          <w:u w:val="single"/>
          <w:lang w:val="es-ES_tradnl"/>
        </w:rPr>
        <w:t>Respuesta de la UPR</w:t>
      </w:r>
    </w:p>
    <w:p w14:paraId="3F2FCA1C" w14:textId="630509C6" w:rsidR="00AF19DC" w:rsidRPr="00B6020B" w:rsidRDefault="00AF19DC">
      <w:pPr>
        <w:pStyle w:val="IFTnormal"/>
        <w:spacing w:after="0"/>
        <w:rPr>
          <w:lang w:val="es-MX"/>
        </w:rPr>
      </w:pPr>
      <w:r w:rsidRPr="00B6020B">
        <w:rPr>
          <w:lang w:val="es-MX"/>
        </w:rPr>
        <w:t xml:space="preserve">Respecto a la notificación sobre anomalías o daños preexistentes de manera inmediata por parte del CS, se </w:t>
      </w:r>
      <w:r w:rsidR="00110E37" w:rsidRPr="00B6020B">
        <w:rPr>
          <w:lang w:val="es-MX"/>
        </w:rPr>
        <w:t>hará una evaluación de la propuesta realizada</w:t>
      </w:r>
      <w:r w:rsidR="0011034B" w:rsidRPr="00B6020B">
        <w:rPr>
          <w:lang w:val="es-MX"/>
        </w:rPr>
        <w:t>,</w:t>
      </w:r>
      <w:r w:rsidR="00441982" w:rsidRPr="00B6020B">
        <w:rPr>
          <w:lang w:val="es-MX"/>
        </w:rPr>
        <w:t xml:space="preserve"> considerando </w:t>
      </w:r>
      <w:r w:rsidRPr="00B6020B">
        <w:rPr>
          <w:lang w:val="es-MX"/>
        </w:rPr>
        <w:t xml:space="preserve">los medios de notificación propuestos por Telesites y Fibra en los que el CS deberá reportar cualquier anomalía o daño preexistente, </w:t>
      </w:r>
      <w:r w:rsidR="00F31345" w:rsidRPr="00B6020B">
        <w:rPr>
          <w:lang w:val="es-MX"/>
        </w:rPr>
        <w:t xml:space="preserve">evaluando la necesidad de </w:t>
      </w:r>
      <w:r w:rsidRPr="00B6020B">
        <w:rPr>
          <w:lang w:val="es-MX"/>
        </w:rPr>
        <w:t xml:space="preserve">presentar la evidencia respectiva en dicha notificación, </w:t>
      </w:r>
      <w:r w:rsidR="00F31345" w:rsidRPr="00B6020B">
        <w:rPr>
          <w:lang w:val="es-MX"/>
        </w:rPr>
        <w:t xml:space="preserve">y </w:t>
      </w:r>
      <w:r w:rsidRPr="00B6020B">
        <w:rPr>
          <w:lang w:val="es-MX"/>
        </w:rPr>
        <w:t xml:space="preserve">considerando también el número telefónico señalado en la Oferta de Referencia Vigente. </w:t>
      </w:r>
      <w:r w:rsidR="00F31345" w:rsidRPr="00B6020B">
        <w:rPr>
          <w:lang w:val="es-MX"/>
        </w:rPr>
        <w:t xml:space="preserve">Lo anterior con el fin de evitar cualquier decisión discrecional por parte de alguna de </w:t>
      </w:r>
      <w:proofErr w:type="gramStart"/>
      <w:r w:rsidR="00F31345" w:rsidRPr="00B6020B">
        <w:rPr>
          <w:lang w:val="es-MX"/>
        </w:rPr>
        <w:t>la partes</w:t>
      </w:r>
      <w:proofErr w:type="gramEnd"/>
      <w:r w:rsidR="00F31345" w:rsidRPr="00B6020B">
        <w:rPr>
          <w:lang w:val="es-MX"/>
        </w:rPr>
        <w:t>.</w:t>
      </w:r>
    </w:p>
    <w:p w14:paraId="27696732" w14:textId="77777777" w:rsidR="00AF19DC" w:rsidRPr="00B6020B" w:rsidRDefault="00AF19DC" w:rsidP="007C328C">
      <w:pPr>
        <w:pStyle w:val="IFTnormal"/>
        <w:spacing w:after="0"/>
        <w:rPr>
          <w:lang w:val="es-MX"/>
        </w:rPr>
      </w:pPr>
    </w:p>
    <w:p w14:paraId="11A8A689" w14:textId="785B0912" w:rsidR="00CE3394" w:rsidRPr="00B6020B" w:rsidRDefault="00AF19DC" w:rsidP="00CE3394">
      <w:pPr>
        <w:pStyle w:val="IFTnormal"/>
        <w:spacing w:after="0"/>
        <w:rPr>
          <w:lang w:val="es-MX"/>
        </w:rPr>
      </w:pPr>
      <w:r w:rsidRPr="00B6020B">
        <w:rPr>
          <w:lang w:val="es-MX"/>
        </w:rPr>
        <w:t>A</w:t>
      </w:r>
      <w:r w:rsidR="00441982" w:rsidRPr="00B6020B">
        <w:rPr>
          <w:lang w:val="es-MX"/>
        </w:rPr>
        <w:t>simismo, a</w:t>
      </w:r>
      <w:r w:rsidRPr="00B6020B">
        <w:rPr>
          <w:lang w:val="es-MX"/>
        </w:rPr>
        <w:t xml:space="preserve"> partir del contenido de dicha notificación </w:t>
      </w:r>
      <w:r w:rsidR="00441982" w:rsidRPr="00B6020B">
        <w:rPr>
          <w:lang w:val="es-MX"/>
        </w:rPr>
        <w:t xml:space="preserve">se considerará </w:t>
      </w:r>
      <w:r w:rsidRPr="00B6020B">
        <w:rPr>
          <w:lang w:val="es-MX"/>
        </w:rPr>
        <w:t>el plazo propuesto de dos días hábiles posteriores a la notificación de la anomalía o daño para que Telesites y Fibra para que informen en dicho periodo las responsabilidades correspondientes, sin menoscabo del derecho de las partes para que intervenga cualquier autoridad que consideren competente en caso de desacuerdo.</w:t>
      </w:r>
    </w:p>
    <w:p w14:paraId="0E09802F" w14:textId="77777777" w:rsidR="00CE3394" w:rsidRPr="00B6020B" w:rsidRDefault="00CE3394" w:rsidP="00CE3394">
      <w:pPr>
        <w:pStyle w:val="IFTnormal"/>
        <w:spacing w:after="0"/>
        <w:rPr>
          <w:lang w:val="es-MX"/>
        </w:rPr>
      </w:pPr>
    </w:p>
    <w:p w14:paraId="1D873736" w14:textId="77777777" w:rsidR="00CE3394" w:rsidRPr="00B6020B" w:rsidRDefault="00CE3394" w:rsidP="00CE3394">
      <w:pPr>
        <w:spacing w:after="120" w:line="276" w:lineRule="auto"/>
        <w:ind w:left="720"/>
        <w:rPr>
          <w:rFonts w:ascii="ITC Avant Garde" w:hAnsi="ITC Avant Garde"/>
          <w:b/>
        </w:rPr>
      </w:pPr>
      <w:r w:rsidRPr="00B6020B">
        <w:rPr>
          <w:rFonts w:ascii="ITC Avant Garde" w:hAnsi="ITC Avant Garde"/>
          <w:b/>
          <w:lang w:val="es-ES_tradnl"/>
        </w:rPr>
        <w:t>3.4. Numeral 1.20.2 de la sección “</w:t>
      </w:r>
      <w:r w:rsidRPr="00B6020B">
        <w:rPr>
          <w:rFonts w:ascii="ITC Avant Garde" w:hAnsi="ITC Avant Garde"/>
          <w:b/>
          <w:i/>
          <w:lang w:val="es-ES_tradnl"/>
        </w:rPr>
        <w:t xml:space="preserve">1. DEL ACCESO A LOS SITIOS”, </w:t>
      </w:r>
      <w:r w:rsidRPr="00B6020B">
        <w:rPr>
          <w:rFonts w:ascii="ITC Avant Garde" w:hAnsi="ITC Avant Garde"/>
          <w:b/>
          <w:lang w:val="es-ES_tradnl"/>
        </w:rPr>
        <w:t xml:space="preserve">del </w:t>
      </w:r>
      <w:r w:rsidRPr="00B6020B">
        <w:rPr>
          <w:rFonts w:ascii="ITC Avant Garde" w:hAnsi="ITC Avant Garde"/>
          <w:b/>
          <w:i/>
        </w:rPr>
        <w:t>“Anexo “III”: Normativa Técnica</w:t>
      </w:r>
      <w:r w:rsidRPr="00B6020B">
        <w:rPr>
          <w:rFonts w:ascii="ITC Avant Garde" w:hAnsi="ITC Avant Garde"/>
          <w:b/>
        </w:rPr>
        <w:t>”</w:t>
      </w:r>
    </w:p>
    <w:p w14:paraId="675DC591" w14:textId="2DE142F2" w:rsidR="00CE3394" w:rsidRPr="00B6020B" w:rsidRDefault="00CE3394" w:rsidP="00CE3394">
      <w:pPr>
        <w:pStyle w:val="Default"/>
        <w:spacing w:after="100" w:afterAutospacing="1" w:line="276" w:lineRule="auto"/>
        <w:jc w:val="both"/>
        <w:rPr>
          <w:rFonts w:ascii="ITC Avant Garde" w:hAnsi="ITC Avant Garde" w:cs="Arial"/>
          <w:i/>
          <w:sz w:val="22"/>
          <w:szCs w:val="22"/>
          <w:lang w:val="es-MX"/>
        </w:rPr>
      </w:pPr>
      <w:r w:rsidRPr="00B6020B">
        <w:rPr>
          <w:rFonts w:ascii="ITC Avant Garde" w:hAnsi="ITC Avant Garde" w:cs="Arial"/>
          <w:sz w:val="22"/>
          <w:szCs w:val="22"/>
          <w:lang w:val="es-MX"/>
        </w:rPr>
        <w:lastRenderedPageBreak/>
        <w:t xml:space="preserve">AT&amp;T señala que la propuesta de </w:t>
      </w:r>
      <w:proofErr w:type="spellStart"/>
      <w:r w:rsidR="000714C3" w:rsidRPr="00B6020B">
        <w:rPr>
          <w:rFonts w:ascii="ITC Avant Garde" w:hAnsi="ITC Avant Garde" w:cs="Arial"/>
          <w:sz w:val="22"/>
          <w:szCs w:val="22"/>
          <w:lang w:val="es-MX"/>
        </w:rPr>
        <w:t>Telesites</w:t>
      </w:r>
      <w:proofErr w:type="spellEnd"/>
      <w:r w:rsidR="000714C3" w:rsidRPr="00B6020B">
        <w:rPr>
          <w:rFonts w:ascii="ITC Avant Garde" w:hAnsi="ITC Avant Garde" w:cs="Arial"/>
          <w:sz w:val="22"/>
          <w:szCs w:val="22"/>
          <w:lang w:val="es-MX"/>
        </w:rPr>
        <w:t xml:space="preserve"> y Fibra</w:t>
      </w:r>
      <w:r w:rsidRPr="00B6020B">
        <w:rPr>
          <w:rFonts w:ascii="ITC Avant Garde" w:hAnsi="ITC Avant Garde" w:cs="Arial"/>
          <w:sz w:val="22"/>
          <w:szCs w:val="22"/>
          <w:lang w:val="es-MX"/>
        </w:rPr>
        <w:t xml:space="preserve"> modifica el numeral 1.20.2 de la sección </w:t>
      </w:r>
      <w:r w:rsidRPr="00B6020B">
        <w:rPr>
          <w:rFonts w:ascii="ITC Avant Garde" w:hAnsi="ITC Avant Garde" w:cs="Arial"/>
          <w:i/>
          <w:sz w:val="22"/>
          <w:szCs w:val="22"/>
          <w:lang w:val="es-MX"/>
        </w:rPr>
        <w:t>“1. DEL ACCESO A LOS SITIOS”</w:t>
      </w:r>
      <w:r w:rsidRPr="00B6020B">
        <w:rPr>
          <w:rFonts w:ascii="ITC Avant Garde" w:hAnsi="ITC Avant Garde" w:cs="Arial"/>
          <w:sz w:val="22"/>
          <w:szCs w:val="22"/>
          <w:lang w:val="es-MX"/>
        </w:rPr>
        <w:t xml:space="preserve"> del </w:t>
      </w:r>
      <w:r w:rsidRPr="00B6020B">
        <w:rPr>
          <w:rFonts w:ascii="ITC Avant Garde" w:hAnsi="ITC Avant Garde" w:cs="Arial"/>
          <w:i/>
          <w:sz w:val="22"/>
          <w:szCs w:val="22"/>
          <w:lang w:val="es-MX"/>
        </w:rPr>
        <w:t xml:space="preserve">“Anexo “III”: Normativa Técnica” </w:t>
      </w:r>
      <w:r w:rsidRPr="00B6020B">
        <w:rPr>
          <w:rFonts w:ascii="ITC Avant Garde" w:hAnsi="ITC Avant Garde" w:cs="Arial"/>
          <w:sz w:val="22"/>
          <w:szCs w:val="22"/>
          <w:lang w:val="es-MX"/>
        </w:rPr>
        <w:t xml:space="preserve">de la Oferta de Referencia para señalar que </w:t>
      </w:r>
      <w:r w:rsidRPr="00B6020B">
        <w:rPr>
          <w:rFonts w:ascii="ITC Avant Garde" w:hAnsi="ITC Avant Garde" w:cs="Arial"/>
          <w:i/>
          <w:sz w:val="22"/>
          <w:szCs w:val="22"/>
          <w:lang w:val="es-MX"/>
        </w:rPr>
        <w:t xml:space="preserve">“Telesites o la Fibra enviará un correo electrónico y/o notificación por sistema para el acceso remoto al Concesionario corroborando o proponiendo fecha y hora para el acceso al Sitio; en caso de que el acceso al Sitio sea para realizar trabajos en Torre, el personal del Concesionario deberá portar el equipo de seguridad correspondiente, de conformidad con lo estipulado en el punto 1.20 anterior, </w:t>
      </w:r>
      <w:r w:rsidRPr="00B6020B">
        <w:rPr>
          <w:rFonts w:ascii="ITC Avant Garde" w:hAnsi="ITC Avant Garde" w:cs="Arial"/>
          <w:b/>
          <w:i/>
          <w:sz w:val="22"/>
          <w:szCs w:val="22"/>
          <w:lang w:val="es-MX"/>
        </w:rPr>
        <w:t>además de contar con los permisos municipales que sean necesarios para la actividad propia del Concesionario</w:t>
      </w:r>
      <w:r w:rsidRPr="00B6020B">
        <w:rPr>
          <w:rFonts w:ascii="ITC Avant Garde" w:hAnsi="ITC Avant Garde" w:cs="Arial"/>
          <w:i/>
          <w:sz w:val="22"/>
          <w:szCs w:val="22"/>
          <w:lang w:val="es-MX"/>
        </w:rPr>
        <w:t xml:space="preserve">.” </w:t>
      </w:r>
    </w:p>
    <w:p w14:paraId="1371394D" w14:textId="77777777" w:rsidR="00CE3394" w:rsidRPr="00B6020B" w:rsidRDefault="00CE3394" w:rsidP="00CE3394">
      <w:pPr>
        <w:pStyle w:val="Default"/>
        <w:spacing w:after="100" w:afterAutospacing="1" w:line="276" w:lineRule="auto"/>
        <w:jc w:val="both"/>
        <w:rPr>
          <w:rFonts w:ascii="ITC Avant Garde" w:hAnsi="ITC Avant Garde" w:cs="Arial"/>
          <w:i/>
          <w:sz w:val="22"/>
          <w:szCs w:val="22"/>
          <w:lang w:val="es-MX"/>
        </w:rPr>
      </w:pPr>
      <w:r w:rsidRPr="00B6020B">
        <w:rPr>
          <w:rFonts w:ascii="ITC Avant Garde" w:hAnsi="ITC Avant Garde" w:cs="Arial"/>
          <w:sz w:val="22"/>
          <w:szCs w:val="22"/>
          <w:lang w:val="es-MX"/>
        </w:rPr>
        <w:t xml:space="preserve">Al respecto, AT&amp;T señala que </w:t>
      </w:r>
      <w:r w:rsidRPr="00B6020B">
        <w:rPr>
          <w:rFonts w:ascii="ITC Avant Garde" w:hAnsi="ITC Avant Garde" w:cs="Arial"/>
          <w:i/>
          <w:sz w:val="22"/>
          <w:szCs w:val="22"/>
          <w:lang w:val="es-MX"/>
        </w:rPr>
        <w:t xml:space="preserve">“Actualmente no se tiene conocimiento de que se requiera algún permiso municipal para prestar servicios de telecomunicaciones, por lo que esto no podría ser un requisito de revisión discrecional por parte de Opsimex para negar el acceso a la infraestructura” </w:t>
      </w:r>
      <w:r w:rsidRPr="00B6020B">
        <w:rPr>
          <w:rFonts w:ascii="ITC Avant Garde" w:hAnsi="ITC Avant Garde" w:cs="Arial"/>
          <w:sz w:val="22"/>
          <w:szCs w:val="22"/>
          <w:lang w:val="es-MX"/>
        </w:rPr>
        <w:t>por lo que sugiere la eliminación de la mención sobre permisos municipales.</w:t>
      </w:r>
      <w:r w:rsidRPr="00B6020B">
        <w:rPr>
          <w:rFonts w:ascii="ITC Avant Garde" w:hAnsi="ITC Avant Garde" w:cs="Arial"/>
          <w:i/>
          <w:sz w:val="22"/>
          <w:szCs w:val="22"/>
          <w:lang w:val="es-MX"/>
        </w:rPr>
        <w:t xml:space="preserve"> </w:t>
      </w:r>
    </w:p>
    <w:p w14:paraId="79AFE87B" w14:textId="77777777" w:rsidR="00CE3394" w:rsidRPr="00B6020B" w:rsidRDefault="00CE3394" w:rsidP="00CE3394">
      <w:pPr>
        <w:spacing w:after="100" w:afterAutospacing="1" w:line="276" w:lineRule="auto"/>
        <w:rPr>
          <w:rFonts w:ascii="ITC Avant Garde" w:hAnsi="ITC Avant Garde"/>
          <w:u w:val="single"/>
          <w:lang w:val="es-ES_tradnl"/>
        </w:rPr>
      </w:pPr>
      <w:bookmarkStart w:id="4" w:name="_Hlk187779615"/>
      <w:r w:rsidRPr="00B6020B">
        <w:rPr>
          <w:rFonts w:ascii="ITC Avant Garde" w:hAnsi="ITC Avant Garde"/>
          <w:u w:val="single"/>
          <w:lang w:val="es-ES_tradnl"/>
        </w:rPr>
        <w:t>Respuesta de la UPR</w:t>
      </w:r>
    </w:p>
    <w:bookmarkEnd w:id="4"/>
    <w:p w14:paraId="6C76A8A6" w14:textId="7855F431" w:rsidR="00CE3394" w:rsidRPr="00B6020B" w:rsidRDefault="00CE3394" w:rsidP="00CE3394">
      <w:pPr>
        <w:spacing w:after="100" w:afterAutospacing="1" w:line="276" w:lineRule="auto"/>
        <w:rPr>
          <w:rFonts w:ascii="ITC Avant Garde" w:hAnsi="ITC Avant Garde" w:cs="Arial"/>
        </w:rPr>
      </w:pPr>
      <w:r w:rsidRPr="00B6020B">
        <w:rPr>
          <w:rFonts w:ascii="ITC Avant Garde" w:hAnsi="ITC Avant Garde" w:cs="Arial"/>
        </w:rPr>
        <w:t xml:space="preserve">Al respecto, la UPR destaca que la Oferta de Referencia tiene el objetivo de facilitar el acceso y uso compartido de infraestructura pasiva entre Telesites y Fibra con los CS. </w:t>
      </w:r>
      <w:r w:rsidR="00DF5155" w:rsidRPr="00B6020B">
        <w:rPr>
          <w:rFonts w:ascii="ITC Avant Garde" w:hAnsi="ITC Avant Garde" w:cs="Arial"/>
        </w:rPr>
        <w:t>Para ello se hará una evaluación del comentario, así como del alcance de la propuesta en términos de lo dispuesto en las Medidas Móviles</w:t>
      </w:r>
      <w:r w:rsidR="00CD5889" w:rsidRPr="00B6020B">
        <w:rPr>
          <w:rFonts w:ascii="ITC Avant Garde" w:hAnsi="ITC Avant Garde" w:cs="Arial"/>
        </w:rPr>
        <w:t xml:space="preserve"> con el fin de evitar que se impongan condiciones que desincentiven la correcta prestación de los servicios</w:t>
      </w:r>
      <w:r w:rsidR="00DF5155" w:rsidRPr="00B6020B">
        <w:rPr>
          <w:rFonts w:ascii="ITC Avant Garde" w:hAnsi="ITC Avant Garde" w:cs="Arial"/>
        </w:rPr>
        <w:t>.</w:t>
      </w:r>
    </w:p>
    <w:p w14:paraId="1F30CCC9" w14:textId="77777777" w:rsidR="00CE3394" w:rsidRPr="00B6020B" w:rsidRDefault="00DF5155" w:rsidP="00CE3394">
      <w:pPr>
        <w:spacing w:after="100" w:afterAutospacing="1" w:line="276" w:lineRule="auto"/>
        <w:rPr>
          <w:rFonts w:ascii="ITC Avant Garde" w:hAnsi="ITC Avant Garde" w:cs="Arial"/>
        </w:rPr>
      </w:pPr>
      <w:r w:rsidRPr="00B6020B">
        <w:rPr>
          <w:rFonts w:ascii="ITC Avant Garde" w:hAnsi="ITC Avant Garde" w:cs="Arial"/>
        </w:rPr>
        <w:t>Para ello se considerará en</w:t>
      </w:r>
      <w:r w:rsidR="00CE3394" w:rsidRPr="00B6020B">
        <w:rPr>
          <w:rFonts w:ascii="ITC Avant Garde" w:hAnsi="ITC Avant Garde" w:cs="Arial"/>
        </w:rPr>
        <w:t xml:space="preserve"> la Oferta de Referencia </w:t>
      </w:r>
      <w:r w:rsidRPr="00B6020B">
        <w:rPr>
          <w:rFonts w:ascii="ITC Avant Garde" w:hAnsi="ITC Avant Garde" w:cs="Arial"/>
        </w:rPr>
        <w:t>los elementos para informar de manera oportuna</w:t>
      </w:r>
      <w:r w:rsidR="00CE3394" w:rsidRPr="00B6020B">
        <w:rPr>
          <w:rFonts w:ascii="ITC Avant Garde" w:hAnsi="ITC Avant Garde" w:cs="Arial"/>
        </w:rPr>
        <w:t xml:space="preserve"> cualquier requisito relacionado con la obtención de dichos permisos y autorizaciones en condiciones no discriminatorias, de manera que los CS pueda atender dichos requisitos en condiciones favorables para la prestación de los servicios.  </w:t>
      </w:r>
    </w:p>
    <w:p w14:paraId="2E2D04D3" w14:textId="77777777" w:rsidR="00CE3394" w:rsidRPr="00B6020B" w:rsidRDefault="00CE3394" w:rsidP="00CE3394">
      <w:pPr>
        <w:spacing w:after="120" w:line="276" w:lineRule="auto"/>
        <w:ind w:left="720"/>
        <w:rPr>
          <w:rFonts w:ascii="ITC Avant Garde" w:hAnsi="ITC Avant Garde"/>
          <w:b/>
        </w:rPr>
      </w:pPr>
      <w:r w:rsidRPr="00B6020B">
        <w:rPr>
          <w:rFonts w:ascii="ITC Avant Garde" w:hAnsi="ITC Avant Garde"/>
          <w:b/>
          <w:lang w:val="es-ES_tradnl"/>
        </w:rPr>
        <w:t>3.5. Numeral 1.21 de la sección “</w:t>
      </w:r>
      <w:r w:rsidRPr="00B6020B">
        <w:rPr>
          <w:rFonts w:ascii="ITC Avant Garde" w:hAnsi="ITC Avant Garde"/>
          <w:b/>
          <w:i/>
          <w:lang w:val="es-ES_tradnl"/>
        </w:rPr>
        <w:t xml:space="preserve">1. DEL ACCESO A LOS SITIOS”, </w:t>
      </w:r>
      <w:r w:rsidRPr="00B6020B">
        <w:rPr>
          <w:rFonts w:ascii="ITC Avant Garde" w:hAnsi="ITC Avant Garde"/>
          <w:b/>
          <w:lang w:val="es-ES_tradnl"/>
        </w:rPr>
        <w:t xml:space="preserve">del </w:t>
      </w:r>
      <w:r w:rsidRPr="00B6020B">
        <w:rPr>
          <w:rFonts w:ascii="ITC Avant Garde" w:hAnsi="ITC Avant Garde"/>
          <w:b/>
          <w:i/>
        </w:rPr>
        <w:t>“Anexo “III”: Normativa Técnica</w:t>
      </w:r>
      <w:r w:rsidRPr="00B6020B">
        <w:rPr>
          <w:rFonts w:ascii="ITC Avant Garde" w:hAnsi="ITC Avant Garde"/>
          <w:b/>
        </w:rPr>
        <w:t>”</w:t>
      </w:r>
    </w:p>
    <w:p w14:paraId="101EE946" w14:textId="35D20566" w:rsidR="00CE3394" w:rsidRPr="00B6020B" w:rsidRDefault="00CE3394" w:rsidP="00CE3394">
      <w:pPr>
        <w:pStyle w:val="Default"/>
        <w:spacing w:after="100" w:afterAutospacing="1" w:line="276" w:lineRule="auto"/>
        <w:jc w:val="both"/>
        <w:rPr>
          <w:rFonts w:ascii="ITC Avant Garde" w:hAnsi="ITC Avant Garde" w:cs="Arial"/>
          <w:sz w:val="22"/>
          <w:szCs w:val="22"/>
          <w:lang w:val="es-MX"/>
        </w:rPr>
      </w:pPr>
      <w:r w:rsidRPr="00B6020B">
        <w:rPr>
          <w:rFonts w:ascii="ITC Avant Garde" w:hAnsi="ITC Avant Garde"/>
          <w:sz w:val="22"/>
        </w:rPr>
        <w:t>AT&amp;T</w:t>
      </w:r>
      <w:r w:rsidRPr="00B6020B">
        <w:rPr>
          <w:rFonts w:ascii="ITC Avant Garde" w:hAnsi="ITC Avant Garde"/>
          <w:sz w:val="22"/>
          <w:lang w:val="es-ES_tradnl"/>
        </w:rPr>
        <w:t xml:space="preserve"> señala que la propuesta de </w:t>
      </w:r>
      <w:proofErr w:type="spellStart"/>
      <w:r w:rsidRPr="00B6020B">
        <w:rPr>
          <w:rFonts w:ascii="ITC Avant Garde" w:hAnsi="ITC Avant Garde"/>
          <w:sz w:val="22"/>
          <w:lang w:val="es-ES_tradnl"/>
        </w:rPr>
        <w:t>Telesites</w:t>
      </w:r>
      <w:proofErr w:type="spellEnd"/>
      <w:r w:rsidRPr="00B6020B">
        <w:rPr>
          <w:rFonts w:ascii="ITC Avant Garde" w:hAnsi="ITC Avant Garde"/>
          <w:sz w:val="22"/>
          <w:lang w:val="es-ES_tradnl"/>
        </w:rPr>
        <w:t xml:space="preserve"> y Fibra modifica el numeral 1.21 de la sección </w:t>
      </w:r>
      <w:r w:rsidRPr="00B6020B">
        <w:rPr>
          <w:rFonts w:ascii="ITC Avant Garde" w:hAnsi="ITC Avant Garde"/>
          <w:sz w:val="22"/>
        </w:rPr>
        <w:t>“</w:t>
      </w:r>
      <w:r w:rsidRPr="00B6020B">
        <w:rPr>
          <w:rFonts w:ascii="ITC Avant Garde" w:hAnsi="ITC Avant Garde"/>
          <w:i/>
          <w:sz w:val="22"/>
        </w:rPr>
        <w:t>1. DEL ACCESO A LOS SITIOS</w:t>
      </w:r>
      <w:r w:rsidRPr="00B6020B">
        <w:rPr>
          <w:rFonts w:ascii="ITC Avant Garde" w:hAnsi="ITC Avant Garde"/>
          <w:sz w:val="22"/>
        </w:rPr>
        <w:t xml:space="preserve">” del </w:t>
      </w:r>
      <w:r w:rsidRPr="00B6020B">
        <w:rPr>
          <w:rFonts w:ascii="ITC Avant Garde" w:hAnsi="ITC Avant Garde"/>
          <w:i/>
          <w:sz w:val="22"/>
        </w:rPr>
        <w:t>“Anexo “III”: Normativa Técnica</w:t>
      </w:r>
      <w:r w:rsidRPr="00B6020B">
        <w:rPr>
          <w:rFonts w:ascii="ITC Avant Garde" w:hAnsi="ITC Avant Garde"/>
          <w:sz w:val="22"/>
        </w:rPr>
        <w:t xml:space="preserve">” </w:t>
      </w:r>
      <w:r w:rsidRPr="00B6020B">
        <w:rPr>
          <w:rFonts w:ascii="ITC Avant Garde" w:hAnsi="ITC Avant Garde"/>
          <w:sz w:val="22"/>
          <w:lang w:val="es-ES_tradnl"/>
        </w:rPr>
        <w:t xml:space="preserve">de la Oferta de Referencia </w:t>
      </w:r>
      <w:r w:rsidRPr="00B6020B">
        <w:rPr>
          <w:rFonts w:ascii="ITC Avant Garde" w:hAnsi="ITC Avant Garde"/>
          <w:sz w:val="22"/>
        </w:rPr>
        <w:t>para señalar que</w:t>
      </w:r>
      <w:r w:rsidRPr="00B6020B">
        <w:rPr>
          <w:rFonts w:ascii="ITC Avant Garde" w:hAnsi="ITC Avant Garde" w:cs="Arial"/>
          <w:sz w:val="20"/>
          <w:szCs w:val="22"/>
          <w:lang w:val="es-MX"/>
        </w:rPr>
        <w:t xml:space="preserve"> </w:t>
      </w:r>
      <w:r w:rsidRPr="00B6020B">
        <w:rPr>
          <w:rFonts w:ascii="ITC Avant Garde" w:hAnsi="ITC Avant Garde" w:cs="Arial"/>
          <w:i/>
          <w:sz w:val="22"/>
          <w:szCs w:val="22"/>
          <w:lang w:val="es-MX"/>
        </w:rPr>
        <w:t xml:space="preserve">“El personal del Concesionario entregará a Telesites o a la Fibra la Solicitud de Acceso a Sitio a través del SEG y/o sistema para el acceso remoto, con al menos 48 (cuarenta y ocho) horas hábiles de anticipación, especificando el lapso de permanencia en el Sitio, sin que éste pueda exceder de 10 (diez) días hábiles, </w:t>
      </w:r>
      <w:r w:rsidRPr="00B6020B">
        <w:rPr>
          <w:rFonts w:ascii="ITC Avant Garde" w:hAnsi="ITC Avant Garde" w:cs="Arial"/>
          <w:b/>
          <w:i/>
          <w:sz w:val="22"/>
          <w:szCs w:val="22"/>
          <w:lang w:val="es-MX"/>
        </w:rPr>
        <w:t>salvo que la propia actividad amerite menos días.</w:t>
      </w:r>
      <w:r w:rsidRPr="00B6020B">
        <w:rPr>
          <w:rFonts w:ascii="ITC Avant Garde" w:hAnsi="ITC Avant Garde" w:cs="Arial"/>
          <w:i/>
          <w:sz w:val="22"/>
          <w:szCs w:val="22"/>
          <w:lang w:val="es-MX"/>
        </w:rPr>
        <w:t>”</w:t>
      </w:r>
      <w:r w:rsidRPr="00B6020B">
        <w:rPr>
          <w:rFonts w:ascii="ITC Avant Garde" w:hAnsi="ITC Avant Garde" w:cs="Arial"/>
          <w:sz w:val="22"/>
          <w:szCs w:val="22"/>
          <w:lang w:val="es-MX"/>
        </w:rPr>
        <w:t xml:space="preserve"> </w:t>
      </w:r>
    </w:p>
    <w:p w14:paraId="0CE7D502" w14:textId="77777777" w:rsidR="00CE3394" w:rsidRPr="00B6020B" w:rsidRDefault="00CE3394" w:rsidP="00CE3394">
      <w:pPr>
        <w:pStyle w:val="Default"/>
        <w:spacing w:after="100" w:afterAutospacing="1" w:line="276" w:lineRule="auto"/>
        <w:jc w:val="both"/>
        <w:rPr>
          <w:rFonts w:ascii="ITC Avant Garde" w:hAnsi="ITC Avant Garde" w:cs="Arial"/>
          <w:sz w:val="22"/>
          <w:szCs w:val="22"/>
          <w:lang w:val="es-MX"/>
        </w:rPr>
      </w:pPr>
      <w:r w:rsidRPr="00B6020B">
        <w:rPr>
          <w:rFonts w:ascii="ITC Avant Garde" w:hAnsi="ITC Avant Garde" w:cs="Arial"/>
          <w:sz w:val="22"/>
          <w:szCs w:val="22"/>
          <w:lang w:val="es-MX"/>
        </w:rPr>
        <w:t xml:space="preserve">Al respecto, </w:t>
      </w:r>
      <w:r w:rsidRPr="00B6020B">
        <w:rPr>
          <w:rFonts w:ascii="ITC Avant Garde" w:hAnsi="ITC Avant Garde"/>
          <w:sz w:val="22"/>
          <w:szCs w:val="22"/>
        </w:rPr>
        <w:t>AT&amp;T</w:t>
      </w:r>
      <w:r w:rsidRPr="00B6020B">
        <w:rPr>
          <w:rFonts w:ascii="ITC Avant Garde" w:hAnsi="ITC Avant Garde" w:cs="Arial"/>
          <w:sz w:val="22"/>
          <w:szCs w:val="22"/>
          <w:lang w:val="es-MX"/>
        </w:rPr>
        <w:t xml:space="preserve"> señala que </w:t>
      </w:r>
      <w:r w:rsidRPr="00B6020B">
        <w:rPr>
          <w:rFonts w:ascii="ITC Avant Garde" w:hAnsi="ITC Avant Garde" w:cs="Arial"/>
          <w:i/>
          <w:sz w:val="22"/>
          <w:szCs w:val="22"/>
          <w:lang w:val="es-MX"/>
        </w:rPr>
        <w:t>“Resulta innecesaria la salvedad, dado que los 10 días hábiles son un límite razonable.”</w:t>
      </w:r>
      <w:r w:rsidRPr="00B6020B">
        <w:rPr>
          <w:rFonts w:ascii="ITC Avant Garde" w:hAnsi="ITC Avant Garde" w:cs="Arial"/>
          <w:sz w:val="22"/>
          <w:szCs w:val="22"/>
          <w:lang w:val="es-MX"/>
        </w:rPr>
        <w:t xml:space="preserve"> </w:t>
      </w:r>
    </w:p>
    <w:p w14:paraId="34E37882" w14:textId="77777777" w:rsidR="00CE3394" w:rsidRPr="00B6020B" w:rsidRDefault="00CE3394" w:rsidP="00CE3394">
      <w:pPr>
        <w:spacing w:after="100" w:afterAutospacing="1" w:line="276" w:lineRule="auto"/>
        <w:rPr>
          <w:rFonts w:ascii="ITC Avant Garde" w:hAnsi="ITC Avant Garde" w:cs="Arial"/>
        </w:rPr>
      </w:pPr>
      <w:r w:rsidRPr="00B6020B">
        <w:rPr>
          <w:rFonts w:ascii="ITC Avant Garde" w:hAnsi="ITC Avant Garde"/>
          <w:u w:val="single"/>
          <w:lang w:val="es-ES_tradnl"/>
        </w:rPr>
        <w:lastRenderedPageBreak/>
        <w:t>Respuesta de la UPR</w:t>
      </w:r>
    </w:p>
    <w:p w14:paraId="1592D158" w14:textId="77777777" w:rsidR="00810981" w:rsidRPr="00B6020B" w:rsidRDefault="00E46AEA" w:rsidP="00CE3394">
      <w:pPr>
        <w:pStyle w:val="Default"/>
        <w:spacing w:after="100" w:afterAutospacing="1" w:line="276" w:lineRule="auto"/>
        <w:jc w:val="both"/>
        <w:rPr>
          <w:rFonts w:ascii="ITC Avant Garde" w:hAnsi="ITC Avant Garde" w:cs="Arial"/>
        </w:rPr>
      </w:pPr>
      <w:r w:rsidRPr="00B6020B">
        <w:rPr>
          <w:rFonts w:ascii="ITC Avant Garde" w:hAnsi="ITC Avant Garde" w:cs="Arial"/>
          <w:sz w:val="22"/>
          <w:szCs w:val="22"/>
          <w:lang w:val="es-MX"/>
        </w:rPr>
        <w:t>Al respecto,</w:t>
      </w:r>
      <w:r w:rsidR="00CE3394" w:rsidRPr="00B6020B">
        <w:rPr>
          <w:rFonts w:ascii="ITC Avant Garde" w:hAnsi="ITC Avant Garde" w:cs="Arial"/>
          <w:sz w:val="22"/>
          <w:szCs w:val="22"/>
          <w:lang w:val="es-MX"/>
        </w:rPr>
        <w:t xml:space="preserve"> la UPR identifica que el plazo de 10 (diez) días hábiles resulta razonable para proporcionar certeza tanto a Telesites y la Fibra como a los </w:t>
      </w:r>
      <w:r w:rsidRPr="00B6020B">
        <w:rPr>
          <w:rFonts w:ascii="ITC Avant Garde" w:hAnsi="ITC Avant Garde" w:cs="Arial"/>
          <w:sz w:val="22"/>
          <w:szCs w:val="22"/>
          <w:lang w:val="es-MX"/>
        </w:rPr>
        <w:t>CS para la permanencia en el sitio</w:t>
      </w:r>
      <w:r w:rsidR="00CE3394" w:rsidRPr="00B6020B">
        <w:rPr>
          <w:rFonts w:ascii="ITC Avant Garde" w:hAnsi="ITC Avant Garde" w:cs="Arial"/>
          <w:sz w:val="22"/>
          <w:szCs w:val="22"/>
          <w:lang w:val="es-MX"/>
        </w:rPr>
        <w:t>.</w:t>
      </w:r>
    </w:p>
    <w:p w14:paraId="3C75E6B3" w14:textId="77777777" w:rsidR="00AF19DC" w:rsidRPr="00B6020B" w:rsidRDefault="00AF19DC" w:rsidP="007C328C">
      <w:pPr>
        <w:spacing w:after="120" w:line="276" w:lineRule="auto"/>
        <w:ind w:left="720"/>
        <w:rPr>
          <w:rFonts w:ascii="ITC Avant Garde" w:hAnsi="ITC Avant Garde"/>
          <w:b/>
        </w:rPr>
      </w:pPr>
      <w:r w:rsidRPr="00B6020B">
        <w:rPr>
          <w:rFonts w:ascii="ITC Avant Garde" w:hAnsi="ITC Avant Garde"/>
          <w:b/>
          <w:lang w:val="es-ES_tradnl"/>
        </w:rPr>
        <w:t>3.</w:t>
      </w:r>
      <w:r w:rsidR="00CE3394" w:rsidRPr="00B6020B">
        <w:rPr>
          <w:rFonts w:ascii="ITC Avant Garde" w:hAnsi="ITC Avant Garde"/>
          <w:b/>
          <w:lang w:val="es-ES_tradnl"/>
        </w:rPr>
        <w:t>6</w:t>
      </w:r>
      <w:r w:rsidRPr="00B6020B">
        <w:rPr>
          <w:rFonts w:ascii="ITC Avant Garde" w:hAnsi="ITC Avant Garde"/>
          <w:b/>
          <w:lang w:val="es-ES_tradnl"/>
        </w:rPr>
        <w:t>. Numeral 1.</w:t>
      </w:r>
      <w:r w:rsidR="00A8632B" w:rsidRPr="00B6020B">
        <w:rPr>
          <w:rFonts w:ascii="ITC Avant Garde" w:hAnsi="ITC Avant Garde"/>
          <w:b/>
          <w:lang w:val="es-ES_tradnl"/>
        </w:rPr>
        <w:t>26</w:t>
      </w:r>
      <w:r w:rsidRPr="00B6020B">
        <w:rPr>
          <w:rFonts w:ascii="ITC Avant Garde" w:hAnsi="ITC Avant Garde"/>
          <w:b/>
          <w:lang w:val="es-ES_tradnl"/>
        </w:rPr>
        <w:t xml:space="preserve"> de la sección “</w:t>
      </w:r>
      <w:r w:rsidRPr="00B6020B">
        <w:rPr>
          <w:rFonts w:ascii="ITC Avant Garde" w:hAnsi="ITC Avant Garde"/>
          <w:b/>
          <w:i/>
          <w:lang w:val="es-ES_tradnl"/>
        </w:rPr>
        <w:t xml:space="preserve">1. DEL ACCESO A LOS SITIOS”, </w:t>
      </w:r>
      <w:r w:rsidRPr="00B6020B">
        <w:rPr>
          <w:rFonts w:ascii="ITC Avant Garde" w:hAnsi="ITC Avant Garde"/>
          <w:b/>
          <w:lang w:val="es-ES_tradnl"/>
        </w:rPr>
        <w:t xml:space="preserve">del </w:t>
      </w:r>
      <w:r w:rsidRPr="00B6020B">
        <w:rPr>
          <w:rFonts w:ascii="ITC Avant Garde" w:hAnsi="ITC Avant Garde"/>
          <w:b/>
          <w:i/>
        </w:rPr>
        <w:t>“Anexo “III”: Normativa Técnica</w:t>
      </w:r>
      <w:r w:rsidRPr="00B6020B">
        <w:rPr>
          <w:rFonts w:ascii="ITC Avant Garde" w:hAnsi="ITC Avant Garde"/>
          <w:b/>
        </w:rPr>
        <w:t>”</w:t>
      </w:r>
    </w:p>
    <w:p w14:paraId="122030AE" w14:textId="77777777" w:rsidR="00384F88" w:rsidRPr="00B6020B" w:rsidRDefault="00384F88" w:rsidP="007C328C">
      <w:pPr>
        <w:spacing w:after="120" w:line="276" w:lineRule="auto"/>
        <w:ind w:left="720"/>
        <w:rPr>
          <w:rFonts w:ascii="ITC Avant Garde" w:hAnsi="ITC Avant Garde"/>
          <w:b/>
          <w:lang w:val="es-ES_tradnl"/>
        </w:rPr>
      </w:pPr>
    </w:p>
    <w:p w14:paraId="77F839E8" w14:textId="7DE0B8B0" w:rsidR="00504198" w:rsidRPr="00B6020B" w:rsidRDefault="00DB40D1" w:rsidP="007C328C">
      <w:pPr>
        <w:spacing w:after="100" w:afterAutospacing="1" w:line="276" w:lineRule="auto"/>
        <w:rPr>
          <w:rFonts w:ascii="ITC Avant Garde" w:hAnsi="ITC Avant Garde" w:cs="Arial"/>
        </w:rPr>
      </w:pPr>
      <w:r w:rsidRPr="00B6020B">
        <w:rPr>
          <w:rFonts w:ascii="ITC Avant Garde" w:hAnsi="ITC Avant Garde"/>
        </w:rPr>
        <w:t>AT&amp;T</w:t>
      </w:r>
      <w:r w:rsidR="00426004" w:rsidRPr="00B6020B">
        <w:rPr>
          <w:rFonts w:ascii="ITC Avant Garde" w:hAnsi="ITC Avant Garde"/>
          <w:lang w:val="es-ES_tradnl"/>
        </w:rPr>
        <w:t xml:space="preserve"> señala que la propuesta de </w:t>
      </w:r>
      <w:proofErr w:type="spellStart"/>
      <w:r w:rsidR="00426004" w:rsidRPr="00B6020B">
        <w:rPr>
          <w:rFonts w:ascii="ITC Avant Garde" w:hAnsi="ITC Avant Garde"/>
          <w:lang w:val="es-ES_tradnl"/>
        </w:rPr>
        <w:t>Telesites</w:t>
      </w:r>
      <w:proofErr w:type="spellEnd"/>
      <w:r w:rsidR="00426004" w:rsidRPr="00B6020B">
        <w:rPr>
          <w:rFonts w:ascii="ITC Avant Garde" w:hAnsi="ITC Avant Garde"/>
          <w:lang w:val="es-ES_tradnl"/>
        </w:rPr>
        <w:t xml:space="preserve"> y Fibra modifica el </w:t>
      </w:r>
      <w:r w:rsidR="00AF19DC" w:rsidRPr="00B6020B">
        <w:rPr>
          <w:rFonts w:ascii="ITC Avant Garde" w:hAnsi="ITC Avant Garde"/>
          <w:i/>
        </w:rPr>
        <w:t>“Anexo “III”: Normativa Técnica</w:t>
      </w:r>
      <w:r w:rsidR="00AF19DC" w:rsidRPr="00B6020B">
        <w:rPr>
          <w:rFonts w:ascii="ITC Avant Garde" w:hAnsi="ITC Avant Garde"/>
        </w:rPr>
        <w:t xml:space="preserve">” </w:t>
      </w:r>
      <w:r w:rsidR="00426004" w:rsidRPr="00B6020B">
        <w:rPr>
          <w:rFonts w:ascii="ITC Avant Garde" w:hAnsi="ITC Avant Garde"/>
          <w:lang w:val="es-ES_tradnl"/>
        </w:rPr>
        <w:t xml:space="preserve">de la Oferta de Referencia para establecer la formulación de Solicitud de </w:t>
      </w:r>
      <w:r w:rsidR="00426004" w:rsidRPr="00B6020B">
        <w:rPr>
          <w:rFonts w:ascii="ITC Avant Garde" w:hAnsi="ITC Avant Garde" w:cs="Arial"/>
        </w:rPr>
        <w:t xml:space="preserve">Acceso a Sitio a través de dos plataformas: el SEG y/o sistema para el acceso remoto. </w:t>
      </w:r>
      <w:r w:rsidR="00BD421F" w:rsidRPr="00B6020B">
        <w:rPr>
          <w:rFonts w:ascii="ITC Avant Garde" w:hAnsi="ITC Avant Garde" w:cs="Arial"/>
        </w:rPr>
        <w:t xml:space="preserve">Al respecto, </w:t>
      </w:r>
      <w:r w:rsidRPr="00B6020B">
        <w:rPr>
          <w:rFonts w:ascii="ITC Avant Garde" w:hAnsi="ITC Avant Garde"/>
        </w:rPr>
        <w:t>AT&amp;T</w:t>
      </w:r>
      <w:r w:rsidR="00426004" w:rsidRPr="00B6020B">
        <w:rPr>
          <w:rFonts w:ascii="ITC Avant Garde" w:hAnsi="ITC Avant Garde" w:cs="Arial"/>
        </w:rPr>
        <w:t xml:space="preserve"> afirma que </w:t>
      </w:r>
      <w:r w:rsidR="00426004" w:rsidRPr="00B6020B">
        <w:rPr>
          <w:rFonts w:ascii="ITC Avant Garde" w:hAnsi="ITC Avant Garde"/>
          <w:i/>
          <w:lang w:val="es-ES_tradnl"/>
        </w:rPr>
        <w:t>“</w:t>
      </w:r>
      <w:r w:rsidR="00186A4B" w:rsidRPr="00B6020B">
        <w:rPr>
          <w:rFonts w:ascii="ITC Avant Garde" w:hAnsi="ITC Avant Garde" w:cs="Arial"/>
          <w:i/>
        </w:rPr>
        <w:t>El teléfono como medio de comunicación para un acceso de emergencia resultaba práctico e inmediato</w:t>
      </w:r>
      <w:r w:rsidR="00426004" w:rsidRPr="00B6020B">
        <w:rPr>
          <w:rFonts w:ascii="ITC Avant Garde" w:hAnsi="ITC Avant Garde" w:cs="Arial"/>
          <w:i/>
        </w:rPr>
        <w:t>”.</w:t>
      </w:r>
      <w:r w:rsidR="00426004" w:rsidRPr="00B6020B">
        <w:rPr>
          <w:rFonts w:ascii="ITC Avant Garde" w:hAnsi="ITC Avant Garde" w:cs="Arial"/>
        </w:rPr>
        <w:t xml:space="preserve"> Argumenta que </w:t>
      </w:r>
      <w:r w:rsidR="00426004" w:rsidRPr="00B6020B">
        <w:rPr>
          <w:rFonts w:ascii="ITC Avant Garde" w:hAnsi="ITC Avant Garde" w:cs="Arial"/>
          <w:i/>
        </w:rPr>
        <w:t>“</w:t>
      </w:r>
      <w:r w:rsidR="00186A4B" w:rsidRPr="00B6020B">
        <w:rPr>
          <w:rFonts w:ascii="ITC Avant Garde" w:hAnsi="ITC Avant Garde" w:cs="Arial"/>
          <w:i/>
        </w:rPr>
        <w:t>Si lo que se busca es tener registro de las solicitudes y accesos, esta modificación podría funcionar si se establece un plazo inmediato para que Opsimex responda a la solicitud presentada por el sistema</w:t>
      </w:r>
      <w:r w:rsidR="00426004" w:rsidRPr="00B6020B">
        <w:rPr>
          <w:rFonts w:ascii="ITC Avant Garde" w:hAnsi="ITC Avant Garde" w:cs="Arial"/>
          <w:i/>
        </w:rPr>
        <w:t>”</w:t>
      </w:r>
      <w:r w:rsidR="00426004" w:rsidRPr="00B6020B">
        <w:rPr>
          <w:rFonts w:ascii="ITC Avant Garde" w:hAnsi="ITC Avant Garde" w:cs="Arial"/>
        </w:rPr>
        <w:t>.</w:t>
      </w:r>
      <w:r w:rsidR="00186A4B" w:rsidRPr="00B6020B">
        <w:rPr>
          <w:rFonts w:ascii="ITC Avant Garde" w:hAnsi="ITC Avant Garde" w:cs="Arial"/>
        </w:rPr>
        <w:t xml:space="preserve"> </w:t>
      </w:r>
    </w:p>
    <w:p w14:paraId="08D26A0D" w14:textId="77777777" w:rsidR="00186A4B" w:rsidRPr="00B6020B" w:rsidRDefault="00186A4B" w:rsidP="007C328C">
      <w:pPr>
        <w:spacing w:after="100" w:afterAutospacing="1" w:line="276" w:lineRule="auto"/>
        <w:rPr>
          <w:rFonts w:ascii="ITC Avant Garde" w:hAnsi="ITC Avant Garde" w:cs="Arial"/>
        </w:rPr>
      </w:pPr>
      <w:r w:rsidRPr="00B6020B">
        <w:rPr>
          <w:rFonts w:ascii="ITC Avant Garde" w:hAnsi="ITC Avant Garde" w:cs="Arial"/>
        </w:rPr>
        <w:t xml:space="preserve">Por lo tanto, </w:t>
      </w:r>
      <w:r w:rsidR="00426004" w:rsidRPr="00B6020B">
        <w:rPr>
          <w:rFonts w:ascii="ITC Avant Garde" w:hAnsi="ITC Avant Garde" w:cs="Arial"/>
        </w:rPr>
        <w:t xml:space="preserve">menciona que </w:t>
      </w:r>
      <w:r w:rsidR="00426004" w:rsidRPr="00B6020B">
        <w:rPr>
          <w:rFonts w:ascii="ITC Avant Garde" w:hAnsi="ITC Avant Garde" w:cs="Arial"/>
          <w:i/>
        </w:rPr>
        <w:t>“</w:t>
      </w:r>
      <w:r w:rsidRPr="00B6020B">
        <w:rPr>
          <w:rFonts w:ascii="ITC Avant Garde" w:hAnsi="ITC Avant Garde" w:cs="Arial"/>
          <w:i/>
        </w:rPr>
        <w:t>se deben establecer SLAs (Acuerdos de Nivel de Servicio) con los tiempos de respuesta de Opsimex, tanto para solicitudes de acceso programadas como para accesos de emergencia. En el caso de solicitudes de emergencia, la respuesta para sitios que no requieran un control de acceso o que el mismo no dependa de terceros debe ser inmediata. Para casos en los que el acceso esté controlado o dependa de un tercero, la respuesta no debe rebasar 2 horas. Si la respuesta no es positiva, la resolución debe ser resuelta en no más de 24 horas.</w:t>
      </w:r>
      <w:r w:rsidR="00426004" w:rsidRPr="00B6020B">
        <w:rPr>
          <w:rFonts w:ascii="ITC Avant Garde" w:hAnsi="ITC Avant Garde" w:cs="Arial"/>
          <w:i/>
        </w:rPr>
        <w:t>”</w:t>
      </w:r>
    </w:p>
    <w:p w14:paraId="0B3B3670" w14:textId="77777777" w:rsidR="00384F88" w:rsidRPr="00B6020B" w:rsidRDefault="00384F88" w:rsidP="007C328C">
      <w:pPr>
        <w:spacing w:after="100" w:afterAutospacing="1" w:line="276" w:lineRule="auto"/>
        <w:rPr>
          <w:rFonts w:ascii="ITC Avant Garde" w:hAnsi="ITC Avant Garde" w:cs="Arial"/>
        </w:rPr>
      </w:pPr>
      <w:r w:rsidRPr="00B6020B">
        <w:rPr>
          <w:rFonts w:ascii="ITC Avant Garde" w:hAnsi="ITC Avant Garde"/>
          <w:u w:val="single"/>
          <w:lang w:val="es-ES_tradnl"/>
        </w:rPr>
        <w:t>Respuesta de la UPR</w:t>
      </w:r>
    </w:p>
    <w:p w14:paraId="79A425A0" w14:textId="791303FD" w:rsidR="00A17724" w:rsidRPr="00B6020B" w:rsidRDefault="00037C40" w:rsidP="007C328C">
      <w:pPr>
        <w:pStyle w:val="Default"/>
        <w:spacing w:after="100" w:afterAutospacing="1" w:line="276" w:lineRule="auto"/>
        <w:jc w:val="both"/>
        <w:rPr>
          <w:rFonts w:ascii="ITC Avant Garde" w:hAnsi="ITC Avant Garde" w:cs="Arial"/>
          <w:sz w:val="22"/>
          <w:szCs w:val="22"/>
          <w:lang w:val="es-MX"/>
        </w:rPr>
      </w:pPr>
      <w:r w:rsidRPr="00B6020B">
        <w:rPr>
          <w:rFonts w:ascii="ITC Avant Garde" w:hAnsi="ITC Avant Garde" w:cs="Arial"/>
          <w:sz w:val="22"/>
          <w:szCs w:val="22"/>
          <w:lang w:val="es-MX"/>
        </w:rPr>
        <w:t>Con relación a los acuerdos de nivel de servicio para establecer tiempos de respuesta, tanto para solicitudes de acceso programadas como para accesos de emergencia</w:t>
      </w:r>
      <w:r w:rsidR="00E46AEA" w:rsidRPr="00B6020B">
        <w:rPr>
          <w:rFonts w:ascii="ITC Avant Garde" w:hAnsi="ITC Avant Garde" w:cs="Arial"/>
          <w:sz w:val="22"/>
          <w:szCs w:val="22"/>
          <w:lang w:val="es-MX"/>
        </w:rPr>
        <w:t xml:space="preserve">, se </w:t>
      </w:r>
      <w:r w:rsidR="00277A94" w:rsidRPr="00B6020B">
        <w:rPr>
          <w:rFonts w:ascii="ITC Avant Garde" w:hAnsi="ITC Avant Garde" w:cs="Arial"/>
          <w:sz w:val="22"/>
          <w:szCs w:val="22"/>
          <w:lang w:val="es-MX"/>
        </w:rPr>
        <w:t xml:space="preserve">evaluará dicho comentario a la luz de la naturaleza de los estos accesos y de las condiciones autorizadas en al Oferta de Referencia vigente, favoreciendo </w:t>
      </w:r>
      <w:r w:rsidR="00E46AEA" w:rsidRPr="00B6020B">
        <w:rPr>
          <w:rFonts w:ascii="ITC Avant Garde" w:hAnsi="ITC Avant Garde" w:cs="Arial"/>
          <w:sz w:val="22"/>
          <w:szCs w:val="22"/>
          <w:lang w:val="es-MX"/>
        </w:rPr>
        <w:t>una adecuada provisión de los servicios, en términos claros para su atención por parte de Telesites y Fibra como del CS</w:t>
      </w:r>
      <w:r w:rsidR="00BD421F" w:rsidRPr="00B6020B">
        <w:rPr>
          <w:rFonts w:ascii="ITC Avant Garde" w:hAnsi="ITC Avant Garde" w:cs="Arial"/>
          <w:sz w:val="22"/>
          <w:szCs w:val="22"/>
          <w:lang w:val="es-MX"/>
        </w:rPr>
        <w:t xml:space="preserve"> tomando en cuenta los medios vigentes</w:t>
      </w:r>
      <w:r w:rsidR="00A17724" w:rsidRPr="00B6020B">
        <w:rPr>
          <w:rFonts w:ascii="ITC Avant Garde" w:hAnsi="ITC Avant Garde" w:cs="Arial"/>
          <w:sz w:val="22"/>
          <w:szCs w:val="22"/>
          <w:lang w:val="es-MX"/>
        </w:rPr>
        <w:t>.</w:t>
      </w:r>
    </w:p>
    <w:p w14:paraId="29445B25" w14:textId="77777777" w:rsidR="00CE3394" w:rsidRPr="00B6020B" w:rsidRDefault="00CE3394" w:rsidP="00CE3394">
      <w:pPr>
        <w:spacing w:after="120" w:line="276" w:lineRule="auto"/>
        <w:ind w:left="720"/>
        <w:rPr>
          <w:rFonts w:ascii="ITC Avant Garde" w:hAnsi="ITC Avant Garde"/>
          <w:b/>
        </w:rPr>
      </w:pPr>
      <w:r w:rsidRPr="00B6020B">
        <w:rPr>
          <w:rFonts w:ascii="ITC Avant Garde" w:hAnsi="ITC Avant Garde"/>
          <w:b/>
          <w:lang w:val="es-ES_tradnl"/>
        </w:rPr>
        <w:t>3.7. Numeral 1.26 de la sección “</w:t>
      </w:r>
      <w:r w:rsidRPr="00B6020B">
        <w:rPr>
          <w:rFonts w:ascii="ITC Avant Garde" w:hAnsi="ITC Avant Garde"/>
          <w:b/>
          <w:i/>
          <w:lang w:val="es-ES_tradnl"/>
        </w:rPr>
        <w:t xml:space="preserve">1. DEL ACCESO A LOS SITIOS”, </w:t>
      </w:r>
      <w:r w:rsidRPr="00B6020B">
        <w:rPr>
          <w:rFonts w:ascii="ITC Avant Garde" w:hAnsi="ITC Avant Garde"/>
          <w:b/>
          <w:lang w:val="es-ES_tradnl"/>
        </w:rPr>
        <w:t xml:space="preserve">del </w:t>
      </w:r>
      <w:r w:rsidRPr="00B6020B">
        <w:rPr>
          <w:rFonts w:ascii="ITC Avant Garde" w:hAnsi="ITC Avant Garde"/>
          <w:b/>
          <w:i/>
        </w:rPr>
        <w:t>“Anexo “III”: Normativa Técnica</w:t>
      </w:r>
      <w:r w:rsidRPr="00B6020B">
        <w:rPr>
          <w:rFonts w:ascii="ITC Avant Garde" w:hAnsi="ITC Avant Garde"/>
          <w:b/>
        </w:rPr>
        <w:t>”</w:t>
      </w:r>
    </w:p>
    <w:p w14:paraId="3E696332" w14:textId="77777777" w:rsidR="00297EF9" w:rsidRPr="00B6020B" w:rsidRDefault="00297EF9" w:rsidP="00297EF9">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AT&amp;T señala</w:t>
      </w:r>
      <w:r w:rsidR="00CE3394" w:rsidRPr="00B6020B">
        <w:rPr>
          <w:rFonts w:ascii="ITC Avant Garde" w:hAnsi="ITC Avant Garde" w:cs="Arial"/>
          <w:sz w:val="22"/>
          <w:szCs w:val="22"/>
        </w:rPr>
        <w:t xml:space="preserve"> que dentro del </w:t>
      </w:r>
      <w:r w:rsidR="00CE3394" w:rsidRPr="00B6020B">
        <w:rPr>
          <w:rFonts w:ascii="ITC Avant Garde" w:hAnsi="ITC Avant Garde" w:cs="Arial"/>
          <w:i/>
          <w:sz w:val="22"/>
          <w:szCs w:val="22"/>
          <w:lang w:val="es-MX"/>
        </w:rPr>
        <w:t xml:space="preserve">“Anexo “III”: Normativa Técnica” </w:t>
      </w:r>
      <w:r w:rsidR="00CE3394" w:rsidRPr="00B6020B">
        <w:rPr>
          <w:rFonts w:ascii="ITC Avant Garde" w:hAnsi="ITC Avant Garde" w:cs="Arial"/>
          <w:sz w:val="22"/>
          <w:szCs w:val="22"/>
        </w:rPr>
        <w:t xml:space="preserve">se menciona el establecimiento de un sistema de acceso </w:t>
      </w:r>
      <w:r w:rsidR="00504198" w:rsidRPr="00B6020B">
        <w:rPr>
          <w:rFonts w:ascii="ITC Avant Garde" w:hAnsi="ITC Avant Garde" w:cs="Arial"/>
          <w:sz w:val="22"/>
          <w:szCs w:val="22"/>
        </w:rPr>
        <w:t>remoto</w:t>
      </w:r>
      <w:r w:rsidR="00CE3394" w:rsidRPr="00B6020B">
        <w:rPr>
          <w:rFonts w:ascii="ITC Avant Garde" w:hAnsi="ITC Avant Garde" w:cs="Arial"/>
          <w:sz w:val="22"/>
          <w:szCs w:val="22"/>
        </w:rPr>
        <w:t>, por lo que señala</w:t>
      </w:r>
      <w:r w:rsidRPr="00B6020B">
        <w:rPr>
          <w:rFonts w:ascii="ITC Avant Garde" w:hAnsi="ITC Avant Garde" w:cs="Arial"/>
          <w:sz w:val="22"/>
          <w:szCs w:val="22"/>
        </w:rPr>
        <w:t xml:space="preserve"> lo siguiente </w:t>
      </w:r>
      <w:r w:rsidR="00CE3394" w:rsidRPr="00B6020B">
        <w:rPr>
          <w:rFonts w:ascii="ITC Avant Garde" w:hAnsi="ITC Avant Garde" w:cs="Arial"/>
          <w:sz w:val="22"/>
          <w:szCs w:val="22"/>
        </w:rPr>
        <w:t>respect</w:t>
      </w:r>
      <w:r w:rsidR="00504198" w:rsidRPr="00B6020B">
        <w:rPr>
          <w:rFonts w:ascii="ITC Avant Garde" w:hAnsi="ITC Avant Garde" w:cs="Arial"/>
          <w:sz w:val="22"/>
          <w:szCs w:val="22"/>
        </w:rPr>
        <w:t>o</w:t>
      </w:r>
      <w:r w:rsidR="00CE3394" w:rsidRPr="00B6020B">
        <w:rPr>
          <w:rFonts w:ascii="ITC Avant Garde" w:hAnsi="ITC Avant Garde" w:cs="Arial"/>
          <w:sz w:val="22"/>
          <w:szCs w:val="22"/>
        </w:rPr>
        <w:t xml:space="preserve"> </w:t>
      </w:r>
      <w:r w:rsidR="00504198" w:rsidRPr="00B6020B">
        <w:rPr>
          <w:rFonts w:ascii="ITC Avant Garde" w:hAnsi="ITC Avant Garde" w:cs="Arial"/>
          <w:sz w:val="22"/>
          <w:szCs w:val="22"/>
        </w:rPr>
        <w:t>d</w:t>
      </w:r>
      <w:r w:rsidR="00CE3394" w:rsidRPr="00B6020B">
        <w:rPr>
          <w:rFonts w:ascii="ITC Avant Garde" w:hAnsi="ITC Avant Garde" w:cs="Arial"/>
          <w:sz w:val="22"/>
          <w:szCs w:val="22"/>
        </w:rPr>
        <w:t>el</w:t>
      </w:r>
      <w:r w:rsidRPr="00B6020B">
        <w:rPr>
          <w:rFonts w:ascii="ITC Avant Garde" w:hAnsi="ITC Avant Garde" w:cs="Arial"/>
          <w:sz w:val="22"/>
          <w:szCs w:val="22"/>
        </w:rPr>
        <w:t xml:space="preserve"> desarrollo e implementación de</w:t>
      </w:r>
      <w:r w:rsidR="00CE3394" w:rsidRPr="00B6020B">
        <w:rPr>
          <w:rFonts w:ascii="ITC Avant Garde" w:hAnsi="ITC Avant Garde" w:cs="Arial"/>
          <w:sz w:val="22"/>
          <w:szCs w:val="22"/>
        </w:rPr>
        <w:t xml:space="preserve">l </w:t>
      </w:r>
      <w:r w:rsidRPr="00B6020B">
        <w:rPr>
          <w:rFonts w:ascii="ITC Avant Garde" w:hAnsi="ITC Avant Garde" w:cs="Arial"/>
          <w:sz w:val="22"/>
          <w:szCs w:val="22"/>
        </w:rPr>
        <w:t>sistema:</w:t>
      </w:r>
    </w:p>
    <w:p w14:paraId="6C0F5D50" w14:textId="3E05D7B3" w:rsidR="00297EF9" w:rsidRPr="00B6020B" w:rsidRDefault="00297EF9" w:rsidP="00297EF9">
      <w:pPr>
        <w:pStyle w:val="CitaIFT"/>
      </w:pPr>
      <w:r w:rsidRPr="00B6020B">
        <w:lastRenderedPageBreak/>
        <w:t>“</w:t>
      </w:r>
      <w:r w:rsidR="00BD421F" w:rsidRPr="00B6020B">
        <w:t>…</w:t>
      </w:r>
      <w:r w:rsidRPr="00B6020B">
        <w:t xml:space="preserve">resulta necesario que se precisen ciertos elementos que se deben tener en cuenta, en caso de que el IFT considere procedente la propuesta: </w:t>
      </w:r>
    </w:p>
    <w:p w14:paraId="247BB256" w14:textId="77777777" w:rsidR="00297EF9" w:rsidRPr="00B6020B" w:rsidRDefault="00297EF9" w:rsidP="00297EF9">
      <w:pPr>
        <w:pStyle w:val="CitaIFT"/>
        <w:numPr>
          <w:ilvl w:val="0"/>
          <w:numId w:val="26"/>
        </w:numPr>
      </w:pPr>
      <w:r w:rsidRPr="00B6020B">
        <w:t xml:space="preserve">Definir un plan de contingencia en caso de falla del sistema y cómo se estarán solicitando los accesos en esta situación. </w:t>
      </w:r>
    </w:p>
    <w:p w14:paraId="387552DA" w14:textId="77777777" w:rsidR="00297EF9" w:rsidRPr="00B6020B" w:rsidRDefault="00297EF9" w:rsidP="00297EF9">
      <w:pPr>
        <w:pStyle w:val="CitaIFT"/>
        <w:numPr>
          <w:ilvl w:val="0"/>
          <w:numId w:val="26"/>
        </w:numPr>
      </w:pPr>
      <w:r w:rsidRPr="00B6020B">
        <w:t xml:space="preserve">Definir una matriz de escalación y soporte en caso de problemas con la plataforma. </w:t>
      </w:r>
    </w:p>
    <w:p w14:paraId="07F84539" w14:textId="77777777" w:rsidR="00297EF9" w:rsidRPr="00B6020B" w:rsidRDefault="00297EF9" w:rsidP="00297EF9">
      <w:pPr>
        <w:pStyle w:val="CitaIFT"/>
        <w:numPr>
          <w:ilvl w:val="0"/>
          <w:numId w:val="26"/>
        </w:numPr>
      </w:pPr>
      <w:r w:rsidRPr="00B6020B">
        <w:t xml:space="preserve">Establecer el escenario de cambio, corrección o mejora del sistema para saber los SLA y las vías alternas que se tendrán. </w:t>
      </w:r>
    </w:p>
    <w:p w14:paraId="5A844EE2" w14:textId="77777777" w:rsidR="00297EF9" w:rsidRPr="00B6020B" w:rsidRDefault="00297EF9" w:rsidP="00297EF9">
      <w:pPr>
        <w:pStyle w:val="CitaIFT"/>
        <w:numPr>
          <w:ilvl w:val="0"/>
          <w:numId w:val="26"/>
        </w:numPr>
      </w:pPr>
      <w:r w:rsidRPr="00B6020B">
        <w:t xml:space="preserve">Establecer que el sistema deberá interactuar con los sistemas de los concesionarios, a efecto de automatizar las solicitudes. </w:t>
      </w:r>
    </w:p>
    <w:p w14:paraId="20D31044" w14:textId="77777777" w:rsidR="00297EF9" w:rsidRPr="00B6020B" w:rsidRDefault="00297EF9" w:rsidP="00297EF9">
      <w:pPr>
        <w:pStyle w:val="CitaIFT"/>
        <w:numPr>
          <w:ilvl w:val="0"/>
          <w:numId w:val="26"/>
        </w:numPr>
      </w:pPr>
      <w:r w:rsidRPr="00B6020B">
        <w:t>Definir la relación con el Sistema Electrónico de Gestión como medio oficial para la comunicación, en términos del marco de obligaciones asimétricas.”</w:t>
      </w:r>
    </w:p>
    <w:p w14:paraId="5C23C436" w14:textId="77777777" w:rsidR="00297EF9" w:rsidRPr="00B6020B" w:rsidRDefault="00297EF9" w:rsidP="00297EF9">
      <w:pPr>
        <w:pStyle w:val="Default"/>
        <w:spacing w:after="100" w:afterAutospacing="1" w:line="276" w:lineRule="auto"/>
        <w:jc w:val="both"/>
        <w:rPr>
          <w:rFonts w:ascii="ITC Avant Garde" w:hAnsi="ITC Avant Garde" w:cs="Arial"/>
          <w:sz w:val="22"/>
          <w:szCs w:val="22"/>
          <w:u w:val="single"/>
        </w:rPr>
      </w:pPr>
      <w:r w:rsidRPr="00B6020B">
        <w:rPr>
          <w:rFonts w:ascii="ITC Avant Garde" w:hAnsi="ITC Avant Garde" w:cs="Arial"/>
          <w:sz w:val="22"/>
          <w:szCs w:val="22"/>
          <w:u w:val="single"/>
        </w:rPr>
        <w:t>Respuesta de la UPR</w:t>
      </w:r>
    </w:p>
    <w:p w14:paraId="632B3EB5" w14:textId="698D04DB" w:rsidR="00CE3394" w:rsidRPr="00B6020B" w:rsidRDefault="00297EF9" w:rsidP="00CE3394">
      <w:pPr>
        <w:pStyle w:val="Default"/>
        <w:spacing w:after="100" w:afterAutospacing="1" w:line="276" w:lineRule="auto"/>
        <w:jc w:val="both"/>
        <w:rPr>
          <w:rFonts w:ascii="ITC Avant Garde" w:hAnsi="ITC Avant Garde"/>
          <w:sz w:val="22"/>
          <w:szCs w:val="22"/>
          <w:lang w:val="es-MX"/>
        </w:rPr>
      </w:pPr>
      <w:r w:rsidRPr="00B6020B">
        <w:rPr>
          <w:rFonts w:ascii="ITC Avant Garde" w:hAnsi="ITC Avant Garde"/>
          <w:sz w:val="22"/>
          <w:szCs w:val="22"/>
          <w:lang w:val="es-MX"/>
        </w:rPr>
        <w:t>Al respecto, la UPR considera que</w:t>
      </w:r>
      <w:r w:rsidRPr="00B6020B">
        <w:rPr>
          <w:rFonts w:ascii="ITC Avant Garde" w:hAnsi="ITC Avant Garde" w:cs="Arial"/>
          <w:sz w:val="22"/>
          <w:szCs w:val="22"/>
        </w:rPr>
        <w:t xml:space="preserve"> </w:t>
      </w:r>
      <w:r w:rsidR="00750110" w:rsidRPr="00B6020B">
        <w:rPr>
          <w:rFonts w:ascii="ITC Avant Garde" w:hAnsi="ITC Avant Garde" w:cs="Arial"/>
          <w:sz w:val="22"/>
          <w:szCs w:val="22"/>
        </w:rPr>
        <w:t xml:space="preserve">el </w:t>
      </w:r>
      <w:proofErr w:type="spellStart"/>
      <w:r w:rsidR="00750110" w:rsidRPr="00B6020B">
        <w:rPr>
          <w:rFonts w:ascii="ITC Avant Garde" w:hAnsi="ITC Avant Garde" w:cs="Arial"/>
          <w:sz w:val="22"/>
          <w:szCs w:val="22"/>
        </w:rPr>
        <w:t>sistema</w:t>
      </w:r>
      <w:proofErr w:type="spellEnd"/>
      <w:r w:rsidR="00750110" w:rsidRPr="00B6020B">
        <w:rPr>
          <w:rFonts w:ascii="ITC Avant Garde" w:hAnsi="ITC Avant Garde" w:cs="Arial"/>
          <w:sz w:val="22"/>
          <w:szCs w:val="22"/>
        </w:rPr>
        <w:t xml:space="preserve"> </w:t>
      </w:r>
      <w:proofErr w:type="spellStart"/>
      <w:r w:rsidR="00750110" w:rsidRPr="00B6020B">
        <w:rPr>
          <w:rFonts w:ascii="ITC Avant Garde" w:hAnsi="ITC Avant Garde" w:cs="Arial"/>
          <w:sz w:val="22"/>
          <w:szCs w:val="22"/>
        </w:rPr>
        <w:t>aludido</w:t>
      </w:r>
      <w:proofErr w:type="spellEnd"/>
      <w:r w:rsidR="00750110" w:rsidRPr="00B6020B">
        <w:rPr>
          <w:rFonts w:ascii="ITC Avant Garde" w:hAnsi="ITC Avant Garde" w:cs="Arial"/>
          <w:sz w:val="22"/>
          <w:szCs w:val="22"/>
        </w:rPr>
        <w:t xml:space="preserve"> por </w:t>
      </w:r>
      <w:proofErr w:type="spellStart"/>
      <w:r w:rsidRPr="00B6020B">
        <w:rPr>
          <w:rFonts w:ascii="ITC Avant Garde" w:hAnsi="ITC Avant Garde" w:cs="Arial"/>
          <w:sz w:val="22"/>
          <w:szCs w:val="22"/>
        </w:rPr>
        <w:t>Telesites</w:t>
      </w:r>
      <w:proofErr w:type="spellEnd"/>
      <w:r w:rsidRPr="00B6020B">
        <w:rPr>
          <w:rFonts w:ascii="ITC Avant Garde" w:hAnsi="ITC Avant Garde" w:cs="Arial"/>
          <w:sz w:val="22"/>
          <w:szCs w:val="22"/>
        </w:rPr>
        <w:t xml:space="preserve"> y </w:t>
      </w:r>
      <w:proofErr w:type="spellStart"/>
      <w:r w:rsidRPr="00B6020B">
        <w:rPr>
          <w:rFonts w:ascii="ITC Avant Garde" w:hAnsi="ITC Avant Garde" w:cs="Arial"/>
          <w:sz w:val="22"/>
          <w:szCs w:val="22"/>
        </w:rPr>
        <w:t>Fibra</w:t>
      </w:r>
      <w:proofErr w:type="spellEnd"/>
      <w:r w:rsidRPr="00B6020B">
        <w:rPr>
          <w:rFonts w:ascii="ITC Avant Garde" w:hAnsi="ITC Avant Garde" w:cs="Arial"/>
          <w:sz w:val="22"/>
          <w:szCs w:val="22"/>
        </w:rPr>
        <w:t xml:space="preserve"> </w:t>
      </w:r>
      <w:proofErr w:type="spellStart"/>
      <w:r w:rsidR="00750110" w:rsidRPr="00B6020B">
        <w:rPr>
          <w:rFonts w:ascii="ITC Avant Garde" w:hAnsi="ITC Avant Garde" w:cs="Arial"/>
          <w:sz w:val="22"/>
          <w:szCs w:val="22"/>
        </w:rPr>
        <w:t>carece</w:t>
      </w:r>
      <w:proofErr w:type="spellEnd"/>
      <w:r w:rsidR="00750110" w:rsidRPr="00B6020B">
        <w:rPr>
          <w:rFonts w:ascii="ITC Avant Garde" w:hAnsi="ITC Avant Garde" w:cs="Arial"/>
          <w:sz w:val="22"/>
          <w:szCs w:val="22"/>
        </w:rPr>
        <w:t xml:space="preserve"> de </w:t>
      </w:r>
      <w:proofErr w:type="spellStart"/>
      <w:r w:rsidR="00750110" w:rsidRPr="00B6020B">
        <w:rPr>
          <w:rFonts w:ascii="ITC Avant Garde" w:hAnsi="ITC Avant Garde" w:cs="Arial"/>
          <w:sz w:val="22"/>
          <w:szCs w:val="22"/>
        </w:rPr>
        <w:t>elementos</w:t>
      </w:r>
      <w:proofErr w:type="spellEnd"/>
      <w:r w:rsidR="00750110" w:rsidRPr="00B6020B">
        <w:rPr>
          <w:rFonts w:ascii="ITC Avant Garde" w:hAnsi="ITC Avant Garde" w:cs="Arial"/>
          <w:sz w:val="22"/>
          <w:szCs w:val="22"/>
        </w:rPr>
        <w:t xml:space="preserve"> para ser </w:t>
      </w:r>
      <w:proofErr w:type="spellStart"/>
      <w:r w:rsidR="00750110" w:rsidRPr="00B6020B">
        <w:rPr>
          <w:rFonts w:ascii="ITC Avant Garde" w:hAnsi="ITC Avant Garde" w:cs="Arial"/>
          <w:sz w:val="22"/>
          <w:szCs w:val="22"/>
        </w:rPr>
        <w:t>considerado</w:t>
      </w:r>
      <w:proofErr w:type="spellEnd"/>
      <w:r w:rsidR="00750110" w:rsidRPr="00B6020B">
        <w:rPr>
          <w:rFonts w:ascii="ITC Avant Garde" w:hAnsi="ITC Avant Garde" w:cs="Arial"/>
          <w:sz w:val="22"/>
          <w:szCs w:val="22"/>
        </w:rPr>
        <w:t xml:space="preserve"> </w:t>
      </w:r>
      <w:proofErr w:type="spellStart"/>
      <w:r w:rsidR="00750110" w:rsidRPr="00B6020B">
        <w:rPr>
          <w:rFonts w:ascii="ITC Avant Garde" w:hAnsi="ITC Avant Garde" w:cs="Arial"/>
          <w:sz w:val="22"/>
          <w:szCs w:val="22"/>
        </w:rPr>
        <w:t>como</w:t>
      </w:r>
      <w:proofErr w:type="spellEnd"/>
      <w:r w:rsidR="00750110" w:rsidRPr="00B6020B">
        <w:rPr>
          <w:rFonts w:ascii="ITC Avant Garde" w:hAnsi="ITC Avant Garde" w:cs="Arial"/>
          <w:sz w:val="22"/>
          <w:szCs w:val="22"/>
        </w:rPr>
        <w:t xml:space="preserve"> </w:t>
      </w:r>
      <w:proofErr w:type="spellStart"/>
      <w:r w:rsidR="00750110" w:rsidRPr="00B6020B">
        <w:rPr>
          <w:rFonts w:ascii="ITC Avant Garde" w:hAnsi="ITC Avant Garde" w:cs="Arial"/>
          <w:sz w:val="22"/>
          <w:szCs w:val="22"/>
        </w:rPr>
        <w:t>operativ</w:t>
      </w:r>
      <w:r w:rsidR="00037C40" w:rsidRPr="00B6020B">
        <w:rPr>
          <w:rFonts w:ascii="ITC Avant Garde" w:hAnsi="ITC Avant Garde" w:cs="Arial"/>
          <w:sz w:val="22"/>
          <w:szCs w:val="22"/>
        </w:rPr>
        <w:t>o</w:t>
      </w:r>
      <w:proofErr w:type="spellEnd"/>
      <w:r w:rsidR="00750110" w:rsidRPr="00B6020B">
        <w:rPr>
          <w:rFonts w:ascii="ITC Avant Garde" w:hAnsi="ITC Avant Garde" w:cs="Arial"/>
          <w:sz w:val="22"/>
          <w:szCs w:val="22"/>
        </w:rPr>
        <w:t xml:space="preserve"> para la provsión de los servicios</w:t>
      </w:r>
      <w:r w:rsidRPr="00B6020B">
        <w:rPr>
          <w:rFonts w:ascii="ITC Avant Garde" w:hAnsi="ITC Avant Garde" w:cs="Arial"/>
          <w:sz w:val="22"/>
          <w:szCs w:val="22"/>
        </w:rPr>
        <w:t xml:space="preserve"> por lo que</w:t>
      </w:r>
      <w:r w:rsidR="00750110" w:rsidRPr="00B6020B">
        <w:rPr>
          <w:rFonts w:ascii="ITC Avant Garde" w:hAnsi="ITC Avant Garde" w:cs="Arial"/>
          <w:sz w:val="22"/>
          <w:szCs w:val="22"/>
        </w:rPr>
        <w:t>,</w:t>
      </w:r>
      <w:r w:rsidRPr="00B6020B">
        <w:rPr>
          <w:rFonts w:ascii="ITC Avant Garde" w:hAnsi="ITC Avant Garde" w:cs="Arial"/>
          <w:sz w:val="22"/>
          <w:szCs w:val="22"/>
        </w:rPr>
        <w:t xml:space="preserve"> </w:t>
      </w:r>
      <w:r w:rsidRPr="00B6020B">
        <w:rPr>
          <w:rFonts w:ascii="ITC Avant Garde" w:hAnsi="ITC Avant Garde"/>
          <w:sz w:val="22"/>
          <w:szCs w:val="22"/>
          <w:lang w:val="es-MX"/>
        </w:rPr>
        <w:t xml:space="preserve">hasta </w:t>
      </w:r>
      <w:r w:rsidR="00750110" w:rsidRPr="00B6020B">
        <w:rPr>
          <w:rFonts w:ascii="ITC Avant Garde" w:hAnsi="ITC Avant Garde"/>
          <w:sz w:val="22"/>
          <w:szCs w:val="22"/>
          <w:lang w:val="es-MX"/>
        </w:rPr>
        <w:t>en tanto</w:t>
      </w:r>
      <w:r w:rsidR="00037C40" w:rsidRPr="00B6020B">
        <w:rPr>
          <w:rFonts w:ascii="ITC Avant Garde" w:hAnsi="ITC Avant Garde"/>
          <w:sz w:val="22"/>
          <w:szCs w:val="22"/>
          <w:lang w:val="es-MX"/>
        </w:rPr>
        <w:t xml:space="preserve"> cuente con elementos necesarios para su valoración, no se harán manifestaciones al respecto. </w:t>
      </w:r>
    </w:p>
    <w:p w14:paraId="0D117F99" w14:textId="77777777" w:rsidR="00A14C03" w:rsidRPr="00B6020B" w:rsidRDefault="00297EF9" w:rsidP="00A14C03">
      <w:pPr>
        <w:pStyle w:val="Default"/>
        <w:numPr>
          <w:ilvl w:val="0"/>
          <w:numId w:val="12"/>
        </w:numPr>
        <w:spacing w:after="100" w:afterAutospacing="1" w:line="276" w:lineRule="auto"/>
        <w:jc w:val="both"/>
        <w:rPr>
          <w:rFonts w:ascii="ITC Avant Garde" w:hAnsi="ITC Avant Garde" w:cs="Arial"/>
          <w:b/>
          <w:sz w:val="22"/>
          <w:szCs w:val="22"/>
          <w:lang w:val="es-MX"/>
        </w:rPr>
      </w:pPr>
      <w:r w:rsidRPr="00B6020B">
        <w:rPr>
          <w:rFonts w:ascii="ITC Avant Garde" w:hAnsi="ITC Avant Garde" w:cs="Arial"/>
          <w:b/>
          <w:sz w:val="22"/>
          <w:szCs w:val="22"/>
          <w:lang w:val="es-MX"/>
        </w:rPr>
        <w:t xml:space="preserve">“Anexo “IV”: Modelo de Convenio” </w:t>
      </w:r>
    </w:p>
    <w:p w14:paraId="7358BBE3" w14:textId="620040D0" w:rsidR="00A14C03" w:rsidRPr="00B6020B" w:rsidRDefault="00422874" w:rsidP="00A14C03">
      <w:pPr>
        <w:pStyle w:val="Default"/>
        <w:numPr>
          <w:ilvl w:val="1"/>
          <w:numId w:val="28"/>
        </w:numPr>
        <w:spacing w:after="100" w:afterAutospacing="1" w:line="276" w:lineRule="auto"/>
        <w:jc w:val="both"/>
        <w:rPr>
          <w:rFonts w:ascii="ITC Avant Garde" w:hAnsi="ITC Avant Garde" w:cs="Arial"/>
          <w:b/>
          <w:sz w:val="22"/>
          <w:szCs w:val="22"/>
        </w:rPr>
      </w:pPr>
      <w:r w:rsidRPr="00B6020B">
        <w:rPr>
          <w:rFonts w:ascii="ITC Avant Garde" w:hAnsi="ITC Avant Garde" w:cs="Arial"/>
          <w:b/>
          <w:sz w:val="22"/>
          <w:szCs w:val="22"/>
        </w:rPr>
        <w:t xml:space="preserve">CLÁUSULA </w:t>
      </w:r>
      <w:r w:rsidR="00A14C03" w:rsidRPr="00B6020B">
        <w:rPr>
          <w:rFonts w:ascii="ITC Avant Garde" w:hAnsi="ITC Avant Garde" w:cs="Arial"/>
          <w:b/>
          <w:sz w:val="22"/>
          <w:szCs w:val="22"/>
        </w:rPr>
        <w:t xml:space="preserve">CUARTA del </w:t>
      </w:r>
      <w:r w:rsidR="00A14C03" w:rsidRPr="00B6020B">
        <w:rPr>
          <w:rFonts w:ascii="ITC Avant Garde" w:hAnsi="ITC Avant Garde" w:cs="Arial"/>
          <w:b/>
          <w:i/>
          <w:sz w:val="22"/>
          <w:szCs w:val="22"/>
        </w:rPr>
        <w:t>“Anexo “IV” Modelo de Convenio”</w:t>
      </w:r>
    </w:p>
    <w:p w14:paraId="2E2CF338" w14:textId="5D3CBB1A" w:rsidR="00504198" w:rsidRPr="00B6020B" w:rsidRDefault="00A14C03" w:rsidP="00A14C03">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 xml:space="preserve">AT&amp;T señala que el </w:t>
      </w:r>
      <w:r w:rsidRPr="00B6020B">
        <w:rPr>
          <w:rFonts w:ascii="ITC Avant Garde" w:hAnsi="ITC Avant Garde" w:cs="Arial"/>
          <w:i/>
          <w:sz w:val="22"/>
          <w:szCs w:val="22"/>
        </w:rPr>
        <w:t>“Anexo “IV” Modelo de Convenio”</w:t>
      </w:r>
      <w:r w:rsidRPr="00B6020B">
        <w:rPr>
          <w:rFonts w:ascii="ITC Avant Garde" w:hAnsi="ITC Avant Garde" w:cs="Arial"/>
          <w:sz w:val="22"/>
          <w:szCs w:val="22"/>
        </w:rPr>
        <w:t xml:space="preserve">, señala en la Cláusula CUARTA que el </w:t>
      </w:r>
      <w:proofErr w:type="spellStart"/>
      <w:r w:rsidRPr="00B6020B">
        <w:rPr>
          <w:rFonts w:ascii="ITC Avant Garde" w:hAnsi="ITC Avant Garde" w:cs="Arial"/>
          <w:sz w:val="22"/>
          <w:szCs w:val="22"/>
        </w:rPr>
        <w:t>concesionario</w:t>
      </w:r>
      <w:proofErr w:type="spellEnd"/>
      <w:r w:rsidRPr="00B6020B">
        <w:rPr>
          <w:rFonts w:ascii="ITC Avant Garde" w:hAnsi="ITC Avant Garde" w:cs="Arial"/>
          <w:sz w:val="22"/>
          <w:szCs w:val="22"/>
        </w:rPr>
        <w:t xml:space="preserve"> se </w:t>
      </w:r>
      <w:proofErr w:type="spellStart"/>
      <w:r w:rsidRPr="00B6020B">
        <w:rPr>
          <w:rFonts w:ascii="ITC Avant Garde" w:hAnsi="ITC Avant Garde" w:cs="Arial"/>
          <w:sz w:val="22"/>
          <w:szCs w:val="22"/>
        </w:rPr>
        <w:t>obliga</w:t>
      </w:r>
      <w:proofErr w:type="spellEnd"/>
      <w:r w:rsidRPr="00B6020B">
        <w:rPr>
          <w:rFonts w:ascii="ITC Avant Garde" w:hAnsi="ITC Avant Garde" w:cs="Arial"/>
          <w:sz w:val="22"/>
          <w:szCs w:val="22"/>
        </w:rPr>
        <w:t xml:space="preserve"> a </w:t>
      </w:r>
      <w:proofErr w:type="spellStart"/>
      <w:r w:rsidRPr="00B6020B">
        <w:rPr>
          <w:rFonts w:ascii="ITC Avant Garde" w:hAnsi="ITC Avant Garde" w:cs="Arial"/>
          <w:sz w:val="22"/>
          <w:szCs w:val="22"/>
        </w:rPr>
        <w:t>pagarle</w:t>
      </w:r>
      <w:proofErr w:type="spellEnd"/>
      <w:r w:rsidRPr="00B6020B">
        <w:rPr>
          <w:rFonts w:ascii="ITC Avant Garde" w:hAnsi="ITC Avant Garde" w:cs="Arial"/>
          <w:sz w:val="22"/>
          <w:szCs w:val="22"/>
        </w:rPr>
        <w:t xml:space="preserve"> a </w:t>
      </w:r>
      <w:proofErr w:type="spellStart"/>
      <w:r w:rsidRPr="00B6020B">
        <w:rPr>
          <w:rFonts w:ascii="ITC Avant Garde" w:hAnsi="ITC Avant Garde" w:cs="Arial"/>
          <w:sz w:val="22"/>
          <w:szCs w:val="22"/>
        </w:rPr>
        <w:t>Telesites</w:t>
      </w:r>
      <w:proofErr w:type="spellEnd"/>
      <w:r w:rsidR="000714C3" w:rsidRPr="00B6020B">
        <w:rPr>
          <w:rFonts w:ascii="ITC Avant Garde" w:hAnsi="ITC Avant Garde" w:cs="Arial"/>
          <w:sz w:val="22"/>
          <w:szCs w:val="22"/>
        </w:rPr>
        <w:t xml:space="preserve"> y </w:t>
      </w:r>
      <w:proofErr w:type="spellStart"/>
      <w:r w:rsidR="000714C3" w:rsidRPr="00B6020B">
        <w:rPr>
          <w:rFonts w:ascii="ITC Avant Garde" w:hAnsi="ITC Avant Garde" w:cs="Arial"/>
          <w:sz w:val="22"/>
          <w:szCs w:val="22"/>
        </w:rPr>
        <w:t>Fibra</w:t>
      </w:r>
      <w:proofErr w:type="spellEnd"/>
      <w:r w:rsidRPr="00B6020B">
        <w:rPr>
          <w:rFonts w:ascii="ITC Avant Garde" w:hAnsi="ITC Avant Garde" w:cs="Arial"/>
          <w:sz w:val="22"/>
          <w:szCs w:val="22"/>
        </w:rPr>
        <w:t xml:space="preserve">, entre </w:t>
      </w:r>
      <w:proofErr w:type="spellStart"/>
      <w:r w:rsidRPr="00B6020B">
        <w:rPr>
          <w:rFonts w:ascii="ITC Avant Garde" w:hAnsi="ITC Avant Garde" w:cs="Arial"/>
          <w:sz w:val="22"/>
          <w:szCs w:val="22"/>
        </w:rPr>
        <w:t>otras</w:t>
      </w:r>
      <w:proofErr w:type="spellEnd"/>
      <w:r w:rsidRPr="00B6020B">
        <w:rPr>
          <w:rFonts w:ascii="ITC Avant Garde" w:hAnsi="ITC Avant Garde" w:cs="Arial"/>
          <w:sz w:val="22"/>
          <w:szCs w:val="22"/>
        </w:rPr>
        <w:t xml:space="preserve">, las </w:t>
      </w:r>
      <w:proofErr w:type="spellStart"/>
      <w:r w:rsidRPr="00B6020B">
        <w:rPr>
          <w:rFonts w:ascii="ITC Avant Garde" w:hAnsi="ITC Avant Garde" w:cs="Arial"/>
          <w:sz w:val="22"/>
          <w:szCs w:val="22"/>
        </w:rPr>
        <w:t>cantidades</w:t>
      </w:r>
      <w:proofErr w:type="spellEnd"/>
      <w:r w:rsidRPr="00B6020B">
        <w:rPr>
          <w:rFonts w:ascii="ITC Avant Garde" w:hAnsi="ITC Avant Garde" w:cs="Arial"/>
          <w:sz w:val="22"/>
          <w:szCs w:val="22"/>
        </w:rPr>
        <w:t xml:space="preserve"> que </w:t>
      </w:r>
      <w:proofErr w:type="spellStart"/>
      <w:r w:rsidRPr="00B6020B">
        <w:rPr>
          <w:rFonts w:ascii="ITC Avant Garde" w:hAnsi="ITC Avant Garde" w:cs="Arial"/>
          <w:sz w:val="22"/>
          <w:szCs w:val="22"/>
        </w:rPr>
        <w:t>resulten</w:t>
      </w:r>
      <w:proofErr w:type="spellEnd"/>
      <w:r w:rsidRPr="00B6020B">
        <w:rPr>
          <w:rFonts w:ascii="ITC Avant Garde" w:hAnsi="ITC Avant Garde" w:cs="Arial"/>
          <w:sz w:val="22"/>
          <w:szCs w:val="22"/>
        </w:rPr>
        <w:t xml:space="preserve"> de </w:t>
      </w:r>
      <w:r w:rsidRPr="00B6020B">
        <w:rPr>
          <w:rFonts w:ascii="ITC Avant Garde" w:hAnsi="ITC Avant Garde" w:cs="Arial"/>
          <w:i/>
          <w:sz w:val="22"/>
          <w:szCs w:val="22"/>
        </w:rPr>
        <w:t xml:space="preserve">“Pro-rata entre el Concesionario y todo Concesionario en el Sitio, de las cantidades a cubrir bajo cualquier concepto diverso a la ocupación como tal del Sitio (tales como cuotas de mantenimiento, cuotas a asociaciones vecinales, servidumbres y accesos, extensiones de línea, obras extraordinarias, así como </w:t>
      </w:r>
      <w:r w:rsidRPr="00B6020B">
        <w:rPr>
          <w:rFonts w:ascii="ITC Avant Garde" w:hAnsi="ITC Avant Garde" w:cs="Arial"/>
          <w:bCs/>
          <w:i/>
          <w:sz w:val="22"/>
          <w:szCs w:val="22"/>
        </w:rPr>
        <w:t>cualesquiera pagos que impongan terceros con motivo del Sitio</w:t>
      </w:r>
      <w:r w:rsidRPr="00B6020B">
        <w:rPr>
          <w:rFonts w:ascii="ITC Avant Garde" w:hAnsi="ITC Avant Garde" w:cs="Arial"/>
          <w:i/>
          <w:sz w:val="22"/>
          <w:szCs w:val="22"/>
        </w:rPr>
        <w:t>), que se definan en el Acuerdo de Sitio correspondiente”</w:t>
      </w:r>
      <w:r w:rsidRPr="00B6020B">
        <w:rPr>
          <w:rFonts w:ascii="ITC Avant Garde" w:hAnsi="ITC Avant Garde" w:cs="Arial"/>
          <w:sz w:val="22"/>
          <w:szCs w:val="22"/>
        </w:rPr>
        <w:t xml:space="preserve">. </w:t>
      </w:r>
    </w:p>
    <w:p w14:paraId="0D7B79A6" w14:textId="77777777" w:rsidR="00A14C03" w:rsidRPr="00B6020B" w:rsidRDefault="00A14C03" w:rsidP="00A14C03">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 xml:space="preserve">Al respecto, el participante señala que se debe precisar </w:t>
      </w:r>
      <w:r w:rsidRPr="00B6020B">
        <w:rPr>
          <w:rFonts w:ascii="ITC Avant Garde" w:hAnsi="ITC Avant Garde" w:cs="Arial"/>
          <w:i/>
          <w:sz w:val="22"/>
          <w:szCs w:val="22"/>
        </w:rPr>
        <w:t xml:space="preserve">“Cualesquiera pagos </w:t>
      </w:r>
      <w:r w:rsidRPr="00B6020B">
        <w:rPr>
          <w:rFonts w:ascii="ITC Avant Garde" w:hAnsi="ITC Avant Garde" w:cs="Arial"/>
          <w:bCs/>
          <w:i/>
          <w:sz w:val="22"/>
          <w:szCs w:val="22"/>
        </w:rPr>
        <w:t>lícitos</w:t>
      </w:r>
      <w:r w:rsidRPr="00B6020B">
        <w:rPr>
          <w:rFonts w:ascii="ITC Avant Garde" w:hAnsi="ITC Avant Garde" w:cs="Arial"/>
          <w:i/>
          <w:sz w:val="22"/>
          <w:szCs w:val="22"/>
        </w:rPr>
        <w:t>…”</w:t>
      </w:r>
      <w:r w:rsidRPr="00B6020B">
        <w:rPr>
          <w:rFonts w:ascii="ITC Avant Garde" w:hAnsi="ITC Avant Garde" w:cs="Arial"/>
          <w:sz w:val="22"/>
          <w:szCs w:val="22"/>
        </w:rPr>
        <w:t xml:space="preserve"> y estos pagos se deberán incorporar en la información del sitio o en el análisis de factibilidad, ya que señala que </w:t>
      </w:r>
      <w:r w:rsidRPr="00B6020B">
        <w:rPr>
          <w:rFonts w:ascii="ITC Avant Garde" w:hAnsi="ITC Avant Garde" w:cs="Arial"/>
          <w:i/>
          <w:sz w:val="22"/>
          <w:szCs w:val="22"/>
        </w:rPr>
        <w:t>“puesto que de otra manera el concesionario no tendría conocimiento oportuno de pagos adicionales que pudieran resultar del uso de la infraestructura”</w:t>
      </w:r>
      <w:r w:rsidRPr="00B6020B">
        <w:rPr>
          <w:rFonts w:ascii="ITC Avant Garde" w:hAnsi="ITC Avant Garde" w:cs="Arial"/>
          <w:sz w:val="22"/>
          <w:szCs w:val="22"/>
        </w:rPr>
        <w:t xml:space="preserve">. </w:t>
      </w:r>
    </w:p>
    <w:p w14:paraId="54F681A9" w14:textId="77777777" w:rsidR="00A14C03" w:rsidRPr="00B6020B" w:rsidRDefault="00A14C03" w:rsidP="00A14C03">
      <w:pPr>
        <w:pStyle w:val="Default"/>
        <w:spacing w:after="100" w:afterAutospacing="1" w:line="276" w:lineRule="auto"/>
        <w:jc w:val="both"/>
        <w:rPr>
          <w:rFonts w:ascii="ITC Avant Garde" w:hAnsi="ITC Avant Garde" w:cs="Arial"/>
          <w:sz w:val="22"/>
          <w:szCs w:val="22"/>
          <w:u w:val="single"/>
        </w:rPr>
      </w:pPr>
      <w:r w:rsidRPr="00B6020B">
        <w:rPr>
          <w:rFonts w:ascii="ITC Avant Garde" w:hAnsi="ITC Avant Garde" w:cs="Arial"/>
          <w:sz w:val="22"/>
          <w:szCs w:val="22"/>
          <w:u w:val="single"/>
        </w:rPr>
        <w:t>Respuesta de la UPR</w:t>
      </w:r>
    </w:p>
    <w:p w14:paraId="59F5CEB6" w14:textId="50A7C36D" w:rsidR="00182614" w:rsidRPr="00B6020B" w:rsidRDefault="00182614" w:rsidP="00A14C03">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 xml:space="preserve">A </w:t>
      </w:r>
      <w:proofErr w:type="spellStart"/>
      <w:r w:rsidRPr="00B6020B">
        <w:rPr>
          <w:rFonts w:ascii="ITC Avant Garde" w:hAnsi="ITC Avant Garde" w:cs="Arial"/>
          <w:sz w:val="22"/>
          <w:szCs w:val="22"/>
        </w:rPr>
        <w:t>partir</w:t>
      </w:r>
      <w:proofErr w:type="spellEnd"/>
      <w:r w:rsidRPr="00B6020B">
        <w:rPr>
          <w:rFonts w:ascii="ITC Avant Garde" w:hAnsi="ITC Avant Garde" w:cs="Arial"/>
          <w:sz w:val="22"/>
          <w:szCs w:val="22"/>
        </w:rPr>
        <w:t xml:space="preserve"> de las </w:t>
      </w:r>
      <w:proofErr w:type="spellStart"/>
      <w:r w:rsidRPr="00B6020B">
        <w:rPr>
          <w:rFonts w:ascii="ITC Avant Garde" w:hAnsi="ITC Avant Garde" w:cs="Arial"/>
          <w:sz w:val="22"/>
          <w:szCs w:val="22"/>
        </w:rPr>
        <w:t>manifestaciones</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realizadas</w:t>
      </w:r>
      <w:proofErr w:type="spellEnd"/>
      <w:r w:rsidRPr="00B6020B">
        <w:rPr>
          <w:rFonts w:ascii="ITC Avant Garde" w:hAnsi="ITC Avant Garde" w:cs="Arial"/>
          <w:sz w:val="22"/>
          <w:szCs w:val="22"/>
        </w:rPr>
        <w:t xml:space="preserve">, se </w:t>
      </w:r>
      <w:proofErr w:type="spellStart"/>
      <w:r w:rsidRPr="00B6020B">
        <w:rPr>
          <w:rFonts w:ascii="ITC Avant Garde" w:hAnsi="ITC Avant Garde" w:cs="Arial"/>
          <w:sz w:val="22"/>
          <w:szCs w:val="22"/>
        </w:rPr>
        <w:t>considera</w:t>
      </w:r>
      <w:proofErr w:type="spellEnd"/>
      <w:r w:rsidRPr="00B6020B">
        <w:rPr>
          <w:rFonts w:ascii="ITC Avant Garde" w:hAnsi="ITC Avant Garde" w:cs="Arial"/>
          <w:sz w:val="22"/>
          <w:szCs w:val="22"/>
        </w:rPr>
        <w:t xml:space="preserve"> que la </w:t>
      </w:r>
      <w:proofErr w:type="spellStart"/>
      <w:r w:rsidRPr="00B6020B">
        <w:rPr>
          <w:rFonts w:ascii="ITC Avant Garde" w:hAnsi="ITC Avant Garde" w:cs="Arial"/>
          <w:sz w:val="22"/>
          <w:szCs w:val="22"/>
        </w:rPr>
        <w:t>definición</w:t>
      </w:r>
      <w:proofErr w:type="spellEnd"/>
      <w:r w:rsidRPr="00B6020B">
        <w:rPr>
          <w:rFonts w:ascii="ITC Avant Garde" w:hAnsi="ITC Avant Garde" w:cs="Arial"/>
          <w:sz w:val="22"/>
          <w:szCs w:val="22"/>
        </w:rPr>
        <w:t xml:space="preserve"> o </w:t>
      </w:r>
      <w:proofErr w:type="spellStart"/>
      <w:r w:rsidRPr="00B6020B">
        <w:rPr>
          <w:rFonts w:ascii="ITC Avant Garde" w:hAnsi="ITC Avant Garde" w:cs="Arial"/>
          <w:sz w:val="22"/>
          <w:szCs w:val="22"/>
        </w:rPr>
        <w:t>identificación</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sobre</w:t>
      </w:r>
      <w:proofErr w:type="spellEnd"/>
      <w:r w:rsidRPr="00B6020B">
        <w:rPr>
          <w:rFonts w:ascii="ITC Avant Garde" w:hAnsi="ITC Avant Garde" w:cs="Arial"/>
          <w:sz w:val="22"/>
          <w:szCs w:val="22"/>
        </w:rPr>
        <w:t xml:space="preserve"> la </w:t>
      </w:r>
      <w:proofErr w:type="spellStart"/>
      <w:r w:rsidRPr="00B6020B">
        <w:rPr>
          <w:rFonts w:ascii="ITC Avant Garde" w:hAnsi="ITC Avant Garde" w:cs="Arial"/>
          <w:sz w:val="22"/>
          <w:szCs w:val="22"/>
        </w:rPr>
        <w:t>licitud</w:t>
      </w:r>
      <w:proofErr w:type="spellEnd"/>
      <w:r w:rsidRPr="00B6020B">
        <w:rPr>
          <w:rFonts w:ascii="ITC Avant Garde" w:hAnsi="ITC Avant Garde" w:cs="Arial"/>
          <w:sz w:val="22"/>
          <w:szCs w:val="22"/>
        </w:rPr>
        <w:t xml:space="preserve"> de los </w:t>
      </w:r>
      <w:proofErr w:type="spellStart"/>
      <w:r w:rsidRPr="00B6020B">
        <w:rPr>
          <w:rFonts w:ascii="ITC Avant Garde" w:hAnsi="ITC Avant Garde" w:cs="Arial"/>
          <w:sz w:val="22"/>
          <w:szCs w:val="22"/>
        </w:rPr>
        <w:t>pagos</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realizados</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deberá</w:t>
      </w:r>
      <w:proofErr w:type="spellEnd"/>
      <w:r w:rsidRPr="00B6020B">
        <w:rPr>
          <w:rFonts w:ascii="ITC Avant Garde" w:hAnsi="ITC Avant Garde" w:cs="Arial"/>
          <w:sz w:val="22"/>
          <w:szCs w:val="22"/>
        </w:rPr>
        <w:t xml:space="preserve"> ser </w:t>
      </w:r>
      <w:proofErr w:type="spellStart"/>
      <w:r w:rsidRPr="00B6020B">
        <w:rPr>
          <w:rFonts w:ascii="ITC Avant Garde" w:hAnsi="ITC Avant Garde" w:cs="Arial"/>
          <w:sz w:val="22"/>
          <w:szCs w:val="22"/>
        </w:rPr>
        <w:t>evaluado</w:t>
      </w:r>
      <w:proofErr w:type="spellEnd"/>
      <w:r w:rsidRPr="00B6020B">
        <w:rPr>
          <w:rFonts w:ascii="ITC Avant Garde" w:hAnsi="ITC Avant Garde" w:cs="Arial"/>
          <w:sz w:val="22"/>
          <w:szCs w:val="22"/>
        </w:rPr>
        <w:t xml:space="preserve"> y </w:t>
      </w:r>
      <w:proofErr w:type="spellStart"/>
      <w:r w:rsidRPr="00B6020B">
        <w:rPr>
          <w:rFonts w:ascii="ITC Avant Garde" w:hAnsi="ITC Avant Garde" w:cs="Arial"/>
          <w:sz w:val="22"/>
          <w:szCs w:val="22"/>
        </w:rPr>
        <w:t>definido</w:t>
      </w:r>
      <w:proofErr w:type="spellEnd"/>
      <w:r w:rsidRPr="00B6020B">
        <w:rPr>
          <w:rFonts w:ascii="ITC Avant Garde" w:hAnsi="ITC Avant Garde" w:cs="Arial"/>
          <w:sz w:val="22"/>
          <w:szCs w:val="22"/>
        </w:rPr>
        <w:t xml:space="preserve"> por las </w:t>
      </w:r>
      <w:proofErr w:type="spellStart"/>
      <w:r w:rsidRPr="00B6020B">
        <w:rPr>
          <w:rFonts w:ascii="ITC Avant Garde" w:hAnsi="ITC Avant Garde" w:cs="Arial"/>
          <w:sz w:val="22"/>
          <w:szCs w:val="22"/>
        </w:rPr>
        <w:t>autoridades</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jurisdiccionales</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correspondinetes</w:t>
      </w:r>
      <w:proofErr w:type="spellEnd"/>
      <w:r w:rsidRPr="00B6020B">
        <w:rPr>
          <w:rFonts w:ascii="ITC Avant Garde" w:hAnsi="ITC Avant Garde" w:cs="Arial"/>
          <w:sz w:val="22"/>
          <w:szCs w:val="22"/>
        </w:rPr>
        <w:t xml:space="preserve">, con base </w:t>
      </w:r>
      <w:proofErr w:type="spellStart"/>
      <w:r w:rsidRPr="00B6020B">
        <w:rPr>
          <w:rFonts w:ascii="ITC Avant Garde" w:hAnsi="ITC Avant Garde" w:cs="Arial"/>
          <w:sz w:val="22"/>
          <w:szCs w:val="22"/>
        </w:rPr>
        <w:t>en</w:t>
      </w:r>
      <w:proofErr w:type="spellEnd"/>
      <w:r w:rsidRPr="00B6020B">
        <w:rPr>
          <w:rFonts w:ascii="ITC Avant Garde" w:hAnsi="ITC Avant Garde" w:cs="Arial"/>
          <w:sz w:val="22"/>
          <w:szCs w:val="22"/>
        </w:rPr>
        <w:t xml:space="preserve"> el </w:t>
      </w:r>
      <w:proofErr w:type="spellStart"/>
      <w:r w:rsidRPr="00B6020B">
        <w:rPr>
          <w:rFonts w:ascii="ITC Avant Garde" w:hAnsi="ITC Avant Garde" w:cs="Arial"/>
          <w:sz w:val="22"/>
          <w:szCs w:val="22"/>
        </w:rPr>
        <w:lastRenderedPageBreak/>
        <w:t>marco</w:t>
      </w:r>
      <w:proofErr w:type="spellEnd"/>
      <w:r w:rsidRPr="00B6020B">
        <w:rPr>
          <w:rFonts w:ascii="ITC Avant Garde" w:hAnsi="ITC Avant Garde" w:cs="Arial"/>
          <w:sz w:val="22"/>
          <w:szCs w:val="22"/>
        </w:rPr>
        <w:t xml:space="preserve"> legal </w:t>
      </w:r>
      <w:proofErr w:type="spellStart"/>
      <w:r w:rsidRPr="00B6020B">
        <w:rPr>
          <w:rFonts w:ascii="ITC Avant Garde" w:hAnsi="ITC Avant Garde" w:cs="Arial"/>
          <w:sz w:val="22"/>
          <w:szCs w:val="22"/>
        </w:rPr>
        <w:t>vigente</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cuando</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exista</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algún</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requerimiento</w:t>
      </w:r>
      <w:proofErr w:type="spellEnd"/>
      <w:r w:rsidRPr="00B6020B">
        <w:rPr>
          <w:rFonts w:ascii="ITC Avant Garde" w:hAnsi="ITC Avant Garde" w:cs="Arial"/>
          <w:sz w:val="22"/>
          <w:szCs w:val="22"/>
        </w:rPr>
        <w:t xml:space="preserve"> de </w:t>
      </w:r>
      <w:proofErr w:type="spellStart"/>
      <w:r w:rsidRPr="00B6020B">
        <w:rPr>
          <w:rFonts w:ascii="ITC Avant Garde" w:hAnsi="ITC Avant Garde" w:cs="Arial"/>
          <w:sz w:val="22"/>
          <w:szCs w:val="22"/>
        </w:rPr>
        <w:t>cualquier</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autoridad</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competente</w:t>
      </w:r>
      <w:proofErr w:type="spellEnd"/>
      <w:r w:rsidRPr="00B6020B">
        <w:rPr>
          <w:rFonts w:ascii="ITC Avant Garde" w:hAnsi="ITC Avant Garde" w:cs="Arial"/>
          <w:sz w:val="22"/>
          <w:szCs w:val="22"/>
        </w:rPr>
        <w:t xml:space="preserve">, o bien, </w:t>
      </w:r>
      <w:proofErr w:type="spellStart"/>
      <w:r w:rsidRPr="00B6020B">
        <w:rPr>
          <w:rFonts w:ascii="ITC Avant Garde" w:hAnsi="ITC Avant Garde" w:cs="Arial"/>
          <w:sz w:val="22"/>
          <w:szCs w:val="22"/>
        </w:rPr>
        <w:t>en</w:t>
      </w:r>
      <w:proofErr w:type="spellEnd"/>
      <w:r w:rsidRPr="00B6020B">
        <w:rPr>
          <w:rFonts w:ascii="ITC Avant Garde" w:hAnsi="ITC Avant Garde" w:cs="Arial"/>
          <w:sz w:val="22"/>
          <w:szCs w:val="22"/>
        </w:rPr>
        <w:t xml:space="preserve"> el que </w:t>
      </w:r>
      <w:proofErr w:type="spellStart"/>
      <w:r w:rsidRPr="00B6020B">
        <w:rPr>
          <w:rFonts w:ascii="ITC Avant Garde" w:hAnsi="ITC Avant Garde" w:cs="Arial"/>
          <w:sz w:val="22"/>
          <w:szCs w:val="22"/>
        </w:rPr>
        <w:t>exista</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alguna</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controversia</w:t>
      </w:r>
      <w:proofErr w:type="spellEnd"/>
      <w:r w:rsidRPr="00B6020B">
        <w:rPr>
          <w:rFonts w:ascii="ITC Avant Garde" w:hAnsi="ITC Avant Garde" w:cs="Arial"/>
          <w:sz w:val="22"/>
          <w:szCs w:val="22"/>
        </w:rPr>
        <w:t xml:space="preserve"> o </w:t>
      </w:r>
      <w:proofErr w:type="spellStart"/>
      <w:r w:rsidRPr="00B6020B">
        <w:rPr>
          <w:rFonts w:ascii="ITC Avant Garde" w:hAnsi="ITC Avant Garde" w:cs="Arial"/>
          <w:sz w:val="22"/>
          <w:szCs w:val="22"/>
        </w:rPr>
        <w:t>desacuerdo</w:t>
      </w:r>
      <w:proofErr w:type="spellEnd"/>
      <w:r w:rsidRPr="00B6020B">
        <w:rPr>
          <w:rFonts w:ascii="ITC Avant Garde" w:hAnsi="ITC Avant Garde" w:cs="Arial"/>
          <w:sz w:val="22"/>
          <w:szCs w:val="22"/>
        </w:rPr>
        <w:t xml:space="preserve"> entre las </w:t>
      </w:r>
      <w:proofErr w:type="spellStart"/>
      <w:r w:rsidRPr="00B6020B">
        <w:rPr>
          <w:rFonts w:ascii="ITC Avant Garde" w:hAnsi="ITC Avant Garde" w:cs="Arial"/>
          <w:sz w:val="22"/>
          <w:szCs w:val="22"/>
        </w:rPr>
        <w:t>partes</w:t>
      </w:r>
      <w:proofErr w:type="spellEnd"/>
      <w:r w:rsidRPr="00B6020B">
        <w:rPr>
          <w:rFonts w:ascii="ITC Avant Garde" w:hAnsi="ITC Avant Garde" w:cs="Arial"/>
          <w:sz w:val="22"/>
          <w:szCs w:val="22"/>
        </w:rPr>
        <w:t xml:space="preserve"> para la </w:t>
      </w:r>
      <w:proofErr w:type="spellStart"/>
      <w:r w:rsidRPr="00B6020B">
        <w:rPr>
          <w:rFonts w:ascii="ITC Avant Garde" w:hAnsi="ITC Avant Garde" w:cs="Arial"/>
          <w:sz w:val="22"/>
          <w:szCs w:val="22"/>
        </w:rPr>
        <w:t>prestación</w:t>
      </w:r>
      <w:proofErr w:type="spellEnd"/>
      <w:r w:rsidRPr="00B6020B">
        <w:rPr>
          <w:rFonts w:ascii="ITC Avant Garde" w:hAnsi="ITC Avant Garde" w:cs="Arial"/>
          <w:sz w:val="22"/>
          <w:szCs w:val="22"/>
        </w:rPr>
        <w:t xml:space="preserve"> de los </w:t>
      </w:r>
      <w:proofErr w:type="spellStart"/>
      <w:r w:rsidRPr="00B6020B">
        <w:rPr>
          <w:rFonts w:ascii="ITC Avant Garde" w:hAnsi="ITC Avant Garde" w:cs="Arial"/>
          <w:sz w:val="22"/>
          <w:szCs w:val="22"/>
        </w:rPr>
        <w:t>servicios</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en</w:t>
      </w:r>
      <w:proofErr w:type="spellEnd"/>
      <w:r w:rsidRPr="00B6020B">
        <w:rPr>
          <w:rFonts w:ascii="ITC Avant Garde" w:hAnsi="ITC Avant Garde" w:cs="Arial"/>
          <w:sz w:val="22"/>
          <w:szCs w:val="22"/>
        </w:rPr>
        <w:t xml:space="preserve"> los que </w:t>
      </w:r>
      <w:r w:rsidR="00635DE7" w:rsidRPr="00B6020B">
        <w:rPr>
          <w:rFonts w:ascii="ITC Avant Garde" w:hAnsi="ITC Avant Garde" w:cs="Arial"/>
          <w:sz w:val="22"/>
          <w:szCs w:val="22"/>
        </w:rPr>
        <w:t xml:space="preserve">la </w:t>
      </w:r>
      <w:proofErr w:type="spellStart"/>
      <w:r w:rsidR="00635DE7" w:rsidRPr="00B6020B">
        <w:rPr>
          <w:rFonts w:ascii="ITC Avant Garde" w:hAnsi="ITC Avant Garde" w:cs="Arial"/>
          <w:sz w:val="22"/>
          <w:szCs w:val="22"/>
        </w:rPr>
        <w:t>autoridad</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identifique</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algún</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cobro</w:t>
      </w:r>
      <w:proofErr w:type="spellEnd"/>
      <w:r w:rsidRPr="00B6020B">
        <w:rPr>
          <w:rFonts w:ascii="ITC Avant Garde" w:hAnsi="ITC Avant Garde" w:cs="Arial"/>
          <w:sz w:val="22"/>
          <w:szCs w:val="22"/>
        </w:rPr>
        <w:t xml:space="preserve"> que </w:t>
      </w:r>
      <w:proofErr w:type="spellStart"/>
      <w:r w:rsidRPr="00B6020B">
        <w:rPr>
          <w:rFonts w:ascii="ITC Avant Garde" w:hAnsi="ITC Avant Garde" w:cs="Arial"/>
          <w:sz w:val="22"/>
          <w:szCs w:val="22"/>
        </w:rPr>
        <w:t>pueda</w:t>
      </w:r>
      <w:proofErr w:type="spellEnd"/>
      <w:r w:rsidRPr="00B6020B">
        <w:rPr>
          <w:rFonts w:ascii="ITC Avant Garde" w:hAnsi="ITC Avant Garde" w:cs="Arial"/>
          <w:sz w:val="22"/>
          <w:szCs w:val="22"/>
        </w:rPr>
        <w:t xml:space="preserve"> ser </w:t>
      </w:r>
      <w:proofErr w:type="spellStart"/>
      <w:r w:rsidRPr="00B6020B">
        <w:rPr>
          <w:rFonts w:ascii="ITC Avant Garde" w:hAnsi="ITC Avant Garde" w:cs="Arial"/>
          <w:sz w:val="22"/>
          <w:szCs w:val="22"/>
        </w:rPr>
        <w:t>considerado</w:t>
      </w:r>
      <w:proofErr w:type="spellEnd"/>
      <w:r w:rsidRPr="00B6020B">
        <w:rPr>
          <w:rFonts w:ascii="ITC Avant Garde" w:hAnsi="ITC Avant Garde" w:cs="Arial"/>
          <w:sz w:val="22"/>
          <w:szCs w:val="22"/>
        </w:rPr>
        <w:t xml:space="preserve"> </w:t>
      </w:r>
      <w:r w:rsidR="00790A66" w:rsidRPr="00B6020B">
        <w:rPr>
          <w:rFonts w:ascii="ITC Avant Garde" w:hAnsi="ITC Avant Garde" w:cs="Arial"/>
          <w:sz w:val="22"/>
          <w:szCs w:val="22"/>
        </w:rPr>
        <w:t xml:space="preserve">con tales </w:t>
      </w:r>
      <w:proofErr w:type="spellStart"/>
      <w:r w:rsidR="00790A66" w:rsidRPr="00B6020B">
        <w:rPr>
          <w:rFonts w:ascii="ITC Avant Garde" w:hAnsi="ITC Avant Garde" w:cs="Arial"/>
          <w:sz w:val="22"/>
          <w:szCs w:val="22"/>
        </w:rPr>
        <w:t>características</w:t>
      </w:r>
      <w:proofErr w:type="spellEnd"/>
      <w:r w:rsidRPr="00B6020B">
        <w:rPr>
          <w:rFonts w:ascii="ITC Avant Garde" w:hAnsi="ITC Avant Garde" w:cs="Arial"/>
          <w:sz w:val="22"/>
          <w:szCs w:val="22"/>
        </w:rPr>
        <w:t xml:space="preserve">. </w:t>
      </w:r>
    </w:p>
    <w:p w14:paraId="079F940E" w14:textId="3BBA83ED" w:rsidR="00182614" w:rsidRPr="00B6020B" w:rsidRDefault="00182614" w:rsidP="00A14C03">
      <w:pPr>
        <w:pStyle w:val="Default"/>
        <w:spacing w:after="100" w:afterAutospacing="1" w:line="276" w:lineRule="auto"/>
        <w:jc w:val="both"/>
        <w:rPr>
          <w:rFonts w:ascii="ITC Avant Garde" w:hAnsi="ITC Avant Garde" w:cs="Arial"/>
          <w:sz w:val="22"/>
          <w:szCs w:val="22"/>
        </w:rPr>
      </w:pPr>
      <w:proofErr w:type="spellStart"/>
      <w:r w:rsidRPr="00B6020B">
        <w:rPr>
          <w:rFonts w:ascii="ITC Avant Garde" w:hAnsi="ITC Avant Garde" w:cs="Arial"/>
          <w:sz w:val="22"/>
          <w:szCs w:val="22"/>
        </w:rPr>
        <w:t>En</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este</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contexto</w:t>
      </w:r>
      <w:proofErr w:type="spellEnd"/>
      <w:r w:rsidRPr="00B6020B">
        <w:rPr>
          <w:rFonts w:ascii="ITC Avant Garde" w:hAnsi="ITC Avant Garde" w:cs="Arial"/>
          <w:sz w:val="22"/>
          <w:szCs w:val="22"/>
        </w:rPr>
        <w:t xml:space="preserve">, la </w:t>
      </w:r>
      <w:proofErr w:type="spellStart"/>
      <w:r w:rsidRPr="00B6020B">
        <w:rPr>
          <w:rFonts w:ascii="ITC Avant Garde" w:hAnsi="ITC Avant Garde" w:cs="Arial"/>
          <w:sz w:val="22"/>
          <w:szCs w:val="22"/>
        </w:rPr>
        <w:t>Oferta</w:t>
      </w:r>
      <w:proofErr w:type="spellEnd"/>
      <w:r w:rsidRPr="00B6020B">
        <w:rPr>
          <w:rFonts w:ascii="ITC Avant Garde" w:hAnsi="ITC Avant Garde" w:cs="Arial"/>
          <w:sz w:val="22"/>
          <w:szCs w:val="22"/>
        </w:rPr>
        <w:t xml:space="preserve"> de </w:t>
      </w:r>
      <w:proofErr w:type="spellStart"/>
      <w:r w:rsidRPr="00B6020B">
        <w:rPr>
          <w:rFonts w:ascii="ITC Avant Garde" w:hAnsi="ITC Avant Garde" w:cs="Arial"/>
          <w:sz w:val="22"/>
          <w:szCs w:val="22"/>
        </w:rPr>
        <w:t>Referencia</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aborda</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aquellos</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cobros</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exclusivamente</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relacionados</w:t>
      </w:r>
      <w:proofErr w:type="spellEnd"/>
      <w:r w:rsidRPr="00B6020B">
        <w:rPr>
          <w:rFonts w:ascii="ITC Avant Garde" w:hAnsi="ITC Avant Garde" w:cs="Arial"/>
          <w:sz w:val="22"/>
          <w:szCs w:val="22"/>
        </w:rPr>
        <w:t xml:space="preserve"> con la provision de los </w:t>
      </w:r>
      <w:proofErr w:type="spellStart"/>
      <w:r w:rsidRPr="00B6020B">
        <w:rPr>
          <w:rFonts w:ascii="ITC Avant Garde" w:hAnsi="ITC Avant Garde" w:cs="Arial"/>
          <w:sz w:val="22"/>
          <w:szCs w:val="22"/>
        </w:rPr>
        <w:t>servicios</w:t>
      </w:r>
      <w:proofErr w:type="spellEnd"/>
      <w:r w:rsidRPr="00B6020B">
        <w:rPr>
          <w:rFonts w:ascii="ITC Avant Garde" w:hAnsi="ITC Avant Garde" w:cs="Arial"/>
          <w:sz w:val="22"/>
          <w:szCs w:val="22"/>
        </w:rPr>
        <w:t xml:space="preserve"> y </w:t>
      </w:r>
      <w:proofErr w:type="spellStart"/>
      <w:r w:rsidRPr="00B6020B">
        <w:rPr>
          <w:rFonts w:ascii="ITC Avant Garde" w:hAnsi="ITC Avant Garde" w:cs="Arial"/>
          <w:sz w:val="22"/>
          <w:szCs w:val="22"/>
        </w:rPr>
        <w:t>aquellos</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otros</w:t>
      </w:r>
      <w:proofErr w:type="spellEnd"/>
      <w:r w:rsidRPr="00B6020B">
        <w:rPr>
          <w:rFonts w:ascii="ITC Avant Garde" w:hAnsi="ITC Avant Garde" w:cs="Arial"/>
          <w:sz w:val="22"/>
          <w:szCs w:val="22"/>
        </w:rPr>
        <w:t xml:space="preserve"> que </w:t>
      </w:r>
      <w:proofErr w:type="spellStart"/>
      <w:r w:rsidRPr="00B6020B">
        <w:rPr>
          <w:rFonts w:ascii="ITC Avant Garde" w:hAnsi="ITC Avant Garde" w:cs="Arial"/>
          <w:sz w:val="22"/>
          <w:szCs w:val="22"/>
        </w:rPr>
        <w:t>convengan</w:t>
      </w:r>
      <w:proofErr w:type="spellEnd"/>
      <w:r w:rsidRPr="00B6020B">
        <w:rPr>
          <w:rFonts w:ascii="ITC Avant Garde" w:hAnsi="ITC Avant Garde" w:cs="Arial"/>
          <w:sz w:val="22"/>
          <w:szCs w:val="22"/>
        </w:rPr>
        <w:t xml:space="preserve"> los </w:t>
      </w:r>
      <w:proofErr w:type="spellStart"/>
      <w:r w:rsidRPr="00B6020B">
        <w:rPr>
          <w:rFonts w:ascii="ITC Avant Garde" w:hAnsi="ITC Avant Garde" w:cs="Arial"/>
          <w:sz w:val="22"/>
          <w:szCs w:val="22"/>
        </w:rPr>
        <w:t>propios</w:t>
      </w:r>
      <w:proofErr w:type="spellEnd"/>
      <w:r w:rsidRPr="00B6020B">
        <w:rPr>
          <w:rFonts w:ascii="ITC Avant Garde" w:hAnsi="ITC Avant Garde" w:cs="Arial"/>
          <w:sz w:val="22"/>
          <w:szCs w:val="22"/>
        </w:rPr>
        <w:t xml:space="preserve"> CS </w:t>
      </w:r>
      <w:proofErr w:type="spellStart"/>
      <w:r w:rsidRPr="00B6020B">
        <w:rPr>
          <w:rFonts w:ascii="ITC Avant Garde" w:hAnsi="ITC Avant Garde" w:cs="Arial"/>
          <w:sz w:val="22"/>
          <w:szCs w:val="22"/>
        </w:rPr>
        <w:t>ocupantes</w:t>
      </w:r>
      <w:proofErr w:type="spellEnd"/>
      <w:r w:rsidRPr="00B6020B">
        <w:rPr>
          <w:rFonts w:ascii="ITC Avant Garde" w:hAnsi="ITC Avant Garde" w:cs="Arial"/>
          <w:sz w:val="22"/>
          <w:szCs w:val="22"/>
        </w:rPr>
        <w:t xml:space="preserve"> del sitio y que </w:t>
      </w:r>
      <w:proofErr w:type="spellStart"/>
      <w:r w:rsidRPr="00B6020B">
        <w:rPr>
          <w:rFonts w:ascii="ITC Avant Garde" w:hAnsi="ITC Avant Garde" w:cs="Arial"/>
          <w:sz w:val="22"/>
          <w:szCs w:val="22"/>
        </w:rPr>
        <w:t>deben</w:t>
      </w:r>
      <w:proofErr w:type="spellEnd"/>
      <w:r w:rsidRPr="00B6020B">
        <w:rPr>
          <w:rFonts w:ascii="ITC Avant Garde" w:hAnsi="ITC Avant Garde" w:cs="Arial"/>
          <w:sz w:val="22"/>
          <w:szCs w:val="22"/>
        </w:rPr>
        <w:t xml:space="preserve"> ser </w:t>
      </w:r>
      <w:proofErr w:type="spellStart"/>
      <w:r w:rsidRPr="00B6020B">
        <w:rPr>
          <w:rFonts w:ascii="ITC Avant Garde" w:hAnsi="ITC Avant Garde" w:cs="Arial"/>
          <w:sz w:val="22"/>
          <w:szCs w:val="22"/>
        </w:rPr>
        <w:t>definidos</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en</w:t>
      </w:r>
      <w:proofErr w:type="spellEnd"/>
      <w:r w:rsidRPr="00B6020B">
        <w:rPr>
          <w:rFonts w:ascii="ITC Avant Garde" w:hAnsi="ITC Avant Garde" w:cs="Arial"/>
          <w:sz w:val="22"/>
          <w:szCs w:val="22"/>
        </w:rPr>
        <w:t xml:space="preserve"> el </w:t>
      </w:r>
      <w:proofErr w:type="spellStart"/>
      <w:r w:rsidRPr="00B6020B">
        <w:rPr>
          <w:rFonts w:ascii="ITC Avant Garde" w:hAnsi="ITC Avant Garde" w:cs="Arial"/>
          <w:sz w:val="22"/>
          <w:szCs w:val="22"/>
        </w:rPr>
        <w:t>Acuerdo</w:t>
      </w:r>
      <w:proofErr w:type="spellEnd"/>
      <w:r w:rsidRPr="00B6020B">
        <w:rPr>
          <w:rFonts w:ascii="ITC Avant Garde" w:hAnsi="ITC Avant Garde" w:cs="Arial"/>
          <w:sz w:val="22"/>
          <w:szCs w:val="22"/>
        </w:rPr>
        <w:t xml:space="preserve"> de Sitio </w:t>
      </w:r>
      <w:proofErr w:type="spellStart"/>
      <w:r w:rsidRPr="00B6020B">
        <w:rPr>
          <w:rFonts w:ascii="ITC Avant Garde" w:hAnsi="ITC Avant Garde" w:cs="Arial"/>
          <w:sz w:val="22"/>
          <w:szCs w:val="22"/>
        </w:rPr>
        <w:t>correspondiente</w:t>
      </w:r>
      <w:proofErr w:type="spellEnd"/>
      <w:r w:rsidRPr="00B6020B">
        <w:rPr>
          <w:rFonts w:ascii="ITC Avant Garde" w:hAnsi="ITC Avant Garde" w:cs="Arial"/>
          <w:sz w:val="22"/>
          <w:szCs w:val="22"/>
        </w:rPr>
        <w:t>.</w:t>
      </w:r>
    </w:p>
    <w:p w14:paraId="0FD91E9E" w14:textId="60EAED67" w:rsidR="00A14C03" w:rsidRPr="00B6020B" w:rsidRDefault="00635DE7" w:rsidP="00A14C03">
      <w:pPr>
        <w:pStyle w:val="Default"/>
        <w:spacing w:after="100" w:afterAutospacing="1" w:line="276" w:lineRule="auto"/>
        <w:jc w:val="both"/>
        <w:rPr>
          <w:rFonts w:ascii="ITC Avant Garde" w:hAnsi="ITC Avant Garde" w:cs="Arial"/>
          <w:sz w:val="22"/>
          <w:szCs w:val="22"/>
        </w:rPr>
      </w:pPr>
      <w:proofErr w:type="spellStart"/>
      <w:r w:rsidRPr="00B6020B">
        <w:rPr>
          <w:rFonts w:ascii="ITC Avant Garde" w:hAnsi="ITC Avant Garde" w:cs="Arial"/>
          <w:sz w:val="22"/>
          <w:szCs w:val="22"/>
        </w:rPr>
        <w:t>En</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consecuencia</w:t>
      </w:r>
      <w:proofErr w:type="spellEnd"/>
      <w:r w:rsidRPr="00B6020B">
        <w:rPr>
          <w:rFonts w:ascii="ITC Avant Garde" w:hAnsi="ITC Avant Garde" w:cs="Arial"/>
          <w:sz w:val="22"/>
          <w:szCs w:val="22"/>
        </w:rPr>
        <w:t>,</w:t>
      </w:r>
      <w:r w:rsidR="00A14C03" w:rsidRPr="00B6020B">
        <w:rPr>
          <w:rFonts w:ascii="ITC Avant Garde" w:hAnsi="ITC Avant Garde" w:cs="Arial"/>
          <w:sz w:val="22"/>
          <w:szCs w:val="22"/>
        </w:rPr>
        <w:t xml:space="preserve"> la UPR </w:t>
      </w:r>
      <w:proofErr w:type="spellStart"/>
      <w:r w:rsidR="00A14C03" w:rsidRPr="00B6020B">
        <w:rPr>
          <w:rFonts w:ascii="ITC Avant Garde" w:hAnsi="ITC Avant Garde" w:cs="Arial"/>
          <w:sz w:val="22"/>
          <w:szCs w:val="22"/>
        </w:rPr>
        <w:t>considera</w:t>
      </w:r>
      <w:proofErr w:type="spellEnd"/>
      <w:r w:rsidR="00A14C03" w:rsidRPr="00B6020B">
        <w:rPr>
          <w:rFonts w:ascii="ITC Avant Garde" w:hAnsi="ITC Avant Garde" w:cs="Arial"/>
          <w:sz w:val="22"/>
          <w:szCs w:val="22"/>
        </w:rPr>
        <w:t xml:space="preserve"> que la </w:t>
      </w:r>
      <w:proofErr w:type="spellStart"/>
      <w:r w:rsidR="00A14C03" w:rsidRPr="00B6020B">
        <w:rPr>
          <w:rFonts w:ascii="ITC Avant Garde" w:hAnsi="ITC Avant Garde" w:cs="Arial"/>
          <w:sz w:val="22"/>
          <w:szCs w:val="22"/>
        </w:rPr>
        <w:t>Oferta</w:t>
      </w:r>
      <w:proofErr w:type="spellEnd"/>
      <w:r w:rsidR="00A14C03" w:rsidRPr="00B6020B">
        <w:rPr>
          <w:rFonts w:ascii="ITC Avant Garde" w:hAnsi="ITC Avant Garde" w:cs="Arial"/>
          <w:sz w:val="22"/>
          <w:szCs w:val="22"/>
        </w:rPr>
        <w:t xml:space="preserve"> de Referencia aborda las </w:t>
      </w:r>
      <w:proofErr w:type="spellStart"/>
      <w:r w:rsidR="00A14C03" w:rsidRPr="00B6020B">
        <w:rPr>
          <w:rFonts w:ascii="ITC Avant Garde" w:hAnsi="ITC Avant Garde" w:cs="Arial"/>
          <w:sz w:val="22"/>
          <w:szCs w:val="22"/>
        </w:rPr>
        <w:t>responsabilidades</w:t>
      </w:r>
      <w:proofErr w:type="spellEnd"/>
      <w:r w:rsidR="00A14C03" w:rsidRPr="00B6020B">
        <w:rPr>
          <w:rFonts w:ascii="ITC Avant Garde" w:hAnsi="ITC Avant Garde" w:cs="Arial"/>
          <w:sz w:val="22"/>
          <w:szCs w:val="22"/>
        </w:rPr>
        <w:t xml:space="preserve"> de las </w:t>
      </w:r>
      <w:proofErr w:type="spellStart"/>
      <w:r w:rsidR="00A14C03" w:rsidRPr="00B6020B">
        <w:rPr>
          <w:rFonts w:ascii="ITC Avant Garde" w:hAnsi="ITC Avant Garde" w:cs="Arial"/>
          <w:sz w:val="22"/>
          <w:szCs w:val="22"/>
        </w:rPr>
        <w:t>partes</w:t>
      </w:r>
      <w:proofErr w:type="spellEnd"/>
      <w:r w:rsidR="00A14C03" w:rsidRPr="00B6020B">
        <w:rPr>
          <w:rFonts w:ascii="ITC Avant Garde" w:hAnsi="ITC Avant Garde" w:cs="Arial"/>
          <w:sz w:val="22"/>
          <w:szCs w:val="22"/>
        </w:rPr>
        <w:t xml:space="preserve"> </w:t>
      </w:r>
      <w:proofErr w:type="spellStart"/>
      <w:r w:rsidR="00A14C03" w:rsidRPr="00B6020B">
        <w:rPr>
          <w:rFonts w:ascii="ITC Avant Garde" w:hAnsi="ITC Avant Garde" w:cs="Arial"/>
          <w:sz w:val="22"/>
          <w:szCs w:val="22"/>
        </w:rPr>
        <w:t>en</w:t>
      </w:r>
      <w:proofErr w:type="spellEnd"/>
      <w:r w:rsidR="00A14C03" w:rsidRPr="00B6020B">
        <w:rPr>
          <w:rFonts w:ascii="ITC Avant Garde" w:hAnsi="ITC Avant Garde" w:cs="Arial"/>
          <w:sz w:val="22"/>
          <w:szCs w:val="22"/>
        </w:rPr>
        <w:t xml:space="preserve"> </w:t>
      </w:r>
      <w:proofErr w:type="spellStart"/>
      <w:r w:rsidR="00A14C03" w:rsidRPr="00B6020B">
        <w:rPr>
          <w:rFonts w:ascii="ITC Avant Garde" w:hAnsi="ITC Avant Garde" w:cs="Arial"/>
          <w:sz w:val="22"/>
          <w:szCs w:val="22"/>
        </w:rPr>
        <w:t>cuanto</w:t>
      </w:r>
      <w:proofErr w:type="spellEnd"/>
      <w:r w:rsidR="00A14C03" w:rsidRPr="00B6020B">
        <w:rPr>
          <w:rFonts w:ascii="ITC Avant Garde" w:hAnsi="ITC Avant Garde" w:cs="Arial"/>
          <w:sz w:val="22"/>
          <w:szCs w:val="22"/>
        </w:rPr>
        <w:t xml:space="preserve"> a los </w:t>
      </w:r>
      <w:proofErr w:type="spellStart"/>
      <w:r w:rsidR="00A14C03" w:rsidRPr="00B6020B">
        <w:rPr>
          <w:rFonts w:ascii="ITC Avant Garde" w:hAnsi="ITC Avant Garde" w:cs="Arial"/>
          <w:sz w:val="22"/>
          <w:szCs w:val="22"/>
        </w:rPr>
        <w:t>costos</w:t>
      </w:r>
      <w:proofErr w:type="spellEnd"/>
      <w:r w:rsidR="00A14C03" w:rsidRPr="00B6020B">
        <w:rPr>
          <w:rFonts w:ascii="ITC Avant Garde" w:hAnsi="ITC Avant Garde" w:cs="Arial"/>
          <w:sz w:val="22"/>
          <w:szCs w:val="22"/>
        </w:rPr>
        <w:t xml:space="preserve"> </w:t>
      </w:r>
      <w:proofErr w:type="spellStart"/>
      <w:r w:rsidR="00A14C03" w:rsidRPr="00B6020B">
        <w:rPr>
          <w:rFonts w:ascii="ITC Avant Garde" w:hAnsi="ITC Avant Garde" w:cs="Arial"/>
          <w:sz w:val="22"/>
          <w:szCs w:val="22"/>
        </w:rPr>
        <w:t>asociados</w:t>
      </w:r>
      <w:proofErr w:type="spellEnd"/>
      <w:r w:rsidR="00A14C03" w:rsidRPr="00B6020B">
        <w:rPr>
          <w:rFonts w:ascii="ITC Avant Garde" w:hAnsi="ITC Avant Garde" w:cs="Arial"/>
          <w:sz w:val="22"/>
          <w:szCs w:val="22"/>
        </w:rPr>
        <w:t xml:space="preserve"> al </w:t>
      </w:r>
      <w:proofErr w:type="spellStart"/>
      <w:r w:rsidR="00A14C03" w:rsidRPr="00B6020B">
        <w:rPr>
          <w:rFonts w:ascii="ITC Avant Garde" w:hAnsi="ITC Avant Garde" w:cs="Arial"/>
          <w:sz w:val="22"/>
          <w:szCs w:val="22"/>
        </w:rPr>
        <w:t>uso</w:t>
      </w:r>
      <w:proofErr w:type="spellEnd"/>
      <w:r w:rsidR="00A14C03" w:rsidRPr="00B6020B">
        <w:rPr>
          <w:rFonts w:ascii="ITC Avant Garde" w:hAnsi="ITC Avant Garde" w:cs="Arial"/>
          <w:sz w:val="22"/>
          <w:szCs w:val="22"/>
        </w:rPr>
        <w:t xml:space="preserve"> de la </w:t>
      </w:r>
      <w:proofErr w:type="spellStart"/>
      <w:r w:rsidR="00A14C03" w:rsidRPr="00B6020B">
        <w:rPr>
          <w:rFonts w:ascii="ITC Avant Garde" w:hAnsi="ITC Avant Garde" w:cs="Arial"/>
          <w:sz w:val="22"/>
          <w:szCs w:val="22"/>
        </w:rPr>
        <w:t>infraestructura</w:t>
      </w:r>
      <w:proofErr w:type="spellEnd"/>
      <w:r w:rsidR="00A14C03" w:rsidRPr="00B6020B">
        <w:rPr>
          <w:rFonts w:ascii="ITC Avant Garde" w:hAnsi="ITC Avant Garde" w:cs="Arial"/>
          <w:sz w:val="22"/>
          <w:szCs w:val="22"/>
        </w:rPr>
        <w:t xml:space="preserve">, sin </w:t>
      </w:r>
      <w:proofErr w:type="spellStart"/>
      <w:r w:rsidR="00725C64" w:rsidRPr="00B6020B">
        <w:rPr>
          <w:rFonts w:ascii="ITC Avant Garde" w:hAnsi="ITC Avant Garde" w:cs="Arial"/>
          <w:sz w:val="22"/>
          <w:szCs w:val="22"/>
        </w:rPr>
        <w:t>determinar</w:t>
      </w:r>
      <w:proofErr w:type="spellEnd"/>
      <w:r w:rsidR="00725C64" w:rsidRPr="00B6020B">
        <w:rPr>
          <w:rFonts w:ascii="ITC Avant Garde" w:hAnsi="ITC Avant Garde" w:cs="Arial"/>
          <w:sz w:val="22"/>
          <w:szCs w:val="22"/>
        </w:rPr>
        <w:t xml:space="preserve"> </w:t>
      </w:r>
      <w:proofErr w:type="spellStart"/>
      <w:r w:rsidR="00725C64" w:rsidRPr="00B6020B">
        <w:rPr>
          <w:rFonts w:ascii="ITC Avant Garde" w:hAnsi="ITC Avant Garde" w:cs="Arial"/>
          <w:sz w:val="22"/>
          <w:szCs w:val="22"/>
        </w:rPr>
        <w:t>si</w:t>
      </w:r>
      <w:proofErr w:type="spellEnd"/>
      <w:r w:rsidR="00725C64" w:rsidRPr="00B6020B">
        <w:rPr>
          <w:rFonts w:ascii="ITC Avant Garde" w:hAnsi="ITC Avant Garde" w:cs="Arial"/>
          <w:sz w:val="22"/>
          <w:szCs w:val="22"/>
        </w:rPr>
        <w:t xml:space="preserve"> se </w:t>
      </w:r>
      <w:proofErr w:type="spellStart"/>
      <w:r w:rsidR="00725C64" w:rsidRPr="00B6020B">
        <w:rPr>
          <w:rFonts w:ascii="ITC Avant Garde" w:hAnsi="ITC Avant Garde" w:cs="Arial"/>
          <w:sz w:val="22"/>
          <w:szCs w:val="22"/>
        </w:rPr>
        <w:t>trata</w:t>
      </w:r>
      <w:proofErr w:type="spellEnd"/>
      <w:r w:rsidR="00725C64" w:rsidRPr="00B6020B">
        <w:rPr>
          <w:rFonts w:ascii="ITC Avant Garde" w:hAnsi="ITC Avant Garde" w:cs="Arial"/>
          <w:sz w:val="22"/>
          <w:szCs w:val="22"/>
        </w:rPr>
        <w:t xml:space="preserve"> o no de </w:t>
      </w:r>
      <w:proofErr w:type="spellStart"/>
      <w:r w:rsidRPr="00B6020B">
        <w:rPr>
          <w:rFonts w:ascii="ITC Avant Garde" w:hAnsi="ITC Avant Garde" w:cs="Arial"/>
          <w:sz w:val="22"/>
          <w:szCs w:val="22"/>
        </w:rPr>
        <w:t>pagos</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ilícitos</w:t>
      </w:r>
      <w:proofErr w:type="spellEnd"/>
      <w:r w:rsidR="00A14C03" w:rsidRPr="00B6020B">
        <w:rPr>
          <w:rFonts w:ascii="ITC Avant Garde" w:hAnsi="ITC Avant Garde" w:cs="Arial"/>
          <w:sz w:val="22"/>
          <w:szCs w:val="22"/>
        </w:rPr>
        <w:t>.</w:t>
      </w:r>
    </w:p>
    <w:p w14:paraId="17784E4B" w14:textId="6CCCBA98" w:rsidR="00A14C03" w:rsidRPr="00B6020B" w:rsidRDefault="00A14C03" w:rsidP="00A14C03">
      <w:pPr>
        <w:pStyle w:val="Default"/>
        <w:spacing w:after="100" w:afterAutospacing="1" w:line="276" w:lineRule="auto"/>
        <w:jc w:val="both"/>
        <w:rPr>
          <w:rFonts w:ascii="ITC Avant Garde" w:hAnsi="ITC Avant Garde" w:cs="Arial"/>
          <w:sz w:val="22"/>
          <w:szCs w:val="22"/>
        </w:rPr>
      </w:pPr>
      <w:proofErr w:type="spellStart"/>
      <w:r w:rsidRPr="00B6020B">
        <w:rPr>
          <w:rFonts w:ascii="ITC Avant Garde" w:hAnsi="ITC Avant Garde" w:cs="Arial"/>
          <w:sz w:val="22"/>
          <w:szCs w:val="22"/>
        </w:rPr>
        <w:t>En</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este</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sentido</w:t>
      </w:r>
      <w:proofErr w:type="spellEnd"/>
      <w:r w:rsidRPr="00B6020B">
        <w:rPr>
          <w:rFonts w:ascii="ITC Avant Garde" w:hAnsi="ITC Avant Garde" w:cs="Arial"/>
          <w:sz w:val="22"/>
          <w:szCs w:val="22"/>
        </w:rPr>
        <w:t xml:space="preserve">, la </w:t>
      </w:r>
      <w:proofErr w:type="spellStart"/>
      <w:r w:rsidRPr="00B6020B">
        <w:rPr>
          <w:rFonts w:ascii="ITC Avant Garde" w:hAnsi="ITC Avant Garde" w:cs="Arial"/>
          <w:sz w:val="22"/>
          <w:szCs w:val="22"/>
        </w:rPr>
        <w:t>redacción</w:t>
      </w:r>
      <w:proofErr w:type="spellEnd"/>
      <w:r w:rsidRPr="00B6020B">
        <w:rPr>
          <w:rFonts w:ascii="ITC Avant Garde" w:hAnsi="ITC Avant Garde" w:cs="Arial"/>
          <w:sz w:val="22"/>
          <w:szCs w:val="22"/>
        </w:rPr>
        <w:t xml:space="preserve"> de la </w:t>
      </w:r>
      <w:proofErr w:type="spellStart"/>
      <w:r w:rsidRPr="00B6020B">
        <w:rPr>
          <w:rFonts w:ascii="ITC Avant Garde" w:hAnsi="ITC Avant Garde" w:cs="Arial"/>
          <w:sz w:val="22"/>
          <w:szCs w:val="22"/>
        </w:rPr>
        <w:t>Cláusula</w:t>
      </w:r>
      <w:proofErr w:type="spellEnd"/>
      <w:r w:rsidRPr="00B6020B">
        <w:rPr>
          <w:rFonts w:ascii="ITC Avant Garde" w:hAnsi="ITC Avant Garde" w:cs="Arial"/>
          <w:sz w:val="22"/>
          <w:szCs w:val="22"/>
        </w:rPr>
        <w:t xml:space="preserve"> CUARTA </w:t>
      </w:r>
      <w:r w:rsidR="00CE43D2" w:rsidRPr="00B6020B">
        <w:rPr>
          <w:rFonts w:ascii="ITC Avant Garde" w:hAnsi="ITC Avant Garde" w:cs="Arial"/>
          <w:sz w:val="22"/>
          <w:szCs w:val="22"/>
        </w:rPr>
        <w:t xml:space="preserve">del Anexo “IV” – </w:t>
      </w:r>
      <w:proofErr w:type="spellStart"/>
      <w:r w:rsidR="00CE43D2" w:rsidRPr="00B6020B">
        <w:rPr>
          <w:rFonts w:ascii="ITC Avant Garde" w:hAnsi="ITC Avant Garde" w:cs="Arial"/>
          <w:sz w:val="22"/>
          <w:szCs w:val="22"/>
        </w:rPr>
        <w:t>Modelo</w:t>
      </w:r>
      <w:proofErr w:type="spellEnd"/>
      <w:r w:rsidR="00CE43D2" w:rsidRPr="00B6020B">
        <w:rPr>
          <w:rFonts w:ascii="ITC Avant Garde" w:hAnsi="ITC Avant Garde" w:cs="Arial"/>
          <w:sz w:val="22"/>
          <w:szCs w:val="22"/>
        </w:rPr>
        <w:t xml:space="preserve"> de </w:t>
      </w:r>
      <w:proofErr w:type="spellStart"/>
      <w:r w:rsidR="00CE43D2" w:rsidRPr="00B6020B">
        <w:rPr>
          <w:rFonts w:ascii="ITC Avant Garde" w:hAnsi="ITC Avant Garde" w:cs="Arial"/>
          <w:sz w:val="22"/>
          <w:szCs w:val="22"/>
        </w:rPr>
        <w:t>Convenio</w:t>
      </w:r>
      <w:proofErr w:type="spellEnd"/>
      <w:r w:rsidR="00CE43D2" w:rsidRPr="00B6020B">
        <w:rPr>
          <w:rFonts w:ascii="ITC Avant Garde" w:hAnsi="ITC Avant Garde" w:cs="Arial"/>
          <w:sz w:val="22"/>
          <w:szCs w:val="22"/>
        </w:rPr>
        <w:t xml:space="preserve"> </w:t>
      </w:r>
      <w:proofErr w:type="spellStart"/>
      <w:r w:rsidR="00CE43D2" w:rsidRPr="00B6020B">
        <w:rPr>
          <w:rFonts w:ascii="ITC Avant Garde" w:hAnsi="ITC Avant Garde" w:cs="Arial"/>
          <w:sz w:val="22"/>
          <w:szCs w:val="22"/>
        </w:rPr>
        <w:t>establece</w:t>
      </w:r>
      <w:proofErr w:type="spellEnd"/>
      <w:r w:rsidR="00CE43D2" w:rsidRPr="00B6020B">
        <w:rPr>
          <w:rFonts w:ascii="ITC Avant Garde" w:hAnsi="ITC Avant Garde" w:cs="Arial"/>
          <w:sz w:val="22"/>
          <w:szCs w:val="22"/>
        </w:rPr>
        <w:t xml:space="preserve"> las </w:t>
      </w:r>
      <w:proofErr w:type="spellStart"/>
      <w:r w:rsidR="00CE43D2" w:rsidRPr="00B6020B">
        <w:rPr>
          <w:rFonts w:ascii="ITC Avant Garde" w:hAnsi="ITC Avant Garde" w:cs="Arial"/>
          <w:sz w:val="22"/>
          <w:szCs w:val="22"/>
        </w:rPr>
        <w:t>características</w:t>
      </w:r>
      <w:proofErr w:type="spellEnd"/>
      <w:r w:rsidR="00CE43D2" w:rsidRPr="00B6020B">
        <w:rPr>
          <w:rFonts w:ascii="ITC Avant Garde" w:hAnsi="ITC Avant Garde" w:cs="Arial"/>
          <w:sz w:val="22"/>
          <w:szCs w:val="22"/>
        </w:rPr>
        <w:t xml:space="preserve"> de las </w:t>
      </w:r>
      <w:proofErr w:type="spellStart"/>
      <w:r w:rsidR="00CE43D2" w:rsidRPr="00B6020B">
        <w:rPr>
          <w:rFonts w:ascii="ITC Avant Garde" w:hAnsi="ITC Avant Garde" w:cs="Arial"/>
          <w:sz w:val="22"/>
          <w:szCs w:val="22"/>
        </w:rPr>
        <w:t>contraprestaciones</w:t>
      </w:r>
      <w:proofErr w:type="spellEnd"/>
      <w:r w:rsidR="00CE43D2" w:rsidRPr="00B6020B">
        <w:rPr>
          <w:rFonts w:ascii="ITC Avant Garde" w:hAnsi="ITC Avant Garde" w:cs="Arial"/>
          <w:sz w:val="22"/>
          <w:szCs w:val="22"/>
        </w:rPr>
        <w:t xml:space="preserve"> </w:t>
      </w:r>
      <w:proofErr w:type="spellStart"/>
      <w:r w:rsidR="00CE43D2" w:rsidRPr="00B6020B">
        <w:rPr>
          <w:rFonts w:ascii="ITC Avant Garde" w:hAnsi="ITC Avant Garde" w:cs="Arial"/>
          <w:sz w:val="22"/>
          <w:szCs w:val="22"/>
        </w:rPr>
        <w:t>vigencia</w:t>
      </w:r>
      <w:proofErr w:type="spellEnd"/>
      <w:r w:rsidR="00CE43D2" w:rsidRPr="00B6020B">
        <w:rPr>
          <w:rFonts w:ascii="ITC Avant Garde" w:hAnsi="ITC Avant Garde" w:cs="Arial"/>
          <w:sz w:val="22"/>
          <w:szCs w:val="22"/>
        </w:rPr>
        <w:t xml:space="preserve">, no </w:t>
      </w:r>
      <w:proofErr w:type="spellStart"/>
      <w:r w:rsidR="00CE43D2" w:rsidRPr="00B6020B">
        <w:rPr>
          <w:rFonts w:ascii="ITC Avant Garde" w:hAnsi="ITC Avant Garde" w:cs="Arial"/>
          <w:sz w:val="22"/>
          <w:szCs w:val="22"/>
        </w:rPr>
        <w:t>compensación</w:t>
      </w:r>
      <w:proofErr w:type="spellEnd"/>
      <w:r w:rsidR="00CE43D2" w:rsidRPr="00B6020B">
        <w:rPr>
          <w:rFonts w:ascii="ITC Avant Garde" w:hAnsi="ITC Avant Garde" w:cs="Arial"/>
          <w:sz w:val="22"/>
          <w:szCs w:val="22"/>
        </w:rPr>
        <w:t xml:space="preserve">, </w:t>
      </w:r>
      <w:proofErr w:type="spellStart"/>
      <w:r w:rsidR="00CE43D2" w:rsidRPr="00B6020B">
        <w:rPr>
          <w:rFonts w:ascii="ITC Avant Garde" w:hAnsi="ITC Avant Garde" w:cs="Arial"/>
          <w:sz w:val="22"/>
          <w:szCs w:val="22"/>
        </w:rPr>
        <w:t>condiciones</w:t>
      </w:r>
      <w:proofErr w:type="spellEnd"/>
      <w:r w:rsidR="00CE43D2" w:rsidRPr="00B6020B">
        <w:rPr>
          <w:rFonts w:ascii="ITC Avant Garde" w:hAnsi="ITC Avant Garde" w:cs="Arial"/>
          <w:sz w:val="22"/>
          <w:szCs w:val="22"/>
        </w:rPr>
        <w:t xml:space="preserve"> de </w:t>
      </w:r>
      <w:proofErr w:type="spellStart"/>
      <w:r w:rsidR="00CE43D2" w:rsidRPr="00B6020B">
        <w:rPr>
          <w:rFonts w:ascii="ITC Avant Garde" w:hAnsi="ITC Avant Garde" w:cs="Arial"/>
          <w:sz w:val="22"/>
          <w:szCs w:val="22"/>
        </w:rPr>
        <w:t>pago</w:t>
      </w:r>
      <w:proofErr w:type="spellEnd"/>
      <w:r w:rsidR="00CE43D2" w:rsidRPr="00B6020B">
        <w:rPr>
          <w:rFonts w:ascii="ITC Avant Garde" w:hAnsi="ITC Avant Garde" w:cs="Arial"/>
          <w:sz w:val="22"/>
          <w:szCs w:val="22"/>
        </w:rPr>
        <w:t xml:space="preserve">, </w:t>
      </w:r>
      <w:proofErr w:type="spellStart"/>
      <w:r w:rsidR="00CE43D2" w:rsidRPr="00B6020B">
        <w:rPr>
          <w:rFonts w:ascii="ITC Avant Garde" w:hAnsi="ITC Avant Garde" w:cs="Arial"/>
          <w:sz w:val="22"/>
          <w:szCs w:val="22"/>
        </w:rPr>
        <w:t>facturación</w:t>
      </w:r>
      <w:proofErr w:type="spellEnd"/>
      <w:r w:rsidR="00CE43D2" w:rsidRPr="00B6020B">
        <w:rPr>
          <w:rFonts w:ascii="ITC Avant Garde" w:hAnsi="ITC Avant Garde" w:cs="Arial"/>
          <w:sz w:val="22"/>
          <w:szCs w:val="22"/>
        </w:rPr>
        <w:t xml:space="preserve">, entre </w:t>
      </w:r>
      <w:proofErr w:type="spellStart"/>
      <w:r w:rsidR="00CE43D2" w:rsidRPr="00B6020B">
        <w:rPr>
          <w:rFonts w:ascii="ITC Avant Garde" w:hAnsi="ITC Avant Garde" w:cs="Arial"/>
          <w:sz w:val="22"/>
          <w:szCs w:val="22"/>
        </w:rPr>
        <w:t>otras</w:t>
      </w:r>
      <w:proofErr w:type="spellEnd"/>
      <w:r w:rsidR="00CE43D2" w:rsidRPr="00B6020B">
        <w:rPr>
          <w:rFonts w:ascii="ITC Avant Garde" w:hAnsi="ITC Avant Garde" w:cs="Arial"/>
          <w:sz w:val="22"/>
          <w:szCs w:val="22"/>
        </w:rPr>
        <w:t>,</w:t>
      </w:r>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derivados</w:t>
      </w:r>
      <w:proofErr w:type="spellEnd"/>
      <w:r w:rsidRPr="00B6020B">
        <w:rPr>
          <w:rFonts w:ascii="ITC Avant Garde" w:hAnsi="ITC Avant Garde" w:cs="Arial"/>
          <w:sz w:val="22"/>
          <w:szCs w:val="22"/>
        </w:rPr>
        <w:t xml:space="preserve"> del </w:t>
      </w:r>
      <w:proofErr w:type="spellStart"/>
      <w:r w:rsidRPr="00B6020B">
        <w:rPr>
          <w:rFonts w:ascii="ITC Avant Garde" w:hAnsi="ITC Avant Garde" w:cs="Arial"/>
          <w:sz w:val="22"/>
          <w:szCs w:val="22"/>
        </w:rPr>
        <w:t>uso</w:t>
      </w:r>
      <w:proofErr w:type="spellEnd"/>
      <w:r w:rsidRPr="00B6020B">
        <w:rPr>
          <w:rFonts w:ascii="ITC Avant Garde" w:hAnsi="ITC Avant Garde" w:cs="Arial"/>
          <w:sz w:val="22"/>
          <w:szCs w:val="22"/>
        </w:rPr>
        <w:t xml:space="preserve"> de la </w:t>
      </w:r>
      <w:proofErr w:type="spellStart"/>
      <w:r w:rsidRPr="00B6020B">
        <w:rPr>
          <w:rFonts w:ascii="ITC Avant Garde" w:hAnsi="ITC Avant Garde" w:cs="Arial"/>
          <w:sz w:val="22"/>
          <w:szCs w:val="22"/>
        </w:rPr>
        <w:t>infraestructura</w:t>
      </w:r>
      <w:proofErr w:type="spellEnd"/>
      <w:r w:rsidR="00CE43D2" w:rsidRPr="00B6020B">
        <w:rPr>
          <w:rFonts w:ascii="ITC Avant Garde" w:hAnsi="ITC Avant Garde" w:cs="Arial"/>
          <w:sz w:val="22"/>
          <w:szCs w:val="22"/>
        </w:rPr>
        <w:t xml:space="preserve"> </w:t>
      </w:r>
      <w:r w:rsidRPr="00B6020B">
        <w:rPr>
          <w:rFonts w:ascii="ITC Avant Garde" w:hAnsi="ITC Avant Garde" w:cs="Arial"/>
          <w:sz w:val="22"/>
          <w:szCs w:val="22"/>
        </w:rPr>
        <w:t xml:space="preserve">y </w:t>
      </w:r>
      <w:proofErr w:type="spellStart"/>
      <w:r w:rsidRPr="00B6020B">
        <w:rPr>
          <w:rFonts w:ascii="ITC Avant Garde" w:hAnsi="ITC Avant Garde" w:cs="Arial"/>
          <w:sz w:val="22"/>
          <w:szCs w:val="22"/>
        </w:rPr>
        <w:t>necesarios</w:t>
      </w:r>
      <w:proofErr w:type="spellEnd"/>
      <w:r w:rsidRPr="00B6020B">
        <w:rPr>
          <w:rFonts w:ascii="ITC Avant Garde" w:hAnsi="ITC Avant Garde" w:cs="Arial"/>
          <w:sz w:val="22"/>
          <w:szCs w:val="22"/>
        </w:rPr>
        <w:t xml:space="preserve"> para la </w:t>
      </w:r>
      <w:proofErr w:type="spellStart"/>
      <w:r w:rsidRPr="00B6020B">
        <w:rPr>
          <w:rFonts w:ascii="ITC Avant Garde" w:hAnsi="ITC Avant Garde" w:cs="Arial"/>
          <w:sz w:val="22"/>
          <w:szCs w:val="22"/>
        </w:rPr>
        <w:t>operación</w:t>
      </w:r>
      <w:proofErr w:type="spellEnd"/>
      <w:r w:rsidRPr="00B6020B">
        <w:rPr>
          <w:rFonts w:ascii="ITC Avant Garde" w:hAnsi="ITC Avant Garde" w:cs="Arial"/>
          <w:sz w:val="22"/>
          <w:szCs w:val="22"/>
        </w:rPr>
        <w:t xml:space="preserve"> del sitio.</w:t>
      </w:r>
    </w:p>
    <w:p w14:paraId="7D60643D" w14:textId="77777777" w:rsidR="00A14C03" w:rsidRPr="00B6020B" w:rsidRDefault="00750110" w:rsidP="00A14C03">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En consecuencia, l</w:t>
      </w:r>
      <w:r w:rsidR="00A14C03" w:rsidRPr="00B6020B">
        <w:rPr>
          <w:rFonts w:ascii="ITC Avant Garde" w:hAnsi="ITC Avant Garde" w:cs="Arial"/>
          <w:sz w:val="22"/>
          <w:szCs w:val="22"/>
        </w:rPr>
        <w:t xml:space="preserve">a UPR considera que la naturaleza de los pagos mencionados en la Cláusula CUARTA </w:t>
      </w:r>
      <w:r w:rsidRPr="00B6020B">
        <w:rPr>
          <w:rFonts w:ascii="ITC Avant Garde" w:hAnsi="ITC Avant Garde" w:cs="Arial"/>
          <w:sz w:val="22"/>
          <w:szCs w:val="22"/>
        </w:rPr>
        <w:t>refiere aspectos expresamente lícitos</w:t>
      </w:r>
      <w:r w:rsidR="00A14C03" w:rsidRPr="00B6020B">
        <w:rPr>
          <w:rFonts w:ascii="ITC Avant Garde" w:hAnsi="ITC Avant Garde" w:cs="Arial"/>
          <w:sz w:val="22"/>
          <w:szCs w:val="22"/>
        </w:rPr>
        <w:t xml:space="preserve"> inherentes a la operación de la infraestructura pasiva y en conformidad con las disposiciones legales aplicables. </w:t>
      </w:r>
    </w:p>
    <w:p w14:paraId="75F285EC" w14:textId="051F3B01" w:rsidR="00CE3394" w:rsidRPr="00B6020B" w:rsidRDefault="00EE2974" w:rsidP="007F6F00">
      <w:pPr>
        <w:pStyle w:val="Prrafodelista"/>
        <w:numPr>
          <w:ilvl w:val="1"/>
          <w:numId w:val="28"/>
        </w:numPr>
        <w:rPr>
          <w:rFonts w:ascii="ITC Avant Garde" w:eastAsiaTheme="minorHAnsi" w:hAnsi="ITC Avant Garde" w:cs="Arial"/>
          <w:b/>
          <w:color w:val="000000"/>
          <w:lang w:val="es-MX"/>
        </w:rPr>
      </w:pPr>
      <w:r w:rsidRPr="00B6020B">
        <w:rPr>
          <w:rFonts w:ascii="ITC Avant Garde" w:eastAsiaTheme="minorHAnsi" w:hAnsi="ITC Avant Garde" w:cs="Arial"/>
          <w:b/>
          <w:color w:val="000000"/>
          <w:lang w:val="es-MX"/>
        </w:rPr>
        <w:t>CLÁUSULA QUINTA. RESPONSABILIDADES DE LAS PARTES, n</w:t>
      </w:r>
      <w:r w:rsidR="007F6F00" w:rsidRPr="00B6020B">
        <w:rPr>
          <w:rFonts w:ascii="ITC Avant Garde" w:eastAsiaTheme="minorHAnsi" w:hAnsi="ITC Avant Garde" w:cs="Arial"/>
          <w:b/>
          <w:color w:val="000000"/>
          <w:lang w:val="es-MX"/>
        </w:rPr>
        <w:t xml:space="preserve">umeral </w:t>
      </w:r>
      <w:r w:rsidR="007F6F00" w:rsidRPr="00B6020B">
        <w:rPr>
          <w:rFonts w:ascii="ITC Avant Garde" w:eastAsiaTheme="minorHAnsi" w:hAnsi="ITC Avant Garde" w:cs="Arial"/>
          <w:b/>
          <w:i/>
          <w:color w:val="000000"/>
          <w:lang w:val="es-MX"/>
        </w:rPr>
        <w:t>“5.3</w:t>
      </w:r>
      <w:r w:rsidR="007F6F00" w:rsidRPr="00B6020B">
        <w:rPr>
          <w:rFonts w:ascii="ITC Avant Garde" w:eastAsiaTheme="minorHAnsi" w:hAnsi="ITC Avant Garde" w:cs="Arial"/>
          <w:b/>
          <w:i/>
          <w:color w:val="000000"/>
          <w:lang w:val="es-MX"/>
        </w:rPr>
        <w:tab/>
        <w:t xml:space="preserve">Licencias, Permisos y Autorizaciones” </w:t>
      </w:r>
      <w:r w:rsidR="007F6F00" w:rsidRPr="00B6020B">
        <w:rPr>
          <w:rFonts w:ascii="ITC Avant Garde" w:eastAsiaTheme="minorHAnsi" w:hAnsi="ITC Avant Garde" w:cs="Arial"/>
          <w:b/>
          <w:color w:val="000000"/>
          <w:lang w:val="es-MX"/>
        </w:rPr>
        <w:t xml:space="preserve">del </w:t>
      </w:r>
      <w:r w:rsidR="007F6F00" w:rsidRPr="00B6020B">
        <w:rPr>
          <w:rFonts w:ascii="ITC Avant Garde" w:eastAsiaTheme="minorHAnsi" w:hAnsi="ITC Avant Garde" w:cs="Arial"/>
          <w:b/>
          <w:i/>
          <w:color w:val="000000"/>
          <w:lang w:val="es-MX"/>
        </w:rPr>
        <w:t>“Anexo “IV”: Modelo de Convenio”</w:t>
      </w:r>
      <w:r w:rsidR="007F6F00" w:rsidRPr="00B6020B">
        <w:rPr>
          <w:rFonts w:ascii="ITC Avant Garde" w:eastAsiaTheme="minorHAnsi" w:hAnsi="ITC Avant Garde" w:cs="Arial"/>
          <w:b/>
          <w:color w:val="000000"/>
          <w:lang w:val="es-MX"/>
        </w:rPr>
        <w:t xml:space="preserve"> </w:t>
      </w:r>
    </w:p>
    <w:p w14:paraId="7408A20C" w14:textId="77777777" w:rsidR="00205AD9" w:rsidRPr="00B6020B" w:rsidRDefault="00DB40D1" w:rsidP="007C328C">
      <w:pPr>
        <w:pStyle w:val="Default"/>
        <w:spacing w:after="100" w:afterAutospacing="1" w:line="276" w:lineRule="auto"/>
        <w:jc w:val="both"/>
        <w:rPr>
          <w:rFonts w:ascii="ITC Avant Garde" w:hAnsi="ITC Avant Garde" w:cs="Arial"/>
          <w:sz w:val="22"/>
          <w:szCs w:val="22"/>
          <w:lang w:val="es-MX"/>
        </w:rPr>
      </w:pPr>
      <w:r w:rsidRPr="00B6020B">
        <w:rPr>
          <w:rFonts w:ascii="ITC Avant Garde" w:hAnsi="ITC Avant Garde"/>
          <w:sz w:val="22"/>
        </w:rPr>
        <w:t>AT&amp;T</w:t>
      </w:r>
      <w:r w:rsidR="00C910E5" w:rsidRPr="00B6020B">
        <w:rPr>
          <w:rFonts w:ascii="ITC Avant Garde" w:hAnsi="ITC Avant Garde" w:cs="Arial"/>
          <w:sz w:val="20"/>
          <w:szCs w:val="22"/>
          <w:lang w:val="es-MX"/>
        </w:rPr>
        <w:t xml:space="preserve"> </w:t>
      </w:r>
      <w:r w:rsidR="00C910E5" w:rsidRPr="00B6020B">
        <w:rPr>
          <w:rFonts w:ascii="ITC Avant Garde" w:hAnsi="ITC Avant Garde" w:cs="Arial"/>
          <w:sz w:val="22"/>
          <w:szCs w:val="22"/>
          <w:lang w:val="es-MX"/>
        </w:rPr>
        <w:t>menciona que l</w:t>
      </w:r>
      <w:r w:rsidR="00186A4B" w:rsidRPr="00B6020B">
        <w:rPr>
          <w:rFonts w:ascii="ITC Avant Garde" w:hAnsi="ITC Avant Garde" w:cs="Arial"/>
          <w:sz w:val="22"/>
          <w:szCs w:val="22"/>
          <w:lang w:val="es-MX"/>
        </w:rPr>
        <w:t xml:space="preserve">a </w:t>
      </w:r>
      <w:r w:rsidR="00C910E5" w:rsidRPr="00B6020B">
        <w:rPr>
          <w:rFonts w:ascii="ITC Avant Garde" w:hAnsi="ITC Avant Garde" w:cs="Arial"/>
          <w:sz w:val="22"/>
          <w:szCs w:val="22"/>
          <w:lang w:val="es-MX"/>
        </w:rPr>
        <w:t>O</w:t>
      </w:r>
      <w:r w:rsidR="00186A4B" w:rsidRPr="00B6020B">
        <w:rPr>
          <w:rFonts w:ascii="ITC Avant Garde" w:hAnsi="ITC Avant Garde" w:cs="Arial"/>
          <w:sz w:val="22"/>
          <w:szCs w:val="22"/>
          <w:lang w:val="es-MX"/>
        </w:rPr>
        <w:t xml:space="preserve">ferta de </w:t>
      </w:r>
      <w:r w:rsidR="00C910E5" w:rsidRPr="00B6020B">
        <w:rPr>
          <w:rFonts w:ascii="ITC Avant Garde" w:hAnsi="ITC Avant Garde" w:cs="Arial"/>
          <w:sz w:val="22"/>
          <w:szCs w:val="22"/>
          <w:lang w:val="es-MX"/>
        </w:rPr>
        <w:t>R</w:t>
      </w:r>
      <w:r w:rsidR="00186A4B" w:rsidRPr="00B6020B">
        <w:rPr>
          <w:rFonts w:ascii="ITC Avant Garde" w:hAnsi="ITC Avant Garde" w:cs="Arial"/>
          <w:sz w:val="22"/>
          <w:szCs w:val="22"/>
          <w:lang w:val="es-MX"/>
        </w:rPr>
        <w:t xml:space="preserve">eferencia </w:t>
      </w:r>
      <w:r w:rsidR="00C910E5" w:rsidRPr="00B6020B">
        <w:rPr>
          <w:rFonts w:ascii="ITC Avant Garde" w:hAnsi="ITC Avant Garde" w:cs="Arial"/>
          <w:sz w:val="22"/>
          <w:szCs w:val="22"/>
          <w:lang w:val="es-MX"/>
        </w:rPr>
        <w:t>V</w:t>
      </w:r>
      <w:r w:rsidR="00186A4B" w:rsidRPr="00B6020B">
        <w:rPr>
          <w:rFonts w:ascii="ITC Avant Garde" w:hAnsi="ITC Avant Garde" w:cs="Arial"/>
          <w:sz w:val="22"/>
          <w:szCs w:val="22"/>
          <w:lang w:val="es-MX"/>
        </w:rPr>
        <w:t xml:space="preserve">igente considera en el numeral </w:t>
      </w:r>
      <w:r w:rsidR="00D549D2" w:rsidRPr="00B6020B">
        <w:rPr>
          <w:rFonts w:ascii="ITC Avant Garde" w:hAnsi="ITC Avant Garde" w:cs="Arial"/>
          <w:i/>
          <w:sz w:val="22"/>
          <w:szCs w:val="22"/>
          <w:lang w:val="es-MX"/>
        </w:rPr>
        <w:t>“</w:t>
      </w:r>
      <w:r w:rsidR="00186A4B" w:rsidRPr="00B6020B">
        <w:rPr>
          <w:rFonts w:ascii="ITC Avant Garde" w:hAnsi="ITC Avant Garde" w:cs="Arial"/>
          <w:i/>
          <w:sz w:val="22"/>
          <w:szCs w:val="22"/>
          <w:lang w:val="es-MX"/>
        </w:rPr>
        <w:t>5.3.4</w:t>
      </w:r>
      <w:r w:rsidR="00D549D2" w:rsidRPr="00B6020B">
        <w:rPr>
          <w:rFonts w:ascii="ITC Avant Garde" w:hAnsi="ITC Avant Garde" w:cs="Arial"/>
          <w:i/>
          <w:sz w:val="22"/>
          <w:szCs w:val="22"/>
          <w:lang w:val="es-MX"/>
        </w:rPr>
        <w:tab/>
        <w:t>Trámites para el suministro de energía eléctrica”</w:t>
      </w:r>
      <w:r w:rsidR="00D549D2" w:rsidRPr="00B6020B">
        <w:rPr>
          <w:rFonts w:ascii="ITC Avant Garde" w:hAnsi="ITC Avant Garde" w:cs="Arial"/>
          <w:sz w:val="22"/>
          <w:szCs w:val="22"/>
          <w:lang w:val="es-MX"/>
        </w:rPr>
        <w:t xml:space="preserve"> </w:t>
      </w:r>
      <w:r w:rsidR="00E1623F" w:rsidRPr="00B6020B">
        <w:rPr>
          <w:rFonts w:ascii="ITC Avant Garde" w:hAnsi="ITC Avant Garde" w:cs="Arial"/>
          <w:sz w:val="22"/>
          <w:szCs w:val="22"/>
          <w:lang w:val="es-MX"/>
        </w:rPr>
        <w:t xml:space="preserve">dentro </w:t>
      </w:r>
      <w:r w:rsidR="00186A4B" w:rsidRPr="00B6020B">
        <w:rPr>
          <w:rFonts w:ascii="ITC Avant Garde" w:hAnsi="ITC Avant Garde" w:cs="Arial"/>
          <w:sz w:val="22"/>
          <w:szCs w:val="22"/>
          <w:lang w:val="es-MX"/>
        </w:rPr>
        <w:t>del</w:t>
      </w:r>
      <w:r w:rsidR="00E1623F" w:rsidRPr="00B6020B">
        <w:rPr>
          <w:rFonts w:ascii="ITC Avant Garde" w:hAnsi="ITC Avant Garde" w:cs="Arial"/>
          <w:sz w:val="22"/>
          <w:szCs w:val="22"/>
          <w:lang w:val="es-MX"/>
        </w:rPr>
        <w:t xml:space="preserve"> </w:t>
      </w:r>
      <w:bookmarkStart w:id="5" w:name="_Hlk187829192"/>
      <w:r w:rsidR="00E1623F" w:rsidRPr="00B6020B">
        <w:rPr>
          <w:rFonts w:ascii="ITC Avant Garde" w:hAnsi="ITC Avant Garde" w:cs="Arial"/>
          <w:i/>
          <w:sz w:val="22"/>
          <w:szCs w:val="22"/>
          <w:lang w:val="es-MX"/>
        </w:rPr>
        <w:t xml:space="preserve">“Anexo “IV”: Modelo de Convenio” </w:t>
      </w:r>
      <w:bookmarkEnd w:id="5"/>
      <w:r w:rsidR="00E1623F" w:rsidRPr="00B6020B">
        <w:rPr>
          <w:rFonts w:ascii="ITC Avant Garde" w:hAnsi="ITC Avant Garde" w:cs="Arial"/>
          <w:sz w:val="22"/>
          <w:szCs w:val="22"/>
          <w:lang w:val="es-MX"/>
        </w:rPr>
        <w:t xml:space="preserve">lo siguiente: </w:t>
      </w:r>
      <w:r w:rsidR="00186A4B" w:rsidRPr="00B6020B">
        <w:rPr>
          <w:rFonts w:ascii="ITC Avant Garde" w:hAnsi="ITC Avant Garde" w:cs="Arial"/>
          <w:i/>
          <w:sz w:val="22"/>
          <w:szCs w:val="22"/>
          <w:lang w:val="es-MX"/>
        </w:rPr>
        <w:t>“Será responsabilidad del CS realizar las gestiones necesarias ante la Comisión Federal de Electricidad para la provisión del suministro de energía eléctrica que utilice el Equipo Aprobado”</w:t>
      </w:r>
      <w:r w:rsidR="00186A4B" w:rsidRPr="00B6020B">
        <w:rPr>
          <w:rFonts w:ascii="ITC Avant Garde" w:hAnsi="ITC Avant Garde" w:cs="Arial"/>
          <w:sz w:val="22"/>
          <w:szCs w:val="22"/>
          <w:lang w:val="es-MX"/>
        </w:rPr>
        <w:t xml:space="preserve">. </w:t>
      </w:r>
    </w:p>
    <w:p w14:paraId="0A3D952F" w14:textId="77777777" w:rsidR="00186A4B" w:rsidRPr="00B6020B" w:rsidRDefault="00ED796F" w:rsidP="007C328C">
      <w:pPr>
        <w:pStyle w:val="Default"/>
        <w:spacing w:after="100" w:afterAutospacing="1" w:line="276" w:lineRule="auto"/>
        <w:jc w:val="both"/>
        <w:rPr>
          <w:rFonts w:ascii="ITC Avant Garde" w:hAnsi="ITC Avant Garde" w:cs="Arial"/>
          <w:sz w:val="22"/>
          <w:szCs w:val="22"/>
          <w:lang w:val="es-MX"/>
        </w:rPr>
      </w:pPr>
      <w:r w:rsidRPr="00B6020B">
        <w:rPr>
          <w:rFonts w:ascii="ITC Avant Garde" w:hAnsi="ITC Avant Garde" w:cs="Arial"/>
          <w:sz w:val="22"/>
          <w:szCs w:val="22"/>
          <w:lang w:val="es-MX"/>
        </w:rPr>
        <w:t>Adicional a lo anterior,</w:t>
      </w:r>
      <w:r w:rsidR="00186A4B" w:rsidRPr="00B6020B">
        <w:rPr>
          <w:rFonts w:ascii="ITC Avant Garde" w:hAnsi="ITC Avant Garde" w:cs="Arial"/>
          <w:sz w:val="22"/>
          <w:szCs w:val="22"/>
          <w:lang w:val="es-MX"/>
        </w:rPr>
        <w:t xml:space="preserve"> también refiere en el numeral 1.4.2 del </w:t>
      </w:r>
      <w:r w:rsidR="00297EF9" w:rsidRPr="00B6020B">
        <w:rPr>
          <w:rFonts w:ascii="ITC Avant Garde" w:hAnsi="ITC Avant Garde" w:cs="Arial"/>
          <w:i/>
          <w:sz w:val="22"/>
          <w:szCs w:val="22"/>
          <w:lang w:val="es-MX"/>
        </w:rPr>
        <w:t>“</w:t>
      </w:r>
      <w:r w:rsidR="00186A4B" w:rsidRPr="00B6020B">
        <w:rPr>
          <w:rFonts w:ascii="ITC Avant Garde" w:hAnsi="ITC Avant Garde" w:cs="Arial"/>
          <w:i/>
          <w:sz w:val="22"/>
          <w:szCs w:val="22"/>
          <w:lang w:val="es-MX"/>
        </w:rPr>
        <w:t xml:space="preserve">Anexo </w:t>
      </w:r>
      <w:r w:rsidR="00297EF9" w:rsidRPr="00B6020B">
        <w:rPr>
          <w:rFonts w:ascii="ITC Avant Garde" w:hAnsi="ITC Avant Garde" w:cs="Arial"/>
          <w:i/>
          <w:sz w:val="22"/>
          <w:szCs w:val="22"/>
          <w:lang w:val="es-MX"/>
        </w:rPr>
        <w:t>“</w:t>
      </w:r>
      <w:r w:rsidR="00186A4B" w:rsidRPr="00B6020B">
        <w:rPr>
          <w:rFonts w:ascii="ITC Avant Garde" w:hAnsi="ITC Avant Garde" w:cs="Arial"/>
          <w:i/>
          <w:sz w:val="22"/>
          <w:szCs w:val="22"/>
          <w:lang w:val="es-MX"/>
        </w:rPr>
        <w:t>A</w:t>
      </w:r>
      <w:r w:rsidR="00297EF9" w:rsidRPr="00B6020B">
        <w:rPr>
          <w:rFonts w:ascii="ITC Avant Garde" w:hAnsi="ITC Avant Garde" w:cs="Arial"/>
          <w:i/>
          <w:sz w:val="22"/>
          <w:szCs w:val="22"/>
          <w:lang w:val="es-MX"/>
        </w:rPr>
        <w:t>”:</w:t>
      </w:r>
      <w:r w:rsidR="00186A4B" w:rsidRPr="00B6020B">
        <w:rPr>
          <w:rFonts w:ascii="ITC Avant Garde" w:hAnsi="ITC Avant Garde" w:cs="Arial"/>
          <w:i/>
          <w:sz w:val="22"/>
          <w:szCs w:val="22"/>
          <w:lang w:val="es-MX"/>
        </w:rPr>
        <w:t xml:space="preserve"> Precios y Tarifas</w:t>
      </w:r>
      <w:r w:rsidR="00297EF9" w:rsidRPr="00B6020B">
        <w:rPr>
          <w:rFonts w:ascii="ITC Avant Garde" w:hAnsi="ITC Avant Garde" w:cs="Arial"/>
          <w:i/>
          <w:sz w:val="22"/>
          <w:szCs w:val="22"/>
          <w:lang w:val="es-MX"/>
        </w:rPr>
        <w:t>”</w:t>
      </w:r>
      <w:r w:rsidR="00186A4B" w:rsidRPr="00B6020B">
        <w:rPr>
          <w:rFonts w:ascii="ITC Avant Garde" w:hAnsi="ITC Avant Garde" w:cs="Arial"/>
          <w:sz w:val="22"/>
          <w:szCs w:val="22"/>
          <w:lang w:val="es-MX"/>
        </w:rPr>
        <w:t xml:space="preserve"> señala que </w:t>
      </w:r>
      <w:r w:rsidR="00186A4B" w:rsidRPr="00B6020B">
        <w:rPr>
          <w:rFonts w:ascii="ITC Avant Garde" w:hAnsi="ITC Avant Garde" w:cs="Arial"/>
          <w:i/>
          <w:sz w:val="22"/>
          <w:szCs w:val="22"/>
          <w:lang w:val="es-MX"/>
        </w:rPr>
        <w:t>“De existir Capacidad Excedente y en tanto permitido por la legislación aplicable, Telesites y/o la Fibra permitirá al CS la utilización de sus fuentes de energía. En este sentido, los términos y condiciones para tal efecto deberán de ser acordadas por las partes y deberán de constar por escrito formando parte integrante del presente Anexo”</w:t>
      </w:r>
      <w:r w:rsidR="00186A4B" w:rsidRPr="00B6020B">
        <w:rPr>
          <w:rFonts w:ascii="ITC Avant Garde" w:hAnsi="ITC Avant Garde" w:cs="Arial"/>
          <w:sz w:val="22"/>
          <w:szCs w:val="22"/>
          <w:lang w:val="es-MX"/>
        </w:rPr>
        <w:t xml:space="preserve">. </w:t>
      </w:r>
    </w:p>
    <w:p w14:paraId="7790D20F" w14:textId="78A1FE9D" w:rsidR="00186A4B" w:rsidRPr="00B6020B" w:rsidRDefault="00C910E5" w:rsidP="007C328C">
      <w:pPr>
        <w:pStyle w:val="Default"/>
        <w:spacing w:after="100" w:afterAutospacing="1" w:line="276" w:lineRule="auto"/>
        <w:jc w:val="both"/>
        <w:rPr>
          <w:rFonts w:ascii="ITC Avant Garde" w:hAnsi="ITC Avant Garde" w:cs="Arial"/>
          <w:sz w:val="22"/>
          <w:szCs w:val="22"/>
          <w:lang w:val="es-MX"/>
        </w:rPr>
      </w:pPr>
      <w:r w:rsidRPr="00B6020B">
        <w:rPr>
          <w:rFonts w:ascii="ITC Avant Garde" w:hAnsi="ITC Avant Garde" w:cs="Arial"/>
          <w:sz w:val="22"/>
          <w:szCs w:val="22"/>
          <w:lang w:val="es-MX"/>
        </w:rPr>
        <w:t>En este sentido menciona que “</w:t>
      </w:r>
      <w:r w:rsidR="00186A4B" w:rsidRPr="00B6020B">
        <w:rPr>
          <w:rFonts w:ascii="ITC Avant Garde" w:hAnsi="ITC Avant Garde" w:cs="Arial"/>
          <w:i/>
          <w:sz w:val="22"/>
          <w:szCs w:val="22"/>
          <w:lang w:val="es-MX"/>
        </w:rPr>
        <w:t xml:space="preserve">no debe pasar por alto para el IFT que Telcel al ser integrante del agente del agente económico preponderante en telecomunicaciones está sujeto a la compartición de infraestructura pasiva, tal como el sistema de suministro de energía eléctrica. En este sentido, no debe </w:t>
      </w:r>
      <w:r w:rsidR="00186A4B" w:rsidRPr="00B6020B">
        <w:rPr>
          <w:rFonts w:ascii="ITC Avant Garde" w:hAnsi="ITC Avant Garde" w:cs="Arial"/>
          <w:i/>
          <w:sz w:val="22"/>
          <w:szCs w:val="22"/>
          <w:lang w:val="es-MX"/>
        </w:rPr>
        <w:lastRenderedPageBreak/>
        <w:t>entenderse que se solicita que se preste el servicio de energía eléctrico, sino que se pueda compartir la capacidad excedente de la infraestructura asociada, dentro del marco legal aplicable, tal como pueden ser las subestaciones eléctricas en donde podría resultar ineficiente duplicar infraestructura y podría ser una gestión que requiere de un tiempo considerable</w:t>
      </w:r>
      <w:r w:rsidR="00186A4B" w:rsidRPr="00B6020B">
        <w:rPr>
          <w:rFonts w:ascii="ITC Avant Garde" w:hAnsi="ITC Avant Garde" w:cs="Arial"/>
          <w:sz w:val="22"/>
          <w:szCs w:val="22"/>
          <w:lang w:val="es-MX"/>
        </w:rPr>
        <w:t>.</w:t>
      </w:r>
      <w:r w:rsidRPr="00B6020B">
        <w:rPr>
          <w:rFonts w:ascii="ITC Avant Garde" w:hAnsi="ITC Avant Garde" w:cs="Arial"/>
          <w:sz w:val="22"/>
          <w:szCs w:val="22"/>
          <w:lang w:val="es-MX"/>
        </w:rPr>
        <w:t>”</w:t>
      </w:r>
      <w:r w:rsidR="00186A4B" w:rsidRPr="00B6020B">
        <w:rPr>
          <w:rFonts w:ascii="ITC Avant Garde" w:hAnsi="ITC Avant Garde" w:cs="Arial"/>
          <w:sz w:val="22"/>
          <w:szCs w:val="22"/>
          <w:lang w:val="es-MX"/>
        </w:rPr>
        <w:t xml:space="preserve"> </w:t>
      </w:r>
    </w:p>
    <w:p w14:paraId="09D78D2D" w14:textId="77777777" w:rsidR="00186A4B" w:rsidRPr="00B6020B" w:rsidRDefault="00186A4B" w:rsidP="007C328C">
      <w:pPr>
        <w:pStyle w:val="Default"/>
        <w:spacing w:after="100" w:afterAutospacing="1" w:line="276" w:lineRule="auto"/>
        <w:jc w:val="both"/>
        <w:rPr>
          <w:rFonts w:ascii="ITC Avant Garde" w:hAnsi="ITC Avant Garde" w:cs="Arial"/>
          <w:sz w:val="22"/>
          <w:szCs w:val="22"/>
          <w:lang w:val="es-MX"/>
        </w:rPr>
      </w:pPr>
      <w:r w:rsidRPr="00B6020B">
        <w:rPr>
          <w:rFonts w:ascii="ITC Avant Garde" w:hAnsi="ITC Avant Garde" w:cs="Arial"/>
          <w:sz w:val="22"/>
          <w:szCs w:val="22"/>
          <w:lang w:val="es-MX"/>
        </w:rPr>
        <w:t xml:space="preserve">Al respecto, </w:t>
      </w:r>
      <w:r w:rsidR="00DB40D1" w:rsidRPr="00B6020B">
        <w:rPr>
          <w:rFonts w:ascii="ITC Avant Garde" w:hAnsi="ITC Avant Garde"/>
        </w:rPr>
        <w:t>AT&amp;T</w:t>
      </w:r>
      <w:r w:rsidR="00C910E5" w:rsidRPr="00B6020B">
        <w:rPr>
          <w:rFonts w:ascii="ITC Avant Garde" w:hAnsi="ITC Avant Garde" w:cs="Arial"/>
          <w:sz w:val="22"/>
          <w:szCs w:val="22"/>
          <w:lang w:val="es-MX"/>
        </w:rPr>
        <w:t xml:space="preserve"> propone: </w:t>
      </w:r>
      <w:r w:rsidR="00C910E5" w:rsidRPr="00B6020B">
        <w:rPr>
          <w:rFonts w:ascii="ITC Avant Garde" w:hAnsi="ITC Avant Garde" w:cs="Arial"/>
          <w:i/>
          <w:sz w:val="22"/>
          <w:szCs w:val="22"/>
          <w:lang w:val="es-MX"/>
        </w:rPr>
        <w:t>“</w:t>
      </w:r>
      <w:r w:rsidRPr="00B6020B">
        <w:rPr>
          <w:rFonts w:ascii="ITC Avant Garde" w:hAnsi="ITC Avant Garde" w:cs="Arial"/>
          <w:i/>
          <w:sz w:val="22"/>
          <w:szCs w:val="22"/>
          <w:lang w:val="es-MX"/>
        </w:rPr>
        <w:t>Mandatar para la oferta 2025 que se debe observar en el SEG la información por sitio relacionada al tipo de energía eléctrica que se suministra o se suministraría, en términos de lo resuelto por el IFT a través del Acuerdo P/IFT/271119/745</w:t>
      </w:r>
      <w:r w:rsidR="00C910E5" w:rsidRPr="00B6020B">
        <w:rPr>
          <w:rFonts w:ascii="ITC Avant Garde" w:hAnsi="ITC Avant Garde" w:cs="Arial"/>
          <w:i/>
          <w:sz w:val="22"/>
          <w:szCs w:val="22"/>
          <w:lang w:val="es-MX"/>
        </w:rPr>
        <w:t>”</w:t>
      </w:r>
      <w:r w:rsidR="00C910E5" w:rsidRPr="00B6020B">
        <w:rPr>
          <w:rFonts w:ascii="ITC Avant Garde" w:hAnsi="ITC Avant Garde" w:cs="Arial"/>
          <w:sz w:val="22"/>
          <w:szCs w:val="22"/>
          <w:lang w:val="es-MX"/>
        </w:rPr>
        <w:t xml:space="preserve"> además de proponer que </w:t>
      </w:r>
      <w:r w:rsidR="00C910E5" w:rsidRPr="00B6020B">
        <w:rPr>
          <w:rFonts w:ascii="ITC Avant Garde" w:hAnsi="ITC Avant Garde" w:cs="Arial"/>
          <w:i/>
          <w:sz w:val="22"/>
          <w:szCs w:val="22"/>
          <w:lang w:val="es-MX"/>
        </w:rPr>
        <w:t>“</w:t>
      </w:r>
      <w:r w:rsidRPr="00B6020B">
        <w:rPr>
          <w:rFonts w:ascii="ITC Avant Garde" w:hAnsi="ITC Avant Garde" w:cs="Arial"/>
          <w:i/>
          <w:sz w:val="22"/>
          <w:szCs w:val="22"/>
          <w:lang w:val="es-MX"/>
        </w:rPr>
        <w:t>se incluya la compartición de capacidad excedente de la infraestructura eléctrica, sobre todo para los casos en que se trata de media tensión y podría no ser eficiente estar duplicando una subestación o transformador eléctrico. Para esto, la obligación debería recaer sobre Telcel como integrante del agente económico preponderante en telecomunicaciones y bajo el entendido que la escisión no lo exime de compartir la infraestructura pasiva con que cuente.</w:t>
      </w:r>
      <w:r w:rsidR="00C910E5" w:rsidRPr="00B6020B">
        <w:rPr>
          <w:rFonts w:ascii="ITC Avant Garde" w:hAnsi="ITC Avant Garde" w:cs="Arial"/>
          <w:i/>
          <w:sz w:val="22"/>
          <w:szCs w:val="22"/>
          <w:lang w:val="es-MX"/>
        </w:rPr>
        <w:t>”</w:t>
      </w:r>
    </w:p>
    <w:p w14:paraId="2D4FB76A" w14:textId="77777777" w:rsidR="00426004" w:rsidRPr="00B6020B" w:rsidRDefault="00C910E5" w:rsidP="007C328C">
      <w:pPr>
        <w:spacing w:after="100" w:afterAutospacing="1" w:line="276" w:lineRule="auto"/>
        <w:rPr>
          <w:rFonts w:ascii="ITC Avant Garde" w:hAnsi="ITC Avant Garde" w:cs="Arial"/>
        </w:rPr>
      </w:pPr>
      <w:r w:rsidRPr="00B6020B">
        <w:rPr>
          <w:rFonts w:ascii="ITC Avant Garde" w:hAnsi="ITC Avant Garde"/>
          <w:u w:val="single"/>
          <w:lang w:val="es-ES_tradnl"/>
        </w:rPr>
        <w:t>Respuesta de la UPR</w:t>
      </w:r>
    </w:p>
    <w:p w14:paraId="663C1C98" w14:textId="1A274A7D" w:rsidR="00DB5582" w:rsidRPr="00B6020B" w:rsidRDefault="00186A4B" w:rsidP="007C328C">
      <w:pPr>
        <w:pStyle w:val="Default"/>
        <w:spacing w:after="100" w:afterAutospacing="1" w:line="276" w:lineRule="auto"/>
        <w:jc w:val="both"/>
        <w:rPr>
          <w:rFonts w:ascii="ITC Avant Garde" w:hAnsi="ITC Avant Garde" w:cs="Arial"/>
          <w:sz w:val="22"/>
          <w:szCs w:val="22"/>
          <w:lang w:val="es-MX"/>
        </w:rPr>
      </w:pPr>
      <w:r w:rsidRPr="00B6020B">
        <w:rPr>
          <w:rFonts w:ascii="ITC Avant Garde" w:hAnsi="ITC Avant Garde" w:cs="Arial"/>
          <w:sz w:val="22"/>
          <w:szCs w:val="22"/>
          <w:lang w:val="es-MX"/>
        </w:rPr>
        <w:t xml:space="preserve">Al respecto, </w:t>
      </w:r>
      <w:r w:rsidR="00A57423" w:rsidRPr="00B6020B">
        <w:rPr>
          <w:rFonts w:ascii="ITC Avant Garde" w:hAnsi="ITC Avant Garde" w:cs="Arial"/>
          <w:sz w:val="22"/>
          <w:szCs w:val="22"/>
          <w:lang w:val="es-MX"/>
        </w:rPr>
        <w:t xml:space="preserve">la UPR identifica que dentro del análisis realizado en el proceso de aprobación de los términos y condiciones de la Oferta de Referencia vigente para 2020, </w:t>
      </w:r>
      <w:r w:rsidR="005E5396" w:rsidRPr="00B6020B">
        <w:rPr>
          <w:rFonts w:ascii="ITC Avant Garde" w:hAnsi="ITC Avant Garde" w:cs="Arial"/>
          <w:sz w:val="22"/>
          <w:szCs w:val="22"/>
          <w:lang w:val="es-MX"/>
        </w:rPr>
        <w:t>Telesites</w:t>
      </w:r>
      <w:r w:rsidR="00750110" w:rsidRPr="00B6020B">
        <w:rPr>
          <w:rFonts w:ascii="ITC Avant Garde" w:hAnsi="ITC Avant Garde" w:cs="Arial"/>
          <w:sz w:val="22"/>
          <w:szCs w:val="22"/>
          <w:lang w:val="es-MX"/>
        </w:rPr>
        <w:t xml:space="preserve"> y Fibra</w:t>
      </w:r>
      <w:r w:rsidR="005E5396" w:rsidRPr="00B6020B">
        <w:rPr>
          <w:rFonts w:ascii="ITC Avant Garde" w:hAnsi="ITC Avant Garde" w:cs="Arial"/>
          <w:sz w:val="22"/>
          <w:szCs w:val="22"/>
          <w:lang w:val="es-MX"/>
        </w:rPr>
        <w:t xml:space="preserve"> realizó manifestaciones respecto el suministro de energía eléctrica y el Instituto determinó las condiciones actuales al respecto mediante el</w:t>
      </w:r>
      <w:r w:rsidR="00A57423" w:rsidRPr="00B6020B">
        <w:rPr>
          <w:rFonts w:ascii="ITC Avant Garde" w:hAnsi="ITC Avant Garde" w:cs="Arial"/>
          <w:sz w:val="22"/>
          <w:szCs w:val="22"/>
          <w:lang w:val="es-MX"/>
        </w:rPr>
        <w:t xml:space="preserve"> Acuerdo </w:t>
      </w:r>
      <w:r w:rsidR="005E5396" w:rsidRPr="00B6020B">
        <w:rPr>
          <w:rFonts w:ascii="ITC Avant Garde" w:hAnsi="ITC Avant Garde" w:cs="Arial"/>
          <w:sz w:val="22"/>
          <w:szCs w:val="22"/>
          <w:lang w:val="es-MX"/>
        </w:rPr>
        <w:t xml:space="preserve">P/IFT/271119/745, </w:t>
      </w:r>
      <w:r w:rsidR="00ED796F" w:rsidRPr="00B6020B">
        <w:rPr>
          <w:rFonts w:ascii="ITC Avant Garde" w:hAnsi="ITC Avant Garde" w:cs="Arial"/>
          <w:sz w:val="22"/>
          <w:szCs w:val="22"/>
          <w:lang w:val="es-MX"/>
        </w:rPr>
        <w:t xml:space="preserve">dentro del cual </w:t>
      </w:r>
      <w:proofErr w:type="spellStart"/>
      <w:r w:rsidR="00DB5582" w:rsidRPr="00B6020B">
        <w:rPr>
          <w:rFonts w:ascii="ITC Avant Garde" w:hAnsi="ITC Avant Garde" w:cs="Arial"/>
          <w:sz w:val="22"/>
          <w:szCs w:val="22"/>
          <w:lang w:val="es-MX"/>
        </w:rPr>
        <w:t>Telesites</w:t>
      </w:r>
      <w:proofErr w:type="spellEnd"/>
      <w:r w:rsidR="00DB5582" w:rsidRPr="00B6020B">
        <w:rPr>
          <w:rFonts w:ascii="ITC Avant Garde" w:hAnsi="ITC Avant Garde" w:cs="Arial"/>
          <w:sz w:val="22"/>
          <w:szCs w:val="22"/>
          <w:lang w:val="es-MX"/>
        </w:rPr>
        <w:t xml:space="preserve"> y Fibra en su momento manifestó que no contaba con contratos de energía eléctrica por lo que le era imposible brindar dicho recurso a CS, por lo que cada CS debería contratar y gestionar la energía eléctrica necesaria para la correcta operatividad de la infraestructura pasiva contratada. </w:t>
      </w:r>
    </w:p>
    <w:p w14:paraId="2B21F12D" w14:textId="77777777" w:rsidR="00ED796F" w:rsidRPr="00B6020B" w:rsidRDefault="00DB5582" w:rsidP="007C328C">
      <w:pPr>
        <w:pStyle w:val="Default"/>
        <w:spacing w:after="100" w:afterAutospacing="1" w:line="276" w:lineRule="auto"/>
        <w:jc w:val="both"/>
        <w:rPr>
          <w:rFonts w:ascii="ITC Avant Garde" w:hAnsi="ITC Avant Garde"/>
          <w:i/>
          <w:sz w:val="22"/>
          <w:szCs w:val="22"/>
          <w:lang w:val="es-MX"/>
        </w:rPr>
      </w:pPr>
      <w:r w:rsidRPr="00B6020B">
        <w:rPr>
          <w:rFonts w:ascii="ITC Avant Garde" w:hAnsi="ITC Avant Garde" w:cs="Arial"/>
          <w:sz w:val="22"/>
          <w:szCs w:val="22"/>
          <w:lang w:val="es-MX"/>
        </w:rPr>
        <w:t>Por su parte, el</w:t>
      </w:r>
      <w:r w:rsidR="00ED796F" w:rsidRPr="00B6020B">
        <w:rPr>
          <w:rFonts w:ascii="ITC Avant Garde" w:hAnsi="ITC Avant Garde" w:cs="Arial"/>
          <w:sz w:val="22"/>
          <w:szCs w:val="22"/>
          <w:lang w:val="es-MX"/>
        </w:rPr>
        <w:t xml:space="preserve"> Instituto mencionó que</w:t>
      </w:r>
      <w:r w:rsidR="00186A4B" w:rsidRPr="00B6020B">
        <w:rPr>
          <w:rFonts w:ascii="ITC Avant Garde" w:hAnsi="ITC Avant Garde"/>
          <w:i/>
          <w:sz w:val="22"/>
          <w:szCs w:val="22"/>
          <w:lang w:val="es-MX"/>
        </w:rPr>
        <w:t xml:space="preserve"> </w:t>
      </w:r>
      <w:r w:rsidR="00ED796F" w:rsidRPr="00B6020B">
        <w:rPr>
          <w:rFonts w:ascii="ITC Avant Garde" w:hAnsi="ITC Avant Garde"/>
          <w:i/>
          <w:sz w:val="22"/>
          <w:szCs w:val="22"/>
          <w:lang w:val="es-MX"/>
        </w:rPr>
        <w:t>“</w:t>
      </w:r>
      <w:r w:rsidR="00186A4B" w:rsidRPr="00B6020B">
        <w:rPr>
          <w:rFonts w:ascii="ITC Avant Garde" w:hAnsi="ITC Avant Garde"/>
          <w:i/>
          <w:sz w:val="22"/>
          <w:szCs w:val="22"/>
          <w:lang w:val="es-MX"/>
        </w:rPr>
        <w:t>para el suministro de energía eléctrica en los sitios de Telesites, los CS deben realizar la solicitud correspondiente ante la CFE. Al respecto, y con independencia de que la responsabilidad del trámite corresponde al CS que requiere la energía eléctrica, se prevé la posibilidad de que se necesite la colaboración del AEP para cubrir con alguno de los requisitos solicitados por la CFE</w:t>
      </w:r>
      <w:r w:rsidR="00ED796F" w:rsidRPr="00B6020B">
        <w:rPr>
          <w:rFonts w:ascii="ITC Avant Garde" w:hAnsi="ITC Avant Garde"/>
          <w:i/>
          <w:sz w:val="22"/>
          <w:szCs w:val="22"/>
          <w:lang w:val="es-MX"/>
        </w:rPr>
        <w:t>”.</w:t>
      </w:r>
    </w:p>
    <w:p w14:paraId="502E0BC9" w14:textId="6C17BCD5" w:rsidR="00186A4B" w:rsidRPr="00B6020B" w:rsidRDefault="000F723A" w:rsidP="007C328C">
      <w:pPr>
        <w:pStyle w:val="IFTnormal"/>
      </w:pPr>
      <w:r w:rsidRPr="00B6020B">
        <w:t>En consecuencia</w:t>
      </w:r>
      <w:r w:rsidR="00ED796F" w:rsidRPr="00B6020B">
        <w:t xml:space="preserve">, dentro del Acuerdo mencionado se estableció que </w:t>
      </w:r>
      <w:r w:rsidR="00ED796F" w:rsidRPr="00B6020B">
        <w:rPr>
          <w:i/>
        </w:rPr>
        <w:t>“</w:t>
      </w:r>
      <w:r w:rsidR="00186A4B" w:rsidRPr="00B6020B">
        <w:rPr>
          <w:i/>
        </w:rPr>
        <w:t>Telesites deberá otorgar las facilidades necesarias a efecto de que el personal de CFE lleve a cabo dichas actividades de manera eficiente</w:t>
      </w:r>
      <w:r w:rsidR="00ED796F" w:rsidRPr="00B6020B">
        <w:rPr>
          <w:i/>
        </w:rPr>
        <w:t>”</w:t>
      </w:r>
      <w:r w:rsidR="00ED796F" w:rsidRPr="00B6020B">
        <w:t xml:space="preserve">, además de requerirse a Telesites que </w:t>
      </w:r>
      <w:r w:rsidR="00ED796F" w:rsidRPr="00B6020B">
        <w:rPr>
          <w:i/>
        </w:rPr>
        <w:t>“</w:t>
      </w:r>
      <w:r w:rsidR="00186A4B" w:rsidRPr="00B6020B">
        <w:rPr>
          <w:i/>
        </w:rPr>
        <w:t>a través del SEG especifique para cada uno de sus emplazamientos el tipo de energía suministrada por la CFE, esto es, si se trata de baja o media tensión eléctrica</w:t>
      </w:r>
      <w:r w:rsidR="00ED796F" w:rsidRPr="00B6020B">
        <w:rPr>
          <w:i/>
        </w:rPr>
        <w:t>”</w:t>
      </w:r>
      <w:r w:rsidR="00186A4B" w:rsidRPr="00B6020B">
        <w:t xml:space="preserve">. Lo anterior, a efecto de que los CS tengan la información necesaria respecto a los sitios de </w:t>
      </w:r>
      <w:proofErr w:type="spellStart"/>
      <w:r w:rsidR="00186A4B" w:rsidRPr="00B6020B">
        <w:t>Telesites</w:t>
      </w:r>
      <w:proofErr w:type="spellEnd"/>
      <w:r w:rsidR="00186A4B" w:rsidRPr="00B6020B">
        <w:t xml:space="preserve"> </w:t>
      </w:r>
      <w:r w:rsidR="000714C3" w:rsidRPr="00B6020B">
        <w:t xml:space="preserve">y Fibra </w:t>
      </w:r>
      <w:r w:rsidR="00186A4B" w:rsidRPr="00B6020B">
        <w:t>y se encuentren en posibilidad de hacer una valoración de las condiciones prevalecientes en los mismos de manera oportuna</w:t>
      </w:r>
      <w:r w:rsidR="00DB5582" w:rsidRPr="00B6020B">
        <w:t>.</w:t>
      </w:r>
    </w:p>
    <w:p w14:paraId="1186FFF4" w14:textId="77777777" w:rsidR="00384F88" w:rsidRPr="00B6020B" w:rsidRDefault="00DB5582" w:rsidP="007C328C">
      <w:pPr>
        <w:pStyle w:val="IFTnormal"/>
        <w:rPr>
          <w:rFonts w:eastAsiaTheme="minorHAnsi"/>
          <w:lang w:eastAsia="en-US"/>
        </w:rPr>
      </w:pPr>
      <w:r w:rsidRPr="00B6020B">
        <w:lastRenderedPageBreak/>
        <w:t xml:space="preserve">Dentro del Acuerdo P/IFT/271119/745 </w:t>
      </w:r>
      <w:r w:rsidR="00186A4B" w:rsidRPr="00B6020B">
        <w:t xml:space="preserve">el Instituto </w:t>
      </w:r>
      <w:r w:rsidRPr="00B6020B">
        <w:t>reconoció</w:t>
      </w:r>
      <w:r w:rsidR="00186A4B" w:rsidRPr="00B6020B">
        <w:t xml:space="preserve"> que la CFE es la única empresa encargada de controlar, generar, transmitir y comercializar energía eléctrica en todo el país</w:t>
      </w:r>
      <w:r w:rsidRPr="00B6020B">
        <w:t xml:space="preserve">. </w:t>
      </w:r>
      <w:r w:rsidR="00384F88" w:rsidRPr="00B6020B">
        <w:rPr>
          <w:rFonts w:eastAsiaTheme="minorHAnsi"/>
          <w:lang w:eastAsia="en-US"/>
        </w:rPr>
        <w:t>Es así que la UPR considera que los términos y condiciones establecidos dentro de la Oferta de Referencia son claros respecto el suministro de energía eléctrica dentro de la Oferta de Referencia correspondiente a Telesites y Fibra.</w:t>
      </w:r>
    </w:p>
    <w:p w14:paraId="0315F6A1" w14:textId="77777777" w:rsidR="00DB5582" w:rsidRPr="00B6020B" w:rsidRDefault="00DB5582" w:rsidP="007C328C">
      <w:pPr>
        <w:pStyle w:val="IFTnormal"/>
        <w:rPr>
          <w:rFonts w:eastAsiaTheme="minorHAnsi"/>
          <w:lang w:eastAsia="en-US"/>
        </w:rPr>
      </w:pPr>
      <w:r w:rsidRPr="00B6020B">
        <w:rPr>
          <w:rFonts w:eastAsiaTheme="minorHAnsi"/>
          <w:lang w:eastAsia="en-US"/>
        </w:rPr>
        <w:t xml:space="preserve">Por lo anteriormente señalado, se identifica que Telesites y Fibra se encuentran sujetos a colaborar con el CS a efecto de ofrecer las facilidades que permitan la provisión de documentación para que éste pueda llevar cabo la contratación de energía </w:t>
      </w:r>
      <w:r w:rsidR="004C1F95" w:rsidRPr="00B6020B">
        <w:rPr>
          <w:rFonts w:eastAsiaTheme="minorHAnsi"/>
          <w:lang w:eastAsia="en-US"/>
        </w:rPr>
        <w:t>eléctrica</w:t>
      </w:r>
      <w:r w:rsidRPr="00B6020B">
        <w:rPr>
          <w:rFonts w:eastAsiaTheme="minorHAnsi"/>
          <w:lang w:eastAsia="en-US"/>
        </w:rPr>
        <w:t xml:space="preserve">. Asimismo, se estableció la obligación para que pueda informar el tipo de alimentación eléctrica a efecto de ofrecer información a los CS disponible en el Sitio. </w:t>
      </w:r>
    </w:p>
    <w:p w14:paraId="7CA340CC" w14:textId="77777777" w:rsidR="004E5331" w:rsidRPr="00B6020B" w:rsidRDefault="004E5331" w:rsidP="007C328C">
      <w:pPr>
        <w:pStyle w:val="IFTnormal"/>
        <w:rPr>
          <w:rFonts w:eastAsiaTheme="minorHAnsi"/>
          <w:lang w:eastAsia="en-US"/>
        </w:rPr>
      </w:pPr>
      <w:r w:rsidRPr="00B6020B">
        <w:t xml:space="preserve">Es así que la UPR identifica que las obligaciones de compartición de infraestructura pasiva se encuentran previstas en las Ofertas de Referencia para Telesites y Fibra como para Telcel, en los términos que resulten aplicables. Lo anterior, en consistencia con los recursos disponibles. Ello sin menoscabo de que cualquier negación del servicio puede ser sujeta a revisión por parte del Instituto, a través de la promoción de </w:t>
      </w:r>
      <w:r w:rsidR="00750110" w:rsidRPr="00B6020B">
        <w:t>desacuerdos</w:t>
      </w:r>
      <w:r w:rsidRPr="00B6020B">
        <w:t xml:space="preserve"> de carácter técnico.</w:t>
      </w:r>
    </w:p>
    <w:p w14:paraId="17768DBE" w14:textId="77777777" w:rsidR="000F723A" w:rsidRPr="00B6020B" w:rsidRDefault="000F723A" w:rsidP="00297EF9">
      <w:pPr>
        <w:pStyle w:val="IFTnormal"/>
        <w:rPr>
          <w:rFonts w:eastAsiaTheme="minorHAnsi"/>
          <w:lang w:eastAsia="en-US"/>
        </w:rPr>
      </w:pPr>
    </w:p>
    <w:p w14:paraId="3A2873BC" w14:textId="76029C48" w:rsidR="007F6F00" w:rsidRPr="00B6020B" w:rsidRDefault="00EE2974" w:rsidP="007F6F00">
      <w:pPr>
        <w:pStyle w:val="Prrafodelista"/>
        <w:numPr>
          <w:ilvl w:val="1"/>
          <w:numId w:val="28"/>
        </w:numPr>
        <w:rPr>
          <w:rFonts w:ascii="ITC Avant Garde" w:hAnsi="ITC Avant Garde" w:cs="Arial"/>
          <w:b/>
          <w:color w:val="000000"/>
        </w:rPr>
      </w:pPr>
      <w:r w:rsidRPr="00B6020B">
        <w:rPr>
          <w:rFonts w:ascii="ITC Avant Garde" w:hAnsi="ITC Avant Garde" w:cs="Arial"/>
          <w:b/>
          <w:color w:val="000000"/>
        </w:rPr>
        <w:t>CLÁUSULA QUINTA. RESPONSABILIDADES DE LAS PARTES, n</w:t>
      </w:r>
      <w:r w:rsidR="007F6F00" w:rsidRPr="00B6020B">
        <w:rPr>
          <w:rFonts w:ascii="ITC Avant Garde" w:hAnsi="ITC Avant Garde" w:cs="Arial"/>
          <w:b/>
          <w:color w:val="000000"/>
        </w:rPr>
        <w:t>umeral</w:t>
      </w:r>
      <w:r w:rsidR="007F6F00" w:rsidRPr="00B6020B">
        <w:rPr>
          <w:rFonts w:ascii="ITC Avant Garde" w:hAnsi="ITC Avant Garde" w:cs="Arial"/>
          <w:b/>
          <w:i/>
          <w:color w:val="000000"/>
        </w:rPr>
        <w:t xml:space="preserve"> “5.4. Medidas de Seguridad” </w:t>
      </w:r>
      <w:r w:rsidR="007F6F00" w:rsidRPr="00B6020B">
        <w:rPr>
          <w:rFonts w:ascii="ITC Avant Garde" w:hAnsi="ITC Avant Garde" w:cs="Arial"/>
          <w:b/>
          <w:color w:val="000000"/>
        </w:rPr>
        <w:t xml:space="preserve">del </w:t>
      </w:r>
      <w:r w:rsidR="007F6F00" w:rsidRPr="00B6020B">
        <w:rPr>
          <w:rFonts w:ascii="ITC Avant Garde" w:hAnsi="ITC Avant Garde" w:cs="Arial"/>
          <w:b/>
          <w:i/>
          <w:color w:val="000000"/>
        </w:rPr>
        <w:t>“Anexo “IV”: Modelo de Convenio”</w:t>
      </w:r>
      <w:r w:rsidR="007F6F00" w:rsidRPr="00B6020B">
        <w:rPr>
          <w:rFonts w:ascii="ITC Avant Garde" w:hAnsi="ITC Avant Garde" w:cs="Arial"/>
          <w:b/>
          <w:color w:val="000000"/>
        </w:rPr>
        <w:t xml:space="preserve"> </w:t>
      </w:r>
    </w:p>
    <w:p w14:paraId="3CECD89A" w14:textId="77777777" w:rsidR="00750110" w:rsidRPr="00B6020B" w:rsidRDefault="00110E2B" w:rsidP="00110E2B">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 xml:space="preserve">AT&amp;T </w:t>
      </w:r>
      <w:r w:rsidR="007F6F00" w:rsidRPr="00B6020B">
        <w:rPr>
          <w:rFonts w:ascii="ITC Avant Garde" w:hAnsi="ITC Avant Garde" w:cs="Arial"/>
          <w:sz w:val="22"/>
          <w:szCs w:val="22"/>
        </w:rPr>
        <w:t xml:space="preserve">hace referencia al numeral </w:t>
      </w:r>
      <w:r w:rsidR="007F6F00" w:rsidRPr="00B6020B">
        <w:rPr>
          <w:rFonts w:ascii="ITC Avant Garde" w:hAnsi="ITC Avant Garde" w:cs="Arial"/>
          <w:i/>
          <w:sz w:val="22"/>
          <w:szCs w:val="22"/>
        </w:rPr>
        <w:t>“5.4. Medidas de Seguridad”</w:t>
      </w:r>
      <w:r w:rsidR="007F6F00" w:rsidRPr="00B6020B">
        <w:rPr>
          <w:rFonts w:ascii="ITC Avant Garde" w:hAnsi="ITC Avant Garde" w:cs="Arial"/>
          <w:sz w:val="22"/>
          <w:szCs w:val="22"/>
        </w:rPr>
        <w:t xml:space="preserve"> dentro del </w:t>
      </w:r>
      <w:r w:rsidR="007F6F00" w:rsidRPr="00B6020B">
        <w:rPr>
          <w:rFonts w:ascii="ITC Avant Garde" w:hAnsi="ITC Avant Garde" w:cs="Arial"/>
          <w:i/>
          <w:sz w:val="22"/>
          <w:szCs w:val="22"/>
        </w:rPr>
        <w:t xml:space="preserve">“Anexo “IV”: Modelo de Convenio” </w:t>
      </w:r>
      <w:r w:rsidR="007F6F00" w:rsidRPr="00B6020B">
        <w:rPr>
          <w:rFonts w:ascii="ITC Avant Garde" w:hAnsi="ITC Avant Garde" w:cs="Arial"/>
          <w:sz w:val="22"/>
          <w:szCs w:val="22"/>
        </w:rPr>
        <w:t>de</w:t>
      </w:r>
      <w:r w:rsidRPr="00B6020B">
        <w:rPr>
          <w:rFonts w:ascii="ITC Avant Garde" w:hAnsi="ITC Avant Garde" w:cs="Arial"/>
          <w:sz w:val="22"/>
          <w:szCs w:val="22"/>
        </w:rPr>
        <w:t xml:space="preserve"> l</w:t>
      </w:r>
      <w:r w:rsidR="00533F15" w:rsidRPr="00B6020B">
        <w:rPr>
          <w:rFonts w:ascii="ITC Avant Garde" w:hAnsi="ITC Avant Garde" w:cs="Arial"/>
          <w:sz w:val="22"/>
          <w:szCs w:val="22"/>
        </w:rPr>
        <w:t xml:space="preserve">a </w:t>
      </w:r>
      <w:r w:rsidR="007F6F00" w:rsidRPr="00B6020B">
        <w:rPr>
          <w:rFonts w:ascii="ITC Avant Garde" w:hAnsi="ITC Avant Garde" w:cs="Arial"/>
          <w:sz w:val="22"/>
          <w:szCs w:val="22"/>
        </w:rPr>
        <w:t>O</w:t>
      </w:r>
      <w:r w:rsidR="00533F15" w:rsidRPr="00B6020B">
        <w:rPr>
          <w:rFonts w:ascii="ITC Avant Garde" w:hAnsi="ITC Avant Garde" w:cs="Arial"/>
          <w:sz w:val="22"/>
          <w:szCs w:val="22"/>
        </w:rPr>
        <w:t xml:space="preserve">ferta de </w:t>
      </w:r>
      <w:r w:rsidR="007F6F00" w:rsidRPr="00B6020B">
        <w:rPr>
          <w:rFonts w:ascii="ITC Avant Garde" w:hAnsi="ITC Avant Garde" w:cs="Arial"/>
          <w:sz w:val="22"/>
          <w:szCs w:val="22"/>
        </w:rPr>
        <w:t>R</w:t>
      </w:r>
      <w:r w:rsidR="00533F15" w:rsidRPr="00B6020B">
        <w:rPr>
          <w:rFonts w:ascii="ITC Avant Garde" w:hAnsi="ITC Avant Garde" w:cs="Arial"/>
          <w:sz w:val="22"/>
          <w:szCs w:val="22"/>
        </w:rPr>
        <w:t xml:space="preserve">eferencia </w:t>
      </w:r>
      <w:r w:rsidR="007F6F00" w:rsidRPr="00B6020B">
        <w:rPr>
          <w:rFonts w:ascii="ITC Avant Garde" w:hAnsi="ITC Avant Garde" w:cs="Arial"/>
          <w:sz w:val="22"/>
          <w:szCs w:val="22"/>
        </w:rPr>
        <w:t xml:space="preserve">donde se </w:t>
      </w:r>
      <w:r w:rsidR="00533F15" w:rsidRPr="00B6020B">
        <w:rPr>
          <w:rFonts w:ascii="ITC Avant Garde" w:hAnsi="ITC Avant Garde" w:cs="Arial"/>
          <w:sz w:val="22"/>
          <w:szCs w:val="22"/>
        </w:rPr>
        <w:t xml:space="preserve">establece que </w:t>
      </w:r>
      <w:r w:rsidR="00533F15" w:rsidRPr="00B6020B">
        <w:rPr>
          <w:rFonts w:ascii="ITC Avant Garde" w:hAnsi="ITC Avant Garde" w:cs="Arial"/>
          <w:i/>
          <w:sz w:val="22"/>
          <w:szCs w:val="22"/>
        </w:rPr>
        <w:t>“Telesites y la Fibra en ningún caso y por ningún motivo será responsable de caso fortuito o fuerza mayor, ni de robo, daños, pérdidas o cualquier clase de afectación a los Equipos Aprobados, salvo que hubieran sido ocasionados por personal a cargo de Telesites y/o de la Fibra, por lo que el Concesionario libera a Telesites y la Fibra desde ahora de cualquier clase de responsabilidad al respecto”</w:t>
      </w:r>
      <w:r w:rsidR="00533F15" w:rsidRPr="00B6020B">
        <w:rPr>
          <w:rFonts w:ascii="ITC Avant Garde" w:hAnsi="ITC Avant Garde" w:cs="Arial"/>
          <w:sz w:val="22"/>
          <w:szCs w:val="22"/>
        </w:rPr>
        <w:t xml:space="preserve">. </w:t>
      </w:r>
    </w:p>
    <w:p w14:paraId="653E5599" w14:textId="77777777" w:rsidR="007B1004" w:rsidRPr="00B6020B" w:rsidRDefault="00533F15" w:rsidP="00110E2B">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 xml:space="preserve">Al respecto, </w:t>
      </w:r>
      <w:r w:rsidR="007B1004" w:rsidRPr="00B6020B">
        <w:rPr>
          <w:rFonts w:ascii="ITC Avant Garde" w:hAnsi="ITC Avant Garde" w:cs="Arial"/>
          <w:sz w:val="22"/>
          <w:szCs w:val="22"/>
        </w:rPr>
        <w:t xml:space="preserve">menciona que es necesario señalar que </w:t>
      </w:r>
      <w:r w:rsidR="007B1004" w:rsidRPr="00B6020B">
        <w:rPr>
          <w:rFonts w:ascii="ITC Avant Garde" w:hAnsi="ITC Avant Garde" w:cs="Arial"/>
          <w:i/>
          <w:sz w:val="22"/>
          <w:szCs w:val="22"/>
        </w:rPr>
        <w:t>“</w:t>
      </w:r>
      <w:r w:rsidRPr="00B6020B">
        <w:rPr>
          <w:rFonts w:ascii="ITC Avant Garde" w:hAnsi="ITC Avant Garde" w:cs="Arial"/>
          <w:i/>
          <w:sz w:val="22"/>
          <w:szCs w:val="22"/>
        </w:rPr>
        <w:t>en caso de afectación a los bienes del concesionario, Telesites y la Fibra compartirán la información necesaria (grabaciones, registros, entre otros) para delimitar la responsabilidad. Asimismo, se debe establecer que Telesites y la Fibra permitirán que el concesionario realice acciones para la seguridad y resguardo de sus bienes en los sitios (algún guardia en sitio, candados o reforzamiento de los mecanismos de seguridad) ante situaciones de eventos de fuerza mayor o caso fortuito, así como de eventos provocados o realizados por terceras personas ajenas a la prestación de los Servicios</w:t>
      </w:r>
      <w:r w:rsidR="007B1004" w:rsidRPr="00B6020B">
        <w:rPr>
          <w:rFonts w:ascii="ITC Avant Garde" w:hAnsi="ITC Avant Garde" w:cs="Arial"/>
          <w:i/>
          <w:sz w:val="22"/>
          <w:szCs w:val="22"/>
        </w:rPr>
        <w:t>,”</w:t>
      </w:r>
      <w:r w:rsidR="007B1004" w:rsidRPr="00B6020B">
        <w:rPr>
          <w:rFonts w:ascii="ITC Avant Garde" w:hAnsi="ITC Avant Garde" w:cs="Arial"/>
          <w:sz w:val="22"/>
          <w:szCs w:val="22"/>
        </w:rPr>
        <w:t>.</w:t>
      </w:r>
    </w:p>
    <w:p w14:paraId="2366BDA1" w14:textId="77777777" w:rsidR="00110E2B" w:rsidRPr="00B6020B" w:rsidRDefault="00110E2B" w:rsidP="00110E2B">
      <w:pPr>
        <w:pStyle w:val="Default"/>
        <w:spacing w:after="100" w:afterAutospacing="1" w:line="276" w:lineRule="auto"/>
        <w:jc w:val="both"/>
        <w:rPr>
          <w:rFonts w:ascii="ITC Avant Garde" w:hAnsi="ITC Avant Garde" w:cs="Arial"/>
          <w:sz w:val="22"/>
          <w:szCs w:val="22"/>
          <w:u w:val="single"/>
        </w:rPr>
      </w:pPr>
      <w:r w:rsidRPr="00B6020B">
        <w:rPr>
          <w:rFonts w:ascii="ITC Avant Garde" w:hAnsi="ITC Avant Garde" w:cs="Arial"/>
          <w:sz w:val="22"/>
          <w:szCs w:val="22"/>
          <w:u w:val="single"/>
        </w:rPr>
        <w:t>Respuesta de la UPR</w:t>
      </w:r>
    </w:p>
    <w:p w14:paraId="3785844F" w14:textId="37856CAB" w:rsidR="007C1E21" w:rsidRPr="00B6020B" w:rsidRDefault="009349DB" w:rsidP="00110E2B">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lastRenderedPageBreak/>
        <w:t>Al respecto, la UPR considera que dentro de la Oferta de Referencia se</w:t>
      </w:r>
      <w:r w:rsidR="007C1E21" w:rsidRPr="00B6020B">
        <w:rPr>
          <w:rFonts w:ascii="ITC Avant Garde" w:hAnsi="ITC Avant Garde" w:cs="Arial"/>
          <w:sz w:val="22"/>
          <w:szCs w:val="22"/>
        </w:rPr>
        <w:t xml:space="preserve"> cuenta con </w:t>
      </w:r>
      <w:r w:rsidRPr="00B6020B">
        <w:rPr>
          <w:rFonts w:ascii="ITC Avant Garde" w:hAnsi="ITC Avant Garde" w:cs="Arial"/>
          <w:sz w:val="22"/>
          <w:szCs w:val="22"/>
        </w:rPr>
        <w:t xml:space="preserve">la </w:t>
      </w:r>
      <w:bookmarkStart w:id="6" w:name="_Hlk187830109"/>
      <w:r w:rsidRPr="00B6020B">
        <w:rPr>
          <w:rFonts w:ascii="ITC Avant Garde" w:hAnsi="ITC Avant Garde" w:cs="Arial"/>
          <w:i/>
          <w:sz w:val="22"/>
          <w:szCs w:val="22"/>
        </w:rPr>
        <w:t>“Clausula 8.2 Suspensión”</w:t>
      </w:r>
      <w:r w:rsidR="007C1E21" w:rsidRPr="00B6020B">
        <w:rPr>
          <w:rFonts w:ascii="ITC Avant Garde" w:hAnsi="ITC Avant Garde" w:cs="Arial"/>
          <w:sz w:val="22"/>
          <w:szCs w:val="22"/>
        </w:rPr>
        <w:t xml:space="preserve"> </w:t>
      </w:r>
      <w:bookmarkEnd w:id="6"/>
      <w:r w:rsidR="007E1D68" w:rsidRPr="00B6020B">
        <w:rPr>
          <w:rFonts w:ascii="ITC Avant Garde" w:hAnsi="ITC Avant Garde" w:cs="Arial"/>
          <w:sz w:val="22"/>
          <w:szCs w:val="22"/>
        </w:rPr>
        <w:t xml:space="preserve">que aborda las inquietudes del participante AT&amp;T </w:t>
      </w:r>
      <w:r w:rsidR="007C1E21" w:rsidRPr="00B6020B">
        <w:rPr>
          <w:rFonts w:ascii="ITC Avant Garde" w:hAnsi="ITC Avant Garde" w:cs="Arial"/>
          <w:sz w:val="22"/>
          <w:szCs w:val="22"/>
        </w:rPr>
        <w:t xml:space="preserve">sobre caso fortuito dentro del </w:t>
      </w:r>
      <w:r w:rsidR="00E1623F" w:rsidRPr="00B6020B">
        <w:rPr>
          <w:rFonts w:ascii="ITC Avant Garde" w:hAnsi="ITC Avant Garde" w:cs="Arial"/>
          <w:i/>
          <w:sz w:val="22"/>
          <w:szCs w:val="22"/>
        </w:rPr>
        <w:t xml:space="preserve">“Anexo “IV”: </w:t>
      </w:r>
      <w:proofErr w:type="spellStart"/>
      <w:r w:rsidR="00E1623F" w:rsidRPr="00B6020B">
        <w:rPr>
          <w:rFonts w:ascii="ITC Avant Garde" w:hAnsi="ITC Avant Garde" w:cs="Arial"/>
          <w:i/>
          <w:sz w:val="22"/>
          <w:szCs w:val="22"/>
        </w:rPr>
        <w:t>Modelo</w:t>
      </w:r>
      <w:proofErr w:type="spellEnd"/>
      <w:r w:rsidR="00E1623F" w:rsidRPr="00B6020B">
        <w:rPr>
          <w:rFonts w:ascii="ITC Avant Garde" w:hAnsi="ITC Avant Garde" w:cs="Arial"/>
          <w:i/>
          <w:sz w:val="22"/>
          <w:szCs w:val="22"/>
        </w:rPr>
        <w:t xml:space="preserve"> de </w:t>
      </w:r>
      <w:proofErr w:type="spellStart"/>
      <w:r w:rsidR="00E1623F" w:rsidRPr="00B6020B">
        <w:rPr>
          <w:rFonts w:ascii="ITC Avant Garde" w:hAnsi="ITC Avant Garde" w:cs="Arial"/>
          <w:i/>
          <w:sz w:val="22"/>
          <w:szCs w:val="22"/>
        </w:rPr>
        <w:t>Convenio</w:t>
      </w:r>
      <w:proofErr w:type="spellEnd"/>
      <w:r w:rsidR="00E1623F" w:rsidRPr="00B6020B">
        <w:rPr>
          <w:rFonts w:ascii="ITC Avant Garde" w:hAnsi="ITC Avant Garde" w:cs="Arial"/>
          <w:i/>
          <w:sz w:val="22"/>
          <w:szCs w:val="22"/>
        </w:rPr>
        <w:t>”</w:t>
      </w:r>
      <w:r w:rsidR="000542E6" w:rsidRPr="00B6020B">
        <w:rPr>
          <w:rFonts w:ascii="ITC Avant Garde" w:hAnsi="ITC Avant Garde" w:cs="Arial"/>
          <w:i/>
          <w:sz w:val="22"/>
          <w:szCs w:val="22"/>
        </w:rPr>
        <w:t>,</w:t>
      </w:r>
      <w:r w:rsidR="00E1623F" w:rsidRPr="00B6020B">
        <w:rPr>
          <w:rFonts w:ascii="ITC Avant Garde" w:hAnsi="ITC Avant Garde" w:cs="Arial"/>
          <w:i/>
          <w:sz w:val="22"/>
          <w:szCs w:val="22"/>
        </w:rPr>
        <w:t xml:space="preserve"> </w:t>
      </w:r>
      <w:r w:rsidRPr="00B6020B">
        <w:rPr>
          <w:rFonts w:ascii="ITC Avant Garde" w:hAnsi="ITC Avant Garde" w:cs="Arial"/>
          <w:sz w:val="22"/>
          <w:szCs w:val="22"/>
        </w:rPr>
        <w:t xml:space="preserve">que a </w:t>
      </w:r>
      <w:proofErr w:type="spellStart"/>
      <w:r w:rsidRPr="00B6020B">
        <w:rPr>
          <w:rFonts w:ascii="ITC Avant Garde" w:hAnsi="ITC Avant Garde" w:cs="Arial"/>
          <w:sz w:val="22"/>
          <w:szCs w:val="22"/>
        </w:rPr>
        <w:t>letra</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menciona</w:t>
      </w:r>
      <w:proofErr w:type="spellEnd"/>
      <w:r w:rsidRPr="00B6020B">
        <w:rPr>
          <w:rFonts w:ascii="ITC Avant Garde" w:hAnsi="ITC Avant Garde" w:cs="Arial"/>
          <w:sz w:val="22"/>
          <w:szCs w:val="22"/>
        </w:rPr>
        <w:t xml:space="preserve"> lo </w:t>
      </w:r>
      <w:proofErr w:type="spellStart"/>
      <w:r w:rsidRPr="00B6020B">
        <w:rPr>
          <w:rFonts w:ascii="ITC Avant Garde" w:hAnsi="ITC Avant Garde" w:cs="Arial"/>
          <w:sz w:val="22"/>
          <w:szCs w:val="22"/>
        </w:rPr>
        <w:t>siguiente</w:t>
      </w:r>
      <w:proofErr w:type="spellEnd"/>
      <w:r w:rsidR="007C1E21" w:rsidRPr="00B6020B">
        <w:rPr>
          <w:rFonts w:ascii="ITC Avant Garde" w:hAnsi="ITC Avant Garde" w:cs="Arial"/>
          <w:sz w:val="22"/>
          <w:szCs w:val="22"/>
        </w:rPr>
        <w:t>:</w:t>
      </w:r>
    </w:p>
    <w:p w14:paraId="183194BB" w14:textId="77777777" w:rsidR="007C1E21" w:rsidRPr="00B6020B" w:rsidRDefault="007E1D68" w:rsidP="007C328C">
      <w:pPr>
        <w:pStyle w:val="Citaift0"/>
        <w:ind w:left="1235"/>
      </w:pPr>
      <w:r w:rsidRPr="00B6020B">
        <w:t>“</w:t>
      </w:r>
      <w:r w:rsidR="007C1E21" w:rsidRPr="00B6020B">
        <w:t>8.2</w:t>
      </w:r>
      <w:r w:rsidR="007C1E21" w:rsidRPr="00B6020B">
        <w:tab/>
        <w:t>Suspensión</w:t>
      </w:r>
    </w:p>
    <w:p w14:paraId="41238F18" w14:textId="77777777" w:rsidR="007C1E21" w:rsidRPr="00B6020B" w:rsidRDefault="007C1E21" w:rsidP="007C328C">
      <w:pPr>
        <w:pStyle w:val="Citaift0"/>
        <w:ind w:left="1235"/>
      </w:pPr>
      <w:r w:rsidRPr="00B6020B">
        <w:t>Telesites y la Fibra no será responsable para ningún efecto, por el retraso y/o no cumplimiento de obligaciones a su cargo, incluyendo los daños que se causaren a bienes de la otra Parte por o como consecuencia de eventos de fuerza mayor o caso fortuito, tales como explosiones, sismos, inundaciones, tormentas, huracanes, incendios y demás  fenómenos naturales, ni de aquellos que sean provocados o realizados por terceras personas ajenas a la prestación de los Servicios, tales como actos de autoridades de cualquier clase, actos de agrupaciones, invasión, despojo, robo, huelgas, revueltas civiles, sabotaje o terrorismo, u otras situaciones similares.</w:t>
      </w:r>
    </w:p>
    <w:p w14:paraId="0C35584D" w14:textId="77777777" w:rsidR="007C1E21" w:rsidRPr="00B6020B" w:rsidRDefault="007C1E21" w:rsidP="007C328C">
      <w:pPr>
        <w:pStyle w:val="Citaift0"/>
        <w:ind w:left="1235"/>
        <w:rPr>
          <w:b/>
          <w:u w:val="single"/>
        </w:rPr>
      </w:pPr>
      <w:r w:rsidRPr="00B6020B">
        <w:rPr>
          <w:b/>
          <w:u w:val="single"/>
        </w:rPr>
        <w:t>Telesites y/o la Fibra notificará a la otra Parte tan pronto como tenga conocimiento y le sea posible sobre la existencia del evento de que se trate, proporcionando detalles sobre el mismo.</w:t>
      </w:r>
    </w:p>
    <w:p w14:paraId="75892782" w14:textId="77777777" w:rsidR="007E1D68" w:rsidRPr="00B6020B" w:rsidRDefault="007C1E21" w:rsidP="007E1D68">
      <w:pPr>
        <w:pStyle w:val="Citaift0"/>
        <w:ind w:left="1235"/>
      </w:pPr>
      <w:r w:rsidRPr="00B6020B">
        <w:t>En caso de que la situación prevalezca y no permita la prestación o recepción del Servicio por un plazo mayor a 30 (treinta) días y siempre y cuando Telesites y/o la Fibra no esté en posibilidad de proveer al Concesionario una solución temporal o definitiva el Servicio podrá ser cancelado por el Concesionario, por lo que, de tratarse del Servicio de Acceso y Uso Compartido de Infraestructura Pasiva, podrá dar por terminado el Acuerdo de Sitio correspondiente.</w:t>
      </w:r>
      <w:bookmarkStart w:id="7" w:name="_Hlk187778667"/>
      <w:r w:rsidR="007E1D68" w:rsidRPr="00B6020B">
        <w:t>”</w:t>
      </w:r>
    </w:p>
    <w:p w14:paraId="29BDA681" w14:textId="77777777" w:rsidR="007E1D68" w:rsidRPr="00B6020B" w:rsidRDefault="007E1D68" w:rsidP="007E1D68">
      <w:pPr>
        <w:pStyle w:val="Citaift0"/>
        <w:ind w:left="1235"/>
        <w:jc w:val="right"/>
      </w:pPr>
      <w:r w:rsidRPr="00B6020B">
        <w:t>(énfasis añadido)</w:t>
      </w:r>
    </w:p>
    <w:p w14:paraId="6BA97B80" w14:textId="092E97D0" w:rsidR="007E1D68" w:rsidRPr="00B6020B" w:rsidRDefault="007E1D68" w:rsidP="007E1D68">
      <w:pPr>
        <w:pStyle w:val="Default"/>
        <w:spacing w:after="100" w:afterAutospacing="1" w:line="276" w:lineRule="auto"/>
        <w:jc w:val="both"/>
        <w:rPr>
          <w:rFonts w:ascii="ITC Avant Garde" w:hAnsi="ITC Avant Garde" w:cs="Arial"/>
          <w:sz w:val="22"/>
          <w:szCs w:val="22"/>
          <w:lang w:val="es-MX"/>
        </w:rPr>
      </w:pPr>
      <w:r w:rsidRPr="00B6020B">
        <w:rPr>
          <w:rFonts w:ascii="ITC Avant Garde" w:hAnsi="ITC Avant Garde" w:cs="Arial"/>
          <w:sz w:val="22"/>
          <w:szCs w:val="22"/>
          <w:lang w:val="es-MX"/>
        </w:rPr>
        <w:t xml:space="preserve">En esta cláusula, se establece que </w:t>
      </w:r>
      <w:proofErr w:type="spellStart"/>
      <w:r w:rsidRPr="00B6020B">
        <w:rPr>
          <w:rFonts w:ascii="ITC Avant Garde" w:hAnsi="ITC Avant Garde" w:cs="Arial"/>
          <w:sz w:val="22"/>
          <w:szCs w:val="22"/>
          <w:lang w:val="es-MX"/>
        </w:rPr>
        <w:t>Telesites</w:t>
      </w:r>
      <w:proofErr w:type="spellEnd"/>
      <w:r w:rsidRPr="00B6020B">
        <w:rPr>
          <w:rFonts w:ascii="ITC Avant Garde" w:hAnsi="ITC Avant Garde" w:cs="Arial"/>
          <w:sz w:val="22"/>
          <w:szCs w:val="22"/>
          <w:lang w:val="es-MX"/>
        </w:rPr>
        <w:t xml:space="preserve"> y Fibra no serán responsables por daños o afectaciones a los bienes del concesionario derivadas de eventos de fuerza mayor o caso fortuito, incluyendo aquellos causados por fenómenos naturales, actos de terceros o situaciones similares. Sin embargo, también se especifica que </w:t>
      </w:r>
      <w:proofErr w:type="spellStart"/>
      <w:r w:rsidRPr="00B6020B">
        <w:rPr>
          <w:rFonts w:ascii="ITC Avant Garde" w:hAnsi="ITC Avant Garde" w:cs="Arial"/>
          <w:sz w:val="22"/>
          <w:szCs w:val="22"/>
          <w:lang w:val="es-MX"/>
        </w:rPr>
        <w:t>Telesites</w:t>
      </w:r>
      <w:proofErr w:type="spellEnd"/>
      <w:r w:rsidRPr="00B6020B">
        <w:rPr>
          <w:rFonts w:ascii="ITC Avant Garde" w:hAnsi="ITC Avant Garde" w:cs="Arial"/>
          <w:sz w:val="22"/>
          <w:szCs w:val="22"/>
          <w:lang w:val="es-MX"/>
        </w:rPr>
        <w:t xml:space="preserve"> y Fibra tienen la obligación de notificar al concesionario tan pronto como tengan conocimiento del evento, proporcionando los detalles relevantes relacionados con la situación.</w:t>
      </w:r>
    </w:p>
    <w:p w14:paraId="5FF3D921" w14:textId="77777777" w:rsidR="007E1D68" w:rsidRPr="00B6020B" w:rsidRDefault="007E1D68" w:rsidP="007E1D68">
      <w:pPr>
        <w:pStyle w:val="Default"/>
        <w:spacing w:after="100" w:afterAutospacing="1" w:line="276" w:lineRule="auto"/>
        <w:jc w:val="both"/>
        <w:rPr>
          <w:rFonts w:ascii="ITC Avant Garde" w:hAnsi="ITC Avant Garde" w:cs="Arial"/>
          <w:sz w:val="22"/>
          <w:szCs w:val="22"/>
          <w:lang w:val="es-MX"/>
        </w:rPr>
      </w:pPr>
      <w:r w:rsidRPr="00B6020B">
        <w:rPr>
          <w:rFonts w:ascii="ITC Avant Garde" w:hAnsi="ITC Avant Garde" w:cs="Arial"/>
          <w:sz w:val="22"/>
          <w:szCs w:val="22"/>
          <w:lang w:val="es-MX"/>
        </w:rPr>
        <w:t>Adicionalmente, en caso de que la afectación persista por más de 30 días y no sea posible proporcionar una solución temporal o definitiva, el concesionario tendrá la opción de cancelar el servicio o dar por terminado el Acuerdo de Sitio correspondiente.</w:t>
      </w:r>
    </w:p>
    <w:p w14:paraId="28DDBC1A" w14:textId="77777777" w:rsidR="00A14C03" w:rsidRPr="00B6020B" w:rsidRDefault="007E1D68" w:rsidP="00A14C03">
      <w:pPr>
        <w:pStyle w:val="Default"/>
        <w:spacing w:after="100" w:afterAutospacing="1" w:line="276" w:lineRule="auto"/>
        <w:jc w:val="both"/>
        <w:rPr>
          <w:rFonts w:ascii="ITC Avant Garde" w:hAnsi="ITC Avant Garde" w:cs="Arial"/>
          <w:sz w:val="22"/>
          <w:szCs w:val="22"/>
          <w:lang w:val="es-MX"/>
        </w:rPr>
      </w:pPr>
      <w:r w:rsidRPr="00B6020B">
        <w:rPr>
          <w:rFonts w:ascii="ITC Avant Garde" w:hAnsi="ITC Avant Garde" w:cs="Arial"/>
          <w:sz w:val="22"/>
          <w:szCs w:val="22"/>
          <w:lang w:val="es-MX"/>
        </w:rPr>
        <w:t>Por tanto, la UPR considera que las disposiciones mencionadas cubren los aspectos de comunicación y delimitación de responsabilidades, ya que garantizan que el concesionario será informado oportunamente sobre eventos de fuerza mayor o caso fortuito, así como los detalles necesarios para la toma de decisiones.</w:t>
      </w:r>
    </w:p>
    <w:p w14:paraId="5D86079D" w14:textId="64E81F0F" w:rsidR="00564424" w:rsidRPr="00B6020B" w:rsidRDefault="00564424" w:rsidP="00A14C03">
      <w:pPr>
        <w:pStyle w:val="Default"/>
        <w:numPr>
          <w:ilvl w:val="1"/>
          <w:numId w:val="28"/>
        </w:numPr>
        <w:spacing w:after="100" w:afterAutospacing="1" w:line="276" w:lineRule="auto"/>
        <w:jc w:val="both"/>
        <w:rPr>
          <w:rFonts w:ascii="ITC Avant Garde" w:hAnsi="ITC Avant Garde"/>
          <w:sz w:val="22"/>
          <w:szCs w:val="22"/>
          <w:lang w:val="es-ES_tradnl"/>
        </w:rPr>
      </w:pPr>
      <w:r w:rsidRPr="00B6020B">
        <w:rPr>
          <w:rFonts w:ascii="ITC Avant Garde" w:hAnsi="ITC Avant Garde"/>
          <w:b/>
          <w:sz w:val="22"/>
          <w:szCs w:val="22"/>
          <w:lang w:val="es-ES_tradnl"/>
        </w:rPr>
        <w:lastRenderedPageBreak/>
        <w:t>CLÁUSULA VIGÉSIMA PRIMERA. SOLUCIÓN DE CONTROVERSIAS</w:t>
      </w:r>
      <w:r w:rsidR="00EE2974" w:rsidRPr="00B6020B">
        <w:rPr>
          <w:rFonts w:ascii="ITC Avant Garde" w:hAnsi="ITC Avant Garde"/>
          <w:b/>
          <w:sz w:val="22"/>
          <w:szCs w:val="22"/>
          <w:lang w:val="es-ES_tradnl"/>
        </w:rPr>
        <w:t xml:space="preserve"> del</w:t>
      </w:r>
      <w:r w:rsidRPr="00B6020B">
        <w:rPr>
          <w:rFonts w:ascii="ITC Avant Garde" w:hAnsi="ITC Avant Garde"/>
          <w:b/>
          <w:sz w:val="22"/>
          <w:szCs w:val="22"/>
          <w:lang w:val="es-ES_tradnl"/>
        </w:rPr>
        <w:t xml:space="preserve"> “Anexo “IV”: Modelo de Convenio”</w:t>
      </w:r>
    </w:p>
    <w:p w14:paraId="79DEE786" w14:textId="77777777" w:rsidR="00564424" w:rsidRPr="00B6020B" w:rsidRDefault="00564424" w:rsidP="00564424">
      <w:pPr>
        <w:spacing w:after="120" w:line="276" w:lineRule="auto"/>
        <w:rPr>
          <w:rFonts w:ascii="ITC Avant Garde" w:hAnsi="ITC Avant Garde"/>
          <w:lang w:val="es-ES_tradnl"/>
        </w:rPr>
      </w:pPr>
      <w:r w:rsidRPr="00B6020B">
        <w:rPr>
          <w:rFonts w:ascii="ITC Avant Garde" w:hAnsi="ITC Avant Garde"/>
          <w:lang w:val="es-ES_tradnl"/>
        </w:rPr>
        <w:t xml:space="preserve">Televisa señala que la </w:t>
      </w:r>
      <w:r w:rsidRPr="00B6020B">
        <w:rPr>
          <w:rFonts w:ascii="ITC Avant Garde" w:hAnsi="ITC Avant Garde"/>
          <w:i/>
          <w:lang w:val="es-ES_tradnl" w:eastAsia="es-ES"/>
        </w:rPr>
        <w:t>“CLÁUSULA VIGÉSIMA PRIMERA. SOLUCIÓN DE CONTROVERSIAS”</w:t>
      </w:r>
      <w:r w:rsidRPr="00B6020B">
        <w:rPr>
          <w:rFonts w:ascii="ITC Avant Garde" w:hAnsi="ITC Avant Garde"/>
          <w:lang w:val="es-ES_tradnl"/>
        </w:rPr>
        <w:t>, dentro del</w:t>
      </w:r>
      <w:r w:rsidRPr="00B6020B">
        <w:rPr>
          <w:rFonts w:ascii="ITC Avant Garde" w:hAnsi="ITC Avant Garde"/>
          <w:i/>
          <w:lang w:val="es-ES_tradnl"/>
        </w:rPr>
        <w:t xml:space="preserve"> “Anexo “IV”: Modelo de Convenio” </w:t>
      </w:r>
      <w:r w:rsidRPr="00B6020B">
        <w:rPr>
          <w:rFonts w:ascii="ITC Avant Garde" w:hAnsi="ITC Avant Garde"/>
          <w:lang w:val="es-ES_tradnl"/>
        </w:rPr>
        <w:t>no se encuentra establecida en otras Ofertas de Referencia del Agente Económico Preponderante, por lo que solicita que esta cláusula se suprima, para que se aplique lo establecido en la Cláusula de Jurisdicción Aplicable.</w:t>
      </w:r>
      <w:r w:rsidRPr="00B6020B">
        <w:rPr>
          <w:rFonts w:ascii="ITC Avant Garde" w:hAnsi="ITC Avant Garde"/>
          <w:lang w:val="es-ES_tradnl"/>
        </w:rPr>
        <w:cr/>
      </w:r>
    </w:p>
    <w:p w14:paraId="7765098B" w14:textId="77777777" w:rsidR="00564424" w:rsidRPr="00B6020B" w:rsidRDefault="00564424" w:rsidP="00564424">
      <w:pPr>
        <w:spacing w:after="120" w:line="276" w:lineRule="auto"/>
        <w:rPr>
          <w:rFonts w:ascii="ITC Avant Garde" w:hAnsi="ITC Avant Garde"/>
          <w:lang w:val="es-ES_tradnl"/>
        </w:rPr>
      </w:pPr>
      <w:r w:rsidRPr="00B6020B">
        <w:rPr>
          <w:rFonts w:ascii="ITC Avant Garde" w:hAnsi="ITC Avant Garde"/>
          <w:lang w:val="es-ES_tradnl"/>
        </w:rPr>
        <w:t>Adicional a lo anterior, señala que tal procedimiento de solución de controversias</w:t>
      </w:r>
      <w:r w:rsidR="00750110" w:rsidRPr="00B6020B">
        <w:rPr>
          <w:rFonts w:ascii="ITC Avant Garde" w:hAnsi="ITC Avant Garde"/>
          <w:i/>
          <w:lang w:val="es-ES_tradnl"/>
        </w:rPr>
        <w:t xml:space="preserve"> </w:t>
      </w:r>
      <w:r w:rsidRPr="00B6020B">
        <w:rPr>
          <w:rFonts w:ascii="ITC Avant Garde" w:hAnsi="ITC Avant Garde"/>
          <w:i/>
          <w:lang w:val="es-ES_tradnl"/>
        </w:rPr>
        <w:t>“i) involucra procedimientos con los cuales OPERBES no se encuentra de acuerdo, pues involucra al Centro de Arbitraje de México, lo cual conlleva a la generación de costos adicionales para los CS en el evento en que se requiera dar solución a alguna controversia surgida entre estos y OPERBES. En tal sentido se solicita que esta cláusula sea homologada con aquella contenida en las demás Ofertas de Referencia del AEPT como lo es la Oferta de Compartición de Infraestructura, tanto de la DM como de la EM.”</w:t>
      </w:r>
      <w:r w:rsidRPr="00B6020B">
        <w:rPr>
          <w:rFonts w:ascii="ITC Avant Garde" w:hAnsi="ITC Avant Garde"/>
          <w:lang w:val="es-ES_tradnl"/>
        </w:rPr>
        <w:t>.</w:t>
      </w:r>
    </w:p>
    <w:p w14:paraId="7A2C2216" w14:textId="77777777" w:rsidR="00564424" w:rsidRPr="00B6020B" w:rsidRDefault="00564424" w:rsidP="00564424">
      <w:pPr>
        <w:spacing w:after="120" w:line="276" w:lineRule="auto"/>
        <w:rPr>
          <w:rFonts w:ascii="ITC Avant Garde" w:hAnsi="ITC Avant Garde"/>
          <w:u w:val="single"/>
          <w:lang w:val="es-ES_tradnl"/>
        </w:rPr>
      </w:pPr>
      <w:r w:rsidRPr="00B6020B">
        <w:rPr>
          <w:rFonts w:ascii="ITC Avant Garde" w:hAnsi="ITC Avant Garde"/>
          <w:u w:val="single"/>
          <w:lang w:val="es-ES_tradnl"/>
        </w:rPr>
        <w:t>Respuesta de la UPR</w:t>
      </w:r>
    </w:p>
    <w:p w14:paraId="0A24AB4B" w14:textId="77777777" w:rsidR="00564424" w:rsidRPr="00B6020B" w:rsidRDefault="00564424" w:rsidP="00564424">
      <w:pPr>
        <w:spacing w:after="120" w:line="276" w:lineRule="auto"/>
        <w:rPr>
          <w:rFonts w:ascii="ITC Avant Garde" w:hAnsi="ITC Avant Garde"/>
          <w:lang w:val="es-ES_tradnl"/>
        </w:rPr>
      </w:pPr>
      <w:r w:rsidRPr="00B6020B">
        <w:rPr>
          <w:rFonts w:ascii="ITC Avant Garde" w:hAnsi="ITC Avant Garde"/>
          <w:lang w:val="es-ES_tradnl"/>
        </w:rPr>
        <w:t xml:space="preserve">Respecto a dichos comentarios, la UPR señala que </w:t>
      </w:r>
      <w:r w:rsidRPr="00B6020B">
        <w:rPr>
          <w:rFonts w:ascii="ITC Avant Garde" w:hAnsi="ITC Avant Garde"/>
          <w:i/>
          <w:lang w:val="es-ES_tradnl" w:eastAsia="es-ES"/>
        </w:rPr>
        <w:t>“CLÁUSULA VIGÉSIMA PRIMERA. SOLUCIÓN DE CONTROVERSIAS”</w:t>
      </w:r>
      <w:r w:rsidRPr="00B6020B">
        <w:rPr>
          <w:rFonts w:ascii="ITC Avant Garde" w:hAnsi="ITC Avant Garde"/>
          <w:lang w:val="es-ES_tradnl"/>
        </w:rPr>
        <w:t xml:space="preserve"> </w:t>
      </w:r>
      <w:r w:rsidR="00750110" w:rsidRPr="00B6020B">
        <w:rPr>
          <w:rFonts w:ascii="ITC Avant Garde" w:hAnsi="ITC Avant Garde"/>
          <w:lang w:val="es-ES_tradnl"/>
        </w:rPr>
        <w:t>refiere</w:t>
      </w:r>
      <w:r w:rsidRPr="00B6020B">
        <w:rPr>
          <w:rFonts w:ascii="ITC Avant Garde" w:hAnsi="ITC Avant Garde"/>
          <w:lang w:val="es-ES_tradnl"/>
        </w:rPr>
        <w:t xml:space="preserve"> sobre los desacuerdos sobre aspectos técnicos y sobre la determinación de tarifas, dentro de los cuales el Instituto </w:t>
      </w:r>
      <w:r w:rsidR="00750110" w:rsidRPr="00B6020B">
        <w:rPr>
          <w:rFonts w:ascii="ITC Avant Garde" w:hAnsi="ITC Avant Garde"/>
          <w:lang w:val="es-ES_tradnl"/>
        </w:rPr>
        <w:t>tiene participación para la</w:t>
      </w:r>
      <w:r w:rsidRPr="00B6020B">
        <w:rPr>
          <w:rFonts w:ascii="ITC Avant Garde" w:hAnsi="ITC Avant Garde"/>
          <w:lang w:val="es-ES_tradnl"/>
        </w:rPr>
        <w:t xml:space="preserve"> resolución de controversias. </w:t>
      </w:r>
    </w:p>
    <w:p w14:paraId="3BCC151E" w14:textId="77777777" w:rsidR="00564424" w:rsidRPr="00B6020B" w:rsidRDefault="00564424" w:rsidP="00564424">
      <w:pPr>
        <w:spacing w:after="120" w:line="276" w:lineRule="auto"/>
        <w:rPr>
          <w:rFonts w:ascii="ITC Avant Garde" w:hAnsi="ITC Avant Garde"/>
          <w:lang w:val="es-ES_tradnl"/>
        </w:rPr>
      </w:pPr>
      <w:r w:rsidRPr="00B6020B">
        <w:rPr>
          <w:rFonts w:ascii="ITC Avant Garde" w:hAnsi="ITC Avant Garde"/>
          <w:lang w:val="es-ES_tradnl"/>
        </w:rPr>
        <w:t xml:space="preserve">Lo anterior tiene sustento en lo señalado en las Medidas Móviles para la resolución de desacuerdos que formen parte de los servicios mayoristas ofrecidos en la oferta de referencia. </w:t>
      </w:r>
      <w:r w:rsidR="0097411E" w:rsidRPr="00B6020B">
        <w:rPr>
          <w:rFonts w:ascii="ITC Avant Garde" w:hAnsi="ITC Avant Garde"/>
          <w:lang w:val="es-ES_tradnl"/>
        </w:rPr>
        <w:t>Ello</w:t>
      </w:r>
      <w:r w:rsidRPr="00B6020B">
        <w:rPr>
          <w:rFonts w:ascii="ITC Avant Garde" w:hAnsi="ITC Avant Garde"/>
          <w:lang w:val="es-ES_tradnl"/>
        </w:rPr>
        <w:t xml:space="preserve"> sin menoscabo de que cualquier otra controversia puedan ser atendidos por otro tipo de jurisdicciones o tribunales competentes.</w:t>
      </w:r>
    </w:p>
    <w:p w14:paraId="1F52F492" w14:textId="61CD3C21" w:rsidR="00564424" w:rsidRPr="00B6020B" w:rsidRDefault="00564424" w:rsidP="00564424">
      <w:pPr>
        <w:spacing w:after="120" w:line="276" w:lineRule="auto"/>
        <w:rPr>
          <w:rFonts w:ascii="ITC Avant Garde" w:hAnsi="ITC Avant Garde"/>
          <w:lang w:val="es-ES_tradnl"/>
        </w:rPr>
      </w:pPr>
      <w:r w:rsidRPr="00B6020B">
        <w:rPr>
          <w:rFonts w:ascii="ITC Avant Garde" w:hAnsi="ITC Avant Garde"/>
          <w:lang w:val="es-ES_tradnl"/>
        </w:rPr>
        <w:t xml:space="preserve">Es así que de conformidad con lo dispuesto en la Medida SEXÁGESIMA SEGUNDA, SEPTUAGÉSIMA CUARTA y SEPTUAGÉSIMA QUINTA de las Medidas Móviles establecen el marco normativo para solicitar la intervención del Instituto para la resolución de este tipo de desacuerdos. </w:t>
      </w:r>
    </w:p>
    <w:p w14:paraId="1A1AC8F3" w14:textId="17067B42" w:rsidR="00E726FB" w:rsidRPr="00B6020B" w:rsidRDefault="00E726FB" w:rsidP="00E726FB">
      <w:pPr>
        <w:spacing w:after="120" w:line="276" w:lineRule="auto"/>
        <w:rPr>
          <w:rFonts w:ascii="ITC Avant Garde" w:hAnsi="ITC Avant Garde"/>
          <w:lang w:val="es-ES_tradnl"/>
        </w:rPr>
      </w:pPr>
      <w:r w:rsidRPr="00B6020B">
        <w:rPr>
          <w:rFonts w:ascii="ITC Avant Garde" w:hAnsi="ITC Avant Garde"/>
          <w:lang w:val="es-ES_tradnl"/>
        </w:rPr>
        <w:t xml:space="preserve">En complemento, se destaca que como parte de la revisión bienal seguida por el Instituto al AEP se estableció la Medida OCTOGÉSIMA PRIMERA, la cual establece la posibilidad de que a solicitud del AEP o el CS se puedan crear grupos de trabajo temporales para la solución voluntaria de diferencias o disputas relacionadas con la prestación de los servicios mayoristas regulados. </w:t>
      </w:r>
    </w:p>
    <w:p w14:paraId="19889907" w14:textId="6364ED0A" w:rsidR="00B03274" w:rsidRPr="00B6020B" w:rsidRDefault="00E726FB" w:rsidP="00E726FB">
      <w:pPr>
        <w:spacing w:after="120" w:line="276" w:lineRule="auto"/>
        <w:rPr>
          <w:rFonts w:ascii="ITC Avant Garde" w:hAnsi="ITC Avant Garde"/>
          <w:lang w:val="es-ES_tradnl"/>
        </w:rPr>
      </w:pPr>
      <w:r w:rsidRPr="00B6020B">
        <w:rPr>
          <w:rFonts w:ascii="ITC Avant Garde" w:hAnsi="ITC Avant Garde"/>
          <w:lang w:val="es-ES_tradnl"/>
        </w:rPr>
        <w:t xml:space="preserve">Ello con independencia de que durante dicho procedimiento cualquiera de las partes pueda solicitar la resolución de desacuerdo prevista en la medida Septuagésima Tercera, con lo cual se suspenderá el procedimiento iniciado entre las partes bajo el mecanismo de solución voluntaria. </w:t>
      </w:r>
    </w:p>
    <w:p w14:paraId="09BDE495" w14:textId="646A1A3A" w:rsidR="00B03274" w:rsidRPr="00B6020B" w:rsidRDefault="00E726FB" w:rsidP="00564424">
      <w:pPr>
        <w:spacing w:after="120" w:line="276" w:lineRule="auto"/>
        <w:rPr>
          <w:rFonts w:ascii="ITC Avant Garde" w:hAnsi="ITC Avant Garde"/>
          <w:lang w:val="es-ES_tradnl"/>
        </w:rPr>
      </w:pPr>
      <w:r w:rsidRPr="00B6020B">
        <w:rPr>
          <w:rFonts w:ascii="ITC Avant Garde" w:hAnsi="ITC Avant Garde"/>
          <w:lang w:val="es-ES_tradnl"/>
        </w:rPr>
        <w:t>Para mejor referencia se cita la Medida antes mencionada:</w:t>
      </w:r>
    </w:p>
    <w:p w14:paraId="33F98B15" w14:textId="7F70BD8C" w:rsidR="00E726FB" w:rsidRPr="00B6020B" w:rsidRDefault="00E726FB" w:rsidP="00EA5F42">
      <w:pPr>
        <w:pStyle w:val="Citaift0"/>
        <w:rPr>
          <w:lang w:val="es-ES_tradnl"/>
        </w:rPr>
      </w:pPr>
      <w:r w:rsidRPr="00B6020B">
        <w:rPr>
          <w:lang w:val="es-ES_tradnl"/>
        </w:rPr>
        <w:lastRenderedPageBreak/>
        <w:t>“</w:t>
      </w:r>
      <w:r w:rsidRPr="00B6020B">
        <w:rPr>
          <w:b/>
          <w:lang w:val="es-ES_tradnl"/>
        </w:rPr>
        <w:t xml:space="preserve">OCTOGÉSIMA </w:t>
      </w:r>
      <w:proofErr w:type="gramStart"/>
      <w:r w:rsidRPr="00B6020B">
        <w:rPr>
          <w:b/>
          <w:lang w:val="es-ES_tradnl"/>
        </w:rPr>
        <w:t>PRIMERA.-</w:t>
      </w:r>
      <w:proofErr w:type="gramEnd"/>
      <w:r w:rsidRPr="00B6020B">
        <w:rPr>
          <w:lang w:val="es-ES_tradnl"/>
        </w:rPr>
        <w:t xml:space="preserve"> El Instituto podrá establecer grupos de trabajo temporales que se crearán a solicitud del Agente Económico Preponderante, el Concesionario Solicitante o el Operador Móvil Virtual para la solución voluntaria de diferencias o disputas relacionadas con la prestación de los servicios mayoristas regulados, así como para cuestiones relacionadas con el Sistema Electrónico de Gestión. A través de estos grupos de trabajo, el Instituto emitirá sugerencias no vinculantes.</w:t>
      </w:r>
    </w:p>
    <w:p w14:paraId="557D1808" w14:textId="5213372F" w:rsidR="00E726FB" w:rsidRPr="00B6020B" w:rsidRDefault="00E726FB" w:rsidP="00EA5F42">
      <w:pPr>
        <w:pStyle w:val="Citaift0"/>
        <w:rPr>
          <w:lang w:val="es-ES_tradnl"/>
        </w:rPr>
      </w:pPr>
      <w:r w:rsidRPr="00B6020B">
        <w:rPr>
          <w:lang w:val="es-ES_tradnl"/>
        </w:rPr>
        <w:t>Lo anterior con independencia de que durante la sustanciación de este mecanismo de solución voluntario cualquiera de las partes pueda solicitar al Instituto la resolución de un desacuerdo en términos de la medida Septuagésima Tercera, con lo cual se suspenderá el procedimiento iniciado entre las partes bajo el mecanismo de solución voluntaria.”</w:t>
      </w:r>
    </w:p>
    <w:p w14:paraId="4C7D4241" w14:textId="417A490A" w:rsidR="00564424" w:rsidRPr="00B6020B" w:rsidRDefault="00E86B98" w:rsidP="00564424">
      <w:pPr>
        <w:spacing w:after="120" w:line="276" w:lineRule="auto"/>
        <w:rPr>
          <w:rFonts w:ascii="ITC Avant Garde" w:hAnsi="ITC Avant Garde"/>
          <w:lang w:val="es-ES_tradnl"/>
        </w:rPr>
      </w:pPr>
      <w:r w:rsidRPr="00B6020B">
        <w:rPr>
          <w:rFonts w:ascii="ITC Avant Garde" w:hAnsi="ITC Avant Garde"/>
          <w:lang w:val="es-ES_tradnl"/>
        </w:rPr>
        <w:t xml:space="preserve">Por su parte, </w:t>
      </w:r>
      <w:r w:rsidR="00564424" w:rsidRPr="00B6020B">
        <w:rPr>
          <w:rFonts w:ascii="ITC Avant Garde" w:hAnsi="ITC Avant Garde"/>
          <w:lang w:val="es-ES_tradnl"/>
        </w:rPr>
        <w:t>el numeral 21.2 de la CLÁUSULA VIGÉSIMA PRIMERA menciona lo siguiente:</w:t>
      </w:r>
    </w:p>
    <w:p w14:paraId="7C63A0CF" w14:textId="602255C0" w:rsidR="00564424" w:rsidRPr="00B6020B" w:rsidRDefault="00564424" w:rsidP="00564424">
      <w:pPr>
        <w:pStyle w:val="CitaIFT"/>
      </w:pPr>
      <w:bookmarkStart w:id="8" w:name="_Toc435539925"/>
      <w:bookmarkStart w:id="9" w:name="_Toc435570581"/>
      <w:r w:rsidRPr="00B6020B">
        <w:t>“</w:t>
      </w:r>
      <w:r w:rsidRPr="00B6020B">
        <w:rPr>
          <w:b/>
        </w:rPr>
        <w:t>CLÁUSULA VIGÉSIMA PRIMERA. SOLUCIÓN DE CONTROVERSIAS</w:t>
      </w:r>
      <w:bookmarkEnd w:id="8"/>
      <w:bookmarkEnd w:id="9"/>
    </w:p>
    <w:p w14:paraId="151D264E" w14:textId="66FC223B" w:rsidR="00564424" w:rsidRPr="00B6020B" w:rsidRDefault="00564424" w:rsidP="00564424">
      <w:pPr>
        <w:pStyle w:val="CitaIFT"/>
      </w:pPr>
      <w:r w:rsidRPr="00B6020B">
        <w:t>[…]</w:t>
      </w:r>
    </w:p>
    <w:p w14:paraId="1A53309E" w14:textId="32440B9F" w:rsidR="00564424" w:rsidRPr="00B6020B" w:rsidRDefault="00564424" w:rsidP="00564424">
      <w:pPr>
        <w:pStyle w:val="CitaIFT"/>
      </w:pPr>
      <w:r w:rsidRPr="00B6020B">
        <w:t>21.2 Cualesquiera otras controversias que deriven del presente Convenio o que guarden relación con éste serán resueltas definitivamente de acuerdo a cualquiera de las siguientes opciones, a elección de la Parte Demandante.</w:t>
      </w:r>
    </w:p>
    <w:p w14:paraId="047CCC4F" w14:textId="59B90F95" w:rsidR="00564424" w:rsidRPr="00B6020B" w:rsidRDefault="00564424" w:rsidP="00564424">
      <w:pPr>
        <w:pStyle w:val="CitaIFT"/>
        <w:ind w:left="1440"/>
      </w:pPr>
      <w:r w:rsidRPr="00B6020B">
        <w:t xml:space="preserve">a) Procedimiento arbitral, conforme a las Reglas de Arbitraje del Centro de Arbitraje de México (CAM), vigentes al momento del inicio del procedimiento arbitral, por 3 (tres) árbitros nombrados conforme a dichas Reglas de Arbitraje. </w:t>
      </w:r>
    </w:p>
    <w:p w14:paraId="42B69AF0" w14:textId="608AFD0E" w:rsidR="00564424" w:rsidRPr="00B6020B" w:rsidRDefault="00564424" w:rsidP="00564424">
      <w:pPr>
        <w:pStyle w:val="CitaIFT"/>
        <w:ind w:left="1440"/>
      </w:pPr>
      <w:r w:rsidRPr="00B6020B">
        <w:t>Las Partes acuerdan que el derecho aplicable al fondo de la controversia será el de los Estados Unidos Mexicanos. La sede del arbitraje será la Ciudad de México, Distrito Federal y que el idioma del arbitraje será el español.</w:t>
      </w:r>
    </w:p>
    <w:p w14:paraId="7262B16A" w14:textId="6403C92E" w:rsidR="00564424" w:rsidRPr="00B6020B" w:rsidRDefault="00564424" w:rsidP="00564424">
      <w:pPr>
        <w:pStyle w:val="CitaIFT"/>
        <w:ind w:left="1440"/>
      </w:pPr>
      <w:r w:rsidRPr="00B6020B">
        <w:t xml:space="preserve">b) </w:t>
      </w:r>
      <w:r w:rsidRPr="00B6020B">
        <w:rPr>
          <w:rFonts w:eastAsia="Calibri"/>
        </w:rPr>
        <w:t>L</w:t>
      </w:r>
      <w:r w:rsidRPr="00B6020B">
        <w:t xml:space="preserve">as Partes acuerdan expresamente someterse a la jurisdicción de los Tribunales Federales competentes con residencia en la Ciudad de México. </w:t>
      </w:r>
    </w:p>
    <w:p w14:paraId="4F3D339B" w14:textId="1458DF65" w:rsidR="00564424" w:rsidRPr="00B6020B" w:rsidRDefault="00564424" w:rsidP="00564424">
      <w:pPr>
        <w:pStyle w:val="CitaIFT"/>
      </w:pPr>
      <w:r w:rsidRPr="00B6020B">
        <w:t>Las Partes se someten de manera única y exclusiva a cualquiera de las dos opciones detalladas en la presente cláusula, renunciando expresamente a cualquier otro fuero que pudiera corresponderles por razón de sus domicilios presentes o futuros o por cualquier otra causa, con la consigna de intentar optar por aquella opción que resulte más ágil y eficaz para la resolución de controversias.”</w:t>
      </w:r>
    </w:p>
    <w:p w14:paraId="79F1A423" w14:textId="0D751743" w:rsidR="00564424" w:rsidRPr="00B6020B" w:rsidRDefault="00564424" w:rsidP="00564424">
      <w:pPr>
        <w:pStyle w:val="CitaIFT"/>
        <w:jc w:val="right"/>
      </w:pPr>
      <w:r w:rsidRPr="00B6020B">
        <w:t>(Énfasis añadido)</w:t>
      </w:r>
    </w:p>
    <w:p w14:paraId="4632C2F5" w14:textId="68A90E8D" w:rsidR="00564424" w:rsidRPr="00B6020B" w:rsidRDefault="00564424" w:rsidP="00564424">
      <w:pPr>
        <w:spacing w:after="0" w:line="276" w:lineRule="auto"/>
        <w:rPr>
          <w:rFonts w:ascii="ITC Avant Garde" w:hAnsi="ITC Avant Garde"/>
          <w:lang w:val="es-ES_tradnl" w:eastAsia="es-ES"/>
        </w:rPr>
      </w:pPr>
      <w:r w:rsidRPr="00B6020B">
        <w:rPr>
          <w:rFonts w:ascii="ITC Avant Garde" w:hAnsi="ITC Avant Garde"/>
          <w:lang w:val="es-ES_tradnl" w:eastAsia="es-ES"/>
        </w:rPr>
        <w:t xml:space="preserve">En este caso se observa que la cláusula contempla otras controversias, es decir, aquellas que no versan sobre aspectos tarifarios o técnicos, las cuales deberán de ser resueltas de acuerdo con lo señalado en la </w:t>
      </w:r>
      <w:r w:rsidRPr="00B6020B">
        <w:rPr>
          <w:rFonts w:ascii="ITC Avant Garde" w:hAnsi="ITC Avant Garde"/>
          <w:i/>
          <w:lang w:val="es-ES_tradnl" w:eastAsia="es-ES"/>
        </w:rPr>
        <w:t>“CLÁUSULA VIGÉSIMA PRIMERA. SOLUCIÓN DE CONTROVERSIAS”</w:t>
      </w:r>
      <w:r w:rsidRPr="00B6020B">
        <w:rPr>
          <w:rFonts w:ascii="ITC Avant Garde" w:hAnsi="ITC Avant Garde"/>
          <w:lang w:val="es-ES_tradnl" w:eastAsia="es-ES"/>
        </w:rPr>
        <w:t xml:space="preserve">. </w:t>
      </w:r>
    </w:p>
    <w:p w14:paraId="246E0EBE" w14:textId="77777777" w:rsidR="00564424" w:rsidRPr="00B6020B" w:rsidRDefault="00564424" w:rsidP="00564424">
      <w:pPr>
        <w:spacing w:after="0" w:line="276" w:lineRule="auto"/>
        <w:rPr>
          <w:rFonts w:ascii="ITC Avant Garde" w:hAnsi="ITC Avant Garde"/>
          <w:lang w:val="es-ES_tradnl" w:eastAsia="es-ES"/>
        </w:rPr>
      </w:pPr>
    </w:p>
    <w:p w14:paraId="2D384B6B" w14:textId="61D62B38" w:rsidR="00564424" w:rsidRPr="00B6020B" w:rsidRDefault="00E86B98" w:rsidP="00564424">
      <w:pPr>
        <w:spacing w:after="0" w:line="276" w:lineRule="auto"/>
        <w:rPr>
          <w:rFonts w:ascii="ITC Avant Garde" w:hAnsi="ITC Avant Garde"/>
          <w:lang w:val="es-ES_tradnl" w:eastAsia="es-ES"/>
        </w:rPr>
      </w:pPr>
      <w:r w:rsidRPr="00B6020B">
        <w:rPr>
          <w:rFonts w:ascii="ITC Avant Garde" w:hAnsi="ITC Avant Garde"/>
          <w:lang w:val="es-ES_tradnl" w:eastAsia="es-ES"/>
        </w:rPr>
        <w:t>Asimismo, es</w:t>
      </w:r>
      <w:r w:rsidR="00564424" w:rsidRPr="00B6020B">
        <w:rPr>
          <w:rFonts w:ascii="ITC Avant Garde" w:hAnsi="ITC Avant Garde"/>
          <w:lang w:val="es-ES_tradnl" w:eastAsia="es-ES"/>
        </w:rPr>
        <w:t xml:space="preserve"> importante señalar que el artículo 5 de la Ley Federal de Telecomunicaciones y Radiodifusión señala lo siguiente:</w:t>
      </w:r>
    </w:p>
    <w:p w14:paraId="63B20AC8" w14:textId="77777777" w:rsidR="00564424" w:rsidRPr="00B6020B" w:rsidRDefault="00564424" w:rsidP="00564424">
      <w:pPr>
        <w:spacing w:after="0" w:line="276" w:lineRule="auto"/>
        <w:rPr>
          <w:rFonts w:ascii="ITC Avant Garde" w:hAnsi="ITC Avant Garde"/>
          <w:lang w:val="es-ES_tradnl" w:eastAsia="es-ES"/>
        </w:rPr>
      </w:pPr>
    </w:p>
    <w:p w14:paraId="40547C5D" w14:textId="77777777" w:rsidR="00564424" w:rsidRPr="00B6020B" w:rsidRDefault="00564424" w:rsidP="00564424">
      <w:pPr>
        <w:pStyle w:val="CitaIFT"/>
      </w:pPr>
      <w:r w:rsidRPr="00B6020B">
        <w:lastRenderedPageBreak/>
        <w:t>“</w:t>
      </w:r>
      <w:r w:rsidRPr="00B6020B">
        <w:rPr>
          <w:b/>
        </w:rPr>
        <w:t>Artículo 5.</w:t>
      </w:r>
      <w:r w:rsidRPr="00B6020B">
        <w:t xml:space="preserve"> Las vías generales de comunicación, la obra civil y los derechos de paso, uso o vía, asociados a las redes públicas de telecomunicaciones, las estaciones de radiodifusión y equipos complementarios, así como los sistemas de comunicación vía satélite materia de la Ley y los servicios que con ellas se presten, son de jurisdicción federal.</w:t>
      </w:r>
    </w:p>
    <w:p w14:paraId="0433D03C" w14:textId="77777777" w:rsidR="00564424" w:rsidRPr="00B6020B" w:rsidRDefault="00564424" w:rsidP="00564424">
      <w:pPr>
        <w:pStyle w:val="CitaIFT"/>
      </w:pPr>
      <w:r w:rsidRPr="00B6020B">
        <w:t>[…].</w:t>
      </w:r>
    </w:p>
    <w:p w14:paraId="52C8361C" w14:textId="77777777" w:rsidR="00564424" w:rsidRPr="00B6020B" w:rsidRDefault="00564424" w:rsidP="00564424">
      <w:pPr>
        <w:pStyle w:val="CitaIFT"/>
      </w:pPr>
      <w:r w:rsidRPr="00B6020B">
        <w:rPr>
          <w:b/>
          <w:u w:val="single"/>
        </w:rPr>
        <w:t>Las controversias entre los concesionarios y la Federación, las Entidades Federativas y los Municipios, relacionadas con lo previsto en el presente artículo, serán resueltas por los tribunales especializados en materia de competencia económica, radiodifusión y telecomunicaciones.</w:t>
      </w:r>
      <w:r w:rsidRPr="00B6020B">
        <w:t>”</w:t>
      </w:r>
    </w:p>
    <w:p w14:paraId="65D09F5E" w14:textId="77777777" w:rsidR="00564424" w:rsidRPr="00B6020B" w:rsidRDefault="00564424" w:rsidP="00564424">
      <w:pPr>
        <w:pStyle w:val="CitaIFT"/>
        <w:jc w:val="right"/>
      </w:pPr>
      <w:r w:rsidRPr="00B6020B">
        <w:t>(Énfasis añadido)</w:t>
      </w:r>
    </w:p>
    <w:p w14:paraId="0F7ED921" w14:textId="77777777" w:rsidR="00564424" w:rsidRPr="00B6020B" w:rsidRDefault="00564424" w:rsidP="00564424">
      <w:pPr>
        <w:spacing w:line="276" w:lineRule="auto"/>
        <w:rPr>
          <w:rFonts w:ascii="ITC Avant Garde" w:hAnsi="ITC Avant Garde"/>
          <w:lang w:val="es-ES_tradnl"/>
        </w:rPr>
      </w:pPr>
      <w:r w:rsidRPr="00B6020B">
        <w:rPr>
          <w:rFonts w:ascii="ITC Avant Garde" w:hAnsi="ITC Avant Garde"/>
          <w:lang w:val="es-ES_tradnl"/>
        </w:rPr>
        <w:t xml:space="preserve">Con ello se observa que tanto la Oferta de Referencia Autorizada, las Medidas Móviles y la LFTR establecen las características de las controversias que aplicarán para la resolución de tribunales especializados por lo que se considera que la </w:t>
      </w:r>
      <w:r w:rsidRPr="00B6020B">
        <w:rPr>
          <w:rFonts w:ascii="ITC Avant Garde" w:hAnsi="ITC Avant Garde"/>
          <w:i/>
          <w:lang w:val="es-ES_tradnl" w:eastAsia="es-ES"/>
        </w:rPr>
        <w:t>“CLÁUSULA VIGÉSIMA PRIMERA. SOLUCIÓN DE CONTROVERSIAS”</w:t>
      </w:r>
      <w:r w:rsidRPr="00B6020B">
        <w:rPr>
          <w:rFonts w:ascii="ITC Avant Garde" w:hAnsi="ITC Avant Garde"/>
          <w:lang w:val="es-ES_tradnl"/>
        </w:rPr>
        <w:t xml:space="preserve"> debe de prevalecer, ya que genera certidumbre entre las partes sobre los términos y condiciones para la prestación de servicios. </w:t>
      </w:r>
    </w:p>
    <w:bookmarkEnd w:id="7"/>
    <w:p w14:paraId="105C83C2" w14:textId="77777777" w:rsidR="007F6F00" w:rsidRPr="00B6020B" w:rsidRDefault="007F6F00" w:rsidP="00A14C03">
      <w:pPr>
        <w:pStyle w:val="Default"/>
        <w:numPr>
          <w:ilvl w:val="0"/>
          <w:numId w:val="28"/>
        </w:numPr>
        <w:spacing w:after="100" w:afterAutospacing="1" w:line="276" w:lineRule="auto"/>
        <w:ind w:firstLine="30"/>
        <w:jc w:val="both"/>
        <w:rPr>
          <w:rFonts w:ascii="ITC Avant Garde" w:hAnsi="ITC Avant Garde" w:cs="Arial"/>
          <w:sz w:val="22"/>
          <w:szCs w:val="22"/>
        </w:rPr>
      </w:pPr>
      <w:r w:rsidRPr="00B6020B">
        <w:rPr>
          <w:rFonts w:ascii="ITC Avant Garde" w:hAnsi="ITC Avant Garde" w:cs="Arial"/>
          <w:b/>
          <w:i/>
          <w:sz w:val="22"/>
          <w:szCs w:val="22"/>
        </w:rPr>
        <w:t>“Anexo “B”: Acuerdo de Sitio”.</w:t>
      </w:r>
    </w:p>
    <w:p w14:paraId="483768DE" w14:textId="77777777" w:rsidR="00564424" w:rsidRPr="00B6020B" w:rsidRDefault="00564424" w:rsidP="00564424">
      <w:pPr>
        <w:pStyle w:val="Prrafodelista"/>
        <w:numPr>
          <w:ilvl w:val="1"/>
          <w:numId w:val="28"/>
        </w:numPr>
        <w:rPr>
          <w:rFonts w:ascii="ITC Avant Garde" w:eastAsiaTheme="minorHAnsi" w:hAnsi="ITC Avant Garde" w:cs="Arial"/>
          <w:b/>
          <w:i/>
          <w:color w:val="000000"/>
          <w:lang w:val="en-GB"/>
        </w:rPr>
      </w:pPr>
      <w:r w:rsidRPr="00B6020B">
        <w:rPr>
          <w:rFonts w:ascii="ITC Avant Garde" w:hAnsi="ITC Avant Garde" w:cs="Arial"/>
          <w:b/>
        </w:rPr>
        <w:t xml:space="preserve">Numeral </w:t>
      </w:r>
      <w:r w:rsidRPr="00B6020B">
        <w:rPr>
          <w:rFonts w:ascii="ITC Avant Garde" w:hAnsi="ITC Avant Garde" w:cs="Arial"/>
          <w:b/>
          <w:i/>
        </w:rPr>
        <w:t>“16.1 Continuidad del Servicio”</w:t>
      </w:r>
      <w:r w:rsidRPr="00B6020B">
        <w:rPr>
          <w:rFonts w:ascii="ITC Avant Garde" w:hAnsi="ITC Avant Garde" w:cs="Arial"/>
          <w:b/>
        </w:rPr>
        <w:t xml:space="preserve"> del</w:t>
      </w:r>
      <w:r w:rsidRPr="00B6020B">
        <w:rPr>
          <w:rFonts w:ascii="ITC Avant Garde" w:hAnsi="ITC Avant Garde" w:cs="Arial"/>
        </w:rPr>
        <w:t xml:space="preserve"> </w:t>
      </w:r>
      <w:r w:rsidRPr="00B6020B">
        <w:rPr>
          <w:rFonts w:ascii="ITC Avant Garde" w:eastAsiaTheme="minorHAnsi" w:hAnsi="ITC Avant Garde" w:cs="Arial"/>
          <w:b/>
          <w:i/>
          <w:color w:val="000000"/>
          <w:lang w:val="en-GB"/>
        </w:rPr>
        <w:t>“Anexo “B”: Acuerdo de Sitio”.</w:t>
      </w:r>
    </w:p>
    <w:p w14:paraId="10BED9C1" w14:textId="77777777" w:rsidR="00564424" w:rsidRPr="00B6020B" w:rsidRDefault="00564424" w:rsidP="00564424">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 xml:space="preserve">AT&amp;T señala </w:t>
      </w:r>
      <w:r w:rsidRPr="00B6020B">
        <w:rPr>
          <w:rFonts w:ascii="ITC Avant Garde" w:hAnsi="ITC Avant Garde"/>
          <w:sz w:val="22"/>
          <w:szCs w:val="22"/>
          <w:lang w:val="es-MX"/>
        </w:rPr>
        <w:t>lo establecido en el párrafo quinto del numeral “</w:t>
      </w:r>
      <w:r w:rsidRPr="00B6020B">
        <w:rPr>
          <w:rFonts w:ascii="ITC Avant Garde" w:hAnsi="ITC Avant Garde"/>
          <w:i/>
          <w:sz w:val="22"/>
          <w:szCs w:val="22"/>
          <w:lang w:val="es-MX"/>
        </w:rPr>
        <w:t>16.1 Continuidad del Servicio</w:t>
      </w:r>
      <w:r w:rsidRPr="00B6020B">
        <w:rPr>
          <w:rFonts w:ascii="ITC Avant Garde" w:hAnsi="ITC Avant Garde"/>
          <w:sz w:val="22"/>
          <w:szCs w:val="22"/>
          <w:lang w:val="es-MX"/>
        </w:rPr>
        <w:t>” del</w:t>
      </w:r>
      <w:r w:rsidRPr="00B6020B">
        <w:rPr>
          <w:rFonts w:ascii="ITC Avant Garde" w:hAnsi="ITC Avant Garde"/>
          <w:i/>
          <w:sz w:val="22"/>
          <w:szCs w:val="22"/>
          <w:lang w:val="es-MX"/>
        </w:rPr>
        <w:t xml:space="preserve"> “Anexo “B”: Formato de Acuerdo de Sitio</w:t>
      </w:r>
      <w:r w:rsidRPr="00B6020B">
        <w:rPr>
          <w:rFonts w:ascii="ITC Avant Garde" w:hAnsi="ITC Avant Garde"/>
          <w:sz w:val="22"/>
          <w:szCs w:val="22"/>
          <w:lang w:val="es-MX"/>
        </w:rPr>
        <w:t xml:space="preserve">”, donde </w:t>
      </w:r>
      <w:r w:rsidRPr="00B6020B">
        <w:rPr>
          <w:rFonts w:ascii="ITC Avant Garde" w:hAnsi="ITC Avant Garde" w:cs="Arial"/>
          <w:sz w:val="22"/>
          <w:szCs w:val="22"/>
        </w:rPr>
        <w:t xml:space="preserve">se señala que </w:t>
      </w:r>
      <w:r w:rsidRPr="00B6020B">
        <w:rPr>
          <w:rFonts w:ascii="ITC Avant Garde" w:hAnsi="ITC Avant Garde" w:cs="Arial"/>
          <w:i/>
          <w:sz w:val="22"/>
          <w:szCs w:val="22"/>
        </w:rPr>
        <w:t>“en caso de que Telesites / Fibra por cualquier razón tenga necesidad de reubicar, reconstruir o retirar temporal o definitivamente alguno de los elementos de la Infraestructura Pasiva, Telesites / Fibra estará facultada para llevar a cabo dichos trabajos y el Concesionario deberá tomar las previsiones del caso, incluyendo el retiro a su costo y riesgo del Equipo Aprobado, de así solicitarlo Telesites / Fibra, quien no tendrá derecho a cobrar la contraprestación correspondiente por el periodo en que deje de prestar el Servicio”</w:t>
      </w:r>
      <w:r w:rsidRPr="00B6020B">
        <w:rPr>
          <w:rFonts w:ascii="ITC Avant Garde" w:hAnsi="ITC Avant Garde" w:cs="Arial"/>
          <w:sz w:val="22"/>
          <w:szCs w:val="22"/>
        </w:rPr>
        <w:t xml:space="preserve">. Al respecto, el participante señala que si bien la reubicación es un escenario posible, </w:t>
      </w:r>
      <w:r w:rsidRPr="00B6020B">
        <w:rPr>
          <w:rFonts w:ascii="ITC Avant Garde" w:hAnsi="ITC Avant Garde" w:cs="Arial"/>
          <w:i/>
          <w:sz w:val="22"/>
          <w:szCs w:val="22"/>
        </w:rPr>
        <w:t>“se debe precisar que Telesites/Fibra deberá dar aviso con al menos 30 días hábiles previo a que se lleve la reubicación a efecto de que el concesionario pueda programar sus actividades y previsiones para la continuidad del servicio al usuario final”</w:t>
      </w:r>
      <w:r w:rsidRPr="00B6020B">
        <w:rPr>
          <w:rFonts w:ascii="ITC Avant Garde" w:hAnsi="ITC Avant Garde" w:cs="Arial"/>
          <w:sz w:val="22"/>
          <w:szCs w:val="22"/>
        </w:rPr>
        <w:t xml:space="preserve">. </w:t>
      </w:r>
    </w:p>
    <w:p w14:paraId="04B47112" w14:textId="77777777" w:rsidR="00564424" w:rsidRPr="00B6020B" w:rsidRDefault="00564424" w:rsidP="00564424">
      <w:pPr>
        <w:pStyle w:val="Default"/>
        <w:spacing w:after="100" w:afterAutospacing="1" w:line="276" w:lineRule="auto"/>
        <w:jc w:val="both"/>
        <w:rPr>
          <w:rFonts w:ascii="ITC Avant Garde" w:hAnsi="ITC Avant Garde" w:cs="Arial"/>
          <w:sz w:val="22"/>
          <w:szCs w:val="22"/>
          <w:u w:val="single"/>
        </w:rPr>
      </w:pPr>
      <w:r w:rsidRPr="00B6020B">
        <w:rPr>
          <w:rFonts w:ascii="ITC Avant Garde" w:hAnsi="ITC Avant Garde" w:cs="Arial"/>
          <w:sz w:val="22"/>
          <w:szCs w:val="22"/>
          <w:u w:val="single"/>
        </w:rPr>
        <w:t>Respuesta de la UPR</w:t>
      </w:r>
    </w:p>
    <w:p w14:paraId="19627C9C" w14:textId="75D02510" w:rsidR="00564424" w:rsidRPr="00B6020B" w:rsidRDefault="00564424" w:rsidP="00564424">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 xml:space="preserve">Al respecto, la UPR considera relevante que el CS pueda ser informado oportunamente a efecto de que tome las </w:t>
      </w:r>
      <w:proofErr w:type="spellStart"/>
      <w:r w:rsidRPr="00B6020B">
        <w:rPr>
          <w:rFonts w:ascii="ITC Avant Garde" w:hAnsi="ITC Avant Garde" w:cs="Arial"/>
          <w:sz w:val="22"/>
          <w:szCs w:val="22"/>
        </w:rPr>
        <w:t>previsiones</w:t>
      </w:r>
      <w:proofErr w:type="spellEnd"/>
      <w:r w:rsidRPr="00B6020B">
        <w:rPr>
          <w:rFonts w:ascii="ITC Avant Garde" w:hAnsi="ITC Avant Garde" w:cs="Arial"/>
          <w:sz w:val="22"/>
          <w:szCs w:val="22"/>
        </w:rPr>
        <w:t xml:space="preserve"> </w:t>
      </w:r>
      <w:proofErr w:type="spellStart"/>
      <w:r w:rsidRPr="00B6020B">
        <w:rPr>
          <w:rFonts w:ascii="ITC Avant Garde" w:hAnsi="ITC Avant Garde" w:cs="Arial"/>
          <w:sz w:val="22"/>
          <w:szCs w:val="22"/>
        </w:rPr>
        <w:t>correspondientes</w:t>
      </w:r>
      <w:proofErr w:type="spellEnd"/>
      <w:r w:rsidR="000542E6" w:rsidRPr="00B6020B">
        <w:rPr>
          <w:rFonts w:ascii="ITC Avant Garde" w:hAnsi="ITC Avant Garde" w:cs="Arial"/>
          <w:sz w:val="22"/>
          <w:szCs w:val="22"/>
        </w:rPr>
        <w:t>,</w:t>
      </w:r>
      <w:r w:rsidRPr="00B6020B">
        <w:rPr>
          <w:rFonts w:ascii="ITC Avant Garde" w:hAnsi="ITC Avant Garde" w:cs="Arial"/>
          <w:sz w:val="22"/>
          <w:szCs w:val="22"/>
        </w:rPr>
        <w:t xml:space="preserve"> </w:t>
      </w:r>
      <w:r w:rsidR="000542E6" w:rsidRPr="00B6020B">
        <w:rPr>
          <w:rFonts w:ascii="ITC Avant Garde" w:hAnsi="ITC Avant Garde" w:cs="Arial"/>
          <w:sz w:val="22"/>
          <w:szCs w:val="22"/>
        </w:rPr>
        <w:t>p</w:t>
      </w:r>
      <w:r w:rsidRPr="00B6020B">
        <w:rPr>
          <w:rFonts w:ascii="ITC Avant Garde" w:hAnsi="ITC Avant Garde" w:cs="Arial"/>
          <w:sz w:val="22"/>
          <w:szCs w:val="22"/>
        </w:rPr>
        <w:t>or lo que se considerará el establecimiento de un plazo por el cual Telesites y Fibra deban notificar al CS respecto la reubicación, reconstrucción o retiro de alguno de sus elementos de la Infraestructura Pasiva.</w:t>
      </w:r>
    </w:p>
    <w:p w14:paraId="72532192" w14:textId="77777777" w:rsidR="00564424" w:rsidRPr="00B6020B" w:rsidRDefault="00564424" w:rsidP="00564424">
      <w:pPr>
        <w:pStyle w:val="Prrafodelista"/>
        <w:numPr>
          <w:ilvl w:val="1"/>
          <w:numId w:val="28"/>
        </w:numPr>
        <w:rPr>
          <w:rFonts w:ascii="ITC Avant Garde" w:eastAsiaTheme="minorHAnsi" w:hAnsi="ITC Avant Garde" w:cs="Arial"/>
          <w:b/>
          <w:i/>
          <w:color w:val="000000"/>
          <w:lang w:val="en-GB"/>
        </w:rPr>
      </w:pPr>
      <w:r w:rsidRPr="00B6020B">
        <w:rPr>
          <w:rFonts w:ascii="ITC Avant Garde" w:hAnsi="ITC Avant Garde" w:cs="Arial"/>
          <w:b/>
        </w:rPr>
        <w:lastRenderedPageBreak/>
        <w:t xml:space="preserve">Numeral </w:t>
      </w:r>
      <w:r w:rsidRPr="00B6020B">
        <w:rPr>
          <w:rFonts w:ascii="ITC Avant Garde" w:hAnsi="ITC Avant Garde" w:cs="Arial"/>
          <w:b/>
          <w:i/>
        </w:rPr>
        <w:t>“16.6 Incidencias en los Sitios”</w:t>
      </w:r>
      <w:r w:rsidRPr="00B6020B">
        <w:rPr>
          <w:rFonts w:ascii="ITC Avant Garde" w:hAnsi="ITC Avant Garde" w:cs="Arial"/>
          <w:b/>
        </w:rPr>
        <w:t xml:space="preserve"> del</w:t>
      </w:r>
      <w:r w:rsidRPr="00B6020B">
        <w:rPr>
          <w:rFonts w:ascii="ITC Avant Garde" w:hAnsi="ITC Avant Garde" w:cs="Arial"/>
        </w:rPr>
        <w:t xml:space="preserve"> </w:t>
      </w:r>
      <w:r w:rsidRPr="00B6020B">
        <w:rPr>
          <w:rFonts w:ascii="ITC Avant Garde" w:eastAsiaTheme="minorHAnsi" w:hAnsi="ITC Avant Garde" w:cs="Arial"/>
          <w:b/>
          <w:i/>
          <w:color w:val="000000"/>
          <w:lang w:val="en-GB"/>
        </w:rPr>
        <w:t>“Anexo “B”: Acuerdo de Sitio”.</w:t>
      </w:r>
    </w:p>
    <w:p w14:paraId="7A3BC104" w14:textId="77777777" w:rsidR="007C1E21" w:rsidRPr="00B6020B" w:rsidRDefault="007E1D68" w:rsidP="007F6F00">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AT&amp;T señala que l</w:t>
      </w:r>
      <w:r w:rsidR="007C1E21" w:rsidRPr="00B6020B">
        <w:rPr>
          <w:rFonts w:ascii="ITC Avant Garde" w:hAnsi="ITC Avant Garde" w:cs="Arial"/>
          <w:sz w:val="22"/>
          <w:szCs w:val="22"/>
        </w:rPr>
        <w:t xml:space="preserve">a oferta de referencia vigente contiene la matriz de escalamiento para incidencias vacías con los campos vacíos, por lo </w:t>
      </w:r>
      <w:r w:rsidRPr="00B6020B">
        <w:rPr>
          <w:rFonts w:ascii="ITC Avant Garde" w:hAnsi="ITC Avant Garde" w:cs="Arial"/>
          <w:sz w:val="22"/>
          <w:szCs w:val="22"/>
        </w:rPr>
        <w:t xml:space="preserve">señala </w:t>
      </w:r>
      <w:r w:rsidR="007C1E21" w:rsidRPr="00B6020B">
        <w:rPr>
          <w:rFonts w:ascii="ITC Avant Garde" w:hAnsi="ITC Avant Garde" w:cs="Arial"/>
          <w:sz w:val="22"/>
          <w:szCs w:val="22"/>
        </w:rPr>
        <w:t>que resulta indispensable incorpor</w:t>
      </w:r>
      <w:r w:rsidRPr="00B6020B">
        <w:rPr>
          <w:rFonts w:ascii="ITC Avant Garde" w:hAnsi="ITC Avant Garde" w:cs="Arial"/>
          <w:sz w:val="22"/>
          <w:szCs w:val="22"/>
        </w:rPr>
        <w:t>ar los datos correspondientes</w:t>
      </w:r>
      <w:r w:rsidR="007C1E21" w:rsidRPr="00B6020B">
        <w:rPr>
          <w:rFonts w:ascii="ITC Avant Garde" w:hAnsi="ITC Avant Garde" w:cs="Arial"/>
          <w:sz w:val="22"/>
          <w:szCs w:val="22"/>
        </w:rPr>
        <w:t xml:space="preserve"> a efecto de poder contar con la información necesaria en la atención de incidencias.</w:t>
      </w:r>
    </w:p>
    <w:p w14:paraId="6168B4B5" w14:textId="77777777" w:rsidR="007E1D68" w:rsidRPr="00B6020B" w:rsidRDefault="007E1D68" w:rsidP="007E1D68">
      <w:pPr>
        <w:pStyle w:val="Default"/>
        <w:spacing w:after="100" w:afterAutospacing="1" w:line="276" w:lineRule="auto"/>
        <w:jc w:val="both"/>
        <w:rPr>
          <w:rFonts w:ascii="ITC Avant Garde" w:hAnsi="ITC Avant Garde" w:cs="Arial"/>
          <w:sz w:val="22"/>
          <w:szCs w:val="22"/>
          <w:u w:val="single"/>
        </w:rPr>
      </w:pPr>
      <w:r w:rsidRPr="00B6020B">
        <w:rPr>
          <w:rFonts w:ascii="ITC Avant Garde" w:hAnsi="ITC Avant Garde" w:cs="Arial"/>
          <w:sz w:val="22"/>
          <w:szCs w:val="22"/>
          <w:u w:val="single"/>
        </w:rPr>
        <w:t>Respuesta de la UPR</w:t>
      </w:r>
    </w:p>
    <w:p w14:paraId="08E96025" w14:textId="77777777" w:rsidR="007C1E21" w:rsidRPr="00B6020B" w:rsidRDefault="007E1D68" w:rsidP="007C328C">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En relación con el comentario realizado por AT&amp;T respecto a la matriz de escalamiento para la atención de incidencias en sitios, la UPR considera que la Oferta de Referencia vigente aborda de manera suficiente el procedimiento general para la atención de incidencias, estableciendo las responsabilidades de las partes y las etapas de comunicación necesarias. Para mayor claridad se cita el</w:t>
      </w:r>
      <w:r w:rsidR="007C1E21" w:rsidRPr="00B6020B">
        <w:rPr>
          <w:rFonts w:ascii="ITC Avant Garde" w:hAnsi="ITC Avant Garde" w:cs="Arial"/>
          <w:sz w:val="22"/>
          <w:szCs w:val="22"/>
        </w:rPr>
        <w:t xml:space="preserve"> </w:t>
      </w:r>
      <w:r w:rsidR="007C1E21" w:rsidRPr="00B6020B">
        <w:rPr>
          <w:rFonts w:ascii="ITC Avant Garde" w:hAnsi="ITC Avant Garde" w:cs="Arial"/>
          <w:i/>
          <w:sz w:val="22"/>
          <w:szCs w:val="22"/>
        </w:rPr>
        <w:t xml:space="preserve">“Anexo </w:t>
      </w:r>
      <w:r w:rsidR="00297EF9" w:rsidRPr="00B6020B">
        <w:rPr>
          <w:rFonts w:ascii="ITC Avant Garde" w:hAnsi="ITC Avant Garde" w:cs="Arial"/>
          <w:i/>
          <w:sz w:val="22"/>
          <w:szCs w:val="22"/>
        </w:rPr>
        <w:t>“</w:t>
      </w:r>
      <w:r w:rsidR="007C1E21" w:rsidRPr="00B6020B">
        <w:rPr>
          <w:rFonts w:ascii="ITC Avant Garde" w:hAnsi="ITC Avant Garde" w:cs="Arial"/>
          <w:i/>
          <w:sz w:val="22"/>
          <w:szCs w:val="22"/>
        </w:rPr>
        <w:t>B</w:t>
      </w:r>
      <w:r w:rsidR="00297EF9" w:rsidRPr="00B6020B">
        <w:rPr>
          <w:rFonts w:ascii="ITC Avant Garde" w:hAnsi="ITC Avant Garde" w:cs="Arial"/>
          <w:i/>
          <w:sz w:val="22"/>
          <w:szCs w:val="22"/>
        </w:rPr>
        <w:t>”</w:t>
      </w:r>
      <w:r w:rsidR="007C1E21" w:rsidRPr="00B6020B">
        <w:rPr>
          <w:rFonts w:ascii="ITC Avant Garde" w:hAnsi="ITC Avant Garde" w:cs="Arial"/>
          <w:i/>
          <w:sz w:val="22"/>
          <w:szCs w:val="22"/>
        </w:rPr>
        <w:t>: Acuerdo de Sitio</w:t>
      </w:r>
      <w:r w:rsidR="007C1E21" w:rsidRPr="00B6020B">
        <w:rPr>
          <w:rFonts w:ascii="ITC Avant Garde" w:hAnsi="ITC Avant Garde" w:cs="Arial"/>
          <w:sz w:val="22"/>
          <w:szCs w:val="22"/>
        </w:rPr>
        <w:t xml:space="preserve">”: </w:t>
      </w:r>
    </w:p>
    <w:p w14:paraId="7C1A1D7D" w14:textId="77777777" w:rsidR="007C1E21" w:rsidRPr="00B6020B" w:rsidRDefault="007E1D68" w:rsidP="007C328C">
      <w:pPr>
        <w:pStyle w:val="Citaift0"/>
      </w:pPr>
      <w:r w:rsidRPr="00B6020B">
        <w:t>“</w:t>
      </w:r>
      <w:r w:rsidR="007C1E21" w:rsidRPr="00B6020B">
        <w:t>16.4 Incidencias en los Sitios</w:t>
      </w:r>
    </w:p>
    <w:p w14:paraId="10EA5181" w14:textId="77777777" w:rsidR="007C1E21" w:rsidRPr="00B6020B" w:rsidRDefault="007C1E21" w:rsidP="007C328C">
      <w:pPr>
        <w:pStyle w:val="Citaift0"/>
      </w:pPr>
      <w:r w:rsidRPr="00B6020B">
        <w:t>El Concesionario y Telesites / Fibra reconocen como posibles incidencias que pudieren presentarse en los Sitios, las consistentes en:</w:t>
      </w:r>
    </w:p>
    <w:p w14:paraId="0845768B" w14:textId="77777777" w:rsidR="007C1E21" w:rsidRPr="00B6020B" w:rsidRDefault="007C1E21" w:rsidP="007E1D68">
      <w:pPr>
        <w:pStyle w:val="Citaift0"/>
        <w:numPr>
          <w:ilvl w:val="0"/>
          <w:numId w:val="27"/>
        </w:numPr>
      </w:pPr>
      <w:r w:rsidRPr="00B6020B">
        <w:t>Interferencia de Frecuencias de Radio;</w:t>
      </w:r>
    </w:p>
    <w:p w14:paraId="6BE15A35" w14:textId="77777777" w:rsidR="007C1E21" w:rsidRPr="00B6020B" w:rsidRDefault="007C1E21" w:rsidP="007E1D68">
      <w:pPr>
        <w:pStyle w:val="Citaift0"/>
        <w:numPr>
          <w:ilvl w:val="0"/>
          <w:numId w:val="27"/>
        </w:numPr>
      </w:pPr>
      <w:r w:rsidRPr="00B6020B">
        <w:t>Eventos de caso fortuito o fuerza mayor;</w:t>
      </w:r>
    </w:p>
    <w:p w14:paraId="3F4E876F" w14:textId="77777777" w:rsidR="007C1E21" w:rsidRPr="00B6020B" w:rsidRDefault="007C1E21" w:rsidP="007E1D68">
      <w:pPr>
        <w:pStyle w:val="Citaift0"/>
        <w:numPr>
          <w:ilvl w:val="0"/>
          <w:numId w:val="27"/>
        </w:numPr>
      </w:pPr>
      <w:r w:rsidRPr="00B6020B">
        <w:t>Vandalismo u otros ilícitos que pudieren perturbar la posesión pacífica y continuada de la Infraestructura Pasiva;</w:t>
      </w:r>
    </w:p>
    <w:p w14:paraId="42AE819E" w14:textId="77777777" w:rsidR="007C1E21" w:rsidRPr="00B6020B" w:rsidRDefault="007C1E21" w:rsidP="007E1D68">
      <w:pPr>
        <w:pStyle w:val="Citaift0"/>
        <w:numPr>
          <w:ilvl w:val="0"/>
          <w:numId w:val="27"/>
        </w:numPr>
      </w:pPr>
      <w:r w:rsidRPr="00B6020B">
        <w:t>Clausura del Sitio;</w:t>
      </w:r>
    </w:p>
    <w:p w14:paraId="3BAF7180" w14:textId="77777777" w:rsidR="007C1E21" w:rsidRPr="00B6020B" w:rsidRDefault="007C1E21" w:rsidP="007E1D68">
      <w:pPr>
        <w:pStyle w:val="Citaift0"/>
        <w:numPr>
          <w:ilvl w:val="0"/>
          <w:numId w:val="27"/>
        </w:numPr>
      </w:pPr>
      <w:r w:rsidRPr="00B6020B">
        <w:t>Quejas o actos de vecinos o el propietario del Inmueble; y</w:t>
      </w:r>
    </w:p>
    <w:p w14:paraId="54A212F1" w14:textId="77777777" w:rsidR="007C1E21" w:rsidRPr="00B6020B" w:rsidRDefault="007C1E21" w:rsidP="007E1D68">
      <w:pPr>
        <w:pStyle w:val="Citaift0"/>
        <w:numPr>
          <w:ilvl w:val="0"/>
          <w:numId w:val="27"/>
        </w:numPr>
      </w:pPr>
      <w:r w:rsidRPr="00B6020B">
        <w:t>Daños ocasionados por personal de alguna de las Partes.</w:t>
      </w:r>
    </w:p>
    <w:p w14:paraId="68BD806A" w14:textId="77777777" w:rsidR="007C1E21" w:rsidRPr="00B6020B" w:rsidRDefault="007C1E21" w:rsidP="007C328C">
      <w:pPr>
        <w:pStyle w:val="Citaift0"/>
      </w:pPr>
      <w:r w:rsidRPr="00B6020B">
        <w:t>En consecuencia, salvo disposición diversa en este Acuerdo, tales como en el caso de interferencia de frecuencias de radio, siniestros, órdenes de clausura del Sitio, incidencias que serán atendidas y resueltas conforme a lo establecido en los numerales 6, 7 y 14 anteriores, el resto de las incidencias será atendido y resuelto de manera conjunta por Telesites / Fibra y el Concesionario, en términos del procedimiento y Matriz de Escalamiento que se señala a continuación.</w:t>
      </w:r>
    </w:p>
    <w:p w14:paraId="48F44CAE" w14:textId="77777777" w:rsidR="007C1E21" w:rsidRPr="00B6020B" w:rsidRDefault="007C1E21" w:rsidP="007C328C">
      <w:pPr>
        <w:pStyle w:val="Citaift0"/>
      </w:pPr>
      <w:r w:rsidRPr="00B6020B">
        <w:t>Al respecto, la Parte que tenga conocimiento de la incidencia en el Sitio lo informará a la otra mediante el SEG.  Recibida la incidencia reportada, se emitirá un aviso acusando recibo de la misma, a partir del cual, atendiendo a las responsabilidades correspondientes a cada Parte, se determinarán las acciones que le corresponderán a cada una de ellas para atender la falla.</w:t>
      </w:r>
    </w:p>
    <w:p w14:paraId="5F2E97CF" w14:textId="77777777" w:rsidR="007C1E21" w:rsidRPr="00B6020B" w:rsidRDefault="007C1E21" w:rsidP="007C328C">
      <w:pPr>
        <w:pStyle w:val="Citaift0"/>
      </w:pPr>
      <w:r w:rsidRPr="00B6020B">
        <w:t xml:space="preserve">En caso de que no se reciba el acuse de recibo correspondiente, o no se tramiten acciones por parte de la Parte que corresponda, a continuación se señalan los contactos y su escalamiento. </w:t>
      </w:r>
    </w:p>
    <w:p w14:paraId="1982CFEC" w14:textId="77777777" w:rsidR="007C1E21" w:rsidRPr="00B6020B" w:rsidRDefault="007C1E21" w:rsidP="007C328C">
      <w:pPr>
        <w:pStyle w:val="Citaift0"/>
      </w:pPr>
    </w:p>
    <w:tbl>
      <w:tblPr>
        <w:tblW w:w="0" w:type="auto"/>
        <w:jc w:val="center"/>
        <w:tblCellMar>
          <w:left w:w="0" w:type="dxa"/>
          <w:right w:w="0" w:type="dxa"/>
        </w:tblCellMar>
        <w:tblLook w:val="04A0" w:firstRow="1" w:lastRow="0" w:firstColumn="1" w:lastColumn="0" w:noHBand="0" w:noVBand="1"/>
      </w:tblPr>
      <w:tblGrid>
        <w:gridCol w:w="2106"/>
        <w:gridCol w:w="2414"/>
        <w:gridCol w:w="1477"/>
      </w:tblGrid>
      <w:tr w:rsidR="007C1E21" w:rsidRPr="00B6020B" w14:paraId="085C2902" w14:textId="77777777" w:rsidTr="00F36FDD">
        <w:trPr>
          <w:trHeight w:val="387"/>
          <w:jc w:val="center"/>
        </w:trPr>
        <w:tc>
          <w:tcPr>
            <w:tcW w:w="4520" w:type="dxa"/>
            <w:gridSpan w:val="2"/>
            <w:tcBorders>
              <w:top w:val="single" w:sz="8" w:space="0" w:color="auto"/>
              <w:left w:val="single" w:sz="8" w:space="0" w:color="auto"/>
              <w:bottom w:val="single" w:sz="8" w:space="0" w:color="auto"/>
              <w:right w:val="single" w:sz="8" w:space="0" w:color="auto"/>
            </w:tcBorders>
            <w:shd w:val="clear" w:color="auto" w:fill="C4BC96"/>
            <w:tcMar>
              <w:top w:w="0" w:type="dxa"/>
              <w:left w:w="108" w:type="dxa"/>
              <w:bottom w:w="0" w:type="dxa"/>
              <w:right w:w="108" w:type="dxa"/>
            </w:tcMar>
            <w:vAlign w:val="center"/>
            <w:hideMark/>
          </w:tcPr>
          <w:p w14:paraId="4A6F3D8B" w14:textId="77777777" w:rsidR="007C1E21" w:rsidRPr="00B6020B" w:rsidRDefault="007C1E21" w:rsidP="007C328C">
            <w:pPr>
              <w:spacing w:after="0" w:line="276" w:lineRule="auto"/>
              <w:rPr>
                <w:rFonts w:ascii="ITC Avant Garde" w:hAnsi="ITC Avant Garde"/>
                <w:b/>
                <w:i/>
                <w:kern w:val="1"/>
                <w:sz w:val="16"/>
                <w:szCs w:val="16"/>
              </w:rPr>
            </w:pPr>
            <w:r w:rsidRPr="00B6020B">
              <w:rPr>
                <w:rFonts w:ascii="ITC Avant Garde" w:hAnsi="ITC Avant Garde"/>
                <w:b/>
                <w:i/>
                <w:kern w:val="1"/>
                <w:sz w:val="16"/>
                <w:szCs w:val="16"/>
              </w:rPr>
              <w:lastRenderedPageBreak/>
              <w:t>Matriz de Escalamiento Telesites / Fibra</w:t>
            </w:r>
          </w:p>
        </w:tc>
        <w:tc>
          <w:tcPr>
            <w:tcW w:w="1477" w:type="dxa"/>
            <w:tcBorders>
              <w:top w:val="single" w:sz="8" w:space="0" w:color="auto"/>
              <w:left w:val="nil"/>
              <w:bottom w:val="single" w:sz="8" w:space="0" w:color="auto"/>
              <w:right w:val="single" w:sz="8" w:space="0" w:color="auto"/>
            </w:tcBorders>
            <w:shd w:val="clear" w:color="auto" w:fill="C4BC96"/>
            <w:tcMar>
              <w:top w:w="0" w:type="dxa"/>
              <w:left w:w="108" w:type="dxa"/>
              <w:bottom w:w="0" w:type="dxa"/>
              <w:right w:w="108" w:type="dxa"/>
            </w:tcMar>
            <w:vAlign w:val="center"/>
            <w:hideMark/>
          </w:tcPr>
          <w:p w14:paraId="2898C8CD" w14:textId="77777777" w:rsidR="007C1E21" w:rsidRPr="00B6020B" w:rsidRDefault="007C1E21" w:rsidP="007C328C">
            <w:pPr>
              <w:spacing w:after="0" w:line="276" w:lineRule="auto"/>
              <w:rPr>
                <w:rFonts w:ascii="ITC Avant Garde" w:hAnsi="ITC Avant Garde"/>
                <w:b/>
                <w:i/>
                <w:kern w:val="1"/>
                <w:sz w:val="16"/>
                <w:szCs w:val="16"/>
              </w:rPr>
            </w:pPr>
            <w:r w:rsidRPr="00B6020B">
              <w:rPr>
                <w:rFonts w:ascii="ITC Avant Garde" w:hAnsi="ITC Avant Garde"/>
                <w:b/>
                <w:i/>
                <w:kern w:val="1"/>
                <w:sz w:val="16"/>
                <w:szCs w:val="16"/>
              </w:rPr>
              <w:t>Tiempo de Respuesta</w:t>
            </w:r>
          </w:p>
        </w:tc>
      </w:tr>
      <w:tr w:rsidR="007C1E21" w:rsidRPr="00B6020B" w14:paraId="05F3C3C7" w14:textId="77777777" w:rsidTr="00F36FDD">
        <w:trPr>
          <w:trHeight w:val="392"/>
          <w:jc w:val="center"/>
        </w:trPr>
        <w:tc>
          <w:tcPr>
            <w:tcW w:w="2106" w:type="dxa"/>
            <w:tcBorders>
              <w:top w:val="nil"/>
              <w:left w:val="single" w:sz="8" w:space="0" w:color="auto"/>
              <w:bottom w:val="single" w:sz="8" w:space="0" w:color="auto"/>
              <w:right w:val="single" w:sz="8" w:space="0" w:color="auto"/>
            </w:tcBorders>
            <w:shd w:val="clear" w:color="auto" w:fill="C4BC96"/>
            <w:tcMar>
              <w:top w:w="0" w:type="dxa"/>
              <w:left w:w="108" w:type="dxa"/>
              <w:bottom w:w="0" w:type="dxa"/>
              <w:right w:w="108" w:type="dxa"/>
            </w:tcMar>
            <w:vAlign w:val="center"/>
            <w:hideMark/>
          </w:tcPr>
          <w:p w14:paraId="529DDE9C"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Nivel 1</w:t>
            </w:r>
          </w:p>
        </w:tc>
        <w:tc>
          <w:tcPr>
            <w:tcW w:w="2414" w:type="dxa"/>
            <w:tcBorders>
              <w:top w:val="nil"/>
              <w:left w:val="nil"/>
              <w:bottom w:val="single" w:sz="8" w:space="0" w:color="auto"/>
              <w:right w:val="single" w:sz="8" w:space="0" w:color="auto"/>
            </w:tcBorders>
            <w:shd w:val="clear" w:color="auto" w:fill="C4BC96"/>
            <w:tcMar>
              <w:top w:w="0" w:type="dxa"/>
              <w:left w:w="108" w:type="dxa"/>
              <w:bottom w:w="0" w:type="dxa"/>
              <w:right w:w="108" w:type="dxa"/>
            </w:tcMar>
            <w:vAlign w:val="center"/>
            <w:hideMark/>
          </w:tcPr>
          <w:p w14:paraId="0D71D8F2"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Contacto</w:t>
            </w:r>
          </w:p>
        </w:tc>
        <w:tc>
          <w:tcPr>
            <w:tcW w:w="1477" w:type="dxa"/>
            <w:tcBorders>
              <w:top w:val="nil"/>
              <w:left w:val="nil"/>
              <w:bottom w:val="single" w:sz="8" w:space="0" w:color="auto"/>
              <w:right w:val="single" w:sz="8" w:space="0" w:color="auto"/>
            </w:tcBorders>
            <w:shd w:val="clear" w:color="auto" w:fill="C4BC96"/>
            <w:tcMar>
              <w:top w:w="0" w:type="dxa"/>
              <w:left w:w="108" w:type="dxa"/>
              <w:bottom w:w="0" w:type="dxa"/>
              <w:right w:w="108" w:type="dxa"/>
            </w:tcMar>
            <w:vAlign w:val="center"/>
          </w:tcPr>
          <w:p w14:paraId="639C8052" w14:textId="77777777" w:rsidR="007C1E21" w:rsidRPr="00B6020B" w:rsidRDefault="007C1E21" w:rsidP="007C328C">
            <w:pPr>
              <w:spacing w:after="0" w:line="276" w:lineRule="auto"/>
              <w:rPr>
                <w:rFonts w:ascii="ITC Avant Garde" w:hAnsi="ITC Avant Garde"/>
                <w:i/>
                <w:kern w:val="1"/>
                <w:sz w:val="16"/>
                <w:szCs w:val="16"/>
              </w:rPr>
            </w:pPr>
          </w:p>
        </w:tc>
      </w:tr>
      <w:tr w:rsidR="007C1E21" w:rsidRPr="00B6020B" w14:paraId="4C9475B6" w14:textId="77777777" w:rsidTr="00F36FDD">
        <w:trPr>
          <w:trHeight w:val="392"/>
          <w:jc w:val="center"/>
        </w:trPr>
        <w:tc>
          <w:tcPr>
            <w:tcW w:w="2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AA51AD" w14:textId="77777777" w:rsidR="007C1E21" w:rsidRPr="00B6020B" w:rsidRDefault="007C1E21" w:rsidP="007C328C">
            <w:pPr>
              <w:spacing w:after="0" w:line="276" w:lineRule="auto"/>
              <w:rPr>
                <w:rFonts w:ascii="ITC Avant Garde" w:hAnsi="ITC Avant Garde"/>
                <w:i/>
                <w:kern w:val="1"/>
                <w:sz w:val="16"/>
                <w:szCs w:val="16"/>
              </w:rPr>
            </w:pPr>
          </w:p>
        </w:tc>
        <w:tc>
          <w:tcPr>
            <w:tcW w:w="2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C5660"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Correo:</w:t>
            </w:r>
          </w:p>
          <w:p w14:paraId="3C5A9CE2"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Tel.</w:t>
            </w:r>
          </w:p>
          <w:p w14:paraId="7B41552D"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Celular:</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D9FB4"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24 horas</w:t>
            </w:r>
          </w:p>
        </w:tc>
      </w:tr>
      <w:tr w:rsidR="007C1E21" w:rsidRPr="00B6020B" w14:paraId="1E4A73AB" w14:textId="77777777" w:rsidTr="00F36FDD">
        <w:trPr>
          <w:trHeight w:val="387"/>
          <w:jc w:val="center"/>
        </w:trPr>
        <w:tc>
          <w:tcPr>
            <w:tcW w:w="2106" w:type="dxa"/>
            <w:tcBorders>
              <w:top w:val="nil"/>
              <w:left w:val="single" w:sz="8" w:space="0" w:color="auto"/>
              <w:bottom w:val="single" w:sz="8" w:space="0" w:color="auto"/>
              <w:right w:val="single" w:sz="8" w:space="0" w:color="auto"/>
            </w:tcBorders>
            <w:shd w:val="clear" w:color="auto" w:fill="C4BC96"/>
            <w:tcMar>
              <w:top w:w="0" w:type="dxa"/>
              <w:left w:w="108" w:type="dxa"/>
              <w:bottom w:w="0" w:type="dxa"/>
              <w:right w:w="108" w:type="dxa"/>
            </w:tcMar>
            <w:vAlign w:val="center"/>
            <w:hideMark/>
          </w:tcPr>
          <w:p w14:paraId="76749F3B"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Nivel 2</w:t>
            </w:r>
          </w:p>
        </w:tc>
        <w:tc>
          <w:tcPr>
            <w:tcW w:w="2414" w:type="dxa"/>
            <w:tcBorders>
              <w:top w:val="nil"/>
              <w:left w:val="nil"/>
              <w:bottom w:val="single" w:sz="8" w:space="0" w:color="auto"/>
              <w:right w:val="single" w:sz="8" w:space="0" w:color="auto"/>
            </w:tcBorders>
            <w:shd w:val="clear" w:color="auto" w:fill="C4BC96"/>
            <w:tcMar>
              <w:top w:w="0" w:type="dxa"/>
              <w:left w:w="108" w:type="dxa"/>
              <w:bottom w:w="0" w:type="dxa"/>
              <w:right w:w="108" w:type="dxa"/>
            </w:tcMar>
            <w:vAlign w:val="center"/>
            <w:hideMark/>
          </w:tcPr>
          <w:p w14:paraId="730D8BA6"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Contacto</w:t>
            </w:r>
          </w:p>
        </w:tc>
        <w:tc>
          <w:tcPr>
            <w:tcW w:w="1477" w:type="dxa"/>
            <w:tcBorders>
              <w:top w:val="nil"/>
              <w:left w:val="nil"/>
              <w:bottom w:val="single" w:sz="8" w:space="0" w:color="auto"/>
              <w:right w:val="single" w:sz="8" w:space="0" w:color="auto"/>
            </w:tcBorders>
            <w:shd w:val="clear" w:color="auto" w:fill="C4BC96"/>
            <w:tcMar>
              <w:top w:w="0" w:type="dxa"/>
              <w:left w:w="108" w:type="dxa"/>
              <w:bottom w:w="0" w:type="dxa"/>
              <w:right w:w="108" w:type="dxa"/>
            </w:tcMar>
            <w:vAlign w:val="center"/>
          </w:tcPr>
          <w:p w14:paraId="69B34AD3" w14:textId="77777777" w:rsidR="007C1E21" w:rsidRPr="00B6020B" w:rsidRDefault="007C1E21" w:rsidP="007C328C">
            <w:pPr>
              <w:spacing w:after="0" w:line="276" w:lineRule="auto"/>
              <w:rPr>
                <w:rFonts w:ascii="ITC Avant Garde" w:hAnsi="ITC Avant Garde"/>
                <w:i/>
                <w:kern w:val="1"/>
                <w:sz w:val="16"/>
                <w:szCs w:val="16"/>
              </w:rPr>
            </w:pPr>
          </w:p>
        </w:tc>
      </w:tr>
      <w:tr w:rsidR="007C1E21" w:rsidRPr="00B6020B" w14:paraId="014E7274" w14:textId="77777777" w:rsidTr="00F36FDD">
        <w:trPr>
          <w:trHeight w:val="1172"/>
          <w:jc w:val="center"/>
        </w:trPr>
        <w:tc>
          <w:tcPr>
            <w:tcW w:w="21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4439FE" w14:textId="77777777" w:rsidR="007C1E21" w:rsidRPr="00B6020B" w:rsidRDefault="007C1E21" w:rsidP="007C328C">
            <w:pPr>
              <w:spacing w:after="0" w:line="276" w:lineRule="auto"/>
              <w:rPr>
                <w:rFonts w:ascii="ITC Avant Garde" w:hAnsi="ITC Avant Garde"/>
                <w:i/>
                <w:kern w:val="1"/>
                <w:sz w:val="16"/>
                <w:szCs w:val="16"/>
              </w:rPr>
            </w:pPr>
          </w:p>
        </w:tc>
        <w:tc>
          <w:tcPr>
            <w:tcW w:w="2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19B11"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Correo:</w:t>
            </w:r>
          </w:p>
          <w:p w14:paraId="5656B431"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Tel.</w:t>
            </w:r>
          </w:p>
          <w:p w14:paraId="574B8D8C"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Celular:</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21439"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48 horas</w:t>
            </w:r>
          </w:p>
        </w:tc>
      </w:tr>
    </w:tbl>
    <w:p w14:paraId="398971E8" w14:textId="77777777" w:rsidR="007C1E21" w:rsidRPr="00B6020B" w:rsidRDefault="007C1E21" w:rsidP="007C328C">
      <w:pPr>
        <w:spacing w:afterLines="200" w:after="480" w:line="276" w:lineRule="auto"/>
        <w:ind w:left="783"/>
        <w:rPr>
          <w:rFonts w:ascii="ITC Avant Garde" w:hAnsi="ITC Avant Garde"/>
          <w:kern w:val="1"/>
          <w:lang w:val="es-ES_tradnl"/>
        </w:rPr>
      </w:pPr>
    </w:p>
    <w:tbl>
      <w:tblPr>
        <w:tblW w:w="0" w:type="auto"/>
        <w:jc w:val="center"/>
        <w:tblCellMar>
          <w:left w:w="0" w:type="dxa"/>
          <w:right w:w="0" w:type="dxa"/>
        </w:tblCellMar>
        <w:tblLook w:val="04A0" w:firstRow="1" w:lastRow="0" w:firstColumn="1" w:lastColumn="0" w:noHBand="0" w:noVBand="1"/>
      </w:tblPr>
      <w:tblGrid>
        <w:gridCol w:w="2197"/>
        <w:gridCol w:w="2539"/>
        <w:gridCol w:w="1289"/>
      </w:tblGrid>
      <w:tr w:rsidR="007C1E21" w:rsidRPr="00B6020B" w14:paraId="1EF4A0CC" w14:textId="77777777" w:rsidTr="00F36FDD">
        <w:trPr>
          <w:trHeight w:val="187"/>
          <w:tblHeader/>
          <w:jc w:val="center"/>
        </w:trPr>
        <w:tc>
          <w:tcPr>
            <w:tcW w:w="4736" w:type="dxa"/>
            <w:gridSpan w:val="2"/>
            <w:tcBorders>
              <w:top w:val="single" w:sz="8" w:space="0" w:color="auto"/>
              <w:left w:val="single" w:sz="8" w:space="0" w:color="auto"/>
              <w:bottom w:val="single" w:sz="8" w:space="0" w:color="auto"/>
              <w:right w:val="single" w:sz="8" w:space="0" w:color="auto"/>
            </w:tcBorders>
            <w:shd w:val="clear" w:color="auto" w:fill="C4BC96"/>
            <w:tcMar>
              <w:top w:w="0" w:type="dxa"/>
              <w:left w:w="108" w:type="dxa"/>
              <w:bottom w:w="0" w:type="dxa"/>
              <w:right w:w="108" w:type="dxa"/>
            </w:tcMar>
            <w:hideMark/>
          </w:tcPr>
          <w:p w14:paraId="68E399BC" w14:textId="77777777" w:rsidR="007C1E21" w:rsidRPr="00B6020B" w:rsidRDefault="007C1E21" w:rsidP="007C328C">
            <w:pPr>
              <w:spacing w:after="0" w:line="276" w:lineRule="auto"/>
              <w:rPr>
                <w:rFonts w:ascii="ITC Avant Garde" w:hAnsi="ITC Avant Garde"/>
                <w:b/>
                <w:i/>
                <w:kern w:val="1"/>
                <w:sz w:val="16"/>
                <w:szCs w:val="16"/>
              </w:rPr>
            </w:pPr>
            <w:r w:rsidRPr="00B6020B">
              <w:rPr>
                <w:rFonts w:ascii="ITC Avant Garde" w:hAnsi="ITC Avant Garde"/>
                <w:b/>
                <w:i/>
                <w:kern w:val="1"/>
                <w:sz w:val="16"/>
                <w:szCs w:val="16"/>
              </w:rPr>
              <w:t>Matriz de Escalamiento CONCESIONARIO</w:t>
            </w:r>
          </w:p>
        </w:tc>
        <w:tc>
          <w:tcPr>
            <w:tcW w:w="1289" w:type="dxa"/>
            <w:tcBorders>
              <w:top w:val="single" w:sz="8" w:space="0" w:color="auto"/>
              <w:left w:val="nil"/>
              <w:bottom w:val="single" w:sz="8" w:space="0" w:color="auto"/>
              <w:right w:val="single" w:sz="8" w:space="0" w:color="auto"/>
            </w:tcBorders>
            <w:shd w:val="clear" w:color="auto" w:fill="C4BC96"/>
            <w:tcMar>
              <w:top w:w="0" w:type="dxa"/>
              <w:left w:w="108" w:type="dxa"/>
              <w:bottom w:w="0" w:type="dxa"/>
              <w:right w:w="108" w:type="dxa"/>
            </w:tcMar>
            <w:hideMark/>
          </w:tcPr>
          <w:p w14:paraId="7E8DBF66" w14:textId="77777777" w:rsidR="007C1E21" w:rsidRPr="00B6020B" w:rsidRDefault="007C1E21" w:rsidP="007C328C">
            <w:pPr>
              <w:spacing w:after="0" w:line="276" w:lineRule="auto"/>
              <w:rPr>
                <w:rFonts w:ascii="ITC Avant Garde" w:hAnsi="ITC Avant Garde"/>
                <w:b/>
                <w:i/>
                <w:kern w:val="1"/>
                <w:sz w:val="16"/>
                <w:szCs w:val="16"/>
              </w:rPr>
            </w:pPr>
            <w:r w:rsidRPr="00B6020B">
              <w:rPr>
                <w:rFonts w:ascii="ITC Avant Garde" w:hAnsi="ITC Avant Garde"/>
                <w:b/>
                <w:i/>
                <w:kern w:val="1"/>
                <w:sz w:val="16"/>
                <w:szCs w:val="16"/>
              </w:rPr>
              <w:t>Tiempo de Respuesta</w:t>
            </w:r>
          </w:p>
        </w:tc>
      </w:tr>
      <w:tr w:rsidR="007C1E21" w:rsidRPr="00B6020B" w14:paraId="411B6788" w14:textId="77777777" w:rsidTr="00F36FDD">
        <w:trPr>
          <w:trHeight w:val="187"/>
          <w:jc w:val="center"/>
        </w:trPr>
        <w:tc>
          <w:tcPr>
            <w:tcW w:w="2197" w:type="dxa"/>
            <w:tcBorders>
              <w:top w:val="nil"/>
              <w:left w:val="single" w:sz="8" w:space="0" w:color="auto"/>
              <w:bottom w:val="single" w:sz="8" w:space="0" w:color="auto"/>
              <w:right w:val="single" w:sz="8" w:space="0" w:color="auto"/>
            </w:tcBorders>
            <w:shd w:val="clear" w:color="auto" w:fill="C4BC96"/>
            <w:tcMar>
              <w:top w:w="0" w:type="dxa"/>
              <w:left w:w="108" w:type="dxa"/>
              <w:bottom w:w="0" w:type="dxa"/>
              <w:right w:w="108" w:type="dxa"/>
            </w:tcMar>
            <w:hideMark/>
          </w:tcPr>
          <w:p w14:paraId="29C96596"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 xml:space="preserve">Nivel 1 </w:t>
            </w:r>
          </w:p>
        </w:tc>
        <w:tc>
          <w:tcPr>
            <w:tcW w:w="2539" w:type="dxa"/>
            <w:tcBorders>
              <w:top w:val="nil"/>
              <w:left w:val="nil"/>
              <w:bottom w:val="single" w:sz="8" w:space="0" w:color="auto"/>
              <w:right w:val="single" w:sz="8" w:space="0" w:color="auto"/>
            </w:tcBorders>
            <w:shd w:val="clear" w:color="auto" w:fill="C4BC96"/>
            <w:tcMar>
              <w:top w:w="0" w:type="dxa"/>
              <w:left w:w="108" w:type="dxa"/>
              <w:bottom w:w="0" w:type="dxa"/>
              <w:right w:w="108" w:type="dxa"/>
            </w:tcMar>
            <w:hideMark/>
          </w:tcPr>
          <w:p w14:paraId="2E4AFD2A"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Contacto</w:t>
            </w:r>
          </w:p>
        </w:tc>
        <w:tc>
          <w:tcPr>
            <w:tcW w:w="1289"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14:paraId="0DDF0DA7"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24 horas</w:t>
            </w:r>
          </w:p>
        </w:tc>
      </w:tr>
      <w:tr w:rsidR="007C1E21" w:rsidRPr="00B6020B" w14:paraId="1DB7FEEC" w14:textId="77777777" w:rsidTr="00F36FDD">
        <w:trPr>
          <w:trHeight w:val="571"/>
          <w:jc w:val="center"/>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5F9828" w14:textId="77777777" w:rsidR="007C1E21" w:rsidRPr="00B6020B" w:rsidRDefault="007C1E21" w:rsidP="007C328C">
            <w:pPr>
              <w:spacing w:after="0" w:line="276" w:lineRule="auto"/>
              <w:rPr>
                <w:rFonts w:ascii="ITC Avant Garde" w:hAnsi="ITC Avant Garde"/>
                <w:i/>
                <w:kern w:val="1"/>
                <w:sz w:val="16"/>
                <w:szCs w:val="16"/>
              </w:rPr>
            </w:pP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14:paraId="155D28E0"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 xml:space="preserve">Correo:  </w:t>
            </w:r>
          </w:p>
          <w:p w14:paraId="31F5D3E5"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 xml:space="preserve">Tel. </w:t>
            </w:r>
          </w:p>
          <w:p w14:paraId="3ECECCB6"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Celular:</w:t>
            </w:r>
          </w:p>
        </w:tc>
        <w:tc>
          <w:tcPr>
            <w:tcW w:w="1289" w:type="dxa"/>
            <w:tcBorders>
              <w:top w:val="nil"/>
              <w:left w:val="nil"/>
              <w:bottom w:val="single" w:sz="8" w:space="0" w:color="auto"/>
              <w:right w:val="single" w:sz="8" w:space="0" w:color="auto"/>
            </w:tcBorders>
            <w:tcMar>
              <w:top w:w="0" w:type="dxa"/>
              <w:left w:w="108" w:type="dxa"/>
              <w:bottom w:w="0" w:type="dxa"/>
              <w:right w:w="108" w:type="dxa"/>
            </w:tcMar>
            <w:hideMark/>
          </w:tcPr>
          <w:p w14:paraId="1E9037C3" w14:textId="77777777" w:rsidR="007C1E21" w:rsidRPr="00B6020B" w:rsidRDefault="007C1E21" w:rsidP="007C328C">
            <w:pPr>
              <w:spacing w:after="0" w:line="276" w:lineRule="auto"/>
              <w:rPr>
                <w:rFonts w:ascii="ITC Avant Garde" w:hAnsi="ITC Avant Garde"/>
                <w:i/>
                <w:kern w:val="1"/>
                <w:sz w:val="16"/>
                <w:szCs w:val="16"/>
              </w:rPr>
            </w:pPr>
          </w:p>
        </w:tc>
      </w:tr>
      <w:tr w:rsidR="007C1E21" w:rsidRPr="00B6020B" w14:paraId="3412C010" w14:textId="77777777" w:rsidTr="00F36FDD">
        <w:trPr>
          <w:trHeight w:val="187"/>
          <w:jc w:val="center"/>
        </w:trPr>
        <w:tc>
          <w:tcPr>
            <w:tcW w:w="2197" w:type="dxa"/>
            <w:tcBorders>
              <w:top w:val="nil"/>
              <w:left w:val="single" w:sz="8" w:space="0" w:color="auto"/>
              <w:bottom w:val="single" w:sz="8" w:space="0" w:color="auto"/>
              <w:right w:val="single" w:sz="8" w:space="0" w:color="auto"/>
            </w:tcBorders>
            <w:shd w:val="clear" w:color="auto" w:fill="C4BC96"/>
            <w:tcMar>
              <w:top w:w="0" w:type="dxa"/>
              <w:left w:w="108" w:type="dxa"/>
              <w:bottom w:w="0" w:type="dxa"/>
              <w:right w:w="108" w:type="dxa"/>
            </w:tcMar>
            <w:hideMark/>
          </w:tcPr>
          <w:p w14:paraId="36BB575C"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Nivel 2</w:t>
            </w:r>
          </w:p>
        </w:tc>
        <w:tc>
          <w:tcPr>
            <w:tcW w:w="2539" w:type="dxa"/>
            <w:tcBorders>
              <w:top w:val="nil"/>
              <w:left w:val="nil"/>
              <w:bottom w:val="single" w:sz="8" w:space="0" w:color="auto"/>
              <w:right w:val="single" w:sz="8" w:space="0" w:color="auto"/>
            </w:tcBorders>
            <w:shd w:val="clear" w:color="auto" w:fill="C4BC96"/>
            <w:tcMar>
              <w:top w:w="0" w:type="dxa"/>
              <w:left w:w="108" w:type="dxa"/>
              <w:bottom w:w="0" w:type="dxa"/>
              <w:right w:w="108" w:type="dxa"/>
            </w:tcMar>
            <w:hideMark/>
          </w:tcPr>
          <w:p w14:paraId="4C134408"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Contacto</w:t>
            </w:r>
          </w:p>
        </w:tc>
        <w:tc>
          <w:tcPr>
            <w:tcW w:w="1289"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14:paraId="1A25B80E"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48 horas</w:t>
            </w:r>
          </w:p>
        </w:tc>
      </w:tr>
      <w:tr w:rsidR="007C1E21" w:rsidRPr="00B6020B" w14:paraId="18E99312" w14:textId="77777777" w:rsidTr="00F36FDD">
        <w:trPr>
          <w:trHeight w:val="564"/>
          <w:jc w:val="center"/>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EEA85" w14:textId="77777777" w:rsidR="007C1E21" w:rsidRPr="00B6020B" w:rsidRDefault="007C1E21" w:rsidP="007C328C">
            <w:pPr>
              <w:spacing w:after="0" w:line="276" w:lineRule="auto"/>
              <w:rPr>
                <w:rFonts w:ascii="ITC Avant Garde" w:hAnsi="ITC Avant Garde"/>
                <w:i/>
                <w:kern w:val="1"/>
                <w:sz w:val="16"/>
                <w:szCs w:val="16"/>
              </w:rPr>
            </w:pP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14:paraId="2A57DFD0"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 xml:space="preserve">Correo:  </w:t>
            </w:r>
          </w:p>
          <w:p w14:paraId="0831ECD5"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 xml:space="preserve">Tel. </w:t>
            </w:r>
          </w:p>
          <w:p w14:paraId="7E5758AE" w14:textId="77777777" w:rsidR="007C1E21" w:rsidRPr="00B6020B" w:rsidRDefault="007C1E21" w:rsidP="007C328C">
            <w:pPr>
              <w:spacing w:after="0" w:line="276" w:lineRule="auto"/>
              <w:rPr>
                <w:rFonts w:ascii="ITC Avant Garde" w:hAnsi="ITC Avant Garde"/>
                <w:i/>
                <w:kern w:val="1"/>
                <w:sz w:val="16"/>
                <w:szCs w:val="16"/>
              </w:rPr>
            </w:pPr>
            <w:r w:rsidRPr="00B6020B">
              <w:rPr>
                <w:rFonts w:ascii="ITC Avant Garde" w:hAnsi="ITC Avant Garde"/>
                <w:i/>
                <w:kern w:val="1"/>
                <w:sz w:val="16"/>
                <w:szCs w:val="16"/>
              </w:rPr>
              <w:t xml:space="preserve">Celular: </w:t>
            </w:r>
          </w:p>
        </w:tc>
        <w:tc>
          <w:tcPr>
            <w:tcW w:w="1289" w:type="dxa"/>
            <w:tcBorders>
              <w:top w:val="nil"/>
              <w:left w:val="nil"/>
              <w:bottom w:val="single" w:sz="8" w:space="0" w:color="auto"/>
              <w:right w:val="single" w:sz="8" w:space="0" w:color="auto"/>
            </w:tcBorders>
            <w:tcMar>
              <w:top w:w="0" w:type="dxa"/>
              <w:left w:w="108" w:type="dxa"/>
              <w:bottom w:w="0" w:type="dxa"/>
              <w:right w:w="108" w:type="dxa"/>
            </w:tcMar>
            <w:hideMark/>
          </w:tcPr>
          <w:p w14:paraId="77F1F8FA" w14:textId="77777777" w:rsidR="007C1E21" w:rsidRPr="00B6020B" w:rsidRDefault="007C1E21" w:rsidP="007C328C">
            <w:pPr>
              <w:spacing w:after="0" w:line="276" w:lineRule="auto"/>
              <w:rPr>
                <w:rFonts w:ascii="ITC Avant Garde" w:hAnsi="ITC Avant Garde"/>
                <w:i/>
                <w:kern w:val="1"/>
                <w:sz w:val="16"/>
                <w:szCs w:val="16"/>
              </w:rPr>
            </w:pPr>
          </w:p>
        </w:tc>
      </w:tr>
    </w:tbl>
    <w:p w14:paraId="53BBE3F1" w14:textId="77777777" w:rsidR="007C1E21" w:rsidRPr="00B6020B" w:rsidRDefault="007C1E21" w:rsidP="007C328C">
      <w:pPr>
        <w:spacing w:afterLines="200" w:after="480" w:line="276" w:lineRule="auto"/>
        <w:rPr>
          <w:rFonts w:ascii="ITC Avant Garde" w:hAnsi="ITC Avant Garde"/>
          <w:lang w:val="es-ES_tradnl"/>
        </w:rPr>
      </w:pPr>
    </w:p>
    <w:p w14:paraId="6A247C8D" w14:textId="77777777" w:rsidR="007C1E21" w:rsidRPr="00B6020B" w:rsidRDefault="007C1E21" w:rsidP="007C328C">
      <w:pPr>
        <w:pStyle w:val="Citaift0"/>
      </w:pPr>
      <w:r w:rsidRPr="00B6020B">
        <w:t>Sin perjuicio de lo anterior, en caso de que Telesites / Fibra por cualquier razón tenga necesidad de reubicar, reconstruir o retirar temporal o definitivamente alguno de los elementos de la Infraestructura Pasiva, Telesites / Fibra estará facultada para llevar a cabo dichos trabajos y el Concesionario deberá tomar las previsiones del caso, incluyendo el retiro a su costo y riesgo del Equipo Aprobado, de así solicitarlo Telesites / Fibra, quien no tendrá derecho a cobrar la contraprestación correspondiente por el periodo en que deje de prestar el Servicio.  En caso de que Telesites / Fibra otorgue una alternativa de operación del Equipo Aprobado en el mismo o diverso Sitio, lo hará saber al Concesionario para que éste realice la Colocación del Equipo Aprobado.</w:t>
      </w:r>
      <w:r w:rsidR="007E1D68" w:rsidRPr="00B6020B">
        <w:t>”</w:t>
      </w:r>
    </w:p>
    <w:p w14:paraId="14CB0B8F" w14:textId="77777777" w:rsidR="007E1D68" w:rsidRPr="00B6020B" w:rsidRDefault="007E1D68" w:rsidP="007E1D68">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Respecto a la falta de datos específicos, se considera que la matriz de escalamiento incluida en la Oferta de Referencia regula las bases de la relación entre las partes. Al no incluir datos específicos como nombres, correos electrónicos o números de contacto, se otorga la flexibilidad necesaria para que estas sean determinadas y actualizadas directamente entre el concesionario y Telesites y Fibra al momento de la firma del acuerdo particular.</w:t>
      </w:r>
    </w:p>
    <w:p w14:paraId="4C873AB9" w14:textId="77777777" w:rsidR="00444495" w:rsidRPr="00B6020B" w:rsidRDefault="00444495" w:rsidP="007E1D68">
      <w:pPr>
        <w:pStyle w:val="Default"/>
        <w:spacing w:after="100" w:afterAutospacing="1" w:line="276" w:lineRule="auto"/>
        <w:jc w:val="both"/>
        <w:rPr>
          <w:rFonts w:ascii="ITC Avant Garde" w:hAnsi="ITC Avant Garde" w:cs="Arial"/>
          <w:sz w:val="22"/>
          <w:szCs w:val="22"/>
        </w:rPr>
      </w:pPr>
      <w:r w:rsidRPr="00B6020B">
        <w:rPr>
          <w:rFonts w:ascii="ITC Avant Garde" w:hAnsi="ITC Avant Garde" w:cs="Arial"/>
          <w:sz w:val="22"/>
          <w:szCs w:val="22"/>
        </w:rPr>
        <w:t>Se destaca también que</w:t>
      </w:r>
      <w:r w:rsidR="007E1D68" w:rsidRPr="00B6020B">
        <w:rPr>
          <w:rFonts w:ascii="ITC Avant Garde" w:hAnsi="ITC Avant Garde" w:cs="Arial"/>
          <w:sz w:val="22"/>
          <w:szCs w:val="22"/>
        </w:rPr>
        <w:t xml:space="preserve"> la falta de estos datos no impide la operatividad del procedimiento de atención de incidencias, ya que las partes tienen la responsabilidad de acordar y mantener actualizados los datos relevantes </w:t>
      </w:r>
      <w:r w:rsidRPr="00B6020B">
        <w:rPr>
          <w:rFonts w:ascii="ITC Avant Garde" w:hAnsi="ITC Avant Garde" w:cs="Arial"/>
          <w:sz w:val="22"/>
          <w:szCs w:val="22"/>
        </w:rPr>
        <w:t>durante la relación</w:t>
      </w:r>
      <w:r w:rsidR="007E1D68" w:rsidRPr="00B6020B">
        <w:rPr>
          <w:rFonts w:ascii="ITC Avant Garde" w:hAnsi="ITC Avant Garde" w:cs="Arial"/>
          <w:sz w:val="22"/>
          <w:szCs w:val="22"/>
        </w:rPr>
        <w:t xml:space="preserve"> contractual.</w:t>
      </w:r>
    </w:p>
    <w:p w14:paraId="7AE4B9DF" w14:textId="77777777" w:rsidR="00564424" w:rsidRDefault="00444495" w:rsidP="00564424">
      <w:pPr>
        <w:pStyle w:val="Default"/>
        <w:spacing w:after="100" w:afterAutospacing="1" w:line="276" w:lineRule="auto"/>
        <w:jc w:val="both"/>
        <w:rPr>
          <w:rFonts w:ascii="ITC Avant Garde" w:hAnsi="ITC Avant Garde" w:cs="Arial"/>
          <w:b/>
          <w:sz w:val="22"/>
          <w:szCs w:val="22"/>
        </w:rPr>
      </w:pPr>
      <w:r w:rsidRPr="00B6020B">
        <w:rPr>
          <w:rFonts w:ascii="ITC Avant Garde" w:hAnsi="ITC Avant Garde" w:cs="Arial"/>
          <w:sz w:val="22"/>
          <w:szCs w:val="22"/>
        </w:rPr>
        <w:lastRenderedPageBreak/>
        <w:t>Lo anterior</w:t>
      </w:r>
      <w:r w:rsidR="007E1D68" w:rsidRPr="00B6020B">
        <w:rPr>
          <w:rFonts w:ascii="ITC Avant Garde" w:hAnsi="ITC Avant Garde" w:cs="Arial"/>
          <w:sz w:val="22"/>
          <w:szCs w:val="22"/>
        </w:rPr>
        <w:t xml:space="preserve"> se alinea con el enfoque de la Oferta de Referencia, que actúa como marco </w:t>
      </w:r>
      <w:r w:rsidRPr="00B6020B">
        <w:rPr>
          <w:rFonts w:ascii="ITC Avant Garde" w:hAnsi="ITC Avant Garde" w:cs="Arial"/>
          <w:sz w:val="22"/>
          <w:szCs w:val="22"/>
        </w:rPr>
        <w:t>que permite a las partes</w:t>
      </w:r>
      <w:r w:rsidR="007E1D68" w:rsidRPr="00B6020B">
        <w:rPr>
          <w:rFonts w:ascii="ITC Avant Garde" w:hAnsi="ITC Avant Garde" w:cs="Arial"/>
          <w:sz w:val="22"/>
          <w:szCs w:val="22"/>
        </w:rPr>
        <w:t xml:space="preserve"> </w:t>
      </w:r>
      <w:r w:rsidRPr="00B6020B">
        <w:rPr>
          <w:rFonts w:ascii="ITC Avant Garde" w:hAnsi="ITC Avant Garde" w:cs="Arial"/>
          <w:sz w:val="22"/>
          <w:szCs w:val="22"/>
        </w:rPr>
        <w:t>e</w:t>
      </w:r>
      <w:r w:rsidR="007E1D68" w:rsidRPr="00B6020B">
        <w:rPr>
          <w:rFonts w:ascii="ITC Avant Garde" w:hAnsi="ITC Avant Garde" w:cs="Arial"/>
          <w:sz w:val="22"/>
          <w:szCs w:val="22"/>
        </w:rPr>
        <w:t>stable</w:t>
      </w:r>
      <w:r w:rsidRPr="00B6020B">
        <w:rPr>
          <w:rFonts w:ascii="ITC Avant Garde" w:hAnsi="ITC Avant Garde" w:cs="Arial"/>
          <w:sz w:val="22"/>
          <w:szCs w:val="22"/>
        </w:rPr>
        <w:t>cer</w:t>
      </w:r>
      <w:r w:rsidR="007E1D68" w:rsidRPr="00B6020B">
        <w:rPr>
          <w:rFonts w:ascii="ITC Avant Garde" w:hAnsi="ITC Avant Garde" w:cs="Arial"/>
          <w:sz w:val="22"/>
          <w:szCs w:val="22"/>
        </w:rPr>
        <w:t xml:space="preserve"> los detalles específicos en función de sus necesidades operativas</w:t>
      </w:r>
      <w:r w:rsidRPr="00B6020B">
        <w:rPr>
          <w:rFonts w:ascii="ITC Avant Garde" w:hAnsi="ITC Avant Garde" w:cs="Arial"/>
          <w:sz w:val="22"/>
          <w:szCs w:val="22"/>
        </w:rPr>
        <w:t xml:space="preserve"> acordadas</w:t>
      </w:r>
      <w:r w:rsidR="007E1D68" w:rsidRPr="00B6020B">
        <w:rPr>
          <w:rFonts w:ascii="ITC Avant Garde" w:hAnsi="ITC Avant Garde" w:cs="Arial"/>
          <w:sz w:val="22"/>
          <w:szCs w:val="22"/>
        </w:rPr>
        <w:t>.</w:t>
      </w:r>
    </w:p>
    <w:sectPr w:rsidR="00564424" w:rsidSect="001438D2">
      <w:headerReference w:type="default" r:id="rId12"/>
      <w:footerReference w:type="default" r:id="rId13"/>
      <w:footerReference w:type="first" r:id="rId14"/>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F1D76" w14:textId="77777777" w:rsidR="00116759" w:rsidRDefault="00116759" w:rsidP="003C6172">
      <w:pPr>
        <w:spacing w:after="0" w:line="240" w:lineRule="auto"/>
      </w:pPr>
      <w:r>
        <w:separator/>
      </w:r>
    </w:p>
  </w:endnote>
  <w:endnote w:type="continuationSeparator" w:id="0">
    <w:p w14:paraId="54F0DB10" w14:textId="77777777" w:rsidR="00116759" w:rsidRDefault="00116759" w:rsidP="003C6172">
      <w:pPr>
        <w:spacing w:after="0" w:line="240" w:lineRule="auto"/>
      </w:pPr>
      <w:r>
        <w:continuationSeparator/>
      </w:r>
    </w:p>
  </w:endnote>
  <w:endnote w:type="continuationNotice" w:id="1">
    <w:p w14:paraId="1BF42169" w14:textId="77777777" w:rsidR="00116759" w:rsidRDefault="00116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482973"/>
      <w:docPartObj>
        <w:docPartGallery w:val="Page Numbers (Bottom of Page)"/>
        <w:docPartUnique/>
      </w:docPartObj>
    </w:sdtPr>
    <w:sdtEndPr/>
    <w:sdtContent>
      <w:p w14:paraId="3F97B584" w14:textId="77777777" w:rsidR="00FB0FE0" w:rsidRDefault="00FB0FE0" w:rsidP="008958B5">
        <w:pPr>
          <w:pStyle w:val="Piedepgina"/>
          <w:jc w:val="right"/>
        </w:pPr>
        <w:r>
          <w:fldChar w:fldCharType="begin"/>
        </w:r>
        <w:r>
          <w:instrText>PAGE   \* MERGEFORMAT</w:instrText>
        </w:r>
        <w:r>
          <w:fldChar w:fldCharType="separate"/>
        </w:r>
        <w:r w:rsidRPr="00FA1565">
          <w:rPr>
            <w:noProof/>
            <w:lang w:val="es-ES"/>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092483"/>
      <w:docPartObj>
        <w:docPartGallery w:val="Page Numbers (Bottom of Page)"/>
        <w:docPartUnique/>
      </w:docPartObj>
    </w:sdtPr>
    <w:sdtEndPr/>
    <w:sdtContent>
      <w:p w14:paraId="451D54C6" w14:textId="77777777" w:rsidR="00FB0FE0" w:rsidRPr="008958B5" w:rsidRDefault="00FB0FE0" w:rsidP="008958B5">
        <w:pPr>
          <w:pStyle w:val="Piedepgina"/>
          <w:jc w:val="right"/>
        </w:pPr>
        <w:r>
          <w:fldChar w:fldCharType="begin"/>
        </w:r>
        <w:r>
          <w:instrText>PAGE   \* MERGEFORMAT</w:instrText>
        </w:r>
        <w:r>
          <w:fldChar w:fldCharType="separate"/>
        </w:r>
        <w:r w:rsidRPr="00FA1565">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478E7" w14:textId="77777777" w:rsidR="00116759" w:rsidRDefault="00116759" w:rsidP="003C6172">
      <w:pPr>
        <w:spacing w:after="0" w:line="240" w:lineRule="auto"/>
      </w:pPr>
      <w:r>
        <w:separator/>
      </w:r>
    </w:p>
  </w:footnote>
  <w:footnote w:type="continuationSeparator" w:id="0">
    <w:p w14:paraId="48D12448" w14:textId="77777777" w:rsidR="00116759" w:rsidRDefault="00116759" w:rsidP="003C6172">
      <w:pPr>
        <w:spacing w:after="0" w:line="240" w:lineRule="auto"/>
      </w:pPr>
      <w:r>
        <w:continuationSeparator/>
      </w:r>
    </w:p>
  </w:footnote>
  <w:footnote w:type="continuationNotice" w:id="1">
    <w:p w14:paraId="6787A37E" w14:textId="77777777" w:rsidR="00116759" w:rsidRDefault="00116759">
      <w:pPr>
        <w:spacing w:after="0" w:line="240" w:lineRule="auto"/>
      </w:pPr>
    </w:p>
  </w:footnote>
  <w:footnote w:id="2">
    <w:p w14:paraId="4CFE8A8A" w14:textId="77777777" w:rsidR="00E81B4E" w:rsidRPr="0086394E" w:rsidRDefault="00E81B4E" w:rsidP="00E81B4E">
      <w:pPr>
        <w:pStyle w:val="Textonotapie"/>
        <w:ind w:left="0" w:firstLine="0"/>
        <w:rPr>
          <w:lang w:val="es-MX"/>
        </w:rPr>
      </w:pPr>
      <w:r w:rsidRPr="000D7A44">
        <w:rPr>
          <w:rFonts w:ascii="ITC Avant Garde" w:hAnsi="ITC Avant Garde"/>
          <w:sz w:val="14"/>
          <w:szCs w:val="14"/>
          <w:vertAlign w:val="superscript"/>
          <w:lang w:val="es-MX"/>
        </w:rPr>
        <w:footnoteRef/>
      </w:r>
      <w:r w:rsidRPr="0086394E">
        <w:rPr>
          <w:rFonts w:ascii="ITC Avant Garde" w:hAnsi="ITC Avant Garde"/>
          <w:sz w:val="14"/>
          <w:szCs w:val="14"/>
          <w:lang w:val="es-MX"/>
        </w:rPr>
        <w:t xml:space="preserve"> Disponible a través de la siguiente dirección electrónica: </w:t>
      </w:r>
      <w:hyperlink r:id="rId1" w:history="1">
        <w:r w:rsidRPr="005A2006">
          <w:rPr>
            <w:rStyle w:val="Hipervnculo"/>
            <w:rFonts w:ascii="ITC Avant Garde" w:hAnsi="ITC Avant Garde"/>
            <w:sz w:val="14"/>
            <w:szCs w:val="14"/>
            <w:lang w:val="es-MX"/>
          </w:rPr>
          <w:t>https://www.ift.org.mx/sites/default/files/contenidogeneral/politica-regulatoria/ofertadereferencia2024telesitesfibra.pdf</w:t>
        </w:r>
      </w:hyperlink>
      <w:r>
        <w:rPr>
          <w:rFonts w:ascii="ITC Avant Garde" w:hAnsi="ITC Avant Garde"/>
          <w:sz w:val="14"/>
          <w:szCs w:val="14"/>
          <w:lang w:val="es-MX"/>
        </w:rPr>
        <w:t xml:space="preserve"> </w:t>
      </w:r>
    </w:p>
  </w:footnote>
  <w:footnote w:id="3">
    <w:p w14:paraId="53743B15" w14:textId="20DC9C28" w:rsidR="00E81B4E" w:rsidRPr="00E81B4E" w:rsidRDefault="00E81B4E" w:rsidP="00E81B4E">
      <w:pPr>
        <w:pStyle w:val="Textonotapie"/>
        <w:ind w:left="0" w:firstLine="0"/>
        <w:rPr>
          <w:lang w:val="es-MX"/>
        </w:rPr>
      </w:pPr>
      <w:r w:rsidRPr="00E81B4E">
        <w:rPr>
          <w:rStyle w:val="Refdenotaalpie"/>
          <w:rFonts w:ascii="ITC Avant Garde" w:hAnsi="ITC Avant Garde"/>
          <w:sz w:val="14"/>
          <w:szCs w:val="14"/>
        </w:rPr>
        <w:footnoteRef/>
      </w:r>
      <w:r w:rsidRPr="00E81B4E">
        <w:rPr>
          <w:rFonts w:ascii="ITC Avant Garde" w:hAnsi="ITC Avant Garde"/>
          <w:sz w:val="14"/>
          <w:szCs w:val="14"/>
        </w:rPr>
        <w:t xml:space="preserve"> </w:t>
      </w:r>
      <w:proofErr w:type="spellStart"/>
      <w:r w:rsidRPr="00E81B4E">
        <w:rPr>
          <w:rFonts w:ascii="ITC Avant Garde" w:hAnsi="ITC Avant Garde"/>
          <w:sz w:val="14"/>
          <w:szCs w:val="14"/>
          <w:lang w:val="es-MX"/>
        </w:rPr>
        <w:t>Disponibe</w:t>
      </w:r>
      <w:proofErr w:type="spellEnd"/>
      <w:r w:rsidRPr="00E81B4E">
        <w:rPr>
          <w:rFonts w:ascii="ITC Avant Garde" w:hAnsi="ITC Avant Garde"/>
          <w:sz w:val="14"/>
          <w:szCs w:val="14"/>
          <w:lang w:val="es-MX"/>
        </w:rPr>
        <w:t xml:space="preserve"> a través de la siguiente liga electrónica: </w:t>
      </w:r>
      <w:hyperlink r:id="rId2" w:history="1">
        <w:r w:rsidRPr="00E81B4E">
          <w:rPr>
            <w:rStyle w:val="Hipervnculo"/>
            <w:rFonts w:ascii="ITC Avant Garde" w:hAnsi="ITC Avant Garde"/>
            <w:sz w:val="14"/>
            <w:szCs w:val="14"/>
          </w:rPr>
          <w:t>https://www.ift.org.mx/sites/default/files/contenidogeneral/politica-regulatoria/ofertadereferencia2024telesitesfibra.pdf</w:t>
        </w:r>
      </w:hyperlink>
      <w:r>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9C43" w14:textId="77777777" w:rsidR="00FB0FE0" w:rsidRPr="00FD6F5F" w:rsidRDefault="00FB0FE0" w:rsidP="00FD6F5F">
    <w:pPr>
      <w:pStyle w:val="Encabezado"/>
      <w:rPr>
        <w:lang w:val="es-E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1D13CA"/>
    <w:multiLevelType w:val="hybridMultilevel"/>
    <w:tmpl w:val="364EB5E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C7879A"/>
    <w:multiLevelType w:val="hybridMultilevel"/>
    <w:tmpl w:val="A9B2D4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3"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4" w15:restartNumberingAfterBreak="0">
    <w:nsid w:val="02B74ABE"/>
    <w:multiLevelType w:val="multilevel"/>
    <w:tmpl w:val="2B5CDB6C"/>
    <w:lvl w:ilvl="0">
      <w:start w:val="1"/>
      <w:numFmt w:val="decimal"/>
      <w:lvlText w:val="%1."/>
      <w:lvlJc w:val="left"/>
      <w:pPr>
        <w:ind w:left="720" w:hanging="360"/>
      </w:pPr>
      <w:rPr>
        <w:rFonts w:hint="default"/>
      </w:rPr>
    </w:lvl>
    <w:lvl w:ilvl="1">
      <w:start w:val="1"/>
      <w:numFmt w:val="bullet"/>
      <w:lvlText w:val=""/>
      <w:lvlJc w:val="left"/>
      <w:pPr>
        <w:ind w:left="1235" w:hanging="384"/>
      </w:pPr>
      <w:rPr>
        <w:rFonts w:ascii="Symbol" w:hAnsi="Symbol"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5" w15:restartNumberingAfterBreak="0">
    <w:nsid w:val="08501DCB"/>
    <w:multiLevelType w:val="hybridMultilevel"/>
    <w:tmpl w:val="C38C66E4"/>
    <w:lvl w:ilvl="0" w:tplc="93629AC4">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0CD355E"/>
    <w:multiLevelType w:val="hybridMultilevel"/>
    <w:tmpl w:val="C38C66E4"/>
    <w:lvl w:ilvl="0" w:tplc="93629AC4">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3403DC"/>
    <w:multiLevelType w:val="hybridMultilevel"/>
    <w:tmpl w:val="75D0390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15:restartNumberingAfterBreak="0">
    <w:nsid w:val="182C0461"/>
    <w:multiLevelType w:val="multilevel"/>
    <w:tmpl w:val="3946C17C"/>
    <w:lvl w:ilvl="0">
      <w:start w:val="1"/>
      <w:numFmt w:val="decimal"/>
      <w:lvlText w:val="%1."/>
      <w:lvlJc w:val="left"/>
      <w:pPr>
        <w:ind w:left="405" w:hanging="405"/>
      </w:pPr>
      <w:rPr>
        <w:rFonts w:hint="default"/>
      </w:rPr>
    </w:lvl>
    <w:lvl w:ilvl="1">
      <w:start w:val="11"/>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0" w15:restartNumberingAfterBreak="0">
    <w:nsid w:val="192D132C"/>
    <w:multiLevelType w:val="multilevel"/>
    <w:tmpl w:val="1E7E4FAE"/>
    <w:lvl w:ilvl="0">
      <w:start w:val="4"/>
      <w:numFmt w:val="decimal"/>
      <w:lvlText w:val="%1."/>
      <w:lvlJc w:val="left"/>
      <w:pPr>
        <w:ind w:left="396" w:hanging="396"/>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D1C75"/>
    <w:multiLevelType w:val="multilevel"/>
    <w:tmpl w:val="CFB271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4" w15:restartNumberingAfterBreak="0">
    <w:nsid w:val="1E3F0084"/>
    <w:multiLevelType w:val="multilevel"/>
    <w:tmpl w:val="05AC0CB2"/>
    <w:lvl w:ilvl="0">
      <w:start w:val="1"/>
      <w:numFmt w:val="decimal"/>
      <w:lvlText w:val="%1."/>
      <w:lvlJc w:val="left"/>
      <w:pPr>
        <w:ind w:left="720" w:hanging="360"/>
      </w:pPr>
      <w:rPr>
        <w:rFonts w:hint="default"/>
      </w:rPr>
    </w:lvl>
    <w:lvl w:ilvl="1">
      <w:start w:val="25"/>
      <w:numFmt w:val="decimal"/>
      <w:isLgl/>
      <w:lvlText w:val="%1.%2."/>
      <w:lvlJc w:val="left"/>
      <w:pPr>
        <w:ind w:left="1235" w:hanging="384"/>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15" w15:restartNumberingAfterBreak="0">
    <w:nsid w:val="20162C60"/>
    <w:multiLevelType w:val="multilevel"/>
    <w:tmpl w:val="0254B73E"/>
    <w:lvl w:ilvl="0">
      <w:start w:val="4"/>
      <w:numFmt w:val="decimal"/>
      <w:lvlText w:val="%1."/>
      <w:lvlJc w:val="left"/>
      <w:pPr>
        <w:ind w:left="396" w:hanging="396"/>
      </w:pPr>
      <w:rPr>
        <w:rFonts w:hint="default"/>
        <w:b/>
      </w:rPr>
    </w:lvl>
    <w:lvl w:ilvl="1">
      <w:start w:val="1"/>
      <w:numFmt w:val="decimal"/>
      <w:lvlText w:val="%1.%2."/>
      <w:lvlJc w:val="left"/>
      <w:pPr>
        <w:ind w:left="1800" w:hanging="720"/>
      </w:pPr>
      <w:rPr>
        <w:rFonts w:hint="default"/>
        <w:b/>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DC5690"/>
    <w:multiLevelType w:val="hybridMultilevel"/>
    <w:tmpl w:val="C38C66E4"/>
    <w:lvl w:ilvl="0" w:tplc="93629AC4">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7E2979"/>
    <w:multiLevelType w:val="hybridMultilevel"/>
    <w:tmpl w:val="C38C66E4"/>
    <w:lvl w:ilvl="0" w:tplc="93629AC4">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7F1C8D"/>
    <w:multiLevelType w:val="hybridMultilevel"/>
    <w:tmpl w:val="C1045ECA"/>
    <w:lvl w:ilvl="0" w:tplc="EBEE90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0" w15:restartNumberingAfterBreak="0">
    <w:nsid w:val="31356D6D"/>
    <w:multiLevelType w:val="hybridMultilevel"/>
    <w:tmpl w:val="F77550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89D2164"/>
    <w:multiLevelType w:val="hybridMultilevel"/>
    <w:tmpl w:val="8260203A"/>
    <w:lvl w:ilvl="0" w:tplc="FFFFFFFF">
      <w:numFmt w:val="decimal"/>
      <w:lvlText w:val=""/>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465C030D"/>
    <w:multiLevelType w:val="hybridMultilevel"/>
    <w:tmpl w:val="C38C66E4"/>
    <w:lvl w:ilvl="0" w:tplc="93629AC4">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85582B"/>
    <w:multiLevelType w:val="hybridMultilevel"/>
    <w:tmpl w:val="4B7AD79C"/>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F759CB"/>
    <w:multiLevelType w:val="multilevel"/>
    <w:tmpl w:val="3A6CA5BC"/>
    <w:lvl w:ilvl="0">
      <w:start w:val="1"/>
      <w:numFmt w:val="bullet"/>
      <w:lvlText w:val=""/>
      <w:lvlJc w:val="left"/>
      <w:pPr>
        <w:ind w:left="1080" w:hanging="720"/>
      </w:pPr>
      <w:rPr>
        <w:rFonts w:ascii="Symbol" w:hAnsi="Symbol" w:hint="default"/>
      </w:rPr>
    </w:lvl>
    <w:lvl w:ilvl="1">
      <w:start w:val="11"/>
      <w:numFmt w:val="decimal"/>
      <w:isLgl/>
      <w:lvlText w:val="%1.%2"/>
      <w:lvlJc w:val="left"/>
      <w:pPr>
        <w:ind w:left="1155" w:hanging="55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060" w:hanging="72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10" w:hanging="108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3760" w:hanging="1440"/>
      </w:pPr>
      <w:rPr>
        <w:rFonts w:hint="default"/>
      </w:rPr>
    </w:lvl>
  </w:abstractNum>
  <w:abstractNum w:abstractNumId="27" w15:restartNumberingAfterBreak="0">
    <w:nsid w:val="530F1ADC"/>
    <w:multiLevelType w:val="hybridMultilevel"/>
    <w:tmpl w:val="2DB276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847809"/>
    <w:multiLevelType w:val="multilevel"/>
    <w:tmpl w:val="824ADE5C"/>
    <w:lvl w:ilvl="0">
      <w:start w:val="4"/>
      <w:numFmt w:val="decimal"/>
      <w:lvlText w:val="%1"/>
      <w:lvlJc w:val="left"/>
      <w:pPr>
        <w:ind w:left="520" w:hanging="520"/>
      </w:pPr>
      <w:rPr>
        <w:rFonts w:hint="default"/>
      </w:rPr>
    </w:lvl>
    <w:lvl w:ilvl="1">
      <w:start w:val="1"/>
      <w:numFmt w:val="decimal"/>
      <w:lvlText w:val="%1.%2"/>
      <w:lvlJc w:val="left"/>
      <w:pPr>
        <w:ind w:left="880" w:hanging="5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CF0370F"/>
    <w:multiLevelType w:val="hybridMultilevel"/>
    <w:tmpl w:val="C1045ECA"/>
    <w:lvl w:ilvl="0" w:tplc="EBEE90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3626D9"/>
    <w:multiLevelType w:val="hybridMultilevel"/>
    <w:tmpl w:val="0CE88F6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3"/>
  </w:num>
  <w:num w:numId="2">
    <w:abstractNumId w:val="6"/>
  </w:num>
  <w:num w:numId="3">
    <w:abstractNumId w:val="2"/>
  </w:num>
  <w:num w:numId="4">
    <w:abstractNumId w:val="13"/>
  </w:num>
  <w:num w:numId="5">
    <w:abstractNumId w:val="22"/>
  </w:num>
  <w:num w:numId="6">
    <w:abstractNumId w:val="11"/>
  </w:num>
  <w:num w:numId="7">
    <w:abstractNumId w:val="19"/>
  </w:num>
  <w:num w:numId="8">
    <w:abstractNumId w:val="30"/>
  </w:num>
  <w:num w:numId="9">
    <w:abstractNumId w:val="23"/>
  </w:num>
  <w:num w:numId="10">
    <w:abstractNumId w:val="26"/>
  </w:num>
  <w:num w:numId="11">
    <w:abstractNumId w:val="18"/>
  </w:num>
  <w:num w:numId="12">
    <w:abstractNumId w:val="17"/>
  </w:num>
  <w:num w:numId="13">
    <w:abstractNumId w:val="14"/>
  </w:num>
  <w:num w:numId="14">
    <w:abstractNumId w:val="0"/>
  </w:num>
  <w:num w:numId="15">
    <w:abstractNumId w:val="25"/>
  </w:num>
  <w:num w:numId="16">
    <w:abstractNumId w:val="12"/>
  </w:num>
  <w:num w:numId="17">
    <w:abstractNumId w:val="20"/>
  </w:num>
  <w:num w:numId="18">
    <w:abstractNumId w:val="27"/>
  </w:num>
  <w:num w:numId="19">
    <w:abstractNumId w:val="1"/>
  </w:num>
  <w:num w:numId="20">
    <w:abstractNumId w:val="28"/>
  </w:num>
  <w:num w:numId="21">
    <w:abstractNumId w:val="4"/>
  </w:num>
  <w:num w:numId="22">
    <w:abstractNumId w:val="29"/>
  </w:num>
  <w:num w:numId="23">
    <w:abstractNumId w:val="9"/>
  </w:num>
  <w:num w:numId="24">
    <w:abstractNumId w:val="16"/>
  </w:num>
  <w:num w:numId="25">
    <w:abstractNumId w:val="21"/>
  </w:num>
  <w:num w:numId="26">
    <w:abstractNumId w:val="31"/>
  </w:num>
  <w:num w:numId="27">
    <w:abstractNumId w:val="8"/>
  </w:num>
  <w:num w:numId="28">
    <w:abstractNumId w:val="15"/>
  </w:num>
  <w:num w:numId="29">
    <w:abstractNumId w:val="10"/>
  </w:num>
  <w:num w:numId="30">
    <w:abstractNumId w:val="24"/>
  </w:num>
  <w:num w:numId="31">
    <w:abstractNumId w:val="7"/>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EB"/>
    <w:rsid w:val="00001E14"/>
    <w:rsid w:val="000044B7"/>
    <w:rsid w:val="00004E98"/>
    <w:rsid w:val="0000520A"/>
    <w:rsid w:val="000056FC"/>
    <w:rsid w:val="00005E3D"/>
    <w:rsid w:val="00007C69"/>
    <w:rsid w:val="00011374"/>
    <w:rsid w:val="0001177D"/>
    <w:rsid w:val="000123D8"/>
    <w:rsid w:val="00012F9A"/>
    <w:rsid w:val="000133C6"/>
    <w:rsid w:val="00014B39"/>
    <w:rsid w:val="000164CB"/>
    <w:rsid w:val="00016C47"/>
    <w:rsid w:val="00016DF3"/>
    <w:rsid w:val="00021D46"/>
    <w:rsid w:val="00021E60"/>
    <w:rsid w:val="00025921"/>
    <w:rsid w:val="00025D89"/>
    <w:rsid w:val="00030012"/>
    <w:rsid w:val="00030DD9"/>
    <w:rsid w:val="0003128C"/>
    <w:rsid w:val="000316D9"/>
    <w:rsid w:val="000318C3"/>
    <w:rsid w:val="00033AFD"/>
    <w:rsid w:val="00034576"/>
    <w:rsid w:val="00035F53"/>
    <w:rsid w:val="000364BC"/>
    <w:rsid w:val="0003714D"/>
    <w:rsid w:val="00037C40"/>
    <w:rsid w:val="00040A2B"/>
    <w:rsid w:val="00041441"/>
    <w:rsid w:val="0004267F"/>
    <w:rsid w:val="0004283B"/>
    <w:rsid w:val="00042BDD"/>
    <w:rsid w:val="00043A7C"/>
    <w:rsid w:val="00043CD0"/>
    <w:rsid w:val="00043D29"/>
    <w:rsid w:val="000466BB"/>
    <w:rsid w:val="00046D4E"/>
    <w:rsid w:val="00050F2F"/>
    <w:rsid w:val="000542E6"/>
    <w:rsid w:val="0005524C"/>
    <w:rsid w:val="00057B5C"/>
    <w:rsid w:val="000606B4"/>
    <w:rsid w:val="00060EA3"/>
    <w:rsid w:val="0006115B"/>
    <w:rsid w:val="00061A7F"/>
    <w:rsid w:val="00063BCC"/>
    <w:rsid w:val="00064EE6"/>
    <w:rsid w:val="000656AB"/>
    <w:rsid w:val="00065B41"/>
    <w:rsid w:val="00066589"/>
    <w:rsid w:val="000703E1"/>
    <w:rsid w:val="000708E6"/>
    <w:rsid w:val="000714A8"/>
    <w:rsid w:val="000714C3"/>
    <w:rsid w:val="000721ED"/>
    <w:rsid w:val="00072415"/>
    <w:rsid w:val="00072505"/>
    <w:rsid w:val="00073654"/>
    <w:rsid w:val="00075AB9"/>
    <w:rsid w:val="000774F6"/>
    <w:rsid w:val="00077AA6"/>
    <w:rsid w:val="00077F62"/>
    <w:rsid w:val="000809B1"/>
    <w:rsid w:val="00082955"/>
    <w:rsid w:val="00082E27"/>
    <w:rsid w:val="00083F9A"/>
    <w:rsid w:val="00084741"/>
    <w:rsid w:val="00087919"/>
    <w:rsid w:val="00092915"/>
    <w:rsid w:val="00094B13"/>
    <w:rsid w:val="00094C52"/>
    <w:rsid w:val="00094E69"/>
    <w:rsid w:val="000979CE"/>
    <w:rsid w:val="000A0E4D"/>
    <w:rsid w:val="000A1FBE"/>
    <w:rsid w:val="000A2AC3"/>
    <w:rsid w:val="000A4129"/>
    <w:rsid w:val="000A59A7"/>
    <w:rsid w:val="000A7C0A"/>
    <w:rsid w:val="000B273F"/>
    <w:rsid w:val="000B2BF0"/>
    <w:rsid w:val="000B2F3C"/>
    <w:rsid w:val="000B3373"/>
    <w:rsid w:val="000C21E9"/>
    <w:rsid w:val="000C2DF4"/>
    <w:rsid w:val="000C49E3"/>
    <w:rsid w:val="000C67AC"/>
    <w:rsid w:val="000C6C0D"/>
    <w:rsid w:val="000C7D84"/>
    <w:rsid w:val="000D1296"/>
    <w:rsid w:val="000D137F"/>
    <w:rsid w:val="000D340E"/>
    <w:rsid w:val="000D3A27"/>
    <w:rsid w:val="000D3E75"/>
    <w:rsid w:val="000D40DA"/>
    <w:rsid w:val="000D588A"/>
    <w:rsid w:val="000D7A44"/>
    <w:rsid w:val="000E3372"/>
    <w:rsid w:val="000E3867"/>
    <w:rsid w:val="000E6F40"/>
    <w:rsid w:val="000E7A23"/>
    <w:rsid w:val="000F1744"/>
    <w:rsid w:val="000F1FEA"/>
    <w:rsid w:val="000F34B4"/>
    <w:rsid w:val="000F44F2"/>
    <w:rsid w:val="000F4CB9"/>
    <w:rsid w:val="000F5D76"/>
    <w:rsid w:val="000F6957"/>
    <w:rsid w:val="000F6D7C"/>
    <w:rsid w:val="000F723A"/>
    <w:rsid w:val="0010011E"/>
    <w:rsid w:val="00101199"/>
    <w:rsid w:val="001020A1"/>
    <w:rsid w:val="00103F80"/>
    <w:rsid w:val="001042DF"/>
    <w:rsid w:val="00105C1D"/>
    <w:rsid w:val="0011034B"/>
    <w:rsid w:val="00110E2B"/>
    <w:rsid w:val="00110E37"/>
    <w:rsid w:val="00112C83"/>
    <w:rsid w:val="00114213"/>
    <w:rsid w:val="0011464D"/>
    <w:rsid w:val="00114B2A"/>
    <w:rsid w:val="00115749"/>
    <w:rsid w:val="00116759"/>
    <w:rsid w:val="001167C4"/>
    <w:rsid w:val="001178BC"/>
    <w:rsid w:val="00120164"/>
    <w:rsid w:val="0012077B"/>
    <w:rsid w:val="0012107D"/>
    <w:rsid w:val="001226FC"/>
    <w:rsid w:val="00123203"/>
    <w:rsid w:val="0012797F"/>
    <w:rsid w:val="00130536"/>
    <w:rsid w:val="00131DDE"/>
    <w:rsid w:val="0013240E"/>
    <w:rsid w:val="00132579"/>
    <w:rsid w:val="001352D9"/>
    <w:rsid w:val="00136869"/>
    <w:rsid w:val="0013763A"/>
    <w:rsid w:val="001378A6"/>
    <w:rsid w:val="00137ACA"/>
    <w:rsid w:val="00137ED3"/>
    <w:rsid w:val="00140483"/>
    <w:rsid w:val="00141AE5"/>
    <w:rsid w:val="001438D2"/>
    <w:rsid w:val="00145144"/>
    <w:rsid w:val="001451F8"/>
    <w:rsid w:val="00150628"/>
    <w:rsid w:val="00157D64"/>
    <w:rsid w:val="00161825"/>
    <w:rsid w:val="00162A06"/>
    <w:rsid w:val="00163B82"/>
    <w:rsid w:val="00165F67"/>
    <w:rsid w:val="00166905"/>
    <w:rsid w:val="00166C6E"/>
    <w:rsid w:val="00166F41"/>
    <w:rsid w:val="00167E8B"/>
    <w:rsid w:val="0017023A"/>
    <w:rsid w:val="001726EE"/>
    <w:rsid w:val="001735AA"/>
    <w:rsid w:val="0017397A"/>
    <w:rsid w:val="001748FD"/>
    <w:rsid w:val="0017547F"/>
    <w:rsid w:val="00176438"/>
    <w:rsid w:val="00177636"/>
    <w:rsid w:val="00180E9E"/>
    <w:rsid w:val="00181E5E"/>
    <w:rsid w:val="001820C8"/>
    <w:rsid w:val="00182614"/>
    <w:rsid w:val="00182F0F"/>
    <w:rsid w:val="00183930"/>
    <w:rsid w:val="00186A11"/>
    <w:rsid w:val="00186A4B"/>
    <w:rsid w:val="00187F10"/>
    <w:rsid w:val="00190FBE"/>
    <w:rsid w:val="001922AD"/>
    <w:rsid w:val="00193324"/>
    <w:rsid w:val="001944EE"/>
    <w:rsid w:val="00195C02"/>
    <w:rsid w:val="00197B95"/>
    <w:rsid w:val="001A0DC4"/>
    <w:rsid w:val="001A1F90"/>
    <w:rsid w:val="001A216B"/>
    <w:rsid w:val="001A42F1"/>
    <w:rsid w:val="001A5353"/>
    <w:rsid w:val="001A6A44"/>
    <w:rsid w:val="001A7449"/>
    <w:rsid w:val="001A7894"/>
    <w:rsid w:val="001A78FD"/>
    <w:rsid w:val="001B04C4"/>
    <w:rsid w:val="001B0607"/>
    <w:rsid w:val="001B1188"/>
    <w:rsid w:val="001B1A1D"/>
    <w:rsid w:val="001B1C3C"/>
    <w:rsid w:val="001B2785"/>
    <w:rsid w:val="001B3581"/>
    <w:rsid w:val="001B4D64"/>
    <w:rsid w:val="001B5FDD"/>
    <w:rsid w:val="001B7A6E"/>
    <w:rsid w:val="001C05BC"/>
    <w:rsid w:val="001C0A8F"/>
    <w:rsid w:val="001C12FC"/>
    <w:rsid w:val="001C54DD"/>
    <w:rsid w:val="001C5876"/>
    <w:rsid w:val="001C5893"/>
    <w:rsid w:val="001C6BE6"/>
    <w:rsid w:val="001C6FC1"/>
    <w:rsid w:val="001C7A0D"/>
    <w:rsid w:val="001D6DF7"/>
    <w:rsid w:val="001D72F2"/>
    <w:rsid w:val="001D7735"/>
    <w:rsid w:val="001D7C61"/>
    <w:rsid w:val="001E0D16"/>
    <w:rsid w:val="001E3327"/>
    <w:rsid w:val="001E3A5D"/>
    <w:rsid w:val="001E4098"/>
    <w:rsid w:val="001E42C6"/>
    <w:rsid w:val="001F06DC"/>
    <w:rsid w:val="001F0B96"/>
    <w:rsid w:val="001F1890"/>
    <w:rsid w:val="001F23D1"/>
    <w:rsid w:val="001F32AA"/>
    <w:rsid w:val="001F37C4"/>
    <w:rsid w:val="001F4DFF"/>
    <w:rsid w:val="001F57FB"/>
    <w:rsid w:val="001F77DB"/>
    <w:rsid w:val="00201BDE"/>
    <w:rsid w:val="002043E0"/>
    <w:rsid w:val="002047B5"/>
    <w:rsid w:val="002048EF"/>
    <w:rsid w:val="00205AD9"/>
    <w:rsid w:val="002061B5"/>
    <w:rsid w:val="00207590"/>
    <w:rsid w:val="00210F78"/>
    <w:rsid w:val="00213E01"/>
    <w:rsid w:val="00217218"/>
    <w:rsid w:val="0022058F"/>
    <w:rsid w:val="002211DC"/>
    <w:rsid w:val="002222A7"/>
    <w:rsid w:val="00222572"/>
    <w:rsid w:val="00224F74"/>
    <w:rsid w:val="00225C3B"/>
    <w:rsid w:val="00227FDB"/>
    <w:rsid w:val="00231B56"/>
    <w:rsid w:val="00231C6F"/>
    <w:rsid w:val="00232952"/>
    <w:rsid w:val="00233139"/>
    <w:rsid w:val="0023789E"/>
    <w:rsid w:val="00237900"/>
    <w:rsid w:val="00237A2C"/>
    <w:rsid w:val="00242C7B"/>
    <w:rsid w:val="00245939"/>
    <w:rsid w:val="00250C3D"/>
    <w:rsid w:val="0025274D"/>
    <w:rsid w:val="002533F4"/>
    <w:rsid w:val="00253DC7"/>
    <w:rsid w:val="002549FC"/>
    <w:rsid w:val="002554A5"/>
    <w:rsid w:val="00256341"/>
    <w:rsid w:val="00257057"/>
    <w:rsid w:val="0025753D"/>
    <w:rsid w:val="00261D11"/>
    <w:rsid w:val="00261F34"/>
    <w:rsid w:val="00261F43"/>
    <w:rsid w:val="002629B3"/>
    <w:rsid w:val="00263060"/>
    <w:rsid w:val="002640AC"/>
    <w:rsid w:val="0026545D"/>
    <w:rsid w:val="00265ABD"/>
    <w:rsid w:val="00265B26"/>
    <w:rsid w:val="002662FB"/>
    <w:rsid w:val="00266C8E"/>
    <w:rsid w:val="00266D6A"/>
    <w:rsid w:val="00266DEE"/>
    <w:rsid w:val="00266FA3"/>
    <w:rsid w:val="002678EB"/>
    <w:rsid w:val="00270092"/>
    <w:rsid w:val="002712DD"/>
    <w:rsid w:val="00271D19"/>
    <w:rsid w:val="00273C1F"/>
    <w:rsid w:val="00273C56"/>
    <w:rsid w:val="00274DA3"/>
    <w:rsid w:val="002750D4"/>
    <w:rsid w:val="002761AF"/>
    <w:rsid w:val="0027632B"/>
    <w:rsid w:val="002765F0"/>
    <w:rsid w:val="00276C41"/>
    <w:rsid w:val="00276C55"/>
    <w:rsid w:val="00276E91"/>
    <w:rsid w:val="00277A94"/>
    <w:rsid w:val="002800BD"/>
    <w:rsid w:val="00282B1C"/>
    <w:rsid w:val="00283E99"/>
    <w:rsid w:val="0029238A"/>
    <w:rsid w:val="0029355D"/>
    <w:rsid w:val="002938A6"/>
    <w:rsid w:val="00293B48"/>
    <w:rsid w:val="002966F9"/>
    <w:rsid w:val="00296EF6"/>
    <w:rsid w:val="002970D2"/>
    <w:rsid w:val="002972DD"/>
    <w:rsid w:val="00297EF9"/>
    <w:rsid w:val="002A0EF5"/>
    <w:rsid w:val="002A19F2"/>
    <w:rsid w:val="002A1FA3"/>
    <w:rsid w:val="002A5B23"/>
    <w:rsid w:val="002B041F"/>
    <w:rsid w:val="002B14D2"/>
    <w:rsid w:val="002B2056"/>
    <w:rsid w:val="002B258A"/>
    <w:rsid w:val="002B2945"/>
    <w:rsid w:val="002B3256"/>
    <w:rsid w:val="002B37D3"/>
    <w:rsid w:val="002B53BC"/>
    <w:rsid w:val="002B55CA"/>
    <w:rsid w:val="002B5F49"/>
    <w:rsid w:val="002B7B1F"/>
    <w:rsid w:val="002C1549"/>
    <w:rsid w:val="002C2016"/>
    <w:rsid w:val="002C5826"/>
    <w:rsid w:val="002C5F6E"/>
    <w:rsid w:val="002C5F8F"/>
    <w:rsid w:val="002C7B2A"/>
    <w:rsid w:val="002D0566"/>
    <w:rsid w:val="002D092A"/>
    <w:rsid w:val="002D0B0C"/>
    <w:rsid w:val="002D18F6"/>
    <w:rsid w:val="002D4050"/>
    <w:rsid w:val="002D4935"/>
    <w:rsid w:val="002D4F88"/>
    <w:rsid w:val="002D5AAC"/>
    <w:rsid w:val="002D7683"/>
    <w:rsid w:val="002D7C00"/>
    <w:rsid w:val="002E4109"/>
    <w:rsid w:val="002E6322"/>
    <w:rsid w:val="002F084D"/>
    <w:rsid w:val="002F0A74"/>
    <w:rsid w:val="002F1BFE"/>
    <w:rsid w:val="002F1ED4"/>
    <w:rsid w:val="002F1F37"/>
    <w:rsid w:val="002F24A5"/>
    <w:rsid w:val="002F31DB"/>
    <w:rsid w:val="002F4E92"/>
    <w:rsid w:val="002F6530"/>
    <w:rsid w:val="002F7652"/>
    <w:rsid w:val="0030180E"/>
    <w:rsid w:val="003027D0"/>
    <w:rsid w:val="00305DC4"/>
    <w:rsid w:val="0030615E"/>
    <w:rsid w:val="003064E2"/>
    <w:rsid w:val="003069F0"/>
    <w:rsid w:val="00307792"/>
    <w:rsid w:val="003110D4"/>
    <w:rsid w:val="00311803"/>
    <w:rsid w:val="003122D5"/>
    <w:rsid w:val="003136A0"/>
    <w:rsid w:val="00314973"/>
    <w:rsid w:val="00320F3B"/>
    <w:rsid w:val="00321EF8"/>
    <w:rsid w:val="003226EB"/>
    <w:rsid w:val="003242AE"/>
    <w:rsid w:val="00324B8A"/>
    <w:rsid w:val="003262FA"/>
    <w:rsid w:val="00330717"/>
    <w:rsid w:val="00332A20"/>
    <w:rsid w:val="0033323C"/>
    <w:rsid w:val="00333F88"/>
    <w:rsid w:val="00335961"/>
    <w:rsid w:val="00336042"/>
    <w:rsid w:val="00337289"/>
    <w:rsid w:val="00337756"/>
    <w:rsid w:val="0033789D"/>
    <w:rsid w:val="00342D97"/>
    <w:rsid w:val="00343F42"/>
    <w:rsid w:val="003442D2"/>
    <w:rsid w:val="003463C9"/>
    <w:rsid w:val="00346D0B"/>
    <w:rsid w:val="00347686"/>
    <w:rsid w:val="00350098"/>
    <w:rsid w:val="00354834"/>
    <w:rsid w:val="00355028"/>
    <w:rsid w:val="0035505B"/>
    <w:rsid w:val="00355284"/>
    <w:rsid w:val="00356CC9"/>
    <w:rsid w:val="0035710A"/>
    <w:rsid w:val="00357E7C"/>
    <w:rsid w:val="00363744"/>
    <w:rsid w:val="00363A2A"/>
    <w:rsid w:val="003640E2"/>
    <w:rsid w:val="00365395"/>
    <w:rsid w:val="0036737C"/>
    <w:rsid w:val="00367404"/>
    <w:rsid w:val="00371888"/>
    <w:rsid w:val="00372826"/>
    <w:rsid w:val="00372B67"/>
    <w:rsid w:val="00372BF7"/>
    <w:rsid w:val="00372E2A"/>
    <w:rsid w:val="00374205"/>
    <w:rsid w:val="00375395"/>
    <w:rsid w:val="003756C8"/>
    <w:rsid w:val="0038108B"/>
    <w:rsid w:val="00381C57"/>
    <w:rsid w:val="00381E23"/>
    <w:rsid w:val="0038482A"/>
    <w:rsid w:val="00384F88"/>
    <w:rsid w:val="00386943"/>
    <w:rsid w:val="00386C98"/>
    <w:rsid w:val="00387978"/>
    <w:rsid w:val="00387DBC"/>
    <w:rsid w:val="00391310"/>
    <w:rsid w:val="00391623"/>
    <w:rsid w:val="003934A0"/>
    <w:rsid w:val="0039371D"/>
    <w:rsid w:val="00394E69"/>
    <w:rsid w:val="003A2070"/>
    <w:rsid w:val="003A2843"/>
    <w:rsid w:val="003A3073"/>
    <w:rsid w:val="003A4B20"/>
    <w:rsid w:val="003A5D6B"/>
    <w:rsid w:val="003A66EA"/>
    <w:rsid w:val="003B08EC"/>
    <w:rsid w:val="003B13F8"/>
    <w:rsid w:val="003B1AD2"/>
    <w:rsid w:val="003B47F3"/>
    <w:rsid w:val="003B4EFA"/>
    <w:rsid w:val="003B4F10"/>
    <w:rsid w:val="003B5645"/>
    <w:rsid w:val="003B6396"/>
    <w:rsid w:val="003B63AE"/>
    <w:rsid w:val="003B6673"/>
    <w:rsid w:val="003B6752"/>
    <w:rsid w:val="003C1F76"/>
    <w:rsid w:val="003C304F"/>
    <w:rsid w:val="003C3B11"/>
    <w:rsid w:val="003C4190"/>
    <w:rsid w:val="003C6172"/>
    <w:rsid w:val="003C6B83"/>
    <w:rsid w:val="003D05E2"/>
    <w:rsid w:val="003D1FB5"/>
    <w:rsid w:val="003D2CB9"/>
    <w:rsid w:val="003D489A"/>
    <w:rsid w:val="003D521E"/>
    <w:rsid w:val="003D5D3C"/>
    <w:rsid w:val="003D68C6"/>
    <w:rsid w:val="003E397A"/>
    <w:rsid w:val="003E3A99"/>
    <w:rsid w:val="003E3C3E"/>
    <w:rsid w:val="003E490C"/>
    <w:rsid w:val="003E4F87"/>
    <w:rsid w:val="003E51A3"/>
    <w:rsid w:val="003E74AF"/>
    <w:rsid w:val="003F2680"/>
    <w:rsid w:val="003F51D3"/>
    <w:rsid w:val="003F544E"/>
    <w:rsid w:val="003F5875"/>
    <w:rsid w:val="003F5FF4"/>
    <w:rsid w:val="003F62BB"/>
    <w:rsid w:val="004005AA"/>
    <w:rsid w:val="0040076E"/>
    <w:rsid w:val="00402F70"/>
    <w:rsid w:val="00404CFC"/>
    <w:rsid w:val="00406FA1"/>
    <w:rsid w:val="0041250B"/>
    <w:rsid w:val="004125B6"/>
    <w:rsid w:val="00414199"/>
    <w:rsid w:val="00414DBD"/>
    <w:rsid w:val="00415243"/>
    <w:rsid w:val="00415A2B"/>
    <w:rsid w:val="00415E28"/>
    <w:rsid w:val="004160D8"/>
    <w:rsid w:val="00417405"/>
    <w:rsid w:val="0041764F"/>
    <w:rsid w:val="00417CB6"/>
    <w:rsid w:val="00417CD0"/>
    <w:rsid w:val="004203F7"/>
    <w:rsid w:val="004220EE"/>
    <w:rsid w:val="00422108"/>
    <w:rsid w:val="00422874"/>
    <w:rsid w:val="0042328E"/>
    <w:rsid w:val="00423489"/>
    <w:rsid w:val="004244F2"/>
    <w:rsid w:val="004251A9"/>
    <w:rsid w:val="00426004"/>
    <w:rsid w:val="004279A9"/>
    <w:rsid w:val="00427B9C"/>
    <w:rsid w:val="00430F1F"/>
    <w:rsid w:val="0043403A"/>
    <w:rsid w:val="004347CD"/>
    <w:rsid w:val="00435CB8"/>
    <w:rsid w:val="00436A86"/>
    <w:rsid w:val="00436AEE"/>
    <w:rsid w:val="00437703"/>
    <w:rsid w:val="0044021F"/>
    <w:rsid w:val="00441982"/>
    <w:rsid w:val="00441D51"/>
    <w:rsid w:val="00442011"/>
    <w:rsid w:val="0044302A"/>
    <w:rsid w:val="00443A73"/>
    <w:rsid w:val="00444495"/>
    <w:rsid w:val="00444DA5"/>
    <w:rsid w:val="004452A5"/>
    <w:rsid w:val="004457BE"/>
    <w:rsid w:val="00447110"/>
    <w:rsid w:val="004507EA"/>
    <w:rsid w:val="004511F9"/>
    <w:rsid w:val="00453F3C"/>
    <w:rsid w:val="004561DE"/>
    <w:rsid w:val="00456EB2"/>
    <w:rsid w:val="00457F76"/>
    <w:rsid w:val="004613E4"/>
    <w:rsid w:val="00461A9F"/>
    <w:rsid w:val="004630CC"/>
    <w:rsid w:val="0046369A"/>
    <w:rsid w:val="00464D1F"/>
    <w:rsid w:val="004713CC"/>
    <w:rsid w:val="00472070"/>
    <w:rsid w:val="004727D7"/>
    <w:rsid w:val="00472BAF"/>
    <w:rsid w:val="004735C5"/>
    <w:rsid w:val="00473CAC"/>
    <w:rsid w:val="00473E02"/>
    <w:rsid w:val="00475B37"/>
    <w:rsid w:val="004803DB"/>
    <w:rsid w:val="00480565"/>
    <w:rsid w:val="00482D9A"/>
    <w:rsid w:val="00483983"/>
    <w:rsid w:val="0048552F"/>
    <w:rsid w:val="00485E26"/>
    <w:rsid w:val="00486181"/>
    <w:rsid w:val="00486AAD"/>
    <w:rsid w:val="004907B1"/>
    <w:rsid w:val="00491F91"/>
    <w:rsid w:val="00492A8D"/>
    <w:rsid w:val="00493D87"/>
    <w:rsid w:val="004955CB"/>
    <w:rsid w:val="00495B85"/>
    <w:rsid w:val="00495BBE"/>
    <w:rsid w:val="00496224"/>
    <w:rsid w:val="00496AA4"/>
    <w:rsid w:val="00496AB3"/>
    <w:rsid w:val="004A0261"/>
    <w:rsid w:val="004A0591"/>
    <w:rsid w:val="004A213D"/>
    <w:rsid w:val="004A30F8"/>
    <w:rsid w:val="004A3644"/>
    <w:rsid w:val="004A3695"/>
    <w:rsid w:val="004A4A39"/>
    <w:rsid w:val="004A4DD7"/>
    <w:rsid w:val="004A62D1"/>
    <w:rsid w:val="004A69CB"/>
    <w:rsid w:val="004B1994"/>
    <w:rsid w:val="004B3917"/>
    <w:rsid w:val="004B3D61"/>
    <w:rsid w:val="004B3FBE"/>
    <w:rsid w:val="004B4896"/>
    <w:rsid w:val="004B79FE"/>
    <w:rsid w:val="004C01E3"/>
    <w:rsid w:val="004C0A30"/>
    <w:rsid w:val="004C143A"/>
    <w:rsid w:val="004C1F95"/>
    <w:rsid w:val="004C3635"/>
    <w:rsid w:val="004C3DB8"/>
    <w:rsid w:val="004C5249"/>
    <w:rsid w:val="004C5EF2"/>
    <w:rsid w:val="004C7191"/>
    <w:rsid w:val="004C73E5"/>
    <w:rsid w:val="004D205E"/>
    <w:rsid w:val="004D35C9"/>
    <w:rsid w:val="004D5956"/>
    <w:rsid w:val="004D6425"/>
    <w:rsid w:val="004E0BD2"/>
    <w:rsid w:val="004E17BB"/>
    <w:rsid w:val="004E19F3"/>
    <w:rsid w:val="004E3222"/>
    <w:rsid w:val="004E5331"/>
    <w:rsid w:val="004E5D44"/>
    <w:rsid w:val="004E6780"/>
    <w:rsid w:val="004E7021"/>
    <w:rsid w:val="004E7A77"/>
    <w:rsid w:val="004F1639"/>
    <w:rsid w:val="004F1793"/>
    <w:rsid w:val="004F1823"/>
    <w:rsid w:val="004F2277"/>
    <w:rsid w:val="004F39A5"/>
    <w:rsid w:val="004F55E9"/>
    <w:rsid w:val="004F64B4"/>
    <w:rsid w:val="00500212"/>
    <w:rsid w:val="005013F3"/>
    <w:rsid w:val="0050326D"/>
    <w:rsid w:val="00504198"/>
    <w:rsid w:val="00505055"/>
    <w:rsid w:val="00506345"/>
    <w:rsid w:val="0051361D"/>
    <w:rsid w:val="00513E19"/>
    <w:rsid w:val="00513E42"/>
    <w:rsid w:val="00514DD9"/>
    <w:rsid w:val="00515900"/>
    <w:rsid w:val="0051672C"/>
    <w:rsid w:val="005171F9"/>
    <w:rsid w:val="00517391"/>
    <w:rsid w:val="00520A74"/>
    <w:rsid w:val="005228A6"/>
    <w:rsid w:val="00523476"/>
    <w:rsid w:val="00523B52"/>
    <w:rsid w:val="0052799C"/>
    <w:rsid w:val="0053181C"/>
    <w:rsid w:val="00532C69"/>
    <w:rsid w:val="00533F15"/>
    <w:rsid w:val="005366B7"/>
    <w:rsid w:val="0054254E"/>
    <w:rsid w:val="00544386"/>
    <w:rsid w:val="005446DB"/>
    <w:rsid w:val="00546A51"/>
    <w:rsid w:val="005527FD"/>
    <w:rsid w:val="0055595A"/>
    <w:rsid w:val="00556DFE"/>
    <w:rsid w:val="00557C1C"/>
    <w:rsid w:val="00560A7C"/>
    <w:rsid w:val="00560FA7"/>
    <w:rsid w:val="005639FD"/>
    <w:rsid w:val="00564424"/>
    <w:rsid w:val="005655EE"/>
    <w:rsid w:val="00571F56"/>
    <w:rsid w:val="00572001"/>
    <w:rsid w:val="005722CB"/>
    <w:rsid w:val="0057330A"/>
    <w:rsid w:val="00574C9A"/>
    <w:rsid w:val="00574DE8"/>
    <w:rsid w:val="00575008"/>
    <w:rsid w:val="005751E1"/>
    <w:rsid w:val="0058057E"/>
    <w:rsid w:val="00581CE1"/>
    <w:rsid w:val="00582E9C"/>
    <w:rsid w:val="005839B3"/>
    <w:rsid w:val="00584946"/>
    <w:rsid w:val="00584DDF"/>
    <w:rsid w:val="0058548D"/>
    <w:rsid w:val="00586307"/>
    <w:rsid w:val="00587D27"/>
    <w:rsid w:val="005916DF"/>
    <w:rsid w:val="00592F58"/>
    <w:rsid w:val="00593071"/>
    <w:rsid w:val="005950C2"/>
    <w:rsid w:val="005A07C1"/>
    <w:rsid w:val="005A0EF0"/>
    <w:rsid w:val="005A2274"/>
    <w:rsid w:val="005A2D79"/>
    <w:rsid w:val="005A58F0"/>
    <w:rsid w:val="005A5979"/>
    <w:rsid w:val="005A601C"/>
    <w:rsid w:val="005A7919"/>
    <w:rsid w:val="005B122E"/>
    <w:rsid w:val="005B23CF"/>
    <w:rsid w:val="005B61F5"/>
    <w:rsid w:val="005C291B"/>
    <w:rsid w:val="005C3F58"/>
    <w:rsid w:val="005C4C52"/>
    <w:rsid w:val="005C4E88"/>
    <w:rsid w:val="005C4F3F"/>
    <w:rsid w:val="005C513E"/>
    <w:rsid w:val="005C65AD"/>
    <w:rsid w:val="005D07A3"/>
    <w:rsid w:val="005D225C"/>
    <w:rsid w:val="005D45C8"/>
    <w:rsid w:val="005E3B94"/>
    <w:rsid w:val="005E5396"/>
    <w:rsid w:val="005E55F5"/>
    <w:rsid w:val="005E7BED"/>
    <w:rsid w:val="005F08DB"/>
    <w:rsid w:val="005F0D61"/>
    <w:rsid w:val="005F0E87"/>
    <w:rsid w:val="005F73F3"/>
    <w:rsid w:val="005F7844"/>
    <w:rsid w:val="005F79F0"/>
    <w:rsid w:val="00600331"/>
    <w:rsid w:val="0060183D"/>
    <w:rsid w:val="00602FB6"/>
    <w:rsid w:val="00604CD2"/>
    <w:rsid w:val="00606EDA"/>
    <w:rsid w:val="00607E5F"/>
    <w:rsid w:val="00610037"/>
    <w:rsid w:val="00610A85"/>
    <w:rsid w:val="00610E5C"/>
    <w:rsid w:val="00611FD8"/>
    <w:rsid w:val="006168DA"/>
    <w:rsid w:val="00620036"/>
    <w:rsid w:val="00620ABE"/>
    <w:rsid w:val="00622D11"/>
    <w:rsid w:val="0062341E"/>
    <w:rsid w:val="00624121"/>
    <w:rsid w:val="00625D84"/>
    <w:rsid w:val="00626D55"/>
    <w:rsid w:val="0063054D"/>
    <w:rsid w:val="00630C2C"/>
    <w:rsid w:val="00631289"/>
    <w:rsid w:val="00632ABA"/>
    <w:rsid w:val="00632C3B"/>
    <w:rsid w:val="00633E1C"/>
    <w:rsid w:val="00634925"/>
    <w:rsid w:val="00635DE7"/>
    <w:rsid w:val="00636D57"/>
    <w:rsid w:val="00637B30"/>
    <w:rsid w:val="00637B9E"/>
    <w:rsid w:val="00637CEA"/>
    <w:rsid w:val="00640E28"/>
    <w:rsid w:val="0064112D"/>
    <w:rsid w:val="00641CB9"/>
    <w:rsid w:val="00642166"/>
    <w:rsid w:val="00643405"/>
    <w:rsid w:val="006435B5"/>
    <w:rsid w:val="006436F3"/>
    <w:rsid w:val="00647623"/>
    <w:rsid w:val="00647B4E"/>
    <w:rsid w:val="00650C3B"/>
    <w:rsid w:val="00651C1F"/>
    <w:rsid w:val="006528FC"/>
    <w:rsid w:val="006534F4"/>
    <w:rsid w:val="00656E80"/>
    <w:rsid w:val="00656EDA"/>
    <w:rsid w:val="00657A72"/>
    <w:rsid w:val="006626B7"/>
    <w:rsid w:val="00663094"/>
    <w:rsid w:val="00664DD7"/>
    <w:rsid w:val="00670815"/>
    <w:rsid w:val="00670AAF"/>
    <w:rsid w:val="0067121E"/>
    <w:rsid w:val="0067149E"/>
    <w:rsid w:val="00671F39"/>
    <w:rsid w:val="00672149"/>
    <w:rsid w:val="0067234C"/>
    <w:rsid w:val="00677547"/>
    <w:rsid w:val="00677978"/>
    <w:rsid w:val="00682B77"/>
    <w:rsid w:val="0068491B"/>
    <w:rsid w:val="00685F22"/>
    <w:rsid w:val="00685FD3"/>
    <w:rsid w:val="00686395"/>
    <w:rsid w:val="006865BB"/>
    <w:rsid w:val="00690B0C"/>
    <w:rsid w:val="00694504"/>
    <w:rsid w:val="0069500B"/>
    <w:rsid w:val="00696783"/>
    <w:rsid w:val="00696966"/>
    <w:rsid w:val="006A1C1E"/>
    <w:rsid w:val="006A3FAB"/>
    <w:rsid w:val="006A5331"/>
    <w:rsid w:val="006A64D8"/>
    <w:rsid w:val="006B26A0"/>
    <w:rsid w:val="006B3C08"/>
    <w:rsid w:val="006B4487"/>
    <w:rsid w:val="006B48D2"/>
    <w:rsid w:val="006B51E1"/>
    <w:rsid w:val="006B5229"/>
    <w:rsid w:val="006B6CC5"/>
    <w:rsid w:val="006C03BB"/>
    <w:rsid w:val="006C1DDD"/>
    <w:rsid w:val="006C4934"/>
    <w:rsid w:val="006C4E86"/>
    <w:rsid w:val="006C558C"/>
    <w:rsid w:val="006C5E5F"/>
    <w:rsid w:val="006C7103"/>
    <w:rsid w:val="006D1D1F"/>
    <w:rsid w:val="006D3374"/>
    <w:rsid w:val="006D33A5"/>
    <w:rsid w:val="006D4AE8"/>
    <w:rsid w:val="006D4EF0"/>
    <w:rsid w:val="006D5382"/>
    <w:rsid w:val="006D5613"/>
    <w:rsid w:val="006D757D"/>
    <w:rsid w:val="006D7C3C"/>
    <w:rsid w:val="006E3221"/>
    <w:rsid w:val="006E7727"/>
    <w:rsid w:val="006F2A0B"/>
    <w:rsid w:val="006F33E0"/>
    <w:rsid w:val="006F358C"/>
    <w:rsid w:val="006F56C4"/>
    <w:rsid w:val="006F5810"/>
    <w:rsid w:val="006F6B48"/>
    <w:rsid w:val="0070208E"/>
    <w:rsid w:val="00702EDC"/>
    <w:rsid w:val="00703750"/>
    <w:rsid w:val="007077C7"/>
    <w:rsid w:val="00707DD2"/>
    <w:rsid w:val="00711130"/>
    <w:rsid w:val="00711B6D"/>
    <w:rsid w:val="007126C0"/>
    <w:rsid w:val="0071567E"/>
    <w:rsid w:val="00717A74"/>
    <w:rsid w:val="00721332"/>
    <w:rsid w:val="007224FA"/>
    <w:rsid w:val="00722F0D"/>
    <w:rsid w:val="007236CE"/>
    <w:rsid w:val="007236F8"/>
    <w:rsid w:val="00723AA8"/>
    <w:rsid w:val="00723C4E"/>
    <w:rsid w:val="007242C3"/>
    <w:rsid w:val="00725297"/>
    <w:rsid w:val="0072570D"/>
    <w:rsid w:val="00725C64"/>
    <w:rsid w:val="0072745C"/>
    <w:rsid w:val="00730B43"/>
    <w:rsid w:val="00730E64"/>
    <w:rsid w:val="0074046F"/>
    <w:rsid w:val="00740540"/>
    <w:rsid w:val="007409C0"/>
    <w:rsid w:val="00741FFC"/>
    <w:rsid w:val="00742B43"/>
    <w:rsid w:val="00742BF5"/>
    <w:rsid w:val="007431AB"/>
    <w:rsid w:val="00743DCD"/>
    <w:rsid w:val="00744208"/>
    <w:rsid w:val="00744429"/>
    <w:rsid w:val="00744BF9"/>
    <w:rsid w:val="007454F3"/>
    <w:rsid w:val="00746C4F"/>
    <w:rsid w:val="00750110"/>
    <w:rsid w:val="007510B9"/>
    <w:rsid w:val="00751AC6"/>
    <w:rsid w:val="00752327"/>
    <w:rsid w:val="00753400"/>
    <w:rsid w:val="00756E32"/>
    <w:rsid w:val="00757C1B"/>
    <w:rsid w:val="00761EAE"/>
    <w:rsid w:val="00764C06"/>
    <w:rsid w:val="0076581D"/>
    <w:rsid w:val="007663DE"/>
    <w:rsid w:val="00766668"/>
    <w:rsid w:val="007713C5"/>
    <w:rsid w:val="00772BA2"/>
    <w:rsid w:val="00772C6E"/>
    <w:rsid w:val="00772EDF"/>
    <w:rsid w:val="007753AE"/>
    <w:rsid w:val="007772B0"/>
    <w:rsid w:val="007778FA"/>
    <w:rsid w:val="007803C3"/>
    <w:rsid w:val="007807B4"/>
    <w:rsid w:val="00780CD0"/>
    <w:rsid w:val="007810F8"/>
    <w:rsid w:val="007816AA"/>
    <w:rsid w:val="00781C49"/>
    <w:rsid w:val="00781DD0"/>
    <w:rsid w:val="00782204"/>
    <w:rsid w:val="00782410"/>
    <w:rsid w:val="00782CF3"/>
    <w:rsid w:val="007832E1"/>
    <w:rsid w:val="007858A7"/>
    <w:rsid w:val="00790A66"/>
    <w:rsid w:val="0079108A"/>
    <w:rsid w:val="007935F3"/>
    <w:rsid w:val="00793963"/>
    <w:rsid w:val="00793F88"/>
    <w:rsid w:val="007A0692"/>
    <w:rsid w:val="007A291D"/>
    <w:rsid w:val="007A2BB9"/>
    <w:rsid w:val="007A37C1"/>
    <w:rsid w:val="007A4C8D"/>
    <w:rsid w:val="007B0EDF"/>
    <w:rsid w:val="007B1004"/>
    <w:rsid w:val="007B138B"/>
    <w:rsid w:val="007B1D81"/>
    <w:rsid w:val="007B2DD1"/>
    <w:rsid w:val="007B6BDE"/>
    <w:rsid w:val="007B6E9B"/>
    <w:rsid w:val="007B760F"/>
    <w:rsid w:val="007C0C23"/>
    <w:rsid w:val="007C1E21"/>
    <w:rsid w:val="007C324B"/>
    <w:rsid w:val="007C328C"/>
    <w:rsid w:val="007C60C8"/>
    <w:rsid w:val="007D0D90"/>
    <w:rsid w:val="007D1957"/>
    <w:rsid w:val="007D2579"/>
    <w:rsid w:val="007D382C"/>
    <w:rsid w:val="007D387B"/>
    <w:rsid w:val="007D697A"/>
    <w:rsid w:val="007E130C"/>
    <w:rsid w:val="007E1D68"/>
    <w:rsid w:val="007E2539"/>
    <w:rsid w:val="007E38A3"/>
    <w:rsid w:val="007E50D1"/>
    <w:rsid w:val="007E5B50"/>
    <w:rsid w:val="007E6A10"/>
    <w:rsid w:val="007E7D87"/>
    <w:rsid w:val="007F1122"/>
    <w:rsid w:val="007F1D20"/>
    <w:rsid w:val="007F2274"/>
    <w:rsid w:val="007F2502"/>
    <w:rsid w:val="007F2A33"/>
    <w:rsid w:val="007F3D26"/>
    <w:rsid w:val="007F61DE"/>
    <w:rsid w:val="007F6C1D"/>
    <w:rsid w:val="007F6EBA"/>
    <w:rsid w:val="007F6F00"/>
    <w:rsid w:val="007F6F92"/>
    <w:rsid w:val="008034AB"/>
    <w:rsid w:val="00805AE8"/>
    <w:rsid w:val="0080772B"/>
    <w:rsid w:val="008104C6"/>
    <w:rsid w:val="00810981"/>
    <w:rsid w:val="008116DA"/>
    <w:rsid w:val="00812832"/>
    <w:rsid w:val="00813050"/>
    <w:rsid w:val="00813A49"/>
    <w:rsid w:val="0081424D"/>
    <w:rsid w:val="0081467A"/>
    <w:rsid w:val="00815100"/>
    <w:rsid w:val="00816925"/>
    <w:rsid w:val="00817475"/>
    <w:rsid w:val="00821616"/>
    <w:rsid w:val="00821C4B"/>
    <w:rsid w:val="008222A9"/>
    <w:rsid w:val="00823B08"/>
    <w:rsid w:val="00825726"/>
    <w:rsid w:val="0082620E"/>
    <w:rsid w:val="00826A70"/>
    <w:rsid w:val="0082787C"/>
    <w:rsid w:val="00830B7D"/>
    <w:rsid w:val="0083441B"/>
    <w:rsid w:val="008359DD"/>
    <w:rsid w:val="008410FE"/>
    <w:rsid w:val="0084114E"/>
    <w:rsid w:val="0084204E"/>
    <w:rsid w:val="008437B4"/>
    <w:rsid w:val="008472FF"/>
    <w:rsid w:val="00847F11"/>
    <w:rsid w:val="0085033B"/>
    <w:rsid w:val="008506E7"/>
    <w:rsid w:val="00850ECB"/>
    <w:rsid w:val="00851767"/>
    <w:rsid w:val="00852647"/>
    <w:rsid w:val="008529A4"/>
    <w:rsid w:val="00852FC1"/>
    <w:rsid w:val="00855B57"/>
    <w:rsid w:val="00861DA1"/>
    <w:rsid w:val="00861F3B"/>
    <w:rsid w:val="00862275"/>
    <w:rsid w:val="00863720"/>
    <w:rsid w:val="0086385E"/>
    <w:rsid w:val="0086394E"/>
    <w:rsid w:val="008659AE"/>
    <w:rsid w:val="00866049"/>
    <w:rsid w:val="008664F7"/>
    <w:rsid w:val="008665A7"/>
    <w:rsid w:val="00867E9F"/>
    <w:rsid w:val="00870324"/>
    <w:rsid w:val="00871925"/>
    <w:rsid w:val="00871A12"/>
    <w:rsid w:val="008737D0"/>
    <w:rsid w:val="00874992"/>
    <w:rsid w:val="0087649D"/>
    <w:rsid w:val="00876B8D"/>
    <w:rsid w:val="00876FA6"/>
    <w:rsid w:val="008773DB"/>
    <w:rsid w:val="00880D6C"/>
    <w:rsid w:val="008811F2"/>
    <w:rsid w:val="0088139D"/>
    <w:rsid w:val="0088307C"/>
    <w:rsid w:val="00883144"/>
    <w:rsid w:val="00886324"/>
    <w:rsid w:val="0088698F"/>
    <w:rsid w:val="00886B3B"/>
    <w:rsid w:val="00890434"/>
    <w:rsid w:val="00890AE6"/>
    <w:rsid w:val="0089104A"/>
    <w:rsid w:val="00892A1B"/>
    <w:rsid w:val="008941F2"/>
    <w:rsid w:val="008955B6"/>
    <w:rsid w:val="008958B5"/>
    <w:rsid w:val="00895B9A"/>
    <w:rsid w:val="008969D4"/>
    <w:rsid w:val="00896B81"/>
    <w:rsid w:val="008A14A4"/>
    <w:rsid w:val="008A14F4"/>
    <w:rsid w:val="008A4243"/>
    <w:rsid w:val="008A4A3F"/>
    <w:rsid w:val="008A515A"/>
    <w:rsid w:val="008B0B9D"/>
    <w:rsid w:val="008B1EDD"/>
    <w:rsid w:val="008B23C5"/>
    <w:rsid w:val="008B3F33"/>
    <w:rsid w:val="008B640E"/>
    <w:rsid w:val="008B74FA"/>
    <w:rsid w:val="008B79E4"/>
    <w:rsid w:val="008C027B"/>
    <w:rsid w:val="008C02C6"/>
    <w:rsid w:val="008C107C"/>
    <w:rsid w:val="008C15FF"/>
    <w:rsid w:val="008C3D00"/>
    <w:rsid w:val="008C4621"/>
    <w:rsid w:val="008C59F4"/>
    <w:rsid w:val="008C5AAE"/>
    <w:rsid w:val="008C69F9"/>
    <w:rsid w:val="008C6A95"/>
    <w:rsid w:val="008D263F"/>
    <w:rsid w:val="008D3D7E"/>
    <w:rsid w:val="008D3F8A"/>
    <w:rsid w:val="008D496E"/>
    <w:rsid w:val="008D721B"/>
    <w:rsid w:val="008D723D"/>
    <w:rsid w:val="008E087D"/>
    <w:rsid w:val="008E0DD6"/>
    <w:rsid w:val="008E1FBD"/>
    <w:rsid w:val="008E296D"/>
    <w:rsid w:val="008E306F"/>
    <w:rsid w:val="008E5165"/>
    <w:rsid w:val="008E7A89"/>
    <w:rsid w:val="008F0058"/>
    <w:rsid w:val="008F0150"/>
    <w:rsid w:val="008F104C"/>
    <w:rsid w:val="008F173D"/>
    <w:rsid w:val="008F17B2"/>
    <w:rsid w:val="008F41D1"/>
    <w:rsid w:val="008F4A51"/>
    <w:rsid w:val="008F4C6E"/>
    <w:rsid w:val="008F4FCF"/>
    <w:rsid w:val="008F5BAC"/>
    <w:rsid w:val="008F66F9"/>
    <w:rsid w:val="008F6FBD"/>
    <w:rsid w:val="008F777C"/>
    <w:rsid w:val="008F7AB3"/>
    <w:rsid w:val="009001D2"/>
    <w:rsid w:val="00900AA7"/>
    <w:rsid w:val="009017A6"/>
    <w:rsid w:val="00901BA2"/>
    <w:rsid w:val="00903EF6"/>
    <w:rsid w:val="00904CA9"/>
    <w:rsid w:val="00904E46"/>
    <w:rsid w:val="009068B9"/>
    <w:rsid w:val="00911298"/>
    <w:rsid w:val="0091295E"/>
    <w:rsid w:val="009135B4"/>
    <w:rsid w:val="00917514"/>
    <w:rsid w:val="00920D59"/>
    <w:rsid w:val="0092380C"/>
    <w:rsid w:val="009256D4"/>
    <w:rsid w:val="009258E7"/>
    <w:rsid w:val="009278CE"/>
    <w:rsid w:val="00927C6A"/>
    <w:rsid w:val="009301E8"/>
    <w:rsid w:val="0093182A"/>
    <w:rsid w:val="00931AF2"/>
    <w:rsid w:val="00932E6C"/>
    <w:rsid w:val="00932FED"/>
    <w:rsid w:val="00933FC6"/>
    <w:rsid w:val="009349DB"/>
    <w:rsid w:val="00934D49"/>
    <w:rsid w:val="00935D4B"/>
    <w:rsid w:val="00935F83"/>
    <w:rsid w:val="00936300"/>
    <w:rsid w:val="00936A7C"/>
    <w:rsid w:val="00936AD5"/>
    <w:rsid w:val="00940A19"/>
    <w:rsid w:val="00941150"/>
    <w:rsid w:val="00943F9D"/>
    <w:rsid w:val="00946DD7"/>
    <w:rsid w:val="009472D0"/>
    <w:rsid w:val="0095144F"/>
    <w:rsid w:val="00951EE4"/>
    <w:rsid w:val="009526DF"/>
    <w:rsid w:val="00952B60"/>
    <w:rsid w:val="00953294"/>
    <w:rsid w:val="00961542"/>
    <w:rsid w:val="00961CBF"/>
    <w:rsid w:val="0096776D"/>
    <w:rsid w:val="00970481"/>
    <w:rsid w:val="0097064E"/>
    <w:rsid w:val="009710EE"/>
    <w:rsid w:val="00971E9E"/>
    <w:rsid w:val="00973EB0"/>
    <w:rsid w:val="0097411E"/>
    <w:rsid w:val="00974459"/>
    <w:rsid w:val="0097507F"/>
    <w:rsid w:val="00975189"/>
    <w:rsid w:val="00976EA6"/>
    <w:rsid w:val="00976F27"/>
    <w:rsid w:val="009803EB"/>
    <w:rsid w:val="00983C74"/>
    <w:rsid w:val="00985537"/>
    <w:rsid w:val="009859CA"/>
    <w:rsid w:val="00985D8C"/>
    <w:rsid w:val="00987145"/>
    <w:rsid w:val="00987891"/>
    <w:rsid w:val="00990C53"/>
    <w:rsid w:val="00991D90"/>
    <w:rsid w:val="00994555"/>
    <w:rsid w:val="009962D7"/>
    <w:rsid w:val="009964B3"/>
    <w:rsid w:val="00996F5D"/>
    <w:rsid w:val="009A10B5"/>
    <w:rsid w:val="009A5290"/>
    <w:rsid w:val="009A77B7"/>
    <w:rsid w:val="009B0DA3"/>
    <w:rsid w:val="009B454B"/>
    <w:rsid w:val="009B5283"/>
    <w:rsid w:val="009B5711"/>
    <w:rsid w:val="009B6E56"/>
    <w:rsid w:val="009B7065"/>
    <w:rsid w:val="009C0E84"/>
    <w:rsid w:val="009C14F9"/>
    <w:rsid w:val="009C6A6E"/>
    <w:rsid w:val="009D1589"/>
    <w:rsid w:val="009D21C1"/>
    <w:rsid w:val="009D6BAF"/>
    <w:rsid w:val="009D6CD7"/>
    <w:rsid w:val="009D6EB2"/>
    <w:rsid w:val="009D71CA"/>
    <w:rsid w:val="009D75EF"/>
    <w:rsid w:val="009D7A9F"/>
    <w:rsid w:val="009E3E10"/>
    <w:rsid w:val="009E4796"/>
    <w:rsid w:val="009E53C1"/>
    <w:rsid w:val="009E5591"/>
    <w:rsid w:val="009E60E1"/>
    <w:rsid w:val="009E75CE"/>
    <w:rsid w:val="009E7860"/>
    <w:rsid w:val="009E7889"/>
    <w:rsid w:val="009F1C9B"/>
    <w:rsid w:val="009F3558"/>
    <w:rsid w:val="009F4E52"/>
    <w:rsid w:val="009F75E4"/>
    <w:rsid w:val="00A0076A"/>
    <w:rsid w:val="00A00A4F"/>
    <w:rsid w:val="00A01142"/>
    <w:rsid w:val="00A01F5A"/>
    <w:rsid w:val="00A02A1D"/>
    <w:rsid w:val="00A03419"/>
    <w:rsid w:val="00A03FBC"/>
    <w:rsid w:val="00A0450C"/>
    <w:rsid w:val="00A069CD"/>
    <w:rsid w:val="00A07629"/>
    <w:rsid w:val="00A079B6"/>
    <w:rsid w:val="00A1038C"/>
    <w:rsid w:val="00A114D4"/>
    <w:rsid w:val="00A11FE9"/>
    <w:rsid w:val="00A12399"/>
    <w:rsid w:val="00A12A96"/>
    <w:rsid w:val="00A14682"/>
    <w:rsid w:val="00A14949"/>
    <w:rsid w:val="00A14C03"/>
    <w:rsid w:val="00A15173"/>
    <w:rsid w:val="00A16328"/>
    <w:rsid w:val="00A17724"/>
    <w:rsid w:val="00A20395"/>
    <w:rsid w:val="00A239F1"/>
    <w:rsid w:val="00A30236"/>
    <w:rsid w:val="00A31F2A"/>
    <w:rsid w:val="00A321F0"/>
    <w:rsid w:val="00A3227C"/>
    <w:rsid w:val="00A35A1F"/>
    <w:rsid w:val="00A36CBD"/>
    <w:rsid w:val="00A37939"/>
    <w:rsid w:val="00A40576"/>
    <w:rsid w:val="00A406A5"/>
    <w:rsid w:val="00A41362"/>
    <w:rsid w:val="00A418AD"/>
    <w:rsid w:val="00A41AB9"/>
    <w:rsid w:val="00A42BF0"/>
    <w:rsid w:val="00A43910"/>
    <w:rsid w:val="00A43C5D"/>
    <w:rsid w:val="00A4583C"/>
    <w:rsid w:val="00A465B1"/>
    <w:rsid w:val="00A465CE"/>
    <w:rsid w:val="00A46724"/>
    <w:rsid w:val="00A46A18"/>
    <w:rsid w:val="00A50287"/>
    <w:rsid w:val="00A50DA6"/>
    <w:rsid w:val="00A52EAF"/>
    <w:rsid w:val="00A5424F"/>
    <w:rsid w:val="00A57423"/>
    <w:rsid w:val="00A57B75"/>
    <w:rsid w:val="00A605C5"/>
    <w:rsid w:val="00A64D68"/>
    <w:rsid w:val="00A66381"/>
    <w:rsid w:val="00A6743B"/>
    <w:rsid w:val="00A705E9"/>
    <w:rsid w:val="00A7105B"/>
    <w:rsid w:val="00A71409"/>
    <w:rsid w:val="00A724C9"/>
    <w:rsid w:val="00A72918"/>
    <w:rsid w:val="00A72BDD"/>
    <w:rsid w:val="00A73836"/>
    <w:rsid w:val="00A73CDD"/>
    <w:rsid w:val="00A73DB2"/>
    <w:rsid w:val="00A74CF5"/>
    <w:rsid w:val="00A75587"/>
    <w:rsid w:val="00A75AF2"/>
    <w:rsid w:val="00A76038"/>
    <w:rsid w:val="00A7640C"/>
    <w:rsid w:val="00A7790A"/>
    <w:rsid w:val="00A81644"/>
    <w:rsid w:val="00A8191D"/>
    <w:rsid w:val="00A82721"/>
    <w:rsid w:val="00A8475E"/>
    <w:rsid w:val="00A84B18"/>
    <w:rsid w:val="00A850D3"/>
    <w:rsid w:val="00A85B6F"/>
    <w:rsid w:val="00A8632B"/>
    <w:rsid w:val="00A86529"/>
    <w:rsid w:val="00A879F9"/>
    <w:rsid w:val="00A87F8A"/>
    <w:rsid w:val="00A91308"/>
    <w:rsid w:val="00A913C0"/>
    <w:rsid w:val="00A916BD"/>
    <w:rsid w:val="00A91ADF"/>
    <w:rsid w:val="00A921D4"/>
    <w:rsid w:val="00A9224C"/>
    <w:rsid w:val="00A92FE7"/>
    <w:rsid w:val="00A94AEC"/>
    <w:rsid w:val="00A96947"/>
    <w:rsid w:val="00A972C3"/>
    <w:rsid w:val="00AA02E1"/>
    <w:rsid w:val="00AA045A"/>
    <w:rsid w:val="00AA7C68"/>
    <w:rsid w:val="00AB061A"/>
    <w:rsid w:val="00AB3012"/>
    <w:rsid w:val="00AB3D6F"/>
    <w:rsid w:val="00AB704F"/>
    <w:rsid w:val="00AC0936"/>
    <w:rsid w:val="00AC1318"/>
    <w:rsid w:val="00AC45B0"/>
    <w:rsid w:val="00AC4A09"/>
    <w:rsid w:val="00AC51DF"/>
    <w:rsid w:val="00AC6407"/>
    <w:rsid w:val="00AD06B7"/>
    <w:rsid w:val="00AD2E01"/>
    <w:rsid w:val="00AD362A"/>
    <w:rsid w:val="00AD5A72"/>
    <w:rsid w:val="00AD707D"/>
    <w:rsid w:val="00AD7E0E"/>
    <w:rsid w:val="00AD7E1B"/>
    <w:rsid w:val="00AE0F00"/>
    <w:rsid w:val="00AE1407"/>
    <w:rsid w:val="00AE15E8"/>
    <w:rsid w:val="00AE1783"/>
    <w:rsid w:val="00AE3316"/>
    <w:rsid w:val="00AE5562"/>
    <w:rsid w:val="00AE57D0"/>
    <w:rsid w:val="00AE6611"/>
    <w:rsid w:val="00AE7D90"/>
    <w:rsid w:val="00AF0B18"/>
    <w:rsid w:val="00AF1823"/>
    <w:rsid w:val="00AF19DC"/>
    <w:rsid w:val="00AF1BD9"/>
    <w:rsid w:val="00AF1EA6"/>
    <w:rsid w:val="00AF23C9"/>
    <w:rsid w:val="00AF57D5"/>
    <w:rsid w:val="00B001F8"/>
    <w:rsid w:val="00B00BDF"/>
    <w:rsid w:val="00B02122"/>
    <w:rsid w:val="00B02595"/>
    <w:rsid w:val="00B029E7"/>
    <w:rsid w:val="00B029F2"/>
    <w:rsid w:val="00B029FD"/>
    <w:rsid w:val="00B03274"/>
    <w:rsid w:val="00B03471"/>
    <w:rsid w:val="00B03489"/>
    <w:rsid w:val="00B0389E"/>
    <w:rsid w:val="00B04EE1"/>
    <w:rsid w:val="00B07286"/>
    <w:rsid w:val="00B07BBE"/>
    <w:rsid w:val="00B10E77"/>
    <w:rsid w:val="00B13207"/>
    <w:rsid w:val="00B203C5"/>
    <w:rsid w:val="00B2076F"/>
    <w:rsid w:val="00B209A2"/>
    <w:rsid w:val="00B22B00"/>
    <w:rsid w:val="00B22E88"/>
    <w:rsid w:val="00B24DF3"/>
    <w:rsid w:val="00B27F62"/>
    <w:rsid w:val="00B31FE6"/>
    <w:rsid w:val="00B32F81"/>
    <w:rsid w:val="00B36AE6"/>
    <w:rsid w:val="00B40810"/>
    <w:rsid w:val="00B4265F"/>
    <w:rsid w:val="00B4647A"/>
    <w:rsid w:val="00B46F94"/>
    <w:rsid w:val="00B47665"/>
    <w:rsid w:val="00B476C9"/>
    <w:rsid w:val="00B503F6"/>
    <w:rsid w:val="00B50ECB"/>
    <w:rsid w:val="00B51FC1"/>
    <w:rsid w:val="00B5500D"/>
    <w:rsid w:val="00B55172"/>
    <w:rsid w:val="00B55986"/>
    <w:rsid w:val="00B6020B"/>
    <w:rsid w:val="00B6489C"/>
    <w:rsid w:val="00B66265"/>
    <w:rsid w:val="00B662C0"/>
    <w:rsid w:val="00B6661B"/>
    <w:rsid w:val="00B6781B"/>
    <w:rsid w:val="00B67870"/>
    <w:rsid w:val="00B711DE"/>
    <w:rsid w:val="00B734D2"/>
    <w:rsid w:val="00B7734B"/>
    <w:rsid w:val="00B87550"/>
    <w:rsid w:val="00B87C5E"/>
    <w:rsid w:val="00B9051D"/>
    <w:rsid w:val="00B905B0"/>
    <w:rsid w:val="00B91D9C"/>
    <w:rsid w:val="00B923A9"/>
    <w:rsid w:val="00B926B5"/>
    <w:rsid w:val="00B928DC"/>
    <w:rsid w:val="00B93220"/>
    <w:rsid w:val="00B93BD1"/>
    <w:rsid w:val="00B943D1"/>
    <w:rsid w:val="00B94E1A"/>
    <w:rsid w:val="00B95767"/>
    <w:rsid w:val="00B95D00"/>
    <w:rsid w:val="00B96939"/>
    <w:rsid w:val="00B972B2"/>
    <w:rsid w:val="00B97BF8"/>
    <w:rsid w:val="00B97EC6"/>
    <w:rsid w:val="00BA05DE"/>
    <w:rsid w:val="00BA15E8"/>
    <w:rsid w:val="00BA40E9"/>
    <w:rsid w:val="00BA4292"/>
    <w:rsid w:val="00BA510F"/>
    <w:rsid w:val="00BA5269"/>
    <w:rsid w:val="00BA6121"/>
    <w:rsid w:val="00BA6AD0"/>
    <w:rsid w:val="00BA6F72"/>
    <w:rsid w:val="00BB1C4F"/>
    <w:rsid w:val="00BB2A10"/>
    <w:rsid w:val="00BB38B5"/>
    <w:rsid w:val="00BB3B88"/>
    <w:rsid w:val="00BB4033"/>
    <w:rsid w:val="00BB505A"/>
    <w:rsid w:val="00BB5BC1"/>
    <w:rsid w:val="00BB769F"/>
    <w:rsid w:val="00BC07C7"/>
    <w:rsid w:val="00BC521F"/>
    <w:rsid w:val="00BC5274"/>
    <w:rsid w:val="00BC5411"/>
    <w:rsid w:val="00BC56F6"/>
    <w:rsid w:val="00BD18BB"/>
    <w:rsid w:val="00BD35E6"/>
    <w:rsid w:val="00BD421F"/>
    <w:rsid w:val="00BD6CFF"/>
    <w:rsid w:val="00BD73D8"/>
    <w:rsid w:val="00BE0356"/>
    <w:rsid w:val="00BE13A3"/>
    <w:rsid w:val="00BE2FE3"/>
    <w:rsid w:val="00BE3108"/>
    <w:rsid w:val="00BE4026"/>
    <w:rsid w:val="00BE4AB6"/>
    <w:rsid w:val="00BE7B4C"/>
    <w:rsid w:val="00BF0AB8"/>
    <w:rsid w:val="00BF12B1"/>
    <w:rsid w:val="00BF2438"/>
    <w:rsid w:val="00BF2746"/>
    <w:rsid w:val="00BF2C4A"/>
    <w:rsid w:val="00BF3B76"/>
    <w:rsid w:val="00BF45FB"/>
    <w:rsid w:val="00BF584F"/>
    <w:rsid w:val="00BF5A19"/>
    <w:rsid w:val="00BF5ED7"/>
    <w:rsid w:val="00BF5FDA"/>
    <w:rsid w:val="00BF65BB"/>
    <w:rsid w:val="00BF7449"/>
    <w:rsid w:val="00BF7935"/>
    <w:rsid w:val="00C0112E"/>
    <w:rsid w:val="00C019EC"/>
    <w:rsid w:val="00C01C68"/>
    <w:rsid w:val="00C02C66"/>
    <w:rsid w:val="00C036A6"/>
    <w:rsid w:val="00C04D64"/>
    <w:rsid w:val="00C05A76"/>
    <w:rsid w:val="00C07666"/>
    <w:rsid w:val="00C11420"/>
    <w:rsid w:val="00C11591"/>
    <w:rsid w:val="00C1254F"/>
    <w:rsid w:val="00C12F65"/>
    <w:rsid w:val="00C13FED"/>
    <w:rsid w:val="00C14679"/>
    <w:rsid w:val="00C14ABC"/>
    <w:rsid w:val="00C14BC4"/>
    <w:rsid w:val="00C152C1"/>
    <w:rsid w:val="00C15B53"/>
    <w:rsid w:val="00C164D3"/>
    <w:rsid w:val="00C2174A"/>
    <w:rsid w:val="00C21F9B"/>
    <w:rsid w:val="00C2279A"/>
    <w:rsid w:val="00C239AD"/>
    <w:rsid w:val="00C2553E"/>
    <w:rsid w:val="00C26B4C"/>
    <w:rsid w:val="00C31B9C"/>
    <w:rsid w:val="00C33871"/>
    <w:rsid w:val="00C34345"/>
    <w:rsid w:val="00C349B9"/>
    <w:rsid w:val="00C349FF"/>
    <w:rsid w:val="00C3522F"/>
    <w:rsid w:val="00C3580A"/>
    <w:rsid w:val="00C41330"/>
    <w:rsid w:val="00C41CAC"/>
    <w:rsid w:val="00C41EE5"/>
    <w:rsid w:val="00C428A4"/>
    <w:rsid w:val="00C43BE0"/>
    <w:rsid w:val="00C43E41"/>
    <w:rsid w:val="00C4453B"/>
    <w:rsid w:val="00C44ACE"/>
    <w:rsid w:val="00C45082"/>
    <w:rsid w:val="00C45224"/>
    <w:rsid w:val="00C45283"/>
    <w:rsid w:val="00C46257"/>
    <w:rsid w:val="00C47C10"/>
    <w:rsid w:val="00C50030"/>
    <w:rsid w:val="00C50C93"/>
    <w:rsid w:val="00C52986"/>
    <w:rsid w:val="00C5565B"/>
    <w:rsid w:val="00C556AB"/>
    <w:rsid w:val="00C55B5D"/>
    <w:rsid w:val="00C56987"/>
    <w:rsid w:val="00C57867"/>
    <w:rsid w:val="00C60256"/>
    <w:rsid w:val="00C602BE"/>
    <w:rsid w:val="00C60814"/>
    <w:rsid w:val="00C61037"/>
    <w:rsid w:val="00C61241"/>
    <w:rsid w:val="00C62435"/>
    <w:rsid w:val="00C63343"/>
    <w:rsid w:val="00C6387C"/>
    <w:rsid w:val="00C65FA4"/>
    <w:rsid w:val="00C664CC"/>
    <w:rsid w:val="00C671C3"/>
    <w:rsid w:val="00C671E0"/>
    <w:rsid w:val="00C72B26"/>
    <w:rsid w:val="00C73865"/>
    <w:rsid w:val="00C765BA"/>
    <w:rsid w:val="00C77F62"/>
    <w:rsid w:val="00C80269"/>
    <w:rsid w:val="00C81F10"/>
    <w:rsid w:val="00C824EA"/>
    <w:rsid w:val="00C83A51"/>
    <w:rsid w:val="00C8448E"/>
    <w:rsid w:val="00C855DD"/>
    <w:rsid w:val="00C86653"/>
    <w:rsid w:val="00C910E5"/>
    <w:rsid w:val="00C911BF"/>
    <w:rsid w:val="00C93F95"/>
    <w:rsid w:val="00C9698C"/>
    <w:rsid w:val="00C97CC0"/>
    <w:rsid w:val="00CA0B92"/>
    <w:rsid w:val="00CA2269"/>
    <w:rsid w:val="00CA3F64"/>
    <w:rsid w:val="00CA4618"/>
    <w:rsid w:val="00CA5EC8"/>
    <w:rsid w:val="00CA747F"/>
    <w:rsid w:val="00CB1CED"/>
    <w:rsid w:val="00CB3487"/>
    <w:rsid w:val="00CB367F"/>
    <w:rsid w:val="00CB4A6A"/>
    <w:rsid w:val="00CB5C96"/>
    <w:rsid w:val="00CB6CCB"/>
    <w:rsid w:val="00CB7257"/>
    <w:rsid w:val="00CB7AE8"/>
    <w:rsid w:val="00CC09F0"/>
    <w:rsid w:val="00CC2310"/>
    <w:rsid w:val="00CC291D"/>
    <w:rsid w:val="00CC29CF"/>
    <w:rsid w:val="00CC47BC"/>
    <w:rsid w:val="00CC4A7B"/>
    <w:rsid w:val="00CC6F60"/>
    <w:rsid w:val="00CD09B7"/>
    <w:rsid w:val="00CD0FE8"/>
    <w:rsid w:val="00CD2726"/>
    <w:rsid w:val="00CD3809"/>
    <w:rsid w:val="00CD40FD"/>
    <w:rsid w:val="00CD5889"/>
    <w:rsid w:val="00CD58B3"/>
    <w:rsid w:val="00CD5D80"/>
    <w:rsid w:val="00CD650B"/>
    <w:rsid w:val="00CD77F1"/>
    <w:rsid w:val="00CD7D12"/>
    <w:rsid w:val="00CE3394"/>
    <w:rsid w:val="00CE3A89"/>
    <w:rsid w:val="00CE3EBB"/>
    <w:rsid w:val="00CE43D2"/>
    <w:rsid w:val="00CE6974"/>
    <w:rsid w:val="00CE7411"/>
    <w:rsid w:val="00CE782F"/>
    <w:rsid w:val="00CF14D8"/>
    <w:rsid w:val="00CF1858"/>
    <w:rsid w:val="00CF3B7D"/>
    <w:rsid w:val="00CF497E"/>
    <w:rsid w:val="00CF5021"/>
    <w:rsid w:val="00CF6277"/>
    <w:rsid w:val="00D00FF7"/>
    <w:rsid w:val="00D02CBC"/>
    <w:rsid w:val="00D02D6E"/>
    <w:rsid w:val="00D03BB2"/>
    <w:rsid w:val="00D04352"/>
    <w:rsid w:val="00D04C21"/>
    <w:rsid w:val="00D055C1"/>
    <w:rsid w:val="00D05F54"/>
    <w:rsid w:val="00D068DB"/>
    <w:rsid w:val="00D073A1"/>
    <w:rsid w:val="00D0795C"/>
    <w:rsid w:val="00D07A2A"/>
    <w:rsid w:val="00D11763"/>
    <w:rsid w:val="00D14660"/>
    <w:rsid w:val="00D14DBB"/>
    <w:rsid w:val="00D163B7"/>
    <w:rsid w:val="00D16F6D"/>
    <w:rsid w:val="00D17968"/>
    <w:rsid w:val="00D17D19"/>
    <w:rsid w:val="00D21020"/>
    <w:rsid w:val="00D21702"/>
    <w:rsid w:val="00D247C6"/>
    <w:rsid w:val="00D24C32"/>
    <w:rsid w:val="00D2549A"/>
    <w:rsid w:val="00D2705B"/>
    <w:rsid w:val="00D3143E"/>
    <w:rsid w:val="00D32FAB"/>
    <w:rsid w:val="00D34F31"/>
    <w:rsid w:val="00D358FE"/>
    <w:rsid w:val="00D413C6"/>
    <w:rsid w:val="00D42ECD"/>
    <w:rsid w:val="00D43558"/>
    <w:rsid w:val="00D440B1"/>
    <w:rsid w:val="00D445BE"/>
    <w:rsid w:val="00D4486D"/>
    <w:rsid w:val="00D464E3"/>
    <w:rsid w:val="00D52943"/>
    <w:rsid w:val="00D53197"/>
    <w:rsid w:val="00D5396B"/>
    <w:rsid w:val="00D53D86"/>
    <w:rsid w:val="00D549D2"/>
    <w:rsid w:val="00D549D8"/>
    <w:rsid w:val="00D55CCD"/>
    <w:rsid w:val="00D6106C"/>
    <w:rsid w:val="00D63674"/>
    <w:rsid w:val="00D668C4"/>
    <w:rsid w:val="00D67154"/>
    <w:rsid w:val="00D70A15"/>
    <w:rsid w:val="00D71C9B"/>
    <w:rsid w:val="00D72240"/>
    <w:rsid w:val="00D72EF7"/>
    <w:rsid w:val="00D74D08"/>
    <w:rsid w:val="00D76C99"/>
    <w:rsid w:val="00D77C8F"/>
    <w:rsid w:val="00D80A94"/>
    <w:rsid w:val="00D81352"/>
    <w:rsid w:val="00D829E5"/>
    <w:rsid w:val="00D84F7B"/>
    <w:rsid w:val="00D8718E"/>
    <w:rsid w:val="00D879B6"/>
    <w:rsid w:val="00D87B15"/>
    <w:rsid w:val="00D9098B"/>
    <w:rsid w:val="00D92EA9"/>
    <w:rsid w:val="00D93E36"/>
    <w:rsid w:val="00D95A3C"/>
    <w:rsid w:val="00D95F90"/>
    <w:rsid w:val="00D96358"/>
    <w:rsid w:val="00DA2AEF"/>
    <w:rsid w:val="00DA31C1"/>
    <w:rsid w:val="00DA70B3"/>
    <w:rsid w:val="00DA790E"/>
    <w:rsid w:val="00DB0127"/>
    <w:rsid w:val="00DB0285"/>
    <w:rsid w:val="00DB2804"/>
    <w:rsid w:val="00DB3AE9"/>
    <w:rsid w:val="00DB4001"/>
    <w:rsid w:val="00DB40D1"/>
    <w:rsid w:val="00DB41B3"/>
    <w:rsid w:val="00DB4294"/>
    <w:rsid w:val="00DB5582"/>
    <w:rsid w:val="00DB7925"/>
    <w:rsid w:val="00DC0E74"/>
    <w:rsid w:val="00DC0F0D"/>
    <w:rsid w:val="00DC1A0B"/>
    <w:rsid w:val="00DC617A"/>
    <w:rsid w:val="00DC6AE7"/>
    <w:rsid w:val="00DC6CAB"/>
    <w:rsid w:val="00DC7D0E"/>
    <w:rsid w:val="00DD156C"/>
    <w:rsid w:val="00DD225D"/>
    <w:rsid w:val="00DD359B"/>
    <w:rsid w:val="00DD51E3"/>
    <w:rsid w:val="00DD5FA4"/>
    <w:rsid w:val="00DD6A82"/>
    <w:rsid w:val="00DD776B"/>
    <w:rsid w:val="00DE0EDF"/>
    <w:rsid w:val="00DE240D"/>
    <w:rsid w:val="00DE301F"/>
    <w:rsid w:val="00DE571B"/>
    <w:rsid w:val="00DE5B61"/>
    <w:rsid w:val="00DE77D9"/>
    <w:rsid w:val="00DF26F1"/>
    <w:rsid w:val="00DF294E"/>
    <w:rsid w:val="00DF3294"/>
    <w:rsid w:val="00DF3AEB"/>
    <w:rsid w:val="00DF48ED"/>
    <w:rsid w:val="00DF5155"/>
    <w:rsid w:val="00DF5956"/>
    <w:rsid w:val="00DF6668"/>
    <w:rsid w:val="00E048BC"/>
    <w:rsid w:val="00E04E89"/>
    <w:rsid w:val="00E0543D"/>
    <w:rsid w:val="00E05F55"/>
    <w:rsid w:val="00E07DF8"/>
    <w:rsid w:val="00E1033F"/>
    <w:rsid w:val="00E1058D"/>
    <w:rsid w:val="00E122F6"/>
    <w:rsid w:val="00E134B7"/>
    <w:rsid w:val="00E14049"/>
    <w:rsid w:val="00E1623F"/>
    <w:rsid w:val="00E17267"/>
    <w:rsid w:val="00E23445"/>
    <w:rsid w:val="00E2748A"/>
    <w:rsid w:val="00E32852"/>
    <w:rsid w:val="00E33B44"/>
    <w:rsid w:val="00E348D3"/>
    <w:rsid w:val="00E360C0"/>
    <w:rsid w:val="00E3626E"/>
    <w:rsid w:val="00E4019F"/>
    <w:rsid w:val="00E41214"/>
    <w:rsid w:val="00E42C2F"/>
    <w:rsid w:val="00E430AE"/>
    <w:rsid w:val="00E43601"/>
    <w:rsid w:val="00E43A41"/>
    <w:rsid w:val="00E43D39"/>
    <w:rsid w:val="00E43DB9"/>
    <w:rsid w:val="00E46AEA"/>
    <w:rsid w:val="00E47FC2"/>
    <w:rsid w:val="00E50025"/>
    <w:rsid w:val="00E50BE7"/>
    <w:rsid w:val="00E520E8"/>
    <w:rsid w:val="00E5291E"/>
    <w:rsid w:val="00E52A15"/>
    <w:rsid w:val="00E537E4"/>
    <w:rsid w:val="00E5383D"/>
    <w:rsid w:val="00E5398A"/>
    <w:rsid w:val="00E55DCB"/>
    <w:rsid w:val="00E60171"/>
    <w:rsid w:val="00E609D2"/>
    <w:rsid w:val="00E61BF1"/>
    <w:rsid w:val="00E652F1"/>
    <w:rsid w:val="00E661EC"/>
    <w:rsid w:val="00E668F4"/>
    <w:rsid w:val="00E71E25"/>
    <w:rsid w:val="00E7236D"/>
    <w:rsid w:val="00E726FB"/>
    <w:rsid w:val="00E74082"/>
    <w:rsid w:val="00E74427"/>
    <w:rsid w:val="00E74967"/>
    <w:rsid w:val="00E76063"/>
    <w:rsid w:val="00E81A68"/>
    <w:rsid w:val="00E81B4B"/>
    <w:rsid w:val="00E81B4E"/>
    <w:rsid w:val="00E8223B"/>
    <w:rsid w:val="00E82859"/>
    <w:rsid w:val="00E8302F"/>
    <w:rsid w:val="00E83A9C"/>
    <w:rsid w:val="00E83F7A"/>
    <w:rsid w:val="00E84DAE"/>
    <w:rsid w:val="00E86B98"/>
    <w:rsid w:val="00E91905"/>
    <w:rsid w:val="00E92DAB"/>
    <w:rsid w:val="00E930B2"/>
    <w:rsid w:val="00E93F05"/>
    <w:rsid w:val="00E942FD"/>
    <w:rsid w:val="00E95246"/>
    <w:rsid w:val="00E96093"/>
    <w:rsid w:val="00E96BC4"/>
    <w:rsid w:val="00E96D98"/>
    <w:rsid w:val="00E96FDD"/>
    <w:rsid w:val="00EA03AA"/>
    <w:rsid w:val="00EA03B5"/>
    <w:rsid w:val="00EA1157"/>
    <w:rsid w:val="00EA3B12"/>
    <w:rsid w:val="00EA56AF"/>
    <w:rsid w:val="00EA5F42"/>
    <w:rsid w:val="00EA6EF9"/>
    <w:rsid w:val="00EA7B6F"/>
    <w:rsid w:val="00EB1884"/>
    <w:rsid w:val="00EB2917"/>
    <w:rsid w:val="00EB5887"/>
    <w:rsid w:val="00EB5B4B"/>
    <w:rsid w:val="00EB5BF3"/>
    <w:rsid w:val="00EB6E10"/>
    <w:rsid w:val="00EB780F"/>
    <w:rsid w:val="00EC1987"/>
    <w:rsid w:val="00EC31C6"/>
    <w:rsid w:val="00EC31CB"/>
    <w:rsid w:val="00EC7E10"/>
    <w:rsid w:val="00ED002D"/>
    <w:rsid w:val="00ED01FC"/>
    <w:rsid w:val="00ED1428"/>
    <w:rsid w:val="00ED223D"/>
    <w:rsid w:val="00ED34F4"/>
    <w:rsid w:val="00ED3FDF"/>
    <w:rsid w:val="00ED41CD"/>
    <w:rsid w:val="00ED5A91"/>
    <w:rsid w:val="00ED796F"/>
    <w:rsid w:val="00EE00CC"/>
    <w:rsid w:val="00EE0BEB"/>
    <w:rsid w:val="00EE1855"/>
    <w:rsid w:val="00EE2974"/>
    <w:rsid w:val="00EE3015"/>
    <w:rsid w:val="00EE4AA5"/>
    <w:rsid w:val="00EE5676"/>
    <w:rsid w:val="00EE5B91"/>
    <w:rsid w:val="00EE7027"/>
    <w:rsid w:val="00EE74BA"/>
    <w:rsid w:val="00EE7A87"/>
    <w:rsid w:val="00EF3C0E"/>
    <w:rsid w:val="00EF4442"/>
    <w:rsid w:val="00EF5026"/>
    <w:rsid w:val="00EF56D1"/>
    <w:rsid w:val="00EF575D"/>
    <w:rsid w:val="00EF69DF"/>
    <w:rsid w:val="00EF6FC9"/>
    <w:rsid w:val="00EF764D"/>
    <w:rsid w:val="00F0189A"/>
    <w:rsid w:val="00F03DFC"/>
    <w:rsid w:val="00F0426A"/>
    <w:rsid w:val="00F04DDF"/>
    <w:rsid w:val="00F06000"/>
    <w:rsid w:val="00F0613B"/>
    <w:rsid w:val="00F06C36"/>
    <w:rsid w:val="00F06ED5"/>
    <w:rsid w:val="00F07078"/>
    <w:rsid w:val="00F1055E"/>
    <w:rsid w:val="00F13FF6"/>
    <w:rsid w:val="00F14690"/>
    <w:rsid w:val="00F15014"/>
    <w:rsid w:val="00F153BF"/>
    <w:rsid w:val="00F1570E"/>
    <w:rsid w:val="00F2049F"/>
    <w:rsid w:val="00F21B70"/>
    <w:rsid w:val="00F21D36"/>
    <w:rsid w:val="00F21F86"/>
    <w:rsid w:val="00F230C6"/>
    <w:rsid w:val="00F2318F"/>
    <w:rsid w:val="00F24051"/>
    <w:rsid w:val="00F24FCD"/>
    <w:rsid w:val="00F26B1D"/>
    <w:rsid w:val="00F30CAB"/>
    <w:rsid w:val="00F31345"/>
    <w:rsid w:val="00F31500"/>
    <w:rsid w:val="00F34071"/>
    <w:rsid w:val="00F366FF"/>
    <w:rsid w:val="00F367B1"/>
    <w:rsid w:val="00F36867"/>
    <w:rsid w:val="00F373A1"/>
    <w:rsid w:val="00F40A20"/>
    <w:rsid w:val="00F41332"/>
    <w:rsid w:val="00F41DF6"/>
    <w:rsid w:val="00F422A5"/>
    <w:rsid w:val="00F43706"/>
    <w:rsid w:val="00F43A22"/>
    <w:rsid w:val="00F44F69"/>
    <w:rsid w:val="00F44F84"/>
    <w:rsid w:val="00F550E6"/>
    <w:rsid w:val="00F57B69"/>
    <w:rsid w:val="00F62E55"/>
    <w:rsid w:val="00F63699"/>
    <w:rsid w:val="00F647AF"/>
    <w:rsid w:val="00F6492F"/>
    <w:rsid w:val="00F64F41"/>
    <w:rsid w:val="00F6509D"/>
    <w:rsid w:val="00F65678"/>
    <w:rsid w:val="00F67700"/>
    <w:rsid w:val="00F67EE5"/>
    <w:rsid w:val="00F704EC"/>
    <w:rsid w:val="00F7078F"/>
    <w:rsid w:val="00F70C4A"/>
    <w:rsid w:val="00F72FAB"/>
    <w:rsid w:val="00F739F7"/>
    <w:rsid w:val="00F741A1"/>
    <w:rsid w:val="00F77466"/>
    <w:rsid w:val="00F774DB"/>
    <w:rsid w:val="00F80067"/>
    <w:rsid w:val="00F84B14"/>
    <w:rsid w:val="00F85C68"/>
    <w:rsid w:val="00F86409"/>
    <w:rsid w:val="00F86B41"/>
    <w:rsid w:val="00F903B2"/>
    <w:rsid w:val="00F90A2E"/>
    <w:rsid w:val="00F914B5"/>
    <w:rsid w:val="00F91A02"/>
    <w:rsid w:val="00F9278A"/>
    <w:rsid w:val="00F92864"/>
    <w:rsid w:val="00F94AE3"/>
    <w:rsid w:val="00F95E2F"/>
    <w:rsid w:val="00F97458"/>
    <w:rsid w:val="00F97585"/>
    <w:rsid w:val="00F97C60"/>
    <w:rsid w:val="00FA10C9"/>
    <w:rsid w:val="00FA1565"/>
    <w:rsid w:val="00FA19B9"/>
    <w:rsid w:val="00FA1F4F"/>
    <w:rsid w:val="00FA276E"/>
    <w:rsid w:val="00FA3692"/>
    <w:rsid w:val="00FA3BFC"/>
    <w:rsid w:val="00FA3CB0"/>
    <w:rsid w:val="00FA4881"/>
    <w:rsid w:val="00FA48A0"/>
    <w:rsid w:val="00FA573C"/>
    <w:rsid w:val="00FA65B9"/>
    <w:rsid w:val="00FA71BF"/>
    <w:rsid w:val="00FB05AD"/>
    <w:rsid w:val="00FB0FE0"/>
    <w:rsid w:val="00FB2237"/>
    <w:rsid w:val="00FB321F"/>
    <w:rsid w:val="00FB34D2"/>
    <w:rsid w:val="00FB6A8D"/>
    <w:rsid w:val="00FC06B8"/>
    <w:rsid w:val="00FC226E"/>
    <w:rsid w:val="00FC5BEE"/>
    <w:rsid w:val="00FC5DA9"/>
    <w:rsid w:val="00FC6E17"/>
    <w:rsid w:val="00FC71B1"/>
    <w:rsid w:val="00FC7642"/>
    <w:rsid w:val="00FC7BFF"/>
    <w:rsid w:val="00FD0C35"/>
    <w:rsid w:val="00FD16A2"/>
    <w:rsid w:val="00FD2088"/>
    <w:rsid w:val="00FD5934"/>
    <w:rsid w:val="00FD5EC2"/>
    <w:rsid w:val="00FD6F5F"/>
    <w:rsid w:val="00FE002D"/>
    <w:rsid w:val="00FE0218"/>
    <w:rsid w:val="00FE1F05"/>
    <w:rsid w:val="00FE485E"/>
    <w:rsid w:val="00FE4ECA"/>
    <w:rsid w:val="00FE5BAC"/>
    <w:rsid w:val="00FF223F"/>
    <w:rsid w:val="00FF24DA"/>
    <w:rsid w:val="00FF5185"/>
    <w:rsid w:val="00FF55BB"/>
    <w:rsid w:val="00FF5F78"/>
    <w:rsid w:val="00FF6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8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AAC"/>
    <w:pPr>
      <w:spacing w:after="240" w:line="320" w:lineRule="atLeast"/>
      <w:jc w:val="both"/>
    </w:pPr>
    <w:rPr>
      <w:rFonts w:ascii="Times New Roman" w:hAnsi="Times New Roman"/>
      <w:lang w:val="es-MX"/>
    </w:rPr>
  </w:style>
  <w:style w:type="paragraph" w:styleId="Ttulo1">
    <w:name w:val="heading 1"/>
    <w:next w:val="Normal"/>
    <w:link w:val="Ttulo1Car"/>
    <w:uiPriority w:val="99"/>
    <w:qFormat/>
    <w:rsid w:val="00DE301F"/>
    <w:pPr>
      <w:keepNext/>
      <w:keepLines/>
      <w:pageBreakBefore/>
      <w:numPr>
        <w:numId w:val="7"/>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7"/>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7"/>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7"/>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2"/>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link w:val="TextonotapieCar"/>
    <w:unhideWhenUsed/>
    <w:qFormat/>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9"/>
      </w:numPr>
      <w:spacing w:after="0"/>
      <w:ind w:left="714" w:hanging="357"/>
    </w:pPr>
  </w:style>
  <w:style w:type="paragraph" w:styleId="Listaconnmeros">
    <w:name w:val="List Number"/>
    <w:basedOn w:val="Normal"/>
    <w:uiPriority w:val="99"/>
    <w:semiHidden/>
    <w:unhideWhenUsed/>
    <w:rsid w:val="003934A0"/>
    <w:pPr>
      <w:numPr>
        <w:numId w:val="3"/>
      </w:numPr>
      <w:contextualSpacing/>
    </w:pPr>
  </w:style>
  <w:style w:type="paragraph" w:customStyle="1" w:styleId="Annex1">
    <w:name w:val="Annex 1"/>
    <w:next w:val="Normal"/>
    <w:qFormat/>
    <w:rsid w:val="00444DA5"/>
    <w:pPr>
      <w:keepNext/>
      <w:pageBreakBefore/>
      <w:numPr>
        <w:numId w:val="4"/>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9"/>
    <w:rsid w:val="00BE4026"/>
    <w:rPr>
      <w:rFonts w:ascii="Times New Roman" w:eastAsiaTheme="majorEastAsia" w:hAnsi="Times New Roman" w:cstheme="majorBidi"/>
      <w:b/>
      <w:bCs/>
      <w:sz w:val="24"/>
      <w:szCs w:val="26"/>
      <w:lang w:val="es-MX"/>
    </w:rPr>
  </w:style>
  <w:style w:type="character" w:customStyle="1" w:styleId="Ttulo3Car">
    <w:name w:val="Título 3 Car"/>
    <w:basedOn w:val="Fuentedeprrafopredeter"/>
    <w:link w:val="Ttulo3"/>
    <w:uiPriority w:val="99"/>
    <w:rsid w:val="0013763A"/>
    <w:rPr>
      <w:rFonts w:ascii="Times New Roman" w:eastAsiaTheme="majorEastAsia" w:hAnsi="Times New Roman" w:cstheme="majorBidi"/>
      <w:b/>
      <w:bCs/>
      <w:lang w:val="es-MX"/>
    </w:rPr>
  </w:style>
  <w:style w:type="numbering" w:styleId="1ai">
    <w:name w:val="Outline List 1"/>
    <w:basedOn w:val="Sinlista"/>
    <w:uiPriority w:val="99"/>
    <w:unhideWhenUsed/>
    <w:rsid w:val="003C6172"/>
    <w:pPr>
      <w:numPr>
        <w:numId w:val="5"/>
      </w:numPr>
    </w:p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rsid w:val="00A705E9"/>
    <w:rPr>
      <w:rFonts w:ascii="Arial" w:hAnsi="Arial"/>
      <w:sz w:val="16"/>
      <w:szCs w:val="20"/>
    </w:rPr>
  </w:style>
  <w:style w:type="character" w:styleId="Refdenotaalpie">
    <w:name w:val="footnote reference"/>
    <w:aliases w:val="Ref,de nota al pie,(NECG) Footnote Reference,o,fr,Style 3,Appel note de bas de p,Style 12,Style 124,Ref. de nota al pie 2,Style 6,Footnote Reference Superscript,Style 13,FR,Style 17,Footnote Reference/,Texto de nota al pie,註腳內容,11 pt"/>
    <w:basedOn w:val="Fuentedeprrafopredeter"/>
    <w:uiPriority w:val="99"/>
    <w:unhideWhenUsed/>
    <w:qFormat/>
    <w:rsid w:val="00486181"/>
    <w:rPr>
      <w:rFonts w:ascii="Arial" w:hAnsi="Arial"/>
      <w:b w:val="0"/>
      <w:i w:val="0"/>
      <w:sz w:val="20"/>
      <w:vertAlign w:val="superscript"/>
    </w:rPr>
  </w:style>
  <w:style w:type="paragraph" w:styleId="Piedepgina">
    <w:name w:val="footer"/>
    <w:link w:val="PiedepginaCar"/>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lang w:val="es-MX"/>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6"/>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8"/>
      </w:numPr>
      <w:spacing w:after="200"/>
      <w:ind w:left="357" w:hanging="357"/>
    </w:pPr>
    <w:rPr>
      <w:i/>
    </w:rPr>
  </w:style>
  <w:style w:type="character" w:customStyle="1" w:styleId="H5Char">
    <w:name w:val="H5 Char"/>
    <w:basedOn w:val="Fuentedeprrafopredeter"/>
    <w:link w:val="H5"/>
    <w:rsid w:val="00696966"/>
    <w:rPr>
      <w:rFonts w:ascii="Times New Roman" w:hAnsi="Times New Roman"/>
      <w:i/>
      <w:lang w:val="es-MX"/>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lang w:val="es-MX"/>
    </w:rPr>
  </w:style>
  <w:style w:type="paragraph" w:customStyle="1" w:styleId="Annex2">
    <w:name w:val="Annex 2"/>
    <w:next w:val="Normal"/>
    <w:qFormat/>
    <w:rsid w:val="000C49E3"/>
    <w:pPr>
      <w:keepNext/>
      <w:numPr>
        <w:ilvl w:val="1"/>
        <w:numId w:val="4"/>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4"/>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4"/>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aliases w:val="prueba1,Numeración 1,4 Viñ 1nivel,Bullet List,FooterText,numbered,List Paragraph1,Paragraphe de liste1,Bulletr List Paragraph,列出段落,列出段落1,Cuadros,Lista general"/>
    <w:basedOn w:val="Normal"/>
    <w:link w:val="PrrafodelistaCar"/>
    <w:uiPriority w:val="34"/>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styleId="Textoindependiente">
    <w:name w:val="Body Text"/>
    <w:basedOn w:val="Normal"/>
    <w:link w:val="TextoindependienteCar"/>
    <w:uiPriority w:val="99"/>
    <w:unhideWhenUsed/>
    <w:rsid w:val="00E50025"/>
    <w:pPr>
      <w:spacing w:after="120"/>
    </w:pPr>
  </w:style>
  <w:style w:type="character" w:customStyle="1" w:styleId="TextoindependienteCar">
    <w:name w:val="Texto independiente Car"/>
    <w:basedOn w:val="Fuentedeprrafopredeter"/>
    <w:link w:val="Textoindependiente"/>
    <w:uiPriority w:val="99"/>
    <w:rsid w:val="00E50025"/>
    <w:rPr>
      <w:rFonts w:ascii="Times New Roman" w:hAnsi="Times New Roman"/>
    </w:rPr>
  </w:style>
  <w:style w:type="paragraph" w:styleId="Cita">
    <w:name w:val="Quote"/>
    <w:basedOn w:val="Normal"/>
    <w:next w:val="Normal"/>
    <w:link w:val="CitaCar"/>
    <w:uiPriority w:val="29"/>
    <w:qFormat/>
    <w:rsid w:val="008F4FCF"/>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F4FCF"/>
    <w:rPr>
      <w:rFonts w:ascii="Times New Roman" w:hAnsi="Times New Roman"/>
      <w:i/>
      <w:iCs/>
      <w:color w:val="404040" w:themeColor="text1" w:themeTint="BF"/>
    </w:rPr>
  </w:style>
  <w:style w:type="paragraph" w:customStyle="1" w:styleId="CitaIFT">
    <w:name w:val="Cita IFT"/>
    <w:basedOn w:val="Normal"/>
    <w:link w:val="CitaIFTCar"/>
    <w:qFormat/>
    <w:rsid w:val="00005E3D"/>
    <w:pPr>
      <w:adjustRightInd w:val="0"/>
      <w:spacing w:after="200" w:line="276" w:lineRule="auto"/>
      <w:ind w:left="851" w:right="760"/>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005E3D"/>
    <w:rPr>
      <w:rFonts w:ascii="ITC Avant Garde" w:eastAsia="Times New Roman" w:hAnsi="ITC Avant Garde" w:cs="Arial"/>
      <w:bCs/>
      <w:i/>
      <w:color w:val="000000"/>
      <w:sz w:val="18"/>
      <w:szCs w:val="18"/>
      <w:lang w:val="es-ES_tradnl" w:eastAsia="es-ES"/>
    </w:rPr>
  </w:style>
  <w:style w:type="paragraph" w:customStyle="1" w:styleId="CondicionesFinales">
    <w:name w:val="CondicionesFinales"/>
    <w:basedOn w:val="Normal"/>
    <w:qFormat/>
    <w:rsid w:val="00043A7C"/>
    <w:pPr>
      <w:adjustRightInd w:val="0"/>
      <w:spacing w:after="200" w:line="276" w:lineRule="auto"/>
      <w:ind w:left="851" w:right="760"/>
    </w:pPr>
    <w:rPr>
      <w:rFonts w:ascii="ITC Avant Garde" w:eastAsia="Times New Roman" w:hAnsi="ITC Avant Garde" w:cs="Arial"/>
      <w:bCs/>
      <w:color w:val="000000"/>
      <w:lang w:val="es-ES_tradnl" w:eastAsia="es-ES"/>
    </w:rPr>
  </w:style>
  <w:style w:type="numbering" w:customStyle="1" w:styleId="1ai1">
    <w:name w:val="1 / a / i1"/>
    <w:basedOn w:val="Sinlista"/>
    <w:next w:val="1ai"/>
    <w:uiPriority w:val="99"/>
    <w:unhideWhenUsed/>
    <w:rsid w:val="00A12399"/>
  </w:style>
  <w:style w:type="character" w:styleId="Mencinsinresolver">
    <w:name w:val="Unresolved Mention"/>
    <w:basedOn w:val="Fuentedeprrafopredeter"/>
    <w:uiPriority w:val="99"/>
    <w:semiHidden/>
    <w:unhideWhenUsed/>
    <w:rsid w:val="00E91905"/>
    <w:rPr>
      <w:color w:val="605E5C"/>
      <w:shd w:val="clear" w:color="auto" w:fill="E1DFDD"/>
    </w:rPr>
  </w:style>
  <w:style w:type="character" w:customStyle="1" w:styleId="1TitPrinCar">
    <w:name w:val="1TitPrin Car"/>
    <w:link w:val="1TitPrin"/>
    <w:locked/>
    <w:rsid w:val="00EE5B91"/>
    <w:rPr>
      <w:rFonts w:ascii="ITC Avant Garde" w:eastAsia="Calibri" w:hAnsi="ITC Avant Garde" w:cs="Arial"/>
      <w:b/>
      <w:u w:val="single"/>
      <w:lang w:val="es-ES" w:eastAsia="es-ES"/>
    </w:rPr>
  </w:style>
  <w:style w:type="paragraph" w:customStyle="1" w:styleId="1TitPrin">
    <w:name w:val="1TitPrin"/>
    <w:basedOn w:val="Ttulo1"/>
    <w:link w:val="1TitPrinCar"/>
    <w:autoRedefine/>
    <w:qFormat/>
    <w:rsid w:val="00EE5B91"/>
    <w:pPr>
      <w:keepNext w:val="0"/>
      <w:keepLines w:val="0"/>
      <w:pageBreakBefore w:val="0"/>
      <w:numPr>
        <w:numId w:val="0"/>
      </w:numPr>
      <w:spacing w:after="200" w:line="276" w:lineRule="auto"/>
      <w:jc w:val="both"/>
    </w:pPr>
    <w:rPr>
      <w:rFonts w:ascii="ITC Avant Garde" w:eastAsia="Calibri" w:hAnsi="ITC Avant Garde" w:cs="Arial"/>
      <w:b/>
      <w:bCs w:val="0"/>
      <w:sz w:val="22"/>
      <w:szCs w:val="22"/>
      <w:u w:val="single"/>
      <w:lang w:val="es-ES" w:eastAsia="es-ES"/>
    </w:rPr>
  </w:style>
  <w:style w:type="table" w:customStyle="1" w:styleId="Tablaconcuadrcula2">
    <w:name w:val="Tabla con cuadrícula2"/>
    <w:basedOn w:val="Tablanormal"/>
    <w:next w:val="Tablaconcuadrcula"/>
    <w:uiPriority w:val="59"/>
    <w:rsid w:val="007409C0"/>
    <w:pPr>
      <w:spacing w:after="0" w:line="240" w:lineRule="auto"/>
    </w:pPr>
    <w:rPr>
      <w:rFonts w:ascii="Times New Roman" w:eastAsia="Times New Roman" w:hAnsi="Times New Roman" w:cs="Times New Roman"/>
      <w:sz w:val="20"/>
      <w:szCs w:val="20"/>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7409C0"/>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fasis">
    <w:name w:val="Emphasis"/>
    <w:aliases w:val="Título 4 (1.1.1)"/>
    <w:uiPriority w:val="20"/>
    <w:qFormat/>
    <w:rsid w:val="00EC1987"/>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table" w:customStyle="1" w:styleId="Cuadrculadetablaclara1">
    <w:name w:val="Cuadrícula de tabla clara1"/>
    <w:basedOn w:val="Tablanormal"/>
    <w:uiPriority w:val="40"/>
    <w:rsid w:val="00F41332"/>
    <w:pPr>
      <w:spacing w:after="0" w:line="240" w:lineRule="auto"/>
    </w:pPr>
    <w:rPr>
      <w:rFonts w:ascii="Calibri" w:eastAsia="Calibri" w:hAnsi="Calibri" w:cs="Times New Roman"/>
      <w:sz w:val="20"/>
      <w:szCs w:val="20"/>
      <w:lang w:val="es-MX"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itaift0">
    <w:name w:val="Cita ift"/>
    <w:basedOn w:val="Normal"/>
    <w:link w:val="CitaiftCar0"/>
    <w:qFormat/>
    <w:rsid w:val="00971E9E"/>
    <w:pPr>
      <w:adjustRightInd w:val="0"/>
      <w:spacing w:after="200" w:line="276" w:lineRule="auto"/>
      <w:ind w:left="851" w:right="760"/>
    </w:pPr>
    <w:rPr>
      <w:rFonts w:ascii="ITC Avant Garde" w:eastAsia="Times New Roman" w:hAnsi="ITC Avant Garde" w:cs="Arial"/>
      <w:i/>
      <w:color w:val="000000"/>
      <w:sz w:val="18"/>
      <w:szCs w:val="18"/>
      <w:lang w:eastAsia="es-ES"/>
    </w:rPr>
  </w:style>
  <w:style w:type="character" w:customStyle="1" w:styleId="CitaiftCar0">
    <w:name w:val="Cita ift Car"/>
    <w:link w:val="Citaift0"/>
    <w:rsid w:val="00971E9E"/>
    <w:rPr>
      <w:rFonts w:ascii="ITC Avant Garde" w:eastAsia="Times New Roman" w:hAnsi="ITC Avant Garde" w:cs="Arial"/>
      <w:i/>
      <w:color w:val="000000"/>
      <w:sz w:val="18"/>
      <w:szCs w:val="18"/>
      <w:lang w:val="es-MX" w:eastAsia="es-ES"/>
    </w:rPr>
  </w:style>
  <w:style w:type="character" w:customStyle="1" w:styleId="PrrafodelistaCar">
    <w:name w:val="Párrafo de lista Car"/>
    <w:aliases w:val="prueba1 Car,Numeración 1 Car,4 Viñ 1nivel Car,Bullet List Car,FooterText Car,numbered Car,List Paragraph1 Car,Paragraphe de liste1 Car,Bulletr List Paragraph Car,列出段落 Car,列出段落1 Car,Cuadros Car,Lista general Car"/>
    <w:link w:val="Prrafodelista"/>
    <w:uiPriority w:val="34"/>
    <w:qFormat/>
    <w:rsid w:val="00186A4B"/>
    <w:rPr>
      <w:rFonts w:ascii="Times New Roman" w:eastAsia="Calibri" w:hAnsi="Times New Roman" w:cs="Times New Roman"/>
      <w:lang w:val="es-ES"/>
    </w:rPr>
  </w:style>
  <w:style w:type="paragraph" w:styleId="Revisin">
    <w:name w:val="Revision"/>
    <w:hidden/>
    <w:uiPriority w:val="99"/>
    <w:semiHidden/>
    <w:rsid w:val="007236CE"/>
    <w:pPr>
      <w:spacing w:after="0" w:line="240" w:lineRule="auto"/>
    </w:pPr>
    <w:rPr>
      <w:rFonts w:ascii="Times New Roman" w:hAnsi="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101346312">
      <w:bodyDiv w:val="1"/>
      <w:marLeft w:val="0"/>
      <w:marRight w:val="0"/>
      <w:marTop w:val="0"/>
      <w:marBottom w:val="0"/>
      <w:divBdr>
        <w:top w:val="none" w:sz="0" w:space="0" w:color="auto"/>
        <w:left w:val="none" w:sz="0" w:space="0" w:color="auto"/>
        <w:bottom w:val="none" w:sz="0" w:space="0" w:color="auto"/>
        <w:right w:val="none" w:sz="0" w:space="0" w:color="auto"/>
      </w:divBdr>
      <w:divsChild>
        <w:div w:id="1655134927">
          <w:marLeft w:val="0"/>
          <w:marRight w:val="0"/>
          <w:marTop w:val="0"/>
          <w:marBottom w:val="0"/>
          <w:divBdr>
            <w:top w:val="single" w:sz="2" w:space="0" w:color="D9D9E3"/>
            <w:left w:val="single" w:sz="2" w:space="0" w:color="D9D9E3"/>
            <w:bottom w:val="single" w:sz="2" w:space="0" w:color="D9D9E3"/>
            <w:right w:val="single" w:sz="2" w:space="0" w:color="D9D9E3"/>
          </w:divBdr>
          <w:divsChild>
            <w:div w:id="498890406">
              <w:marLeft w:val="0"/>
              <w:marRight w:val="0"/>
              <w:marTop w:val="0"/>
              <w:marBottom w:val="0"/>
              <w:divBdr>
                <w:top w:val="single" w:sz="2" w:space="0" w:color="D9D9E3"/>
                <w:left w:val="single" w:sz="2" w:space="0" w:color="D9D9E3"/>
                <w:bottom w:val="single" w:sz="2" w:space="0" w:color="D9D9E3"/>
                <w:right w:val="single" w:sz="2" w:space="0" w:color="D9D9E3"/>
              </w:divBdr>
              <w:divsChild>
                <w:div w:id="444227725">
                  <w:marLeft w:val="0"/>
                  <w:marRight w:val="0"/>
                  <w:marTop w:val="0"/>
                  <w:marBottom w:val="0"/>
                  <w:divBdr>
                    <w:top w:val="single" w:sz="2" w:space="0" w:color="D9D9E3"/>
                    <w:left w:val="single" w:sz="2" w:space="0" w:color="D9D9E3"/>
                    <w:bottom w:val="single" w:sz="2" w:space="0" w:color="D9D9E3"/>
                    <w:right w:val="single" w:sz="2" w:space="0" w:color="D9D9E3"/>
                  </w:divBdr>
                  <w:divsChild>
                    <w:div w:id="426118179">
                      <w:marLeft w:val="0"/>
                      <w:marRight w:val="0"/>
                      <w:marTop w:val="0"/>
                      <w:marBottom w:val="0"/>
                      <w:divBdr>
                        <w:top w:val="single" w:sz="2" w:space="0" w:color="D9D9E3"/>
                        <w:left w:val="single" w:sz="2" w:space="0" w:color="D9D9E3"/>
                        <w:bottom w:val="single" w:sz="2" w:space="0" w:color="D9D9E3"/>
                        <w:right w:val="single" w:sz="2" w:space="0" w:color="D9D9E3"/>
                      </w:divBdr>
                      <w:divsChild>
                        <w:div w:id="88896180">
                          <w:marLeft w:val="0"/>
                          <w:marRight w:val="0"/>
                          <w:marTop w:val="0"/>
                          <w:marBottom w:val="0"/>
                          <w:divBdr>
                            <w:top w:val="single" w:sz="2" w:space="0" w:color="D9D9E3"/>
                            <w:left w:val="single" w:sz="2" w:space="0" w:color="D9D9E3"/>
                            <w:bottom w:val="single" w:sz="2" w:space="0" w:color="D9D9E3"/>
                            <w:right w:val="single" w:sz="2" w:space="0" w:color="D9D9E3"/>
                          </w:divBdr>
                          <w:divsChild>
                            <w:div w:id="201750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621187224">
                                  <w:marLeft w:val="0"/>
                                  <w:marRight w:val="0"/>
                                  <w:marTop w:val="0"/>
                                  <w:marBottom w:val="0"/>
                                  <w:divBdr>
                                    <w:top w:val="single" w:sz="2" w:space="0" w:color="D9D9E3"/>
                                    <w:left w:val="single" w:sz="2" w:space="0" w:color="D9D9E3"/>
                                    <w:bottom w:val="single" w:sz="2" w:space="0" w:color="D9D9E3"/>
                                    <w:right w:val="single" w:sz="2" w:space="0" w:color="D9D9E3"/>
                                  </w:divBdr>
                                  <w:divsChild>
                                    <w:div w:id="1641883610">
                                      <w:marLeft w:val="0"/>
                                      <w:marRight w:val="0"/>
                                      <w:marTop w:val="0"/>
                                      <w:marBottom w:val="0"/>
                                      <w:divBdr>
                                        <w:top w:val="single" w:sz="2" w:space="0" w:color="D9D9E3"/>
                                        <w:left w:val="single" w:sz="2" w:space="0" w:color="D9D9E3"/>
                                        <w:bottom w:val="single" w:sz="2" w:space="0" w:color="D9D9E3"/>
                                        <w:right w:val="single" w:sz="2" w:space="0" w:color="D9D9E3"/>
                                      </w:divBdr>
                                      <w:divsChild>
                                        <w:div w:id="825129688">
                                          <w:marLeft w:val="0"/>
                                          <w:marRight w:val="0"/>
                                          <w:marTop w:val="0"/>
                                          <w:marBottom w:val="0"/>
                                          <w:divBdr>
                                            <w:top w:val="single" w:sz="2" w:space="0" w:color="D9D9E3"/>
                                            <w:left w:val="single" w:sz="2" w:space="0" w:color="D9D9E3"/>
                                            <w:bottom w:val="single" w:sz="2" w:space="0" w:color="D9D9E3"/>
                                            <w:right w:val="single" w:sz="2" w:space="0" w:color="D9D9E3"/>
                                          </w:divBdr>
                                          <w:divsChild>
                                            <w:div w:id="783767065">
                                              <w:marLeft w:val="0"/>
                                              <w:marRight w:val="0"/>
                                              <w:marTop w:val="0"/>
                                              <w:marBottom w:val="0"/>
                                              <w:divBdr>
                                                <w:top w:val="single" w:sz="2" w:space="0" w:color="D9D9E3"/>
                                                <w:left w:val="single" w:sz="2" w:space="0" w:color="D9D9E3"/>
                                                <w:bottom w:val="single" w:sz="2" w:space="0" w:color="D9D9E3"/>
                                                <w:right w:val="single" w:sz="2" w:space="0" w:color="D9D9E3"/>
                                              </w:divBdr>
                                              <w:divsChild>
                                                <w:div w:id="1115174587">
                                                  <w:marLeft w:val="0"/>
                                                  <w:marRight w:val="0"/>
                                                  <w:marTop w:val="0"/>
                                                  <w:marBottom w:val="0"/>
                                                  <w:divBdr>
                                                    <w:top w:val="single" w:sz="2" w:space="0" w:color="D9D9E3"/>
                                                    <w:left w:val="single" w:sz="2" w:space="0" w:color="D9D9E3"/>
                                                    <w:bottom w:val="single" w:sz="2" w:space="0" w:color="D9D9E3"/>
                                                    <w:right w:val="single" w:sz="2" w:space="0" w:color="D9D9E3"/>
                                                  </w:divBdr>
                                                  <w:divsChild>
                                                    <w:div w:id="247665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61888353">
          <w:marLeft w:val="0"/>
          <w:marRight w:val="0"/>
          <w:marTop w:val="0"/>
          <w:marBottom w:val="0"/>
          <w:divBdr>
            <w:top w:val="none" w:sz="0" w:space="0" w:color="auto"/>
            <w:left w:val="none" w:sz="0" w:space="0" w:color="auto"/>
            <w:bottom w:val="none" w:sz="0" w:space="0" w:color="auto"/>
            <w:right w:val="none" w:sz="0" w:space="0" w:color="auto"/>
          </w:divBdr>
        </w:div>
      </w:divsChild>
    </w:div>
    <w:div w:id="315453693">
      <w:bodyDiv w:val="1"/>
      <w:marLeft w:val="0"/>
      <w:marRight w:val="0"/>
      <w:marTop w:val="0"/>
      <w:marBottom w:val="0"/>
      <w:divBdr>
        <w:top w:val="none" w:sz="0" w:space="0" w:color="auto"/>
        <w:left w:val="none" w:sz="0" w:space="0" w:color="auto"/>
        <w:bottom w:val="none" w:sz="0" w:space="0" w:color="auto"/>
        <w:right w:val="none" w:sz="0" w:space="0" w:color="auto"/>
      </w:divBdr>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72886584">
          <w:marLeft w:val="274"/>
          <w:marRight w:val="0"/>
          <w:marTop w:val="0"/>
          <w:marBottom w:val="120"/>
          <w:divBdr>
            <w:top w:val="none" w:sz="0" w:space="0" w:color="auto"/>
            <w:left w:val="none" w:sz="0" w:space="0" w:color="auto"/>
            <w:bottom w:val="none" w:sz="0" w:space="0" w:color="auto"/>
            <w:right w:val="none" w:sz="0" w:space="0" w:color="auto"/>
          </w:divBdr>
        </w:div>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sChild>
    </w:div>
    <w:div w:id="387918300">
      <w:bodyDiv w:val="1"/>
      <w:marLeft w:val="0"/>
      <w:marRight w:val="0"/>
      <w:marTop w:val="0"/>
      <w:marBottom w:val="0"/>
      <w:divBdr>
        <w:top w:val="none" w:sz="0" w:space="0" w:color="auto"/>
        <w:left w:val="none" w:sz="0" w:space="0" w:color="auto"/>
        <w:bottom w:val="none" w:sz="0" w:space="0" w:color="auto"/>
        <w:right w:val="none" w:sz="0" w:space="0" w:color="auto"/>
      </w:divBdr>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5372983">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35537106">
      <w:bodyDiv w:val="1"/>
      <w:marLeft w:val="0"/>
      <w:marRight w:val="0"/>
      <w:marTop w:val="0"/>
      <w:marBottom w:val="0"/>
      <w:divBdr>
        <w:top w:val="none" w:sz="0" w:space="0" w:color="auto"/>
        <w:left w:val="none" w:sz="0" w:space="0" w:color="auto"/>
        <w:bottom w:val="none" w:sz="0" w:space="0" w:color="auto"/>
        <w:right w:val="none" w:sz="0" w:space="0" w:color="auto"/>
      </w:divBdr>
    </w:div>
    <w:div w:id="839153882">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945356842">
      <w:bodyDiv w:val="1"/>
      <w:marLeft w:val="0"/>
      <w:marRight w:val="0"/>
      <w:marTop w:val="0"/>
      <w:marBottom w:val="0"/>
      <w:divBdr>
        <w:top w:val="none" w:sz="0" w:space="0" w:color="auto"/>
        <w:left w:val="none" w:sz="0" w:space="0" w:color="auto"/>
        <w:bottom w:val="none" w:sz="0" w:space="0" w:color="auto"/>
        <w:right w:val="none" w:sz="0" w:space="0" w:color="auto"/>
      </w:divBdr>
    </w:div>
    <w:div w:id="1014654894">
      <w:bodyDiv w:val="1"/>
      <w:marLeft w:val="0"/>
      <w:marRight w:val="0"/>
      <w:marTop w:val="0"/>
      <w:marBottom w:val="0"/>
      <w:divBdr>
        <w:top w:val="none" w:sz="0" w:space="0" w:color="auto"/>
        <w:left w:val="none" w:sz="0" w:space="0" w:color="auto"/>
        <w:bottom w:val="none" w:sz="0" w:space="0" w:color="auto"/>
        <w:right w:val="none" w:sz="0" w:space="0" w:color="auto"/>
      </w:divBdr>
    </w:div>
    <w:div w:id="1088383481">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130172827">
      <w:bodyDiv w:val="1"/>
      <w:marLeft w:val="0"/>
      <w:marRight w:val="0"/>
      <w:marTop w:val="0"/>
      <w:marBottom w:val="0"/>
      <w:divBdr>
        <w:top w:val="none" w:sz="0" w:space="0" w:color="auto"/>
        <w:left w:val="none" w:sz="0" w:space="0" w:color="auto"/>
        <w:bottom w:val="none" w:sz="0" w:space="0" w:color="auto"/>
        <w:right w:val="none" w:sz="0" w:space="0" w:color="auto"/>
      </w:divBdr>
    </w:div>
    <w:div w:id="1132016559">
      <w:bodyDiv w:val="1"/>
      <w:marLeft w:val="0"/>
      <w:marRight w:val="0"/>
      <w:marTop w:val="0"/>
      <w:marBottom w:val="0"/>
      <w:divBdr>
        <w:top w:val="none" w:sz="0" w:space="0" w:color="auto"/>
        <w:left w:val="none" w:sz="0" w:space="0" w:color="auto"/>
        <w:bottom w:val="none" w:sz="0" w:space="0" w:color="auto"/>
        <w:right w:val="none" w:sz="0" w:space="0" w:color="auto"/>
      </w:divBdr>
    </w:div>
    <w:div w:id="1160268641">
      <w:bodyDiv w:val="1"/>
      <w:marLeft w:val="0"/>
      <w:marRight w:val="0"/>
      <w:marTop w:val="0"/>
      <w:marBottom w:val="0"/>
      <w:divBdr>
        <w:top w:val="none" w:sz="0" w:space="0" w:color="auto"/>
        <w:left w:val="none" w:sz="0" w:space="0" w:color="auto"/>
        <w:bottom w:val="none" w:sz="0" w:space="0" w:color="auto"/>
        <w:right w:val="none" w:sz="0" w:space="0" w:color="auto"/>
      </w:divBdr>
    </w:div>
    <w:div w:id="1168398360">
      <w:bodyDiv w:val="1"/>
      <w:marLeft w:val="0"/>
      <w:marRight w:val="0"/>
      <w:marTop w:val="0"/>
      <w:marBottom w:val="0"/>
      <w:divBdr>
        <w:top w:val="none" w:sz="0" w:space="0" w:color="auto"/>
        <w:left w:val="none" w:sz="0" w:space="0" w:color="auto"/>
        <w:bottom w:val="none" w:sz="0" w:space="0" w:color="auto"/>
        <w:right w:val="none" w:sz="0" w:space="0" w:color="auto"/>
      </w:divBdr>
    </w:div>
    <w:div w:id="1275475830">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582905497">
      <w:bodyDiv w:val="1"/>
      <w:marLeft w:val="0"/>
      <w:marRight w:val="0"/>
      <w:marTop w:val="0"/>
      <w:marBottom w:val="0"/>
      <w:divBdr>
        <w:top w:val="none" w:sz="0" w:space="0" w:color="auto"/>
        <w:left w:val="none" w:sz="0" w:space="0" w:color="auto"/>
        <w:bottom w:val="none" w:sz="0" w:space="0" w:color="auto"/>
        <w:right w:val="none" w:sz="0" w:space="0" w:color="auto"/>
      </w:divBdr>
    </w:div>
    <w:div w:id="1610163846">
      <w:bodyDiv w:val="1"/>
      <w:marLeft w:val="0"/>
      <w:marRight w:val="0"/>
      <w:marTop w:val="0"/>
      <w:marBottom w:val="0"/>
      <w:divBdr>
        <w:top w:val="none" w:sz="0" w:space="0" w:color="auto"/>
        <w:left w:val="none" w:sz="0" w:space="0" w:color="auto"/>
        <w:bottom w:val="none" w:sz="0" w:space="0" w:color="auto"/>
        <w:right w:val="none" w:sz="0" w:space="0" w:color="auto"/>
      </w:divBdr>
    </w:div>
    <w:div w:id="1625309030">
      <w:bodyDiv w:val="1"/>
      <w:marLeft w:val="0"/>
      <w:marRight w:val="0"/>
      <w:marTop w:val="0"/>
      <w:marBottom w:val="0"/>
      <w:divBdr>
        <w:top w:val="none" w:sz="0" w:space="0" w:color="auto"/>
        <w:left w:val="none" w:sz="0" w:space="0" w:color="auto"/>
        <w:bottom w:val="none" w:sz="0" w:space="0" w:color="auto"/>
        <w:right w:val="none" w:sz="0" w:space="0" w:color="auto"/>
      </w:divBdr>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1677534564">
      <w:bodyDiv w:val="1"/>
      <w:marLeft w:val="0"/>
      <w:marRight w:val="0"/>
      <w:marTop w:val="0"/>
      <w:marBottom w:val="0"/>
      <w:divBdr>
        <w:top w:val="none" w:sz="0" w:space="0" w:color="auto"/>
        <w:left w:val="none" w:sz="0" w:space="0" w:color="auto"/>
        <w:bottom w:val="none" w:sz="0" w:space="0" w:color="auto"/>
        <w:right w:val="none" w:sz="0" w:space="0" w:color="auto"/>
      </w:divBdr>
    </w:div>
    <w:div w:id="1771461321">
      <w:bodyDiv w:val="1"/>
      <w:marLeft w:val="0"/>
      <w:marRight w:val="0"/>
      <w:marTop w:val="0"/>
      <w:marBottom w:val="0"/>
      <w:divBdr>
        <w:top w:val="none" w:sz="0" w:space="0" w:color="auto"/>
        <w:left w:val="none" w:sz="0" w:space="0" w:color="auto"/>
        <w:bottom w:val="none" w:sz="0" w:space="0" w:color="auto"/>
        <w:right w:val="none" w:sz="0" w:space="0" w:color="auto"/>
      </w:divBdr>
    </w:div>
    <w:div w:id="1898512592">
      <w:bodyDiv w:val="1"/>
      <w:marLeft w:val="0"/>
      <w:marRight w:val="0"/>
      <w:marTop w:val="0"/>
      <w:marBottom w:val="0"/>
      <w:divBdr>
        <w:top w:val="none" w:sz="0" w:space="0" w:color="auto"/>
        <w:left w:val="none" w:sz="0" w:space="0" w:color="auto"/>
        <w:bottom w:val="none" w:sz="0" w:space="0" w:color="auto"/>
        <w:right w:val="none" w:sz="0" w:space="0" w:color="auto"/>
      </w:divBdr>
    </w:div>
    <w:div w:id="1994022045">
      <w:bodyDiv w:val="1"/>
      <w:marLeft w:val="0"/>
      <w:marRight w:val="0"/>
      <w:marTop w:val="0"/>
      <w:marBottom w:val="0"/>
      <w:divBdr>
        <w:top w:val="none" w:sz="0" w:space="0" w:color="auto"/>
        <w:left w:val="none" w:sz="0" w:space="0" w:color="auto"/>
        <w:bottom w:val="none" w:sz="0" w:space="0" w:color="auto"/>
        <w:right w:val="none" w:sz="0" w:space="0" w:color="auto"/>
      </w:divBdr>
    </w:div>
    <w:div w:id="2055809868">
      <w:bodyDiv w:val="1"/>
      <w:marLeft w:val="0"/>
      <w:marRight w:val="0"/>
      <w:marTop w:val="0"/>
      <w:marBottom w:val="0"/>
      <w:divBdr>
        <w:top w:val="none" w:sz="0" w:space="0" w:color="auto"/>
        <w:left w:val="none" w:sz="0" w:space="0" w:color="auto"/>
        <w:bottom w:val="none" w:sz="0" w:space="0" w:color="auto"/>
        <w:right w:val="none" w:sz="0" w:space="0" w:color="auto"/>
      </w:divBdr>
    </w:div>
    <w:div w:id="2067605735">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t.org.mx/industria/consultas-publicas/consulta-publica-sobre-las-propuestas-de-ofertas-de-referencia-de-los-servicios-mayoristas-de-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ft.org.mx/sites/default/files/contenidogeneral/politica-regulatoria/ofertadereferencia2024telesitesfibra.pdf" TargetMode="External"/><Relationship Id="rId1" Type="http://schemas.openxmlformats.org/officeDocument/2006/relationships/hyperlink" Target="https://www.ift.org.mx/sites/default/files/contenidogeneral/politica-regulatoria/ofertadereferencia2024telesitesfib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84F14-C14C-4061-8296-B487FE25BEE5}">
  <ds:schemaRefs>
    <ds:schemaRef ds:uri="http://schemas.microsoft.com/sharepoint/v3/contenttype/forms"/>
  </ds:schemaRefs>
</ds:datastoreItem>
</file>

<file path=customXml/itemProps2.xml><?xml version="1.0" encoding="utf-8"?>
<ds:datastoreItem xmlns:ds="http://schemas.openxmlformats.org/officeDocument/2006/customXml" ds:itemID="{8F539D74-3A55-46FB-BD9A-2815BA02C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D467A-DE0C-4C80-9A98-BC6FC67FE494}">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F4EB602F-723D-4C68-AF8B-9B21862E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7047</Words>
  <Characters>38762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2025-01-23T15:56:00Z</dcterms:created>
  <dcterms:modified xsi:type="dcterms:W3CDTF">2025-01-23T15:56:00Z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