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89A67" w14:textId="77777777" w:rsidR="00CF3BBF" w:rsidRPr="00C03384" w:rsidRDefault="00CF3BBF" w:rsidP="00CF3BBF">
      <w:pPr>
        <w:ind w:left="567" w:right="594"/>
        <w:jc w:val="center"/>
        <w:rPr>
          <w:rFonts w:ascii="Arial" w:hAnsi="Arial" w:cs="Arial"/>
          <w:b/>
          <w:sz w:val="36"/>
        </w:rPr>
      </w:pPr>
      <w:r w:rsidRPr="00C03384">
        <w:rPr>
          <w:rFonts w:ascii="Arial" w:hAnsi="Arial" w:cs="Arial"/>
          <w:b/>
          <w:sz w:val="36"/>
        </w:rPr>
        <w:t xml:space="preserve">PROPUESTA </w:t>
      </w:r>
      <w:r>
        <w:rPr>
          <w:rFonts w:ascii="Arial" w:hAnsi="Arial" w:cs="Arial"/>
          <w:b/>
          <w:sz w:val="36"/>
        </w:rPr>
        <w:t>DE MODIFICACIONES PARA LA ORCI</w:t>
      </w:r>
      <w:r w:rsidRPr="00C03384">
        <w:rPr>
          <w:rFonts w:ascii="Arial" w:hAnsi="Arial" w:cs="Arial"/>
          <w:b/>
          <w:sz w:val="36"/>
        </w:rPr>
        <w:t xml:space="preserve"> 2025</w:t>
      </w:r>
    </w:p>
    <w:p w14:paraId="330F216F" w14:textId="1320E677" w:rsidR="00CF3BBF" w:rsidRPr="00C03384" w:rsidRDefault="00CF3BBF" w:rsidP="00CF3BBF">
      <w:pPr>
        <w:ind w:left="567" w:right="594"/>
        <w:jc w:val="both"/>
        <w:rPr>
          <w:rFonts w:ascii="Arial" w:hAnsi="Arial" w:cs="Arial"/>
        </w:rPr>
      </w:pPr>
      <w:r w:rsidRPr="00C03384">
        <w:rPr>
          <w:rFonts w:ascii="Arial" w:hAnsi="Arial" w:cs="Arial"/>
        </w:rPr>
        <w:t xml:space="preserve">Telmex y Telnor, en cumplimiento a la medida </w:t>
      </w:r>
      <w:r w:rsidRPr="00CF3BBF">
        <w:rPr>
          <w:rFonts w:ascii="Arial" w:hAnsi="Arial" w:cs="Arial"/>
        </w:rPr>
        <w:t xml:space="preserve">Cuadragésima Primera del Anexo 2 </w:t>
      </w:r>
      <w:r w:rsidRPr="00C03384">
        <w:rPr>
          <w:rFonts w:ascii="Arial" w:hAnsi="Arial" w:cs="Arial"/>
        </w:rPr>
        <w:t xml:space="preserve">de las Medidas de </w:t>
      </w:r>
      <w:r>
        <w:rPr>
          <w:rFonts w:ascii="Arial" w:hAnsi="Arial" w:cs="Arial"/>
        </w:rPr>
        <w:t>Compartición de Infraestructura</w:t>
      </w:r>
      <w:r w:rsidRPr="00C03384">
        <w:rPr>
          <w:rFonts w:ascii="Arial" w:hAnsi="Arial" w:cs="Arial"/>
        </w:rPr>
        <w:t xml:space="preserve"> presenta para aprobación del Instituto, las siguientes modificaciones y actualizaciones </w:t>
      </w:r>
      <w:r>
        <w:rPr>
          <w:rFonts w:ascii="Arial" w:hAnsi="Arial" w:cs="Arial"/>
        </w:rPr>
        <w:t>de</w:t>
      </w:r>
      <w:r w:rsidRPr="00C03384">
        <w:rPr>
          <w:rFonts w:ascii="Arial" w:hAnsi="Arial" w:cs="Arial"/>
        </w:rPr>
        <w:t xml:space="preserve"> la Oferta de Referencia de los Servicios de </w:t>
      </w:r>
      <w:r>
        <w:rPr>
          <w:rFonts w:ascii="Arial" w:hAnsi="Arial" w:cs="Arial"/>
        </w:rPr>
        <w:t>Compartición de Infraestructura</w:t>
      </w:r>
      <w:r w:rsidRPr="00C03384">
        <w:rPr>
          <w:rFonts w:ascii="Arial" w:hAnsi="Arial" w:cs="Arial"/>
        </w:rPr>
        <w:t xml:space="preserve"> para el 2025.</w:t>
      </w:r>
      <w:r w:rsidR="00CC36BC">
        <w:rPr>
          <w:rFonts w:ascii="Arial" w:hAnsi="Arial" w:cs="Arial"/>
        </w:rPr>
        <w:t xml:space="preserve"> </w:t>
      </w:r>
      <w:r w:rsidRPr="00C03384">
        <w:rPr>
          <w:rFonts w:ascii="Arial" w:hAnsi="Arial" w:cs="Arial"/>
        </w:rPr>
        <w:t>En virtud de lo anterior, y con el objetivo de esclarecer las condiciones propuestas mis representadas presentan las siguientes:</w:t>
      </w:r>
    </w:p>
    <w:p w14:paraId="66826515" w14:textId="77777777" w:rsidR="000835A8" w:rsidRDefault="000835A8" w:rsidP="00CF3BBF">
      <w:pPr>
        <w:ind w:left="567" w:right="594"/>
        <w:jc w:val="center"/>
        <w:rPr>
          <w:rFonts w:ascii="Arial" w:hAnsi="Arial" w:cs="Arial"/>
          <w:b/>
        </w:rPr>
      </w:pPr>
    </w:p>
    <w:p w14:paraId="336CB497" w14:textId="77777777" w:rsidR="00CF3BBF" w:rsidRPr="00C03384" w:rsidRDefault="00CF3BBF" w:rsidP="00CF3BBF">
      <w:pPr>
        <w:ind w:left="567" w:right="594"/>
        <w:jc w:val="center"/>
        <w:rPr>
          <w:rFonts w:ascii="Arial" w:hAnsi="Arial" w:cs="Arial"/>
          <w:b/>
        </w:rPr>
      </w:pPr>
      <w:r w:rsidRPr="00C03384">
        <w:rPr>
          <w:rFonts w:ascii="Arial" w:hAnsi="Arial" w:cs="Arial"/>
          <w:b/>
        </w:rPr>
        <w:t>CONSIDERACIONES PREVIAS</w:t>
      </w:r>
    </w:p>
    <w:p w14:paraId="271C7315" w14:textId="03379ABD" w:rsidR="00CF3BBF" w:rsidRPr="00C03384" w:rsidRDefault="00CF3BBF" w:rsidP="00CF3BBF">
      <w:pPr>
        <w:ind w:left="567" w:right="594"/>
        <w:rPr>
          <w:rFonts w:ascii="Arial" w:hAnsi="Arial" w:cs="Arial"/>
          <w:b/>
        </w:rPr>
      </w:pPr>
      <w:r w:rsidRPr="00C03384">
        <w:rPr>
          <w:rFonts w:ascii="Arial" w:hAnsi="Arial" w:cs="Arial"/>
          <w:b/>
        </w:rPr>
        <w:t xml:space="preserve">PRIMERO. </w:t>
      </w:r>
      <w:r w:rsidR="00CC36BC">
        <w:rPr>
          <w:rFonts w:ascii="Arial" w:hAnsi="Arial" w:cs="Arial"/>
          <w:b/>
        </w:rPr>
        <w:t>HOMOLOGACION DE CRITERIOS</w:t>
      </w:r>
      <w:r w:rsidRPr="00C03384">
        <w:rPr>
          <w:rFonts w:ascii="Arial" w:hAnsi="Arial" w:cs="Arial"/>
          <w:b/>
        </w:rPr>
        <w:t>.</w:t>
      </w:r>
    </w:p>
    <w:p w14:paraId="0977A91A" w14:textId="77777777" w:rsidR="00CF3BBF" w:rsidRDefault="00CF3BBF" w:rsidP="00CF3BBF">
      <w:pPr>
        <w:ind w:left="567" w:right="594"/>
        <w:jc w:val="both"/>
        <w:rPr>
          <w:rFonts w:ascii="Arial" w:hAnsi="Arial" w:cs="Arial"/>
        </w:rPr>
      </w:pPr>
      <w:r>
        <w:rPr>
          <w:rFonts w:ascii="Arial" w:hAnsi="Arial" w:cs="Arial"/>
        </w:rPr>
        <w:t xml:space="preserve">Existe falta de </w:t>
      </w:r>
      <w:r w:rsidRPr="00C03384">
        <w:rPr>
          <w:rFonts w:ascii="Arial" w:hAnsi="Arial" w:cs="Arial"/>
        </w:rPr>
        <w:t xml:space="preserve">homologación de criterios </w:t>
      </w:r>
      <w:r>
        <w:rPr>
          <w:rFonts w:ascii="Arial" w:hAnsi="Arial" w:cs="Arial"/>
        </w:rPr>
        <w:t xml:space="preserve">de medición de plazos </w:t>
      </w:r>
      <w:r w:rsidRPr="00C03384">
        <w:rPr>
          <w:rFonts w:ascii="Arial" w:hAnsi="Arial" w:cs="Arial"/>
        </w:rPr>
        <w:t xml:space="preserve">entre </w:t>
      </w:r>
      <w:r>
        <w:rPr>
          <w:rFonts w:ascii="Arial" w:hAnsi="Arial" w:cs="Arial"/>
        </w:rPr>
        <w:t xml:space="preserve">las </w:t>
      </w:r>
      <w:r w:rsidRPr="00C03384">
        <w:rPr>
          <w:rFonts w:ascii="Arial" w:hAnsi="Arial" w:cs="Arial"/>
        </w:rPr>
        <w:t>ofertas mayoristas,</w:t>
      </w:r>
      <w:r>
        <w:rPr>
          <w:rFonts w:ascii="Arial" w:hAnsi="Arial" w:cs="Arial"/>
        </w:rPr>
        <w:t xml:space="preserve"> lo cual ha dificultado la logística operativa para los servicios ofrecidos. Es importante destacar que el personal operativo es el mismo que atiende los diferentes servicios mayoristas y minoristas, por lo que resulta poco eficiente que de acuerdo al tipo de servicio, al tipo de mercado y oferta mayorista, el personal operativo tenga que adecuar la mecánica operativa, por lo que resulta importante homologar criterios y mecánicas de supervisión.</w:t>
      </w:r>
    </w:p>
    <w:p w14:paraId="4E9EEDF6" w14:textId="0221A510" w:rsidR="00CF3BBF" w:rsidRDefault="00CF3BBF" w:rsidP="00CF3BBF">
      <w:pPr>
        <w:ind w:left="567" w:right="594"/>
        <w:jc w:val="both"/>
        <w:rPr>
          <w:rFonts w:ascii="Arial" w:hAnsi="Arial" w:cs="Arial"/>
        </w:rPr>
      </w:pPr>
      <w:r>
        <w:rPr>
          <w:rFonts w:ascii="Arial" w:hAnsi="Arial" w:cs="Arial"/>
        </w:rPr>
        <w:t xml:space="preserve">Finalmente, es conveniente </w:t>
      </w:r>
      <w:r w:rsidR="00BC7D2F">
        <w:rPr>
          <w:rFonts w:ascii="Arial" w:hAnsi="Arial" w:cs="Arial"/>
        </w:rPr>
        <w:t xml:space="preserve">integrar la definición de día inhábil para todos los efectos de la presente oferta </w:t>
      </w:r>
      <w:r w:rsidR="00C057E1">
        <w:rPr>
          <w:rFonts w:ascii="Arial" w:hAnsi="Arial" w:cs="Arial"/>
        </w:rPr>
        <w:t>y,</w:t>
      </w:r>
      <w:r w:rsidR="00BC7D2F">
        <w:rPr>
          <w:rFonts w:ascii="Arial" w:hAnsi="Arial" w:cs="Arial"/>
        </w:rPr>
        <w:t xml:space="preserve"> además, incluir sólo los elementos a cargo de la DM en</w:t>
      </w:r>
      <w:r w:rsidR="00C057E1">
        <w:rPr>
          <w:rFonts w:ascii="Arial" w:hAnsi="Arial" w:cs="Arial"/>
        </w:rPr>
        <w:t xml:space="preserve"> la</w:t>
      </w:r>
      <w:r w:rsidR="00BC7D2F">
        <w:rPr>
          <w:rFonts w:ascii="Arial" w:hAnsi="Arial" w:cs="Arial"/>
        </w:rPr>
        <w:t xml:space="preserve"> ORCI</w:t>
      </w:r>
      <w:r w:rsidR="00CC36BC">
        <w:rPr>
          <w:rFonts w:ascii="Arial" w:hAnsi="Arial" w:cs="Arial"/>
        </w:rPr>
        <w:t>.</w:t>
      </w:r>
    </w:p>
    <w:p w14:paraId="421BD3F4" w14:textId="77777777" w:rsidR="00CF3BBF" w:rsidRDefault="00CF3BBF" w:rsidP="00CF3BBF">
      <w:pPr>
        <w:ind w:left="567" w:right="594"/>
        <w:rPr>
          <w:rFonts w:ascii="Arial" w:hAnsi="Arial" w:cs="Arial"/>
          <w:b/>
        </w:rPr>
      </w:pPr>
      <w:r>
        <w:rPr>
          <w:rFonts w:ascii="Arial" w:hAnsi="Arial" w:cs="Arial"/>
          <w:b/>
        </w:rPr>
        <w:t>SEGUNDO</w:t>
      </w:r>
      <w:r w:rsidRPr="00C03384">
        <w:rPr>
          <w:rFonts w:ascii="Arial" w:hAnsi="Arial" w:cs="Arial"/>
          <w:b/>
        </w:rPr>
        <w:t xml:space="preserve">. </w:t>
      </w:r>
      <w:r w:rsidRPr="005E291D">
        <w:rPr>
          <w:rFonts w:ascii="Arial" w:hAnsi="Arial" w:cs="Arial"/>
          <w:b/>
        </w:rPr>
        <w:t xml:space="preserve">SOBRE EL MODELO DE COSTOS </w:t>
      </w:r>
      <w:r>
        <w:rPr>
          <w:rFonts w:ascii="Arial" w:hAnsi="Arial" w:cs="Arial"/>
          <w:b/>
        </w:rPr>
        <w:t>INCREMENTALES</w:t>
      </w:r>
      <w:r w:rsidRPr="005E291D">
        <w:rPr>
          <w:rFonts w:ascii="Arial" w:hAnsi="Arial" w:cs="Arial"/>
          <w:b/>
        </w:rPr>
        <w:t xml:space="preserve"> PARA LA OR</w:t>
      </w:r>
      <w:r>
        <w:rPr>
          <w:rFonts w:ascii="Arial" w:hAnsi="Arial" w:cs="Arial"/>
          <w:b/>
        </w:rPr>
        <w:t>CI</w:t>
      </w:r>
      <w:r w:rsidRPr="005E291D">
        <w:rPr>
          <w:rFonts w:ascii="Arial" w:hAnsi="Arial" w:cs="Arial"/>
          <w:b/>
        </w:rPr>
        <w:t xml:space="preserve"> 2025</w:t>
      </w:r>
      <w:r w:rsidRPr="00C03384">
        <w:rPr>
          <w:rFonts w:ascii="Arial" w:hAnsi="Arial" w:cs="Arial"/>
          <w:b/>
        </w:rPr>
        <w:t>.</w:t>
      </w:r>
    </w:p>
    <w:p w14:paraId="409F0C76" w14:textId="77777777" w:rsidR="001B74BC" w:rsidRPr="00E114BB" w:rsidRDefault="001B74BC" w:rsidP="001B74BC">
      <w:pPr>
        <w:ind w:left="567" w:right="594"/>
        <w:jc w:val="both"/>
        <w:rPr>
          <w:rFonts w:ascii="Arial" w:hAnsi="Arial" w:cs="Arial"/>
          <w:b/>
        </w:rPr>
      </w:pPr>
      <w:r w:rsidRPr="00E114BB">
        <w:rPr>
          <w:rFonts w:ascii="Arial" w:hAnsi="Arial" w:cs="Arial"/>
          <w:b/>
        </w:rPr>
        <w:t>Servicio – Espacio en Torre</w:t>
      </w:r>
    </w:p>
    <w:p w14:paraId="30ADD606" w14:textId="77777777" w:rsidR="00CF3BBF" w:rsidRPr="001B74BC" w:rsidRDefault="001B74BC" w:rsidP="001B74BC">
      <w:pPr>
        <w:ind w:left="567" w:right="594"/>
        <w:jc w:val="both"/>
        <w:rPr>
          <w:rFonts w:ascii="Arial" w:hAnsi="Arial" w:cs="Arial"/>
        </w:rPr>
      </w:pPr>
      <w:r w:rsidRPr="001B74BC">
        <w:rPr>
          <w:rFonts w:ascii="Arial" w:hAnsi="Arial" w:cs="Arial"/>
        </w:rPr>
        <w:t xml:space="preserve">Esta propuesta de Tarifas para el Servicio de Compartición de Infraestructura Pasiva, </w:t>
      </w:r>
      <w:r>
        <w:rPr>
          <w:rFonts w:ascii="Arial" w:hAnsi="Arial" w:cs="Arial"/>
        </w:rPr>
        <w:t>se solicita actualizar</w:t>
      </w:r>
      <w:r w:rsidRPr="001B74BC">
        <w:rPr>
          <w:rFonts w:ascii="Arial" w:hAnsi="Arial" w:cs="Arial"/>
        </w:rPr>
        <w:t xml:space="preserve"> los valores reales de Telmex y Telnor, </w:t>
      </w:r>
      <w:r>
        <w:rPr>
          <w:rFonts w:ascii="Arial" w:hAnsi="Arial" w:cs="Arial"/>
        </w:rPr>
        <w:t xml:space="preserve">respecto de </w:t>
      </w:r>
      <w:r w:rsidRPr="001B74BC">
        <w:rPr>
          <w:rFonts w:ascii="Arial" w:hAnsi="Arial" w:cs="Arial"/>
        </w:rPr>
        <w:t>la “demanda de ocupación en torre (número de franjas)”</w:t>
      </w:r>
    </w:p>
    <w:p w14:paraId="17F85EC7" w14:textId="77777777" w:rsidR="001B74BC" w:rsidRPr="00E114BB" w:rsidRDefault="001B74BC" w:rsidP="001B74BC">
      <w:pPr>
        <w:ind w:left="567" w:right="594"/>
        <w:jc w:val="both"/>
        <w:rPr>
          <w:rFonts w:ascii="Arial" w:hAnsi="Arial" w:cs="Arial"/>
          <w:b/>
        </w:rPr>
      </w:pPr>
      <w:r w:rsidRPr="00E114BB">
        <w:rPr>
          <w:rFonts w:ascii="Arial" w:hAnsi="Arial" w:cs="Arial"/>
          <w:b/>
        </w:rPr>
        <w:t>Servicio – Espacio en Piso</w:t>
      </w:r>
    </w:p>
    <w:p w14:paraId="2E58AD6B" w14:textId="77777777" w:rsidR="001B74BC" w:rsidRDefault="001B74BC" w:rsidP="001B74BC">
      <w:pPr>
        <w:ind w:left="567" w:right="594"/>
        <w:jc w:val="both"/>
        <w:rPr>
          <w:rFonts w:ascii="Arial" w:hAnsi="Arial" w:cs="Arial"/>
        </w:rPr>
      </w:pPr>
      <w:r w:rsidRPr="00E17D24">
        <w:rPr>
          <w:rFonts w:ascii="Arial" w:hAnsi="Arial" w:cs="Arial"/>
        </w:rPr>
        <w:t xml:space="preserve">Esta propuesta </w:t>
      </w:r>
      <w:r>
        <w:rPr>
          <w:rFonts w:ascii="Arial" w:hAnsi="Arial" w:cs="Arial"/>
        </w:rPr>
        <w:t xml:space="preserve">de Tarifas para el Servicio de Compartición de Infraestructura Pasiva, para el servicio “Espacio en Piso”, </w:t>
      </w:r>
      <w:r w:rsidRPr="00E17D24">
        <w:rPr>
          <w:rFonts w:ascii="Arial" w:hAnsi="Arial" w:cs="Arial"/>
        </w:rPr>
        <w:t>que se presenta</w:t>
      </w:r>
      <w:r>
        <w:rPr>
          <w:rFonts w:ascii="Arial" w:hAnsi="Arial" w:cs="Arial"/>
        </w:rPr>
        <w:t>,</w:t>
      </w:r>
      <w:r w:rsidRPr="00E17D24">
        <w:rPr>
          <w:rFonts w:ascii="Arial" w:hAnsi="Arial" w:cs="Arial"/>
        </w:rPr>
        <w:t xml:space="preserve"> considera </w:t>
      </w:r>
      <w:r>
        <w:rPr>
          <w:rFonts w:ascii="Arial" w:hAnsi="Arial" w:cs="Arial"/>
        </w:rPr>
        <w:t xml:space="preserve">2 elementos: i) </w:t>
      </w:r>
      <w:r w:rsidRPr="00E17D24">
        <w:rPr>
          <w:rFonts w:ascii="Arial" w:hAnsi="Arial" w:cs="Arial"/>
        </w:rPr>
        <w:t>los incrementos</w:t>
      </w:r>
      <w:r>
        <w:rPr>
          <w:rFonts w:ascii="Arial" w:hAnsi="Arial" w:cs="Arial"/>
        </w:rPr>
        <w:t xml:space="preserve"> generalizados en los</w:t>
      </w:r>
      <w:r w:rsidRPr="00E17D24">
        <w:rPr>
          <w:rFonts w:ascii="Arial" w:hAnsi="Arial" w:cs="Arial"/>
        </w:rPr>
        <w:t xml:space="preserve"> costo</w:t>
      </w:r>
      <w:r>
        <w:rPr>
          <w:rFonts w:ascii="Arial" w:hAnsi="Arial" w:cs="Arial"/>
        </w:rPr>
        <w:t>s</w:t>
      </w:r>
      <w:r w:rsidRPr="00E17D24">
        <w:rPr>
          <w:rFonts w:ascii="Arial" w:hAnsi="Arial" w:cs="Arial"/>
        </w:rPr>
        <w:t xml:space="preserve"> de </w:t>
      </w:r>
      <w:r>
        <w:rPr>
          <w:rFonts w:ascii="Arial" w:hAnsi="Arial" w:cs="Arial"/>
        </w:rPr>
        <w:t xml:space="preserve">los </w:t>
      </w:r>
      <w:r w:rsidRPr="00E17D24">
        <w:rPr>
          <w:rFonts w:ascii="Arial" w:hAnsi="Arial" w:cs="Arial"/>
        </w:rPr>
        <w:t>insumos que se presentaron durante el 202</w:t>
      </w:r>
      <w:r>
        <w:rPr>
          <w:rFonts w:ascii="Arial" w:hAnsi="Arial" w:cs="Arial"/>
        </w:rPr>
        <w:t>3</w:t>
      </w:r>
      <w:r w:rsidRPr="00E17D24">
        <w:rPr>
          <w:rFonts w:ascii="Arial" w:hAnsi="Arial" w:cs="Arial"/>
        </w:rPr>
        <w:t xml:space="preserve"> y lo que va del 202</w:t>
      </w:r>
      <w:r>
        <w:rPr>
          <w:rFonts w:ascii="Arial" w:hAnsi="Arial" w:cs="Arial"/>
        </w:rPr>
        <w:t>4 y ii) el aumento salarial que Telmex otorgó a sus trabajadores</w:t>
      </w:r>
    </w:p>
    <w:p w14:paraId="1E7EA31C" w14:textId="77777777" w:rsidR="00DB51F6" w:rsidRPr="001B74BC" w:rsidRDefault="00DB51F6" w:rsidP="001B74BC">
      <w:pPr>
        <w:ind w:left="567" w:right="594"/>
        <w:jc w:val="both"/>
        <w:rPr>
          <w:rFonts w:ascii="Arial" w:hAnsi="Arial" w:cs="Arial"/>
        </w:rPr>
      </w:pPr>
    </w:p>
    <w:p w14:paraId="1B01B365" w14:textId="77777777" w:rsidR="00E44664" w:rsidRDefault="00E44664" w:rsidP="005C28C7">
      <w:pPr>
        <w:pStyle w:val="Sinespaciad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4"/>
        <w:gridCol w:w="1934"/>
        <w:gridCol w:w="2363"/>
        <w:gridCol w:w="4585"/>
        <w:gridCol w:w="5050"/>
      </w:tblGrid>
      <w:tr w:rsidR="008E3369" w:rsidRPr="00664447" w14:paraId="6710EBDF" w14:textId="77777777" w:rsidTr="00361D0B">
        <w:trPr>
          <w:trHeight w:val="346"/>
          <w:tblHeader/>
        </w:trPr>
        <w:tc>
          <w:tcPr>
            <w:tcW w:w="260" w:type="pct"/>
            <w:shd w:val="clear" w:color="auto" w:fill="1F497D" w:themeFill="text2"/>
            <w:vAlign w:val="center"/>
          </w:tcPr>
          <w:p w14:paraId="2B4BF525" w14:textId="77777777" w:rsidR="008E3369" w:rsidRPr="00664447" w:rsidRDefault="008E3369" w:rsidP="00D66FC4">
            <w:pPr>
              <w:spacing w:after="0" w:line="240" w:lineRule="auto"/>
              <w:jc w:val="center"/>
              <w:rPr>
                <w:rFonts w:ascii="Arial" w:eastAsia="Times New Roman" w:hAnsi="Arial" w:cs="Arial"/>
                <w:color w:val="FFFFFF" w:themeColor="background1"/>
                <w:sz w:val="20"/>
                <w:szCs w:val="20"/>
                <w:lang w:eastAsia="es-MX"/>
              </w:rPr>
            </w:pPr>
            <w:r w:rsidRPr="00664447">
              <w:rPr>
                <w:rFonts w:ascii="Arial" w:eastAsia="Times New Roman" w:hAnsi="Arial" w:cs="Arial"/>
                <w:b/>
                <w:bCs/>
                <w:color w:val="FFFFFF" w:themeColor="background1"/>
                <w:sz w:val="20"/>
                <w:szCs w:val="20"/>
                <w:lang w:eastAsia="es-MX"/>
              </w:rPr>
              <w:lastRenderedPageBreak/>
              <w:t>No</w:t>
            </w:r>
          </w:p>
        </w:tc>
        <w:tc>
          <w:tcPr>
            <w:tcW w:w="658" w:type="pct"/>
            <w:shd w:val="clear" w:color="auto" w:fill="1F497D" w:themeFill="text2"/>
            <w:vAlign w:val="center"/>
          </w:tcPr>
          <w:p w14:paraId="1C0862E9" w14:textId="77777777" w:rsidR="008E3369" w:rsidRPr="00664447" w:rsidRDefault="00DA6597" w:rsidP="00D66FC4">
            <w:pPr>
              <w:spacing w:after="0" w:line="240" w:lineRule="auto"/>
              <w:jc w:val="center"/>
              <w:rPr>
                <w:rFonts w:ascii="Arial" w:eastAsia="Times New Roman" w:hAnsi="Arial" w:cs="Arial"/>
                <w:color w:val="FFFFFF" w:themeColor="background1"/>
                <w:sz w:val="20"/>
                <w:szCs w:val="20"/>
                <w:lang w:eastAsia="es-MX"/>
              </w:rPr>
            </w:pPr>
            <w:r w:rsidRPr="00664447">
              <w:rPr>
                <w:rFonts w:ascii="Arial" w:eastAsia="Times New Roman" w:hAnsi="Arial" w:cs="Arial"/>
                <w:b/>
                <w:bCs/>
                <w:color w:val="FFFFFF" w:themeColor="background1"/>
                <w:sz w:val="20"/>
                <w:szCs w:val="20"/>
                <w:lang w:eastAsia="es-MX"/>
              </w:rPr>
              <w:t>Cláusula</w:t>
            </w:r>
            <w:r w:rsidR="00727772" w:rsidRPr="00664447">
              <w:rPr>
                <w:rFonts w:ascii="Arial" w:eastAsia="Times New Roman" w:hAnsi="Arial" w:cs="Arial"/>
                <w:b/>
                <w:bCs/>
                <w:color w:val="FFFFFF" w:themeColor="background1"/>
                <w:sz w:val="20"/>
                <w:szCs w:val="20"/>
                <w:lang w:eastAsia="es-MX"/>
              </w:rPr>
              <w:t>/Sección</w:t>
            </w:r>
          </w:p>
        </w:tc>
        <w:tc>
          <w:tcPr>
            <w:tcW w:w="804" w:type="pct"/>
            <w:shd w:val="clear" w:color="auto" w:fill="1F497D" w:themeFill="text2"/>
            <w:vAlign w:val="center"/>
          </w:tcPr>
          <w:p w14:paraId="08C74FA7" w14:textId="77777777" w:rsidR="008E3369" w:rsidRPr="00664447" w:rsidRDefault="008E3369" w:rsidP="00D66FC4">
            <w:pPr>
              <w:spacing w:after="0" w:line="240" w:lineRule="auto"/>
              <w:jc w:val="center"/>
              <w:rPr>
                <w:rFonts w:ascii="Arial" w:eastAsia="Times New Roman" w:hAnsi="Arial" w:cs="Arial"/>
                <w:b/>
                <w:bCs/>
                <w:color w:val="FFFFFF" w:themeColor="background1"/>
                <w:sz w:val="20"/>
                <w:szCs w:val="20"/>
                <w:lang w:eastAsia="es-MX"/>
              </w:rPr>
            </w:pPr>
            <w:r w:rsidRPr="00664447">
              <w:rPr>
                <w:rFonts w:ascii="Arial" w:eastAsia="Times New Roman" w:hAnsi="Arial" w:cs="Arial"/>
                <w:b/>
                <w:bCs/>
                <w:color w:val="FFFFFF" w:themeColor="background1"/>
                <w:sz w:val="20"/>
                <w:szCs w:val="20"/>
                <w:lang w:eastAsia="es-MX"/>
              </w:rPr>
              <w:t>Tema</w:t>
            </w:r>
          </w:p>
        </w:tc>
        <w:tc>
          <w:tcPr>
            <w:tcW w:w="1560" w:type="pct"/>
            <w:shd w:val="clear" w:color="auto" w:fill="1F497D" w:themeFill="text2"/>
            <w:vAlign w:val="center"/>
          </w:tcPr>
          <w:p w14:paraId="61476653" w14:textId="77777777" w:rsidR="008E3369" w:rsidRPr="00664447" w:rsidRDefault="008E3369" w:rsidP="00D66FC4">
            <w:pPr>
              <w:spacing w:after="0" w:line="240" w:lineRule="auto"/>
              <w:jc w:val="center"/>
              <w:rPr>
                <w:rFonts w:ascii="Arial" w:eastAsia="Times New Roman" w:hAnsi="Arial" w:cs="Arial"/>
                <w:b/>
                <w:bCs/>
                <w:color w:val="FFFFFF" w:themeColor="background1"/>
                <w:sz w:val="20"/>
                <w:szCs w:val="20"/>
                <w:lang w:eastAsia="es-MX"/>
              </w:rPr>
            </w:pPr>
            <w:r w:rsidRPr="00664447">
              <w:rPr>
                <w:rFonts w:ascii="Arial" w:eastAsia="Times New Roman" w:hAnsi="Arial" w:cs="Arial"/>
                <w:b/>
                <w:bCs/>
                <w:color w:val="FFFFFF" w:themeColor="background1"/>
                <w:sz w:val="20"/>
                <w:szCs w:val="20"/>
                <w:lang w:eastAsia="es-MX"/>
              </w:rPr>
              <w:t>Modificación/Adición</w:t>
            </w:r>
          </w:p>
        </w:tc>
        <w:tc>
          <w:tcPr>
            <w:tcW w:w="1718" w:type="pct"/>
            <w:tcBorders>
              <w:bottom w:val="single" w:sz="4" w:space="0" w:color="000000" w:themeColor="text1"/>
            </w:tcBorders>
            <w:shd w:val="clear" w:color="auto" w:fill="1F497D" w:themeFill="text2"/>
            <w:vAlign w:val="center"/>
          </w:tcPr>
          <w:p w14:paraId="0B2D61E3" w14:textId="77777777" w:rsidR="008E3369" w:rsidRPr="00664447" w:rsidRDefault="008E3369" w:rsidP="00196812">
            <w:pPr>
              <w:spacing w:after="0" w:line="240" w:lineRule="auto"/>
              <w:jc w:val="center"/>
              <w:rPr>
                <w:rFonts w:ascii="Arial" w:eastAsia="Times New Roman" w:hAnsi="Arial" w:cs="Arial"/>
                <w:color w:val="FFFFFF" w:themeColor="background1"/>
                <w:sz w:val="20"/>
                <w:szCs w:val="20"/>
                <w:highlight w:val="green"/>
                <w:lang w:eastAsia="es-MX"/>
              </w:rPr>
            </w:pPr>
            <w:r w:rsidRPr="00664447">
              <w:rPr>
                <w:rFonts w:ascii="Arial" w:eastAsia="Times New Roman" w:hAnsi="Arial" w:cs="Arial"/>
                <w:b/>
                <w:bCs/>
                <w:color w:val="FFFFFF" w:themeColor="background1"/>
                <w:sz w:val="20"/>
                <w:szCs w:val="20"/>
                <w:lang w:eastAsia="es-MX"/>
              </w:rPr>
              <w:t>Justificación a</w:t>
            </w:r>
            <w:r w:rsidR="00DA6597" w:rsidRPr="00664447">
              <w:rPr>
                <w:rFonts w:ascii="Arial" w:eastAsia="Times New Roman" w:hAnsi="Arial" w:cs="Arial"/>
                <w:b/>
                <w:bCs/>
                <w:color w:val="FFFFFF" w:themeColor="background1"/>
                <w:sz w:val="20"/>
                <w:szCs w:val="20"/>
                <w:lang w:eastAsia="es-MX"/>
              </w:rPr>
              <w:t>l</w:t>
            </w:r>
            <w:r w:rsidRPr="00664447">
              <w:rPr>
                <w:rFonts w:ascii="Arial" w:eastAsia="Times New Roman" w:hAnsi="Arial" w:cs="Arial"/>
                <w:b/>
                <w:bCs/>
                <w:color w:val="FFFFFF" w:themeColor="background1"/>
                <w:sz w:val="20"/>
                <w:szCs w:val="20"/>
                <w:lang w:eastAsia="es-MX"/>
              </w:rPr>
              <w:t xml:space="preserve"> Instituto</w:t>
            </w:r>
          </w:p>
        </w:tc>
      </w:tr>
      <w:tr w:rsidR="00B20AE9" w:rsidRPr="00664447" w14:paraId="182AC39A" w14:textId="77777777" w:rsidTr="00827BE4">
        <w:trPr>
          <w:trHeight w:val="649"/>
        </w:trPr>
        <w:tc>
          <w:tcPr>
            <w:tcW w:w="260" w:type="pct"/>
            <w:vAlign w:val="center"/>
          </w:tcPr>
          <w:p w14:paraId="0F35C2E0" w14:textId="77777777" w:rsidR="00B20AE9" w:rsidRPr="00664447" w:rsidRDefault="00A4659A" w:rsidP="00540EDE">
            <w:pPr>
              <w:spacing w:after="0" w:line="240" w:lineRule="auto"/>
              <w:jc w:val="center"/>
              <w:rPr>
                <w:rFonts w:ascii="Arial" w:eastAsia="Times New Roman" w:hAnsi="Arial" w:cs="Arial"/>
                <w:color w:val="000000"/>
                <w:sz w:val="20"/>
                <w:szCs w:val="20"/>
                <w:lang w:eastAsia="es-MX"/>
              </w:rPr>
            </w:pPr>
            <w:r w:rsidRPr="00664447">
              <w:rPr>
                <w:rFonts w:ascii="Arial" w:eastAsia="Times New Roman" w:hAnsi="Arial" w:cs="Arial"/>
                <w:color w:val="000000"/>
                <w:sz w:val="20"/>
                <w:szCs w:val="20"/>
                <w:lang w:eastAsia="es-MX"/>
              </w:rPr>
              <w:t>1</w:t>
            </w:r>
          </w:p>
        </w:tc>
        <w:tc>
          <w:tcPr>
            <w:tcW w:w="658" w:type="pct"/>
            <w:vMerge w:val="restart"/>
            <w:vAlign w:val="center"/>
          </w:tcPr>
          <w:p w14:paraId="1C81BE54" w14:textId="77777777" w:rsidR="00B20AE9" w:rsidRPr="00664447" w:rsidRDefault="00A4659A" w:rsidP="00540EDE">
            <w:pPr>
              <w:spacing w:after="0" w:line="240" w:lineRule="auto"/>
              <w:jc w:val="center"/>
              <w:rPr>
                <w:rFonts w:ascii="Arial" w:eastAsia="Times New Roman" w:hAnsi="Arial" w:cs="Arial"/>
                <w:sz w:val="20"/>
                <w:szCs w:val="20"/>
                <w:lang w:eastAsia="es-MX"/>
              </w:rPr>
            </w:pPr>
            <w:r w:rsidRPr="00664447">
              <w:rPr>
                <w:rFonts w:ascii="Arial" w:eastAsia="Times New Roman" w:hAnsi="Arial" w:cs="Arial"/>
                <w:sz w:val="20"/>
                <w:szCs w:val="20"/>
                <w:lang w:eastAsia="es-MX"/>
              </w:rPr>
              <w:t>Definiciones</w:t>
            </w:r>
          </w:p>
        </w:tc>
        <w:tc>
          <w:tcPr>
            <w:tcW w:w="804" w:type="pct"/>
            <w:shd w:val="clear" w:color="auto" w:fill="auto"/>
            <w:vAlign w:val="center"/>
          </w:tcPr>
          <w:p w14:paraId="386F63C6" w14:textId="77777777" w:rsidR="00B20AE9" w:rsidRPr="00664447" w:rsidRDefault="00B20AE9" w:rsidP="00B64AEE">
            <w:pPr>
              <w:spacing w:after="0" w:line="240" w:lineRule="auto"/>
              <w:jc w:val="center"/>
              <w:rPr>
                <w:rFonts w:ascii="Arial" w:eastAsia="Times New Roman" w:hAnsi="Arial" w:cs="Arial"/>
                <w:sz w:val="20"/>
                <w:szCs w:val="20"/>
                <w:lang w:eastAsia="es-MX"/>
              </w:rPr>
            </w:pPr>
            <w:r w:rsidRPr="00664447">
              <w:rPr>
                <w:rFonts w:ascii="Arial" w:eastAsia="Times New Roman" w:hAnsi="Arial" w:cs="Arial"/>
                <w:sz w:val="20"/>
                <w:szCs w:val="20"/>
                <w:lang w:eastAsia="es-MX"/>
              </w:rPr>
              <w:t>Días Inhábiles</w:t>
            </w:r>
          </w:p>
          <w:p w14:paraId="245372CE" w14:textId="77777777" w:rsidR="00A4659A" w:rsidRPr="00664447" w:rsidRDefault="00A4659A" w:rsidP="00B64AEE">
            <w:pPr>
              <w:spacing w:after="0" w:line="240" w:lineRule="auto"/>
              <w:jc w:val="center"/>
              <w:rPr>
                <w:rFonts w:ascii="Arial" w:eastAsia="Times New Roman" w:hAnsi="Arial" w:cs="Arial"/>
                <w:sz w:val="20"/>
                <w:szCs w:val="20"/>
                <w:lang w:eastAsia="es-MX"/>
              </w:rPr>
            </w:pPr>
            <w:r w:rsidRPr="00664447">
              <w:rPr>
                <w:rFonts w:ascii="Arial" w:eastAsia="Times New Roman" w:hAnsi="Arial" w:cs="Arial"/>
                <w:sz w:val="20"/>
                <w:szCs w:val="20"/>
                <w:lang w:eastAsia="es-MX"/>
              </w:rPr>
              <w:t>(Pág. 4)</w:t>
            </w:r>
          </w:p>
        </w:tc>
        <w:tc>
          <w:tcPr>
            <w:tcW w:w="1560" w:type="pct"/>
            <w:shd w:val="clear" w:color="auto" w:fill="auto"/>
            <w:vAlign w:val="center"/>
          </w:tcPr>
          <w:p w14:paraId="30681471" w14:textId="77777777" w:rsidR="00B20AE9" w:rsidRPr="00664447" w:rsidRDefault="00B20AE9" w:rsidP="00540EDE">
            <w:pPr>
              <w:spacing w:after="0" w:line="240" w:lineRule="auto"/>
              <w:jc w:val="both"/>
              <w:rPr>
                <w:rFonts w:ascii="Arial" w:eastAsia="Times New Roman" w:hAnsi="Arial" w:cs="Arial"/>
                <w:b/>
                <w:sz w:val="20"/>
                <w:szCs w:val="20"/>
                <w:lang w:eastAsia="es-MX"/>
              </w:rPr>
            </w:pPr>
            <w:r w:rsidRPr="00664447">
              <w:rPr>
                <w:rFonts w:ascii="Arial" w:hAnsi="Arial" w:cs="Arial"/>
                <w:b/>
                <w:color w:val="548DD4" w:themeColor="text2" w:themeTint="99"/>
                <w:sz w:val="20"/>
                <w:szCs w:val="20"/>
              </w:rPr>
              <w:t>Día Inhábil</w:t>
            </w:r>
            <w:r w:rsidRPr="00664447">
              <w:rPr>
                <w:rFonts w:ascii="Arial" w:hAnsi="Arial" w:cs="Arial"/>
                <w:color w:val="548DD4" w:themeColor="text2" w:themeTint="99"/>
                <w:sz w:val="20"/>
                <w:szCs w:val="20"/>
              </w:rPr>
              <w:t>: Se considerará como día inhábil para todos los efectos señalados en la presente oferta, incluyendo los anexos que la integran, además de los días sábados y domingos, aquellos establecidos como tales en el artículo 74 de la Ley Federal del Trabajo y la Cláusula 91 del Contrato Colectivo de Trabajo de Telmex o Cláusula 51 del Contrato Colectivo de Trabajo de Telnor, en el entendido de que los días mencionados no se contabilizarán para el cálculo de plazos de entrega y penas por entregas tardías establecidas en el prestación de los servicios objeto del presente documento.</w:t>
            </w:r>
          </w:p>
        </w:tc>
        <w:tc>
          <w:tcPr>
            <w:tcW w:w="1718" w:type="pct"/>
            <w:tcBorders>
              <w:top w:val="single" w:sz="4" w:space="0" w:color="000000" w:themeColor="text1"/>
            </w:tcBorders>
            <w:vAlign w:val="center"/>
          </w:tcPr>
          <w:p w14:paraId="23E4F118" w14:textId="77777777" w:rsidR="00CF3BBF" w:rsidRPr="00C83E51" w:rsidRDefault="00CF3BBF" w:rsidP="00CF3BBF">
            <w:pPr>
              <w:spacing w:after="0" w:line="240" w:lineRule="auto"/>
              <w:ind w:right="57"/>
              <w:jc w:val="both"/>
              <w:rPr>
                <w:rFonts w:ascii="Arial" w:eastAsia="Times New Roman" w:hAnsi="Arial" w:cs="Arial"/>
                <w:b/>
                <w:sz w:val="20"/>
                <w:szCs w:val="20"/>
                <w:lang w:eastAsia="es-MX"/>
              </w:rPr>
            </w:pPr>
            <w:r w:rsidRPr="00C83E51">
              <w:rPr>
                <w:rFonts w:ascii="Arial" w:eastAsia="Times New Roman" w:hAnsi="Arial" w:cs="Arial"/>
                <w:b/>
                <w:sz w:val="20"/>
                <w:szCs w:val="20"/>
                <w:lang w:eastAsia="es-MX"/>
              </w:rPr>
              <w:t>1. DIA INHABIL</w:t>
            </w:r>
          </w:p>
          <w:p w14:paraId="2101E87B" w14:textId="77777777" w:rsidR="00CF3BBF" w:rsidRPr="00C83E51" w:rsidRDefault="00CF3BBF" w:rsidP="00CF3BBF">
            <w:pPr>
              <w:spacing w:after="0" w:line="240" w:lineRule="auto"/>
              <w:ind w:right="57"/>
              <w:jc w:val="both"/>
              <w:rPr>
                <w:rFonts w:ascii="Arial" w:eastAsia="Times New Roman" w:hAnsi="Arial" w:cs="Arial"/>
                <w:b/>
                <w:sz w:val="20"/>
                <w:szCs w:val="20"/>
                <w:lang w:eastAsia="es-MX"/>
              </w:rPr>
            </w:pPr>
          </w:p>
          <w:p w14:paraId="61408A74" w14:textId="77777777" w:rsidR="00CF3BBF" w:rsidRPr="00C83E51" w:rsidRDefault="00CF3BBF" w:rsidP="00CF3BBF">
            <w:pPr>
              <w:spacing w:after="0" w:line="240" w:lineRule="auto"/>
              <w:ind w:right="57"/>
              <w:jc w:val="both"/>
              <w:rPr>
                <w:rFonts w:ascii="Arial" w:eastAsia="Times New Roman" w:hAnsi="Arial" w:cs="Arial"/>
                <w:sz w:val="20"/>
                <w:szCs w:val="20"/>
                <w:lang w:eastAsia="es-MX"/>
              </w:rPr>
            </w:pPr>
            <w:r w:rsidRPr="00C83E51">
              <w:rPr>
                <w:rFonts w:ascii="Arial" w:eastAsia="Times New Roman" w:hAnsi="Arial" w:cs="Arial"/>
                <w:sz w:val="20"/>
                <w:szCs w:val="20"/>
                <w:lang w:eastAsia="es-MX"/>
              </w:rPr>
              <w:t>Se agrega la definición de días inhábiles con el objetivo de clarificar la medición de plazos de atención y evitar ambigüedades en la interpretación de los fines de semana y días festivos. El objetivo es homologar las definiciones y criterios de medición con las demás Ofertas. Como referencia la ORE vigente ya contempla esa definición.</w:t>
            </w:r>
          </w:p>
          <w:p w14:paraId="040C60D5" w14:textId="77777777" w:rsidR="00CF3BBF" w:rsidRPr="00C83E51" w:rsidRDefault="00CF3BBF" w:rsidP="00CF3BBF">
            <w:pPr>
              <w:spacing w:after="0" w:line="240" w:lineRule="auto"/>
              <w:ind w:right="57"/>
              <w:jc w:val="both"/>
              <w:rPr>
                <w:rFonts w:ascii="Arial" w:eastAsia="Times New Roman" w:hAnsi="Arial" w:cs="Arial"/>
                <w:sz w:val="20"/>
                <w:szCs w:val="20"/>
                <w:lang w:eastAsia="es-MX"/>
              </w:rPr>
            </w:pPr>
            <w:r w:rsidRPr="00C83E51">
              <w:rPr>
                <w:rFonts w:ascii="Arial" w:eastAsia="Times New Roman" w:hAnsi="Arial" w:cs="Arial"/>
                <w:sz w:val="20"/>
                <w:szCs w:val="20"/>
                <w:lang w:eastAsia="es-MX"/>
              </w:rPr>
              <w:t xml:space="preserve"> </w:t>
            </w:r>
          </w:p>
          <w:p w14:paraId="69EB72F0" w14:textId="77777777" w:rsidR="00CF3BBF" w:rsidRPr="00C83E51" w:rsidRDefault="00CF3BBF" w:rsidP="00CF3BBF">
            <w:pPr>
              <w:spacing w:after="0" w:line="240" w:lineRule="auto"/>
              <w:ind w:right="57"/>
              <w:jc w:val="both"/>
              <w:rPr>
                <w:rFonts w:ascii="Arial" w:eastAsia="Times New Roman" w:hAnsi="Arial" w:cs="Arial"/>
                <w:sz w:val="20"/>
                <w:szCs w:val="20"/>
                <w:lang w:eastAsia="es-MX"/>
              </w:rPr>
            </w:pPr>
            <w:r w:rsidRPr="00C83E51">
              <w:rPr>
                <w:rFonts w:ascii="Arial" w:eastAsia="Times New Roman" w:hAnsi="Arial" w:cs="Arial"/>
                <w:sz w:val="20"/>
                <w:szCs w:val="20"/>
                <w:lang w:eastAsia="es-MX"/>
              </w:rPr>
              <w:t>Esto permitirá  dotar de certeza a los CS, al Instituto y al AEPT, así como dar claridad en el conteo de plazos para la prestación de los servicios, objeto de la oferta, por lo que resultaría perjudicial que las ofertas de referencia y sus debidos convenios que regulan la prestación de servicios no sean uniformes y cada una contenga definiciones distintas.</w:t>
            </w:r>
          </w:p>
          <w:p w14:paraId="08A55DCC" w14:textId="77777777" w:rsidR="00CF3BBF" w:rsidRPr="00C83E51" w:rsidRDefault="00CF3BBF" w:rsidP="00CF3BBF">
            <w:pPr>
              <w:spacing w:after="0" w:line="240" w:lineRule="auto"/>
              <w:ind w:right="57"/>
              <w:jc w:val="both"/>
              <w:rPr>
                <w:rFonts w:ascii="Arial" w:eastAsia="Times New Roman" w:hAnsi="Arial" w:cs="Arial"/>
                <w:sz w:val="20"/>
                <w:szCs w:val="20"/>
                <w:lang w:eastAsia="es-MX"/>
              </w:rPr>
            </w:pPr>
          </w:p>
          <w:p w14:paraId="4B0C1135" w14:textId="77777777" w:rsidR="00CF3BBF" w:rsidRPr="00C83E51" w:rsidRDefault="00CF3BBF" w:rsidP="00CF3BBF">
            <w:pPr>
              <w:spacing w:after="0" w:line="240" w:lineRule="auto"/>
              <w:ind w:right="57"/>
              <w:jc w:val="both"/>
              <w:rPr>
                <w:rFonts w:ascii="Arial" w:eastAsia="Times New Roman" w:hAnsi="Arial" w:cs="Arial"/>
                <w:sz w:val="20"/>
                <w:szCs w:val="20"/>
                <w:lang w:eastAsia="es-MX"/>
              </w:rPr>
            </w:pPr>
            <w:r w:rsidRPr="00C83E51">
              <w:rPr>
                <w:rFonts w:ascii="Arial" w:eastAsia="Times New Roman" w:hAnsi="Arial" w:cs="Arial"/>
                <w:sz w:val="20"/>
                <w:szCs w:val="20"/>
                <w:lang w:eastAsia="es-MX"/>
              </w:rPr>
              <w:t xml:space="preserve">Vale la pena comentar que el personal técnico encargado de la atención de las solicitudes está capacitado para asistir múltiples tareas, es decir, una misma persona puede ser asignada a la atención de servicios de enlaces dedicados, servicios minoristas de voz/datos, servicios mayoristas, servicios de compartición de infraestructura. El pretender que la operación tenga que identificar y/o conocer las inconsistencias entre ofertas podría afectar la eficiencia en la parte operativa. </w:t>
            </w:r>
          </w:p>
          <w:p w14:paraId="28FCFDA4" w14:textId="77777777" w:rsidR="00CF3BBF" w:rsidRPr="00C83E51" w:rsidRDefault="00CF3BBF" w:rsidP="00CF3BBF">
            <w:pPr>
              <w:spacing w:after="0" w:line="240" w:lineRule="auto"/>
              <w:ind w:right="57"/>
              <w:jc w:val="both"/>
              <w:rPr>
                <w:rFonts w:ascii="Arial" w:eastAsia="Times New Roman" w:hAnsi="Arial" w:cs="Arial"/>
                <w:sz w:val="20"/>
                <w:szCs w:val="20"/>
                <w:lang w:eastAsia="es-MX"/>
              </w:rPr>
            </w:pPr>
          </w:p>
          <w:p w14:paraId="0C9B38D3" w14:textId="40FF654D" w:rsidR="00CF3BBF" w:rsidRPr="00C83E51" w:rsidRDefault="00CF3BBF" w:rsidP="00CF3BBF">
            <w:pPr>
              <w:spacing w:after="0" w:line="240" w:lineRule="auto"/>
              <w:ind w:right="57"/>
              <w:jc w:val="both"/>
              <w:rPr>
                <w:rFonts w:ascii="Arial" w:eastAsia="Times New Roman" w:hAnsi="Arial" w:cs="Arial"/>
                <w:sz w:val="20"/>
                <w:szCs w:val="20"/>
                <w:lang w:eastAsia="es-MX"/>
              </w:rPr>
            </w:pPr>
            <w:r w:rsidRPr="00C83E51">
              <w:rPr>
                <w:rFonts w:ascii="Arial" w:eastAsia="Times New Roman" w:hAnsi="Arial" w:cs="Arial"/>
                <w:sz w:val="20"/>
                <w:szCs w:val="20"/>
                <w:lang w:eastAsia="es-MX"/>
              </w:rPr>
              <w:t xml:space="preserve">Acorde con ello, se incorporan a la definición de días inhábiles los contemplados en el contrato colectivo de trabajo de Telmex/Telnor. Esta determinación debe considerarse </w:t>
            </w:r>
            <w:proofErr w:type="spellStart"/>
            <w:r w:rsidR="000835A8">
              <w:rPr>
                <w:rFonts w:ascii="Arial" w:eastAsia="Times New Roman" w:hAnsi="Arial" w:cs="Arial"/>
                <w:sz w:val="20"/>
                <w:szCs w:val="20"/>
                <w:lang w:eastAsia="es-MX"/>
              </w:rPr>
              <w:t>mandato</w:t>
            </w:r>
            <w:r w:rsidR="000835A8" w:rsidRPr="00C83E51">
              <w:rPr>
                <w:rFonts w:ascii="Arial" w:eastAsia="Times New Roman" w:hAnsi="Arial" w:cs="Arial"/>
                <w:sz w:val="20"/>
                <w:szCs w:val="20"/>
                <w:lang w:eastAsia="es-MX"/>
              </w:rPr>
              <w:t>ria</w:t>
            </w:r>
            <w:proofErr w:type="spellEnd"/>
            <w:r w:rsidRPr="00C83E51">
              <w:rPr>
                <w:rFonts w:ascii="Arial" w:eastAsia="Times New Roman" w:hAnsi="Arial" w:cs="Arial"/>
                <w:sz w:val="20"/>
                <w:szCs w:val="20"/>
                <w:lang w:eastAsia="es-MX"/>
              </w:rPr>
              <w:t xml:space="preserve"> dentro del análisis ya que los trabajadores cuentan con días de descanso avalados por la LFT y el CCT y, en virtud de cumplir lo establecido en la </w:t>
            </w:r>
            <w:r w:rsidR="00BC7D2F">
              <w:rPr>
                <w:rFonts w:ascii="Arial" w:eastAsia="Times New Roman" w:hAnsi="Arial" w:cs="Arial"/>
                <w:sz w:val="20"/>
                <w:szCs w:val="20"/>
                <w:lang w:eastAsia="es-MX"/>
              </w:rPr>
              <w:t>ORCI</w:t>
            </w:r>
            <w:r w:rsidRPr="00C83E51">
              <w:rPr>
                <w:rFonts w:ascii="Arial" w:eastAsia="Times New Roman" w:hAnsi="Arial" w:cs="Arial"/>
                <w:sz w:val="20"/>
                <w:szCs w:val="20"/>
                <w:lang w:eastAsia="es-MX"/>
              </w:rPr>
              <w:t>, Telmex tendría violaciones a los derechos de sus trabajadores.</w:t>
            </w:r>
          </w:p>
          <w:p w14:paraId="39DFABA1" w14:textId="77777777" w:rsidR="00CF3BBF" w:rsidRDefault="00CF3BBF" w:rsidP="00CF3BBF">
            <w:pPr>
              <w:spacing w:after="0" w:line="240" w:lineRule="auto"/>
              <w:ind w:right="57"/>
              <w:jc w:val="both"/>
              <w:rPr>
                <w:rFonts w:ascii="Arial" w:eastAsia="Times New Roman" w:hAnsi="Arial" w:cs="Arial"/>
                <w:sz w:val="20"/>
                <w:szCs w:val="20"/>
                <w:lang w:eastAsia="es-MX"/>
              </w:rPr>
            </w:pPr>
          </w:p>
          <w:p w14:paraId="54C80313" w14:textId="77777777" w:rsidR="00B20AE9" w:rsidRPr="00CF3BBF" w:rsidRDefault="00CF3BBF" w:rsidP="00CF3BBF">
            <w:pPr>
              <w:spacing w:after="0" w:line="240" w:lineRule="auto"/>
              <w:ind w:right="57"/>
              <w:jc w:val="both"/>
              <w:rPr>
                <w:rFonts w:ascii="Arial" w:eastAsia="Times New Roman" w:hAnsi="Arial" w:cs="Arial"/>
                <w:sz w:val="20"/>
                <w:szCs w:val="20"/>
                <w:lang w:eastAsia="es-MX"/>
              </w:rPr>
            </w:pPr>
            <w:r>
              <w:rPr>
                <w:rFonts w:ascii="Arial" w:eastAsia="Times New Roman" w:hAnsi="Arial" w:cs="Arial"/>
                <w:sz w:val="20"/>
                <w:szCs w:val="20"/>
                <w:lang w:eastAsia="es-MX"/>
              </w:rPr>
              <w:t>Sírvase tener como referencia el Considerando Tercero.</w:t>
            </w:r>
          </w:p>
        </w:tc>
      </w:tr>
      <w:tr w:rsidR="00540EDE" w:rsidRPr="00F42CD3" w14:paraId="2E0E2778" w14:textId="77777777" w:rsidTr="00827BE4">
        <w:trPr>
          <w:trHeight w:val="3750"/>
        </w:trPr>
        <w:tc>
          <w:tcPr>
            <w:tcW w:w="260" w:type="pct"/>
            <w:vAlign w:val="center"/>
          </w:tcPr>
          <w:p w14:paraId="3B9E9A4D" w14:textId="77777777" w:rsidR="00540EDE" w:rsidRPr="00F42CD3" w:rsidRDefault="00320E9B" w:rsidP="008D1E66">
            <w:pPr>
              <w:spacing w:after="0" w:line="240" w:lineRule="auto"/>
              <w:jc w:val="center"/>
              <w:rPr>
                <w:rFonts w:ascii="Arial" w:eastAsia="Times New Roman" w:hAnsi="Arial" w:cs="Arial"/>
                <w:color w:val="000000"/>
                <w:sz w:val="20"/>
                <w:szCs w:val="20"/>
                <w:lang w:eastAsia="es-MX"/>
              </w:rPr>
            </w:pPr>
            <w:r w:rsidRPr="00F42CD3">
              <w:rPr>
                <w:rFonts w:ascii="Arial" w:eastAsia="Times New Roman" w:hAnsi="Arial" w:cs="Arial"/>
                <w:color w:val="000000"/>
                <w:sz w:val="20"/>
                <w:szCs w:val="20"/>
                <w:lang w:eastAsia="es-MX"/>
              </w:rPr>
              <w:t>2</w:t>
            </w:r>
          </w:p>
        </w:tc>
        <w:tc>
          <w:tcPr>
            <w:tcW w:w="658" w:type="pct"/>
            <w:vMerge/>
            <w:vAlign w:val="center"/>
          </w:tcPr>
          <w:p w14:paraId="4E924E05" w14:textId="77777777" w:rsidR="00540EDE" w:rsidRPr="00F42CD3" w:rsidRDefault="00540EDE" w:rsidP="00540EDE">
            <w:pPr>
              <w:spacing w:after="0" w:line="240" w:lineRule="auto"/>
              <w:jc w:val="center"/>
              <w:rPr>
                <w:rFonts w:ascii="Arial" w:eastAsia="Times New Roman" w:hAnsi="Arial" w:cs="Arial"/>
                <w:sz w:val="20"/>
                <w:szCs w:val="20"/>
                <w:lang w:eastAsia="es-MX"/>
              </w:rPr>
            </w:pPr>
          </w:p>
        </w:tc>
        <w:tc>
          <w:tcPr>
            <w:tcW w:w="804" w:type="pct"/>
            <w:shd w:val="clear" w:color="auto" w:fill="auto"/>
            <w:vAlign w:val="center"/>
          </w:tcPr>
          <w:p w14:paraId="5DC7EBAF" w14:textId="77777777" w:rsidR="00A4659A" w:rsidRPr="00F42CD3" w:rsidRDefault="00540EDE" w:rsidP="00B64AEE">
            <w:pPr>
              <w:spacing w:after="0" w:line="240" w:lineRule="auto"/>
              <w:jc w:val="center"/>
              <w:rPr>
                <w:rFonts w:ascii="Arial" w:eastAsia="Times New Roman" w:hAnsi="Arial" w:cs="Arial"/>
                <w:sz w:val="20"/>
                <w:szCs w:val="20"/>
                <w:lang w:eastAsia="es-MX"/>
              </w:rPr>
            </w:pPr>
            <w:r w:rsidRPr="00F42CD3">
              <w:rPr>
                <w:rFonts w:ascii="Arial" w:eastAsia="Times New Roman" w:hAnsi="Arial" w:cs="Arial"/>
                <w:sz w:val="20"/>
                <w:szCs w:val="20"/>
                <w:lang w:eastAsia="es-MX"/>
              </w:rPr>
              <w:t xml:space="preserve">Infraestructura Pasiva a cargo de la DM. </w:t>
            </w:r>
          </w:p>
          <w:p w14:paraId="59A9788E" w14:textId="77777777" w:rsidR="00540EDE" w:rsidRPr="00F42CD3" w:rsidRDefault="00B64AEE" w:rsidP="00B64AEE">
            <w:pPr>
              <w:spacing w:after="0" w:line="240" w:lineRule="auto"/>
              <w:jc w:val="center"/>
              <w:rPr>
                <w:rFonts w:ascii="Arial" w:eastAsia="Times New Roman" w:hAnsi="Arial" w:cs="Arial"/>
                <w:sz w:val="20"/>
                <w:szCs w:val="20"/>
                <w:lang w:eastAsia="es-MX"/>
              </w:rPr>
            </w:pPr>
            <w:r w:rsidRPr="00F42CD3">
              <w:rPr>
                <w:rFonts w:ascii="Arial" w:eastAsia="Times New Roman" w:hAnsi="Arial" w:cs="Arial"/>
                <w:sz w:val="20"/>
                <w:szCs w:val="20"/>
                <w:lang w:eastAsia="es-MX"/>
              </w:rPr>
              <w:t>(</w:t>
            </w:r>
            <w:r w:rsidR="00540EDE" w:rsidRPr="00F42CD3">
              <w:rPr>
                <w:rFonts w:ascii="Arial" w:eastAsia="Times New Roman" w:hAnsi="Arial" w:cs="Arial"/>
                <w:sz w:val="20"/>
                <w:szCs w:val="20"/>
                <w:lang w:eastAsia="es-MX"/>
              </w:rPr>
              <w:t>Pág. 5</w:t>
            </w:r>
            <w:r w:rsidRPr="00F42CD3">
              <w:rPr>
                <w:rFonts w:ascii="Arial" w:eastAsia="Times New Roman" w:hAnsi="Arial" w:cs="Arial"/>
                <w:sz w:val="20"/>
                <w:szCs w:val="20"/>
                <w:lang w:eastAsia="es-MX"/>
              </w:rPr>
              <w:t>)</w:t>
            </w:r>
          </w:p>
        </w:tc>
        <w:tc>
          <w:tcPr>
            <w:tcW w:w="1560" w:type="pct"/>
            <w:shd w:val="clear" w:color="auto" w:fill="auto"/>
            <w:vAlign w:val="center"/>
          </w:tcPr>
          <w:p w14:paraId="5582D393" w14:textId="77777777" w:rsidR="00540EDE" w:rsidRPr="00664447" w:rsidRDefault="00540EDE" w:rsidP="00CF3BBF">
            <w:pPr>
              <w:spacing w:after="0" w:line="240" w:lineRule="auto"/>
              <w:jc w:val="both"/>
              <w:rPr>
                <w:rFonts w:ascii="Arial" w:eastAsia="Times New Roman" w:hAnsi="Arial" w:cs="Arial"/>
                <w:sz w:val="20"/>
                <w:szCs w:val="20"/>
                <w:lang w:eastAsia="es-MX"/>
              </w:rPr>
            </w:pPr>
            <w:r w:rsidRPr="00664447">
              <w:rPr>
                <w:rFonts w:ascii="Arial" w:eastAsia="Times New Roman" w:hAnsi="Arial" w:cs="Arial"/>
                <w:sz w:val="20"/>
                <w:szCs w:val="20"/>
                <w:lang w:eastAsia="es-MX"/>
              </w:rPr>
              <w:t xml:space="preserve">Infraestructura Pasiva </w:t>
            </w:r>
            <w:r w:rsidRPr="00664447">
              <w:rPr>
                <w:rFonts w:ascii="Arial" w:eastAsia="Times New Roman" w:hAnsi="Arial" w:cs="Arial"/>
                <w:color w:val="548DD4" w:themeColor="text2" w:themeTint="99"/>
                <w:sz w:val="20"/>
                <w:szCs w:val="20"/>
                <w:lang w:eastAsia="es-MX"/>
              </w:rPr>
              <w:t>de la DM</w:t>
            </w:r>
            <w:r w:rsidRPr="00664447">
              <w:rPr>
                <w:rFonts w:ascii="Arial" w:eastAsia="Times New Roman" w:hAnsi="Arial" w:cs="Arial"/>
                <w:sz w:val="20"/>
                <w:szCs w:val="20"/>
                <w:lang w:eastAsia="es-MX"/>
              </w:rPr>
              <w:t xml:space="preserve">: Elementos accesorios </w:t>
            </w:r>
            <w:r w:rsidRPr="00664447">
              <w:rPr>
                <w:rFonts w:ascii="Arial" w:eastAsia="Times New Roman" w:hAnsi="Arial" w:cs="Arial"/>
                <w:color w:val="548DD4" w:themeColor="text2" w:themeTint="99"/>
                <w:sz w:val="20"/>
                <w:szCs w:val="20"/>
                <w:lang w:eastAsia="es-MX"/>
              </w:rPr>
              <w:t xml:space="preserve">existentes </w:t>
            </w:r>
            <w:r w:rsidRPr="00664447">
              <w:rPr>
                <w:rFonts w:ascii="Arial" w:eastAsia="Times New Roman" w:hAnsi="Arial" w:cs="Arial"/>
                <w:sz w:val="20"/>
                <w:szCs w:val="20"/>
                <w:lang w:eastAsia="es-MX"/>
              </w:rPr>
              <w:t xml:space="preserve">que </w:t>
            </w:r>
            <w:r w:rsidRPr="00CF3BBF">
              <w:rPr>
                <w:rFonts w:ascii="Arial" w:hAnsi="Arial" w:cs="Arial"/>
                <w:sz w:val="20"/>
                <w:szCs w:val="20"/>
              </w:rPr>
              <w:t>proporcionan soporte a</w:t>
            </w:r>
            <w:r w:rsidRPr="00664447">
              <w:rPr>
                <w:rFonts w:ascii="Arial" w:hAnsi="Arial" w:cs="Arial"/>
                <w:strike/>
                <w:sz w:val="20"/>
                <w:szCs w:val="20"/>
              </w:rPr>
              <w:t xml:space="preserve"> </w:t>
            </w:r>
            <w:r w:rsidRPr="00664447">
              <w:rPr>
                <w:rFonts w:ascii="Arial" w:eastAsia="Times New Roman" w:hAnsi="Arial" w:cs="Arial"/>
                <w:sz w:val="20"/>
                <w:szCs w:val="20"/>
                <w:lang w:eastAsia="es-MX"/>
              </w:rPr>
              <w:t xml:space="preserve">la infraestructura activa </w:t>
            </w:r>
            <w:r w:rsidRPr="00664447">
              <w:rPr>
                <w:rFonts w:ascii="Arial" w:eastAsia="Times New Roman" w:hAnsi="Arial" w:cs="Arial"/>
                <w:color w:val="548DD4" w:themeColor="text2" w:themeTint="99"/>
                <w:sz w:val="20"/>
                <w:szCs w:val="20"/>
                <w:lang w:eastAsia="es-MX"/>
              </w:rPr>
              <w:t>del CS o AS</w:t>
            </w:r>
            <w:r w:rsidRPr="00664447">
              <w:rPr>
                <w:rFonts w:ascii="Arial" w:eastAsia="Times New Roman" w:hAnsi="Arial" w:cs="Arial"/>
                <w:sz w:val="20"/>
                <w:szCs w:val="20"/>
                <w:lang w:eastAsia="es-MX"/>
              </w:rPr>
              <w:t xml:space="preserve">, entre otros, </w:t>
            </w:r>
            <w:r w:rsidRPr="00664447">
              <w:rPr>
                <w:rFonts w:ascii="Arial" w:hAnsi="Arial" w:cs="Arial"/>
                <w:strike/>
                <w:sz w:val="20"/>
                <w:szCs w:val="20"/>
              </w:rPr>
              <w:t xml:space="preserve">bastidores, cableado subterráneo y aéreo, canalizaciones, construcciones, ductos, obras, postes </w:t>
            </w:r>
            <w:r w:rsidRPr="00664447">
              <w:rPr>
                <w:rFonts w:ascii="Arial" w:eastAsia="Times New Roman" w:hAnsi="Arial" w:cs="Arial"/>
                <w:sz w:val="20"/>
                <w:szCs w:val="20"/>
                <w:lang w:eastAsia="es-MX"/>
              </w:rPr>
              <w:t xml:space="preserve">sistemas de suministro y respaldo de energía eléctrica, sistemas de climatización, </w:t>
            </w:r>
            <w:r w:rsidRPr="00664447">
              <w:rPr>
                <w:rFonts w:ascii="Arial" w:eastAsia="Times New Roman" w:hAnsi="Arial" w:cs="Arial"/>
                <w:color w:val="548DD4" w:themeColor="text2" w:themeTint="99"/>
                <w:sz w:val="20"/>
                <w:szCs w:val="20"/>
                <w:lang w:eastAsia="es-MX"/>
              </w:rPr>
              <w:t>salas en</w:t>
            </w:r>
            <w:r w:rsidRPr="00664447">
              <w:rPr>
                <w:rFonts w:ascii="Arial" w:eastAsia="Times New Roman" w:hAnsi="Arial" w:cs="Arial"/>
                <w:sz w:val="20"/>
                <w:szCs w:val="20"/>
                <w:lang w:eastAsia="es-MX"/>
              </w:rPr>
              <w:t xml:space="preserve"> sitios, torres </w:t>
            </w:r>
            <w:r w:rsidRPr="00664447">
              <w:rPr>
                <w:rFonts w:ascii="Arial" w:eastAsia="Times New Roman" w:hAnsi="Arial" w:cs="Arial"/>
                <w:color w:val="548DD4" w:themeColor="text2" w:themeTint="99"/>
                <w:sz w:val="20"/>
                <w:szCs w:val="20"/>
                <w:lang w:eastAsia="es-MX"/>
              </w:rPr>
              <w:t>y sus</w:t>
            </w:r>
            <w:r w:rsidRPr="00664447">
              <w:rPr>
                <w:rFonts w:ascii="Arial" w:eastAsia="Times New Roman" w:hAnsi="Arial" w:cs="Arial"/>
                <w:sz w:val="20"/>
                <w:szCs w:val="20"/>
                <w:lang w:eastAsia="es-MX"/>
              </w:rPr>
              <w:t xml:space="preserve"> </w:t>
            </w:r>
            <w:r w:rsidRPr="00664447">
              <w:rPr>
                <w:rFonts w:ascii="Arial" w:eastAsia="Times New Roman" w:hAnsi="Arial" w:cs="Arial"/>
                <w:color w:val="548DD4" w:themeColor="text2" w:themeTint="99"/>
                <w:sz w:val="20"/>
                <w:szCs w:val="20"/>
                <w:lang w:eastAsia="es-MX"/>
              </w:rPr>
              <w:t xml:space="preserve">escalerillas </w:t>
            </w:r>
            <w:r w:rsidRPr="00664447">
              <w:rPr>
                <w:rFonts w:ascii="Arial" w:eastAsia="Times New Roman" w:hAnsi="Arial" w:cs="Arial"/>
                <w:sz w:val="20"/>
                <w:szCs w:val="20"/>
                <w:lang w:eastAsia="es-MX"/>
              </w:rPr>
              <w:t xml:space="preserve">y demás aditamentos, </w:t>
            </w:r>
            <w:r w:rsidRPr="00664447">
              <w:rPr>
                <w:rFonts w:ascii="Arial" w:hAnsi="Arial" w:cs="Arial"/>
                <w:strike/>
                <w:sz w:val="20"/>
                <w:szCs w:val="20"/>
              </w:rPr>
              <w:t>incluyendo derechos de vía,</w:t>
            </w:r>
            <w:r w:rsidRPr="00664447">
              <w:rPr>
                <w:rFonts w:ascii="Arial" w:hAnsi="Arial" w:cs="Arial"/>
                <w:strike/>
                <w:color w:val="FF0000"/>
                <w:sz w:val="20"/>
                <w:szCs w:val="20"/>
              </w:rPr>
              <w:t xml:space="preserve"> </w:t>
            </w:r>
            <w:r w:rsidRPr="00664447">
              <w:rPr>
                <w:rFonts w:ascii="Arial" w:eastAsia="Times New Roman" w:hAnsi="Arial" w:cs="Arial"/>
                <w:sz w:val="20"/>
                <w:szCs w:val="20"/>
                <w:lang w:eastAsia="es-MX"/>
              </w:rPr>
              <w:t>que sean necesarios para la instalación y operación de las redes, así como para la prestación de servicios de telecomunicaciones y radiodifusión.</w:t>
            </w:r>
          </w:p>
        </w:tc>
        <w:tc>
          <w:tcPr>
            <w:tcW w:w="1718" w:type="pct"/>
            <w:tcBorders>
              <w:top w:val="single" w:sz="4" w:space="0" w:color="000000" w:themeColor="text1"/>
            </w:tcBorders>
            <w:vAlign w:val="center"/>
          </w:tcPr>
          <w:p w14:paraId="16FB8F23" w14:textId="3DE1F717" w:rsidR="00540EDE" w:rsidRPr="00664447" w:rsidRDefault="00CC36BC" w:rsidP="00540EDE">
            <w:pPr>
              <w:jc w:val="both"/>
              <w:rPr>
                <w:rFonts w:ascii="Arial" w:hAnsi="Arial" w:cs="Arial"/>
                <w:sz w:val="20"/>
                <w:szCs w:val="20"/>
              </w:rPr>
            </w:pPr>
            <w:r>
              <w:rPr>
                <w:rFonts w:ascii="Arial" w:hAnsi="Arial" w:cs="Arial"/>
                <w:bCs/>
                <w:sz w:val="20"/>
                <w:szCs w:val="20"/>
              </w:rPr>
              <w:t>Por claridad para los Concesionarios Solicitantes es necesario adecuar la</w:t>
            </w:r>
            <w:r w:rsidR="00540EDE" w:rsidRPr="00664447">
              <w:rPr>
                <w:rFonts w:ascii="Arial" w:hAnsi="Arial" w:cs="Arial"/>
                <w:bCs/>
                <w:sz w:val="20"/>
                <w:szCs w:val="20"/>
              </w:rPr>
              <w:t xml:space="preserve"> definición de Infraestructura Pasiva se encuentra </w:t>
            </w:r>
            <w:r w:rsidR="00FD4953" w:rsidRPr="00664447">
              <w:rPr>
                <w:rFonts w:ascii="Arial" w:hAnsi="Arial" w:cs="Arial"/>
                <w:bCs/>
                <w:sz w:val="20"/>
                <w:szCs w:val="20"/>
              </w:rPr>
              <w:t xml:space="preserve">prevista </w:t>
            </w:r>
            <w:r w:rsidR="00540EDE" w:rsidRPr="00664447">
              <w:rPr>
                <w:rFonts w:ascii="Arial" w:hAnsi="Arial" w:cs="Arial"/>
                <w:bCs/>
                <w:sz w:val="20"/>
                <w:szCs w:val="20"/>
              </w:rPr>
              <w:t>en el art. 3</w:t>
            </w:r>
            <w:r w:rsidR="00FD4953" w:rsidRPr="00664447">
              <w:rPr>
                <w:rFonts w:ascii="Arial" w:hAnsi="Arial" w:cs="Arial"/>
                <w:bCs/>
                <w:sz w:val="20"/>
                <w:szCs w:val="20"/>
              </w:rPr>
              <w:t>,</w:t>
            </w:r>
            <w:r w:rsidR="00540EDE" w:rsidRPr="00664447">
              <w:rPr>
                <w:rFonts w:ascii="Arial" w:hAnsi="Arial" w:cs="Arial"/>
                <w:bCs/>
                <w:sz w:val="20"/>
                <w:szCs w:val="20"/>
              </w:rPr>
              <w:t xml:space="preserve"> </w:t>
            </w:r>
            <w:r w:rsidR="00FD4953" w:rsidRPr="00664447">
              <w:rPr>
                <w:rFonts w:ascii="Arial" w:hAnsi="Arial" w:cs="Arial"/>
                <w:bCs/>
                <w:sz w:val="20"/>
                <w:szCs w:val="20"/>
              </w:rPr>
              <w:t>fracción</w:t>
            </w:r>
            <w:r w:rsidR="00540EDE" w:rsidRPr="00664447">
              <w:rPr>
                <w:rFonts w:ascii="Arial" w:hAnsi="Arial" w:cs="Arial"/>
                <w:bCs/>
                <w:sz w:val="20"/>
                <w:szCs w:val="20"/>
              </w:rPr>
              <w:t xml:space="preserve"> XXVIII</w:t>
            </w:r>
            <w:r w:rsidR="00FD4953" w:rsidRPr="00664447">
              <w:rPr>
                <w:rFonts w:ascii="Arial" w:hAnsi="Arial" w:cs="Arial"/>
                <w:bCs/>
                <w:sz w:val="20"/>
                <w:szCs w:val="20"/>
              </w:rPr>
              <w:t>,</w:t>
            </w:r>
            <w:r w:rsidR="00540EDE" w:rsidRPr="00664447">
              <w:rPr>
                <w:rFonts w:ascii="Arial" w:hAnsi="Arial" w:cs="Arial"/>
                <w:bCs/>
                <w:sz w:val="20"/>
                <w:szCs w:val="20"/>
              </w:rPr>
              <w:t xml:space="preserve"> de la LFTR, se solicita incluir en la ORCI </w:t>
            </w:r>
            <w:r w:rsidR="00FD4953" w:rsidRPr="00664447">
              <w:rPr>
                <w:rFonts w:ascii="Arial" w:hAnsi="Arial" w:cs="Arial"/>
                <w:bCs/>
                <w:sz w:val="20"/>
                <w:szCs w:val="20"/>
              </w:rPr>
              <w:t xml:space="preserve">sólo </w:t>
            </w:r>
            <w:r w:rsidR="00540EDE" w:rsidRPr="00664447">
              <w:rPr>
                <w:rFonts w:ascii="Arial" w:hAnsi="Arial" w:cs="Arial"/>
                <w:bCs/>
                <w:sz w:val="20"/>
                <w:szCs w:val="20"/>
              </w:rPr>
              <w:t xml:space="preserve">los elementos </w:t>
            </w:r>
            <w:proofErr w:type="gramStart"/>
            <w:r w:rsidR="00540EDE" w:rsidRPr="00664447">
              <w:rPr>
                <w:rFonts w:ascii="Arial" w:hAnsi="Arial" w:cs="Arial"/>
                <w:bCs/>
                <w:sz w:val="20"/>
                <w:szCs w:val="20"/>
              </w:rPr>
              <w:t>a  cargo</w:t>
            </w:r>
            <w:proofErr w:type="gramEnd"/>
            <w:r w:rsidR="00540EDE" w:rsidRPr="00664447">
              <w:rPr>
                <w:rFonts w:ascii="Arial" w:hAnsi="Arial" w:cs="Arial"/>
                <w:bCs/>
                <w:sz w:val="20"/>
                <w:szCs w:val="20"/>
              </w:rPr>
              <w:t xml:space="preserve"> </w:t>
            </w:r>
            <w:r w:rsidR="00FD4953" w:rsidRPr="00664447">
              <w:rPr>
                <w:rFonts w:ascii="Arial" w:hAnsi="Arial" w:cs="Arial"/>
                <w:bCs/>
                <w:sz w:val="20"/>
                <w:szCs w:val="20"/>
              </w:rPr>
              <w:t xml:space="preserve">de la DM </w:t>
            </w:r>
            <w:r w:rsidR="00540EDE" w:rsidRPr="00664447">
              <w:rPr>
                <w:rFonts w:ascii="Arial" w:hAnsi="Arial" w:cs="Arial"/>
                <w:bCs/>
                <w:sz w:val="20"/>
                <w:szCs w:val="20"/>
              </w:rPr>
              <w:t xml:space="preserve">para especificar su alcance en la </w:t>
            </w:r>
            <w:r w:rsidR="00FD4953" w:rsidRPr="00664447">
              <w:rPr>
                <w:rFonts w:ascii="Arial" w:hAnsi="Arial" w:cs="Arial"/>
                <w:bCs/>
                <w:sz w:val="20"/>
                <w:szCs w:val="20"/>
              </w:rPr>
              <w:t>O</w:t>
            </w:r>
            <w:r w:rsidR="00540EDE" w:rsidRPr="00664447">
              <w:rPr>
                <w:rFonts w:ascii="Arial" w:hAnsi="Arial" w:cs="Arial"/>
                <w:bCs/>
                <w:sz w:val="20"/>
                <w:szCs w:val="20"/>
              </w:rPr>
              <w:t>ferta, por lo anterior se propone eliminar aquellos</w:t>
            </w:r>
            <w:r w:rsidR="00540EDE" w:rsidRPr="00664447">
              <w:rPr>
                <w:rFonts w:ascii="Arial" w:hAnsi="Arial" w:cs="Arial"/>
                <w:sz w:val="20"/>
                <w:szCs w:val="20"/>
              </w:rPr>
              <w:t xml:space="preserve"> elementos que corresponden </w:t>
            </w:r>
            <w:r w:rsidR="00FD4953" w:rsidRPr="00664447">
              <w:rPr>
                <w:rFonts w:ascii="Arial" w:hAnsi="Arial" w:cs="Arial"/>
                <w:sz w:val="20"/>
                <w:szCs w:val="20"/>
              </w:rPr>
              <w:t xml:space="preserve">exclusivamente </w:t>
            </w:r>
            <w:r w:rsidR="00540EDE" w:rsidRPr="00664447">
              <w:rPr>
                <w:rFonts w:ascii="Arial" w:hAnsi="Arial" w:cs="Arial"/>
                <w:sz w:val="20"/>
                <w:szCs w:val="20"/>
              </w:rPr>
              <w:t>a la EM</w:t>
            </w:r>
            <w:r w:rsidR="00FD4953" w:rsidRPr="00664447">
              <w:rPr>
                <w:rFonts w:ascii="Arial" w:hAnsi="Arial" w:cs="Arial"/>
                <w:sz w:val="20"/>
                <w:szCs w:val="20"/>
              </w:rPr>
              <w:t xml:space="preserve"> por virtud de la Separación Funcional</w:t>
            </w:r>
            <w:r w:rsidR="00540EDE" w:rsidRPr="00664447">
              <w:rPr>
                <w:rFonts w:ascii="Arial" w:hAnsi="Arial" w:cs="Arial"/>
                <w:sz w:val="20"/>
                <w:szCs w:val="20"/>
              </w:rPr>
              <w:t xml:space="preserve">. </w:t>
            </w:r>
          </w:p>
          <w:p w14:paraId="4BAEF84C" w14:textId="77777777" w:rsidR="00540EDE" w:rsidRPr="00664447" w:rsidRDefault="00540EDE" w:rsidP="00540EDE">
            <w:pPr>
              <w:jc w:val="both"/>
              <w:rPr>
                <w:rFonts w:ascii="Arial" w:hAnsi="Arial" w:cs="Arial"/>
                <w:sz w:val="20"/>
                <w:szCs w:val="20"/>
              </w:rPr>
            </w:pPr>
            <w:r w:rsidRPr="00664447">
              <w:rPr>
                <w:rFonts w:ascii="Arial" w:hAnsi="Arial" w:cs="Arial"/>
                <w:sz w:val="20"/>
                <w:szCs w:val="20"/>
              </w:rPr>
              <w:t>Se adiciona el término salas para los sitios, a fin de abarcar los servicios de espacios</w:t>
            </w:r>
            <w:r w:rsidR="00FD4953" w:rsidRPr="00664447">
              <w:rPr>
                <w:rFonts w:ascii="Arial" w:hAnsi="Arial" w:cs="Arial"/>
                <w:sz w:val="20"/>
                <w:szCs w:val="20"/>
              </w:rPr>
              <w:t xml:space="preserve"> físicos</w:t>
            </w:r>
            <w:r w:rsidRPr="00664447">
              <w:rPr>
                <w:rFonts w:ascii="Arial" w:hAnsi="Arial" w:cs="Arial"/>
                <w:sz w:val="20"/>
                <w:szCs w:val="20"/>
              </w:rPr>
              <w:t>: salas en los sitios de Telmex.</w:t>
            </w:r>
          </w:p>
          <w:p w14:paraId="1278597F" w14:textId="77777777" w:rsidR="00540EDE" w:rsidRPr="00664447" w:rsidRDefault="00540EDE" w:rsidP="00540EDE">
            <w:pPr>
              <w:jc w:val="both"/>
              <w:rPr>
                <w:rFonts w:ascii="Arial" w:hAnsi="Arial" w:cs="Arial"/>
                <w:sz w:val="20"/>
                <w:szCs w:val="20"/>
              </w:rPr>
            </w:pPr>
            <w:r w:rsidRPr="00664447">
              <w:rPr>
                <w:rFonts w:ascii="Arial" w:hAnsi="Arial" w:cs="Arial"/>
                <w:sz w:val="20"/>
                <w:szCs w:val="20"/>
              </w:rPr>
              <w:t xml:space="preserve">De igual manera, se propone adicionar escalerillas que son elementos para la conexión de los sistemas radiantes en el </w:t>
            </w:r>
            <w:r w:rsidR="00FD4953" w:rsidRPr="00664447">
              <w:rPr>
                <w:rFonts w:ascii="Arial" w:hAnsi="Arial" w:cs="Arial"/>
                <w:sz w:val="20"/>
                <w:szCs w:val="20"/>
              </w:rPr>
              <w:t>s</w:t>
            </w:r>
            <w:r w:rsidRPr="00664447">
              <w:rPr>
                <w:rFonts w:ascii="Arial" w:hAnsi="Arial" w:cs="Arial"/>
                <w:sz w:val="20"/>
                <w:szCs w:val="20"/>
              </w:rPr>
              <w:t xml:space="preserve">ervicio de </w:t>
            </w:r>
            <w:r w:rsidR="00FD4953" w:rsidRPr="00664447">
              <w:rPr>
                <w:rFonts w:ascii="Arial" w:hAnsi="Arial" w:cs="Arial"/>
                <w:sz w:val="20"/>
                <w:szCs w:val="20"/>
              </w:rPr>
              <w:t>T</w:t>
            </w:r>
            <w:r w:rsidRPr="00664447">
              <w:rPr>
                <w:rFonts w:ascii="Arial" w:hAnsi="Arial" w:cs="Arial"/>
                <w:sz w:val="20"/>
                <w:szCs w:val="20"/>
              </w:rPr>
              <w:t>orres de la DM.</w:t>
            </w:r>
          </w:p>
        </w:tc>
      </w:tr>
    </w:tbl>
    <w:p w14:paraId="700CE143" w14:textId="77777777" w:rsidR="00E44664" w:rsidRPr="008E3369" w:rsidRDefault="00E44664" w:rsidP="00E44664">
      <w:pPr>
        <w:pStyle w:val="Sinespaciado"/>
      </w:pPr>
    </w:p>
    <w:p w14:paraId="392AA9CC" w14:textId="77777777" w:rsidR="00E26D24" w:rsidRDefault="00E26D24" w:rsidP="0078283B">
      <w:pPr>
        <w:pStyle w:val="Sinespaciado"/>
        <w:rPr>
          <w:b/>
        </w:rPr>
      </w:pPr>
    </w:p>
    <w:p w14:paraId="34C0C4A9" w14:textId="77777777" w:rsidR="0013177C" w:rsidRPr="00B77186" w:rsidRDefault="0013177C" w:rsidP="00B77186">
      <w:pPr>
        <w:rPr>
          <w:b/>
        </w:rPr>
      </w:pPr>
    </w:p>
    <w:p w14:paraId="62456128" w14:textId="77777777" w:rsidR="007547DA" w:rsidRDefault="007547DA">
      <w:pPr>
        <w:rPr>
          <w:b/>
          <w:sz w:val="24"/>
        </w:rPr>
      </w:pPr>
      <w:r>
        <w:rPr>
          <w:b/>
          <w:sz w:val="24"/>
        </w:rPr>
        <w:br w:type="page"/>
      </w:r>
    </w:p>
    <w:p w14:paraId="1AAD2C9A" w14:textId="77777777" w:rsidR="00FF47B7" w:rsidRDefault="00FF47B7">
      <w:pPr>
        <w:rPr>
          <w:b/>
          <w:bCs/>
        </w:rPr>
      </w:pPr>
    </w:p>
    <w:p w14:paraId="0094C719" w14:textId="77777777" w:rsidR="00E44664" w:rsidRPr="008E3369" w:rsidRDefault="00E44664" w:rsidP="00C85C35">
      <w:pPr>
        <w:pStyle w:val="Sinespaciado"/>
      </w:pPr>
      <w:r w:rsidRPr="008E3369">
        <w:rPr>
          <w:b/>
          <w:bCs/>
        </w:rPr>
        <w:t xml:space="preserve">ANEXO </w:t>
      </w:r>
      <w:r w:rsidR="001531A2">
        <w:rPr>
          <w:b/>
          <w:bCs/>
        </w:rPr>
        <w:t>“</w:t>
      </w:r>
      <w:r w:rsidR="00F257F6" w:rsidRPr="008E3369">
        <w:rPr>
          <w:b/>
          <w:bCs/>
        </w:rPr>
        <w:t>A</w:t>
      </w:r>
      <w:r w:rsidR="001531A2">
        <w:rPr>
          <w:b/>
          <w:bCs/>
        </w:rPr>
        <w:t>”</w:t>
      </w:r>
      <w:r w:rsidRPr="008E3369">
        <w:rPr>
          <w:b/>
          <w:bCs/>
        </w:rPr>
        <w:t xml:space="preserve"> </w:t>
      </w:r>
      <w:r w:rsidR="00BA3B9B">
        <w:rPr>
          <w:b/>
          <w:bCs/>
          <w:i/>
          <w:iCs/>
        </w:rPr>
        <w:t>DEL CONVENIO”</w:t>
      </w:r>
      <w:r w:rsidR="001531A2" w:rsidRPr="001531A2">
        <w:rPr>
          <w:b/>
          <w:bCs/>
          <w:i/>
          <w:iCs/>
        </w:rPr>
        <w:t xml:space="preserve"> </w:t>
      </w:r>
      <w:r w:rsidR="001531A2" w:rsidRPr="008E3369">
        <w:rPr>
          <w:b/>
          <w:bCs/>
          <w:i/>
          <w:iCs/>
        </w:rPr>
        <w:t>“TARIFAS”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7"/>
        <w:gridCol w:w="1972"/>
        <w:gridCol w:w="2316"/>
        <w:gridCol w:w="4620"/>
        <w:gridCol w:w="5061"/>
      </w:tblGrid>
      <w:tr w:rsidR="00E44664" w:rsidRPr="008E3369" w14:paraId="37D29463" w14:textId="77777777" w:rsidTr="001F322B">
        <w:trPr>
          <w:trHeight w:val="346"/>
          <w:tblHeader/>
        </w:trPr>
        <w:tc>
          <w:tcPr>
            <w:tcW w:w="247" w:type="pct"/>
            <w:shd w:val="clear" w:color="auto" w:fill="1F497D" w:themeFill="text2"/>
            <w:vAlign w:val="center"/>
          </w:tcPr>
          <w:p w14:paraId="66A6B191" w14:textId="77777777" w:rsidR="00E44664" w:rsidRPr="008E3369" w:rsidRDefault="00E44664" w:rsidP="00D66FC4">
            <w:pPr>
              <w:spacing w:after="0" w:line="240" w:lineRule="auto"/>
              <w:jc w:val="center"/>
              <w:rPr>
                <w:rFonts w:eastAsia="Times New Roman" w:cs="Arial"/>
                <w:color w:val="FFFFFF" w:themeColor="background1"/>
                <w:lang w:eastAsia="es-MX"/>
              </w:rPr>
            </w:pPr>
            <w:r w:rsidRPr="008E3369">
              <w:rPr>
                <w:rFonts w:eastAsia="Times New Roman" w:cs="Arial"/>
                <w:b/>
                <w:bCs/>
                <w:color w:val="FFFFFF" w:themeColor="background1"/>
                <w:lang w:eastAsia="es-MX"/>
              </w:rPr>
              <w:t>No</w:t>
            </w:r>
          </w:p>
        </w:tc>
        <w:tc>
          <w:tcPr>
            <w:tcW w:w="671" w:type="pct"/>
            <w:shd w:val="clear" w:color="auto" w:fill="1F497D" w:themeFill="text2"/>
            <w:vAlign w:val="center"/>
          </w:tcPr>
          <w:p w14:paraId="23F6FD51" w14:textId="77777777" w:rsidR="00E44664" w:rsidRPr="008E3369" w:rsidRDefault="00DA6597" w:rsidP="00D66FC4">
            <w:pPr>
              <w:spacing w:after="0" w:line="240" w:lineRule="auto"/>
              <w:jc w:val="center"/>
              <w:rPr>
                <w:rFonts w:eastAsia="Times New Roman" w:cs="Arial"/>
                <w:color w:val="FFFFFF" w:themeColor="background1"/>
                <w:lang w:eastAsia="es-MX"/>
              </w:rPr>
            </w:pPr>
            <w:r>
              <w:rPr>
                <w:rFonts w:eastAsia="Times New Roman" w:cs="Arial"/>
                <w:b/>
                <w:bCs/>
                <w:color w:val="FFFFFF" w:themeColor="background1"/>
                <w:lang w:eastAsia="es-MX"/>
              </w:rPr>
              <w:t>Cláusula</w:t>
            </w:r>
            <w:r w:rsidR="00E44664" w:rsidRPr="008E3369">
              <w:rPr>
                <w:rFonts w:eastAsia="Times New Roman" w:cs="Arial"/>
                <w:b/>
                <w:bCs/>
                <w:color w:val="FFFFFF" w:themeColor="background1"/>
                <w:lang w:eastAsia="es-MX"/>
              </w:rPr>
              <w:t>/Sección/Numeral</w:t>
            </w:r>
          </w:p>
        </w:tc>
        <w:tc>
          <w:tcPr>
            <w:tcW w:w="788" w:type="pct"/>
            <w:shd w:val="clear" w:color="auto" w:fill="1F497D" w:themeFill="text2"/>
            <w:vAlign w:val="center"/>
          </w:tcPr>
          <w:p w14:paraId="5560D21C" w14:textId="77777777" w:rsidR="00E44664" w:rsidRPr="008E3369" w:rsidRDefault="00E44664" w:rsidP="00D66FC4">
            <w:pPr>
              <w:spacing w:after="0" w:line="240" w:lineRule="auto"/>
              <w:jc w:val="center"/>
              <w:rPr>
                <w:rFonts w:eastAsia="Times New Roman" w:cs="Arial"/>
                <w:b/>
                <w:bCs/>
                <w:color w:val="FFFFFF" w:themeColor="background1"/>
                <w:lang w:eastAsia="es-MX"/>
              </w:rPr>
            </w:pPr>
            <w:r w:rsidRPr="008E3369">
              <w:rPr>
                <w:rFonts w:eastAsia="Times New Roman" w:cs="Arial"/>
                <w:b/>
                <w:bCs/>
                <w:color w:val="FFFFFF" w:themeColor="background1"/>
                <w:lang w:eastAsia="es-MX"/>
              </w:rPr>
              <w:t>Tema</w:t>
            </w:r>
          </w:p>
        </w:tc>
        <w:tc>
          <w:tcPr>
            <w:tcW w:w="1572" w:type="pct"/>
            <w:shd w:val="clear" w:color="auto" w:fill="1F497D" w:themeFill="text2"/>
            <w:vAlign w:val="center"/>
          </w:tcPr>
          <w:p w14:paraId="7E695329" w14:textId="77777777" w:rsidR="00E44664" w:rsidRPr="008E3369" w:rsidRDefault="00E44664" w:rsidP="00D66FC4">
            <w:pPr>
              <w:spacing w:after="0" w:line="240" w:lineRule="auto"/>
              <w:jc w:val="center"/>
              <w:rPr>
                <w:rFonts w:eastAsia="Times New Roman" w:cs="Arial"/>
                <w:b/>
                <w:bCs/>
                <w:color w:val="FFFFFF" w:themeColor="background1"/>
                <w:lang w:eastAsia="es-MX"/>
              </w:rPr>
            </w:pPr>
            <w:r w:rsidRPr="008E3369">
              <w:rPr>
                <w:rFonts w:eastAsia="Times New Roman" w:cs="Arial"/>
                <w:b/>
                <w:bCs/>
                <w:color w:val="FFFFFF" w:themeColor="background1"/>
                <w:lang w:eastAsia="es-MX"/>
              </w:rPr>
              <w:t>Modificación/Adición</w:t>
            </w:r>
          </w:p>
        </w:tc>
        <w:tc>
          <w:tcPr>
            <w:tcW w:w="1722" w:type="pct"/>
            <w:tcBorders>
              <w:bottom w:val="single" w:sz="4" w:space="0" w:color="000000" w:themeColor="text1"/>
            </w:tcBorders>
            <w:shd w:val="clear" w:color="auto" w:fill="1F497D" w:themeFill="text2"/>
            <w:vAlign w:val="center"/>
          </w:tcPr>
          <w:p w14:paraId="29A847AE" w14:textId="77777777" w:rsidR="00E44664" w:rsidRPr="008E3369" w:rsidRDefault="00E44664" w:rsidP="00D66FC4">
            <w:pPr>
              <w:spacing w:after="0" w:line="240" w:lineRule="auto"/>
              <w:jc w:val="center"/>
              <w:rPr>
                <w:rFonts w:eastAsia="Times New Roman" w:cs="Arial"/>
                <w:color w:val="FFFFFF" w:themeColor="background1"/>
                <w:highlight w:val="green"/>
                <w:lang w:eastAsia="es-MX"/>
              </w:rPr>
            </w:pPr>
            <w:r w:rsidRPr="008E3369">
              <w:rPr>
                <w:rFonts w:eastAsia="Times New Roman" w:cs="Arial"/>
                <w:b/>
                <w:bCs/>
                <w:color w:val="FFFFFF" w:themeColor="background1"/>
                <w:lang w:eastAsia="es-MX"/>
              </w:rPr>
              <w:t>Justificación a Instituto</w:t>
            </w:r>
          </w:p>
        </w:tc>
      </w:tr>
      <w:tr w:rsidR="00B43C67" w:rsidRPr="008E3369" w14:paraId="4BE88B7C" w14:textId="77777777" w:rsidTr="001F322B">
        <w:trPr>
          <w:trHeight w:val="3303"/>
        </w:trPr>
        <w:tc>
          <w:tcPr>
            <w:tcW w:w="247" w:type="pct"/>
            <w:tcBorders>
              <w:top w:val="single" w:sz="4" w:space="0" w:color="auto"/>
              <w:left w:val="single" w:sz="4" w:space="0" w:color="auto"/>
              <w:bottom w:val="single" w:sz="4" w:space="0" w:color="auto"/>
              <w:right w:val="single" w:sz="4" w:space="0" w:color="auto"/>
            </w:tcBorders>
            <w:vAlign w:val="center"/>
          </w:tcPr>
          <w:p w14:paraId="249359F5" w14:textId="181ABDD1" w:rsidR="00B43C67" w:rsidRPr="008E3369" w:rsidRDefault="001F322B" w:rsidP="00AD0194">
            <w:pPr>
              <w:spacing w:after="0" w:line="240" w:lineRule="auto"/>
              <w:jc w:val="center"/>
              <w:rPr>
                <w:rFonts w:eastAsia="Times New Roman" w:cstheme="minorHAnsi"/>
                <w:color w:val="000000"/>
                <w:lang w:eastAsia="es-MX"/>
              </w:rPr>
            </w:pPr>
            <w:r>
              <w:rPr>
                <w:rFonts w:eastAsia="Times New Roman" w:cstheme="minorHAnsi"/>
                <w:color w:val="000000"/>
                <w:lang w:eastAsia="es-MX"/>
              </w:rPr>
              <w:t>3</w:t>
            </w:r>
          </w:p>
        </w:tc>
        <w:tc>
          <w:tcPr>
            <w:tcW w:w="671" w:type="pct"/>
            <w:tcBorders>
              <w:top w:val="single" w:sz="4" w:space="0" w:color="auto"/>
              <w:left w:val="single" w:sz="4" w:space="0" w:color="auto"/>
              <w:bottom w:val="single" w:sz="4" w:space="0" w:color="auto"/>
              <w:right w:val="single" w:sz="4" w:space="0" w:color="auto"/>
            </w:tcBorders>
            <w:vAlign w:val="center"/>
          </w:tcPr>
          <w:p w14:paraId="43EEC420" w14:textId="77777777" w:rsidR="00B43C67" w:rsidRPr="008E3369" w:rsidRDefault="00B43C67" w:rsidP="00855266">
            <w:pPr>
              <w:pStyle w:val="IFTnormal"/>
              <w:spacing w:after="0"/>
              <w:rPr>
                <w:rFonts w:asciiTheme="minorHAnsi" w:eastAsia="Times New Roman" w:hAnsiTheme="minorHAnsi" w:cstheme="minorHAnsi"/>
                <w:color w:val="000000"/>
                <w:lang w:eastAsia="es-MX"/>
              </w:rPr>
            </w:pPr>
            <w:r w:rsidRPr="008E3369">
              <w:rPr>
                <w:rFonts w:asciiTheme="minorHAnsi" w:eastAsia="Times New Roman" w:hAnsiTheme="minorHAnsi" w:cstheme="minorHAnsi"/>
                <w:color w:val="000000"/>
                <w:lang w:eastAsia="es-MX"/>
              </w:rPr>
              <w:t>Anexo “A” Tarifas</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39E6DB57" w14:textId="77777777" w:rsidR="00B43C67" w:rsidRPr="008E3369" w:rsidRDefault="00B43C67" w:rsidP="00855266">
            <w:pPr>
              <w:pStyle w:val="IFTnormal"/>
              <w:spacing w:after="0"/>
              <w:rPr>
                <w:rFonts w:asciiTheme="minorHAnsi" w:eastAsia="Times New Roman" w:hAnsiTheme="minorHAnsi" w:cstheme="minorHAnsi"/>
                <w:color w:val="000000"/>
                <w:lang w:eastAsia="es-MX"/>
              </w:rPr>
            </w:pPr>
            <w:r w:rsidRPr="008E3369">
              <w:rPr>
                <w:rFonts w:asciiTheme="minorHAnsi" w:eastAsia="Times New Roman" w:hAnsiTheme="minorHAnsi" w:cstheme="minorHAnsi"/>
                <w:color w:val="000000"/>
                <w:lang w:eastAsia="es-MX"/>
              </w:rPr>
              <w:t>Tarifas</w:t>
            </w:r>
          </w:p>
        </w:tc>
        <w:tc>
          <w:tcPr>
            <w:tcW w:w="1572" w:type="pct"/>
            <w:tcBorders>
              <w:top w:val="single" w:sz="4" w:space="0" w:color="auto"/>
              <w:left w:val="single" w:sz="4" w:space="0" w:color="auto"/>
              <w:bottom w:val="single" w:sz="4" w:space="0" w:color="auto"/>
              <w:right w:val="single" w:sz="4" w:space="0" w:color="auto"/>
            </w:tcBorders>
            <w:shd w:val="clear" w:color="auto" w:fill="auto"/>
            <w:vAlign w:val="center"/>
          </w:tcPr>
          <w:p w14:paraId="338862DD" w14:textId="77777777" w:rsidR="00395152" w:rsidRPr="00953EB0" w:rsidRDefault="00395152" w:rsidP="00395152">
            <w:pPr>
              <w:pStyle w:val="Prrafodelista"/>
              <w:numPr>
                <w:ilvl w:val="0"/>
                <w:numId w:val="13"/>
              </w:numPr>
              <w:spacing w:after="0"/>
              <w:contextualSpacing w:val="0"/>
              <w:jc w:val="both"/>
              <w:rPr>
                <w:rFonts w:ascii="Arial" w:hAnsi="Arial" w:cs="Arial"/>
                <w:u w:val="single"/>
                <w:lang w:val="es-ES_tradnl"/>
              </w:rPr>
            </w:pPr>
            <w:r w:rsidRPr="00D121F0">
              <w:rPr>
                <w:rFonts w:ascii="Arial" w:hAnsi="Arial" w:cs="Arial"/>
                <w:b/>
              </w:rPr>
              <w:t>Estructura situada en una azotea</w:t>
            </w:r>
            <w:r w:rsidRPr="00D121F0">
              <w:rPr>
                <w:rFonts w:ascii="Arial" w:hAnsi="Arial" w:cs="Arial"/>
              </w:rPr>
              <w:t xml:space="preserve"> </w:t>
            </w:r>
          </w:p>
          <w:p w14:paraId="124B7D94" w14:textId="3BD7B615" w:rsidR="001F322B" w:rsidRPr="00E443EF" w:rsidRDefault="001D5CC1" w:rsidP="0037796C">
            <w:pPr>
              <w:pStyle w:val="IFTnormal"/>
              <w:spacing w:after="0"/>
              <w:rPr>
                <w:rFonts w:ascii="Arial" w:hAnsi="Arial" w:cs="Arial"/>
                <w:sz w:val="20"/>
                <w:lang w:eastAsia="es-MX"/>
              </w:rPr>
            </w:pPr>
            <w:r>
              <w:rPr>
                <w:noProof/>
              </w:rPr>
              <w:drawing>
                <wp:inline distT="0" distB="0" distL="0" distR="0" wp14:anchorId="5D7123C3" wp14:editId="5875CB67">
                  <wp:extent cx="2844800" cy="1207770"/>
                  <wp:effectExtent l="0" t="0" r="0" b="0"/>
                  <wp:docPr id="118441064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410645" name=""/>
                          <pic:cNvPicPr/>
                        </pic:nvPicPr>
                        <pic:blipFill>
                          <a:blip r:embed="rId8"/>
                          <a:stretch>
                            <a:fillRect/>
                          </a:stretch>
                        </pic:blipFill>
                        <pic:spPr>
                          <a:xfrm>
                            <a:off x="0" y="0"/>
                            <a:ext cx="2844800" cy="1207770"/>
                          </a:xfrm>
                          <a:prstGeom prst="rect">
                            <a:avLst/>
                          </a:prstGeom>
                        </pic:spPr>
                      </pic:pic>
                    </a:graphicData>
                  </a:graphic>
                </wp:inline>
              </w:drawing>
            </w:r>
          </w:p>
          <w:p w14:paraId="39123081" w14:textId="567E8CA7" w:rsidR="00685010" w:rsidRDefault="00685010" w:rsidP="0037796C">
            <w:pPr>
              <w:pStyle w:val="IFTnormal"/>
              <w:spacing w:after="0"/>
              <w:rPr>
                <w:rFonts w:ascii="Arial" w:hAnsi="Arial" w:cs="Arial"/>
                <w:sz w:val="20"/>
                <w:lang w:eastAsia="es-MX"/>
              </w:rPr>
            </w:pPr>
          </w:p>
          <w:p w14:paraId="0FCD4754" w14:textId="77777777" w:rsidR="00C50A2A" w:rsidRDefault="00C50A2A" w:rsidP="0037796C">
            <w:pPr>
              <w:pStyle w:val="IFTnormal"/>
              <w:spacing w:after="0"/>
              <w:rPr>
                <w:rFonts w:ascii="Arial" w:hAnsi="Arial" w:cs="Arial"/>
                <w:sz w:val="20"/>
                <w:lang w:eastAsia="es-MX"/>
              </w:rPr>
            </w:pPr>
          </w:p>
          <w:p w14:paraId="03E3F3F1" w14:textId="77777777" w:rsidR="00C50A2A" w:rsidRDefault="00C50A2A" w:rsidP="00C50A2A">
            <w:pPr>
              <w:pStyle w:val="Prrafodelista"/>
              <w:numPr>
                <w:ilvl w:val="0"/>
                <w:numId w:val="13"/>
              </w:numPr>
              <w:spacing w:after="0"/>
              <w:contextualSpacing w:val="0"/>
              <w:jc w:val="both"/>
              <w:rPr>
                <w:rFonts w:ascii="Arial" w:hAnsi="Arial" w:cs="Arial"/>
                <w:b/>
              </w:rPr>
            </w:pPr>
            <w:r w:rsidRPr="00D121F0">
              <w:rPr>
                <w:rFonts w:ascii="Arial" w:hAnsi="Arial" w:cs="Arial"/>
                <w:b/>
              </w:rPr>
              <w:t>Estructura situada al nivel del suelo</w:t>
            </w:r>
          </w:p>
          <w:p w14:paraId="7F83A40A" w14:textId="3E85E475" w:rsidR="00395152" w:rsidRPr="00E443EF" w:rsidRDefault="001D5CC1" w:rsidP="0037796C">
            <w:pPr>
              <w:pStyle w:val="IFTnormal"/>
              <w:spacing w:after="0"/>
              <w:rPr>
                <w:rFonts w:ascii="Arial" w:hAnsi="Arial" w:cs="Arial"/>
                <w:sz w:val="20"/>
                <w:lang w:eastAsia="es-MX"/>
              </w:rPr>
            </w:pPr>
            <w:r>
              <w:rPr>
                <w:noProof/>
              </w:rPr>
              <w:drawing>
                <wp:inline distT="0" distB="0" distL="0" distR="0" wp14:anchorId="319A25DC" wp14:editId="01AB3C19">
                  <wp:extent cx="2844800" cy="1596390"/>
                  <wp:effectExtent l="0" t="0" r="0" b="3810"/>
                  <wp:docPr id="131086598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865981" name=""/>
                          <pic:cNvPicPr/>
                        </pic:nvPicPr>
                        <pic:blipFill>
                          <a:blip r:embed="rId9"/>
                          <a:stretch>
                            <a:fillRect/>
                          </a:stretch>
                        </pic:blipFill>
                        <pic:spPr>
                          <a:xfrm>
                            <a:off x="0" y="0"/>
                            <a:ext cx="2844800" cy="1596390"/>
                          </a:xfrm>
                          <a:prstGeom prst="rect">
                            <a:avLst/>
                          </a:prstGeom>
                        </pic:spPr>
                      </pic:pic>
                    </a:graphicData>
                  </a:graphic>
                </wp:inline>
              </w:drawing>
            </w:r>
          </w:p>
          <w:p w14:paraId="4AFB4CF5" w14:textId="77777777" w:rsidR="00326C4B" w:rsidRDefault="00326C4B" w:rsidP="001F322B">
            <w:pPr>
              <w:pStyle w:val="Prrafodelista"/>
              <w:ind w:left="0"/>
              <w:rPr>
                <w:rFonts w:ascii="Arial" w:hAnsi="Arial" w:cs="Arial"/>
                <w:iCs/>
                <w:sz w:val="20"/>
                <w:lang w:val="es-ES"/>
              </w:rPr>
            </w:pPr>
          </w:p>
          <w:p w14:paraId="74EA4A41" w14:textId="77777777" w:rsidR="002F26F9" w:rsidRDefault="002F26F9" w:rsidP="001F322B">
            <w:pPr>
              <w:pStyle w:val="Prrafodelista"/>
              <w:ind w:left="0"/>
              <w:rPr>
                <w:rFonts w:ascii="Arial" w:hAnsi="Arial" w:cs="Arial"/>
                <w:iCs/>
                <w:sz w:val="20"/>
                <w:lang w:val="es-ES"/>
              </w:rPr>
            </w:pPr>
          </w:p>
          <w:p w14:paraId="250782A8" w14:textId="77777777" w:rsidR="001D5CC1" w:rsidRDefault="001D5CC1" w:rsidP="001F322B">
            <w:pPr>
              <w:pStyle w:val="Prrafodelista"/>
              <w:ind w:left="0"/>
              <w:rPr>
                <w:rFonts w:ascii="Arial" w:hAnsi="Arial" w:cs="Arial"/>
                <w:iCs/>
                <w:sz w:val="20"/>
                <w:lang w:val="es-ES"/>
              </w:rPr>
            </w:pPr>
          </w:p>
          <w:p w14:paraId="12A26734" w14:textId="77777777" w:rsidR="001D5CC1" w:rsidRDefault="001D5CC1" w:rsidP="001F322B">
            <w:pPr>
              <w:pStyle w:val="Prrafodelista"/>
              <w:ind w:left="0"/>
              <w:rPr>
                <w:rFonts w:ascii="Arial" w:hAnsi="Arial" w:cs="Arial"/>
                <w:iCs/>
                <w:sz w:val="20"/>
                <w:lang w:val="es-ES"/>
              </w:rPr>
            </w:pPr>
          </w:p>
          <w:p w14:paraId="145CAC82" w14:textId="77777777" w:rsidR="001D5CC1" w:rsidRDefault="001D5CC1" w:rsidP="001F322B">
            <w:pPr>
              <w:pStyle w:val="Prrafodelista"/>
              <w:ind w:left="0"/>
              <w:rPr>
                <w:rFonts w:ascii="Arial" w:hAnsi="Arial" w:cs="Arial"/>
                <w:iCs/>
                <w:sz w:val="20"/>
                <w:lang w:val="es-ES"/>
              </w:rPr>
            </w:pPr>
          </w:p>
          <w:p w14:paraId="3BED39D8" w14:textId="77777777" w:rsidR="001D5CC1" w:rsidRDefault="001D5CC1" w:rsidP="001F322B">
            <w:pPr>
              <w:pStyle w:val="Prrafodelista"/>
              <w:ind w:left="0"/>
              <w:rPr>
                <w:rFonts w:ascii="Arial" w:hAnsi="Arial" w:cs="Arial"/>
                <w:iCs/>
                <w:sz w:val="20"/>
                <w:lang w:val="es-ES"/>
              </w:rPr>
            </w:pPr>
          </w:p>
          <w:p w14:paraId="3F385B8C" w14:textId="77777777" w:rsidR="001D5CC1" w:rsidRDefault="001D5CC1" w:rsidP="001F322B">
            <w:pPr>
              <w:pStyle w:val="Prrafodelista"/>
              <w:ind w:left="0"/>
              <w:rPr>
                <w:rFonts w:ascii="Arial" w:hAnsi="Arial" w:cs="Arial"/>
                <w:iCs/>
                <w:sz w:val="20"/>
                <w:lang w:val="es-ES"/>
              </w:rPr>
            </w:pPr>
          </w:p>
          <w:p w14:paraId="509F3D84" w14:textId="77777777" w:rsidR="001D5CC1" w:rsidRDefault="001D5CC1" w:rsidP="001F322B">
            <w:pPr>
              <w:pStyle w:val="Prrafodelista"/>
              <w:ind w:left="0"/>
              <w:rPr>
                <w:rFonts w:ascii="Arial" w:hAnsi="Arial" w:cs="Arial"/>
                <w:iCs/>
                <w:sz w:val="20"/>
                <w:lang w:val="es-ES"/>
              </w:rPr>
            </w:pPr>
          </w:p>
          <w:p w14:paraId="5EB4F21D" w14:textId="77777777" w:rsidR="001D5CC1" w:rsidRDefault="001D5CC1" w:rsidP="001F322B">
            <w:pPr>
              <w:pStyle w:val="Prrafodelista"/>
              <w:ind w:left="0"/>
              <w:rPr>
                <w:rFonts w:ascii="Arial" w:hAnsi="Arial" w:cs="Arial"/>
                <w:iCs/>
                <w:sz w:val="20"/>
                <w:lang w:val="es-ES"/>
              </w:rPr>
            </w:pPr>
          </w:p>
          <w:p w14:paraId="18916A65" w14:textId="77777777" w:rsidR="001D5CC1" w:rsidRDefault="001D5CC1" w:rsidP="001F322B">
            <w:pPr>
              <w:pStyle w:val="Prrafodelista"/>
              <w:ind w:left="0"/>
              <w:rPr>
                <w:rFonts w:ascii="Arial" w:hAnsi="Arial" w:cs="Arial"/>
                <w:iCs/>
                <w:sz w:val="20"/>
                <w:lang w:val="es-ES"/>
              </w:rPr>
            </w:pPr>
          </w:p>
          <w:p w14:paraId="06A32908" w14:textId="77777777" w:rsidR="001D5CC1" w:rsidRDefault="001D5CC1" w:rsidP="001F322B">
            <w:pPr>
              <w:pStyle w:val="Prrafodelista"/>
              <w:ind w:left="0"/>
              <w:rPr>
                <w:rFonts w:ascii="Arial" w:hAnsi="Arial" w:cs="Arial"/>
                <w:iCs/>
                <w:sz w:val="20"/>
                <w:lang w:val="es-ES"/>
              </w:rPr>
            </w:pPr>
          </w:p>
          <w:p w14:paraId="4C2CF105" w14:textId="77777777" w:rsidR="002F26F9" w:rsidRDefault="002F26F9" w:rsidP="002F26F9">
            <w:pPr>
              <w:pStyle w:val="Prrafodelista"/>
              <w:numPr>
                <w:ilvl w:val="0"/>
                <w:numId w:val="13"/>
              </w:numPr>
              <w:spacing w:after="0"/>
              <w:contextualSpacing w:val="0"/>
              <w:rPr>
                <w:rFonts w:ascii="Arial" w:hAnsi="Arial" w:cs="Arial"/>
                <w:b/>
                <w:lang w:val="es-ES_tradnl"/>
              </w:rPr>
            </w:pPr>
            <w:bookmarkStart w:id="0" w:name="_Toc435541788"/>
            <w:r w:rsidRPr="00D121F0">
              <w:rPr>
                <w:rFonts w:ascii="Arial" w:hAnsi="Arial" w:cs="Arial"/>
                <w:b/>
                <w:lang w:val="es-ES_tradnl"/>
              </w:rPr>
              <w:lastRenderedPageBreak/>
              <w:t>Por el acceso y uso de Espacio Aprobado en Piso</w:t>
            </w:r>
            <w:bookmarkEnd w:id="0"/>
          </w:p>
          <w:p w14:paraId="0E662061" w14:textId="0D331FAD" w:rsidR="00241A56" w:rsidRDefault="00685010" w:rsidP="001F322B">
            <w:pPr>
              <w:pStyle w:val="Prrafodelista"/>
              <w:ind w:left="0"/>
              <w:rPr>
                <w:rFonts w:ascii="Arial" w:hAnsi="Arial" w:cs="Arial"/>
                <w:iCs/>
                <w:sz w:val="20"/>
                <w:lang w:val="es-ES"/>
              </w:rPr>
            </w:pPr>
            <w:r>
              <w:rPr>
                <w:noProof/>
              </w:rPr>
              <w:drawing>
                <wp:inline distT="0" distB="0" distL="0" distR="0" wp14:anchorId="1316CB88" wp14:editId="6C8AE410">
                  <wp:extent cx="2844800" cy="1129030"/>
                  <wp:effectExtent l="0" t="0" r="0" b="0"/>
                  <wp:docPr id="3686887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688753" name=""/>
                          <pic:cNvPicPr/>
                        </pic:nvPicPr>
                        <pic:blipFill>
                          <a:blip r:embed="rId10"/>
                          <a:stretch>
                            <a:fillRect/>
                          </a:stretch>
                        </pic:blipFill>
                        <pic:spPr>
                          <a:xfrm>
                            <a:off x="0" y="0"/>
                            <a:ext cx="2844800" cy="1129030"/>
                          </a:xfrm>
                          <a:prstGeom prst="rect">
                            <a:avLst/>
                          </a:prstGeom>
                        </pic:spPr>
                      </pic:pic>
                    </a:graphicData>
                  </a:graphic>
                </wp:inline>
              </w:drawing>
            </w:r>
          </w:p>
          <w:p w14:paraId="11C73589" w14:textId="77777777" w:rsidR="00241A56" w:rsidRDefault="00241A56" w:rsidP="001F322B">
            <w:pPr>
              <w:pStyle w:val="Prrafodelista"/>
              <w:ind w:left="0"/>
              <w:rPr>
                <w:rFonts w:ascii="Arial" w:hAnsi="Arial" w:cs="Arial"/>
                <w:iCs/>
                <w:sz w:val="20"/>
                <w:lang w:val="es-ES"/>
              </w:rPr>
            </w:pPr>
          </w:p>
          <w:p w14:paraId="7A03B112" w14:textId="3A38B4A3" w:rsidR="00241A56" w:rsidRDefault="00DB51F6" w:rsidP="001F322B">
            <w:pPr>
              <w:pStyle w:val="Prrafodelista"/>
              <w:ind w:left="0"/>
              <w:rPr>
                <w:rFonts w:ascii="Arial" w:hAnsi="Arial" w:cs="Arial"/>
                <w:iCs/>
                <w:sz w:val="20"/>
                <w:lang w:val="es-ES"/>
              </w:rPr>
            </w:pPr>
            <w:r>
              <w:rPr>
                <w:noProof/>
              </w:rPr>
              <w:drawing>
                <wp:inline distT="0" distB="0" distL="0" distR="0" wp14:anchorId="2C76916E" wp14:editId="5BB5F5FC">
                  <wp:extent cx="2844800" cy="1133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44800" cy="1133475"/>
                          </a:xfrm>
                          <a:prstGeom prst="rect">
                            <a:avLst/>
                          </a:prstGeom>
                        </pic:spPr>
                      </pic:pic>
                    </a:graphicData>
                  </a:graphic>
                </wp:inline>
              </w:drawing>
            </w:r>
          </w:p>
          <w:p w14:paraId="618DF57F" w14:textId="77777777" w:rsidR="00DB51F6" w:rsidRDefault="00DB51F6" w:rsidP="001F322B">
            <w:pPr>
              <w:pStyle w:val="Prrafodelista"/>
              <w:ind w:left="0"/>
              <w:rPr>
                <w:rFonts w:ascii="Arial" w:hAnsi="Arial" w:cs="Arial"/>
                <w:iCs/>
                <w:sz w:val="20"/>
                <w:lang w:val="es-ES"/>
              </w:rPr>
            </w:pPr>
          </w:p>
          <w:p w14:paraId="0E1847FB" w14:textId="77777777" w:rsidR="00DB51F6" w:rsidRDefault="00DB51F6" w:rsidP="001F322B">
            <w:pPr>
              <w:pStyle w:val="Prrafodelista"/>
              <w:ind w:left="0"/>
              <w:rPr>
                <w:rFonts w:ascii="Arial" w:hAnsi="Arial" w:cs="Arial"/>
                <w:iCs/>
                <w:sz w:val="20"/>
                <w:lang w:val="es-ES"/>
              </w:rPr>
            </w:pPr>
          </w:p>
          <w:p w14:paraId="6D855482" w14:textId="77777777" w:rsidR="00DB51F6" w:rsidRDefault="00DB51F6" w:rsidP="001F322B">
            <w:pPr>
              <w:pStyle w:val="Prrafodelista"/>
              <w:ind w:left="0"/>
              <w:rPr>
                <w:rFonts w:ascii="Arial" w:hAnsi="Arial" w:cs="Arial"/>
                <w:iCs/>
                <w:sz w:val="20"/>
                <w:lang w:val="es-ES"/>
              </w:rPr>
            </w:pPr>
          </w:p>
          <w:p w14:paraId="5F973F73" w14:textId="77777777" w:rsidR="00DB51F6" w:rsidRDefault="00DB51F6" w:rsidP="001F322B">
            <w:pPr>
              <w:pStyle w:val="Prrafodelista"/>
              <w:ind w:left="0"/>
              <w:rPr>
                <w:rFonts w:ascii="Arial" w:hAnsi="Arial" w:cs="Arial"/>
                <w:iCs/>
                <w:sz w:val="20"/>
                <w:lang w:val="es-ES"/>
              </w:rPr>
            </w:pPr>
          </w:p>
          <w:p w14:paraId="26D7DB87" w14:textId="77777777" w:rsidR="00DB51F6" w:rsidRDefault="00DB51F6" w:rsidP="001F322B">
            <w:pPr>
              <w:pStyle w:val="Prrafodelista"/>
              <w:ind w:left="0"/>
              <w:rPr>
                <w:rFonts w:ascii="Arial" w:hAnsi="Arial" w:cs="Arial"/>
                <w:iCs/>
                <w:sz w:val="20"/>
                <w:lang w:val="es-ES"/>
              </w:rPr>
            </w:pPr>
          </w:p>
          <w:p w14:paraId="1B3341E1" w14:textId="77777777" w:rsidR="00DB51F6" w:rsidRDefault="00DB51F6" w:rsidP="001F322B">
            <w:pPr>
              <w:pStyle w:val="Prrafodelista"/>
              <w:ind w:left="0"/>
              <w:rPr>
                <w:rFonts w:ascii="Arial" w:hAnsi="Arial" w:cs="Arial"/>
                <w:iCs/>
                <w:sz w:val="20"/>
                <w:lang w:val="es-ES"/>
              </w:rPr>
            </w:pPr>
          </w:p>
          <w:p w14:paraId="1084D25A" w14:textId="77777777" w:rsidR="00DB51F6" w:rsidRDefault="00DB51F6" w:rsidP="001F322B">
            <w:pPr>
              <w:pStyle w:val="Prrafodelista"/>
              <w:ind w:left="0"/>
              <w:rPr>
                <w:rFonts w:ascii="Arial" w:hAnsi="Arial" w:cs="Arial"/>
                <w:iCs/>
                <w:sz w:val="20"/>
                <w:lang w:val="es-ES"/>
              </w:rPr>
            </w:pPr>
          </w:p>
          <w:p w14:paraId="0F6534FE" w14:textId="77777777" w:rsidR="00DB51F6" w:rsidRDefault="00DB51F6" w:rsidP="001F322B">
            <w:pPr>
              <w:pStyle w:val="Prrafodelista"/>
              <w:ind w:left="0"/>
              <w:rPr>
                <w:rFonts w:ascii="Arial" w:hAnsi="Arial" w:cs="Arial"/>
                <w:iCs/>
                <w:sz w:val="20"/>
                <w:lang w:val="es-ES"/>
              </w:rPr>
            </w:pPr>
          </w:p>
          <w:p w14:paraId="1EA5AB17" w14:textId="77777777" w:rsidR="00DB51F6" w:rsidRDefault="00DB51F6" w:rsidP="001F322B">
            <w:pPr>
              <w:pStyle w:val="Prrafodelista"/>
              <w:ind w:left="0"/>
              <w:rPr>
                <w:rFonts w:ascii="Arial" w:hAnsi="Arial" w:cs="Arial"/>
                <w:iCs/>
                <w:sz w:val="20"/>
                <w:lang w:val="es-ES"/>
              </w:rPr>
            </w:pPr>
          </w:p>
          <w:p w14:paraId="4AEB84C4" w14:textId="77777777" w:rsidR="00DB51F6" w:rsidRDefault="00DB51F6" w:rsidP="001F322B">
            <w:pPr>
              <w:pStyle w:val="Prrafodelista"/>
              <w:ind w:left="0"/>
              <w:rPr>
                <w:rFonts w:ascii="Arial" w:hAnsi="Arial" w:cs="Arial"/>
                <w:iCs/>
                <w:sz w:val="20"/>
                <w:lang w:val="es-ES"/>
              </w:rPr>
            </w:pPr>
          </w:p>
          <w:p w14:paraId="6BFABF05" w14:textId="77777777" w:rsidR="00DB51F6" w:rsidRDefault="00DB51F6" w:rsidP="001F322B">
            <w:pPr>
              <w:pStyle w:val="Prrafodelista"/>
              <w:ind w:left="0"/>
              <w:rPr>
                <w:rFonts w:ascii="Arial" w:hAnsi="Arial" w:cs="Arial"/>
                <w:iCs/>
                <w:sz w:val="20"/>
                <w:lang w:val="es-ES"/>
              </w:rPr>
            </w:pPr>
          </w:p>
          <w:p w14:paraId="60EDEE75" w14:textId="77777777" w:rsidR="00DB51F6" w:rsidRDefault="00DB51F6" w:rsidP="001F322B">
            <w:pPr>
              <w:pStyle w:val="Prrafodelista"/>
              <w:ind w:left="0"/>
              <w:rPr>
                <w:rFonts w:ascii="Arial" w:hAnsi="Arial" w:cs="Arial"/>
                <w:iCs/>
                <w:sz w:val="20"/>
                <w:lang w:val="es-ES"/>
              </w:rPr>
            </w:pPr>
          </w:p>
          <w:p w14:paraId="4E468D5B" w14:textId="77777777" w:rsidR="00DB51F6" w:rsidRDefault="00DB51F6" w:rsidP="001F322B">
            <w:pPr>
              <w:pStyle w:val="Prrafodelista"/>
              <w:ind w:left="0"/>
              <w:rPr>
                <w:rFonts w:ascii="Arial" w:hAnsi="Arial" w:cs="Arial"/>
                <w:iCs/>
                <w:sz w:val="20"/>
                <w:lang w:val="es-ES"/>
              </w:rPr>
            </w:pPr>
          </w:p>
          <w:p w14:paraId="1F74F896" w14:textId="77777777" w:rsidR="00DB51F6" w:rsidRDefault="00DB51F6" w:rsidP="001F322B">
            <w:pPr>
              <w:pStyle w:val="Prrafodelista"/>
              <w:ind w:left="0"/>
              <w:rPr>
                <w:rFonts w:ascii="Arial" w:hAnsi="Arial" w:cs="Arial"/>
                <w:iCs/>
                <w:sz w:val="20"/>
                <w:lang w:val="es-ES"/>
              </w:rPr>
            </w:pPr>
          </w:p>
          <w:p w14:paraId="4514B296" w14:textId="77777777" w:rsidR="00DB51F6" w:rsidRDefault="00DB51F6" w:rsidP="001F322B">
            <w:pPr>
              <w:pStyle w:val="Prrafodelista"/>
              <w:ind w:left="0"/>
              <w:rPr>
                <w:rFonts w:ascii="Arial" w:hAnsi="Arial" w:cs="Arial"/>
                <w:iCs/>
                <w:sz w:val="20"/>
                <w:lang w:val="es-ES"/>
              </w:rPr>
            </w:pPr>
          </w:p>
          <w:p w14:paraId="070B4053" w14:textId="77777777" w:rsidR="00DB51F6" w:rsidRDefault="00DB51F6" w:rsidP="001F322B">
            <w:pPr>
              <w:pStyle w:val="Prrafodelista"/>
              <w:ind w:left="0"/>
              <w:rPr>
                <w:rFonts w:ascii="Arial" w:hAnsi="Arial" w:cs="Arial"/>
                <w:iCs/>
                <w:sz w:val="20"/>
                <w:lang w:val="es-ES"/>
              </w:rPr>
            </w:pPr>
          </w:p>
          <w:p w14:paraId="1A87612D" w14:textId="7B443AEA" w:rsidR="00241A56" w:rsidRDefault="00241A56" w:rsidP="001F322B">
            <w:pPr>
              <w:pStyle w:val="Prrafodelista"/>
              <w:ind w:left="0"/>
              <w:rPr>
                <w:rFonts w:ascii="Arial" w:hAnsi="Arial" w:cs="Arial"/>
                <w:iCs/>
                <w:sz w:val="20"/>
                <w:lang w:val="es-ES"/>
              </w:rPr>
            </w:pPr>
          </w:p>
          <w:p w14:paraId="371C83A4" w14:textId="77777777" w:rsidR="00685010" w:rsidRDefault="00685010" w:rsidP="001F322B">
            <w:pPr>
              <w:pStyle w:val="Prrafodelista"/>
              <w:ind w:left="0"/>
              <w:rPr>
                <w:rFonts w:ascii="Arial" w:hAnsi="Arial" w:cs="Arial"/>
                <w:iCs/>
                <w:sz w:val="20"/>
                <w:lang w:val="es-ES"/>
              </w:rPr>
            </w:pPr>
          </w:p>
          <w:p w14:paraId="3452018D" w14:textId="566ADBE7" w:rsidR="001D5CC1" w:rsidRDefault="001D5CC1" w:rsidP="001F322B">
            <w:pPr>
              <w:pStyle w:val="Prrafodelista"/>
              <w:ind w:left="0"/>
              <w:rPr>
                <w:rFonts w:ascii="Arial" w:hAnsi="Arial" w:cs="Arial"/>
                <w:iCs/>
                <w:sz w:val="20"/>
                <w:lang w:val="es-ES"/>
              </w:rPr>
            </w:pPr>
            <w:r>
              <w:rPr>
                <w:rFonts w:ascii="Arial" w:hAnsi="Arial" w:cs="Arial"/>
                <w:iCs/>
                <w:sz w:val="20"/>
                <w:lang w:val="es-ES"/>
              </w:rPr>
              <w:lastRenderedPageBreak/>
              <w:t>Espacio adicional</w:t>
            </w:r>
          </w:p>
          <w:p w14:paraId="7C0CCDC0" w14:textId="3CC5E2D9" w:rsidR="00241A56" w:rsidRDefault="001D5CC1" w:rsidP="001F322B">
            <w:pPr>
              <w:pStyle w:val="Prrafodelista"/>
              <w:ind w:left="0"/>
              <w:rPr>
                <w:rFonts w:ascii="Arial" w:hAnsi="Arial" w:cs="Arial"/>
                <w:iCs/>
                <w:sz w:val="20"/>
                <w:lang w:val="es-ES"/>
              </w:rPr>
            </w:pPr>
            <w:r>
              <w:rPr>
                <w:noProof/>
              </w:rPr>
              <w:drawing>
                <wp:inline distT="0" distB="0" distL="0" distR="0" wp14:anchorId="0E9C6259" wp14:editId="207596B3">
                  <wp:extent cx="2844800" cy="1271905"/>
                  <wp:effectExtent l="0" t="0" r="0" b="4445"/>
                  <wp:docPr id="6541884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188411" name=""/>
                          <pic:cNvPicPr/>
                        </pic:nvPicPr>
                        <pic:blipFill>
                          <a:blip r:embed="rId12"/>
                          <a:stretch>
                            <a:fillRect/>
                          </a:stretch>
                        </pic:blipFill>
                        <pic:spPr>
                          <a:xfrm>
                            <a:off x="0" y="0"/>
                            <a:ext cx="2844800" cy="1271905"/>
                          </a:xfrm>
                          <a:prstGeom prst="rect">
                            <a:avLst/>
                          </a:prstGeom>
                        </pic:spPr>
                      </pic:pic>
                    </a:graphicData>
                  </a:graphic>
                </wp:inline>
              </w:drawing>
            </w:r>
          </w:p>
          <w:p w14:paraId="54F45876" w14:textId="77777777" w:rsidR="001D5CC1" w:rsidRDefault="001D5CC1" w:rsidP="001F322B">
            <w:pPr>
              <w:pStyle w:val="Prrafodelista"/>
              <w:ind w:left="0"/>
              <w:rPr>
                <w:rFonts w:ascii="Arial" w:hAnsi="Arial" w:cs="Arial"/>
                <w:iCs/>
                <w:sz w:val="20"/>
                <w:lang w:val="es-ES"/>
              </w:rPr>
            </w:pPr>
          </w:p>
          <w:p w14:paraId="3F059B6A" w14:textId="23759D1F" w:rsidR="001D5CC1" w:rsidRDefault="00DB51F6" w:rsidP="001F322B">
            <w:pPr>
              <w:pStyle w:val="Prrafodelista"/>
              <w:ind w:left="0"/>
              <w:rPr>
                <w:rFonts w:ascii="Arial" w:hAnsi="Arial" w:cs="Arial"/>
                <w:iCs/>
                <w:sz w:val="20"/>
                <w:lang w:val="es-ES"/>
              </w:rPr>
            </w:pPr>
            <w:r>
              <w:rPr>
                <w:noProof/>
              </w:rPr>
              <w:drawing>
                <wp:inline distT="0" distB="0" distL="0" distR="0" wp14:anchorId="72197E82" wp14:editId="57172FAB">
                  <wp:extent cx="2844800" cy="123952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44800" cy="1239520"/>
                          </a:xfrm>
                          <a:prstGeom prst="rect">
                            <a:avLst/>
                          </a:prstGeom>
                        </pic:spPr>
                      </pic:pic>
                    </a:graphicData>
                  </a:graphic>
                </wp:inline>
              </w:drawing>
            </w:r>
          </w:p>
          <w:p w14:paraId="43C5F112" w14:textId="77777777" w:rsidR="001D5CC1" w:rsidRDefault="001D5CC1" w:rsidP="001F322B">
            <w:pPr>
              <w:pStyle w:val="Prrafodelista"/>
              <w:ind w:left="0"/>
              <w:rPr>
                <w:rFonts w:ascii="Arial" w:hAnsi="Arial" w:cs="Arial"/>
                <w:iCs/>
                <w:sz w:val="20"/>
                <w:lang w:val="es-ES"/>
              </w:rPr>
            </w:pPr>
          </w:p>
          <w:p w14:paraId="76950452" w14:textId="77777777" w:rsidR="00241A56" w:rsidRDefault="00241A56" w:rsidP="001F322B">
            <w:pPr>
              <w:pStyle w:val="Prrafodelista"/>
              <w:ind w:left="0"/>
              <w:rPr>
                <w:rFonts w:ascii="Arial" w:hAnsi="Arial" w:cs="Arial"/>
                <w:iCs/>
                <w:sz w:val="20"/>
                <w:lang w:val="es-ES"/>
              </w:rPr>
            </w:pPr>
          </w:p>
          <w:p w14:paraId="4B91D49C" w14:textId="77777777" w:rsidR="00241A56" w:rsidRDefault="00241A56" w:rsidP="001F322B">
            <w:pPr>
              <w:pStyle w:val="Prrafodelista"/>
              <w:ind w:left="0"/>
              <w:rPr>
                <w:rFonts w:ascii="Arial" w:hAnsi="Arial" w:cs="Arial"/>
                <w:iCs/>
                <w:sz w:val="20"/>
                <w:lang w:val="es-ES"/>
              </w:rPr>
            </w:pPr>
          </w:p>
          <w:p w14:paraId="01F4A442" w14:textId="77777777" w:rsidR="00241A56" w:rsidRDefault="00241A56" w:rsidP="001F322B">
            <w:pPr>
              <w:pStyle w:val="Prrafodelista"/>
              <w:ind w:left="0"/>
              <w:rPr>
                <w:rFonts w:ascii="Arial" w:hAnsi="Arial" w:cs="Arial"/>
                <w:iCs/>
                <w:sz w:val="20"/>
                <w:lang w:val="es-ES"/>
              </w:rPr>
            </w:pPr>
          </w:p>
          <w:p w14:paraId="4F952AED" w14:textId="77777777" w:rsidR="00241A56" w:rsidRDefault="00241A56" w:rsidP="001F322B">
            <w:pPr>
              <w:pStyle w:val="Prrafodelista"/>
              <w:ind w:left="0"/>
              <w:rPr>
                <w:rFonts w:ascii="Arial" w:hAnsi="Arial" w:cs="Arial"/>
                <w:iCs/>
                <w:sz w:val="20"/>
                <w:lang w:val="es-ES"/>
              </w:rPr>
            </w:pPr>
          </w:p>
          <w:p w14:paraId="1BE44989" w14:textId="77777777" w:rsidR="00241A56" w:rsidRDefault="00241A56" w:rsidP="001F322B">
            <w:pPr>
              <w:pStyle w:val="Prrafodelista"/>
              <w:ind w:left="0"/>
              <w:rPr>
                <w:rFonts w:ascii="Arial" w:hAnsi="Arial" w:cs="Arial"/>
                <w:iCs/>
                <w:sz w:val="20"/>
                <w:lang w:val="es-ES"/>
              </w:rPr>
            </w:pPr>
          </w:p>
          <w:p w14:paraId="113D1D94" w14:textId="77777777" w:rsidR="00241A56" w:rsidRDefault="00241A56" w:rsidP="001F322B">
            <w:pPr>
              <w:pStyle w:val="Prrafodelista"/>
              <w:ind w:left="0"/>
              <w:rPr>
                <w:rFonts w:ascii="Arial" w:hAnsi="Arial" w:cs="Arial"/>
                <w:iCs/>
                <w:sz w:val="20"/>
                <w:lang w:val="es-ES"/>
              </w:rPr>
            </w:pPr>
          </w:p>
          <w:p w14:paraId="6D19CEE0" w14:textId="77777777" w:rsidR="00241A56" w:rsidRDefault="00241A56" w:rsidP="001F322B">
            <w:pPr>
              <w:pStyle w:val="Prrafodelista"/>
              <w:ind w:left="0"/>
              <w:rPr>
                <w:rFonts w:ascii="Arial" w:hAnsi="Arial" w:cs="Arial"/>
                <w:iCs/>
                <w:sz w:val="20"/>
                <w:lang w:val="es-ES"/>
              </w:rPr>
            </w:pPr>
          </w:p>
          <w:p w14:paraId="4C0C3499" w14:textId="77777777" w:rsidR="00241A56" w:rsidRDefault="00241A56" w:rsidP="001F322B">
            <w:pPr>
              <w:pStyle w:val="Prrafodelista"/>
              <w:ind w:left="0"/>
              <w:rPr>
                <w:rFonts w:ascii="Arial" w:hAnsi="Arial" w:cs="Arial"/>
                <w:iCs/>
                <w:sz w:val="20"/>
                <w:lang w:val="es-ES"/>
              </w:rPr>
            </w:pPr>
          </w:p>
          <w:p w14:paraId="4DC6DB91" w14:textId="77777777" w:rsidR="00241A56" w:rsidRDefault="00241A56" w:rsidP="001F322B">
            <w:pPr>
              <w:pStyle w:val="Prrafodelista"/>
              <w:ind w:left="0"/>
              <w:rPr>
                <w:rFonts w:ascii="Arial" w:hAnsi="Arial" w:cs="Arial"/>
                <w:iCs/>
                <w:sz w:val="20"/>
                <w:lang w:val="es-ES"/>
              </w:rPr>
            </w:pPr>
          </w:p>
          <w:p w14:paraId="5D56FDAF" w14:textId="77777777" w:rsidR="00241A56" w:rsidRDefault="00241A56" w:rsidP="001F322B">
            <w:pPr>
              <w:pStyle w:val="Prrafodelista"/>
              <w:ind w:left="0"/>
              <w:rPr>
                <w:rFonts w:ascii="Arial" w:hAnsi="Arial" w:cs="Arial"/>
                <w:iCs/>
                <w:sz w:val="20"/>
                <w:lang w:val="es-ES"/>
              </w:rPr>
            </w:pPr>
          </w:p>
          <w:p w14:paraId="0F0768B4" w14:textId="77777777" w:rsidR="00241A56" w:rsidRDefault="00241A56" w:rsidP="001F322B">
            <w:pPr>
              <w:pStyle w:val="Prrafodelista"/>
              <w:ind w:left="0"/>
              <w:rPr>
                <w:rFonts w:ascii="Arial" w:hAnsi="Arial" w:cs="Arial"/>
                <w:iCs/>
                <w:sz w:val="20"/>
                <w:lang w:val="es-ES"/>
              </w:rPr>
            </w:pPr>
          </w:p>
          <w:p w14:paraId="382E4087" w14:textId="77777777" w:rsidR="00241A56" w:rsidRDefault="00241A56" w:rsidP="001F322B">
            <w:pPr>
              <w:pStyle w:val="Prrafodelista"/>
              <w:ind w:left="0"/>
              <w:rPr>
                <w:rFonts w:ascii="Arial" w:hAnsi="Arial" w:cs="Arial"/>
                <w:iCs/>
                <w:sz w:val="20"/>
                <w:lang w:val="es-ES"/>
              </w:rPr>
            </w:pPr>
          </w:p>
          <w:p w14:paraId="618FEA34" w14:textId="77777777" w:rsidR="00241A56" w:rsidRDefault="00241A56" w:rsidP="001F322B">
            <w:pPr>
              <w:pStyle w:val="Prrafodelista"/>
              <w:ind w:left="0"/>
              <w:rPr>
                <w:rFonts w:ascii="Arial" w:hAnsi="Arial" w:cs="Arial"/>
                <w:iCs/>
                <w:sz w:val="20"/>
                <w:lang w:val="es-ES"/>
              </w:rPr>
            </w:pPr>
          </w:p>
          <w:p w14:paraId="71FAA304" w14:textId="77777777" w:rsidR="00241A56" w:rsidRDefault="00241A56" w:rsidP="001F322B">
            <w:pPr>
              <w:pStyle w:val="Prrafodelista"/>
              <w:ind w:left="0"/>
              <w:rPr>
                <w:rFonts w:ascii="Arial" w:hAnsi="Arial" w:cs="Arial"/>
                <w:iCs/>
                <w:sz w:val="20"/>
                <w:lang w:val="es-ES"/>
              </w:rPr>
            </w:pPr>
          </w:p>
          <w:p w14:paraId="1801D963" w14:textId="77777777" w:rsidR="00241A56" w:rsidRDefault="00241A56" w:rsidP="001F322B">
            <w:pPr>
              <w:pStyle w:val="Prrafodelista"/>
              <w:ind w:left="0"/>
              <w:rPr>
                <w:rFonts w:ascii="Arial" w:hAnsi="Arial" w:cs="Arial"/>
                <w:iCs/>
                <w:sz w:val="20"/>
                <w:lang w:val="es-ES"/>
              </w:rPr>
            </w:pPr>
          </w:p>
          <w:p w14:paraId="27FD4826" w14:textId="77777777" w:rsidR="00241A56" w:rsidRDefault="00241A56" w:rsidP="001F322B">
            <w:pPr>
              <w:pStyle w:val="Prrafodelista"/>
              <w:ind w:left="0"/>
              <w:rPr>
                <w:rFonts w:ascii="Arial" w:hAnsi="Arial" w:cs="Arial"/>
                <w:iCs/>
                <w:sz w:val="20"/>
                <w:lang w:val="es-ES"/>
              </w:rPr>
            </w:pPr>
          </w:p>
          <w:p w14:paraId="48C3E994" w14:textId="77777777" w:rsidR="00241A56" w:rsidRDefault="00241A56" w:rsidP="001F322B">
            <w:pPr>
              <w:pStyle w:val="Prrafodelista"/>
              <w:ind w:left="0"/>
              <w:rPr>
                <w:rFonts w:ascii="Arial" w:hAnsi="Arial" w:cs="Arial"/>
                <w:iCs/>
                <w:sz w:val="20"/>
                <w:lang w:val="es-ES"/>
              </w:rPr>
            </w:pPr>
          </w:p>
          <w:p w14:paraId="43B07FA6" w14:textId="77777777" w:rsidR="00241A56" w:rsidRDefault="00241A56" w:rsidP="001F322B">
            <w:pPr>
              <w:pStyle w:val="Prrafodelista"/>
              <w:ind w:left="0"/>
              <w:rPr>
                <w:rFonts w:ascii="Arial" w:hAnsi="Arial" w:cs="Arial"/>
                <w:iCs/>
                <w:sz w:val="20"/>
                <w:lang w:val="es-ES"/>
              </w:rPr>
            </w:pPr>
          </w:p>
          <w:p w14:paraId="7F5FC212" w14:textId="77777777" w:rsidR="00241A56" w:rsidRPr="00E443EF" w:rsidRDefault="00241A56" w:rsidP="001F322B">
            <w:pPr>
              <w:pStyle w:val="Prrafodelista"/>
              <w:ind w:left="0"/>
              <w:rPr>
                <w:rFonts w:ascii="Arial" w:hAnsi="Arial" w:cs="Arial"/>
                <w:iCs/>
                <w:sz w:val="20"/>
                <w:lang w:val="es-ES"/>
              </w:rPr>
            </w:pPr>
          </w:p>
        </w:tc>
        <w:tc>
          <w:tcPr>
            <w:tcW w:w="1722" w:type="pct"/>
            <w:tcBorders>
              <w:top w:val="single" w:sz="4" w:space="0" w:color="auto"/>
              <w:left w:val="single" w:sz="4" w:space="0" w:color="auto"/>
              <w:bottom w:val="single" w:sz="4" w:space="0" w:color="auto"/>
              <w:right w:val="single" w:sz="4" w:space="0" w:color="auto"/>
            </w:tcBorders>
          </w:tcPr>
          <w:p w14:paraId="17A534D6" w14:textId="77777777" w:rsidR="004F62C8" w:rsidRPr="00E443EF" w:rsidRDefault="004F62C8" w:rsidP="00FB14B7">
            <w:pPr>
              <w:spacing w:after="0" w:line="240" w:lineRule="auto"/>
              <w:ind w:right="-48"/>
              <w:jc w:val="both"/>
              <w:rPr>
                <w:rFonts w:ascii="Arial" w:eastAsia="Times New Roman" w:hAnsi="Arial" w:cs="Arial"/>
                <w:color w:val="000000"/>
                <w:sz w:val="20"/>
                <w:lang w:eastAsia="es-MX"/>
              </w:rPr>
            </w:pPr>
          </w:p>
          <w:p w14:paraId="37E8B8CE" w14:textId="77777777" w:rsidR="00B36EBB" w:rsidRPr="00E443EF" w:rsidRDefault="00B36EBB" w:rsidP="00C84FF7">
            <w:pPr>
              <w:spacing w:after="0" w:line="240" w:lineRule="auto"/>
              <w:ind w:right="-48"/>
              <w:jc w:val="both"/>
              <w:rPr>
                <w:rFonts w:ascii="Arial" w:eastAsia="Times New Roman" w:hAnsi="Arial" w:cs="Arial"/>
                <w:color w:val="000000"/>
                <w:sz w:val="20"/>
                <w:lang w:eastAsia="es-MX"/>
              </w:rPr>
            </w:pPr>
          </w:p>
          <w:p w14:paraId="7606801D" w14:textId="77777777" w:rsidR="00B36EBB" w:rsidRDefault="00FF6076" w:rsidP="00B36EBB">
            <w:pPr>
              <w:spacing w:after="0" w:line="240" w:lineRule="auto"/>
              <w:ind w:right="-48"/>
              <w:jc w:val="both"/>
              <w:rPr>
                <w:rFonts w:ascii="Arial" w:eastAsia="Times New Roman" w:hAnsi="Arial" w:cs="Arial"/>
                <w:color w:val="000000"/>
                <w:sz w:val="20"/>
                <w:lang w:eastAsia="es-MX"/>
              </w:rPr>
            </w:pPr>
            <w:r>
              <w:rPr>
                <w:rFonts w:ascii="Arial" w:eastAsia="Times New Roman" w:hAnsi="Arial" w:cs="Arial"/>
                <w:color w:val="000000"/>
                <w:sz w:val="20"/>
                <w:lang w:eastAsia="es-MX"/>
              </w:rPr>
              <w:t>Se propone actualizar las tarifas de ORCI para el año 2025 por las siguientes razones:</w:t>
            </w:r>
          </w:p>
          <w:p w14:paraId="726DCB19" w14:textId="77777777" w:rsidR="00FF6076" w:rsidRPr="00E443EF" w:rsidRDefault="00FF6076" w:rsidP="00B36EBB">
            <w:pPr>
              <w:spacing w:after="0" w:line="240" w:lineRule="auto"/>
              <w:ind w:right="-48"/>
              <w:jc w:val="both"/>
              <w:rPr>
                <w:rFonts w:ascii="Arial" w:eastAsia="Times New Roman" w:hAnsi="Arial" w:cs="Arial"/>
                <w:color w:val="000000"/>
                <w:sz w:val="20"/>
                <w:lang w:eastAsia="es-MX"/>
              </w:rPr>
            </w:pPr>
          </w:p>
          <w:p w14:paraId="791573F1" w14:textId="77777777" w:rsidR="00FF6076" w:rsidRPr="00FF6076" w:rsidRDefault="00950414" w:rsidP="007F2C1A">
            <w:pPr>
              <w:pStyle w:val="Prrafodelista"/>
              <w:numPr>
                <w:ilvl w:val="0"/>
                <w:numId w:val="14"/>
              </w:numPr>
              <w:spacing w:after="0" w:line="240" w:lineRule="auto"/>
              <w:ind w:left="71" w:right="-48" w:hanging="5"/>
              <w:jc w:val="both"/>
              <w:rPr>
                <w:rFonts w:ascii="Arial" w:eastAsia="Times New Roman" w:hAnsi="Arial" w:cs="Arial"/>
                <w:color w:val="000000"/>
                <w:sz w:val="20"/>
                <w:szCs w:val="20"/>
                <w:lang w:eastAsia="es-MX"/>
              </w:rPr>
            </w:pPr>
            <w:r w:rsidRPr="00FF6076">
              <w:rPr>
                <w:rFonts w:ascii="Arial" w:eastAsia="Times New Roman" w:hAnsi="Arial" w:cs="Arial"/>
                <w:color w:val="000000"/>
                <w:sz w:val="20"/>
                <w:szCs w:val="20"/>
                <w:lang w:eastAsia="es-MX"/>
              </w:rPr>
              <w:t xml:space="preserve">Servicio de “Acceso y Uso de Espacio  </w:t>
            </w:r>
            <w:r w:rsidR="00FF6076" w:rsidRPr="00FF6076">
              <w:rPr>
                <w:rFonts w:ascii="Arial" w:eastAsia="Times New Roman" w:hAnsi="Arial" w:cs="Arial"/>
                <w:color w:val="000000"/>
                <w:sz w:val="20"/>
                <w:szCs w:val="20"/>
                <w:lang w:eastAsia="es-MX"/>
              </w:rPr>
              <w:t>en Torre</w:t>
            </w:r>
          </w:p>
          <w:p w14:paraId="470DDA1D" w14:textId="77777777" w:rsidR="00FF6076" w:rsidRPr="00FF6076" w:rsidRDefault="00FF6076" w:rsidP="007F2C1A">
            <w:pPr>
              <w:pStyle w:val="Sangra3detindependiente"/>
              <w:ind w:left="71" w:hanging="5"/>
              <w:rPr>
                <w:rFonts w:cs="Arial"/>
                <w:sz w:val="20"/>
                <w:lang w:val="es-MX"/>
              </w:rPr>
            </w:pPr>
            <w:r w:rsidRPr="00FF6076">
              <w:rPr>
                <w:rFonts w:cs="Arial"/>
                <w:sz w:val="20"/>
              </w:rPr>
              <w:t xml:space="preserve">Esta propuesta de Tarifas para el Servicio de Compartición de Infraestructura Pasiva, para el servicio “Espacio en </w:t>
            </w:r>
            <w:r w:rsidRPr="00FF6076">
              <w:rPr>
                <w:rFonts w:cs="Arial"/>
                <w:sz w:val="20"/>
                <w:lang w:val="es-MX"/>
              </w:rPr>
              <w:t>Torre</w:t>
            </w:r>
            <w:r w:rsidRPr="00FF6076">
              <w:rPr>
                <w:rFonts w:cs="Arial"/>
                <w:sz w:val="20"/>
              </w:rPr>
              <w:t xml:space="preserve">”, que se presenta, considera </w:t>
            </w:r>
            <w:r w:rsidRPr="00FF6076">
              <w:rPr>
                <w:rFonts w:cs="Arial"/>
                <w:sz w:val="20"/>
                <w:lang w:val="es-MX"/>
              </w:rPr>
              <w:t>esencialmente actualizar, con los valores reales de Telmex y Telnor, la “</w:t>
            </w:r>
            <w:r w:rsidRPr="00FF6076">
              <w:rPr>
                <w:rFonts w:cs="Arial"/>
                <w:b/>
                <w:bCs/>
                <w:sz w:val="20"/>
                <w:lang w:val="es-MX"/>
              </w:rPr>
              <w:t>demanda de ocupación en torre (número de franjas)</w:t>
            </w:r>
            <w:r w:rsidRPr="00FF6076">
              <w:rPr>
                <w:rFonts w:cs="Arial"/>
                <w:sz w:val="20"/>
                <w:lang w:val="es-MX"/>
              </w:rPr>
              <w:t xml:space="preserve">” dentro del modelo de costos de acceso a torres. La última información con la que cuenta el Instituto respecto a dicha variable considera un promedio de ocupación en torre de </w:t>
            </w:r>
            <w:r w:rsidRPr="00FF6076">
              <w:rPr>
                <w:rFonts w:cs="Arial"/>
                <w:b/>
                <w:bCs/>
                <w:sz w:val="20"/>
                <w:lang w:val="es-MX"/>
              </w:rPr>
              <w:t>1.6</w:t>
            </w:r>
            <w:r w:rsidRPr="00FF6076">
              <w:rPr>
                <w:rFonts w:cs="Arial"/>
                <w:sz w:val="20"/>
                <w:lang w:val="es-MX"/>
              </w:rPr>
              <w:t>, lo cual permitirá a mis mandantes contar con una contraprestación más acorde a lo observado en el mercado por el mismo servicio; además, el empleo de dicha variable dentro del modelo se adecúa más a la correcta recuperación de costos de mis mandantes respecto a este servicio a través del modelo de costos de torres. Es importante señalar que la diferencia porcentual del promedio estimado por el Instituto (</w:t>
            </w:r>
            <w:r w:rsidRPr="00FF6076">
              <w:rPr>
                <w:rFonts w:cs="Arial"/>
                <w:b/>
                <w:bCs/>
                <w:sz w:val="20"/>
                <w:lang w:val="es-MX"/>
              </w:rPr>
              <w:t>3.32 franjas</w:t>
            </w:r>
            <w:r w:rsidRPr="00FF6076">
              <w:rPr>
                <w:rFonts w:cs="Arial"/>
                <w:sz w:val="20"/>
                <w:lang w:val="es-MX"/>
              </w:rPr>
              <w:t>) y el promedio de lo que realmente es ocupado en las torres de mis mandantes (</w:t>
            </w:r>
            <w:r w:rsidRPr="00FF6076">
              <w:rPr>
                <w:rFonts w:cs="Arial"/>
                <w:b/>
                <w:bCs/>
                <w:sz w:val="20"/>
                <w:lang w:val="es-MX"/>
              </w:rPr>
              <w:t>1.6 franjas</w:t>
            </w:r>
            <w:r w:rsidRPr="00FF6076">
              <w:rPr>
                <w:rFonts w:cs="Arial"/>
                <w:sz w:val="20"/>
                <w:lang w:val="es-MX"/>
              </w:rPr>
              <w:t>) es del 51.7%, lo cual resulta excesivo; cuantimás cuando, la venta reciente de torres por parte de mis representadas y que es del conocimiento del Instituto, implica necesariamente que la demanda de ocupación en torre (número de franjas) es actualmente mucho menor que la referida previamente.</w:t>
            </w:r>
          </w:p>
          <w:p w14:paraId="79756439" w14:textId="77777777" w:rsidR="00FF6076" w:rsidRPr="00FF6076" w:rsidRDefault="00FF6076" w:rsidP="00FF6076">
            <w:pPr>
              <w:pStyle w:val="Sangra3detindependiente"/>
              <w:ind w:left="709" w:firstLine="0"/>
              <w:rPr>
                <w:rFonts w:cs="Arial"/>
                <w:sz w:val="20"/>
                <w:lang w:val="es-MX"/>
              </w:rPr>
            </w:pPr>
          </w:p>
          <w:p w14:paraId="2792C8CF" w14:textId="0F4C0610" w:rsidR="00FF6076" w:rsidRPr="007F2C1A" w:rsidRDefault="00FF6076" w:rsidP="007F2C1A">
            <w:pPr>
              <w:pStyle w:val="Sangra3detindependiente"/>
              <w:ind w:left="71" w:hanging="5"/>
              <w:rPr>
                <w:rFonts w:cs="Arial"/>
                <w:sz w:val="20"/>
              </w:rPr>
            </w:pPr>
            <w:r w:rsidRPr="007F2C1A">
              <w:rPr>
                <w:rFonts w:cs="Arial"/>
                <w:sz w:val="20"/>
              </w:rPr>
              <w:t xml:space="preserve">Por lo anterior, se solicita al Instituto emplear valores reales para la demanda de ocupación de torre (número de franjas), con un promedio máximo de 1.6, dentro del modelo de costos de acceso a torres DM para 2025. En otro caso se solicita al Instituto que emplee una </w:t>
            </w:r>
            <w:r w:rsidRPr="007F2C1A">
              <w:rPr>
                <w:rFonts w:cs="Arial"/>
                <w:sz w:val="20"/>
              </w:rPr>
              <w:lastRenderedPageBreak/>
              <w:t>estimación más cercana a la reportada</w:t>
            </w:r>
            <w:r w:rsidRPr="0003265B">
              <w:rPr>
                <w:rFonts w:eastAsiaTheme="minorHAnsi" w:cs="Arial"/>
                <w:sz w:val="22"/>
                <w:szCs w:val="22"/>
                <w:vertAlign w:val="superscript"/>
                <w:lang w:val="es-MX"/>
              </w:rPr>
              <w:footnoteReference w:id="1"/>
            </w:r>
            <w:r w:rsidRPr="007F2C1A">
              <w:rPr>
                <w:rFonts w:cs="Arial"/>
                <w:sz w:val="20"/>
              </w:rPr>
              <w:t xml:space="preserve"> por mis mandantes dentro del modelo de costos para el acceso a torres con el que determinará tarifas para el servicio de espacio en torres para 2025.</w:t>
            </w:r>
          </w:p>
          <w:p w14:paraId="452E6878" w14:textId="77777777" w:rsidR="00FF6076" w:rsidRPr="007F2C1A" w:rsidRDefault="00FF6076" w:rsidP="007F2C1A">
            <w:pPr>
              <w:pStyle w:val="Sangra3detindependiente"/>
              <w:ind w:left="71" w:hanging="5"/>
              <w:rPr>
                <w:rFonts w:cs="Arial"/>
                <w:sz w:val="20"/>
              </w:rPr>
            </w:pPr>
          </w:p>
          <w:p w14:paraId="206A9112" w14:textId="77777777" w:rsidR="00FF6076" w:rsidRPr="007F2C1A" w:rsidRDefault="00FF6076" w:rsidP="007F2C1A">
            <w:pPr>
              <w:pStyle w:val="Sangra3detindependiente"/>
              <w:ind w:left="71" w:hanging="5"/>
              <w:rPr>
                <w:rFonts w:cs="Arial"/>
                <w:sz w:val="20"/>
              </w:rPr>
            </w:pPr>
            <w:r w:rsidRPr="007F2C1A">
              <w:rPr>
                <w:rFonts w:cs="Arial"/>
                <w:sz w:val="20"/>
              </w:rPr>
              <w:t>En tal virtud, sólo a través de dichas tarifas Telmex y Telnor estarían en posibilidad de recuperar, cuando menos, los costos reales en los que incurren por la prestación de los servicios.</w:t>
            </w:r>
          </w:p>
          <w:p w14:paraId="334C3256" w14:textId="77777777" w:rsidR="00FF6076" w:rsidRPr="007F2C1A" w:rsidRDefault="00FF6076" w:rsidP="007F2C1A">
            <w:pPr>
              <w:pStyle w:val="Sangra3detindependiente"/>
              <w:ind w:left="71" w:hanging="5"/>
              <w:rPr>
                <w:rFonts w:cs="Arial"/>
                <w:sz w:val="20"/>
              </w:rPr>
            </w:pPr>
          </w:p>
          <w:p w14:paraId="0D33DC12" w14:textId="77777777" w:rsidR="00FF6076" w:rsidRDefault="00FF6076" w:rsidP="00FF6076">
            <w:pPr>
              <w:pStyle w:val="Prrafodelista"/>
              <w:spacing w:after="0" w:line="240" w:lineRule="auto"/>
              <w:ind w:left="360" w:right="-48"/>
              <w:jc w:val="both"/>
              <w:rPr>
                <w:rFonts w:ascii="Arial" w:eastAsia="Times New Roman" w:hAnsi="Arial" w:cs="Arial"/>
                <w:color w:val="000000"/>
                <w:sz w:val="20"/>
                <w:lang w:eastAsia="es-MX"/>
              </w:rPr>
            </w:pPr>
          </w:p>
          <w:p w14:paraId="198E5550" w14:textId="77777777" w:rsidR="00FF6076" w:rsidRPr="00E443EF" w:rsidRDefault="00FF6076" w:rsidP="00FF6076">
            <w:pPr>
              <w:pStyle w:val="Prrafodelista"/>
              <w:numPr>
                <w:ilvl w:val="0"/>
                <w:numId w:val="14"/>
              </w:numPr>
              <w:spacing w:after="0" w:line="240" w:lineRule="auto"/>
              <w:ind w:right="-48"/>
              <w:jc w:val="both"/>
              <w:rPr>
                <w:rFonts w:ascii="Arial" w:eastAsia="Times New Roman" w:hAnsi="Arial" w:cs="Arial"/>
                <w:color w:val="000000"/>
                <w:sz w:val="20"/>
                <w:lang w:eastAsia="es-MX"/>
              </w:rPr>
            </w:pPr>
            <w:r w:rsidRPr="00E443EF">
              <w:rPr>
                <w:rFonts w:ascii="Arial" w:eastAsia="Times New Roman" w:hAnsi="Arial" w:cs="Arial"/>
                <w:color w:val="000000"/>
                <w:sz w:val="20"/>
                <w:lang w:eastAsia="es-MX"/>
              </w:rPr>
              <w:t xml:space="preserve">Servicio de “Acceso y Uso de Espacio  Aprobado </w:t>
            </w:r>
            <w:r w:rsidR="007F2C1A">
              <w:rPr>
                <w:rFonts w:ascii="Arial" w:eastAsia="Times New Roman" w:hAnsi="Arial" w:cs="Arial"/>
                <w:color w:val="000000"/>
                <w:sz w:val="20"/>
                <w:lang w:eastAsia="es-MX"/>
              </w:rPr>
              <w:t>en Piso</w:t>
            </w:r>
          </w:p>
          <w:p w14:paraId="046BAF70" w14:textId="77777777" w:rsidR="007F2C1A" w:rsidRPr="007F2C1A" w:rsidRDefault="007F2C1A" w:rsidP="007F2C1A">
            <w:pPr>
              <w:spacing w:after="0" w:line="240" w:lineRule="auto"/>
              <w:ind w:right="-48"/>
              <w:jc w:val="both"/>
              <w:rPr>
                <w:rFonts w:ascii="Arial" w:hAnsi="Arial" w:cs="Arial"/>
                <w:bCs/>
                <w:sz w:val="20"/>
              </w:rPr>
            </w:pPr>
          </w:p>
          <w:p w14:paraId="32361934" w14:textId="77777777" w:rsidR="007F2C1A" w:rsidRPr="007F2C1A" w:rsidRDefault="007F2C1A" w:rsidP="007F2C1A">
            <w:pPr>
              <w:spacing w:after="0" w:line="240" w:lineRule="auto"/>
              <w:ind w:right="-48"/>
              <w:jc w:val="both"/>
              <w:rPr>
                <w:rFonts w:ascii="Arial" w:hAnsi="Arial" w:cs="Arial"/>
                <w:bCs/>
                <w:sz w:val="20"/>
              </w:rPr>
            </w:pPr>
            <w:r w:rsidRPr="007F2C1A">
              <w:rPr>
                <w:rFonts w:ascii="Arial" w:hAnsi="Arial" w:cs="Arial"/>
                <w:bCs/>
                <w:sz w:val="20"/>
              </w:rPr>
              <w:t>Las tarifas que en este acto se someten a revisión y aprobación del Instituto reflejan tanto el incremento que se ha verificado en los costos que enfrentan mis representadas para estar en posibilidad de proveer los servicios, así como los precios del mercado.</w:t>
            </w:r>
          </w:p>
          <w:p w14:paraId="6071BE99" w14:textId="77777777" w:rsidR="007F2C1A" w:rsidRPr="007F2C1A" w:rsidRDefault="007F2C1A" w:rsidP="007F2C1A">
            <w:pPr>
              <w:spacing w:after="0" w:line="240" w:lineRule="auto"/>
              <w:ind w:right="-48"/>
              <w:jc w:val="both"/>
              <w:rPr>
                <w:rFonts w:ascii="Arial" w:hAnsi="Arial" w:cs="Arial"/>
                <w:bCs/>
                <w:sz w:val="20"/>
              </w:rPr>
            </w:pPr>
          </w:p>
          <w:p w14:paraId="06A9E434" w14:textId="77777777" w:rsidR="007F2C1A" w:rsidRPr="007F2C1A" w:rsidRDefault="007F2C1A" w:rsidP="007F2C1A">
            <w:pPr>
              <w:spacing w:after="0" w:line="240" w:lineRule="auto"/>
              <w:ind w:right="-48"/>
              <w:jc w:val="both"/>
              <w:rPr>
                <w:rFonts w:ascii="Arial" w:hAnsi="Arial" w:cs="Arial"/>
                <w:bCs/>
                <w:sz w:val="20"/>
              </w:rPr>
            </w:pPr>
            <w:r w:rsidRPr="007F2C1A">
              <w:rPr>
                <w:rFonts w:ascii="Arial" w:hAnsi="Arial" w:cs="Arial"/>
                <w:bCs/>
                <w:sz w:val="20"/>
              </w:rPr>
              <w:t>Esta propuesta de Tarifas para el Servicio de Compartición de Infraestructura Pasiva, para el servicio “Espacio en Piso”, que se presenta, considera 2 elementos: i) los incrementos generalizados en los costos de los insumos que se presentaron durante el 2023 y lo que va del 2024 y ii) el aumento salarial que otorgó mis representadas:</w:t>
            </w:r>
          </w:p>
          <w:p w14:paraId="3EA45297" w14:textId="77777777" w:rsidR="007F2C1A" w:rsidRPr="007F2C1A" w:rsidRDefault="007F2C1A" w:rsidP="007F2C1A">
            <w:pPr>
              <w:spacing w:after="0" w:line="240" w:lineRule="auto"/>
              <w:ind w:right="-48"/>
              <w:jc w:val="both"/>
              <w:rPr>
                <w:rFonts w:ascii="Arial" w:hAnsi="Arial" w:cs="Arial"/>
                <w:bCs/>
                <w:sz w:val="20"/>
              </w:rPr>
            </w:pPr>
          </w:p>
          <w:p w14:paraId="4101516F" w14:textId="77777777" w:rsidR="007F2C1A" w:rsidRPr="007F2C1A" w:rsidRDefault="00F805D5" w:rsidP="007F2C1A">
            <w:pPr>
              <w:spacing w:after="0" w:line="240" w:lineRule="auto"/>
              <w:ind w:right="-48"/>
              <w:jc w:val="both"/>
              <w:rPr>
                <w:rFonts w:ascii="Arial" w:hAnsi="Arial" w:cs="Arial"/>
                <w:bCs/>
                <w:sz w:val="20"/>
              </w:rPr>
            </w:pPr>
            <w:r>
              <w:rPr>
                <w:rFonts w:ascii="Arial" w:hAnsi="Arial" w:cs="Arial"/>
                <w:bCs/>
                <w:sz w:val="20"/>
              </w:rPr>
              <w:t>•</w:t>
            </w:r>
            <w:r w:rsidR="007F2C1A" w:rsidRPr="007F2C1A">
              <w:rPr>
                <w:rFonts w:ascii="Arial" w:hAnsi="Arial" w:cs="Arial"/>
                <w:bCs/>
                <w:sz w:val="20"/>
              </w:rPr>
              <w:t xml:space="preserve">El 5.7% de inflación acumulada entre enero de 2023 y junio de 2024. </w:t>
            </w:r>
          </w:p>
          <w:p w14:paraId="6A9DDC59" w14:textId="77777777" w:rsidR="007F2C1A" w:rsidRPr="007F2C1A" w:rsidRDefault="007F2C1A" w:rsidP="007F2C1A">
            <w:pPr>
              <w:spacing w:after="0" w:line="240" w:lineRule="auto"/>
              <w:ind w:right="-48"/>
              <w:jc w:val="both"/>
              <w:rPr>
                <w:rFonts w:ascii="Arial" w:hAnsi="Arial" w:cs="Arial"/>
                <w:bCs/>
                <w:sz w:val="20"/>
              </w:rPr>
            </w:pPr>
          </w:p>
          <w:p w14:paraId="451B380B" w14:textId="77777777" w:rsidR="007F2C1A" w:rsidRPr="007F2C1A" w:rsidRDefault="007F2C1A" w:rsidP="007F2C1A">
            <w:pPr>
              <w:spacing w:after="0" w:line="240" w:lineRule="auto"/>
              <w:ind w:right="-48"/>
              <w:jc w:val="both"/>
              <w:rPr>
                <w:rFonts w:ascii="Arial" w:hAnsi="Arial" w:cs="Arial"/>
                <w:bCs/>
                <w:sz w:val="20"/>
              </w:rPr>
            </w:pPr>
            <w:r w:rsidRPr="007F2C1A">
              <w:rPr>
                <w:rFonts w:ascii="Arial" w:hAnsi="Arial" w:cs="Arial"/>
                <w:bCs/>
                <w:sz w:val="20"/>
              </w:rPr>
              <w:t>El aumento inflacionario del 5.7% registrado en el período de enero de 2023 a junio de 2024 es una señal de la persistente presión sobre los precios en la economía. Este incremento significativo en el índice de precios al consumidor tiene implicaciones importantes en diversos aspectos socioeconómicos y requiere una atención cuidadosa, por parte de las autoridades, principalmente cuando los precios se determinan a través de modelos de costos.</w:t>
            </w:r>
          </w:p>
          <w:p w14:paraId="4041E58C" w14:textId="77777777" w:rsidR="007F2C1A" w:rsidRPr="007F2C1A" w:rsidRDefault="007F2C1A" w:rsidP="007F2C1A">
            <w:pPr>
              <w:spacing w:after="0" w:line="240" w:lineRule="auto"/>
              <w:ind w:right="-48"/>
              <w:jc w:val="both"/>
              <w:rPr>
                <w:rFonts w:ascii="Arial" w:hAnsi="Arial" w:cs="Arial"/>
                <w:bCs/>
                <w:sz w:val="20"/>
              </w:rPr>
            </w:pPr>
          </w:p>
          <w:p w14:paraId="3B1006BF" w14:textId="77777777" w:rsidR="007F2C1A" w:rsidRPr="007F2C1A" w:rsidRDefault="007F2C1A" w:rsidP="007F2C1A">
            <w:pPr>
              <w:spacing w:after="0" w:line="240" w:lineRule="auto"/>
              <w:ind w:right="-48"/>
              <w:jc w:val="both"/>
              <w:rPr>
                <w:rFonts w:ascii="Arial" w:hAnsi="Arial" w:cs="Arial"/>
                <w:bCs/>
                <w:sz w:val="20"/>
              </w:rPr>
            </w:pPr>
            <w:r w:rsidRPr="007F2C1A">
              <w:rPr>
                <w:rFonts w:ascii="Arial" w:hAnsi="Arial" w:cs="Arial"/>
                <w:bCs/>
                <w:sz w:val="20"/>
              </w:rPr>
              <w:t>La inflación desincentiva la inversión a largo plazo y puede llevar a un mayor endeudamiento para cubrir las necesidades financieras actuales.</w:t>
            </w:r>
          </w:p>
          <w:p w14:paraId="70DFB3E3" w14:textId="77777777" w:rsidR="007F2C1A" w:rsidRPr="007F2C1A" w:rsidRDefault="007F2C1A" w:rsidP="007F2C1A">
            <w:pPr>
              <w:spacing w:after="0" w:line="240" w:lineRule="auto"/>
              <w:ind w:right="-48"/>
              <w:jc w:val="both"/>
              <w:rPr>
                <w:rFonts w:ascii="Arial" w:hAnsi="Arial" w:cs="Arial"/>
                <w:bCs/>
                <w:sz w:val="20"/>
              </w:rPr>
            </w:pPr>
          </w:p>
          <w:p w14:paraId="5104F7E3" w14:textId="77777777" w:rsidR="007F2C1A" w:rsidRPr="007F2C1A" w:rsidRDefault="007F2C1A" w:rsidP="007F2C1A">
            <w:pPr>
              <w:spacing w:after="0" w:line="240" w:lineRule="auto"/>
              <w:ind w:right="-48"/>
              <w:jc w:val="both"/>
              <w:rPr>
                <w:rFonts w:ascii="Arial" w:hAnsi="Arial" w:cs="Arial"/>
                <w:bCs/>
                <w:sz w:val="20"/>
              </w:rPr>
            </w:pPr>
            <w:r w:rsidRPr="007F2C1A">
              <w:rPr>
                <w:rFonts w:ascii="Arial" w:hAnsi="Arial" w:cs="Arial"/>
                <w:bCs/>
                <w:sz w:val="20"/>
              </w:rPr>
              <w:t>De igual forma, puede generar incertidumbre para las empresas en sus procesos de planificación y toma de decisiones. Los costos de producción y operación pueden aumentar, lo que puede impactar los precios de venta y los márgenes. Esto puede llevar a una mayor volatilidad y dificultad para la toma de decisiones a largo plazo.</w:t>
            </w:r>
          </w:p>
          <w:p w14:paraId="46A69303" w14:textId="77777777" w:rsidR="007F2C1A" w:rsidRPr="007F2C1A" w:rsidRDefault="007F2C1A" w:rsidP="007F2C1A">
            <w:pPr>
              <w:spacing w:after="0" w:line="240" w:lineRule="auto"/>
              <w:ind w:right="-48"/>
              <w:jc w:val="both"/>
              <w:rPr>
                <w:rFonts w:ascii="Arial" w:hAnsi="Arial" w:cs="Arial"/>
                <w:bCs/>
                <w:sz w:val="20"/>
              </w:rPr>
            </w:pPr>
          </w:p>
          <w:p w14:paraId="7F62A1DE" w14:textId="77777777" w:rsidR="007F2C1A" w:rsidRPr="007F2C1A" w:rsidRDefault="007F2C1A" w:rsidP="007F2C1A">
            <w:pPr>
              <w:spacing w:after="0" w:line="240" w:lineRule="auto"/>
              <w:ind w:right="-48"/>
              <w:jc w:val="both"/>
              <w:rPr>
                <w:rFonts w:ascii="Arial" w:hAnsi="Arial" w:cs="Arial"/>
                <w:bCs/>
                <w:sz w:val="20"/>
              </w:rPr>
            </w:pPr>
            <w:r w:rsidRPr="007F2C1A">
              <w:rPr>
                <w:rFonts w:ascii="Arial" w:hAnsi="Arial" w:cs="Arial"/>
                <w:bCs/>
                <w:sz w:val="20"/>
              </w:rPr>
              <w:t>En adición a lo anterior, el aumento inflacionario en los últimos 3 años (19.09%)</w:t>
            </w:r>
            <w:r w:rsidR="00F805D5" w:rsidRPr="003715E4">
              <w:rPr>
                <w:rFonts w:ascii="Arial" w:hAnsi="Arial" w:cs="Arial"/>
                <w:vertAlign w:val="superscript"/>
              </w:rPr>
              <w:footnoteReference w:id="2"/>
            </w:r>
            <w:r w:rsidRPr="007F2C1A">
              <w:rPr>
                <w:rFonts w:ascii="Arial" w:hAnsi="Arial" w:cs="Arial"/>
                <w:bCs/>
                <w:sz w:val="20"/>
              </w:rPr>
              <w:t xml:space="preserve">  ha ejercido una notable presión sobre el sector de telecomunicaciones, llevando a que los competidores en esta industria hayan incrementado significativamente sus precios, con ajustes considerables en sus tarifas mensuales desde 2022</w:t>
            </w:r>
            <w:r w:rsidR="00F805D5" w:rsidRPr="003715E4">
              <w:rPr>
                <w:rFonts w:ascii="Arial" w:hAnsi="Arial" w:cs="Arial"/>
                <w:vertAlign w:val="superscript"/>
              </w:rPr>
              <w:footnoteReference w:id="3"/>
            </w:r>
            <w:r w:rsidR="00F805D5" w:rsidRPr="003715E4">
              <w:rPr>
                <w:rFonts w:ascii="Arial" w:hAnsi="Arial" w:cs="Arial"/>
                <w:vertAlign w:val="superscript"/>
              </w:rPr>
              <w:t>y</w:t>
            </w:r>
            <w:r w:rsidR="00F805D5" w:rsidRPr="003715E4">
              <w:rPr>
                <w:rFonts w:ascii="Arial" w:hAnsi="Arial" w:cs="Arial"/>
                <w:vertAlign w:val="superscript"/>
              </w:rPr>
              <w:footnoteReference w:id="4"/>
            </w:r>
            <w:r w:rsidRPr="007F2C1A">
              <w:rPr>
                <w:rFonts w:ascii="Arial" w:hAnsi="Arial" w:cs="Arial"/>
                <w:bCs/>
                <w:sz w:val="20"/>
              </w:rPr>
              <w:t>, en el año 2023</w:t>
            </w:r>
            <w:r w:rsidR="00F805D5" w:rsidRPr="003715E4">
              <w:rPr>
                <w:rFonts w:ascii="Arial" w:hAnsi="Arial" w:cs="Arial"/>
                <w:vertAlign w:val="superscript"/>
              </w:rPr>
              <w:footnoteReference w:id="5"/>
            </w:r>
            <w:r w:rsidR="00F805D5" w:rsidRPr="003715E4">
              <w:rPr>
                <w:rFonts w:ascii="Arial" w:hAnsi="Arial" w:cs="Arial"/>
                <w:vertAlign w:val="superscript"/>
              </w:rPr>
              <w:t>,</w:t>
            </w:r>
            <w:r w:rsidR="00F805D5" w:rsidRPr="003715E4">
              <w:rPr>
                <w:rFonts w:ascii="Arial" w:hAnsi="Arial" w:cs="Arial"/>
                <w:vertAlign w:val="superscript"/>
              </w:rPr>
              <w:footnoteReference w:id="6"/>
            </w:r>
            <w:r w:rsidR="00F805D5">
              <w:rPr>
                <w:rFonts w:ascii="Arial" w:hAnsi="Arial" w:cs="Arial"/>
                <w:vertAlign w:val="superscript"/>
              </w:rPr>
              <w:t xml:space="preserve"> </w:t>
            </w:r>
            <w:r w:rsidR="00F805D5" w:rsidRPr="003715E4">
              <w:rPr>
                <w:rFonts w:ascii="Arial" w:hAnsi="Arial" w:cs="Arial"/>
                <w:vertAlign w:val="superscript"/>
              </w:rPr>
              <w:t>y</w:t>
            </w:r>
            <w:r w:rsidR="00F805D5">
              <w:rPr>
                <w:rFonts w:ascii="Arial" w:hAnsi="Arial" w:cs="Arial"/>
                <w:vertAlign w:val="superscript"/>
              </w:rPr>
              <w:t xml:space="preserve"> </w:t>
            </w:r>
            <w:r w:rsidR="00F805D5" w:rsidRPr="003715E4">
              <w:rPr>
                <w:rFonts w:ascii="Arial" w:hAnsi="Arial" w:cs="Arial"/>
                <w:vertAlign w:val="superscript"/>
              </w:rPr>
              <w:footnoteReference w:id="7"/>
            </w:r>
            <w:r w:rsidRPr="007F2C1A">
              <w:rPr>
                <w:rFonts w:ascii="Arial" w:hAnsi="Arial" w:cs="Arial"/>
                <w:bCs/>
                <w:sz w:val="20"/>
              </w:rPr>
              <w:t xml:space="preserve"> y lo que va de 2024. </w:t>
            </w:r>
          </w:p>
          <w:p w14:paraId="05E8C24E" w14:textId="77777777" w:rsidR="007F2C1A" w:rsidRPr="007F2C1A" w:rsidRDefault="007F2C1A" w:rsidP="007F2C1A">
            <w:pPr>
              <w:spacing w:after="0" w:line="240" w:lineRule="auto"/>
              <w:ind w:right="-48"/>
              <w:jc w:val="both"/>
              <w:rPr>
                <w:rFonts w:ascii="Arial" w:hAnsi="Arial" w:cs="Arial"/>
                <w:bCs/>
                <w:sz w:val="20"/>
              </w:rPr>
            </w:pPr>
          </w:p>
          <w:p w14:paraId="4D72D92A" w14:textId="77777777" w:rsidR="007F2C1A" w:rsidRPr="007F2C1A" w:rsidRDefault="00F805D5" w:rsidP="007F2C1A">
            <w:pPr>
              <w:spacing w:after="0" w:line="240" w:lineRule="auto"/>
              <w:ind w:right="-48"/>
              <w:jc w:val="both"/>
              <w:rPr>
                <w:rFonts w:ascii="Arial" w:hAnsi="Arial" w:cs="Arial"/>
                <w:bCs/>
                <w:sz w:val="20"/>
              </w:rPr>
            </w:pPr>
            <w:r>
              <w:rPr>
                <w:rFonts w:ascii="Arial" w:hAnsi="Arial" w:cs="Arial"/>
                <w:bCs/>
                <w:sz w:val="20"/>
              </w:rPr>
              <w:t>•</w:t>
            </w:r>
            <w:r w:rsidR="007F2C1A" w:rsidRPr="007F2C1A">
              <w:rPr>
                <w:rFonts w:ascii="Arial" w:hAnsi="Arial" w:cs="Arial"/>
                <w:bCs/>
                <w:sz w:val="20"/>
              </w:rPr>
              <w:t>Adicionalmente, Telmex otorgó un incremento salarial del 5.1% para los empleados activos y jubilados.</w:t>
            </w:r>
          </w:p>
          <w:p w14:paraId="4A020E41" w14:textId="77777777" w:rsidR="007F2C1A" w:rsidRPr="007F2C1A" w:rsidRDefault="007F2C1A" w:rsidP="007F2C1A">
            <w:pPr>
              <w:spacing w:after="0" w:line="240" w:lineRule="auto"/>
              <w:ind w:right="-48"/>
              <w:jc w:val="both"/>
              <w:rPr>
                <w:rFonts w:ascii="Arial" w:hAnsi="Arial" w:cs="Arial"/>
                <w:bCs/>
                <w:sz w:val="20"/>
              </w:rPr>
            </w:pPr>
          </w:p>
          <w:p w14:paraId="4BE99FF7" w14:textId="77777777" w:rsidR="007F2C1A" w:rsidRPr="007F2C1A" w:rsidRDefault="007F2C1A" w:rsidP="007F2C1A">
            <w:pPr>
              <w:spacing w:after="0" w:line="240" w:lineRule="auto"/>
              <w:ind w:right="-48"/>
              <w:jc w:val="both"/>
              <w:rPr>
                <w:rFonts w:ascii="Arial" w:hAnsi="Arial" w:cs="Arial"/>
                <w:bCs/>
                <w:sz w:val="20"/>
              </w:rPr>
            </w:pPr>
            <w:r w:rsidRPr="007F2C1A">
              <w:rPr>
                <w:rFonts w:ascii="Arial" w:hAnsi="Arial" w:cs="Arial"/>
                <w:bCs/>
                <w:sz w:val="20"/>
              </w:rPr>
              <w:t xml:space="preserve">En este sentido, aplicando tanto el incremento de la inflación como el incremento al salario referido, se obtuvo un aumento de los costos del 11.09%, al costo de mis representadas. Este incremento debe verse reflejado directamente en las tarifas que resuelva el Instituto para el servicio de espacio en piso para 2025. </w:t>
            </w:r>
          </w:p>
          <w:p w14:paraId="5CAAA417" w14:textId="77777777" w:rsidR="007F2C1A" w:rsidRPr="007F2C1A" w:rsidRDefault="007F2C1A" w:rsidP="007F2C1A">
            <w:pPr>
              <w:spacing w:after="0" w:line="240" w:lineRule="auto"/>
              <w:ind w:right="-48"/>
              <w:jc w:val="both"/>
              <w:rPr>
                <w:rFonts w:ascii="Arial" w:hAnsi="Arial" w:cs="Arial"/>
                <w:bCs/>
                <w:sz w:val="20"/>
              </w:rPr>
            </w:pPr>
          </w:p>
          <w:p w14:paraId="1965ECA3" w14:textId="77777777" w:rsidR="007F2C1A" w:rsidRPr="007F2C1A" w:rsidRDefault="007F2C1A" w:rsidP="007F2C1A">
            <w:pPr>
              <w:spacing w:after="0" w:line="240" w:lineRule="auto"/>
              <w:ind w:right="-48"/>
              <w:jc w:val="both"/>
              <w:rPr>
                <w:rFonts w:ascii="Arial" w:hAnsi="Arial" w:cs="Arial"/>
                <w:bCs/>
                <w:sz w:val="20"/>
              </w:rPr>
            </w:pPr>
            <w:r w:rsidRPr="007F2C1A">
              <w:rPr>
                <w:rFonts w:ascii="Arial" w:hAnsi="Arial" w:cs="Arial"/>
                <w:bCs/>
                <w:sz w:val="20"/>
              </w:rPr>
              <w:t xml:space="preserve">Por otro lado, es importante resaltar que año con año el Instituto ha acarreado inconsistencias en su modelo de costos para determinar tarifas en el servicio de espacio en piso y espacio adicional en piso. En efecto, la </w:t>
            </w:r>
            <w:r w:rsidRPr="007F2C1A">
              <w:rPr>
                <w:rFonts w:ascii="Arial" w:hAnsi="Arial" w:cs="Arial"/>
                <w:bCs/>
                <w:sz w:val="20"/>
              </w:rPr>
              <w:lastRenderedPageBreak/>
              <w:t xml:space="preserve">clasificación de dicho servicio por “estratos” </w:t>
            </w:r>
            <w:bookmarkStart w:id="1" w:name="_Hlk172190246"/>
            <w:r w:rsidRPr="007F2C1A">
              <w:rPr>
                <w:rFonts w:ascii="Arial" w:hAnsi="Arial" w:cs="Arial"/>
                <w:bCs/>
                <w:sz w:val="20"/>
              </w:rPr>
              <w:t xml:space="preserve">parte del principio de determinar tarifas decrecientes conforme la clasificación desciende, esto es, la tarifa para el estrato “alto” es la mayor de todas, manteniendo un orden decreciente, de tal forma que para el siguiente estrato, “medio alto”, corresponda una tarifa menor o igual a la anterior, y así sucesivamente. Sin embargo, esto no ha sido el caso, como puede apreciarse en la siguiente </w:t>
            </w:r>
            <w:bookmarkEnd w:id="1"/>
            <w:r w:rsidRPr="007F2C1A">
              <w:rPr>
                <w:rFonts w:ascii="Arial" w:hAnsi="Arial" w:cs="Arial"/>
                <w:bCs/>
                <w:sz w:val="20"/>
              </w:rPr>
              <w:t>tabla:</w:t>
            </w:r>
          </w:p>
          <w:p w14:paraId="7633DA5D" w14:textId="77777777" w:rsidR="00BA3B9B" w:rsidRDefault="007F2C1A" w:rsidP="00890EAF">
            <w:pPr>
              <w:spacing w:after="0" w:line="240" w:lineRule="auto"/>
              <w:ind w:right="-48"/>
              <w:jc w:val="both"/>
              <w:rPr>
                <w:rFonts w:ascii="Arial" w:hAnsi="Arial" w:cs="Arial"/>
                <w:bCs/>
                <w:sz w:val="20"/>
              </w:rPr>
            </w:pPr>
            <w:r w:rsidRPr="007F2C1A">
              <w:rPr>
                <w:rFonts w:ascii="Arial" w:hAnsi="Arial" w:cs="Arial"/>
                <w:bCs/>
                <w:sz w:val="20"/>
              </w:rPr>
              <w:t xml:space="preserve"> </w:t>
            </w:r>
            <w:r w:rsidR="00890EAF" w:rsidRPr="00701F57">
              <w:rPr>
                <w:rFonts w:eastAsia="Calibri"/>
                <w:noProof/>
                <w:lang w:eastAsia="es-MX"/>
              </w:rPr>
              <w:drawing>
                <wp:inline distT="0" distB="0" distL="0" distR="0" wp14:anchorId="1E9A9533" wp14:editId="2B5A9314">
                  <wp:extent cx="3130906" cy="1043940"/>
                  <wp:effectExtent l="0" t="0" r="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74500" cy="1058476"/>
                          </a:xfrm>
                          <a:prstGeom prst="rect">
                            <a:avLst/>
                          </a:prstGeom>
                          <a:noFill/>
                          <a:ln>
                            <a:noFill/>
                          </a:ln>
                        </pic:spPr>
                      </pic:pic>
                    </a:graphicData>
                  </a:graphic>
                </wp:inline>
              </w:drawing>
            </w:r>
          </w:p>
          <w:p w14:paraId="3E4D27FB" w14:textId="77777777" w:rsidR="00890EAF" w:rsidRPr="00890EAF" w:rsidRDefault="00890EAF" w:rsidP="00890EAF">
            <w:pPr>
              <w:pStyle w:val="Sangra3detindependiente"/>
              <w:ind w:firstLine="12"/>
              <w:jc w:val="center"/>
              <w:rPr>
                <w:rFonts w:eastAsia="Calibri" w:cs="Arial"/>
                <w:b/>
                <w:bCs/>
                <w:i/>
                <w:iCs/>
                <w:sz w:val="16"/>
                <w:lang w:val="es-MX" w:eastAsia="x-none"/>
              </w:rPr>
            </w:pPr>
            <w:r w:rsidRPr="00890EAF">
              <w:rPr>
                <w:rFonts w:eastAsia="Calibri" w:cs="Arial"/>
                <w:b/>
                <w:bCs/>
                <w:i/>
                <w:iCs/>
                <w:sz w:val="14"/>
                <w:szCs w:val="18"/>
                <w:lang w:val="es-MX" w:eastAsia="x-none"/>
              </w:rPr>
              <w:t>Fuente: Elaboración propia con información de la ORCI 2024</w:t>
            </w:r>
          </w:p>
          <w:p w14:paraId="3103AE50" w14:textId="77777777" w:rsidR="00890EAF" w:rsidRDefault="00890EAF" w:rsidP="00F805D5">
            <w:pPr>
              <w:spacing w:after="0" w:line="240" w:lineRule="auto"/>
              <w:ind w:right="-48"/>
              <w:jc w:val="both"/>
              <w:rPr>
                <w:rFonts w:ascii="Arial" w:hAnsi="Arial" w:cs="Arial"/>
                <w:bCs/>
                <w:sz w:val="20"/>
              </w:rPr>
            </w:pPr>
          </w:p>
          <w:p w14:paraId="7542FCA4" w14:textId="77777777" w:rsidR="00890EAF" w:rsidRPr="00890EAF" w:rsidRDefault="00890EAF" w:rsidP="00890EAF">
            <w:pPr>
              <w:spacing w:after="0" w:line="240" w:lineRule="auto"/>
              <w:ind w:right="-48"/>
              <w:jc w:val="both"/>
              <w:rPr>
                <w:rFonts w:ascii="Arial" w:hAnsi="Arial" w:cs="Arial"/>
                <w:bCs/>
                <w:sz w:val="20"/>
              </w:rPr>
            </w:pPr>
            <w:r w:rsidRPr="00890EAF">
              <w:rPr>
                <w:rFonts w:ascii="Arial" w:hAnsi="Arial" w:cs="Arial"/>
                <w:bCs/>
                <w:sz w:val="20"/>
              </w:rPr>
              <w:t xml:space="preserve">Como puede apreciarse de la tabla anterior, en el estrato “medio” se observa dicha incongruencia (resaltado en color naranja), ya que los precios vigentes en 2024 para esta clasificación </w:t>
            </w:r>
            <w:r w:rsidRPr="00890EAF">
              <w:rPr>
                <w:rFonts w:ascii="Arial" w:hAnsi="Arial" w:cs="Arial"/>
                <w:b/>
                <w:bCs/>
                <w:sz w:val="20"/>
              </w:rPr>
              <w:t>(medio)</w:t>
            </w:r>
            <w:r w:rsidRPr="00890EAF">
              <w:rPr>
                <w:rFonts w:ascii="Arial" w:hAnsi="Arial" w:cs="Arial"/>
                <w:bCs/>
                <w:sz w:val="20"/>
              </w:rPr>
              <w:t xml:space="preserve"> es sustancialmente menor </w:t>
            </w:r>
            <w:r w:rsidRPr="00890EAF">
              <w:rPr>
                <w:rFonts w:ascii="Arial" w:hAnsi="Arial" w:cs="Arial"/>
                <w:b/>
                <w:bCs/>
                <w:sz w:val="20"/>
              </w:rPr>
              <w:t>(-41%)</w:t>
            </w:r>
            <w:r w:rsidRPr="00890EAF">
              <w:rPr>
                <w:rFonts w:ascii="Arial" w:hAnsi="Arial" w:cs="Arial"/>
                <w:bCs/>
                <w:sz w:val="20"/>
              </w:rPr>
              <w:t xml:space="preserve"> que la tarifa del siguiente estrato “medio bajo”. Es importante resaltar que dicha inconsistencia se observa para el servicio de espacio en piso, tanto para el caso de i) predio, ii) azotea y iii) caseta; lo mismo ocurre para el servicio de espacio adicional en piso para el caso de: i) predio y ii) azotea, pero no para el caso de caseta, lo cual evidencia aún más este error dentro del modelo de costos. En este sentido</w:t>
            </w:r>
            <w:r w:rsidRPr="00890EAF">
              <w:rPr>
                <w:rFonts w:ascii="Arial" w:hAnsi="Arial" w:cs="Arial"/>
                <w:b/>
                <w:bCs/>
                <w:sz w:val="20"/>
              </w:rPr>
              <w:t>, se solicita al Instituto que corrija dicha inconsistencia dentro del modelo de costos para que las tarifas</w:t>
            </w:r>
            <w:r>
              <w:rPr>
                <w:rFonts w:ascii="Arial" w:hAnsi="Arial" w:cs="Arial"/>
                <w:b/>
                <w:bCs/>
                <w:sz w:val="20"/>
              </w:rPr>
              <w:t xml:space="preserve"> de espacio aprobado en piso</w:t>
            </w:r>
            <w:r w:rsidRPr="00890EAF">
              <w:rPr>
                <w:rFonts w:ascii="Arial" w:hAnsi="Arial" w:cs="Arial"/>
                <w:b/>
                <w:bCs/>
                <w:sz w:val="20"/>
              </w:rPr>
              <w:t xml:space="preserve"> </w:t>
            </w:r>
            <w:r>
              <w:rPr>
                <w:rFonts w:ascii="Arial" w:hAnsi="Arial" w:cs="Arial"/>
                <w:b/>
                <w:bCs/>
                <w:sz w:val="20"/>
              </w:rPr>
              <w:t>reflejen los costos reales</w:t>
            </w:r>
            <w:r w:rsidRPr="00890EAF">
              <w:rPr>
                <w:rFonts w:ascii="Arial" w:hAnsi="Arial" w:cs="Arial"/>
                <w:b/>
                <w:bCs/>
                <w:sz w:val="20"/>
              </w:rPr>
              <w:t>.</w:t>
            </w:r>
          </w:p>
          <w:p w14:paraId="25E307A8" w14:textId="77777777" w:rsidR="00890EAF" w:rsidRDefault="00890EAF" w:rsidP="00890EAF">
            <w:pPr>
              <w:pStyle w:val="Sangra3detindependiente"/>
              <w:ind w:left="708" w:firstLine="12"/>
              <w:rPr>
                <w:rFonts w:eastAsia="Calibri" w:cs="Arial"/>
                <w:bCs/>
                <w:sz w:val="22"/>
                <w:szCs w:val="22"/>
                <w:lang w:val="es-MX" w:eastAsia="x-none"/>
              </w:rPr>
            </w:pPr>
          </w:p>
          <w:p w14:paraId="11A9770D" w14:textId="77777777" w:rsidR="00890EAF" w:rsidRDefault="00890EAF" w:rsidP="00890EAF">
            <w:pPr>
              <w:pStyle w:val="Sangra3detindependiente"/>
              <w:ind w:firstLine="12"/>
              <w:rPr>
                <w:rFonts w:eastAsia="Calibri" w:cs="Arial"/>
                <w:bCs/>
                <w:sz w:val="22"/>
                <w:szCs w:val="22"/>
                <w:lang w:val="es-MX" w:eastAsia="x-none"/>
              </w:rPr>
            </w:pPr>
            <w:r w:rsidRPr="00890EAF">
              <w:rPr>
                <w:rFonts w:eastAsia="Calibri" w:cs="Arial"/>
                <w:bCs/>
                <w:sz w:val="20"/>
                <w:szCs w:val="22"/>
                <w:lang w:val="es-MX" w:eastAsia="x-none"/>
              </w:rPr>
              <w:t xml:space="preserve">Otro aspecto importante a señalar, es la </w:t>
            </w:r>
            <w:r w:rsidRPr="00890EAF">
              <w:rPr>
                <w:rFonts w:eastAsia="Calibri" w:cs="Arial"/>
                <w:b/>
                <w:sz w:val="20"/>
                <w:szCs w:val="22"/>
                <w:lang w:val="es-MX" w:eastAsia="x-none"/>
              </w:rPr>
              <w:t>diferencia excesiva</w:t>
            </w:r>
            <w:r w:rsidRPr="00890EAF">
              <w:rPr>
                <w:rFonts w:eastAsia="Calibri" w:cs="Arial"/>
                <w:bCs/>
                <w:sz w:val="20"/>
                <w:szCs w:val="22"/>
                <w:lang w:val="es-MX" w:eastAsia="x-none"/>
              </w:rPr>
              <w:t xml:space="preserve"> entre los precios de un estrato y otro. En el caso del servicio </w:t>
            </w:r>
            <w:r w:rsidRPr="00890EAF">
              <w:rPr>
                <w:rFonts w:eastAsia="Calibri" w:cs="Arial"/>
                <w:bCs/>
                <w:sz w:val="20"/>
                <w:szCs w:val="22"/>
                <w:u w:val="single"/>
                <w:lang w:val="es-MX" w:eastAsia="x-none"/>
              </w:rPr>
              <w:t>espacio en piso</w:t>
            </w:r>
            <w:r w:rsidRPr="00890EAF">
              <w:rPr>
                <w:rFonts w:eastAsia="Calibri" w:cs="Arial"/>
                <w:bCs/>
                <w:sz w:val="20"/>
                <w:szCs w:val="22"/>
                <w:lang w:val="es-MX" w:eastAsia="x-none"/>
              </w:rPr>
              <w:t xml:space="preserve"> en </w:t>
            </w:r>
            <w:r w:rsidRPr="00890EAF">
              <w:rPr>
                <w:rFonts w:eastAsia="Calibri" w:cs="Arial"/>
                <w:bCs/>
                <w:sz w:val="20"/>
                <w:szCs w:val="22"/>
                <w:u w:val="single"/>
                <w:lang w:val="es-MX" w:eastAsia="x-none"/>
              </w:rPr>
              <w:t>predio</w:t>
            </w:r>
            <w:r w:rsidRPr="00890EAF">
              <w:rPr>
                <w:rFonts w:eastAsia="Calibri" w:cs="Arial"/>
                <w:bCs/>
                <w:sz w:val="20"/>
                <w:szCs w:val="22"/>
                <w:lang w:val="es-MX" w:eastAsia="x-none"/>
              </w:rPr>
              <w:t xml:space="preserve"> puede observarse que la diferencia porcentual entre el caso “alto” vs. “medio alto” es de -48% y del estrato “medio </w:t>
            </w:r>
            <w:r w:rsidRPr="00890EAF">
              <w:rPr>
                <w:rFonts w:eastAsia="Calibri" w:cs="Arial"/>
                <w:bCs/>
                <w:sz w:val="20"/>
                <w:szCs w:val="22"/>
                <w:lang w:val="es-MX" w:eastAsia="x-none"/>
              </w:rPr>
              <w:lastRenderedPageBreak/>
              <w:t>bajo” vs “bajo” es del -85%</w:t>
            </w:r>
            <w:r w:rsidRPr="00890EAF">
              <w:rPr>
                <w:rStyle w:val="Refdenotaalpie"/>
                <w:rFonts w:eastAsia="Calibri" w:cs="Arial"/>
                <w:sz w:val="20"/>
                <w:szCs w:val="22"/>
                <w:lang w:val="es-MX" w:eastAsia="x-none"/>
              </w:rPr>
              <w:footnoteReference w:id="8"/>
            </w:r>
            <w:r w:rsidRPr="00890EAF">
              <w:rPr>
                <w:rFonts w:eastAsia="Calibri" w:cs="Arial"/>
                <w:bCs/>
                <w:sz w:val="20"/>
                <w:szCs w:val="22"/>
                <w:lang w:val="es-MX" w:eastAsia="x-none"/>
              </w:rPr>
              <w:t>. Algo similar se observa en el caso de azotea y caseta; así como en predio y azotea para el servicio de espacio adicional en piso. De este modo, la forma en la que el Instituto determina tarifas para el servicio de espacio en piso no es lo que se observa en los precios del mercado</w:t>
            </w:r>
            <w:r w:rsidRPr="00890EAF">
              <w:rPr>
                <w:rStyle w:val="Refdenotaalpie"/>
                <w:rFonts w:eastAsia="Calibri" w:cs="Arial"/>
                <w:sz w:val="20"/>
                <w:szCs w:val="22"/>
                <w:lang w:val="es-MX" w:eastAsia="x-none"/>
              </w:rPr>
              <w:footnoteReference w:id="9"/>
            </w:r>
            <w:r w:rsidRPr="00890EAF">
              <w:rPr>
                <w:rFonts w:eastAsia="Calibri" w:cs="Arial"/>
                <w:bCs/>
                <w:sz w:val="20"/>
                <w:szCs w:val="22"/>
                <w:lang w:val="es-MX" w:eastAsia="x-none"/>
              </w:rPr>
              <w:t xml:space="preserve">, donde se observa una </w:t>
            </w:r>
            <w:r w:rsidRPr="00890EAF">
              <w:rPr>
                <w:rFonts w:eastAsia="Calibri" w:cs="Arial"/>
                <w:bCs/>
                <w:sz w:val="20"/>
                <w:szCs w:val="22"/>
                <w:u w:val="single"/>
                <w:lang w:val="es-MX" w:eastAsia="x-none"/>
              </w:rPr>
              <w:t>diferencia máxima de -20%</w:t>
            </w:r>
            <w:r w:rsidRPr="00890EAF">
              <w:rPr>
                <w:rFonts w:eastAsia="Calibri" w:cs="Arial"/>
                <w:bCs/>
                <w:sz w:val="20"/>
                <w:szCs w:val="22"/>
                <w:lang w:val="es-MX" w:eastAsia="x-none"/>
              </w:rPr>
              <w:t xml:space="preserve"> entre un estrato y otro. En este sentido, </w:t>
            </w:r>
            <w:r w:rsidRPr="00890EAF">
              <w:rPr>
                <w:rFonts w:eastAsia="Calibri" w:cs="Arial"/>
                <w:b/>
                <w:sz w:val="20"/>
                <w:szCs w:val="22"/>
                <w:lang w:val="es-MX" w:eastAsia="x-none"/>
              </w:rPr>
              <w:t>se solicita al Instituto que adecúe las diferencias entre un estrato y otro de tal forma que estén más alineadas a lo observado en el mercado</w:t>
            </w:r>
            <w:r w:rsidRPr="00890EAF">
              <w:rPr>
                <w:rFonts w:eastAsia="Calibri" w:cs="Arial"/>
                <w:bCs/>
                <w:sz w:val="20"/>
                <w:szCs w:val="22"/>
                <w:lang w:val="es-MX" w:eastAsia="x-none"/>
              </w:rPr>
              <w:t>.</w:t>
            </w:r>
          </w:p>
          <w:p w14:paraId="2D48D7FC" w14:textId="77777777" w:rsidR="00890EAF" w:rsidRDefault="00890EAF" w:rsidP="00F805D5">
            <w:pPr>
              <w:spacing w:after="0" w:line="240" w:lineRule="auto"/>
              <w:ind w:right="-48"/>
              <w:jc w:val="both"/>
              <w:rPr>
                <w:rFonts w:ascii="Arial" w:hAnsi="Arial" w:cs="Arial"/>
                <w:bCs/>
                <w:sz w:val="20"/>
              </w:rPr>
            </w:pPr>
          </w:p>
          <w:p w14:paraId="5E92A31B" w14:textId="77777777" w:rsidR="00890EAF" w:rsidRDefault="00890EAF" w:rsidP="00F805D5">
            <w:pPr>
              <w:spacing w:after="0" w:line="240" w:lineRule="auto"/>
              <w:ind w:right="-48"/>
              <w:jc w:val="both"/>
              <w:rPr>
                <w:rFonts w:ascii="Arial" w:hAnsi="Arial" w:cs="Arial"/>
                <w:bCs/>
                <w:sz w:val="20"/>
              </w:rPr>
            </w:pPr>
          </w:p>
          <w:p w14:paraId="3A88245E" w14:textId="77777777" w:rsidR="00890EAF" w:rsidRDefault="00890EAF" w:rsidP="00F805D5">
            <w:pPr>
              <w:spacing w:after="0" w:line="240" w:lineRule="auto"/>
              <w:ind w:right="-48"/>
              <w:jc w:val="both"/>
              <w:rPr>
                <w:rFonts w:ascii="Arial" w:hAnsi="Arial" w:cs="Arial"/>
                <w:bCs/>
                <w:sz w:val="20"/>
              </w:rPr>
            </w:pPr>
          </w:p>
          <w:p w14:paraId="13E7F0A9" w14:textId="77777777" w:rsidR="00890EAF" w:rsidRDefault="00890EAF" w:rsidP="00F805D5">
            <w:pPr>
              <w:spacing w:after="0" w:line="240" w:lineRule="auto"/>
              <w:ind w:right="-48"/>
              <w:jc w:val="both"/>
              <w:rPr>
                <w:rFonts w:ascii="Arial" w:hAnsi="Arial" w:cs="Arial"/>
                <w:bCs/>
                <w:sz w:val="20"/>
              </w:rPr>
            </w:pPr>
          </w:p>
          <w:p w14:paraId="440833F3" w14:textId="77777777" w:rsidR="00890EAF" w:rsidRDefault="00890EAF" w:rsidP="00F805D5">
            <w:pPr>
              <w:spacing w:after="0" w:line="240" w:lineRule="auto"/>
              <w:ind w:right="-48"/>
              <w:jc w:val="both"/>
              <w:rPr>
                <w:rFonts w:ascii="Arial" w:hAnsi="Arial" w:cs="Arial"/>
                <w:bCs/>
                <w:sz w:val="20"/>
              </w:rPr>
            </w:pPr>
          </w:p>
          <w:p w14:paraId="09BDBFBB" w14:textId="77777777" w:rsidR="00890EAF" w:rsidRDefault="00890EAF" w:rsidP="00F805D5">
            <w:pPr>
              <w:spacing w:after="0" w:line="240" w:lineRule="auto"/>
              <w:ind w:right="-48"/>
              <w:jc w:val="both"/>
              <w:rPr>
                <w:rFonts w:ascii="Arial" w:hAnsi="Arial" w:cs="Arial"/>
                <w:bCs/>
                <w:sz w:val="20"/>
              </w:rPr>
            </w:pPr>
          </w:p>
          <w:p w14:paraId="4F71233A" w14:textId="77777777" w:rsidR="00890EAF" w:rsidRDefault="00890EAF" w:rsidP="00F805D5">
            <w:pPr>
              <w:spacing w:after="0" w:line="240" w:lineRule="auto"/>
              <w:ind w:right="-48"/>
              <w:jc w:val="both"/>
              <w:rPr>
                <w:rFonts w:ascii="Arial" w:hAnsi="Arial" w:cs="Arial"/>
                <w:bCs/>
                <w:sz w:val="20"/>
              </w:rPr>
            </w:pPr>
          </w:p>
          <w:p w14:paraId="42614E0C" w14:textId="77777777" w:rsidR="00890EAF" w:rsidRDefault="00890EAF" w:rsidP="00F805D5">
            <w:pPr>
              <w:spacing w:after="0" w:line="240" w:lineRule="auto"/>
              <w:ind w:right="-48"/>
              <w:jc w:val="both"/>
              <w:rPr>
                <w:rFonts w:ascii="Arial" w:hAnsi="Arial" w:cs="Arial"/>
                <w:bCs/>
                <w:sz w:val="20"/>
              </w:rPr>
            </w:pPr>
          </w:p>
          <w:p w14:paraId="29FC045E" w14:textId="77777777" w:rsidR="00890EAF" w:rsidRDefault="00890EAF" w:rsidP="00F805D5">
            <w:pPr>
              <w:spacing w:after="0" w:line="240" w:lineRule="auto"/>
              <w:ind w:right="-48"/>
              <w:jc w:val="both"/>
              <w:rPr>
                <w:rFonts w:ascii="Arial" w:hAnsi="Arial" w:cs="Arial"/>
                <w:bCs/>
                <w:sz w:val="20"/>
              </w:rPr>
            </w:pPr>
          </w:p>
          <w:p w14:paraId="4440541A" w14:textId="77777777" w:rsidR="00890EAF" w:rsidRDefault="00890EAF" w:rsidP="00F805D5">
            <w:pPr>
              <w:spacing w:after="0" w:line="240" w:lineRule="auto"/>
              <w:ind w:right="-48"/>
              <w:jc w:val="both"/>
              <w:rPr>
                <w:rFonts w:ascii="Arial" w:hAnsi="Arial" w:cs="Arial"/>
                <w:bCs/>
                <w:sz w:val="20"/>
              </w:rPr>
            </w:pPr>
          </w:p>
          <w:p w14:paraId="72E74DFF" w14:textId="77777777" w:rsidR="00890EAF" w:rsidRDefault="00890EAF" w:rsidP="00F805D5">
            <w:pPr>
              <w:spacing w:after="0" w:line="240" w:lineRule="auto"/>
              <w:ind w:right="-48"/>
              <w:jc w:val="both"/>
              <w:rPr>
                <w:rFonts w:ascii="Arial" w:hAnsi="Arial" w:cs="Arial"/>
                <w:bCs/>
                <w:sz w:val="20"/>
              </w:rPr>
            </w:pPr>
          </w:p>
          <w:p w14:paraId="2EA826B3" w14:textId="77777777" w:rsidR="00890EAF" w:rsidRDefault="00890EAF" w:rsidP="00F805D5">
            <w:pPr>
              <w:spacing w:after="0" w:line="240" w:lineRule="auto"/>
              <w:ind w:right="-48"/>
              <w:jc w:val="both"/>
              <w:rPr>
                <w:rFonts w:ascii="Arial" w:hAnsi="Arial" w:cs="Arial"/>
                <w:bCs/>
                <w:sz w:val="20"/>
              </w:rPr>
            </w:pPr>
          </w:p>
          <w:p w14:paraId="03E16CA2" w14:textId="77777777" w:rsidR="00890EAF" w:rsidRDefault="00890EAF" w:rsidP="00F805D5">
            <w:pPr>
              <w:spacing w:after="0" w:line="240" w:lineRule="auto"/>
              <w:ind w:right="-48"/>
              <w:jc w:val="both"/>
              <w:rPr>
                <w:rFonts w:ascii="Arial" w:hAnsi="Arial" w:cs="Arial"/>
                <w:bCs/>
                <w:sz w:val="20"/>
              </w:rPr>
            </w:pPr>
          </w:p>
          <w:p w14:paraId="7A1140E4" w14:textId="77777777" w:rsidR="00890EAF" w:rsidRDefault="00890EAF" w:rsidP="00F805D5">
            <w:pPr>
              <w:spacing w:after="0" w:line="240" w:lineRule="auto"/>
              <w:ind w:right="-48"/>
              <w:jc w:val="both"/>
              <w:rPr>
                <w:rFonts w:ascii="Arial" w:hAnsi="Arial" w:cs="Arial"/>
                <w:bCs/>
                <w:sz w:val="20"/>
              </w:rPr>
            </w:pPr>
          </w:p>
          <w:p w14:paraId="02F353F5" w14:textId="77777777" w:rsidR="00890EAF" w:rsidRPr="00E443EF" w:rsidRDefault="00890EAF" w:rsidP="00F805D5">
            <w:pPr>
              <w:spacing w:after="0" w:line="240" w:lineRule="auto"/>
              <w:ind w:right="-48"/>
              <w:jc w:val="both"/>
              <w:rPr>
                <w:rFonts w:ascii="Arial" w:eastAsia="Times New Roman" w:hAnsi="Arial" w:cs="Arial"/>
                <w:color w:val="000000"/>
                <w:sz w:val="20"/>
                <w:lang w:eastAsia="es-MX"/>
              </w:rPr>
            </w:pPr>
          </w:p>
        </w:tc>
      </w:tr>
    </w:tbl>
    <w:p w14:paraId="333BF7B4" w14:textId="77777777" w:rsidR="00D90DAB" w:rsidRDefault="00D90DAB"/>
    <w:sectPr w:rsidR="00D90DAB" w:rsidSect="007547DA">
      <w:headerReference w:type="default" r:id="rId15"/>
      <w:pgSz w:w="15840" w:h="12240"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8517B" w14:textId="77777777" w:rsidR="004818B4" w:rsidRDefault="004818B4" w:rsidP="00C36698">
      <w:pPr>
        <w:spacing w:after="0" w:line="240" w:lineRule="auto"/>
      </w:pPr>
      <w:r>
        <w:separator/>
      </w:r>
    </w:p>
  </w:endnote>
  <w:endnote w:type="continuationSeparator" w:id="0">
    <w:p w14:paraId="3B125ABC" w14:textId="77777777" w:rsidR="004818B4" w:rsidRDefault="004818B4" w:rsidP="00C36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TC Avant Garde">
    <w:altName w:val="Century Gothic"/>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04E64" w14:textId="77777777" w:rsidR="004818B4" w:rsidRDefault="004818B4" w:rsidP="00C36698">
      <w:pPr>
        <w:spacing w:after="0" w:line="240" w:lineRule="auto"/>
      </w:pPr>
      <w:r>
        <w:separator/>
      </w:r>
    </w:p>
  </w:footnote>
  <w:footnote w:type="continuationSeparator" w:id="0">
    <w:p w14:paraId="27951C31" w14:textId="77777777" w:rsidR="004818B4" w:rsidRDefault="004818B4" w:rsidP="00C36698">
      <w:pPr>
        <w:spacing w:after="0" w:line="240" w:lineRule="auto"/>
      </w:pPr>
      <w:r>
        <w:continuationSeparator/>
      </w:r>
    </w:p>
  </w:footnote>
  <w:footnote w:id="1">
    <w:p w14:paraId="11F0DF1C" w14:textId="77777777" w:rsidR="00FF6076" w:rsidRDefault="00FF6076" w:rsidP="00FF6076">
      <w:pPr>
        <w:pStyle w:val="Textonotapie"/>
      </w:pPr>
      <w:r>
        <w:rPr>
          <w:rStyle w:val="Refdenotaalpie"/>
        </w:rPr>
        <w:footnoteRef/>
      </w:r>
      <w:r>
        <w:t xml:space="preserve"> Como el promedio entre ambos valores.</w:t>
      </w:r>
    </w:p>
  </w:footnote>
  <w:footnote w:id="2">
    <w:p w14:paraId="60AC02B9" w14:textId="77777777" w:rsidR="00F805D5" w:rsidRPr="003715E4" w:rsidRDefault="00F805D5" w:rsidP="00F805D5">
      <w:pPr>
        <w:pStyle w:val="Textonotapie"/>
      </w:pPr>
      <w:r>
        <w:rPr>
          <w:rStyle w:val="Refdenotaalpie"/>
        </w:rPr>
        <w:footnoteRef/>
      </w:r>
      <w:r>
        <w:t xml:space="preserve"> Ver </w:t>
      </w:r>
      <w:hyperlink r:id="rId1" w:history="1">
        <w:r w:rsidRPr="003715E4">
          <w:rPr>
            <w:rStyle w:val="Hipervnculo"/>
          </w:rPr>
          <w:t>https://www.inegi.org.mx/app/indicesdeprecios/calculadorainflacion.aspx</w:t>
        </w:r>
      </w:hyperlink>
      <w:r w:rsidRPr="003715E4">
        <w:t xml:space="preserve"> </w:t>
      </w:r>
    </w:p>
  </w:footnote>
  <w:footnote w:id="3">
    <w:p w14:paraId="41F14CF9" w14:textId="77777777" w:rsidR="00F805D5" w:rsidRPr="003715E4" w:rsidRDefault="00F805D5" w:rsidP="00F805D5">
      <w:pPr>
        <w:pStyle w:val="Textonotapie"/>
      </w:pPr>
      <w:r w:rsidRPr="003715E4">
        <w:rPr>
          <w:rStyle w:val="Refdenotaalpie"/>
        </w:rPr>
        <w:footnoteRef/>
      </w:r>
      <w:r w:rsidRPr="003715E4">
        <w:t xml:space="preserve"> Ver </w:t>
      </w:r>
      <w:hyperlink r:id="rId2" w:history="1">
        <w:r w:rsidRPr="003715E4">
          <w:rPr>
            <w:rStyle w:val="Hipervnculo"/>
          </w:rPr>
          <w:t>https://www.izzi.mx/legales/Aviso_Incremento_Netflix</w:t>
        </w:r>
      </w:hyperlink>
      <w:r w:rsidRPr="003715E4">
        <w:t xml:space="preserve"> </w:t>
      </w:r>
    </w:p>
  </w:footnote>
  <w:footnote w:id="4">
    <w:p w14:paraId="6122B729" w14:textId="77777777" w:rsidR="00F805D5" w:rsidRPr="003715E4" w:rsidRDefault="00F805D5" w:rsidP="00F805D5">
      <w:pPr>
        <w:pStyle w:val="Textonotapie"/>
      </w:pPr>
      <w:r w:rsidRPr="003715E4">
        <w:rPr>
          <w:rStyle w:val="Refdenotaalpie"/>
        </w:rPr>
        <w:footnoteRef/>
      </w:r>
      <w:r w:rsidRPr="003715E4">
        <w:t xml:space="preserve"> Ver </w:t>
      </w:r>
      <w:hyperlink r:id="rId3" w:history="1">
        <w:r w:rsidRPr="003715E4">
          <w:rPr>
            <w:rStyle w:val="Hipervnculo"/>
          </w:rPr>
          <w:t>https://newsweekespanol.com/2022/03/proveedores-de-internet-suben-sus-precios-en-mexico/</w:t>
        </w:r>
      </w:hyperlink>
      <w:r w:rsidRPr="003715E4">
        <w:t xml:space="preserve"> </w:t>
      </w:r>
    </w:p>
  </w:footnote>
  <w:footnote w:id="5">
    <w:p w14:paraId="0BD97D69" w14:textId="77777777" w:rsidR="00F805D5" w:rsidRPr="003715E4" w:rsidRDefault="00F805D5" w:rsidP="00F805D5">
      <w:pPr>
        <w:pStyle w:val="Textonotapie"/>
      </w:pPr>
      <w:r w:rsidRPr="003715E4">
        <w:rPr>
          <w:rStyle w:val="Refdenotaalpie"/>
        </w:rPr>
        <w:footnoteRef/>
      </w:r>
      <w:r w:rsidRPr="003715E4">
        <w:t xml:space="preserve"> Ver </w:t>
      </w:r>
      <w:hyperlink r:id="rId4" w:history="1">
        <w:r w:rsidRPr="003715E4">
          <w:rPr>
            <w:rStyle w:val="Hipervnculo"/>
          </w:rPr>
          <w:t>https://www.izzi.mx/legales/Fe_de_hechos_Axtel_Cablevision_SA_de_CV</w:t>
        </w:r>
      </w:hyperlink>
      <w:r w:rsidRPr="003715E4">
        <w:t xml:space="preserve"> </w:t>
      </w:r>
    </w:p>
  </w:footnote>
  <w:footnote w:id="6">
    <w:p w14:paraId="31ACCCA2" w14:textId="77777777" w:rsidR="00F805D5" w:rsidRPr="003715E4" w:rsidRDefault="00F805D5" w:rsidP="00F805D5">
      <w:pPr>
        <w:pStyle w:val="Textonotapie"/>
      </w:pPr>
      <w:r w:rsidRPr="003715E4">
        <w:rPr>
          <w:rStyle w:val="Refdenotaalpie"/>
        </w:rPr>
        <w:footnoteRef/>
      </w:r>
      <w:r w:rsidRPr="003715E4">
        <w:t xml:space="preserve"> Ver </w:t>
      </w:r>
      <w:hyperlink r:id="rId5" w:history="1">
        <w:r w:rsidRPr="003715E4">
          <w:rPr>
            <w:rStyle w:val="Hipervnculo"/>
          </w:rPr>
          <w:t>https://expansion.mx/empresas/2023/06/30/totalplay-incrementa-precios-internet</w:t>
        </w:r>
      </w:hyperlink>
      <w:r w:rsidRPr="003715E4">
        <w:t xml:space="preserve"> </w:t>
      </w:r>
    </w:p>
  </w:footnote>
  <w:footnote w:id="7">
    <w:p w14:paraId="4D333220" w14:textId="77777777" w:rsidR="00F805D5" w:rsidRPr="003715E4" w:rsidRDefault="00F805D5" w:rsidP="00F805D5">
      <w:pPr>
        <w:pStyle w:val="Textonotapie"/>
      </w:pPr>
      <w:r w:rsidRPr="003715E4">
        <w:rPr>
          <w:rStyle w:val="Refdenotaalpie"/>
        </w:rPr>
        <w:footnoteRef/>
      </w:r>
      <w:r w:rsidRPr="003715E4">
        <w:t xml:space="preserve"> Ver </w:t>
      </w:r>
      <w:hyperlink r:id="rId6" w:history="1">
        <w:r w:rsidRPr="003715E4">
          <w:rPr>
            <w:rStyle w:val="Hipervnculo"/>
          </w:rPr>
          <w:t>https://www.megacable.com.mx/ajustes_de_tarifas</w:t>
        </w:r>
      </w:hyperlink>
      <w:r w:rsidRPr="003715E4">
        <w:t xml:space="preserve"> </w:t>
      </w:r>
    </w:p>
  </w:footnote>
  <w:footnote w:id="8">
    <w:p w14:paraId="4016D635" w14:textId="77777777" w:rsidR="00890EAF" w:rsidRDefault="00890EAF" w:rsidP="00890EAF">
      <w:pPr>
        <w:pStyle w:val="Textonotapie"/>
      </w:pPr>
      <w:r>
        <w:rPr>
          <w:rStyle w:val="Refdenotaalpie"/>
        </w:rPr>
        <w:footnoteRef/>
      </w:r>
      <w:r>
        <w:t xml:space="preserve"> Se excluye del análisis el estrato “Medio” por la inconsistencia referida previamente.</w:t>
      </w:r>
    </w:p>
  </w:footnote>
  <w:footnote w:id="9">
    <w:p w14:paraId="47248E43" w14:textId="77777777" w:rsidR="00890EAF" w:rsidRDefault="00890EAF" w:rsidP="00890EAF">
      <w:pPr>
        <w:pStyle w:val="Textonotapie"/>
      </w:pPr>
      <w:r>
        <w:rPr>
          <w:rStyle w:val="Refdenotaalpie"/>
        </w:rPr>
        <w:footnoteRef/>
      </w:r>
      <w:r>
        <w:t xml:space="preserve"> Consúltese: </w:t>
      </w:r>
      <w:hyperlink r:id="rId7" w:history="1">
        <w:r w:rsidRPr="00E96D37">
          <w:rPr>
            <w:rStyle w:val="Hipervnculo"/>
          </w:rPr>
          <w:t>https://www.telesites.com.mx/pdf/Opsimex/AUCIP/Anexo_IV_A.pdf</w:t>
        </w:r>
      </w:hyperlink>
      <w:r>
        <w:t>, pág.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825809"/>
      <w:docPartObj>
        <w:docPartGallery w:val="Page Numbers (Top of Page)"/>
        <w:docPartUnique/>
      </w:docPartObj>
    </w:sdtPr>
    <w:sdtContent>
      <w:p w14:paraId="5EFFDD62" w14:textId="77777777" w:rsidR="00E26D24" w:rsidRDefault="00E26D24">
        <w:pPr>
          <w:pStyle w:val="Encabezado"/>
          <w:jc w:val="right"/>
        </w:pPr>
        <w:r>
          <w:fldChar w:fldCharType="begin"/>
        </w:r>
        <w:r>
          <w:instrText>PAGE   \* MERGEFORMAT</w:instrText>
        </w:r>
        <w:r>
          <w:fldChar w:fldCharType="separate"/>
        </w:r>
        <w:r w:rsidR="001906DE" w:rsidRPr="001906DE">
          <w:rPr>
            <w:noProof/>
            <w:lang w:val="es-ES"/>
          </w:rPr>
          <w:t>1</w:t>
        </w:r>
        <w:r>
          <w:fldChar w:fldCharType="end"/>
        </w:r>
      </w:p>
    </w:sdtContent>
  </w:sdt>
  <w:p w14:paraId="18DCDDFB" w14:textId="77777777" w:rsidR="00E26D24" w:rsidRDefault="00E26D2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14DDA"/>
    <w:multiLevelType w:val="hybridMultilevel"/>
    <w:tmpl w:val="511AC4F2"/>
    <w:lvl w:ilvl="0" w:tplc="9BA4481A">
      <w:start w:val="1"/>
      <w:numFmt w:val="upperRoman"/>
      <w:lvlText w:val="%1."/>
      <w:lvlJc w:val="left"/>
      <w:pPr>
        <w:ind w:left="720" w:hanging="360"/>
      </w:pPr>
      <w:rPr>
        <w:rFonts w:ascii="Arial" w:hAnsi="Arial" w:hint="default"/>
      </w:rPr>
    </w:lvl>
    <w:lvl w:ilvl="1" w:tplc="35E86BC6">
      <w:start w:val="1"/>
      <w:numFmt w:val="decimal"/>
      <w:lvlText w:val="IV.%2"/>
      <w:lvlJc w:val="left"/>
      <w:pPr>
        <w:ind w:left="5606"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DF934E8"/>
    <w:multiLevelType w:val="hybridMultilevel"/>
    <w:tmpl w:val="BC78EAF0"/>
    <w:lvl w:ilvl="0" w:tplc="080A0015">
      <w:start w:val="1"/>
      <w:numFmt w:val="upp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19992FE5"/>
    <w:multiLevelType w:val="hybridMultilevel"/>
    <w:tmpl w:val="F84C31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EA63FF"/>
    <w:multiLevelType w:val="hybridMultilevel"/>
    <w:tmpl w:val="FE98DB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E391E6E"/>
    <w:multiLevelType w:val="multilevel"/>
    <w:tmpl w:val="3D66020E"/>
    <w:lvl w:ilvl="0">
      <w:start w:val="1"/>
      <w:numFmt w:val="decimal"/>
      <w:pStyle w:val="aaaNumeral1"/>
      <w:lvlText w:val="%1."/>
      <w:lvlJc w:val="left"/>
      <w:pPr>
        <w:ind w:left="1637"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2FB3168"/>
    <w:multiLevelType w:val="hybridMultilevel"/>
    <w:tmpl w:val="30DCB8C2"/>
    <w:lvl w:ilvl="0" w:tplc="770A570E">
      <w:start w:val="6"/>
      <w:numFmt w:val="lowerLetter"/>
      <w:lvlText w:val="%1)"/>
      <w:lvlJc w:val="left"/>
      <w:pPr>
        <w:ind w:left="494" w:hanging="360"/>
      </w:pPr>
      <w:rPr>
        <w:rFonts w:hint="default"/>
      </w:rPr>
    </w:lvl>
    <w:lvl w:ilvl="1" w:tplc="080A0019" w:tentative="1">
      <w:start w:val="1"/>
      <w:numFmt w:val="lowerLetter"/>
      <w:lvlText w:val="%2."/>
      <w:lvlJc w:val="left"/>
      <w:pPr>
        <w:ind w:left="1214" w:hanging="360"/>
      </w:pPr>
    </w:lvl>
    <w:lvl w:ilvl="2" w:tplc="080A001B" w:tentative="1">
      <w:start w:val="1"/>
      <w:numFmt w:val="lowerRoman"/>
      <w:lvlText w:val="%3."/>
      <w:lvlJc w:val="right"/>
      <w:pPr>
        <w:ind w:left="1934" w:hanging="180"/>
      </w:pPr>
    </w:lvl>
    <w:lvl w:ilvl="3" w:tplc="080A000F" w:tentative="1">
      <w:start w:val="1"/>
      <w:numFmt w:val="decimal"/>
      <w:lvlText w:val="%4."/>
      <w:lvlJc w:val="left"/>
      <w:pPr>
        <w:ind w:left="2654" w:hanging="360"/>
      </w:pPr>
    </w:lvl>
    <w:lvl w:ilvl="4" w:tplc="080A0019" w:tentative="1">
      <w:start w:val="1"/>
      <w:numFmt w:val="lowerLetter"/>
      <w:lvlText w:val="%5."/>
      <w:lvlJc w:val="left"/>
      <w:pPr>
        <w:ind w:left="3374" w:hanging="360"/>
      </w:pPr>
    </w:lvl>
    <w:lvl w:ilvl="5" w:tplc="080A001B" w:tentative="1">
      <w:start w:val="1"/>
      <w:numFmt w:val="lowerRoman"/>
      <w:lvlText w:val="%6."/>
      <w:lvlJc w:val="right"/>
      <w:pPr>
        <w:ind w:left="4094" w:hanging="180"/>
      </w:pPr>
    </w:lvl>
    <w:lvl w:ilvl="6" w:tplc="080A000F" w:tentative="1">
      <w:start w:val="1"/>
      <w:numFmt w:val="decimal"/>
      <w:lvlText w:val="%7."/>
      <w:lvlJc w:val="left"/>
      <w:pPr>
        <w:ind w:left="4814" w:hanging="360"/>
      </w:pPr>
    </w:lvl>
    <w:lvl w:ilvl="7" w:tplc="080A0019" w:tentative="1">
      <w:start w:val="1"/>
      <w:numFmt w:val="lowerLetter"/>
      <w:lvlText w:val="%8."/>
      <w:lvlJc w:val="left"/>
      <w:pPr>
        <w:ind w:left="5534" w:hanging="360"/>
      </w:pPr>
    </w:lvl>
    <w:lvl w:ilvl="8" w:tplc="080A001B" w:tentative="1">
      <w:start w:val="1"/>
      <w:numFmt w:val="lowerRoman"/>
      <w:lvlText w:val="%9."/>
      <w:lvlJc w:val="right"/>
      <w:pPr>
        <w:ind w:left="6254" w:hanging="180"/>
      </w:pPr>
    </w:lvl>
  </w:abstractNum>
  <w:abstractNum w:abstractNumId="7" w15:restartNumberingAfterBreak="0">
    <w:nsid w:val="26123AE1"/>
    <w:multiLevelType w:val="multilevel"/>
    <w:tmpl w:val="06847A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6400C88"/>
    <w:multiLevelType w:val="hybridMultilevel"/>
    <w:tmpl w:val="BCEE73D6"/>
    <w:lvl w:ilvl="0" w:tplc="8F6EE48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15:restartNumberingAfterBreak="0">
    <w:nsid w:val="29F83776"/>
    <w:multiLevelType w:val="hybridMultilevel"/>
    <w:tmpl w:val="AFB0A3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B005B54"/>
    <w:multiLevelType w:val="hybridMultilevel"/>
    <w:tmpl w:val="EBC2F13A"/>
    <w:lvl w:ilvl="0" w:tplc="AE2A1148">
      <w:start w:val="1"/>
      <w:numFmt w:val="lowerRoman"/>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0E86E05"/>
    <w:multiLevelType w:val="hybridMultilevel"/>
    <w:tmpl w:val="1DC45A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6760309"/>
    <w:multiLevelType w:val="hybridMultilevel"/>
    <w:tmpl w:val="8E48EE98"/>
    <w:lvl w:ilvl="0" w:tplc="886897F2">
      <w:start w:val="1"/>
      <w:numFmt w:val="lowerRoman"/>
      <w:lvlText w:val="(%1)"/>
      <w:lvlJc w:val="left"/>
      <w:pPr>
        <w:ind w:left="1440" w:hanging="72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20A3072"/>
    <w:multiLevelType w:val="hybridMultilevel"/>
    <w:tmpl w:val="DC5C6550"/>
    <w:lvl w:ilvl="0" w:tplc="7234D52E">
      <w:numFmt w:val="bullet"/>
      <w:lvlText w:val="-"/>
      <w:lvlJc w:val="left"/>
      <w:pPr>
        <w:ind w:left="786" w:hanging="360"/>
      </w:pPr>
      <w:rPr>
        <w:rFonts w:ascii="Arial" w:eastAsiaTheme="minorHAnsi" w:hAnsi="Arial" w:cs="Aria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15" w15:restartNumberingAfterBreak="0">
    <w:nsid w:val="426F69B1"/>
    <w:multiLevelType w:val="hybridMultilevel"/>
    <w:tmpl w:val="CDEC6A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3FD126C"/>
    <w:multiLevelType w:val="hybridMultilevel"/>
    <w:tmpl w:val="D9E24E76"/>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4F6D416D"/>
    <w:multiLevelType w:val="multilevel"/>
    <w:tmpl w:val="5ECC546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19517EF"/>
    <w:multiLevelType w:val="hybridMultilevel"/>
    <w:tmpl w:val="BD666D5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2CB0BD0"/>
    <w:multiLevelType w:val="hybridMultilevel"/>
    <w:tmpl w:val="0E02B4B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4964219"/>
    <w:multiLevelType w:val="multilevel"/>
    <w:tmpl w:val="FB2430F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92605B"/>
    <w:multiLevelType w:val="hybridMultilevel"/>
    <w:tmpl w:val="80DAC860"/>
    <w:lvl w:ilvl="0" w:tplc="04090019">
      <w:start w:val="1"/>
      <w:numFmt w:val="lowerLetter"/>
      <w:lvlText w:val="%1."/>
      <w:lvlJc w:val="left"/>
      <w:pPr>
        <w:ind w:left="723" w:hanging="360"/>
      </w:pPr>
    </w:lvl>
    <w:lvl w:ilvl="1" w:tplc="080A0019">
      <w:start w:val="1"/>
      <w:numFmt w:val="lowerLetter"/>
      <w:lvlText w:val="%2."/>
      <w:lvlJc w:val="left"/>
      <w:pPr>
        <w:ind w:left="1443" w:hanging="360"/>
      </w:pPr>
    </w:lvl>
    <w:lvl w:ilvl="2" w:tplc="080A001B" w:tentative="1">
      <w:start w:val="1"/>
      <w:numFmt w:val="lowerRoman"/>
      <w:lvlText w:val="%3."/>
      <w:lvlJc w:val="right"/>
      <w:pPr>
        <w:ind w:left="2163" w:hanging="180"/>
      </w:pPr>
    </w:lvl>
    <w:lvl w:ilvl="3" w:tplc="080A000F" w:tentative="1">
      <w:start w:val="1"/>
      <w:numFmt w:val="decimal"/>
      <w:lvlText w:val="%4."/>
      <w:lvlJc w:val="left"/>
      <w:pPr>
        <w:ind w:left="2883" w:hanging="360"/>
      </w:pPr>
    </w:lvl>
    <w:lvl w:ilvl="4" w:tplc="080A0019" w:tentative="1">
      <w:start w:val="1"/>
      <w:numFmt w:val="lowerLetter"/>
      <w:lvlText w:val="%5."/>
      <w:lvlJc w:val="left"/>
      <w:pPr>
        <w:ind w:left="3603" w:hanging="360"/>
      </w:pPr>
    </w:lvl>
    <w:lvl w:ilvl="5" w:tplc="080A001B" w:tentative="1">
      <w:start w:val="1"/>
      <w:numFmt w:val="lowerRoman"/>
      <w:lvlText w:val="%6."/>
      <w:lvlJc w:val="right"/>
      <w:pPr>
        <w:ind w:left="4323" w:hanging="180"/>
      </w:pPr>
    </w:lvl>
    <w:lvl w:ilvl="6" w:tplc="080A000F" w:tentative="1">
      <w:start w:val="1"/>
      <w:numFmt w:val="decimal"/>
      <w:lvlText w:val="%7."/>
      <w:lvlJc w:val="left"/>
      <w:pPr>
        <w:ind w:left="5043" w:hanging="360"/>
      </w:pPr>
    </w:lvl>
    <w:lvl w:ilvl="7" w:tplc="080A0019" w:tentative="1">
      <w:start w:val="1"/>
      <w:numFmt w:val="lowerLetter"/>
      <w:lvlText w:val="%8."/>
      <w:lvlJc w:val="left"/>
      <w:pPr>
        <w:ind w:left="5763" w:hanging="360"/>
      </w:pPr>
    </w:lvl>
    <w:lvl w:ilvl="8" w:tplc="080A001B" w:tentative="1">
      <w:start w:val="1"/>
      <w:numFmt w:val="lowerRoman"/>
      <w:lvlText w:val="%9."/>
      <w:lvlJc w:val="right"/>
      <w:pPr>
        <w:ind w:left="6483" w:hanging="180"/>
      </w:pPr>
    </w:lvl>
  </w:abstractNum>
  <w:abstractNum w:abstractNumId="22" w15:restartNumberingAfterBreak="0">
    <w:nsid w:val="59C40129"/>
    <w:multiLevelType w:val="multilevel"/>
    <w:tmpl w:val="668A555E"/>
    <w:lvl w:ilvl="0">
      <w:start w:val="4"/>
      <w:numFmt w:val="decimal"/>
      <w:lvlText w:val="%1"/>
      <w:lvlJc w:val="left"/>
      <w:pPr>
        <w:ind w:left="360" w:hanging="360"/>
      </w:pPr>
      <w:rPr>
        <w:rFonts w:hint="default"/>
      </w:rPr>
    </w:lvl>
    <w:lvl w:ilvl="1">
      <w:start w:val="7"/>
      <w:numFmt w:val="decimal"/>
      <w:lvlText w:val="%1.%2"/>
      <w:lvlJc w:val="left"/>
      <w:pPr>
        <w:ind w:left="50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23" w15:restartNumberingAfterBreak="0">
    <w:nsid w:val="632B3F11"/>
    <w:multiLevelType w:val="multilevel"/>
    <w:tmpl w:val="62D4E8CE"/>
    <w:lvl w:ilvl="0">
      <w:start w:val="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588541D"/>
    <w:multiLevelType w:val="hybridMultilevel"/>
    <w:tmpl w:val="511E4546"/>
    <w:lvl w:ilvl="0" w:tplc="080A0001">
      <w:start w:val="1"/>
      <w:numFmt w:val="bullet"/>
      <w:lvlText w:val=""/>
      <w:lvlJc w:val="left"/>
      <w:pPr>
        <w:ind w:left="2629"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5"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27" w15:restartNumberingAfterBreak="0">
    <w:nsid w:val="7B316302"/>
    <w:multiLevelType w:val="multilevel"/>
    <w:tmpl w:val="EE9A0D92"/>
    <w:lvl w:ilvl="0">
      <w:start w:val="4"/>
      <w:numFmt w:val="decimal"/>
      <w:lvlText w:val="%1"/>
      <w:lvlJc w:val="left"/>
      <w:pPr>
        <w:ind w:left="360" w:hanging="360"/>
      </w:pPr>
      <w:rPr>
        <w:rFonts w:hint="default"/>
      </w:rPr>
    </w:lvl>
    <w:lvl w:ilvl="1">
      <w:start w:val="7"/>
      <w:numFmt w:val="decimal"/>
      <w:pStyle w:val="1TitPrin"/>
      <w:lvlText w:val="%1.%2"/>
      <w:lvlJc w:val="left"/>
      <w:pPr>
        <w:ind w:left="50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728" w:hanging="72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num w:numId="1" w16cid:durableId="901525776">
    <w:abstractNumId w:val="26"/>
  </w:num>
  <w:num w:numId="2" w16cid:durableId="660162705">
    <w:abstractNumId w:val="13"/>
  </w:num>
  <w:num w:numId="3" w16cid:durableId="1381246025">
    <w:abstractNumId w:val="1"/>
  </w:num>
  <w:num w:numId="4" w16cid:durableId="945581348">
    <w:abstractNumId w:val="25"/>
  </w:num>
  <w:num w:numId="5" w16cid:durableId="1346320317">
    <w:abstractNumId w:val="20"/>
  </w:num>
  <w:num w:numId="6" w16cid:durableId="1534460025">
    <w:abstractNumId w:val="27"/>
  </w:num>
  <w:num w:numId="7" w16cid:durableId="1467426950">
    <w:abstractNumId w:val="22"/>
  </w:num>
  <w:num w:numId="8" w16cid:durableId="307631107">
    <w:abstractNumId w:val="19"/>
  </w:num>
  <w:num w:numId="9" w16cid:durableId="1815753148">
    <w:abstractNumId w:val="18"/>
  </w:num>
  <w:num w:numId="10" w16cid:durableId="1675105859">
    <w:abstractNumId w:val="4"/>
  </w:num>
  <w:num w:numId="11" w16cid:durableId="1745881303">
    <w:abstractNumId w:val="8"/>
  </w:num>
  <w:num w:numId="12" w16cid:durableId="522744928">
    <w:abstractNumId w:val="16"/>
  </w:num>
  <w:num w:numId="13" w16cid:durableId="105348394">
    <w:abstractNumId w:val="3"/>
  </w:num>
  <w:num w:numId="14" w16cid:durableId="391659469">
    <w:abstractNumId w:val="2"/>
  </w:num>
  <w:num w:numId="15" w16cid:durableId="1279991974">
    <w:abstractNumId w:val="15"/>
  </w:num>
  <w:num w:numId="16" w16cid:durableId="649989697">
    <w:abstractNumId w:val="24"/>
  </w:num>
  <w:num w:numId="17" w16cid:durableId="1592734579">
    <w:abstractNumId w:val="6"/>
  </w:num>
  <w:num w:numId="18" w16cid:durableId="1648975665">
    <w:abstractNumId w:val="0"/>
  </w:num>
  <w:num w:numId="19" w16cid:durableId="106118842">
    <w:abstractNumId w:val="7"/>
  </w:num>
  <w:num w:numId="20" w16cid:durableId="1138379992">
    <w:abstractNumId w:val="23"/>
  </w:num>
  <w:num w:numId="21" w16cid:durableId="861817806">
    <w:abstractNumId w:val="9"/>
  </w:num>
  <w:num w:numId="22" w16cid:durableId="86198060">
    <w:abstractNumId w:val="11"/>
  </w:num>
  <w:num w:numId="23" w16cid:durableId="1097481333">
    <w:abstractNumId w:val="10"/>
  </w:num>
  <w:num w:numId="24" w16cid:durableId="1335495611">
    <w:abstractNumId w:val="21"/>
  </w:num>
  <w:num w:numId="25" w16cid:durableId="54351951">
    <w:abstractNumId w:val="5"/>
  </w:num>
  <w:num w:numId="26" w16cid:durableId="132404281">
    <w:abstractNumId w:val="17"/>
  </w:num>
  <w:num w:numId="27" w16cid:durableId="397825510">
    <w:abstractNumId w:val="14"/>
  </w:num>
  <w:num w:numId="28" w16cid:durableId="15361126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698"/>
    <w:rsid w:val="00000341"/>
    <w:rsid w:val="00000708"/>
    <w:rsid w:val="00002373"/>
    <w:rsid w:val="00002EC7"/>
    <w:rsid w:val="00016209"/>
    <w:rsid w:val="0002586E"/>
    <w:rsid w:val="00031E17"/>
    <w:rsid w:val="0003265B"/>
    <w:rsid w:val="000419D3"/>
    <w:rsid w:val="00056AD8"/>
    <w:rsid w:val="00061B57"/>
    <w:rsid w:val="000662E1"/>
    <w:rsid w:val="00066DD9"/>
    <w:rsid w:val="000679A6"/>
    <w:rsid w:val="0007024B"/>
    <w:rsid w:val="000807B4"/>
    <w:rsid w:val="00082EA6"/>
    <w:rsid w:val="000835A8"/>
    <w:rsid w:val="00083FFE"/>
    <w:rsid w:val="0009167D"/>
    <w:rsid w:val="00092E6C"/>
    <w:rsid w:val="0009677B"/>
    <w:rsid w:val="0009743F"/>
    <w:rsid w:val="00097632"/>
    <w:rsid w:val="000A5774"/>
    <w:rsid w:val="000B585E"/>
    <w:rsid w:val="000C53D8"/>
    <w:rsid w:val="000C6730"/>
    <w:rsid w:val="000D06F8"/>
    <w:rsid w:val="000D2BF6"/>
    <w:rsid w:val="000D74A5"/>
    <w:rsid w:val="000E2A50"/>
    <w:rsid w:val="00112B28"/>
    <w:rsid w:val="00116E00"/>
    <w:rsid w:val="00117F0E"/>
    <w:rsid w:val="00123921"/>
    <w:rsid w:val="00125439"/>
    <w:rsid w:val="00125787"/>
    <w:rsid w:val="0012683D"/>
    <w:rsid w:val="001274D9"/>
    <w:rsid w:val="0013177C"/>
    <w:rsid w:val="0013301F"/>
    <w:rsid w:val="00135C46"/>
    <w:rsid w:val="001373B2"/>
    <w:rsid w:val="0014115E"/>
    <w:rsid w:val="00141CD2"/>
    <w:rsid w:val="001531A2"/>
    <w:rsid w:val="0015380C"/>
    <w:rsid w:val="0015627D"/>
    <w:rsid w:val="0016067D"/>
    <w:rsid w:val="001654B8"/>
    <w:rsid w:val="00165A0C"/>
    <w:rsid w:val="00170117"/>
    <w:rsid w:val="001906DE"/>
    <w:rsid w:val="00196812"/>
    <w:rsid w:val="0019681A"/>
    <w:rsid w:val="001B325B"/>
    <w:rsid w:val="001B5BCA"/>
    <w:rsid w:val="001B74BC"/>
    <w:rsid w:val="001C6CCC"/>
    <w:rsid w:val="001C766D"/>
    <w:rsid w:val="001D5CC1"/>
    <w:rsid w:val="001D63F1"/>
    <w:rsid w:val="001E126E"/>
    <w:rsid w:val="001E2816"/>
    <w:rsid w:val="001F1F0C"/>
    <w:rsid w:val="001F322B"/>
    <w:rsid w:val="00200850"/>
    <w:rsid w:val="00201A5A"/>
    <w:rsid w:val="00201EB5"/>
    <w:rsid w:val="00210B4E"/>
    <w:rsid w:val="00241A56"/>
    <w:rsid w:val="00250734"/>
    <w:rsid w:val="00251D6E"/>
    <w:rsid w:val="0025387B"/>
    <w:rsid w:val="00253A7A"/>
    <w:rsid w:val="002610AB"/>
    <w:rsid w:val="00276F87"/>
    <w:rsid w:val="0029611E"/>
    <w:rsid w:val="00296DA2"/>
    <w:rsid w:val="002A3147"/>
    <w:rsid w:val="002A39A3"/>
    <w:rsid w:val="002C2B6F"/>
    <w:rsid w:val="002C67C8"/>
    <w:rsid w:val="002D0E25"/>
    <w:rsid w:val="002D4484"/>
    <w:rsid w:val="002D72B2"/>
    <w:rsid w:val="002F0A10"/>
    <w:rsid w:val="002F203E"/>
    <w:rsid w:val="002F26F9"/>
    <w:rsid w:val="00310CCA"/>
    <w:rsid w:val="00317A62"/>
    <w:rsid w:val="00320E9B"/>
    <w:rsid w:val="003248BC"/>
    <w:rsid w:val="00326C4B"/>
    <w:rsid w:val="00336D03"/>
    <w:rsid w:val="00336E55"/>
    <w:rsid w:val="003423C1"/>
    <w:rsid w:val="00343207"/>
    <w:rsid w:val="00343257"/>
    <w:rsid w:val="00343FAC"/>
    <w:rsid w:val="00346B5D"/>
    <w:rsid w:val="00347EE7"/>
    <w:rsid w:val="003555C8"/>
    <w:rsid w:val="0035582D"/>
    <w:rsid w:val="00355C3E"/>
    <w:rsid w:val="00361D0B"/>
    <w:rsid w:val="00362CD8"/>
    <w:rsid w:val="0036515A"/>
    <w:rsid w:val="003669A8"/>
    <w:rsid w:val="00373C74"/>
    <w:rsid w:val="00377926"/>
    <w:rsid w:val="0037796C"/>
    <w:rsid w:val="003812C9"/>
    <w:rsid w:val="003828B6"/>
    <w:rsid w:val="00384000"/>
    <w:rsid w:val="00395152"/>
    <w:rsid w:val="003A0AF2"/>
    <w:rsid w:val="003A5EF8"/>
    <w:rsid w:val="003B0857"/>
    <w:rsid w:val="003B3D4D"/>
    <w:rsid w:val="003B48FA"/>
    <w:rsid w:val="003C047C"/>
    <w:rsid w:val="003C666B"/>
    <w:rsid w:val="003D2861"/>
    <w:rsid w:val="003D4420"/>
    <w:rsid w:val="003E4B35"/>
    <w:rsid w:val="003F20BB"/>
    <w:rsid w:val="003F48E9"/>
    <w:rsid w:val="003F49DE"/>
    <w:rsid w:val="003F50A9"/>
    <w:rsid w:val="00403427"/>
    <w:rsid w:val="00404949"/>
    <w:rsid w:val="00420EF9"/>
    <w:rsid w:val="00430BD4"/>
    <w:rsid w:val="0044059B"/>
    <w:rsid w:val="00447B13"/>
    <w:rsid w:val="00453BBD"/>
    <w:rsid w:val="00455198"/>
    <w:rsid w:val="00456541"/>
    <w:rsid w:val="00472FC2"/>
    <w:rsid w:val="0047456B"/>
    <w:rsid w:val="00476FD3"/>
    <w:rsid w:val="004809C0"/>
    <w:rsid w:val="004818B4"/>
    <w:rsid w:val="00484BB5"/>
    <w:rsid w:val="00485CA8"/>
    <w:rsid w:val="0048604B"/>
    <w:rsid w:val="004919FB"/>
    <w:rsid w:val="004A3CBA"/>
    <w:rsid w:val="004A5964"/>
    <w:rsid w:val="004A5E5F"/>
    <w:rsid w:val="004A6DE1"/>
    <w:rsid w:val="004B3B17"/>
    <w:rsid w:val="004B55F5"/>
    <w:rsid w:val="004C2655"/>
    <w:rsid w:val="004C4377"/>
    <w:rsid w:val="004C5512"/>
    <w:rsid w:val="004C59A7"/>
    <w:rsid w:val="004C5A09"/>
    <w:rsid w:val="004D6E9D"/>
    <w:rsid w:val="004E05E1"/>
    <w:rsid w:val="004E0A47"/>
    <w:rsid w:val="004F03D1"/>
    <w:rsid w:val="004F07D5"/>
    <w:rsid w:val="004F518A"/>
    <w:rsid w:val="004F6138"/>
    <w:rsid w:val="004F62C8"/>
    <w:rsid w:val="00503FD1"/>
    <w:rsid w:val="00533377"/>
    <w:rsid w:val="005339D0"/>
    <w:rsid w:val="00540EDE"/>
    <w:rsid w:val="0054657A"/>
    <w:rsid w:val="005500CC"/>
    <w:rsid w:val="005510F0"/>
    <w:rsid w:val="00551471"/>
    <w:rsid w:val="005525F9"/>
    <w:rsid w:val="00552D0E"/>
    <w:rsid w:val="00560274"/>
    <w:rsid w:val="00560789"/>
    <w:rsid w:val="00560C47"/>
    <w:rsid w:val="00561667"/>
    <w:rsid w:val="00573243"/>
    <w:rsid w:val="00576DB9"/>
    <w:rsid w:val="005821C2"/>
    <w:rsid w:val="00582458"/>
    <w:rsid w:val="00582B22"/>
    <w:rsid w:val="00585001"/>
    <w:rsid w:val="00592DE7"/>
    <w:rsid w:val="005944AD"/>
    <w:rsid w:val="00594EE9"/>
    <w:rsid w:val="005A4667"/>
    <w:rsid w:val="005B02B8"/>
    <w:rsid w:val="005B0338"/>
    <w:rsid w:val="005B25D1"/>
    <w:rsid w:val="005B4107"/>
    <w:rsid w:val="005B5AB9"/>
    <w:rsid w:val="005B674E"/>
    <w:rsid w:val="005C232C"/>
    <w:rsid w:val="005C28C7"/>
    <w:rsid w:val="005C2D06"/>
    <w:rsid w:val="005C3037"/>
    <w:rsid w:val="005C3D28"/>
    <w:rsid w:val="005D3E91"/>
    <w:rsid w:val="005D401F"/>
    <w:rsid w:val="005D519E"/>
    <w:rsid w:val="005D5501"/>
    <w:rsid w:val="005D5C87"/>
    <w:rsid w:val="005D676C"/>
    <w:rsid w:val="005E6640"/>
    <w:rsid w:val="005E740F"/>
    <w:rsid w:val="005F5EEF"/>
    <w:rsid w:val="00604EE9"/>
    <w:rsid w:val="00613216"/>
    <w:rsid w:val="00613ABA"/>
    <w:rsid w:val="00621FF7"/>
    <w:rsid w:val="0062473D"/>
    <w:rsid w:val="00625DB6"/>
    <w:rsid w:val="0062707C"/>
    <w:rsid w:val="00633638"/>
    <w:rsid w:val="006450DA"/>
    <w:rsid w:val="0064580D"/>
    <w:rsid w:val="00650217"/>
    <w:rsid w:val="00651CC0"/>
    <w:rsid w:val="00660E71"/>
    <w:rsid w:val="00662938"/>
    <w:rsid w:val="00664447"/>
    <w:rsid w:val="00665627"/>
    <w:rsid w:val="0067106C"/>
    <w:rsid w:val="00673C34"/>
    <w:rsid w:val="006764F2"/>
    <w:rsid w:val="006769C8"/>
    <w:rsid w:val="006803A7"/>
    <w:rsid w:val="006829C7"/>
    <w:rsid w:val="00684AC7"/>
    <w:rsid w:val="00684BBD"/>
    <w:rsid w:val="00685010"/>
    <w:rsid w:val="00685963"/>
    <w:rsid w:val="00694C19"/>
    <w:rsid w:val="006A78B4"/>
    <w:rsid w:val="006B5D43"/>
    <w:rsid w:val="006C038C"/>
    <w:rsid w:val="006C1E4C"/>
    <w:rsid w:val="006D0F41"/>
    <w:rsid w:val="006D2AAD"/>
    <w:rsid w:val="006D3DA6"/>
    <w:rsid w:val="006F7D2F"/>
    <w:rsid w:val="00707650"/>
    <w:rsid w:val="00712368"/>
    <w:rsid w:val="00712764"/>
    <w:rsid w:val="0071565A"/>
    <w:rsid w:val="00717847"/>
    <w:rsid w:val="00727772"/>
    <w:rsid w:val="00735BA4"/>
    <w:rsid w:val="0074419F"/>
    <w:rsid w:val="00745F8D"/>
    <w:rsid w:val="007476F5"/>
    <w:rsid w:val="00750A44"/>
    <w:rsid w:val="00751D13"/>
    <w:rsid w:val="007547DA"/>
    <w:rsid w:val="007560D8"/>
    <w:rsid w:val="00756D53"/>
    <w:rsid w:val="0075737A"/>
    <w:rsid w:val="00757421"/>
    <w:rsid w:val="007623B9"/>
    <w:rsid w:val="00762767"/>
    <w:rsid w:val="00763AFA"/>
    <w:rsid w:val="00776F09"/>
    <w:rsid w:val="00781C4A"/>
    <w:rsid w:val="0078283B"/>
    <w:rsid w:val="00783595"/>
    <w:rsid w:val="00787CD7"/>
    <w:rsid w:val="007942FD"/>
    <w:rsid w:val="007954EC"/>
    <w:rsid w:val="00797121"/>
    <w:rsid w:val="007B14B5"/>
    <w:rsid w:val="007B5EBF"/>
    <w:rsid w:val="007B7E38"/>
    <w:rsid w:val="007C47C3"/>
    <w:rsid w:val="007C7B15"/>
    <w:rsid w:val="007D1FF9"/>
    <w:rsid w:val="007D3ACF"/>
    <w:rsid w:val="007D6059"/>
    <w:rsid w:val="007E41A8"/>
    <w:rsid w:val="007E420A"/>
    <w:rsid w:val="007E4F80"/>
    <w:rsid w:val="007E61B4"/>
    <w:rsid w:val="007E7779"/>
    <w:rsid w:val="007F2C1A"/>
    <w:rsid w:val="00800A20"/>
    <w:rsid w:val="00804584"/>
    <w:rsid w:val="0080688F"/>
    <w:rsid w:val="00812708"/>
    <w:rsid w:val="00822437"/>
    <w:rsid w:val="00827BE4"/>
    <w:rsid w:val="00833701"/>
    <w:rsid w:val="0083582C"/>
    <w:rsid w:val="00842F7F"/>
    <w:rsid w:val="00845CC9"/>
    <w:rsid w:val="00855266"/>
    <w:rsid w:val="00857107"/>
    <w:rsid w:val="00862E48"/>
    <w:rsid w:val="00871243"/>
    <w:rsid w:val="00876AAF"/>
    <w:rsid w:val="00877B5C"/>
    <w:rsid w:val="00877CA3"/>
    <w:rsid w:val="00881790"/>
    <w:rsid w:val="00884741"/>
    <w:rsid w:val="00890EAF"/>
    <w:rsid w:val="008939BC"/>
    <w:rsid w:val="008A22A6"/>
    <w:rsid w:val="008B1735"/>
    <w:rsid w:val="008B2733"/>
    <w:rsid w:val="008B47FC"/>
    <w:rsid w:val="008B6183"/>
    <w:rsid w:val="008B6CED"/>
    <w:rsid w:val="008D0F79"/>
    <w:rsid w:val="008D1E66"/>
    <w:rsid w:val="008D44C0"/>
    <w:rsid w:val="008D47A0"/>
    <w:rsid w:val="008D7D90"/>
    <w:rsid w:val="008E1327"/>
    <w:rsid w:val="008E3369"/>
    <w:rsid w:val="008F3204"/>
    <w:rsid w:val="008F5885"/>
    <w:rsid w:val="00902E80"/>
    <w:rsid w:val="009034B4"/>
    <w:rsid w:val="00905708"/>
    <w:rsid w:val="00912BDE"/>
    <w:rsid w:val="00917D04"/>
    <w:rsid w:val="00926DB8"/>
    <w:rsid w:val="00930E62"/>
    <w:rsid w:val="00935630"/>
    <w:rsid w:val="00944B38"/>
    <w:rsid w:val="0094737E"/>
    <w:rsid w:val="00950414"/>
    <w:rsid w:val="00961A26"/>
    <w:rsid w:val="00963EF2"/>
    <w:rsid w:val="00964385"/>
    <w:rsid w:val="00966D3B"/>
    <w:rsid w:val="009816D9"/>
    <w:rsid w:val="00983387"/>
    <w:rsid w:val="00986CAD"/>
    <w:rsid w:val="00995D73"/>
    <w:rsid w:val="00997C52"/>
    <w:rsid w:val="009A05B9"/>
    <w:rsid w:val="009A14AF"/>
    <w:rsid w:val="009A156F"/>
    <w:rsid w:val="009A4138"/>
    <w:rsid w:val="009B0FA9"/>
    <w:rsid w:val="009B246C"/>
    <w:rsid w:val="009B7E41"/>
    <w:rsid w:val="009C08EC"/>
    <w:rsid w:val="009C4B83"/>
    <w:rsid w:val="009D3DA3"/>
    <w:rsid w:val="009E6329"/>
    <w:rsid w:val="009F1747"/>
    <w:rsid w:val="009F4147"/>
    <w:rsid w:val="009F4D18"/>
    <w:rsid w:val="00A01125"/>
    <w:rsid w:val="00A132F2"/>
    <w:rsid w:val="00A23101"/>
    <w:rsid w:val="00A23604"/>
    <w:rsid w:val="00A23F53"/>
    <w:rsid w:val="00A42044"/>
    <w:rsid w:val="00A428C4"/>
    <w:rsid w:val="00A45DDB"/>
    <w:rsid w:val="00A4659A"/>
    <w:rsid w:val="00A51914"/>
    <w:rsid w:val="00A536B5"/>
    <w:rsid w:val="00A55855"/>
    <w:rsid w:val="00A57CC9"/>
    <w:rsid w:val="00A60DBF"/>
    <w:rsid w:val="00A613A8"/>
    <w:rsid w:val="00A66D09"/>
    <w:rsid w:val="00A66D2A"/>
    <w:rsid w:val="00A8291C"/>
    <w:rsid w:val="00A836F0"/>
    <w:rsid w:val="00A92C4B"/>
    <w:rsid w:val="00A93F41"/>
    <w:rsid w:val="00A94BEE"/>
    <w:rsid w:val="00AA1964"/>
    <w:rsid w:val="00AA6318"/>
    <w:rsid w:val="00AB0F8E"/>
    <w:rsid w:val="00AB174F"/>
    <w:rsid w:val="00AB68FD"/>
    <w:rsid w:val="00AC0B20"/>
    <w:rsid w:val="00AD0194"/>
    <w:rsid w:val="00AD5B2F"/>
    <w:rsid w:val="00AD7EB2"/>
    <w:rsid w:val="00AE0B02"/>
    <w:rsid w:val="00AE75D5"/>
    <w:rsid w:val="00AF6CDD"/>
    <w:rsid w:val="00B00EF9"/>
    <w:rsid w:val="00B023D5"/>
    <w:rsid w:val="00B05B97"/>
    <w:rsid w:val="00B10F83"/>
    <w:rsid w:val="00B134CC"/>
    <w:rsid w:val="00B13D7D"/>
    <w:rsid w:val="00B20AE9"/>
    <w:rsid w:val="00B21128"/>
    <w:rsid w:val="00B256BB"/>
    <w:rsid w:val="00B265C5"/>
    <w:rsid w:val="00B279FA"/>
    <w:rsid w:val="00B335A6"/>
    <w:rsid w:val="00B34F9C"/>
    <w:rsid w:val="00B36EBB"/>
    <w:rsid w:val="00B3792A"/>
    <w:rsid w:val="00B40F35"/>
    <w:rsid w:val="00B41DD2"/>
    <w:rsid w:val="00B43C67"/>
    <w:rsid w:val="00B44D90"/>
    <w:rsid w:val="00B5073A"/>
    <w:rsid w:val="00B5742C"/>
    <w:rsid w:val="00B616D3"/>
    <w:rsid w:val="00B64AEE"/>
    <w:rsid w:val="00B73CE7"/>
    <w:rsid w:val="00B7544B"/>
    <w:rsid w:val="00B77186"/>
    <w:rsid w:val="00BA0BED"/>
    <w:rsid w:val="00BA3604"/>
    <w:rsid w:val="00BA3B9B"/>
    <w:rsid w:val="00BA6910"/>
    <w:rsid w:val="00BA709C"/>
    <w:rsid w:val="00BB2CA9"/>
    <w:rsid w:val="00BC792E"/>
    <w:rsid w:val="00BC7D2F"/>
    <w:rsid w:val="00BD0211"/>
    <w:rsid w:val="00BD2166"/>
    <w:rsid w:val="00BD310B"/>
    <w:rsid w:val="00BE6D3B"/>
    <w:rsid w:val="00C0204F"/>
    <w:rsid w:val="00C057E1"/>
    <w:rsid w:val="00C069E7"/>
    <w:rsid w:val="00C134E6"/>
    <w:rsid w:val="00C25C8F"/>
    <w:rsid w:val="00C27330"/>
    <w:rsid w:val="00C34D79"/>
    <w:rsid w:val="00C35B82"/>
    <w:rsid w:val="00C36698"/>
    <w:rsid w:val="00C422F7"/>
    <w:rsid w:val="00C435FA"/>
    <w:rsid w:val="00C45807"/>
    <w:rsid w:val="00C50A2A"/>
    <w:rsid w:val="00C52A5D"/>
    <w:rsid w:val="00C576AA"/>
    <w:rsid w:val="00C57ED3"/>
    <w:rsid w:val="00C61074"/>
    <w:rsid w:val="00C70C38"/>
    <w:rsid w:val="00C711D1"/>
    <w:rsid w:val="00C764F4"/>
    <w:rsid w:val="00C84FF7"/>
    <w:rsid w:val="00C85C35"/>
    <w:rsid w:val="00C9346A"/>
    <w:rsid w:val="00CA011A"/>
    <w:rsid w:val="00CA7729"/>
    <w:rsid w:val="00CB2472"/>
    <w:rsid w:val="00CB5163"/>
    <w:rsid w:val="00CB5739"/>
    <w:rsid w:val="00CC36BC"/>
    <w:rsid w:val="00CC4C47"/>
    <w:rsid w:val="00CC579D"/>
    <w:rsid w:val="00CC6544"/>
    <w:rsid w:val="00CD262D"/>
    <w:rsid w:val="00CD44AC"/>
    <w:rsid w:val="00CD6674"/>
    <w:rsid w:val="00CE0ABC"/>
    <w:rsid w:val="00CE187D"/>
    <w:rsid w:val="00CE64A5"/>
    <w:rsid w:val="00CF3BBF"/>
    <w:rsid w:val="00CF637E"/>
    <w:rsid w:val="00CF70FA"/>
    <w:rsid w:val="00D02FE3"/>
    <w:rsid w:val="00D06F3F"/>
    <w:rsid w:val="00D0720B"/>
    <w:rsid w:val="00D13A37"/>
    <w:rsid w:val="00D16202"/>
    <w:rsid w:val="00D17A87"/>
    <w:rsid w:val="00D230B9"/>
    <w:rsid w:val="00D27815"/>
    <w:rsid w:val="00D30C1D"/>
    <w:rsid w:val="00D35E13"/>
    <w:rsid w:val="00D36CF8"/>
    <w:rsid w:val="00D44FA9"/>
    <w:rsid w:val="00D543BC"/>
    <w:rsid w:val="00D66FC4"/>
    <w:rsid w:val="00D75BCD"/>
    <w:rsid w:val="00D863D3"/>
    <w:rsid w:val="00D87C13"/>
    <w:rsid w:val="00D902AE"/>
    <w:rsid w:val="00D90DAB"/>
    <w:rsid w:val="00D97270"/>
    <w:rsid w:val="00DA28B5"/>
    <w:rsid w:val="00DA571E"/>
    <w:rsid w:val="00DA6597"/>
    <w:rsid w:val="00DB51F6"/>
    <w:rsid w:val="00DB642A"/>
    <w:rsid w:val="00DC1DD2"/>
    <w:rsid w:val="00DD698D"/>
    <w:rsid w:val="00DF22A6"/>
    <w:rsid w:val="00E04B89"/>
    <w:rsid w:val="00E055EB"/>
    <w:rsid w:val="00E06DB9"/>
    <w:rsid w:val="00E114BB"/>
    <w:rsid w:val="00E14CFB"/>
    <w:rsid w:val="00E23522"/>
    <w:rsid w:val="00E2531D"/>
    <w:rsid w:val="00E25BA4"/>
    <w:rsid w:val="00E26D24"/>
    <w:rsid w:val="00E443EF"/>
    <w:rsid w:val="00E44664"/>
    <w:rsid w:val="00E45947"/>
    <w:rsid w:val="00E466EB"/>
    <w:rsid w:val="00E506EE"/>
    <w:rsid w:val="00E63D05"/>
    <w:rsid w:val="00E63E25"/>
    <w:rsid w:val="00E66A54"/>
    <w:rsid w:val="00E90104"/>
    <w:rsid w:val="00EB52E8"/>
    <w:rsid w:val="00EB761F"/>
    <w:rsid w:val="00EC62A2"/>
    <w:rsid w:val="00ED4B47"/>
    <w:rsid w:val="00EE7163"/>
    <w:rsid w:val="00EF33B0"/>
    <w:rsid w:val="00EF7248"/>
    <w:rsid w:val="00F02F75"/>
    <w:rsid w:val="00F136D9"/>
    <w:rsid w:val="00F2090D"/>
    <w:rsid w:val="00F232E9"/>
    <w:rsid w:val="00F257F6"/>
    <w:rsid w:val="00F26CE3"/>
    <w:rsid w:val="00F36768"/>
    <w:rsid w:val="00F37AE5"/>
    <w:rsid w:val="00F42CD3"/>
    <w:rsid w:val="00F520F9"/>
    <w:rsid w:val="00F55FA7"/>
    <w:rsid w:val="00F567D9"/>
    <w:rsid w:val="00F5789F"/>
    <w:rsid w:val="00F61A77"/>
    <w:rsid w:val="00F66F1F"/>
    <w:rsid w:val="00F7359A"/>
    <w:rsid w:val="00F805D5"/>
    <w:rsid w:val="00F81BD1"/>
    <w:rsid w:val="00F84FD4"/>
    <w:rsid w:val="00F920D3"/>
    <w:rsid w:val="00F9529A"/>
    <w:rsid w:val="00FA36BF"/>
    <w:rsid w:val="00FA3CB3"/>
    <w:rsid w:val="00FA5E50"/>
    <w:rsid w:val="00FA7053"/>
    <w:rsid w:val="00FB14B7"/>
    <w:rsid w:val="00FB420C"/>
    <w:rsid w:val="00FB5CBB"/>
    <w:rsid w:val="00FB645C"/>
    <w:rsid w:val="00FB6CE5"/>
    <w:rsid w:val="00FC1859"/>
    <w:rsid w:val="00FC42A2"/>
    <w:rsid w:val="00FC6E8C"/>
    <w:rsid w:val="00FD4953"/>
    <w:rsid w:val="00FD513A"/>
    <w:rsid w:val="00FD6665"/>
    <w:rsid w:val="00FD767B"/>
    <w:rsid w:val="00FE2020"/>
    <w:rsid w:val="00FF47B7"/>
    <w:rsid w:val="00FF6076"/>
    <w:rsid w:val="00FF76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8470F"/>
  <w15:docId w15:val="{A26B511C-A4A2-456B-B9BA-FEAEA8AE8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6698"/>
  </w:style>
  <w:style w:type="paragraph" w:styleId="Ttulo1">
    <w:name w:val="heading 1"/>
    <w:basedOn w:val="Normal"/>
    <w:next w:val="Normal"/>
    <w:link w:val="Ttulo1Car"/>
    <w:uiPriority w:val="9"/>
    <w:qFormat/>
    <w:rsid w:val="00C366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aliases w:val="Ref,de nota al pie,(NECG) Footnote Reference,o,fr,Style 3,Appel note de bas de p,Style 12,Style 124,Ref. de nota al pie 2,Style 6,Footnote Reference Superscript,Style 13,FR,Style 17,Footnote Reference/,Texto de nota al pie,註腳內容,11 pt"/>
    <w:unhideWhenUsed/>
    <w:qFormat/>
    <w:rsid w:val="00C36698"/>
    <w:rPr>
      <w:vertAlign w:val="superscript"/>
    </w:rPr>
  </w:style>
  <w:style w:type="paragraph" w:customStyle="1" w:styleId="1TitPrin">
    <w:name w:val="1TitPrin"/>
    <w:basedOn w:val="Ttulo1"/>
    <w:link w:val="1TitPrinCar"/>
    <w:autoRedefine/>
    <w:qFormat/>
    <w:rsid w:val="00C36698"/>
    <w:pPr>
      <w:keepNext w:val="0"/>
      <w:keepLines w:val="0"/>
      <w:numPr>
        <w:ilvl w:val="1"/>
        <w:numId w:val="6"/>
      </w:numPr>
      <w:spacing w:before="0"/>
      <w:ind w:left="862"/>
      <w:jc w:val="both"/>
      <w:outlineLvl w:val="1"/>
    </w:pPr>
    <w:rPr>
      <w:rFonts w:asciiTheme="minorHAnsi" w:eastAsia="Calibri" w:hAnsiTheme="minorHAnsi" w:cs="Times New Roman"/>
      <w:b w:val="0"/>
      <w:color w:val="auto"/>
      <w:sz w:val="20"/>
      <w:szCs w:val="20"/>
      <w:lang w:eastAsia="es-ES"/>
    </w:rPr>
  </w:style>
  <w:style w:type="character" w:customStyle="1" w:styleId="1TitPrinCar">
    <w:name w:val="1TitPrin Car"/>
    <w:link w:val="1TitPrin"/>
    <w:rsid w:val="00C36698"/>
    <w:rPr>
      <w:rFonts w:eastAsia="Calibri" w:cs="Times New Roman"/>
      <w:bCs/>
      <w:sz w:val="20"/>
      <w:szCs w:val="20"/>
      <w:lang w:eastAsia="es-ES"/>
    </w:rPr>
  </w:style>
  <w:style w:type="paragraph" w:customStyle="1" w:styleId="IFTnormal">
    <w:name w:val="IFT normal"/>
    <w:basedOn w:val="Normal"/>
    <w:link w:val="IFTnormalCar"/>
    <w:qFormat/>
    <w:rsid w:val="00C36698"/>
    <w:pPr>
      <w:jc w:val="both"/>
    </w:pPr>
    <w:rPr>
      <w:rFonts w:ascii="ITC Avant Garde" w:eastAsia="Calibri" w:hAnsi="ITC Avant Garde" w:cs="Calibri"/>
      <w:bCs/>
    </w:rPr>
  </w:style>
  <w:style w:type="character" w:customStyle="1" w:styleId="IFTnormalCar">
    <w:name w:val="IFT normal Car"/>
    <w:link w:val="IFTnormal"/>
    <w:qFormat/>
    <w:rsid w:val="00C36698"/>
    <w:rPr>
      <w:rFonts w:ascii="ITC Avant Garde" w:eastAsia="Calibri" w:hAnsi="ITC Avant Garde" w:cs="Calibri"/>
      <w:bCs/>
    </w:rPr>
  </w:style>
  <w:style w:type="paragraph" w:customStyle="1" w:styleId="Texto1">
    <w:name w:val="Texto 1"/>
    <w:basedOn w:val="Normal"/>
    <w:uiPriority w:val="99"/>
    <w:rsid w:val="00C36698"/>
    <w:pPr>
      <w:spacing w:after="0" w:line="240" w:lineRule="auto"/>
      <w:ind w:left="352"/>
      <w:jc w:val="both"/>
    </w:pPr>
    <w:rPr>
      <w:rFonts w:eastAsia="Times New Roman" w:cs="Times New Roman"/>
      <w:sz w:val="24"/>
      <w:szCs w:val="24"/>
      <w:lang w:val="es-ES_tradnl" w:eastAsia="es-E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qFormat/>
    <w:rsid w:val="00C36698"/>
    <w:pPr>
      <w:ind w:left="720"/>
      <w:contextualSpacing/>
    </w:pPr>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1"/>
    <w:qFormat/>
    <w:rsid w:val="00C36698"/>
    <w:rPr>
      <w:rFonts w:ascii="Calibri" w:eastAsia="Calibri" w:hAnsi="Calibri" w:cs="Times New Roman"/>
    </w:rPr>
  </w:style>
  <w:style w:type="paragraph" w:customStyle="1" w:styleId="xxxNotaelpiemt">
    <w:name w:val="xxx Nota el pie mt"/>
    <w:basedOn w:val="Textonotapie"/>
    <w:link w:val="xxxNotaelpiemtCar"/>
    <w:qFormat/>
    <w:rsid w:val="00C36698"/>
    <w:pPr>
      <w:tabs>
        <w:tab w:val="left" w:pos="284"/>
      </w:tabs>
      <w:spacing w:line="276" w:lineRule="auto"/>
      <w:ind w:left="284" w:hanging="284"/>
      <w:jc w:val="both"/>
    </w:pPr>
    <w:rPr>
      <w:rFonts w:ascii="Arial" w:eastAsia="Calibri" w:hAnsi="Arial" w:cs="Times New Roman"/>
      <w:color w:val="595959" w:themeColor="text1" w:themeTint="A6"/>
      <w:sz w:val="14"/>
      <w:szCs w:val="14"/>
      <w:lang w:val="es-ES" w:eastAsia="es-ES"/>
    </w:rPr>
  </w:style>
  <w:style w:type="character" w:customStyle="1" w:styleId="xxxNotaelpiemtCar">
    <w:name w:val="xxx Nota el pie mt Car"/>
    <w:basedOn w:val="Fuentedeprrafopredeter"/>
    <w:link w:val="xxxNotaelpiemt"/>
    <w:rsid w:val="00C36698"/>
    <w:rPr>
      <w:rFonts w:ascii="Arial" w:eastAsia="Calibri" w:hAnsi="Arial" w:cs="Times New Roman"/>
      <w:color w:val="595959" w:themeColor="text1" w:themeTint="A6"/>
      <w:sz w:val="14"/>
      <w:szCs w:val="14"/>
      <w:lang w:val="es-ES" w:eastAsia="es-ES"/>
    </w:rPr>
  </w:style>
  <w:style w:type="character" w:customStyle="1" w:styleId="Ttulo1Car">
    <w:name w:val="Título 1 Car"/>
    <w:basedOn w:val="Fuentedeprrafopredeter"/>
    <w:link w:val="Ttulo1"/>
    <w:uiPriority w:val="9"/>
    <w:rsid w:val="00C36698"/>
    <w:rPr>
      <w:rFonts w:asciiTheme="majorHAnsi" w:eastAsiaTheme="majorEastAsia" w:hAnsiTheme="majorHAnsi" w:cstheme="majorBidi"/>
      <w:b/>
      <w:bCs/>
      <w:color w:val="365F91" w:themeColor="accent1" w:themeShade="BF"/>
      <w:sz w:val="28"/>
      <w:szCs w:val="28"/>
    </w:rPr>
  </w:style>
  <w:style w:type="paragraph" w:styleId="Textonotapie">
    <w:name w:val="footnote text"/>
    <w:aliases w:val="Footnote Text Char3,Footnote Text Char2 Char,Footnote Text Char Char Char1 Char,Footnote Text Char1 Char1 Char,Footnote Text Char Char Char2,Footnote Text Char Char Char Char,Footnote Text Char1 Char Char Char Char,ALTS FOOTNOTE,Car,5_G,f"/>
    <w:basedOn w:val="Normal"/>
    <w:link w:val="TextonotapieCar"/>
    <w:uiPriority w:val="99"/>
    <w:unhideWhenUsed/>
    <w:qFormat/>
    <w:rsid w:val="00C36698"/>
    <w:pPr>
      <w:spacing w:after="0" w:line="240" w:lineRule="auto"/>
    </w:pPr>
    <w:rPr>
      <w:sz w:val="20"/>
      <w:szCs w:val="20"/>
    </w:rPr>
  </w:style>
  <w:style w:type="character" w:customStyle="1" w:styleId="TextonotapieCar">
    <w:name w:val="Texto nota pie Car"/>
    <w:aliases w:val="Footnote Text Char3 Car,Footnote Text Char2 Char Car,Footnote Text Char Char Char1 Char Car,Footnote Text Char1 Char1 Char Car,Footnote Text Char Char Char2 Car,Footnote Text Char Char Char Char Car,ALTS FOOTNOTE Car,Car Car,5_G Car"/>
    <w:basedOn w:val="Fuentedeprrafopredeter"/>
    <w:link w:val="Textonotapie"/>
    <w:uiPriority w:val="99"/>
    <w:rsid w:val="00C36698"/>
    <w:rPr>
      <w:sz w:val="20"/>
      <w:szCs w:val="20"/>
    </w:rPr>
  </w:style>
  <w:style w:type="paragraph" w:styleId="Textodeglobo">
    <w:name w:val="Balloon Text"/>
    <w:basedOn w:val="Normal"/>
    <w:link w:val="TextodegloboCar"/>
    <w:uiPriority w:val="99"/>
    <w:semiHidden/>
    <w:unhideWhenUsed/>
    <w:rsid w:val="00C366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6698"/>
    <w:rPr>
      <w:rFonts w:ascii="Tahoma" w:hAnsi="Tahoma" w:cs="Tahoma"/>
      <w:sz w:val="16"/>
      <w:szCs w:val="16"/>
    </w:rPr>
  </w:style>
  <w:style w:type="paragraph" w:styleId="Encabezado">
    <w:name w:val="header"/>
    <w:basedOn w:val="Normal"/>
    <w:link w:val="EncabezadoCar"/>
    <w:uiPriority w:val="99"/>
    <w:unhideWhenUsed/>
    <w:rsid w:val="00877CA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7CA3"/>
  </w:style>
  <w:style w:type="paragraph" w:styleId="Piedepgina">
    <w:name w:val="footer"/>
    <w:basedOn w:val="Normal"/>
    <w:link w:val="PiedepginaCar"/>
    <w:uiPriority w:val="99"/>
    <w:unhideWhenUsed/>
    <w:rsid w:val="00877CA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7CA3"/>
  </w:style>
  <w:style w:type="table" w:customStyle="1" w:styleId="Estilo1">
    <w:name w:val="Estilo1"/>
    <w:basedOn w:val="Tablanormal"/>
    <w:uiPriority w:val="99"/>
    <w:rsid w:val="00877CA3"/>
    <w:pPr>
      <w:spacing w:after="0" w:line="240" w:lineRule="auto"/>
    </w:pPr>
    <w:tblPr/>
  </w:style>
  <w:style w:type="character" w:styleId="Refdecomentario">
    <w:name w:val="annotation reference"/>
    <w:basedOn w:val="Fuentedeprrafopredeter"/>
    <w:uiPriority w:val="99"/>
    <w:unhideWhenUsed/>
    <w:rsid w:val="00BD2166"/>
    <w:rPr>
      <w:sz w:val="16"/>
      <w:szCs w:val="16"/>
    </w:rPr>
  </w:style>
  <w:style w:type="paragraph" w:styleId="Textocomentario">
    <w:name w:val="annotation text"/>
    <w:basedOn w:val="Normal"/>
    <w:link w:val="TextocomentarioCar"/>
    <w:uiPriority w:val="99"/>
    <w:unhideWhenUsed/>
    <w:rsid w:val="00BD2166"/>
    <w:pPr>
      <w:spacing w:line="240" w:lineRule="auto"/>
    </w:pPr>
    <w:rPr>
      <w:sz w:val="20"/>
      <w:szCs w:val="20"/>
    </w:rPr>
  </w:style>
  <w:style w:type="character" w:customStyle="1" w:styleId="TextocomentarioCar">
    <w:name w:val="Texto comentario Car"/>
    <w:basedOn w:val="Fuentedeprrafopredeter"/>
    <w:link w:val="Textocomentario"/>
    <w:uiPriority w:val="99"/>
    <w:qFormat/>
    <w:rsid w:val="00BD2166"/>
    <w:rPr>
      <w:sz w:val="20"/>
      <w:szCs w:val="20"/>
    </w:rPr>
  </w:style>
  <w:style w:type="paragraph" w:styleId="Asuntodelcomentario">
    <w:name w:val="annotation subject"/>
    <w:basedOn w:val="Textocomentario"/>
    <w:next w:val="Textocomentario"/>
    <w:link w:val="AsuntodelcomentarioCar"/>
    <w:uiPriority w:val="99"/>
    <w:semiHidden/>
    <w:unhideWhenUsed/>
    <w:rsid w:val="00BD2166"/>
    <w:rPr>
      <w:b/>
      <w:bCs/>
    </w:rPr>
  </w:style>
  <w:style w:type="character" w:customStyle="1" w:styleId="AsuntodelcomentarioCar">
    <w:name w:val="Asunto del comentario Car"/>
    <w:basedOn w:val="TextocomentarioCar"/>
    <w:link w:val="Asuntodelcomentario"/>
    <w:uiPriority w:val="99"/>
    <w:semiHidden/>
    <w:rsid w:val="00BD2166"/>
    <w:rPr>
      <w:b/>
      <w:bCs/>
      <w:sz w:val="20"/>
      <w:szCs w:val="20"/>
    </w:rPr>
  </w:style>
  <w:style w:type="paragraph" w:styleId="Sinespaciado">
    <w:name w:val="No Spacing"/>
    <w:uiPriority w:val="1"/>
    <w:qFormat/>
    <w:rsid w:val="005C28C7"/>
    <w:pPr>
      <w:spacing w:after="0" w:line="240" w:lineRule="auto"/>
    </w:pPr>
  </w:style>
  <w:style w:type="paragraph" w:styleId="Revisin">
    <w:name w:val="Revision"/>
    <w:hidden/>
    <w:uiPriority w:val="99"/>
    <w:semiHidden/>
    <w:rsid w:val="001B325B"/>
    <w:pPr>
      <w:spacing w:after="0" w:line="240" w:lineRule="auto"/>
    </w:pPr>
  </w:style>
  <w:style w:type="paragraph" w:customStyle="1" w:styleId="aaaIFTnormal">
    <w:name w:val="aaa IFT normal"/>
    <w:basedOn w:val="Normal"/>
    <w:link w:val="aaaIFTnormalCar"/>
    <w:qFormat/>
    <w:rsid w:val="0075737A"/>
    <w:pPr>
      <w:spacing w:after="240"/>
      <w:jc w:val="both"/>
    </w:pPr>
    <w:rPr>
      <w:rFonts w:ascii="Arial" w:eastAsia="MS Mincho" w:hAnsi="Arial" w:cs="Calibri"/>
      <w:bCs/>
    </w:rPr>
  </w:style>
  <w:style w:type="character" w:customStyle="1" w:styleId="aaaIFTnormalCar">
    <w:name w:val="aaa IFT normal Car"/>
    <w:link w:val="aaaIFTnormal"/>
    <w:qFormat/>
    <w:rsid w:val="0075737A"/>
    <w:rPr>
      <w:rFonts w:ascii="Arial" w:eastAsia="MS Mincho" w:hAnsi="Arial" w:cs="Calibri"/>
      <w:bCs/>
    </w:rPr>
  </w:style>
  <w:style w:type="paragraph" w:customStyle="1" w:styleId="pf0">
    <w:name w:val="pf0"/>
    <w:basedOn w:val="Normal"/>
    <w:rsid w:val="001274D9"/>
    <w:pPr>
      <w:spacing w:before="100" w:beforeAutospacing="1" w:after="100" w:afterAutospacing="1" w:line="240" w:lineRule="auto"/>
    </w:pPr>
    <w:rPr>
      <w:rFonts w:ascii="Calibri" w:hAnsi="Calibri" w:cs="Calibri"/>
      <w:lang w:eastAsia="es-MX"/>
    </w:rPr>
  </w:style>
  <w:style w:type="character" w:customStyle="1" w:styleId="cf01">
    <w:name w:val="cf01"/>
    <w:basedOn w:val="Fuentedeprrafopredeter"/>
    <w:rsid w:val="001274D9"/>
    <w:rPr>
      <w:rFonts w:ascii="Segoe UI" w:hAnsi="Segoe UI" w:cs="Segoe UI" w:hint="default"/>
    </w:rPr>
  </w:style>
  <w:style w:type="paragraph" w:customStyle="1" w:styleId="CitaIFT">
    <w:name w:val="Cita IFT"/>
    <w:basedOn w:val="Normal"/>
    <w:link w:val="CitaIFTCar"/>
    <w:qFormat/>
    <w:rsid w:val="005D5501"/>
    <w:pPr>
      <w:adjustRightInd w:val="0"/>
      <w:ind w:left="851" w:right="760"/>
      <w:jc w:val="both"/>
    </w:pPr>
    <w:rPr>
      <w:rFonts w:ascii="ITC Avant Garde" w:eastAsia="Times New Roman" w:hAnsi="ITC Avant Garde" w:cs="Times New Roman"/>
      <w:i/>
      <w:color w:val="000000"/>
      <w:sz w:val="18"/>
      <w:szCs w:val="20"/>
      <w:lang w:val="es-ES_tradnl" w:eastAsia="es-ES"/>
    </w:rPr>
  </w:style>
  <w:style w:type="character" w:customStyle="1" w:styleId="CitaIFTCar">
    <w:name w:val="Cita IFT Car"/>
    <w:link w:val="CitaIFT"/>
    <w:qFormat/>
    <w:locked/>
    <w:rsid w:val="005D5501"/>
    <w:rPr>
      <w:rFonts w:ascii="ITC Avant Garde" w:eastAsia="Times New Roman" w:hAnsi="ITC Avant Garde" w:cs="Times New Roman"/>
      <w:i/>
      <w:color w:val="000000"/>
      <w:sz w:val="18"/>
      <w:szCs w:val="20"/>
      <w:lang w:val="es-ES_tradnl" w:eastAsia="es-ES"/>
    </w:rPr>
  </w:style>
  <w:style w:type="paragraph" w:customStyle="1" w:styleId="pieizq">
    <w:name w:val="pie izq"/>
    <w:basedOn w:val="Normal"/>
    <w:uiPriority w:val="99"/>
    <w:rsid w:val="006D3DA6"/>
    <w:pPr>
      <w:tabs>
        <w:tab w:val="center" w:pos="4252"/>
        <w:tab w:val="right" w:pos="8504"/>
        <w:tab w:val="left" w:pos="9498"/>
      </w:tabs>
      <w:suppressAutoHyphens/>
      <w:spacing w:after="120" w:line="360" w:lineRule="auto"/>
      <w:ind w:left="4252" w:right="-115" w:hanging="4252"/>
      <w:contextualSpacing/>
      <w:jc w:val="both"/>
    </w:pPr>
    <w:rPr>
      <w:rFonts w:ascii="Calibri" w:eastAsia="Times New Roman" w:hAnsi="Calibri" w:cs="Times New Roman"/>
      <w:b/>
      <w:sz w:val="28"/>
      <w:szCs w:val="24"/>
      <w:lang w:eastAsia="es-ES"/>
    </w:rPr>
  </w:style>
  <w:style w:type="paragraph" w:customStyle="1" w:styleId="aaaNumeral1">
    <w:name w:val="aaa Numeral 1"/>
    <w:basedOn w:val="Prrafodelista"/>
    <w:qFormat/>
    <w:rsid w:val="0013177C"/>
    <w:pPr>
      <w:numPr>
        <w:numId w:val="25"/>
      </w:numPr>
      <w:spacing w:before="240" w:after="360"/>
      <w:ind w:left="283" w:hanging="357"/>
      <w:jc w:val="both"/>
      <w:outlineLvl w:val="0"/>
    </w:pPr>
    <w:rPr>
      <w:rFonts w:ascii="Arial" w:eastAsiaTheme="minorHAnsi" w:hAnsi="Arial" w:cs="Arial"/>
      <w:b/>
    </w:rPr>
  </w:style>
  <w:style w:type="table" w:styleId="Tablaconcuadrcula">
    <w:name w:val="Table Grid"/>
    <w:basedOn w:val="Tablanormal"/>
    <w:uiPriority w:val="59"/>
    <w:rsid w:val="000003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CF3BBF"/>
    <w:rPr>
      <w:color w:val="0000FF" w:themeColor="hyperlink"/>
      <w:u w:val="single"/>
    </w:rPr>
  </w:style>
  <w:style w:type="paragraph" w:styleId="Sangra3detindependiente">
    <w:name w:val="Body Text Indent 3"/>
    <w:basedOn w:val="Normal"/>
    <w:link w:val="Sangra3detindependienteCar"/>
    <w:rsid w:val="00FF6076"/>
    <w:pPr>
      <w:spacing w:after="0" w:line="240" w:lineRule="auto"/>
      <w:ind w:firstLine="720"/>
      <w:jc w:val="both"/>
    </w:pPr>
    <w:rPr>
      <w:rFonts w:ascii="Arial" w:eastAsia="Times New Roman" w:hAnsi="Arial" w:cs="Times New Roman"/>
      <w:sz w:val="24"/>
      <w:szCs w:val="20"/>
      <w:lang w:val="x-none"/>
    </w:rPr>
  </w:style>
  <w:style w:type="character" w:customStyle="1" w:styleId="Sangra3detindependienteCar">
    <w:name w:val="Sangría 3 de t. independiente Car"/>
    <w:basedOn w:val="Fuentedeprrafopredeter"/>
    <w:link w:val="Sangra3detindependiente"/>
    <w:rsid w:val="00FF6076"/>
    <w:rPr>
      <w:rFonts w:ascii="Arial" w:eastAsia="Times New Roman" w:hAnsi="Arial" w:cs="Times New Roman"/>
      <w:sz w:val="24"/>
      <w:szCs w:val="20"/>
      <w:lang w:val="x-none"/>
    </w:rPr>
  </w:style>
  <w:style w:type="paragraph" w:customStyle="1" w:styleId="NotaalPie">
    <w:name w:val="Nota al Pie"/>
    <w:basedOn w:val="Textonotapie"/>
    <w:link w:val="NotaalPieCar"/>
    <w:qFormat/>
    <w:rsid w:val="002F26F9"/>
    <w:pPr>
      <w:tabs>
        <w:tab w:val="left" w:pos="284"/>
      </w:tabs>
      <w:spacing w:line="276" w:lineRule="auto"/>
      <w:ind w:left="284" w:hanging="284"/>
    </w:pPr>
    <w:rPr>
      <w:rFonts w:ascii="Arial" w:eastAsia="Calibri" w:hAnsi="Arial" w:cs="Times New Roman"/>
      <w:sz w:val="14"/>
      <w:lang w:val="es-ES_tradnl" w:eastAsia="es-ES"/>
    </w:rPr>
  </w:style>
  <w:style w:type="character" w:customStyle="1" w:styleId="NotaalPieCar">
    <w:name w:val="Nota al Pie Car"/>
    <w:basedOn w:val="Fuentedeprrafopredeter"/>
    <w:link w:val="NotaalPie"/>
    <w:rsid w:val="002F26F9"/>
    <w:rPr>
      <w:rFonts w:ascii="Arial" w:eastAsia="Calibri" w:hAnsi="Arial" w:cs="Times New Roman"/>
      <w:sz w:val="1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314409">
      <w:bodyDiv w:val="1"/>
      <w:marLeft w:val="0"/>
      <w:marRight w:val="0"/>
      <w:marTop w:val="0"/>
      <w:marBottom w:val="0"/>
      <w:divBdr>
        <w:top w:val="none" w:sz="0" w:space="0" w:color="auto"/>
        <w:left w:val="none" w:sz="0" w:space="0" w:color="auto"/>
        <w:bottom w:val="none" w:sz="0" w:space="0" w:color="auto"/>
        <w:right w:val="none" w:sz="0" w:space="0" w:color="auto"/>
      </w:divBdr>
    </w:div>
    <w:div w:id="702289597">
      <w:bodyDiv w:val="1"/>
      <w:marLeft w:val="0"/>
      <w:marRight w:val="0"/>
      <w:marTop w:val="0"/>
      <w:marBottom w:val="0"/>
      <w:divBdr>
        <w:top w:val="none" w:sz="0" w:space="0" w:color="auto"/>
        <w:left w:val="none" w:sz="0" w:space="0" w:color="auto"/>
        <w:bottom w:val="none" w:sz="0" w:space="0" w:color="auto"/>
        <w:right w:val="none" w:sz="0" w:space="0" w:color="auto"/>
      </w:divBdr>
    </w:div>
    <w:div w:id="1259564907">
      <w:bodyDiv w:val="1"/>
      <w:marLeft w:val="0"/>
      <w:marRight w:val="0"/>
      <w:marTop w:val="0"/>
      <w:marBottom w:val="0"/>
      <w:divBdr>
        <w:top w:val="none" w:sz="0" w:space="0" w:color="auto"/>
        <w:left w:val="none" w:sz="0" w:space="0" w:color="auto"/>
        <w:bottom w:val="none" w:sz="0" w:space="0" w:color="auto"/>
        <w:right w:val="none" w:sz="0" w:space="0" w:color="auto"/>
      </w:divBdr>
    </w:div>
    <w:div w:id="1345279291">
      <w:bodyDiv w:val="1"/>
      <w:marLeft w:val="0"/>
      <w:marRight w:val="0"/>
      <w:marTop w:val="0"/>
      <w:marBottom w:val="0"/>
      <w:divBdr>
        <w:top w:val="none" w:sz="0" w:space="0" w:color="auto"/>
        <w:left w:val="none" w:sz="0" w:space="0" w:color="auto"/>
        <w:bottom w:val="none" w:sz="0" w:space="0" w:color="auto"/>
        <w:right w:val="none" w:sz="0" w:space="0" w:color="auto"/>
      </w:divBdr>
    </w:div>
    <w:div w:id="1693721644">
      <w:bodyDiv w:val="1"/>
      <w:marLeft w:val="0"/>
      <w:marRight w:val="0"/>
      <w:marTop w:val="0"/>
      <w:marBottom w:val="0"/>
      <w:divBdr>
        <w:top w:val="none" w:sz="0" w:space="0" w:color="auto"/>
        <w:left w:val="none" w:sz="0" w:space="0" w:color="auto"/>
        <w:bottom w:val="none" w:sz="0" w:space="0" w:color="auto"/>
        <w:right w:val="none" w:sz="0" w:space="0" w:color="auto"/>
      </w:divBdr>
    </w:div>
    <w:div w:id="208236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_rels/footnotes.xml.rels><?xml version="1.0" encoding="UTF-8" standalone="yes"?>
<Relationships xmlns="http://schemas.openxmlformats.org/package/2006/relationships"><Relationship Id="rId3" Type="http://schemas.openxmlformats.org/officeDocument/2006/relationships/hyperlink" Target="https://newsweekespanol.com/2022/03/proveedores-de-internet-suben-sus-precios-en-mexico/" TargetMode="External"/><Relationship Id="rId7" Type="http://schemas.openxmlformats.org/officeDocument/2006/relationships/hyperlink" Target="https://www.telesites.com.mx/pdf/Opsimex/AUCIP/Anexo_IV_A.pdf" TargetMode="External"/><Relationship Id="rId2" Type="http://schemas.openxmlformats.org/officeDocument/2006/relationships/hyperlink" Target="https://www.izzi.mx/legales/Aviso_Incremento_Netflix" TargetMode="External"/><Relationship Id="rId1" Type="http://schemas.openxmlformats.org/officeDocument/2006/relationships/hyperlink" Target="https://www.inegi.org.mx/app/indicesdeprecios/calculadorainflacion.aspx" TargetMode="External"/><Relationship Id="rId6" Type="http://schemas.openxmlformats.org/officeDocument/2006/relationships/hyperlink" Target="https://www.megacable.com.mx/ajustes_de_tarifas" TargetMode="External"/><Relationship Id="rId5" Type="http://schemas.openxmlformats.org/officeDocument/2006/relationships/hyperlink" Target="https://expansion.mx/empresas/2023/06/30/totalplay-incrementa-precios-internet" TargetMode="External"/><Relationship Id="rId4" Type="http://schemas.openxmlformats.org/officeDocument/2006/relationships/hyperlink" Target="https://www.izzi.mx/legales/Fe_de_hechos_Axtel_Cablevision_SA_de_CV"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AE84D9-CF58-445A-A584-65FD91235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1974</Words>
  <Characters>10862</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12811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jsavila</dc:creator>
  <cp:keywords/>
  <dc:description/>
  <cp:lastModifiedBy>Sánchez Alvarez Saúl</cp:lastModifiedBy>
  <cp:revision>2</cp:revision>
  <cp:lastPrinted>2024-07-18T17:43:00Z</cp:lastPrinted>
  <dcterms:created xsi:type="dcterms:W3CDTF">2024-07-19T17:10:00Z</dcterms:created>
  <dcterms:modified xsi:type="dcterms:W3CDTF">2024-07-19T17:10:00Z</dcterms:modified>
</cp:coreProperties>
</file>