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F4930" w14:textId="77777777" w:rsidR="002140C8" w:rsidRDefault="002140C8" w:rsidP="002140C8">
      <w:pPr>
        <w:pStyle w:val="IFTnormal"/>
        <w:tabs>
          <w:tab w:val="left" w:pos="5103"/>
        </w:tabs>
        <w:jc w:val="center"/>
        <w:rPr>
          <w:rFonts w:ascii="Arial" w:hAnsi="Arial" w:cs="Arial"/>
          <w:b/>
          <w:sz w:val="22"/>
          <w:szCs w:val="22"/>
          <w:u w:val="single"/>
          <w:lang w:val="es-ES" w:eastAsia="en-US"/>
        </w:rPr>
      </w:pPr>
    </w:p>
    <w:p w14:paraId="7DB79B4A" w14:textId="77777777" w:rsidR="002140C8" w:rsidRDefault="002140C8" w:rsidP="002140C8">
      <w:pPr>
        <w:pStyle w:val="IFTnormal"/>
        <w:jc w:val="center"/>
        <w:rPr>
          <w:rFonts w:ascii="Arial" w:hAnsi="Arial" w:cs="Arial"/>
          <w:b/>
          <w:u w:val="single"/>
          <w:lang w:val="es-ES"/>
        </w:rPr>
      </w:pPr>
    </w:p>
    <w:p w14:paraId="07CD529C" w14:textId="77777777" w:rsidR="002140C8" w:rsidRDefault="002140C8" w:rsidP="002140C8">
      <w:pPr>
        <w:pStyle w:val="IFTnormal"/>
        <w:jc w:val="center"/>
        <w:rPr>
          <w:rFonts w:ascii="Arial" w:hAnsi="Arial" w:cs="Arial"/>
          <w:b/>
          <w:u w:val="single"/>
          <w:lang w:val="es-ES"/>
        </w:rPr>
      </w:pPr>
    </w:p>
    <w:p w14:paraId="6AE6CD5D" w14:textId="77777777" w:rsidR="002140C8" w:rsidRDefault="002140C8" w:rsidP="002140C8">
      <w:pPr>
        <w:pStyle w:val="IFTnormal"/>
        <w:jc w:val="center"/>
        <w:rPr>
          <w:rFonts w:ascii="Arial" w:hAnsi="Arial" w:cs="Arial"/>
          <w:b/>
          <w:u w:val="single"/>
          <w:lang w:val="es-ES"/>
        </w:rPr>
      </w:pPr>
    </w:p>
    <w:p w14:paraId="33614672" w14:textId="77777777" w:rsidR="002140C8" w:rsidRDefault="002140C8" w:rsidP="002140C8">
      <w:pPr>
        <w:pStyle w:val="IFTnormal"/>
        <w:jc w:val="center"/>
        <w:rPr>
          <w:rFonts w:ascii="Arial" w:hAnsi="Arial" w:cs="Arial"/>
          <w:b/>
          <w:u w:val="single"/>
          <w:lang w:val="es-ES"/>
        </w:rPr>
      </w:pPr>
    </w:p>
    <w:p w14:paraId="35D85F5A" w14:textId="77777777" w:rsidR="002140C8" w:rsidRDefault="002140C8" w:rsidP="002140C8">
      <w:pPr>
        <w:pStyle w:val="IFTnormal"/>
        <w:ind w:left="708" w:hanging="708"/>
        <w:jc w:val="center"/>
        <w:rPr>
          <w:rFonts w:ascii="Arial" w:hAnsi="Arial" w:cs="Arial"/>
          <w:b/>
          <w:u w:val="single"/>
          <w:lang w:val="es-ES"/>
        </w:rPr>
      </w:pPr>
    </w:p>
    <w:p w14:paraId="48CED4AA" w14:textId="77777777" w:rsidR="002140C8" w:rsidRDefault="002140C8" w:rsidP="002140C8">
      <w:pPr>
        <w:pStyle w:val="IFTnormal"/>
        <w:jc w:val="center"/>
        <w:rPr>
          <w:rFonts w:ascii="Arial" w:hAnsi="Arial" w:cs="Arial"/>
          <w:b/>
          <w:u w:val="single"/>
          <w:lang w:val="es-ES"/>
        </w:rPr>
      </w:pPr>
    </w:p>
    <w:p w14:paraId="41C156D9" w14:textId="44AFF683" w:rsidR="002140C8" w:rsidRDefault="002140C8" w:rsidP="002140C8">
      <w:pPr>
        <w:pStyle w:val="IFTnormal"/>
        <w:jc w:val="center"/>
        <w:rPr>
          <w:rFonts w:ascii="Arial" w:hAnsi="Arial" w:cs="Arial"/>
          <w:b/>
          <w:sz w:val="36"/>
          <w:lang w:val="es-ES"/>
        </w:rPr>
      </w:pPr>
      <w:r>
        <w:rPr>
          <w:rFonts w:ascii="Arial" w:hAnsi="Arial" w:cs="Arial"/>
          <w:b/>
          <w:sz w:val="36"/>
          <w:lang w:val="es-ES"/>
        </w:rPr>
        <w:t>ANEXO 4</w:t>
      </w:r>
    </w:p>
    <w:p w14:paraId="312D9B8C" w14:textId="77777777" w:rsidR="002140C8" w:rsidRDefault="002140C8" w:rsidP="002140C8">
      <w:pPr>
        <w:pStyle w:val="IFTnormal"/>
        <w:jc w:val="center"/>
        <w:rPr>
          <w:rFonts w:ascii="Arial" w:hAnsi="Arial" w:cs="Arial"/>
          <w:b/>
          <w:sz w:val="36"/>
          <w:u w:val="single"/>
          <w:lang w:val="es-ES"/>
        </w:rPr>
      </w:pPr>
    </w:p>
    <w:p w14:paraId="3DB52619" w14:textId="4FFE933D" w:rsidR="002140C8" w:rsidRPr="001643F5" w:rsidRDefault="002140C8" w:rsidP="002140C8">
      <w:pPr>
        <w:pStyle w:val="IFTnormal"/>
        <w:jc w:val="center"/>
        <w:outlineLvl w:val="0"/>
        <w:rPr>
          <w:rFonts w:ascii="Arial" w:hAnsi="Arial" w:cs="Arial"/>
          <w:b/>
          <w:caps/>
          <w:color w:val="000000" w:themeColor="text1"/>
          <w:sz w:val="36"/>
          <w:lang w:val="es-ES"/>
        </w:rPr>
      </w:pPr>
      <w:bookmarkStart w:id="0" w:name="_Hlk151806671"/>
      <w:r w:rsidRPr="002140C8">
        <w:rPr>
          <w:rFonts w:ascii="Arial" w:hAnsi="Arial" w:cs="Arial"/>
          <w:b/>
          <w:caps/>
          <w:color w:val="000000" w:themeColor="text1"/>
          <w:sz w:val="36"/>
          <w:lang w:val="es-ES"/>
        </w:rPr>
        <w:t>PARÁMETROS E INDICADORES DE LOS NIVELES DE CALIDAD</w:t>
      </w:r>
      <w:r>
        <w:rPr>
          <w:rFonts w:ascii="Arial" w:hAnsi="Arial" w:cs="Arial"/>
          <w:b/>
          <w:caps/>
          <w:color w:val="000000" w:themeColor="text1"/>
          <w:sz w:val="36"/>
          <w:lang w:val="es-ES"/>
        </w:rPr>
        <w:t xml:space="preserve"> </w:t>
      </w:r>
      <w:r w:rsidRPr="002140C8">
        <w:rPr>
          <w:rFonts w:ascii="Arial" w:hAnsi="Arial" w:cs="Arial"/>
          <w:b/>
          <w:caps/>
          <w:color w:val="000000" w:themeColor="text1"/>
          <w:sz w:val="36"/>
          <w:lang w:val="es-ES"/>
        </w:rPr>
        <w:t>Y PENAS CONVENCIONALES</w:t>
      </w:r>
      <w:r w:rsidRPr="001643F5">
        <w:rPr>
          <w:rFonts w:ascii="Arial" w:hAnsi="Arial" w:cs="Arial"/>
          <w:b/>
          <w:caps/>
          <w:color w:val="000000" w:themeColor="text1"/>
          <w:sz w:val="36"/>
          <w:lang w:val="es-ES"/>
        </w:rPr>
        <w:t xml:space="preserve"> </w:t>
      </w:r>
    </w:p>
    <w:bookmarkEnd w:id="0"/>
    <w:p w14:paraId="6983578F" w14:textId="77777777" w:rsidR="002140C8" w:rsidRDefault="002140C8" w:rsidP="002140C8">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6EC2F7EA" w14:textId="77777777" w:rsidR="002140C8" w:rsidRDefault="002140C8" w:rsidP="002140C8">
      <w:pPr>
        <w:pStyle w:val="IFTnormal"/>
        <w:rPr>
          <w:rFonts w:ascii="Arial" w:hAnsi="Arial" w:cs="Arial"/>
          <w:b/>
          <w:sz w:val="22"/>
          <w:szCs w:val="22"/>
          <w:u w:val="single"/>
          <w:lang w:val="es-ES"/>
        </w:rPr>
      </w:pPr>
    </w:p>
    <w:p w14:paraId="48ADCC96" w14:textId="77777777" w:rsidR="002140C8" w:rsidRDefault="002140C8" w:rsidP="002140C8">
      <w:pPr>
        <w:pStyle w:val="IFTnormal"/>
        <w:rPr>
          <w:rFonts w:ascii="Arial" w:hAnsi="Arial" w:cs="Arial"/>
          <w:b/>
          <w:u w:val="single"/>
          <w:lang w:val="es-ES"/>
        </w:rPr>
      </w:pPr>
    </w:p>
    <w:p w14:paraId="469A4172" w14:textId="0E5D591E" w:rsidR="00412FA6" w:rsidRPr="0059421B" w:rsidRDefault="00412FA6" w:rsidP="005C1C06">
      <w:pPr>
        <w:jc w:val="center"/>
        <w:rPr>
          <w:rFonts w:ascii="Arial" w:hAnsi="Arial" w:cs="Arial"/>
          <w:b/>
          <w:sz w:val="72"/>
          <w:szCs w:val="72"/>
        </w:rPr>
      </w:pPr>
    </w:p>
    <w:p w14:paraId="469A4175" w14:textId="2836AFFC" w:rsidR="00412FA6" w:rsidRPr="006B524C" w:rsidRDefault="00412FA6" w:rsidP="006039D9">
      <w:pPr>
        <w:spacing w:before="0" w:after="0" w:line="276" w:lineRule="auto"/>
        <w:jc w:val="center"/>
        <w:rPr>
          <w:rFonts w:ascii="Arial" w:hAnsi="Arial" w:cs="Arial"/>
          <w:b/>
          <w:sz w:val="26"/>
          <w:szCs w:val="26"/>
        </w:rPr>
      </w:pPr>
      <w:r w:rsidRPr="0059421B">
        <w:rPr>
          <w:rFonts w:ascii="Arial" w:hAnsi="Arial" w:cs="Arial"/>
        </w:rPr>
        <w:br w:type="page"/>
      </w:r>
      <w:r w:rsidRPr="006B524C">
        <w:rPr>
          <w:rFonts w:ascii="Arial" w:hAnsi="Arial" w:cs="Arial"/>
          <w:b/>
          <w:sz w:val="26"/>
          <w:szCs w:val="26"/>
        </w:rPr>
        <w:lastRenderedPageBreak/>
        <w:t xml:space="preserve">ANEXO </w:t>
      </w:r>
      <w:r w:rsidR="003E5B38" w:rsidRPr="006B524C">
        <w:rPr>
          <w:rFonts w:ascii="Arial" w:hAnsi="Arial" w:cs="Arial"/>
          <w:b/>
          <w:sz w:val="26"/>
          <w:szCs w:val="26"/>
        </w:rPr>
        <w:t>4</w:t>
      </w:r>
    </w:p>
    <w:p w14:paraId="469A4176" w14:textId="401EBE40" w:rsidR="00412FA6" w:rsidRDefault="00412FA6" w:rsidP="006039D9">
      <w:pPr>
        <w:spacing w:before="0" w:after="0" w:line="276" w:lineRule="auto"/>
        <w:jc w:val="center"/>
        <w:rPr>
          <w:rFonts w:ascii="Arial" w:hAnsi="Arial" w:cs="Arial"/>
          <w:b/>
          <w:sz w:val="26"/>
          <w:szCs w:val="26"/>
        </w:rPr>
      </w:pPr>
      <w:r w:rsidRPr="006B524C">
        <w:rPr>
          <w:rFonts w:ascii="Arial" w:hAnsi="Arial" w:cs="Arial"/>
          <w:b/>
          <w:sz w:val="26"/>
          <w:szCs w:val="26"/>
        </w:rPr>
        <w:t xml:space="preserve">Parámetros e Indicadores de los Niveles de Calidad </w:t>
      </w:r>
      <w:r w:rsidR="006B524C">
        <w:rPr>
          <w:rFonts w:ascii="Arial" w:hAnsi="Arial" w:cs="Arial"/>
          <w:b/>
          <w:sz w:val="26"/>
          <w:szCs w:val="26"/>
        </w:rPr>
        <w:br/>
      </w:r>
      <w:r w:rsidRPr="006B524C">
        <w:rPr>
          <w:rFonts w:ascii="Arial" w:hAnsi="Arial" w:cs="Arial"/>
          <w:b/>
          <w:sz w:val="26"/>
          <w:szCs w:val="26"/>
        </w:rPr>
        <w:t>y Penas Convencionales</w:t>
      </w:r>
    </w:p>
    <w:p w14:paraId="76757F07" w14:textId="77777777" w:rsidR="006039D9" w:rsidRPr="006B524C" w:rsidRDefault="006039D9" w:rsidP="006039D9">
      <w:pPr>
        <w:spacing w:before="0" w:after="0" w:line="276" w:lineRule="auto"/>
        <w:jc w:val="center"/>
        <w:rPr>
          <w:rFonts w:ascii="Arial" w:hAnsi="Arial" w:cs="Arial"/>
          <w:b/>
          <w:sz w:val="26"/>
          <w:szCs w:val="26"/>
        </w:rPr>
      </w:pPr>
    </w:p>
    <w:p w14:paraId="469A4177" w14:textId="23D50FEC"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Introducción</w:t>
      </w:r>
    </w:p>
    <w:p w14:paraId="3FD09631" w14:textId="77777777" w:rsidR="006039D9" w:rsidRPr="006039D9" w:rsidRDefault="006039D9" w:rsidP="006039D9">
      <w:pPr>
        <w:spacing w:before="0" w:after="0" w:line="276" w:lineRule="auto"/>
        <w:jc w:val="center"/>
      </w:pPr>
    </w:p>
    <w:p w14:paraId="469A4178" w14:textId="2050A525" w:rsidR="00147D42" w:rsidRDefault="00147D42" w:rsidP="006039D9">
      <w:pPr>
        <w:spacing w:before="0" w:after="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14:paraId="50DC3875" w14:textId="77777777" w:rsidR="006039D9" w:rsidRPr="0059421B" w:rsidRDefault="006039D9" w:rsidP="006039D9">
      <w:pPr>
        <w:spacing w:before="0" w:after="0" w:line="276" w:lineRule="auto"/>
        <w:rPr>
          <w:rFonts w:ascii="Arial" w:hAnsi="Arial" w:cs="Arial"/>
          <w:sz w:val="22"/>
          <w:szCs w:val="22"/>
        </w:rPr>
      </w:pPr>
    </w:p>
    <w:p w14:paraId="469A4179" w14:textId="2B6ECD4D" w:rsidR="00412FA6" w:rsidRDefault="00412FA6" w:rsidP="006039D9">
      <w:pPr>
        <w:pStyle w:val="Ttulo2"/>
        <w:spacing w:before="0" w:after="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14:paraId="54C6D2EC" w14:textId="77777777" w:rsidR="006039D9" w:rsidRPr="006039D9" w:rsidRDefault="006039D9" w:rsidP="006039D9">
      <w:pPr>
        <w:spacing w:before="0" w:after="0" w:line="276" w:lineRule="auto"/>
      </w:pPr>
    </w:p>
    <w:p w14:paraId="469A417A" w14:textId="1AB6C21C" w:rsidR="00E50DFE"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 xml:space="preserve">para los CS, AS y el Instituto </w:t>
      </w:r>
      <w:r w:rsidR="00F051BD">
        <w:rPr>
          <w:rFonts w:ascii="Arial" w:hAnsi="Arial" w:cs="Arial"/>
          <w:sz w:val="22"/>
          <w:szCs w:val="22"/>
          <w:lang w:val="es-MX" w:eastAsia="es-MX"/>
        </w:rPr>
        <w:t>cinco</w:t>
      </w:r>
      <w:r w:rsidR="000D7034" w:rsidRPr="0059421B">
        <w:rPr>
          <w:rFonts w:ascii="Arial" w:hAnsi="Arial" w:cs="Arial"/>
          <w:sz w:val="22"/>
          <w:szCs w:val="22"/>
          <w:lang w:val="es-MX" w:eastAsia="es-MX"/>
        </w:rPr>
        <w:t xml:space="preserve"> días hábiles después de la conclusión de cada trimestre</w:t>
      </w:r>
      <w:r w:rsidR="00E50DFE" w:rsidRPr="0059421B">
        <w:rPr>
          <w:rFonts w:ascii="Arial" w:hAnsi="Arial" w:cs="Arial"/>
          <w:sz w:val="22"/>
          <w:szCs w:val="22"/>
          <w:lang w:val="es-MX" w:eastAsia="es-MX"/>
        </w:rPr>
        <w:t xml:space="preserve">. </w:t>
      </w:r>
    </w:p>
    <w:p w14:paraId="709737CD" w14:textId="77777777" w:rsidR="006039D9" w:rsidRDefault="006039D9" w:rsidP="006039D9">
      <w:pPr>
        <w:spacing w:before="0" w:after="0" w:line="276" w:lineRule="auto"/>
        <w:rPr>
          <w:rFonts w:ascii="Arial" w:hAnsi="Arial" w:cs="Arial"/>
          <w:sz w:val="22"/>
          <w:szCs w:val="22"/>
          <w:lang w:val="es-MX" w:eastAsia="es-MX"/>
        </w:rPr>
      </w:pPr>
    </w:p>
    <w:p w14:paraId="469A417C" w14:textId="7444A1EA" w:rsidR="00147D42" w:rsidRDefault="00147D42" w:rsidP="006039D9">
      <w:pPr>
        <w:spacing w:before="0" w:after="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14:paraId="16CFDC4B" w14:textId="77777777" w:rsidR="00FB7027" w:rsidRDefault="00FB7027" w:rsidP="006039D9">
      <w:pPr>
        <w:spacing w:before="0" w:after="0" w:line="276" w:lineRule="auto"/>
        <w:rPr>
          <w:rFonts w:ascii="Arial" w:hAnsi="Arial" w:cs="Arial"/>
          <w:sz w:val="22"/>
          <w:szCs w:val="22"/>
          <w:lang w:val="es-MX" w:eastAsia="es-MX"/>
        </w:rPr>
      </w:pPr>
    </w:p>
    <w:p w14:paraId="469A417E" w14:textId="314A7083" w:rsidR="00B955F7" w:rsidRDefault="00412FA6" w:rsidP="006039D9">
      <w:pPr>
        <w:pStyle w:val="Ttulo3"/>
        <w:spacing w:before="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p w14:paraId="4A645993" w14:textId="77777777" w:rsidR="006039D9" w:rsidRPr="006039D9" w:rsidRDefault="006039D9" w:rsidP="006039D9">
      <w:pPr>
        <w:spacing w:before="0" w:after="0" w:line="276" w:lineRule="auto"/>
      </w:pP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85"/>
        <w:gridCol w:w="1591"/>
      </w:tblGrid>
      <w:tr w:rsidR="00B955F7" w:rsidRPr="0059421B" w14:paraId="469A4182" w14:textId="77777777" w:rsidTr="003E5B38">
        <w:trPr>
          <w:trHeight w:val="225"/>
          <w:jc w:val="center"/>
        </w:trPr>
        <w:tc>
          <w:tcPr>
            <w:tcW w:w="2396" w:type="pct"/>
            <w:shd w:val="clear" w:color="auto" w:fill="548DD4"/>
            <w:vAlign w:val="center"/>
          </w:tcPr>
          <w:p w14:paraId="469A417F"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14:paraId="469A4180"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14:paraId="469A4181" w14:textId="77777777" w:rsidR="00B955F7" w:rsidRPr="0059421B" w:rsidRDefault="00B955F7" w:rsidP="006039D9">
            <w:pPr>
              <w:suppressAutoHyphens/>
              <w:spacing w:before="0" w:after="0" w:line="276"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14:paraId="469A4186" w14:textId="77777777" w:rsidTr="003E5B38">
        <w:trPr>
          <w:trHeight w:val="225"/>
          <w:jc w:val="center"/>
        </w:trPr>
        <w:tc>
          <w:tcPr>
            <w:tcW w:w="2396" w:type="pct"/>
            <w:vAlign w:val="center"/>
          </w:tcPr>
          <w:p w14:paraId="469A4183" w14:textId="401B9DF2" w:rsidR="00B662E7" w:rsidRPr="0059421B" w:rsidRDefault="003E5B38"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r w:rsidR="009615EA">
              <w:rPr>
                <w:rFonts w:ascii="Arial" w:hAnsi="Arial" w:cs="Arial"/>
                <w:sz w:val="20"/>
                <w:szCs w:val="20"/>
                <w:lang w:val="es-MX" w:eastAsia="es-MX"/>
              </w:rPr>
              <w:t xml:space="preserve"> o AS</w:t>
            </w:r>
            <w:r w:rsidRPr="0059421B">
              <w:rPr>
                <w:rFonts w:ascii="Arial" w:hAnsi="Arial" w:cs="Arial"/>
                <w:sz w:val="20"/>
                <w:szCs w:val="20"/>
                <w:lang w:val="es-MX" w:eastAsia="es-MX"/>
              </w:rPr>
              <w:t>.</w:t>
            </w:r>
          </w:p>
        </w:tc>
        <w:tc>
          <w:tcPr>
            <w:tcW w:w="1635" w:type="pct"/>
            <w:vAlign w:val="center"/>
          </w:tcPr>
          <w:p w14:paraId="469A4184" w14:textId="77777777" w:rsidR="00B662E7" w:rsidRPr="0059421B" w:rsidRDefault="00B662E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14:paraId="469A4185" w14:textId="77777777" w:rsidR="00B662E7" w:rsidRPr="0059421B" w:rsidRDefault="003E5B38"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14:paraId="469A418A" w14:textId="77777777" w:rsidTr="003E5B38">
        <w:trPr>
          <w:trHeight w:val="225"/>
          <w:jc w:val="center"/>
        </w:trPr>
        <w:tc>
          <w:tcPr>
            <w:tcW w:w="2396" w:type="pct"/>
            <w:vAlign w:val="center"/>
          </w:tcPr>
          <w:p w14:paraId="469A4187" w14:textId="650EBB7A" w:rsidR="00B955F7" w:rsidRPr="0059421B" w:rsidRDefault="00B662E7" w:rsidP="006039D9">
            <w:pPr>
              <w:suppressAutoHyphens/>
              <w:spacing w:before="0" w:after="0" w:line="276"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al CS</w:t>
            </w:r>
            <w:r w:rsidR="009615EA">
              <w:rPr>
                <w:rFonts w:ascii="Arial" w:hAnsi="Arial" w:cs="Arial"/>
                <w:sz w:val="20"/>
                <w:szCs w:val="20"/>
                <w:lang w:val="es-MX" w:eastAsia="es-MX"/>
              </w:rPr>
              <w:t xml:space="preserve"> o AS</w:t>
            </w:r>
            <w:r w:rsidR="003E5B38" w:rsidRPr="0059421B">
              <w:rPr>
                <w:rFonts w:ascii="Arial" w:hAnsi="Arial" w:cs="Arial"/>
                <w:sz w:val="20"/>
                <w:szCs w:val="20"/>
                <w:lang w:val="es-MX" w:eastAsia="es-MX"/>
              </w:rPr>
              <w:t xml:space="preserve">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0B7EA3">
              <w:rPr>
                <w:rFonts w:ascii="Arial" w:hAnsi="Arial" w:cs="Arial"/>
                <w:sz w:val="20"/>
                <w:szCs w:val="20"/>
                <w:lang w:val="es-MX" w:eastAsia="es-MX"/>
              </w:rPr>
              <w:t>Telmex y Telnor</w:t>
            </w:r>
            <w:r w:rsidRPr="0059421B">
              <w:rPr>
                <w:rFonts w:ascii="Arial" w:hAnsi="Arial" w:cs="Arial"/>
                <w:sz w:val="20"/>
                <w:szCs w:val="20"/>
                <w:lang w:val="es-MX" w:eastAsia="es-MX"/>
              </w:rPr>
              <w:t>.</w:t>
            </w:r>
          </w:p>
        </w:tc>
        <w:tc>
          <w:tcPr>
            <w:tcW w:w="1635" w:type="pct"/>
            <w:vAlign w:val="center"/>
          </w:tcPr>
          <w:p w14:paraId="02513506" w14:textId="6C923C3F" w:rsidR="00B955F7" w:rsidRDefault="00F051BD" w:rsidP="006039D9">
            <w:pPr>
              <w:suppressAutoHyphens/>
              <w:spacing w:before="0" w:after="0" w:line="276" w:lineRule="auto"/>
              <w:contextualSpacing/>
              <w:jc w:val="center"/>
              <w:rPr>
                <w:rFonts w:ascii="Arial" w:hAnsi="Arial" w:cs="Arial"/>
                <w:sz w:val="20"/>
                <w:szCs w:val="20"/>
                <w:lang w:val="es-MX" w:eastAsia="es-MX"/>
              </w:rPr>
            </w:pPr>
            <w:r>
              <w:rPr>
                <w:rFonts w:ascii="Arial" w:hAnsi="Arial" w:cs="Arial"/>
                <w:sz w:val="20"/>
                <w:szCs w:val="20"/>
                <w:lang w:val="es-MX" w:eastAsia="es-MX"/>
              </w:rPr>
              <w:t>tres</w:t>
            </w:r>
            <w:r w:rsidR="00B955F7" w:rsidRPr="0059421B">
              <w:rPr>
                <w:rFonts w:ascii="Arial" w:hAnsi="Arial" w:cs="Arial"/>
                <w:sz w:val="20"/>
                <w:szCs w:val="20"/>
                <w:lang w:val="es-MX" w:eastAsia="es-MX"/>
              </w:rPr>
              <w:t xml:space="preserve"> DH</w:t>
            </w:r>
          </w:p>
          <w:p w14:paraId="469A4188" w14:textId="5FF4031C" w:rsidR="00911431" w:rsidRPr="0059421B" w:rsidRDefault="00911431" w:rsidP="006039D9">
            <w:pPr>
              <w:suppressAutoHyphens/>
              <w:spacing w:before="0" w:after="0" w:line="276" w:lineRule="auto"/>
              <w:contextualSpacing/>
              <w:jc w:val="center"/>
              <w:rPr>
                <w:rFonts w:ascii="Arial" w:hAnsi="Arial" w:cs="Arial"/>
                <w:sz w:val="20"/>
                <w:szCs w:val="20"/>
                <w:lang w:val="es-MX" w:eastAsia="es-MX"/>
              </w:rPr>
            </w:pPr>
            <w:r>
              <w:rPr>
                <w:rFonts w:ascii="Arial" w:hAnsi="Arial" w:cs="Arial"/>
                <w:sz w:val="20"/>
                <w:szCs w:val="20"/>
                <w:lang w:val="es-MX" w:eastAsia="es-MX"/>
              </w:rPr>
              <w:t>(</w:t>
            </w:r>
            <w:r w:rsidR="007C17D7">
              <w:rPr>
                <w:rFonts w:ascii="Arial" w:hAnsi="Arial" w:cs="Arial"/>
                <w:sz w:val="20"/>
                <w:szCs w:val="20"/>
                <w:lang w:val="es-MX" w:eastAsia="es-MX"/>
              </w:rPr>
              <w:t>C</w:t>
            </w:r>
            <w:r w:rsidRPr="00911431">
              <w:rPr>
                <w:rFonts w:ascii="Arial" w:hAnsi="Arial" w:cs="Arial"/>
                <w:sz w:val="20"/>
                <w:szCs w:val="20"/>
                <w:lang w:val="es-MX" w:eastAsia="es-MX"/>
              </w:rPr>
              <w:t>ontados a partir de la recepción de la solicitud del CS</w:t>
            </w:r>
            <w:r>
              <w:rPr>
                <w:rFonts w:ascii="Arial" w:hAnsi="Arial" w:cs="Arial"/>
                <w:sz w:val="20"/>
                <w:szCs w:val="20"/>
                <w:lang w:val="es-MX" w:eastAsia="es-MX"/>
              </w:rPr>
              <w:t>)</w:t>
            </w:r>
          </w:p>
        </w:tc>
        <w:tc>
          <w:tcPr>
            <w:tcW w:w="969" w:type="pct"/>
            <w:vAlign w:val="center"/>
          </w:tcPr>
          <w:p w14:paraId="469A4189" w14:textId="77777777" w:rsidR="00B955F7" w:rsidRPr="0059421B" w:rsidRDefault="00B955F7" w:rsidP="006039D9">
            <w:pPr>
              <w:suppressAutoHyphens/>
              <w:spacing w:before="0" w:after="0" w:line="276"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14:paraId="490DCA68" w14:textId="77777777" w:rsidR="005F2493" w:rsidRPr="005F2493" w:rsidRDefault="005F2493" w:rsidP="006039D9">
      <w:pPr>
        <w:spacing w:before="0" w:after="0" w:line="276" w:lineRule="auto"/>
        <w:rPr>
          <w:rFonts w:ascii="Arial" w:hAnsi="Arial" w:cs="Arial"/>
          <w:sz w:val="28"/>
          <w:szCs w:val="22"/>
        </w:rPr>
      </w:pPr>
    </w:p>
    <w:p w14:paraId="469A418F" w14:textId="72321823" w:rsidR="006814AD" w:rsidRDefault="00684B5C"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14:paraId="06D4F400" w14:textId="77777777" w:rsidR="006039D9" w:rsidRPr="006039D9" w:rsidRDefault="006039D9" w:rsidP="006039D9">
      <w:pPr>
        <w:spacing w:before="0" w:after="0" w:line="276" w:lineRule="auto"/>
      </w:pPr>
    </w:p>
    <w:p w14:paraId="469A4190" w14:textId="604E6E48" w:rsidR="00567A04" w:rsidRDefault="00567A04" w:rsidP="006039D9">
      <w:pPr>
        <w:spacing w:before="0" w:after="0" w:line="276" w:lineRule="auto"/>
        <w:jc w:val="left"/>
        <w:rPr>
          <w:rFonts w:ascii="Arial" w:hAnsi="Arial" w:cs="Arial"/>
          <w:b/>
          <w:sz w:val="22"/>
          <w:u w:val="single"/>
        </w:rPr>
      </w:pPr>
      <w:r w:rsidRPr="0059421B">
        <w:rPr>
          <w:rFonts w:ascii="Arial" w:hAnsi="Arial" w:cs="Arial"/>
          <w:b/>
          <w:sz w:val="22"/>
          <w:u w:val="single"/>
        </w:rPr>
        <w:t>Contratación</w:t>
      </w:r>
    </w:p>
    <w:p w14:paraId="3BE9A23D" w14:textId="77777777" w:rsidR="006039D9" w:rsidRPr="0059421B" w:rsidRDefault="006039D9" w:rsidP="006039D9">
      <w:pPr>
        <w:spacing w:before="0" w:after="0" w:line="276" w:lineRule="auto"/>
        <w:jc w:val="left"/>
        <w:rPr>
          <w:rFonts w:ascii="Arial" w:hAnsi="Arial" w:cs="Arial"/>
          <w:b/>
          <w:sz w:val="22"/>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93" w14:textId="77777777" w:rsidTr="00567A04">
        <w:trPr>
          <w:trHeight w:val="467"/>
          <w:jc w:val="center"/>
        </w:trPr>
        <w:tc>
          <w:tcPr>
            <w:tcW w:w="5000" w:type="pct"/>
            <w:gridSpan w:val="3"/>
            <w:shd w:val="clear" w:color="auto" w:fill="5B9BD5"/>
            <w:vAlign w:val="center"/>
          </w:tcPr>
          <w:p w14:paraId="469A4192" w14:textId="66355C0F"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14:paraId="469A4197" w14:textId="77777777" w:rsidTr="00B1344C">
        <w:trPr>
          <w:trHeight w:val="467"/>
          <w:jc w:val="center"/>
        </w:trPr>
        <w:tc>
          <w:tcPr>
            <w:tcW w:w="2364" w:type="pct"/>
            <w:shd w:val="clear" w:color="auto" w:fill="5B9BD5"/>
            <w:vAlign w:val="center"/>
          </w:tcPr>
          <w:p w14:paraId="469A419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9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9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14:paraId="469A419B" w14:textId="77777777" w:rsidTr="00B1344C">
        <w:trPr>
          <w:trHeight w:val="467"/>
          <w:jc w:val="center"/>
        </w:trPr>
        <w:tc>
          <w:tcPr>
            <w:tcW w:w="2364" w:type="pct"/>
            <w:vAlign w:val="center"/>
          </w:tcPr>
          <w:p w14:paraId="469A4198" w14:textId="2E74EE80"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14:paraId="469A419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19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9F" w14:textId="77777777" w:rsidTr="00B1344C">
        <w:trPr>
          <w:trHeight w:val="467"/>
          <w:jc w:val="center"/>
        </w:trPr>
        <w:tc>
          <w:tcPr>
            <w:tcW w:w="2364" w:type="pct"/>
            <w:vAlign w:val="center"/>
          </w:tcPr>
          <w:p w14:paraId="469A419C" w14:textId="4925DCF9" w:rsidR="008B255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lastRenderedPageBreak/>
              <w:t>Telmex y Telnor</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14:paraId="5FA97D8E" w14:textId="76C73F47" w:rsidR="008B255E"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p w14:paraId="469A419D" w14:textId="7D9C99A0" w:rsidR="007C17D7" w:rsidRPr="0059421B" w:rsidRDefault="007C17D7"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Pr="007C17D7">
              <w:rPr>
                <w:rFonts w:ascii="Arial" w:hAnsi="Arial" w:cs="Arial"/>
                <w:sz w:val="20"/>
                <w:szCs w:val="20"/>
                <w:lang w:val="es-ES"/>
              </w:rPr>
              <w:t>ontado a partir de la recepción</w:t>
            </w:r>
            <w:r w:rsidR="00832A48">
              <w:rPr>
                <w:rFonts w:ascii="Arial" w:hAnsi="Arial" w:cs="Arial"/>
                <w:sz w:val="20"/>
                <w:szCs w:val="20"/>
                <w:lang w:val="es-ES"/>
              </w:rPr>
              <w:t xml:space="preserve"> de</w:t>
            </w:r>
            <w:r w:rsidRPr="007C17D7">
              <w:rPr>
                <w:rFonts w:ascii="Arial" w:hAnsi="Arial" w:cs="Arial"/>
                <w:sz w:val="20"/>
                <w:szCs w:val="20"/>
                <w:lang w:val="es-ES"/>
              </w:rPr>
              <w:t xml:space="preserve"> la solicitud</w:t>
            </w:r>
            <w:r>
              <w:rPr>
                <w:rFonts w:ascii="Arial" w:hAnsi="Arial" w:cs="Arial"/>
                <w:sz w:val="20"/>
                <w:szCs w:val="20"/>
                <w:lang w:val="es-ES"/>
              </w:rPr>
              <w:t>)</w:t>
            </w:r>
          </w:p>
        </w:tc>
        <w:tc>
          <w:tcPr>
            <w:tcW w:w="1091" w:type="pct"/>
            <w:vAlign w:val="center"/>
          </w:tcPr>
          <w:p w14:paraId="469A419E"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14:paraId="469A41A3" w14:textId="77777777" w:rsidTr="00B1344C">
        <w:trPr>
          <w:trHeight w:val="467"/>
          <w:jc w:val="center"/>
        </w:trPr>
        <w:tc>
          <w:tcPr>
            <w:tcW w:w="2364" w:type="pct"/>
            <w:vAlign w:val="center"/>
          </w:tcPr>
          <w:p w14:paraId="469A41A0" w14:textId="62C0B4FB" w:rsidR="00EA5FC3" w:rsidRPr="0059421B" w:rsidRDefault="0077702B" w:rsidP="006039D9">
            <w:pPr>
              <w:suppressAutoHyphens/>
              <w:spacing w:before="0" w:after="0" w:line="276" w:lineRule="auto"/>
              <w:contextualSpacing/>
              <w:rPr>
                <w:rFonts w:ascii="Arial" w:hAnsi="Arial" w:cs="Arial"/>
                <w:sz w:val="20"/>
                <w:szCs w:val="20"/>
                <w:lang w:val="es-ES"/>
              </w:rPr>
            </w:pPr>
            <w:r w:rsidRPr="0059421B">
              <w:rPr>
                <w:rFonts w:ascii="Arial" w:hAnsi="Arial" w:cs="Arial"/>
                <w:sz w:val="20"/>
                <w:szCs w:val="20"/>
                <w:lang w:val="es-ES"/>
              </w:rPr>
              <w:t>En caso de que la solicitud haya sido rechazad</w:t>
            </w:r>
            <w:r w:rsidR="00550A28">
              <w:rPr>
                <w:rFonts w:ascii="Arial" w:hAnsi="Arial" w:cs="Arial"/>
                <w:sz w:val="20"/>
                <w:szCs w:val="20"/>
                <w:lang w:val="es-ES"/>
              </w:rPr>
              <w:t>a</w:t>
            </w:r>
            <w:r w:rsidRPr="0059421B">
              <w:rPr>
                <w:rFonts w:ascii="Arial" w:hAnsi="Arial" w:cs="Arial"/>
                <w:sz w:val="20"/>
                <w:szCs w:val="20"/>
                <w:lang w:val="es-ES"/>
              </w:rPr>
              <w:t xml:space="preserve">, </w:t>
            </w:r>
            <w:r w:rsidR="000B7EA3">
              <w:rPr>
                <w:rFonts w:ascii="Arial" w:hAnsi="Arial" w:cs="Arial"/>
                <w:sz w:val="20"/>
                <w:szCs w:val="20"/>
                <w:lang w:val="es-ES"/>
              </w:rPr>
              <w:t>Telmex y Telnor</w:t>
            </w:r>
            <w:r w:rsidRPr="0059421B">
              <w:rPr>
                <w:rFonts w:ascii="Arial" w:hAnsi="Arial" w:cs="Arial"/>
                <w:sz w:val="20"/>
                <w:szCs w:val="20"/>
                <w:lang w:val="es-ES"/>
              </w:rPr>
              <w:t xml:space="preserve"> enviará</w:t>
            </w:r>
            <w:r w:rsidR="000B7EA3">
              <w:rPr>
                <w:rFonts w:ascii="Arial" w:hAnsi="Arial" w:cs="Arial"/>
                <w:sz w:val="20"/>
                <w:szCs w:val="20"/>
                <w:lang w:val="es-ES"/>
              </w:rPr>
              <w:t>n</w:t>
            </w:r>
            <w:r w:rsidRPr="0059421B">
              <w:rPr>
                <w:rFonts w:ascii="Arial" w:hAnsi="Arial" w:cs="Arial"/>
                <w:sz w:val="20"/>
                <w:szCs w:val="20"/>
                <w:lang w:val="es-ES"/>
              </w:rPr>
              <w:t xml:space="preserve"> la prevención, de tal forma que el CS o AS pueda subsanar y reenviar la solicitud</w:t>
            </w:r>
          </w:p>
        </w:tc>
        <w:tc>
          <w:tcPr>
            <w:tcW w:w="1545" w:type="pct"/>
            <w:vAlign w:val="center"/>
          </w:tcPr>
          <w:p w14:paraId="506189B3" w14:textId="19C976D3" w:rsidR="00EA5FC3"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EA5FC3" w:rsidRPr="0059421B">
              <w:rPr>
                <w:rFonts w:ascii="Arial" w:hAnsi="Arial" w:cs="Arial"/>
                <w:sz w:val="20"/>
                <w:szCs w:val="20"/>
                <w:lang w:val="es-ES"/>
              </w:rPr>
              <w:t>DH</w:t>
            </w:r>
          </w:p>
          <w:p w14:paraId="469A41A1" w14:textId="3C644559" w:rsidR="00F767C2" w:rsidRPr="0059421B" w:rsidRDefault="00F767C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(Contados a partir del rechazo de la solicitud)</w:t>
            </w:r>
          </w:p>
        </w:tc>
        <w:tc>
          <w:tcPr>
            <w:tcW w:w="1091" w:type="pct"/>
            <w:vAlign w:val="center"/>
          </w:tcPr>
          <w:p w14:paraId="469A41A2" w14:textId="77777777" w:rsidR="00EA5FC3" w:rsidRPr="0059421B" w:rsidRDefault="00EA5FC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A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A6" w14:textId="77777777" w:rsidTr="00567A04">
        <w:trPr>
          <w:trHeight w:val="467"/>
          <w:jc w:val="center"/>
        </w:trPr>
        <w:tc>
          <w:tcPr>
            <w:tcW w:w="5000" w:type="pct"/>
            <w:gridSpan w:val="3"/>
            <w:shd w:val="clear" w:color="auto" w:fill="5B9BD5"/>
            <w:vAlign w:val="center"/>
          </w:tcPr>
          <w:p w14:paraId="469A41A5"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1AA" w14:textId="77777777" w:rsidTr="00B1344C">
        <w:trPr>
          <w:jc w:val="center"/>
        </w:trPr>
        <w:tc>
          <w:tcPr>
            <w:tcW w:w="2364" w:type="pct"/>
            <w:shd w:val="clear" w:color="auto" w:fill="5B9BD5"/>
            <w:vAlign w:val="center"/>
          </w:tcPr>
          <w:p w14:paraId="469A41A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A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A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14:paraId="469A41AF" w14:textId="77777777" w:rsidTr="00B1344C">
        <w:trPr>
          <w:jc w:val="center"/>
        </w:trPr>
        <w:tc>
          <w:tcPr>
            <w:tcW w:w="2364" w:type="pct"/>
            <w:shd w:val="clear" w:color="auto" w:fill="auto"/>
            <w:vAlign w:val="center"/>
          </w:tcPr>
          <w:p w14:paraId="469A41AB" w14:textId="77777777" w:rsidR="008B255E" w:rsidRPr="0059421B" w:rsidRDefault="008B255E" w:rsidP="006039D9">
            <w:pPr>
              <w:suppressAutoHyphens/>
              <w:spacing w:before="0" w:after="0" w:line="276"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14:paraId="469A41AC"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1AD" w14:textId="45C92C8E"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del ingreso de la solicitud del CS)</w:t>
            </w:r>
          </w:p>
        </w:tc>
        <w:tc>
          <w:tcPr>
            <w:tcW w:w="1091" w:type="pct"/>
            <w:shd w:val="clear" w:color="auto" w:fill="auto"/>
            <w:vAlign w:val="center"/>
          </w:tcPr>
          <w:p w14:paraId="469A41AE" w14:textId="77777777" w:rsidR="008B255E" w:rsidRPr="0059421B" w:rsidRDefault="008B255E" w:rsidP="006039D9">
            <w:pPr>
              <w:suppressAutoHyphens/>
              <w:spacing w:before="0" w:after="0" w:line="276"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14:paraId="469A41B4" w14:textId="77777777" w:rsidTr="00B1344C">
        <w:trPr>
          <w:jc w:val="center"/>
        </w:trPr>
        <w:tc>
          <w:tcPr>
            <w:tcW w:w="2364" w:type="pct"/>
            <w:vAlign w:val="center"/>
          </w:tcPr>
          <w:p w14:paraId="469A41B0" w14:textId="67283318" w:rsidR="008B255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18655C">
              <w:rPr>
                <w:rFonts w:ascii="Arial" w:hAnsi="Arial" w:cs="Arial"/>
                <w:sz w:val="20"/>
                <w:szCs w:val="20"/>
                <w:lang w:val="es-ES"/>
              </w:rPr>
              <w:t>3</w:t>
            </w:r>
            <w:r w:rsidR="00447D04" w:rsidRPr="0059421B">
              <w:rPr>
                <w:rFonts w:ascii="Arial" w:hAnsi="Arial" w:cs="Arial"/>
                <w:sz w:val="20"/>
                <w:szCs w:val="20"/>
                <w:lang w:val="es-ES"/>
              </w:rPr>
              <w:t xml:space="preserve"> propuestas de fecha para </w:t>
            </w:r>
            <w:r w:rsidR="008B255E" w:rsidRPr="0059421B">
              <w:rPr>
                <w:rFonts w:ascii="Arial" w:hAnsi="Arial" w:cs="Arial"/>
                <w:sz w:val="20"/>
                <w:szCs w:val="20"/>
                <w:lang w:val="es-ES"/>
              </w:rPr>
              <w:t>la programación de Visitas Técnica.</w:t>
            </w:r>
          </w:p>
        </w:tc>
        <w:tc>
          <w:tcPr>
            <w:tcW w:w="1545" w:type="pct"/>
            <w:vAlign w:val="center"/>
          </w:tcPr>
          <w:p w14:paraId="469A41B1" w14:textId="6945BB7C"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8B255E" w:rsidRPr="0059421B">
              <w:rPr>
                <w:rFonts w:ascii="Arial" w:hAnsi="Arial" w:cs="Arial"/>
                <w:sz w:val="20"/>
                <w:szCs w:val="20"/>
                <w:lang w:val="es-ES"/>
              </w:rPr>
              <w:t xml:space="preserve"> DH</w:t>
            </w:r>
          </w:p>
          <w:p w14:paraId="469A41B2"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1" w:type="pct"/>
            <w:vAlign w:val="center"/>
          </w:tcPr>
          <w:p w14:paraId="469A41B3"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14:paraId="469A41B9" w14:textId="77777777" w:rsidTr="00B1344C">
        <w:trPr>
          <w:jc w:val="center"/>
        </w:trPr>
        <w:tc>
          <w:tcPr>
            <w:tcW w:w="2364" w:type="pct"/>
            <w:vAlign w:val="center"/>
          </w:tcPr>
          <w:p w14:paraId="469A41B5" w14:textId="2FF10215" w:rsidR="00447D04" w:rsidRPr="0059421B" w:rsidRDefault="00447D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14:paraId="469A41B6" w14:textId="33366A53" w:rsidR="00447D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Dos</w:t>
            </w:r>
            <w:r w:rsidR="00447D04" w:rsidRPr="0059421B">
              <w:rPr>
                <w:rFonts w:ascii="Arial" w:hAnsi="Arial" w:cs="Arial"/>
                <w:sz w:val="20"/>
                <w:szCs w:val="20"/>
                <w:lang w:val="es-ES"/>
              </w:rPr>
              <w:t xml:space="preserve"> DH (Plazo máximo)</w:t>
            </w:r>
          </w:p>
          <w:p w14:paraId="469A41B7" w14:textId="0ADA8733"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de la recepción de dichas propuestas por </w:t>
            </w:r>
            <w:r w:rsidR="000B7EA3">
              <w:rPr>
                <w:rFonts w:ascii="Arial" w:hAnsi="Arial" w:cs="Arial"/>
                <w:sz w:val="20"/>
                <w:szCs w:val="20"/>
                <w:lang w:val="es-ES"/>
              </w:rPr>
              <w:t>Telmex y Telnor</w:t>
            </w:r>
            <w:r w:rsidRPr="0059421B">
              <w:rPr>
                <w:rFonts w:ascii="Arial" w:hAnsi="Arial" w:cs="Arial"/>
                <w:sz w:val="20"/>
                <w:szCs w:val="20"/>
                <w:lang w:val="es-ES"/>
              </w:rPr>
              <w:t>)</w:t>
            </w:r>
          </w:p>
        </w:tc>
        <w:tc>
          <w:tcPr>
            <w:tcW w:w="1091" w:type="pct"/>
            <w:vAlign w:val="center"/>
          </w:tcPr>
          <w:p w14:paraId="469A41B8" w14:textId="77777777" w:rsidR="00447D04" w:rsidRPr="0059421B" w:rsidRDefault="00447D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14:paraId="469A41BE" w14:textId="77777777" w:rsidTr="00B1344C">
        <w:trPr>
          <w:jc w:val="center"/>
        </w:trPr>
        <w:tc>
          <w:tcPr>
            <w:tcW w:w="2364" w:type="pct"/>
            <w:vAlign w:val="center"/>
          </w:tcPr>
          <w:p w14:paraId="469A41BA" w14:textId="3789D79B" w:rsidR="008B255E" w:rsidRPr="0059421B" w:rsidRDefault="008B255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14:paraId="469A41BB" w14:textId="4999C9AB" w:rsidR="008B255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495731" w:rsidRPr="0059421B">
              <w:rPr>
                <w:rFonts w:ascii="Arial" w:hAnsi="Arial" w:cs="Arial"/>
                <w:sz w:val="20"/>
                <w:szCs w:val="20"/>
                <w:lang w:val="es-ES"/>
              </w:rPr>
              <w:t xml:space="preserve"> DH</w:t>
            </w:r>
          </w:p>
          <w:p w14:paraId="469A41BC" w14:textId="78B3D5D9"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0B7EA3">
              <w:rPr>
                <w:rFonts w:ascii="Arial" w:hAnsi="Arial" w:cs="Arial"/>
                <w:sz w:val="20"/>
                <w:szCs w:val="20"/>
                <w:lang w:val="es-ES"/>
              </w:rPr>
              <w:t>Telmex y Telnor</w:t>
            </w:r>
            <w:r w:rsidRPr="0059421B">
              <w:rPr>
                <w:rFonts w:ascii="Arial" w:hAnsi="Arial" w:cs="Arial"/>
                <w:sz w:val="20"/>
                <w:szCs w:val="20"/>
                <w:lang w:val="es-ES"/>
              </w:rPr>
              <w:t>)</w:t>
            </w:r>
          </w:p>
        </w:tc>
        <w:tc>
          <w:tcPr>
            <w:tcW w:w="1091" w:type="pct"/>
            <w:vAlign w:val="center"/>
          </w:tcPr>
          <w:p w14:paraId="469A41BD" w14:textId="77777777" w:rsidR="008B255E" w:rsidRPr="0059421B" w:rsidRDefault="008B255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14:paraId="469A41C3" w14:textId="77777777" w:rsidTr="00B1344C">
        <w:trPr>
          <w:jc w:val="center"/>
        </w:trPr>
        <w:tc>
          <w:tcPr>
            <w:tcW w:w="2364" w:type="pct"/>
            <w:vAlign w:val="center"/>
          </w:tcPr>
          <w:p w14:paraId="469A41BF" w14:textId="7A39CB30" w:rsidR="00567A04"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14:paraId="469A41C0" w14:textId="2BDA84F5" w:rsidR="00567A0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14:paraId="469A41C1" w14:textId="5771EF52"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realización de la Visita Técnica)</w:t>
            </w:r>
          </w:p>
        </w:tc>
        <w:tc>
          <w:tcPr>
            <w:tcW w:w="1091" w:type="pct"/>
            <w:vAlign w:val="center"/>
          </w:tcPr>
          <w:p w14:paraId="469A41C2"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C4"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C6" w14:textId="77777777" w:rsidTr="00567A04">
        <w:trPr>
          <w:jc w:val="center"/>
        </w:trPr>
        <w:tc>
          <w:tcPr>
            <w:tcW w:w="5000" w:type="pct"/>
            <w:gridSpan w:val="3"/>
            <w:shd w:val="clear" w:color="auto" w:fill="5B9BD5"/>
            <w:vAlign w:val="center"/>
          </w:tcPr>
          <w:p w14:paraId="469A41C5"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1CA" w14:textId="77777777" w:rsidTr="00B1344C">
        <w:trPr>
          <w:jc w:val="center"/>
        </w:trPr>
        <w:tc>
          <w:tcPr>
            <w:tcW w:w="2364" w:type="pct"/>
            <w:shd w:val="clear" w:color="auto" w:fill="5B9BD5"/>
            <w:vAlign w:val="center"/>
          </w:tcPr>
          <w:p w14:paraId="469A41C7"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C8"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C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1CF" w14:textId="77777777" w:rsidTr="005F2493">
        <w:trPr>
          <w:trHeight w:val="727"/>
          <w:jc w:val="center"/>
        </w:trPr>
        <w:tc>
          <w:tcPr>
            <w:tcW w:w="2364" w:type="pct"/>
            <w:vAlign w:val="center"/>
          </w:tcPr>
          <w:p w14:paraId="469A41CB" w14:textId="2EFB5B8A"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14:paraId="469A41CC" w14:textId="77777777" w:rsidR="00567A04" w:rsidRPr="0059421B" w:rsidRDefault="00F55DB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14:paraId="469A41CD" w14:textId="7795424D"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14:paraId="469A41C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1D0" w14:textId="7B3B1557" w:rsidR="000F7C9D" w:rsidRDefault="000F7C9D" w:rsidP="006039D9">
      <w:pPr>
        <w:spacing w:before="0" w:after="0" w:line="276" w:lineRule="auto"/>
        <w:rPr>
          <w:rFonts w:ascii="Arial" w:hAnsi="Arial" w:cs="Arial"/>
        </w:rPr>
      </w:pPr>
    </w:p>
    <w:p w14:paraId="24AE9B13" w14:textId="77777777" w:rsidR="005F2493" w:rsidRPr="0059421B" w:rsidRDefault="005F2493"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D2" w14:textId="77777777" w:rsidTr="00567A04">
        <w:trPr>
          <w:jc w:val="center"/>
        </w:trPr>
        <w:tc>
          <w:tcPr>
            <w:tcW w:w="5000" w:type="pct"/>
            <w:gridSpan w:val="3"/>
            <w:shd w:val="clear" w:color="auto" w:fill="5B9BD5"/>
            <w:vAlign w:val="center"/>
          </w:tcPr>
          <w:p w14:paraId="469A41D1"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1D6" w14:textId="77777777" w:rsidTr="00B1344C">
        <w:trPr>
          <w:jc w:val="center"/>
        </w:trPr>
        <w:tc>
          <w:tcPr>
            <w:tcW w:w="2364" w:type="pct"/>
            <w:shd w:val="clear" w:color="auto" w:fill="5B9BD5"/>
            <w:vAlign w:val="center"/>
          </w:tcPr>
          <w:p w14:paraId="469A41D3"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D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D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DB" w14:textId="77777777" w:rsidTr="00B1344C">
        <w:trPr>
          <w:jc w:val="center"/>
        </w:trPr>
        <w:tc>
          <w:tcPr>
            <w:tcW w:w="2364" w:type="pct"/>
            <w:vAlign w:val="center"/>
          </w:tcPr>
          <w:p w14:paraId="469A41D7" w14:textId="0FF89F72" w:rsidR="006D75B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w:t>
            </w:r>
            <w:r w:rsidR="00B15B85">
              <w:rPr>
                <w:rFonts w:ascii="Arial" w:hAnsi="Arial" w:cs="Arial"/>
                <w:sz w:val="20"/>
                <w:szCs w:val="20"/>
                <w:lang w:val="es-ES"/>
              </w:rPr>
              <w:t xml:space="preserve"> o AS</w:t>
            </w:r>
            <w:r w:rsidR="006D75BE" w:rsidRPr="0059421B">
              <w:rPr>
                <w:rFonts w:ascii="Arial" w:hAnsi="Arial" w:cs="Arial"/>
                <w:sz w:val="20"/>
                <w:szCs w:val="20"/>
                <w:lang w:val="es-ES"/>
              </w:rPr>
              <w:t xml:space="preserve"> el resultado del Análisis de Factibilidad.</w:t>
            </w:r>
          </w:p>
        </w:tc>
        <w:tc>
          <w:tcPr>
            <w:tcW w:w="1545" w:type="pct"/>
            <w:vAlign w:val="center"/>
          </w:tcPr>
          <w:p w14:paraId="5916D5B5" w14:textId="792B6AB1" w:rsidR="006D75B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6D75BE" w:rsidRPr="0059421B">
              <w:rPr>
                <w:rFonts w:ascii="Arial" w:hAnsi="Arial" w:cs="Arial"/>
                <w:sz w:val="20"/>
                <w:szCs w:val="20"/>
                <w:lang w:val="es-ES"/>
              </w:rPr>
              <w:t xml:space="preserve"> DH</w:t>
            </w:r>
          </w:p>
          <w:p w14:paraId="469A41D9" w14:textId="700F7D9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14:paraId="469A41DA"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14:paraId="469A41E0"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DC" w14:textId="0262C70B" w:rsidR="00673FBC" w:rsidRPr="0059421B" w:rsidRDefault="00673FB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DD" w14:textId="11A8F147"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DE" w14:textId="1D51FB13"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DF"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14:paraId="469A41E5"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E1" w14:textId="058091E1" w:rsidR="00673FBC"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673FBC" w:rsidRPr="0059421B">
              <w:rPr>
                <w:rFonts w:ascii="Arial" w:hAnsi="Arial" w:cs="Arial"/>
                <w:sz w:val="20"/>
                <w:szCs w:val="20"/>
                <w:lang w:val="es-ES"/>
              </w:rPr>
              <w:t xml:space="preserve">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14:paraId="469A41E2" w14:textId="193CF6B4" w:rsidR="00673FB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673FBC" w:rsidRPr="0059421B">
              <w:rPr>
                <w:rFonts w:ascii="Arial" w:hAnsi="Arial" w:cs="Arial"/>
                <w:sz w:val="20"/>
                <w:szCs w:val="20"/>
                <w:lang w:val="es-ES"/>
              </w:rPr>
              <w:t>DH</w:t>
            </w:r>
          </w:p>
          <w:p w14:paraId="469A41E3" w14:textId="6D19CD0F"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14:paraId="469A41E4" w14:textId="77777777" w:rsidR="00673FBC" w:rsidRPr="0059421B" w:rsidRDefault="00673FB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E8"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1EA" w14:textId="77777777" w:rsidTr="00567A04">
        <w:trPr>
          <w:jc w:val="center"/>
        </w:trPr>
        <w:tc>
          <w:tcPr>
            <w:tcW w:w="5000" w:type="pct"/>
            <w:gridSpan w:val="3"/>
            <w:shd w:val="clear" w:color="auto" w:fill="5B9BD5"/>
            <w:vAlign w:val="center"/>
          </w:tcPr>
          <w:p w14:paraId="469A41E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1EE" w14:textId="77777777" w:rsidTr="00B1344C">
        <w:trPr>
          <w:jc w:val="center"/>
        </w:trPr>
        <w:tc>
          <w:tcPr>
            <w:tcW w:w="2364" w:type="pct"/>
            <w:shd w:val="clear" w:color="auto" w:fill="5B9BD5"/>
            <w:vAlign w:val="center"/>
          </w:tcPr>
          <w:p w14:paraId="469A41EB"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1E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1ED"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14:paraId="469A41F2" w14:textId="77777777" w:rsidTr="00B1344C">
        <w:trPr>
          <w:jc w:val="center"/>
        </w:trPr>
        <w:tc>
          <w:tcPr>
            <w:tcW w:w="2364" w:type="pct"/>
            <w:vAlign w:val="center"/>
          </w:tcPr>
          <w:p w14:paraId="469A41EF" w14:textId="28A6F856" w:rsidR="006D75BE" w:rsidRPr="0059421B" w:rsidRDefault="006D75B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1F0" w14:textId="77777777" w:rsidR="006D75BE" w:rsidRPr="0059421B" w:rsidRDefault="00F1269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14:paraId="469A41F1" w14:textId="77777777" w:rsidR="006D75BE" w:rsidRPr="0059421B" w:rsidRDefault="006D75B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7"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3" w14:textId="72E7AAD3" w:rsidR="009C5BA6" w:rsidRPr="0059421B" w:rsidRDefault="009C5BA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F051BD">
              <w:rPr>
                <w:rFonts w:ascii="Arial" w:hAnsi="Arial" w:cs="Arial"/>
                <w:sz w:val="20"/>
                <w:szCs w:val="20"/>
                <w:lang w:val="es-ES"/>
              </w:rPr>
              <w:t>t</w:t>
            </w:r>
            <w:r w:rsidR="0018655C">
              <w:rPr>
                <w:rFonts w:ascii="Arial" w:hAnsi="Arial" w:cs="Arial"/>
                <w:sz w:val="20"/>
                <w:szCs w:val="20"/>
                <w:lang w:val="es-ES"/>
              </w:rPr>
              <w:t>res</w:t>
            </w:r>
            <w:r w:rsidR="00863BD5" w:rsidRPr="0059421B">
              <w:rPr>
                <w:rFonts w:ascii="Arial" w:hAnsi="Arial" w:cs="Arial"/>
                <w:sz w:val="20"/>
                <w:szCs w:val="20"/>
                <w:lang w:val="es-ES"/>
              </w:rPr>
              <w:t xml:space="preserve">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469A41F4" w14:textId="3C9162CE" w:rsidR="009C5BA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C5BA6" w:rsidRPr="0059421B">
              <w:rPr>
                <w:rFonts w:ascii="Arial" w:hAnsi="Arial" w:cs="Arial"/>
                <w:sz w:val="20"/>
                <w:szCs w:val="20"/>
                <w:lang w:val="es-ES"/>
              </w:rPr>
              <w:t xml:space="preserve"> DH</w:t>
            </w:r>
          </w:p>
          <w:p w14:paraId="469A41F5" w14:textId="11DCAB64"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14:paraId="469A41F6"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14:paraId="469A41FB" w14:textId="77777777"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1F8" w14:textId="0263CA62" w:rsidR="009C5BA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C5BA6" w:rsidRPr="0059421B">
              <w:rPr>
                <w:rFonts w:ascii="Arial" w:hAnsi="Arial" w:cs="Arial"/>
                <w:sz w:val="20"/>
                <w:szCs w:val="20"/>
                <w:lang w:val="es-ES"/>
              </w:rPr>
              <w:t xml:space="preserve"> aceptan</w:t>
            </w:r>
            <w:r w:rsidR="00863BD5"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00863BD5"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00863BD5"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14:paraId="03B5D237" w14:textId="54D38EB6" w:rsidR="009C5BA6"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9C5BA6" w:rsidRPr="0059421B">
              <w:rPr>
                <w:rFonts w:ascii="Arial" w:hAnsi="Arial" w:cs="Arial"/>
                <w:sz w:val="20"/>
                <w:szCs w:val="20"/>
                <w:lang w:val="es-ES"/>
              </w:rPr>
              <w:t xml:space="preserve"> DH</w:t>
            </w:r>
          </w:p>
          <w:p w14:paraId="469A41F9" w14:textId="59A7E761" w:rsidR="007C17D7" w:rsidRPr="0059421B" w:rsidRDefault="007C17D7"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 xml:space="preserve">(Contados </w:t>
            </w:r>
            <w:r w:rsidRPr="007C17D7">
              <w:rPr>
                <w:rFonts w:ascii="Arial" w:hAnsi="Arial" w:cs="Arial"/>
                <w:sz w:val="20"/>
                <w:szCs w:val="20"/>
                <w:lang w:val="es-ES"/>
              </w:rPr>
              <w:t xml:space="preserve">a partir de que recibió la propuesta de </w:t>
            </w:r>
            <w:r w:rsidR="00583E91">
              <w:rPr>
                <w:rFonts w:ascii="Arial" w:hAnsi="Arial" w:cs="Arial"/>
                <w:sz w:val="20"/>
                <w:szCs w:val="20"/>
                <w:lang w:val="es-ES"/>
              </w:rPr>
              <w:t>fechas</w:t>
            </w:r>
            <w:r>
              <w:rPr>
                <w:rFonts w:ascii="Arial" w:hAnsi="Arial" w:cs="Arial"/>
                <w:sz w:val="20"/>
                <w:szCs w:val="20"/>
                <w:lang w:val="es-ES"/>
              </w:rPr>
              <w:t>)</w:t>
            </w:r>
          </w:p>
        </w:tc>
        <w:tc>
          <w:tcPr>
            <w:tcW w:w="1091" w:type="pct"/>
            <w:tcBorders>
              <w:top w:val="single" w:sz="4" w:space="0" w:color="auto"/>
              <w:left w:val="single" w:sz="4" w:space="0" w:color="auto"/>
              <w:bottom w:val="single" w:sz="4" w:space="0" w:color="auto"/>
              <w:right w:val="single" w:sz="4" w:space="0" w:color="auto"/>
            </w:tcBorders>
            <w:vAlign w:val="center"/>
          </w:tcPr>
          <w:p w14:paraId="469A41FA" w14:textId="77777777" w:rsidR="009C5BA6" w:rsidRPr="0059421B" w:rsidRDefault="009C5BA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1FC"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3F44B6" w:rsidRPr="0059421B" w14:paraId="469A41FE" w14:textId="77777777" w:rsidTr="00567A04">
        <w:trPr>
          <w:jc w:val="center"/>
        </w:trPr>
        <w:tc>
          <w:tcPr>
            <w:tcW w:w="5000" w:type="pct"/>
            <w:gridSpan w:val="3"/>
            <w:shd w:val="clear" w:color="auto" w:fill="5B9BD5"/>
            <w:vAlign w:val="center"/>
          </w:tcPr>
          <w:p w14:paraId="469A41FD"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3F44B6" w:rsidRPr="0059421B" w14:paraId="469A4202" w14:textId="77777777" w:rsidTr="000F7C9D">
        <w:trPr>
          <w:jc w:val="center"/>
        </w:trPr>
        <w:tc>
          <w:tcPr>
            <w:tcW w:w="2364" w:type="pct"/>
            <w:tcBorders>
              <w:bottom w:val="single" w:sz="4" w:space="0" w:color="auto"/>
            </w:tcBorders>
            <w:shd w:val="clear" w:color="auto" w:fill="5B9BD5"/>
            <w:vAlign w:val="center"/>
          </w:tcPr>
          <w:p w14:paraId="469A41FF" w14:textId="77777777" w:rsidR="003F44B6" w:rsidRPr="0059421B" w:rsidRDefault="003F44B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00"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01" w14:textId="77777777" w:rsidR="003F44B6" w:rsidRPr="0059421B" w:rsidRDefault="003F44B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14:paraId="469A4207"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03" w14:textId="34BC259C" w:rsidR="00D07110"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D07110"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04" w14:textId="7609E8D9" w:rsidR="00D07110"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D07110" w:rsidRPr="0059421B">
              <w:rPr>
                <w:rFonts w:ascii="Arial" w:hAnsi="Arial" w:cs="Arial"/>
                <w:sz w:val="20"/>
                <w:szCs w:val="20"/>
                <w:lang w:val="es-ES"/>
              </w:rPr>
              <w:t>DH</w:t>
            </w:r>
          </w:p>
          <w:p w14:paraId="469A4205" w14:textId="17882BD0"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06" w14:textId="77777777" w:rsidR="00D07110" w:rsidRPr="0059421B"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14:paraId="469A420B" w14:textId="77777777" w:rsidTr="000F7C9D">
        <w:trPr>
          <w:jc w:val="center"/>
        </w:trPr>
        <w:tc>
          <w:tcPr>
            <w:tcW w:w="2364" w:type="pct"/>
            <w:tcBorders>
              <w:top w:val="single" w:sz="4" w:space="0" w:color="auto"/>
            </w:tcBorders>
            <w:shd w:val="clear" w:color="auto" w:fill="auto"/>
            <w:vAlign w:val="center"/>
          </w:tcPr>
          <w:p w14:paraId="469A4208" w14:textId="23F28112" w:rsidR="00D07110" w:rsidRPr="0059421B" w:rsidRDefault="000B7EA3" w:rsidP="006039D9">
            <w:pPr>
              <w:suppressAutoHyphens/>
              <w:spacing w:before="0" w:after="0" w:line="276" w:lineRule="auto"/>
              <w:contextualSpacing/>
              <w:jc w:val="left"/>
              <w:rPr>
                <w:rFonts w:ascii="Arial" w:hAnsi="Arial" w:cs="Arial"/>
                <w:b/>
                <w:sz w:val="20"/>
                <w:szCs w:val="20"/>
                <w:lang w:val="es-ES"/>
              </w:rPr>
            </w:pPr>
            <w:r>
              <w:rPr>
                <w:rFonts w:ascii="Arial" w:hAnsi="Arial" w:cs="Arial"/>
                <w:sz w:val="20"/>
                <w:szCs w:val="20"/>
                <w:lang w:val="es-ES"/>
              </w:rPr>
              <w:t>Telmex y Telnor</w:t>
            </w:r>
            <w:r w:rsidR="00D07110"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469A4209"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469A420A" w14:textId="77777777" w:rsidR="00D07110" w:rsidRPr="0059421B" w:rsidDel="00324AB3" w:rsidRDefault="00D07110"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608BBC2" w14:textId="0D01CF16" w:rsidR="005F2493" w:rsidRDefault="005F2493" w:rsidP="006039D9">
      <w:pPr>
        <w:tabs>
          <w:tab w:val="left" w:pos="4143"/>
        </w:tabs>
        <w:spacing w:before="0" w:after="0" w:line="276" w:lineRule="auto"/>
        <w:rPr>
          <w:rFonts w:ascii="Arial" w:hAnsi="Arial" w:cs="Arial"/>
          <w:b/>
          <w:sz w:val="20"/>
          <w:szCs w:val="20"/>
          <w:u w:val="single"/>
        </w:rPr>
      </w:pPr>
    </w:p>
    <w:p w14:paraId="0F25C7C7" w14:textId="77777777" w:rsidR="00A2137E" w:rsidRDefault="00A2137E" w:rsidP="006039D9">
      <w:pPr>
        <w:spacing w:before="0" w:after="0" w:line="276" w:lineRule="auto"/>
        <w:rPr>
          <w:rFonts w:ascii="Arial" w:hAnsi="Arial" w:cs="Arial"/>
          <w:b/>
          <w:sz w:val="20"/>
          <w:szCs w:val="20"/>
          <w:u w:val="single"/>
        </w:rPr>
      </w:pPr>
    </w:p>
    <w:p w14:paraId="469A420D" w14:textId="172C076E" w:rsidR="00D75094" w:rsidRDefault="00D7509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3EA862BC" w14:textId="77777777" w:rsidR="005F2493" w:rsidRPr="0059421B" w:rsidRDefault="005F24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0F" w14:textId="77777777" w:rsidTr="000A690E">
        <w:trPr>
          <w:trHeight w:val="467"/>
          <w:jc w:val="center"/>
        </w:trPr>
        <w:tc>
          <w:tcPr>
            <w:tcW w:w="5000" w:type="pct"/>
            <w:gridSpan w:val="3"/>
            <w:shd w:val="clear" w:color="auto" w:fill="5B9BD5"/>
            <w:vAlign w:val="center"/>
          </w:tcPr>
          <w:p w14:paraId="469A420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14:paraId="469A4213" w14:textId="77777777" w:rsidTr="000A690E">
        <w:trPr>
          <w:trHeight w:val="467"/>
          <w:jc w:val="center"/>
        </w:trPr>
        <w:tc>
          <w:tcPr>
            <w:tcW w:w="2402" w:type="pct"/>
            <w:shd w:val="clear" w:color="auto" w:fill="5B9BD5"/>
            <w:vAlign w:val="center"/>
          </w:tcPr>
          <w:p w14:paraId="469A4210"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11"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12"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17" w14:textId="77777777" w:rsidTr="000A690E">
        <w:trPr>
          <w:trHeight w:val="467"/>
          <w:jc w:val="center"/>
        </w:trPr>
        <w:tc>
          <w:tcPr>
            <w:tcW w:w="2402" w:type="pct"/>
            <w:tcBorders>
              <w:bottom w:val="single" w:sz="4" w:space="0" w:color="auto"/>
            </w:tcBorders>
            <w:vAlign w:val="center"/>
          </w:tcPr>
          <w:p w14:paraId="469A4214" w14:textId="00E6BD55"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modificación del Proyecto de Instalación</w:t>
            </w:r>
          </w:p>
        </w:tc>
        <w:tc>
          <w:tcPr>
            <w:tcW w:w="1582" w:type="pct"/>
            <w:tcBorders>
              <w:bottom w:val="single" w:sz="4" w:space="0" w:color="auto"/>
            </w:tcBorders>
            <w:vAlign w:val="center"/>
          </w:tcPr>
          <w:p w14:paraId="469A421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1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14:paraId="469A421C" w14:textId="77777777"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18" w14:textId="60D0FDAA" w:rsidR="00D75094"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D75094" w:rsidRPr="0059421B">
              <w:rPr>
                <w:rFonts w:ascii="Arial" w:hAnsi="Arial" w:cs="Arial"/>
                <w:sz w:val="20"/>
                <w:szCs w:val="20"/>
                <w:lang w:val="es-ES"/>
              </w:rPr>
              <w:t xml:space="preserve">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19" w14:textId="7536C70A"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D75094" w:rsidRPr="0059421B">
              <w:rPr>
                <w:rFonts w:ascii="Arial" w:hAnsi="Arial" w:cs="Arial"/>
                <w:sz w:val="20"/>
                <w:szCs w:val="20"/>
                <w:lang w:val="es-ES"/>
              </w:rPr>
              <w:t>DH</w:t>
            </w:r>
          </w:p>
          <w:p w14:paraId="469A421A" w14:textId="21F5C85E"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la solicitud de modificación)</w:t>
            </w:r>
          </w:p>
        </w:tc>
        <w:tc>
          <w:tcPr>
            <w:tcW w:w="1016" w:type="pct"/>
            <w:tcBorders>
              <w:left w:val="single" w:sz="4" w:space="0" w:color="auto"/>
            </w:tcBorders>
            <w:vAlign w:val="center"/>
          </w:tcPr>
          <w:p w14:paraId="469A421B"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1D"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1F" w14:textId="77777777" w:rsidTr="000A690E">
        <w:trPr>
          <w:trHeight w:val="467"/>
          <w:jc w:val="center"/>
        </w:trPr>
        <w:tc>
          <w:tcPr>
            <w:tcW w:w="5000" w:type="pct"/>
            <w:gridSpan w:val="3"/>
            <w:shd w:val="clear" w:color="auto" w:fill="5B9BD5"/>
            <w:vAlign w:val="center"/>
          </w:tcPr>
          <w:p w14:paraId="469A421E" w14:textId="77777777" w:rsidR="00D75094" w:rsidRPr="0059421B" w:rsidRDefault="00D7509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D75094" w:rsidRPr="0059421B" w14:paraId="469A4223" w14:textId="77777777" w:rsidTr="000A690E">
        <w:trPr>
          <w:jc w:val="center"/>
        </w:trPr>
        <w:tc>
          <w:tcPr>
            <w:tcW w:w="2402" w:type="pct"/>
            <w:shd w:val="clear" w:color="auto" w:fill="5B9BD5"/>
            <w:vAlign w:val="center"/>
          </w:tcPr>
          <w:p w14:paraId="469A4220" w14:textId="77777777" w:rsidR="00D75094" w:rsidRPr="0059421B" w:rsidRDefault="00D75094"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1"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2" w14:textId="77777777" w:rsidR="00D75094" w:rsidRPr="0059421B" w:rsidRDefault="00D75094"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28" w14:textId="77777777" w:rsidTr="000A690E">
        <w:trPr>
          <w:jc w:val="center"/>
        </w:trPr>
        <w:tc>
          <w:tcPr>
            <w:tcW w:w="2402" w:type="pct"/>
            <w:vAlign w:val="center"/>
          </w:tcPr>
          <w:p w14:paraId="469A4224" w14:textId="18797289"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225"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226" w14:textId="2F20738B"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 apruebe los cambios para modificar el Anteproyecto)</w:t>
            </w:r>
          </w:p>
        </w:tc>
        <w:tc>
          <w:tcPr>
            <w:tcW w:w="1016" w:type="pct"/>
            <w:vAlign w:val="center"/>
          </w:tcPr>
          <w:p w14:paraId="469A4227"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29"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2B" w14:textId="77777777" w:rsidTr="000A690E">
        <w:trPr>
          <w:jc w:val="center"/>
        </w:trPr>
        <w:tc>
          <w:tcPr>
            <w:tcW w:w="5000" w:type="pct"/>
            <w:gridSpan w:val="3"/>
            <w:shd w:val="clear" w:color="auto" w:fill="5B9BD5"/>
            <w:vAlign w:val="center"/>
          </w:tcPr>
          <w:p w14:paraId="469A422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14:paraId="469A422F" w14:textId="77777777" w:rsidTr="000A690E">
        <w:trPr>
          <w:jc w:val="center"/>
        </w:trPr>
        <w:tc>
          <w:tcPr>
            <w:tcW w:w="2402" w:type="pct"/>
            <w:shd w:val="clear" w:color="auto" w:fill="5B9BD5"/>
            <w:vAlign w:val="center"/>
          </w:tcPr>
          <w:p w14:paraId="469A422C"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2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2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4" w14:textId="77777777" w:rsidTr="000A690E">
        <w:trPr>
          <w:jc w:val="center"/>
        </w:trPr>
        <w:tc>
          <w:tcPr>
            <w:tcW w:w="2402" w:type="pct"/>
            <w:vAlign w:val="center"/>
          </w:tcPr>
          <w:p w14:paraId="469A4230" w14:textId="712656D8" w:rsidR="00D75094"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D75094" w:rsidRPr="0059421B">
              <w:rPr>
                <w:rFonts w:ascii="Arial" w:hAnsi="Arial" w:cs="Arial"/>
                <w:sz w:val="20"/>
                <w:szCs w:val="20"/>
                <w:lang w:val="es-ES"/>
              </w:rPr>
              <w:t xml:space="preserve"> notificarán el resultado del Análisis de Factibilidad.</w:t>
            </w:r>
          </w:p>
        </w:tc>
        <w:tc>
          <w:tcPr>
            <w:tcW w:w="1582" w:type="pct"/>
            <w:vAlign w:val="center"/>
          </w:tcPr>
          <w:p w14:paraId="469A4231" w14:textId="517EAE5D" w:rsidR="00D75094"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D75094" w:rsidRPr="0059421B">
              <w:rPr>
                <w:rFonts w:ascii="Arial" w:hAnsi="Arial" w:cs="Arial"/>
                <w:sz w:val="20"/>
                <w:szCs w:val="20"/>
                <w:lang w:val="es-ES"/>
              </w:rPr>
              <w:t xml:space="preserve"> DH</w:t>
            </w:r>
          </w:p>
          <w:p w14:paraId="469A4232" w14:textId="57EFE0BC"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 el CS o AS entregue el Anteproyecto)</w:t>
            </w:r>
          </w:p>
        </w:tc>
        <w:tc>
          <w:tcPr>
            <w:tcW w:w="1016" w:type="pct"/>
            <w:vAlign w:val="center"/>
          </w:tcPr>
          <w:p w14:paraId="469A4233"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35" w14:textId="77777777" w:rsidR="00D75094" w:rsidRPr="0059421B" w:rsidRDefault="00D75094"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D75094" w:rsidRPr="0059421B" w14:paraId="469A4237" w14:textId="77777777" w:rsidTr="000A690E">
        <w:trPr>
          <w:jc w:val="center"/>
        </w:trPr>
        <w:tc>
          <w:tcPr>
            <w:tcW w:w="5000" w:type="pct"/>
            <w:gridSpan w:val="3"/>
            <w:shd w:val="clear" w:color="auto" w:fill="5B9BD5"/>
            <w:vAlign w:val="center"/>
          </w:tcPr>
          <w:p w14:paraId="469A4236"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14:paraId="469A423B" w14:textId="77777777" w:rsidTr="000A690E">
        <w:trPr>
          <w:jc w:val="center"/>
        </w:trPr>
        <w:tc>
          <w:tcPr>
            <w:tcW w:w="2402" w:type="pct"/>
            <w:shd w:val="clear" w:color="auto" w:fill="5B9BD5"/>
            <w:vAlign w:val="center"/>
          </w:tcPr>
          <w:p w14:paraId="469A4238" w14:textId="77777777"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39"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3A"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14:paraId="469A423F" w14:textId="77777777" w:rsidTr="000A690E">
        <w:trPr>
          <w:jc w:val="center"/>
        </w:trPr>
        <w:tc>
          <w:tcPr>
            <w:tcW w:w="2402" w:type="pct"/>
            <w:vAlign w:val="center"/>
          </w:tcPr>
          <w:p w14:paraId="469A423C" w14:textId="1A4B77CC" w:rsidR="00D75094" w:rsidRPr="0059421B" w:rsidRDefault="00D7509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14:paraId="469A423D"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14:paraId="469A423E" w14:textId="77777777" w:rsidR="00D75094" w:rsidRPr="0059421B" w:rsidRDefault="00D7509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40" w14:textId="347B0DD0" w:rsidR="00D75094" w:rsidRDefault="00D75094"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93EFE" w:rsidRPr="0059421B" w14:paraId="6AEDC25E" w14:textId="77777777" w:rsidTr="0018655C">
        <w:trPr>
          <w:jc w:val="center"/>
        </w:trPr>
        <w:tc>
          <w:tcPr>
            <w:tcW w:w="5000" w:type="pct"/>
            <w:gridSpan w:val="3"/>
            <w:shd w:val="clear" w:color="auto" w:fill="5B9BD5"/>
            <w:vAlign w:val="center"/>
          </w:tcPr>
          <w:p w14:paraId="1568A77A" w14:textId="63D17AFF"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sidR="00FE0C52">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93EFE" w:rsidRPr="0059421B" w14:paraId="4DB7FAD1" w14:textId="77777777" w:rsidTr="0018655C">
        <w:trPr>
          <w:jc w:val="center"/>
        </w:trPr>
        <w:tc>
          <w:tcPr>
            <w:tcW w:w="2364" w:type="pct"/>
            <w:tcBorders>
              <w:bottom w:val="single" w:sz="4" w:space="0" w:color="auto"/>
            </w:tcBorders>
            <w:shd w:val="clear" w:color="auto" w:fill="5B9BD5"/>
            <w:vAlign w:val="center"/>
          </w:tcPr>
          <w:p w14:paraId="3E468231" w14:textId="77777777" w:rsidR="00593EFE" w:rsidRPr="0059421B" w:rsidRDefault="00593EFE"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1FD56F6"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5EFDE7F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93EFE" w:rsidRPr="0059421B" w14:paraId="510B2F28"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261DFDD7" w14:textId="2C2E3D19" w:rsidR="00593EFE"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593EFE"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679FF9BE" w14:textId="03F3F6A3" w:rsidR="00593EFE"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593EFE" w:rsidRPr="0059421B">
              <w:rPr>
                <w:rFonts w:ascii="Arial" w:hAnsi="Arial" w:cs="Arial"/>
                <w:sz w:val="20"/>
                <w:szCs w:val="20"/>
                <w:lang w:val="es-ES"/>
              </w:rPr>
              <w:t xml:space="preserve"> DH</w:t>
            </w:r>
          </w:p>
          <w:p w14:paraId="7F3CE9A7" w14:textId="2FBF5CA2"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5EDCA0A1" w14:textId="77777777" w:rsidR="00593EFE" w:rsidRPr="0059421B"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93EFE" w:rsidRPr="0059421B" w14:paraId="492679DB" w14:textId="77777777" w:rsidTr="0018655C">
        <w:trPr>
          <w:jc w:val="center"/>
        </w:trPr>
        <w:tc>
          <w:tcPr>
            <w:tcW w:w="2364" w:type="pct"/>
            <w:tcBorders>
              <w:top w:val="single" w:sz="4" w:space="0" w:color="auto"/>
            </w:tcBorders>
            <w:shd w:val="clear" w:color="auto" w:fill="auto"/>
            <w:vAlign w:val="center"/>
          </w:tcPr>
          <w:p w14:paraId="351CF63C" w14:textId="6CDD1C44" w:rsidR="00593EFE" w:rsidRPr="0059421B" w:rsidRDefault="000B7EA3" w:rsidP="006039D9">
            <w:pPr>
              <w:suppressAutoHyphens/>
              <w:spacing w:before="0" w:after="0" w:line="276" w:lineRule="auto"/>
              <w:contextualSpacing/>
              <w:jc w:val="left"/>
              <w:rPr>
                <w:rFonts w:ascii="Arial" w:hAnsi="Arial" w:cs="Arial"/>
                <w:b/>
                <w:sz w:val="20"/>
                <w:szCs w:val="20"/>
                <w:lang w:val="es-ES"/>
              </w:rPr>
            </w:pPr>
            <w:r>
              <w:rPr>
                <w:rFonts w:ascii="Arial" w:hAnsi="Arial" w:cs="Arial"/>
                <w:sz w:val="20"/>
                <w:szCs w:val="20"/>
                <w:lang w:val="es-ES"/>
              </w:rPr>
              <w:t>Telmex y Telnor</w:t>
            </w:r>
            <w:r w:rsidR="00593EFE"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331F3A6F"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011779C" w14:textId="77777777" w:rsidR="00593EFE" w:rsidRPr="0059421B" w:rsidDel="00324AB3" w:rsidRDefault="00593EFE"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5DDB6A41" w14:textId="77777777" w:rsidR="005F2493" w:rsidRPr="00D75094" w:rsidRDefault="005F2493" w:rsidP="006039D9">
      <w:pPr>
        <w:spacing w:before="0" w:after="0" w:line="276" w:lineRule="auto"/>
        <w:rPr>
          <w:rFonts w:ascii="Arial" w:hAnsi="Arial" w:cs="Arial"/>
          <w:sz w:val="20"/>
          <w:szCs w:val="20"/>
        </w:rPr>
      </w:pPr>
    </w:p>
    <w:p w14:paraId="469A4241" w14:textId="6EDB859E" w:rsidR="00567A04" w:rsidRDefault="00567A04"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76A1F77B" w14:textId="77777777" w:rsidR="006039D9" w:rsidRPr="0059421B" w:rsidRDefault="006039D9"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67A04" w:rsidRPr="0059421B" w14:paraId="469A4243" w14:textId="77777777" w:rsidTr="009434E8">
        <w:trPr>
          <w:trHeight w:val="467"/>
          <w:jc w:val="center"/>
        </w:trPr>
        <w:tc>
          <w:tcPr>
            <w:tcW w:w="5000" w:type="pct"/>
            <w:gridSpan w:val="3"/>
            <w:shd w:val="clear" w:color="auto" w:fill="5B9BD5"/>
            <w:vAlign w:val="center"/>
          </w:tcPr>
          <w:p w14:paraId="469A4242" w14:textId="77777777"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47" w14:textId="77777777" w:rsidTr="00B1344C">
        <w:trPr>
          <w:trHeight w:val="467"/>
          <w:jc w:val="center"/>
        </w:trPr>
        <w:tc>
          <w:tcPr>
            <w:tcW w:w="2364" w:type="pct"/>
            <w:shd w:val="clear" w:color="auto" w:fill="5B9BD5"/>
            <w:vAlign w:val="center"/>
          </w:tcPr>
          <w:p w14:paraId="469A424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4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14:paraId="469A424B" w14:textId="77777777" w:rsidTr="00806A2F">
        <w:trPr>
          <w:trHeight w:val="467"/>
          <w:jc w:val="center"/>
        </w:trPr>
        <w:tc>
          <w:tcPr>
            <w:tcW w:w="2364" w:type="pct"/>
            <w:tcBorders>
              <w:bottom w:val="single" w:sz="4" w:space="0" w:color="auto"/>
            </w:tcBorders>
            <w:vAlign w:val="center"/>
          </w:tcPr>
          <w:p w14:paraId="469A4248" w14:textId="2243B6CF" w:rsidR="00567A04" w:rsidRPr="0059421B" w:rsidRDefault="00567A04"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14:paraId="469A4249"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tcBorders>
              <w:bottom w:val="single" w:sz="4" w:space="0" w:color="auto"/>
            </w:tcBorders>
            <w:vAlign w:val="center"/>
          </w:tcPr>
          <w:p w14:paraId="469A424A"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50" w14:textId="77777777" w:rsidTr="00806A2F">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14:paraId="469A424C" w14:textId="3052F959"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notifica</w:t>
            </w:r>
            <w:r w:rsidR="00C15150"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14:paraId="469A424D" w14:textId="3B7FBE9F"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9D5796" w:rsidRPr="0059421B">
              <w:rPr>
                <w:rFonts w:ascii="Arial" w:hAnsi="Arial" w:cs="Arial"/>
                <w:sz w:val="20"/>
                <w:szCs w:val="20"/>
                <w:lang w:val="es-ES"/>
              </w:rPr>
              <w:t>DH</w:t>
            </w:r>
          </w:p>
          <w:p w14:paraId="469A424E" w14:textId="3D535F92"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la solicitud)</w:t>
            </w:r>
          </w:p>
        </w:tc>
        <w:tc>
          <w:tcPr>
            <w:tcW w:w="1091" w:type="pct"/>
            <w:tcBorders>
              <w:left w:val="single" w:sz="4" w:space="0" w:color="auto"/>
              <w:bottom w:val="single" w:sz="4" w:space="0" w:color="auto"/>
            </w:tcBorders>
            <w:vAlign w:val="center"/>
          </w:tcPr>
          <w:p w14:paraId="469A424F"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4C1C80E1" w14:textId="77777777" w:rsidTr="00806A2F">
        <w:trPr>
          <w:trHeight w:val="538"/>
          <w:jc w:val="center"/>
        </w:trPr>
        <w:tc>
          <w:tcPr>
            <w:tcW w:w="2364" w:type="pct"/>
            <w:tcBorders>
              <w:top w:val="single" w:sz="4" w:space="0" w:color="auto"/>
              <w:left w:val="nil"/>
              <w:bottom w:val="single" w:sz="4" w:space="0" w:color="auto"/>
              <w:right w:val="nil"/>
            </w:tcBorders>
            <w:vAlign w:val="center"/>
          </w:tcPr>
          <w:p w14:paraId="1965B93D" w14:textId="77777777" w:rsidR="00806A2F" w:rsidRPr="0059421B" w:rsidRDefault="00806A2F" w:rsidP="006039D9">
            <w:pPr>
              <w:spacing w:before="0" w:after="0" w:line="276" w:lineRule="auto"/>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6E800C09"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415A9BEC"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567A04" w:rsidRPr="0059421B" w14:paraId="469A4253" w14:textId="77777777" w:rsidTr="00806A2F">
        <w:trPr>
          <w:trHeight w:val="467"/>
          <w:jc w:val="center"/>
        </w:trPr>
        <w:tc>
          <w:tcPr>
            <w:tcW w:w="5000" w:type="pct"/>
            <w:gridSpan w:val="3"/>
            <w:tcBorders>
              <w:top w:val="single" w:sz="4" w:space="0" w:color="auto"/>
            </w:tcBorders>
            <w:shd w:val="clear" w:color="auto" w:fill="5B9BD5"/>
            <w:vAlign w:val="center"/>
          </w:tcPr>
          <w:p w14:paraId="469A4252" w14:textId="54605AAE" w:rsidR="00567A04" w:rsidRPr="0059421B" w:rsidRDefault="00567A04"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257" w14:textId="77777777" w:rsidTr="005F2493">
        <w:trPr>
          <w:jc w:val="center"/>
        </w:trPr>
        <w:tc>
          <w:tcPr>
            <w:tcW w:w="2364" w:type="pct"/>
            <w:shd w:val="clear" w:color="auto" w:fill="5B9BD5"/>
            <w:vAlign w:val="center"/>
          </w:tcPr>
          <w:p w14:paraId="469A425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5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5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5C" w14:textId="77777777" w:rsidTr="005F2493">
        <w:trPr>
          <w:jc w:val="center"/>
        </w:trPr>
        <w:tc>
          <w:tcPr>
            <w:tcW w:w="2364" w:type="pct"/>
            <w:vAlign w:val="center"/>
          </w:tcPr>
          <w:p w14:paraId="469A4258" w14:textId="1EC1A9AA"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14:paraId="469A4259" w14:textId="2EC0A16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9D5796" w:rsidRPr="0059421B">
              <w:rPr>
                <w:rFonts w:ascii="Arial" w:hAnsi="Arial" w:cs="Arial"/>
                <w:sz w:val="20"/>
                <w:szCs w:val="20"/>
                <w:lang w:val="es-ES"/>
              </w:rPr>
              <w:t xml:space="preserve">DH </w:t>
            </w:r>
          </w:p>
          <w:p w14:paraId="469A425A" w14:textId="42863EED" w:rsidR="009D5796" w:rsidRPr="0059421B" w:rsidRDefault="003936B8"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w:t>
            </w:r>
            <w:r w:rsidR="000B7EA3">
              <w:rPr>
                <w:rFonts w:ascii="Arial" w:hAnsi="Arial" w:cs="Arial"/>
                <w:sz w:val="20"/>
                <w:szCs w:val="20"/>
                <w:lang w:val="es-ES"/>
              </w:rPr>
              <w:t>Telmex y Telnor</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1" w:type="pct"/>
            <w:vAlign w:val="center"/>
          </w:tcPr>
          <w:p w14:paraId="469A425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61" w14:textId="77777777" w:rsidTr="005F2493">
        <w:trPr>
          <w:jc w:val="center"/>
        </w:trPr>
        <w:tc>
          <w:tcPr>
            <w:tcW w:w="2364" w:type="pct"/>
            <w:vAlign w:val="center"/>
          </w:tcPr>
          <w:p w14:paraId="469A425D" w14:textId="4F34367B"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valida</w:t>
            </w:r>
            <w:r w:rsidR="00CC67E0">
              <w:rPr>
                <w:rFonts w:ascii="Arial" w:hAnsi="Arial" w:cs="Arial"/>
                <w:sz w:val="20"/>
                <w:szCs w:val="20"/>
                <w:lang w:val="es-ES"/>
              </w:rPr>
              <w:t>n</w:t>
            </w:r>
            <w:r w:rsidR="009D5796" w:rsidRPr="0059421B">
              <w:rPr>
                <w:rFonts w:ascii="Arial" w:hAnsi="Arial" w:cs="Arial"/>
                <w:sz w:val="20"/>
                <w:szCs w:val="20"/>
                <w:lang w:val="es-ES"/>
              </w:rPr>
              <w:t xml:space="preserve"> el Programa de Trabajo.</w:t>
            </w:r>
          </w:p>
        </w:tc>
        <w:tc>
          <w:tcPr>
            <w:tcW w:w="1545" w:type="pct"/>
            <w:vAlign w:val="center"/>
          </w:tcPr>
          <w:p w14:paraId="469A425E" w14:textId="2EFC6C0B"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5F" w14:textId="3328F09A"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1" w:type="pct"/>
            <w:vAlign w:val="center"/>
          </w:tcPr>
          <w:p w14:paraId="469A4260"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62"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4" w14:textId="77777777" w:rsidTr="009434E8">
        <w:trPr>
          <w:jc w:val="center"/>
        </w:trPr>
        <w:tc>
          <w:tcPr>
            <w:tcW w:w="5000" w:type="pct"/>
            <w:gridSpan w:val="3"/>
            <w:shd w:val="clear" w:color="auto" w:fill="5B9BD5"/>
            <w:vAlign w:val="center"/>
          </w:tcPr>
          <w:p w14:paraId="469A4263"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268" w14:textId="77777777" w:rsidTr="003A4771">
        <w:trPr>
          <w:jc w:val="center"/>
        </w:trPr>
        <w:tc>
          <w:tcPr>
            <w:tcW w:w="2365" w:type="pct"/>
            <w:shd w:val="clear" w:color="auto" w:fill="5B9BD5"/>
            <w:vAlign w:val="center"/>
          </w:tcPr>
          <w:p w14:paraId="469A426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6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6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6C" w14:textId="77777777" w:rsidTr="003A4771">
        <w:trPr>
          <w:jc w:val="center"/>
        </w:trPr>
        <w:tc>
          <w:tcPr>
            <w:tcW w:w="2365" w:type="pct"/>
            <w:vAlign w:val="center"/>
          </w:tcPr>
          <w:p w14:paraId="469A4269" w14:textId="6A75A1C5"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14:paraId="469A426A"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14:paraId="469A426B"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6D" w14:textId="77777777" w:rsidR="00D825E2" w:rsidRPr="0059421B" w:rsidRDefault="00D825E2"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567A04" w:rsidRPr="0059421B" w14:paraId="469A426F" w14:textId="77777777" w:rsidTr="009434E8">
        <w:trPr>
          <w:jc w:val="center"/>
        </w:trPr>
        <w:tc>
          <w:tcPr>
            <w:tcW w:w="5000" w:type="pct"/>
            <w:gridSpan w:val="3"/>
            <w:shd w:val="clear" w:color="auto" w:fill="5B9BD5"/>
            <w:vAlign w:val="center"/>
          </w:tcPr>
          <w:p w14:paraId="469A426E" w14:textId="77777777" w:rsidR="00567A04" w:rsidRPr="0059421B" w:rsidRDefault="00567A04"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273" w14:textId="77777777" w:rsidTr="003A4771">
        <w:trPr>
          <w:jc w:val="center"/>
        </w:trPr>
        <w:tc>
          <w:tcPr>
            <w:tcW w:w="2365" w:type="pct"/>
            <w:shd w:val="clear" w:color="auto" w:fill="5B9BD5"/>
            <w:vAlign w:val="center"/>
          </w:tcPr>
          <w:p w14:paraId="469A427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7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7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78" w14:textId="77777777" w:rsidTr="003A4771">
        <w:trPr>
          <w:jc w:val="center"/>
        </w:trPr>
        <w:tc>
          <w:tcPr>
            <w:tcW w:w="2365" w:type="pct"/>
            <w:vAlign w:val="center"/>
          </w:tcPr>
          <w:p w14:paraId="469A4274" w14:textId="0212FE33"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14:paraId="469A4275" w14:textId="24C9BF5C"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9D5796" w:rsidRPr="0059421B">
              <w:rPr>
                <w:rFonts w:ascii="Arial" w:hAnsi="Arial" w:cs="Arial"/>
                <w:sz w:val="20"/>
                <w:szCs w:val="20"/>
                <w:lang w:val="es-ES"/>
              </w:rPr>
              <w:t xml:space="preserve"> DH</w:t>
            </w:r>
          </w:p>
          <w:p w14:paraId="469A4276" w14:textId="1FFB181A"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7"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7D" w14:textId="77777777" w:rsidTr="003A4771">
        <w:trPr>
          <w:jc w:val="center"/>
        </w:trPr>
        <w:tc>
          <w:tcPr>
            <w:tcW w:w="2365" w:type="pct"/>
            <w:vAlign w:val="center"/>
          </w:tcPr>
          <w:p w14:paraId="469A4279" w14:textId="64650834"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14:paraId="469A427A" w14:textId="6ABEEC55"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 </w:t>
            </w:r>
          </w:p>
          <w:p w14:paraId="469A427B" w14:textId="7ED85231"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14:paraId="469A427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14:paraId="469A4282" w14:textId="77777777" w:rsidTr="003A4771">
        <w:trPr>
          <w:jc w:val="center"/>
        </w:trPr>
        <w:tc>
          <w:tcPr>
            <w:tcW w:w="2365" w:type="pct"/>
            <w:vAlign w:val="center"/>
          </w:tcPr>
          <w:p w14:paraId="469A427E" w14:textId="799D759E"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lastRenderedPageBreak/>
              <w:t>Telmex y Telnor</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002F7002"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14:paraId="469A427F" w14:textId="397D76C2"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9D5796" w:rsidRPr="0059421B">
              <w:rPr>
                <w:rFonts w:ascii="Arial" w:hAnsi="Arial" w:cs="Arial"/>
                <w:sz w:val="20"/>
                <w:szCs w:val="20"/>
                <w:lang w:val="es-ES"/>
              </w:rPr>
              <w:t xml:space="preserve"> DH</w:t>
            </w:r>
          </w:p>
          <w:p w14:paraId="469A4280" w14:textId="15ABE6AE"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firma del Formato de Acuerdo de Compartición de Infraestructura)</w:t>
            </w:r>
          </w:p>
        </w:tc>
        <w:tc>
          <w:tcPr>
            <w:tcW w:w="1091" w:type="pct"/>
            <w:vAlign w:val="center"/>
          </w:tcPr>
          <w:p w14:paraId="469A4281"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5CBDC202" w14:textId="77777777" w:rsidR="006039D9" w:rsidRDefault="006039D9" w:rsidP="006039D9">
      <w:pPr>
        <w:spacing w:before="0" w:after="0" w:line="276" w:lineRule="auto"/>
        <w:jc w:val="left"/>
        <w:rPr>
          <w:rFonts w:ascii="Arial" w:hAnsi="Arial" w:cs="Arial"/>
          <w:sz w:val="20"/>
          <w:szCs w:val="20"/>
        </w:rPr>
      </w:pPr>
    </w:p>
    <w:p w14:paraId="469A4284" w14:textId="76C8AC7A" w:rsidR="006814AD" w:rsidRPr="00A2137E" w:rsidRDefault="006814AD" w:rsidP="006039D9">
      <w:pPr>
        <w:pStyle w:val="Ttulo3"/>
        <w:spacing w:before="0" w:line="276" w:lineRule="auto"/>
        <w:rPr>
          <w:rFonts w:ascii="Arial" w:hAnsi="Arial" w:cs="Arial"/>
          <w:sz w:val="22"/>
          <w:szCs w:val="22"/>
          <w:u w:val="none"/>
        </w:rPr>
      </w:pPr>
      <w:r w:rsidRPr="00A2137E">
        <w:rPr>
          <w:rFonts w:ascii="Arial" w:hAnsi="Arial" w:cs="Arial"/>
          <w:sz w:val="22"/>
          <w:szCs w:val="22"/>
          <w:u w:val="none"/>
        </w:rPr>
        <w:t>2.</w:t>
      </w:r>
      <w:r w:rsidR="00A77409" w:rsidRPr="00A2137E">
        <w:rPr>
          <w:rFonts w:ascii="Arial" w:hAnsi="Arial" w:cs="Arial"/>
          <w:sz w:val="22"/>
          <w:szCs w:val="22"/>
          <w:u w:val="none"/>
        </w:rPr>
        <w:t>3</w:t>
      </w:r>
      <w:r w:rsidRPr="00A2137E">
        <w:rPr>
          <w:rFonts w:ascii="Arial" w:hAnsi="Arial" w:cs="Arial"/>
          <w:sz w:val="22"/>
          <w:szCs w:val="22"/>
          <w:u w:val="none"/>
        </w:rPr>
        <w:t xml:space="preserve"> </w:t>
      </w:r>
      <w:r w:rsidRPr="00A2137E">
        <w:rPr>
          <w:rFonts w:ascii="Arial" w:hAnsi="Arial" w:cs="Arial"/>
          <w:sz w:val="22"/>
          <w:szCs w:val="22"/>
          <w:u w:val="none"/>
        </w:rPr>
        <w:tab/>
        <w:t>Servicio de Uso de Sitios, Predios y Espacios Físicos</w:t>
      </w:r>
    </w:p>
    <w:p w14:paraId="0B8DB7CA" w14:textId="77777777" w:rsidR="006039D9" w:rsidRPr="006039D9" w:rsidRDefault="006039D9" w:rsidP="006039D9">
      <w:pPr>
        <w:spacing w:before="0" w:after="0" w:line="276" w:lineRule="auto"/>
        <w:jc w:val="left"/>
      </w:pPr>
    </w:p>
    <w:p w14:paraId="469A4285" w14:textId="598585BC" w:rsidR="004A595B" w:rsidRDefault="004A595B" w:rsidP="006039D9">
      <w:pPr>
        <w:spacing w:before="0" w:after="0" w:line="276" w:lineRule="auto"/>
        <w:jc w:val="left"/>
        <w:rPr>
          <w:rFonts w:ascii="Arial" w:hAnsi="Arial" w:cs="Arial"/>
          <w:b/>
          <w:sz w:val="20"/>
          <w:szCs w:val="20"/>
          <w:u w:val="single"/>
        </w:rPr>
      </w:pPr>
      <w:r w:rsidRPr="0059421B">
        <w:rPr>
          <w:rFonts w:ascii="Arial" w:hAnsi="Arial" w:cs="Arial"/>
          <w:b/>
          <w:sz w:val="20"/>
          <w:szCs w:val="20"/>
          <w:u w:val="single"/>
        </w:rPr>
        <w:t>Contratación</w:t>
      </w:r>
    </w:p>
    <w:p w14:paraId="72685350" w14:textId="77777777" w:rsidR="006039D9" w:rsidRPr="0059421B" w:rsidRDefault="006039D9" w:rsidP="006039D9">
      <w:pPr>
        <w:spacing w:before="0" w:after="0" w:line="276" w:lineRule="auto"/>
        <w:jc w:val="left"/>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gridCol w:w="2571"/>
        <w:gridCol w:w="1814"/>
      </w:tblGrid>
      <w:tr w:rsidR="004A595B" w:rsidRPr="0059421B" w14:paraId="469A4287" w14:textId="77777777" w:rsidTr="004A595B">
        <w:trPr>
          <w:trHeight w:val="467"/>
          <w:jc w:val="center"/>
        </w:trPr>
        <w:tc>
          <w:tcPr>
            <w:tcW w:w="5000" w:type="pct"/>
            <w:gridSpan w:val="3"/>
            <w:shd w:val="clear" w:color="auto" w:fill="5B9BD5"/>
            <w:vAlign w:val="center"/>
          </w:tcPr>
          <w:p w14:paraId="469A4286"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14:paraId="469A428B" w14:textId="77777777" w:rsidTr="003A4771">
        <w:trPr>
          <w:trHeight w:val="467"/>
          <w:jc w:val="center"/>
        </w:trPr>
        <w:tc>
          <w:tcPr>
            <w:tcW w:w="2365" w:type="pct"/>
            <w:shd w:val="clear" w:color="auto" w:fill="5B9BD5"/>
            <w:vAlign w:val="center"/>
          </w:tcPr>
          <w:p w14:paraId="469A4288"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89"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8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8F" w14:textId="77777777" w:rsidTr="003A4771">
        <w:trPr>
          <w:trHeight w:val="467"/>
          <w:jc w:val="center"/>
        </w:trPr>
        <w:tc>
          <w:tcPr>
            <w:tcW w:w="2365" w:type="pct"/>
            <w:vAlign w:val="center"/>
          </w:tcPr>
          <w:p w14:paraId="469A428C" w14:textId="355D59AF"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contratación.</w:t>
            </w:r>
          </w:p>
        </w:tc>
        <w:tc>
          <w:tcPr>
            <w:tcW w:w="1545" w:type="pct"/>
            <w:vAlign w:val="center"/>
          </w:tcPr>
          <w:p w14:paraId="469A428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14:paraId="469A428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93" w14:textId="77777777" w:rsidTr="003A4771">
        <w:trPr>
          <w:trHeight w:val="467"/>
          <w:jc w:val="center"/>
        </w:trPr>
        <w:tc>
          <w:tcPr>
            <w:tcW w:w="2365" w:type="pct"/>
            <w:vAlign w:val="center"/>
          </w:tcPr>
          <w:p w14:paraId="469A4290" w14:textId="37049B1E"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notifica</w:t>
            </w:r>
            <w:r w:rsidR="00C15150"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14:paraId="6436E4DF" w14:textId="5316C923" w:rsidR="009D5796"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p w14:paraId="469A4291" w14:textId="768400CE" w:rsidR="007C17D7" w:rsidRPr="0059421B" w:rsidRDefault="007C17D7"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Pr="007C17D7">
              <w:rPr>
                <w:rFonts w:ascii="Arial" w:hAnsi="Arial" w:cs="Arial"/>
                <w:sz w:val="20"/>
                <w:szCs w:val="20"/>
                <w:lang w:val="es-ES"/>
              </w:rPr>
              <w:t>ontado a partir de la recepción la solicitud</w:t>
            </w:r>
            <w:r>
              <w:rPr>
                <w:rFonts w:ascii="Arial" w:hAnsi="Arial" w:cs="Arial"/>
                <w:sz w:val="20"/>
                <w:szCs w:val="20"/>
                <w:lang w:val="es-ES"/>
              </w:rPr>
              <w:t>)</w:t>
            </w:r>
          </w:p>
        </w:tc>
        <w:tc>
          <w:tcPr>
            <w:tcW w:w="1091" w:type="pct"/>
            <w:vAlign w:val="center"/>
          </w:tcPr>
          <w:p w14:paraId="469A4292"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94" w14:textId="77777777" w:rsidR="003A4771" w:rsidRPr="0059421B" w:rsidRDefault="003A4771" w:rsidP="006039D9">
      <w:pPr>
        <w:spacing w:before="0" w:after="0" w:line="276" w:lineRule="auto"/>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96" w14:textId="77777777" w:rsidTr="004A595B">
        <w:trPr>
          <w:trHeight w:val="467"/>
          <w:jc w:val="center"/>
        </w:trPr>
        <w:tc>
          <w:tcPr>
            <w:tcW w:w="5000" w:type="pct"/>
            <w:gridSpan w:val="3"/>
            <w:shd w:val="clear" w:color="auto" w:fill="5B9BD5"/>
            <w:vAlign w:val="center"/>
          </w:tcPr>
          <w:p w14:paraId="469A4295"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14:paraId="469A429A" w14:textId="77777777" w:rsidTr="000F7C9D">
        <w:trPr>
          <w:jc w:val="center"/>
        </w:trPr>
        <w:tc>
          <w:tcPr>
            <w:tcW w:w="2364" w:type="pct"/>
            <w:shd w:val="clear" w:color="auto" w:fill="5B9BD5"/>
            <w:vAlign w:val="center"/>
          </w:tcPr>
          <w:p w14:paraId="469A4297"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98"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14:paraId="469A4299"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14:paraId="469A429F" w14:textId="77777777" w:rsidTr="000F7C9D">
        <w:trPr>
          <w:jc w:val="center"/>
        </w:trPr>
        <w:tc>
          <w:tcPr>
            <w:tcW w:w="2364" w:type="pct"/>
            <w:vAlign w:val="center"/>
          </w:tcPr>
          <w:p w14:paraId="469A429B" w14:textId="77777777"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14:paraId="469A429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p>
          <w:p w14:paraId="469A429D" w14:textId="7E0D2B13"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del ingreso de la solicitud del CS</w:t>
            </w:r>
            <w:r w:rsidR="009615EA">
              <w:rPr>
                <w:rFonts w:ascii="Arial" w:hAnsi="Arial" w:cs="Arial"/>
                <w:sz w:val="20"/>
                <w:szCs w:val="20"/>
                <w:lang w:val="es-ES"/>
              </w:rPr>
              <w:t xml:space="preserve"> o AS</w:t>
            </w:r>
            <w:r w:rsidRPr="0059421B">
              <w:rPr>
                <w:rFonts w:ascii="Arial" w:hAnsi="Arial" w:cs="Arial"/>
                <w:sz w:val="20"/>
                <w:szCs w:val="20"/>
                <w:lang w:val="es-ES"/>
              </w:rPr>
              <w:t>)</w:t>
            </w:r>
          </w:p>
        </w:tc>
        <w:tc>
          <w:tcPr>
            <w:tcW w:w="1090" w:type="pct"/>
            <w:vAlign w:val="center"/>
          </w:tcPr>
          <w:p w14:paraId="469A429E"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4" w14:textId="77777777" w:rsidTr="000F7C9D">
        <w:trPr>
          <w:jc w:val="center"/>
        </w:trPr>
        <w:tc>
          <w:tcPr>
            <w:tcW w:w="2364" w:type="pct"/>
            <w:vAlign w:val="center"/>
          </w:tcPr>
          <w:p w14:paraId="469A42A0" w14:textId="3CB2424A"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notifica</w:t>
            </w:r>
            <w:r w:rsidR="00C15150"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14:paraId="469A42A1" w14:textId="00E14CC1"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9D5796" w:rsidRPr="0059421B">
              <w:rPr>
                <w:rFonts w:ascii="Arial" w:hAnsi="Arial" w:cs="Arial"/>
                <w:sz w:val="20"/>
                <w:szCs w:val="20"/>
                <w:lang w:val="es-ES"/>
              </w:rPr>
              <w:t xml:space="preserve"> DH</w:t>
            </w:r>
          </w:p>
          <w:p w14:paraId="469A42A2" w14:textId="57752556"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w:t>
            </w:r>
            <w:r w:rsidR="00CF4B15">
              <w:rPr>
                <w:rFonts w:ascii="Arial" w:hAnsi="Arial" w:cs="Arial"/>
                <w:sz w:val="20"/>
                <w:szCs w:val="20"/>
                <w:lang w:val="es-ES"/>
              </w:rPr>
              <w:t xml:space="preserve"> </w:t>
            </w:r>
            <w:r w:rsidRPr="0059421B">
              <w:rPr>
                <w:rFonts w:ascii="Arial" w:hAnsi="Arial" w:cs="Arial"/>
                <w:sz w:val="20"/>
                <w:szCs w:val="20"/>
                <w:lang w:val="es-ES"/>
              </w:rPr>
              <w:t>l</w:t>
            </w:r>
            <w:r w:rsidR="00CF4B15">
              <w:rPr>
                <w:rFonts w:ascii="Arial" w:hAnsi="Arial" w:cs="Arial"/>
                <w:sz w:val="20"/>
                <w:szCs w:val="20"/>
                <w:lang w:val="es-ES"/>
              </w:rPr>
              <w:t>a</w:t>
            </w:r>
            <w:r w:rsidRPr="0059421B">
              <w:rPr>
                <w:rFonts w:ascii="Arial" w:hAnsi="Arial" w:cs="Arial"/>
                <w:sz w:val="20"/>
                <w:szCs w:val="20"/>
                <w:lang w:val="es-ES"/>
              </w:rPr>
              <w:t xml:space="preserve"> asignación del NIS)</w:t>
            </w:r>
          </w:p>
        </w:tc>
        <w:tc>
          <w:tcPr>
            <w:tcW w:w="1090" w:type="pct"/>
            <w:vAlign w:val="center"/>
          </w:tcPr>
          <w:p w14:paraId="469A42A3"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14:paraId="469A42A9" w14:textId="77777777" w:rsidTr="000F7C9D">
        <w:trPr>
          <w:jc w:val="center"/>
        </w:trPr>
        <w:tc>
          <w:tcPr>
            <w:tcW w:w="2364" w:type="pct"/>
            <w:vAlign w:val="center"/>
          </w:tcPr>
          <w:p w14:paraId="469A42A5" w14:textId="7AFDC5F4" w:rsidR="009D5796" w:rsidRPr="0059421B" w:rsidRDefault="009D5796"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solicita modificación de la propuesta de programación de Visita Técnica. </w:t>
            </w:r>
          </w:p>
        </w:tc>
        <w:tc>
          <w:tcPr>
            <w:tcW w:w="1545" w:type="pct"/>
            <w:vAlign w:val="center"/>
          </w:tcPr>
          <w:p w14:paraId="469A42A6" w14:textId="5E4A4AB9"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Un</w:t>
            </w:r>
            <w:r w:rsidR="0018655C">
              <w:rPr>
                <w:rFonts w:ascii="Arial" w:hAnsi="Arial" w:cs="Arial"/>
                <w:sz w:val="20"/>
                <w:szCs w:val="20"/>
                <w:lang w:val="es-ES"/>
              </w:rPr>
              <w:t xml:space="preserve"> </w:t>
            </w:r>
            <w:r w:rsidR="003E7661" w:rsidRPr="0059421B">
              <w:rPr>
                <w:rFonts w:ascii="Arial" w:hAnsi="Arial" w:cs="Arial"/>
                <w:sz w:val="20"/>
                <w:szCs w:val="20"/>
                <w:lang w:val="es-ES"/>
              </w:rPr>
              <w:t>DH</w:t>
            </w:r>
          </w:p>
          <w:p w14:paraId="469A42A7" w14:textId="0400DA1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0B7EA3">
              <w:rPr>
                <w:rFonts w:ascii="Arial" w:hAnsi="Arial" w:cs="Arial"/>
                <w:sz w:val="20"/>
                <w:szCs w:val="20"/>
                <w:lang w:val="es-ES"/>
              </w:rPr>
              <w:t>Telmex y Telnor</w:t>
            </w:r>
            <w:r w:rsidRPr="0059421B">
              <w:rPr>
                <w:rFonts w:ascii="Arial" w:hAnsi="Arial" w:cs="Arial"/>
                <w:sz w:val="20"/>
                <w:szCs w:val="20"/>
                <w:lang w:val="es-ES"/>
              </w:rPr>
              <w:t>)</w:t>
            </w:r>
          </w:p>
        </w:tc>
        <w:tc>
          <w:tcPr>
            <w:tcW w:w="1090" w:type="pct"/>
            <w:vAlign w:val="center"/>
          </w:tcPr>
          <w:p w14:paraId="469A42A8"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14:paraId="469A42AE" w14:textId="77777777" w:rsidTr="000F7C9D">
        <w:trPr>
          <w:jc w:val="center"/>
        </w:trPr>
        <w:tc>
          <w:tcPr>
            <w:tcW w:w="2364" w:type="pct"/>
            <w:vAlign w:val="center"/>
          </w:tcPr>
          <w:p w14:paraId="469A42AA" w14:textId="74A4FEEC" w:rsidR="009D5796"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9D5796" w:rsidRPr="0059421B">
              <w:rPr>
                <w:rFonts w:ascii="Arial" w:hAnsi="Arial" w:cs="Arial"/>
                <w:sz w:val="20"/>
                <w:szCs w:val="20"/>
                <w:lang w:val="es-ES"/>
              </w:rPr>
              <w:t xml:space="preserve"> digitaliza</w:t>
            </w:r>
            <w:r w:rsidR="00C15150"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00C15150"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14:paraId="469A42AB" w14:textId="18546AD0" w:rsidR="009D5796"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18655C">
              <w:rPr>
                <w:rFonts w:ascii="Arial" w:hAnsi="Arial" w:cs="Arial"/>
                <w:sz w:val="20"/>
                <w:szCs w:val="20"/>
                <w:lang w:val="es-ES"/>
              </w:rPr>
              <w:t xml:space="preserve"> </w:t>
            </w:r>
            <w:r w:rsidR="009D5796" w:rsidRPr="0059421B">
              <w:rPr>
                <w:rFonts w:ascii="Arial" w:hAnsi="Arial" w:cs="Arial"/>
                <w:sz w:val="20"/>
                <w:szCs w:val="20"/>
                <w:lang w:val="es-ES"/>
              </w:rPr>
              <w:t>DH</w:t>
            </w:r>
            <w:r w:rsidR="009D5796" w:rsidRPr="0059421B">
              <w:rPr>
                <w:rStyle w:val="Refdenotaalpie"/>
                <w:rFonts w:ascii="Arial" w:hAnsi="Arial" w:cs="Arial"/>
                <w:sz w:val="20"/>
                <w:szCs w:val="20"/>
                <w:lang w:val="es-ES"/>
              </w:rPr>
              <w:footnoteReference w:id="4"/>
            </w:r>
          </w:p>
          <w:p w14:paraId="469A42AC"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(Contados a partir de la realización de la Visita Técnica)</w:t>
            </w:r>
          </w:p>
        </w:tc>
        <w:tc>
          <w:tcPr>
            <w:tcW w:w="1090" w:type="pct"/>
            <w:vAlign w:val="center"/>
          </w:tcPr>
          <w:p w14:paraId="469A42AD" w14:textId="77777777" w:rsidR="009D5796" w:rsidRPr="0059421B" w:rsidRDefault="009D5796"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469A42AF" w14:textId="77777777" w:rsidR="000F7C9D" w:rsidRDefault="000F7C9D" w:rsidP="006039D9">
      <w:pPr>
        <w:spacing w:before="0" w:after="0" w:line="276" w:lineRule="auto"/>
        <w:rPr>
          <w:rFonts w:ascii="Arial" w:hAnsi="Arial" w:cs="Arial"/>
          <w:sz w:val="8"/>
        </w:rPr>
      </w:pPr>
    </w:p>
    <w:p w14:paraId="0B9E3F5A" w14:textId="77777777" w:rsidR="00A2137E" w:rsidRDefault="00A2137E" w:rsidP="006039D9">
      <w:pPr>
        <w:spacing w:before="0" w:after="0" w:line="276" w:lineRule="auto"/>
        <w:rPr>
          <w:rFonts w:ascii="Arial" w:hAnsi="Arial" w:cs="Arial"/>
          <w:sz w:val="8"/>
        </w:rPr>
      </w:pPr>
    </w:p>
    <w:p w14:paraId="4DFA53D1" w14:textId="77777777" w:rsidR="00A2137E" w:rsidRDefault="00A2137E" w:rsidP="006039D9">
      <w:pPr>
        <w:spacing w:before="0" w:after="0" w:line="276" w:lineRule="auto"/>
        <w:rPr>
          <w:rFonts w:ascii="Arial" w:hAnsi="Arial" w:cs="Arial"/>
          <w:sz w:val="8"/>
        </w:rPr>
      </w:pPr>
    </w:p>
    <w:p w14:paraId="7E9AD8AC" w14:textId="77777777" w:rsidR="00A2137E" w:rsidRDefault="00A2137E" w:rsidP="006039D9">
      <w:pPr>
        <w:spacing w:before="0" w:after="0" w:line="276" w:lineRule="auto"/>
        <w:rPr>
          <w:rFonts w:ascii="Arial" w:hAnsi="Arial" w:cs="Arial"/>
          <w:sz w:val="8"/>
        </w:rPr>
      </w:pPr>
    </w:p>
    <w:p w14:paraId="1B9B4D07" w14:textId="77777777" w:rsidR="00A2137E" w:rsidRDefault="00A2137E" w:rsidP="006039D9">
      <w:pPr>
        <w:spacing w:before="0" w:after="0" w:line="276" w:lineRule="auto"/>
        <w:rPr>
          <w:rFonts w:ascii="Arial" w:hAnsi="Arial" w:cs="Arial"/>
          <w:sz w:val="8"/>
        </w:rPr>
      </w:pPr>
    </w:p>
    <w:p w14:paraId="43D5C9A6" w14:textId="77777777" w:rsidR="00A2137E" w:rsidRDefault="00A2137E" w:rsidP="006039D9">
      <w:pPr>
        <w:spacing w:before="0" w:after="0" w:line="276" w:lineRule="auto"/>
        <w:rPr>
          <w:rFonts w:ascii="Arial" w:hAnsi="Arial" w:cs="Arial"/>
          <w:sz w:val="8"/>
        </w:rPr>
      </w:pPr>
    </w:p>
    <w:p w14:paraId="20D39DEB" w14:textId="77777777" w:rsidR="00A2137E" w:rsidRDefault="00A2137E" w:rsidP="006039D9">
      <w:pPr>
        <w:spacing w:before="0" w:after="0" w:line="276" w:lineRule="auto"/>
        <w:rPr>
          <w:rFonts w:ascii="Arial" w:hAnsi="Arial" w:cs="Arial"/>
          <w:sz w:val="8"/>
        </w:rPr>
      </w:pPr>
    </w:p>
    <w:p w14:paraId="3D5212A4" w14:textId="77777777" w:rsidR="00A2137E" w:rsidRDefault="00A2137E" w:rsidP="006039D9">
      <w:pPr>
        <w:spacing w:before="0" w:after="0" w:line="276" w:lineRule="auto"/>
        <w:rPr>
          <w:rFonts w:ascii="Arial" w:hAnsi="Arial" w:cs="Arial"/>
          <w:sz w:val="8"/>
        </w:rPr>
      </w:pPr>
    </w:p>
    <w:p w14:paraId="306F979D" w14:textId="77777777" w:rsidR="00A2137E" w:rsidRPr="009615EA" w:rsidRDefault="00A2137E"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1" w14:textId="77777777" w:rsidTr="004A595B">
        <w:trPr>
          <w:jc w:val="center"/>
        </w:trPr>
        <w:tc>
          <w:tcPr>
            <w:tcW w:w="5000" w:type="pct"/>
            <w:gridSpan w:val="3"/>
            <w:shd w:val="clear" w:color="auto" w:fill="5B9BD5"/>
            <w:vAlign w:val="center"/>
          </w:tcPr>
          <w:p w14:paraId="469A42B0"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14:paraId="469A42B5" w14:textId="77777777" w:rsidTr="000F7C9D">
        <w:trPr>
          <w:jc w:val="center"/>
        </w:trPr>
        <w:tc>
          <w:tcPr>
            <w:tcW w:w="2364" w:type="pct"/>
            <w:shd w:val="clear" w:color="auto" w:fill="5B9BD5"/>
            <w:vAlign w:val="center"/>
          </w:tcPr>
          <w:p w14:paraId="469A42B2"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B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B4"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BA" w14:textId="77777777" w:rsidTr="000F7C9D">
        <w:trPr>
          <w:jc w:val="center"/>
        </w:trPr>
        <w:tc>
          <w:tcPr>
            <w:tcW w:w="2364" w:type="pct"/>
            <w:vAlign w:val="center"/>
          </w:tcPr>
          <w:p w14:paraId="469A42B6" w14:textId="64B4F1A1"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lastRenderedPageBreak/>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Anteproyecto.</w:t>
            </w:r>
          </w:p>
        </w:tc>
        <w:tc>
          <w:tcPr>
            <w:tcW w:w="1545" w:type="pct"/>
            <w:vAlign w:val="center"/>
          </w:tcPr>
          <w:p w14:paraId="469A42B7" w14:textId="0EFE45F8"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14:paraId="469A42B8" w14:textId="63A05CE4"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entrega del resultado de la Visita Técnica)</w:t>
            </w:r>
          </w:p>
        </w:tc>
        <w:tc>
          <w:tcPr>
            <w:tcW w:w="1091" w:type="pct"/>
            <w:vAlign w:val="center"/>
          </w:tcPr>
          <w:p w14:paraId="469A42B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2BB" w14:textId="733E594B" w:rsidR="000F7C9D" w:rsidRDefault="000F7C9D" w:rsidP="006039D9">
      <w:pPr>
        <w:spacing w:before="0" w:after="0" w:line="276" w:lineRule="auto"/>
        <w:rPr>
          <w:rFonts w:ascii="Arial" w:hAnsi="Arial" w:cs="Arial"/>
          <w:sz w:val="8"/>
        </w:rPr>
      </w:pPr>
    </w:p>
    <w:p w14:paraId="39F49572" w14:textId="488A6826" w:rsidR="00806A2F" w:rsidRDefault="00806A2F" w:rsidP="006039D9">
      <w:pPr>
        <w:spacing w:before="0" w:after="0" w:line="276" w:lineRule="auto"/>
        <w:rPr>
          <w:rFonts w:ascii="Arial" w:hAnsi="Arial" w:cs="Arial"/>
          <w:sz w:val="8"/>
        </w:rPr>
      </w:pPr>
    </w:p>
    <w:p w14:paraId="00CA5A2B" w14:textId="77777777" w:rsidR="00806A2F" w:rsidRPr="009615EA" w:rsidRDefault="00806A2F" w:rsidP="006039D9">
      <w:pPr>
        <w:spacing w:before="0" w:after="0" w:line="276" w:lineRule="auto"/>
        <w:rPr>
          <w:rFonts w:ascii="Arial" w:hAnsi="Arial" w:cs="Arial"/>
          <w:sz w:val="8"/>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4A595B" w:rsidRPr="0059421B" w14:paraId="469A42BD" w14:textId="77777777" w:rsidTr="004A595B">
        <w:trPr>
          <w:jc w:val="center"/>
        </w:trPr>
        <w:tc>
          <w:tcPr>
            <w:tcW w:w="5000" w:type="pct"/>
            <w:gridSpan w:val="3"/>
            <w:shd w:val="clear" w:color="auto" w:fill="5B9BD5"/>
            <w:vAlign w:val="center"/>
          </w:tcPr>
          <w:p w14:paraId="469A42B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14:paraId="469A42C1" w14:textId="77777777" w:rsidTr="00806A2F">
        <w:trPr>
          <w:jc w:val="center"/>
        </w:trPr>
        <w:tc>
          <w:tcPr>
            <w:tcW w:w="2364" w:type="pct"/>
            <w:tcBorders>
              <w:bottom w:val="single" w:sz="4" w:space="0" w:color="auto"/>
            </w:tcBorders>
            <w:shd w:val="clear" w:color="auto" w:fill="5B9BD5"/>
            <w:vAlign w:val="center"/>
          </w:tcPr>
          <w:p w14:paraId="469A42BE"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B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C0"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C6" w14:textId="77777777" w:rsidTr="00806A2F">
        <w:trPr>
          <w:jc w:val="center"/>
        </w:trPr>
        <w:tc>
          <w:tcPr>
            <w:tcW w:w="2364" w:type="pct"/>
            <w:tcBorders>
              <w:bottom w:val="single" w:sz="4" w:space="0" w:color="auto"/>
            </w:tcBorders>
            <w:vAlign w:val="center"/>
          </w:tcPr>
          <w:p w14:paraId="469A42C2" w14:textId="5341DFE5" w:rsidR="004A595B"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2839FC" w:rsidRPr="0059421B">
              <w:rPr>
                <w:rFonts w:ascii="Arial" w:hAnsi="Arial" w:cs="Arial"/>
                <w:sz w:val="20"/>
                <w:szCs w:val="20"/>
                <w:lang w:val="es-ES"/>
              </w:rPr>
              <w:t xml:space="preserve"> notifica</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00C15150" w:rsidRPr="0059421B">
              <w:rPr>
                <w:rFonts w:ascii="Arial" w:hAnsi="Arial" w:cs="Arial"/>
                <w:sz w:val="20"/>
                <w:szCs w:val="20"/>
                <w:lang w:val="es-ES"/>
              </w:rPr>
              <w:t xml:space="preserve">o AS </w:t>
            </w:r>
            <w:r w:rsidR="002839FC" w:rsidRPr="0059421B">
              <w:rPr>
                <w:rFonts w:ascii="Arial" w:hAnsi="Arial" w:cs="Arial"/>
                <w:sz w:val="20"/>
                <w:szCs w:val="20"/>
                <w:lang w:val="es-ES"/>
              </w:rPr>
              <w:t>el resultado del Análisis de Factibilidad.</w:t>
            </w:r>
          </w:p>
        </w:tc>
        <w:tc>
          <w:tcPr>
            <w:tcW w:w="1545" w:type="pct"/>
            <w:tcBorders>
              <w:bottom w:val="single" w:sz="4" w:space="0" w:color="auto"/>
            </w:tcBorders>
            <w:vAlign w:val="center"/>
          </w:tcPr>
          <w:p w14:paraId="469A42C3" w14:textId="799272B8" w:rsidR="004A595B"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Cinco</w:t>
            </w:r>
            <w:r w:rsidR="0018655C">
              <w:rPr>
                <w:rFonts w:ascii="Arial" w:hAnsi="Arial" w:cs="Arial"/>
                <w:sz w:val="20"/>
                <w:szCs w:val="20"/>
                <w:lang w:val="es-ES"/>
              </w:rPr>
              <w:t xml:space="preserve"> </w:t>
            </w:r>
            <w:r w:rsidR="004A595B" w:rsidRPr="0059421B">
              <w:rPr>
                <w:rFonts w:ascii="Arial" w:hAnsi="Arial" w:cs="Arial"/>
                <w:sz w:val="20"/>
                <w:szCs w:val="20"/>
                <w:lang w:val="es-ES"/>
              </w:rPr>
              <w:t>DH</w:t>
            </w:r>
          </w:p>
          <w:p w14:paraId="469A42C4" w14:textId="1A188041" w:rsidR="004A595B"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004A595B"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004A595B" w:rsidRPr="0059421B">
              <w:rPr>
                <w:rFonts w:ascii="Arial" w:hAnsi="Arial" w:cs="Arial"/>
                <w:sz w:val="20"/>
                <w:szCs w:val="20"/>
                <w:lang w:val="es-ES"/>
              </w:rPr>
              <w:t xml:space="preserve"> entregue el Anteproyecto)</w:t>
            </w:r>
          </w:p>
        </w:tc>
        <w:tc>
          <w:tcPr>
            <w:tcW w:w="1091" w:type="pct"/>
            <w:tcBorders>
              <w:bottom w:val="single" w:sz="4" w:space="0" w:color="auto"/>
            </w:tcBorders>
            <w:vAlign w:val="center"/>
          </w:tcPr>
          <w:p w14:paraId="469A42C5"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806A2F" w:rsidRPr="0059421B" w14:paraId="76B24AEB" w14:textId="77777777" w:rsidTr="00806A2F">
        <w:trPr>
          <w:jc w:val="center"/>
        </w:trPr>
        <w:tc>
          <w:tcPr>
            <w:tcW w:w="2364" w:type="pct"/>
            <w:tcBorders>
              <w:top w:val="single" w:sz="4" w:space="0" w:color="auto"/>
              <w:left w:val="nil"/>
              <w:bottom w:val="single" w:sz="4" w:space="0" w:color="auto"/>
              <w:right w:val="nil"/>
            </w:tcBorders>
            <w:vAlign w:val="center"/>
          </w:tcPr>
          <w:p w14:paraId="48D3FE1E" w14:textId="35A68A5E" w:rsidR="00806A2F" w:rsidRPr="0059421B" w:rsidRDefault="00806A2F" w:rsidP="006039D9">
            <w:pPr>
              <w:suppressAutoHyphens/>
              <w:spacing w:before="0" w:after="0" w:line="276" w:lineRule="auto"/>
              <w:contextualSpacing/>
              <w:jc w:val="left"/>
              <w:rPr>
                <w:rFonts w:ascii="Arial" w:hAnsi="Arial" w:cs="Arial"/>
                <w:sz w:val="20"/>
                <w:szCs w:val="20"/>
                <w:lang w:val="es-ES"/>
              </w:rPr>
            </w:pPr>
          </w:p>
        </w:tc>
        <w:tc>
          <w:tcPr>
            <w:tcW w:w="1545" w:type="pct"/>
            <w:tcBorders>
              <w:top w:val="single" w:sz="4" w:space="0" w:color="auto"/>
              <w:left w:val="nil"/>
              <w:bottom w:val="single" w:sz="4" w:space="0" w:color="auto"/>
              <w:right w:val="nil"/>
            </w:tcBorders>
            <w:vAlign w:val="center"/>
          </w:tcPr>
          <w:p w14:paraId="07C894B3"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c>
          <w:tcPr>
            <w:tcW w:w="1091" w:type="pct"/>
            <w:tcBorders>
              <w:top w:val="single" w:sz="4" w:space="0" w:color="auto"/>
              <w:left w:val="nil"/>
              <w:bottom w:val="single" w:sz="4" w:space="0" w:color="auto"/>
              <w:right w:val="nil"/>
            </w:tcBorders>
            <w:vAlign w:val="center"/>
          </w:tcPr>
          <w:p w14:paraId="34FD5BAA" w14:textId="77777777" w:rsidR="00806A2F" w:rsidRPr="0059421B" w:rsidRDefault="00806A2F" w:rsidP="006039D9">
            <w:pPr>
              <w:suppressAutoHyphens/>
              <w:spacing w:before="0" w:after="0" w:line="276" w:lineRule="auto"/>
              <w:contextualSpacing/>
              <w:jc w:val="center"/>
              <w:rPr>
                <w:rFonts w:ascii="Arial" w:hAnsi="Arial" w:cs="Arial"/>
                <w:sz w:val="20"/>
                <w:szCs w:val="20"/>
                <w:lang w:val="es-ES"/>
              </w:rPr>
            </w:pPr>
          </w:p>
        </w:tc>
      </w:tr>
      <w:tr w:rsidR="004A595B" w:rsidRPr="0059421B" w14:paraId="469A42C9" w14:textId="77777777" w:rsidTr="00806A2F">
        <w:trPr>
          <w:jc w:val="center"/>
        </w:trPr>
        <w:tc>
          <w:tcPr>
            <w:tcW w:w="5000" w:type="pct"/>
            <w:gridSpan w:val="3"/>
            <w:tcBorders>
              <w:top w:val="single" w:sz="4" w:space="0" w:color="auto"/>
            </w:tcBorders>
            <w:shd w:val="clear" w:color="auto" w:fill="5B9BD5"/>
            <w:vAlign w:val="center"/>
          </w:tcPr>
          <w:p w14:paraId="469A42C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14:paraId="469A42CD" w14:textId="77777777" w:rsidTr="000F7C9D">
        <w:trPr>
          <w:jc w:val="center"/>
        </w:trPr>
        <w:tc>
          <w:tcPr>
            <w:tcW w:w="2364" w:type="pct"/>
            <w:shd w:val="clear" w:color="auto" w:fill="5B9BD5"/>
            <w:vAlign w:val="center"/>
          </w:tcPr>
          <w:p w14:paraId="469A42CA"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14:paraId="469A42C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14:paraId="469A42CC"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14:paraId="469A42D1" w14:textId="77777777" w:rsidTr="000F7C9D">
        <w:trPr>
          <w:jc w:val="center"/>
        </w:trPr>
        <w:tc>
          <w:tcPr>
            <w:tcW w:w="2364" w:type="pct"/>
            <w:vAlign w:val="center"/>
          </w:tcPr>
          <w:p w14:paraId="469A42CE" w14:textId="0496A30D"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inicia la Instalación de Infraestructura.</w:t>
            </w:r>
          </w:p>
        </w:tc>
        <w:tc>
          <w:tcPr>
            <w:tcW w:w="1545" w:type="pct"/>
            <w:vAlign w:val="center"/>
          </w:tcPr>
          <w:p w14:paraId="469A42C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14:paraId="469A42D0"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6" w14:textId="77777777" w:rsidTr="000F7C9D">
        <w:trPr>
          <w:jc w:val="center"/>
        </w:trPr>
        <w:tc>
          <w:tcPr>
            <w:tcW w:w="2364" w:type="pct"/>
            <w:vAlign w:val="center"/>
          </w:tcPr>
          <w:p w14:paraId="469A42D2" w14:textId="136A8F2B" w:rsidR="002839FC" w:rsidRPr="0059421B" w:rsidRDefault="002839FC"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envía las fechas de inicio y conclusión de los trabajos de Instalación de Infraestructura.</w:t>
            </w:r>
          </w:p>
        </w:tc>
        <w:tc>
          <w:tcPr>
            <w:tcW w:w="1545" w:type="pct"/>
            <w:vAlign w:val="center"/>
          </w:tcPr>
          <w:p w14:paraId="469A42D3" w14:textId="0247EFCA"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2839FC" w:rsidRPr="0059421B">
              <w:rPr>
                <w:rFonts w:ascii="Arial" w:hAnsi="Arial" w:cs="Arial"/>
                <w:sz w:val="20"/>
                <w:szCs w:val="20"/>
                <w:lang w:val="es-ES"/>
              </w:rPr>
              <w:t xml:space="preserve"> DH</w:t>
            </w:r>
          </w:p>
          <w:p w14:paraId="469A42D4" w14:textId="38FD06E5"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notificación del Análisis de Factibilidad)</w:t>
            </w:r>
          </w:p>
        </w:tc>
        <w:tc>
          <w:tcPr>
            <w:tcW w:w="1091" w:type="pct"/>
            <w:vAlign w:val="center"/>
          </w:tcPr>
          <w:p w14:paraId="469A42D5"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14:paraId="469A42DB" w14:textId="77777777" w:rsidTr="000F7C9D">
        <w:trPr>
          <w:jc w:val="center"/>
        </w:trPr>
        <w:tc>
          <w:tcPr>
            <w:tcW w:w="2364" w:type="pct"/>
            <w:vAlign w:val="center"/>
          </w:tcPr>
          <w:p w14:paraId="469A42D7" w14:textId="35B09D5E" w:rsidR="002839FC"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2839FC" w:rsidRPr="0059421B">
              <w:rPr>
                <w:rFonts w:ascii="Arial" w:hAnsi="Arial" w:cs="Arial"/>
                <w:sz w:val="20"/>
                <w:szCs w:val="20"/>
                <w:lang w:val="es-ES"/>
              </w:rPr>
              <w:t xml:space="preserve"> acordará</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14:paraId="469A42D8" w14:textId="1CC6BE13"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Diez</w:t>
            </w:r>
            <w:r w:rsidR="0018655C">
              <w:rPr>
                <w:rFonts w:ascii="Arial" w:hAnsi="Arial" w:cs="Arial"/>
                <w:sz w:val="20"/>
                <w:szCs w:val="20"/>
                <w:lang w:val="es-ES"/>
              </w:rPr>
              <w:t xml:space="preserve"> </w:t>
            </w:r>
            <w:r w:rsidR="002839FC" w:rsidRPr="0059421B">
              <w:rPr>
                <w:rFonts w:ascii="Arial" w:hAnsi="Arial" w:cs="Arial"/>
                <w:sz w:val="20"/>
                <w:szCs w:val="20"/>
                <w:lang w:val="es-ES"/>
              </w:rPr>
              <w:t>DH</w:t>
            </w:r>
          </w:p>
          <w:p w14:paraId="469A42D9" w14:textId="5DFE4B64"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fechas para la Instalación de Infraestructura)</w:t>
            </w:r>
          </w:p>
        </w:tc>
        <w:tc>
          <w:tcPr>
            <w:tcW w:w="1091" w:type="pct"/>
            <w:vAlign w:val="center"/>
          </w:tcPr>
          <w:p w14:paraId="469A42DA"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14:paraId="469A42E0" w14:textId="77777777" w:rsidTr="000F7C9D">
        <w:trPr>
          <w:jc w:val="center"/>
        </w:trPr>
        <w:tc>
          <w:tcPr>
            <w:tcW w:w="2364" w:type="pct"/>
            <w:vAlign w:val="center"/>
          </w:tcPr>
          <w:p w14:paraId="469A42DC" w14:textId="6FD52CBF" w:rsidR="002839FC"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2839FC" w:rsidRPr="0059421B">
              <w:rPr>
                <w:rFonts w:ascii="Arial" w:hAnsi="Arial" w:cs="Arial"/>
                <w:sz w:val="20"/>
                <w:szCs w:val="20"/>
                <w:lang w:val="es-ES"/>
              </w:rPr>
              <w:t xml:space="preserve"> acepta</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00C15150"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00C15150"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14:paraId="469A42DD" w14:textId="0F76A065" w:rsidR="002839FC" w:rsidRPr="0059421B" w:rsidRDefault="00F051BD"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Tres</w:t>
            </w:r>
            <w:r w:rsidR="002839FC" w:rsidRPr="0059421B">
              <w:rPr>
                <w:rFonts w:ascii="Arial" w:hAnsi="Arial" w:cs="Arial"/>
                <w:sz w:val="20"/>
                <w:szCs w:val="20"/>
                <w:lang w:val="es-ES"/>
              </w:rPr>
              <w:t xml:space="preserve"> DH</w:t>
            </w:r>
          </w:p>
          <w:p w14:paraId="469A42DE" w14:textId="1E537B0D" w:rsidR="002839FC" w:rsidRPr="0059421B" w:rsidRDefault="00DA34B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002839FC" w:rsidRPr="0059421B">
              <w:rPr>
                <w:rFonts w:ascii="Arial" w:hAnsi="Arial" w:cs="Arial"/>
                <w:sz w:val="20"/>
                <w:szCs w:val="20"/>
                <w:lang w:val="es-ES"/>
              </w:rPr>
              <w:t xml:space="preserve"> partir de la recepción de la propuesta de inicio de los trabajos de Instalación de Infraestructura)</w:t>
            </w:r>
          </w:p>
        </w:tc>
        <w:tc>
          <w:tcPr>
            <w:tcW w:w="1091" w:type="pct"/>
            <w:vAlign w:val="center"/>
          </w:tcPr>
          <w:p w14:paraId="469A42DF" w14:textId="77777777" w:rsidR="002839FC" w:rsidRPr="0059421B" w:rsidRDefault="002839FC"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E1" w14:textId="77777777" w:rsidR="00BC4093" w:rsidRPr="0059421B" w:rsidRDefault="00BC4093"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BC4093" w:rsidRPr="0059421B" w14:paraId="469A42E3" w14:textId="77777777" w:rsidTr="00535492">
        <w:trPr>
          <w:jc w:val="center"/>
        </w:trPr>
        <w:tc>
          <w:tcPr>
            <w:tcW w:w="5000" w:type="pct"/>
            <w:gridSpan w:val="3"/>
            <w:shd w:val="clear" w:color="auto" w:fill="5B9BD5"/>
            <w:vAlign w:val="center"/>
          </w:tcPr>
          <w:p w14:paraId="469A42E2"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14:paraId="469A42E7" w14:textId="77777777" w:rsidTr="000F7C9D">
        <w:trPr>
          <w:jc w:val="center"/>
        </w:trPr>
        <w:tc>
          <w:tcPr>
            <w:tcW w:w="2364" w:type="pct"/>
            <w:tcBorders>
              <w:bottom w:val="single" w:sz="4" w:space="0" w:color="auto"/>
            </w:tcBorders>
            <w:shd w:val="clear" w:color="auto" w:fill="5B9BD5"/>
            <w:vAlign w:val="center"/>
          </w:tcPr>
          <w:p w14:paraId="469A42E4" w14:textId="77777777" w:rsidR="00BC4093" w:rsidRPr="0059421B" w:rsidRDefault="00BC409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469A42E5"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469A42E6" w14:textId="77777777" w:rsidR="00BC4093" w:rsidRPr="0059421B" w:rsidRDefault="00BC409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14:paraId="469A42EC" w14:textId="77777777"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469A42E8" w14:textId="410E419A" w:rsidR="00C15150" w:rsidRPr="0059421B" w:rsidRDefault="000B7EA3" w:rsidP="006039D9">
            <w:pPr>
              <w:suppressAutoHyphens/>
              <w:spacing w:before="0" w:after="0" w:line="276" w:lineRule="auto"/>
              <w:contextualSpacing/>
              <w:jc w:val="left"/>
              <w:rPr>
                <w:rFonts w:ascii="Arial" w:hAnsi="Arial" w:cs="Arial"/>
                <w:color w:val="000000" w:themeColor="text1"/>
                <w:sz w:val="20"/>
                <w:szCs w:val="20"/>
                <w:lang w:val="es-ES"/>
              </w:rPr>
            </w:pPr>
            <w:r>
              <w:rPr>
                <w:rFonts w:ascii="Arial" w:hAnsi="Arial" w:cs="Arial"/>
                <w:color w:val="000000" w:themeColor="text1"/>
                <w:sz w:val="20"/>
                <w:szCs w:val="20"/>
                <w:lang w:val="es-ES"/>
              </w:rPr>
              <w:t>Telmex y Telnor</w:t>
            </w:r>
            <w:r w:rsidR="00C15150" w:rsidRPr="0059421B">
              <w:rPr>
                <w:rFonts w:ascii="Arial" w:hAnsi="Arial" w:cs="Arial"/>
                <w:color w:val="000000" w:themeColor="text1"/>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469A42E9" w14:textId="54F403BA" w:rsidR="00C15150" w:rsidRPr="0059421B" w:rsidRDefault="00F051BD" w:rsidP="006039D9">
            <w:pPr>
              <w:suppressAutoHyphens/>
              <w:spacing w:before="0" w:after="0" w:line="276" w:lineRule="auto"/>
              <w:contextualSpacing/>
              <w:jc w:val="center"/>
              <w:rPr>
                <w:rFonts w:ascii="Arial" w:hAnsi="Arial" w:cs="Arial"/>
                <w:color w:val="000000" w:themeColor="text1"/>
                <w:sz w:val="20"/>
                <w:szCs w:val="20"/>
                <w:lang w:val="es-ES"/>
              </w:rPr>
            </w:pPr>
            <w:r>
              <w:rPr>
                <w:rFonts w:ascii="Arial" w:hAnsi="Arial" w:cs="Arial"/>
                <w:color w:val="000000" w:themeColor="text1"/>
                <w:sz w:val="20"/>
                <w:szCs w:val="20"/>
                <w:lang w:val="es-ES"/>
              </w:rPr>
              <w:t>Cinco</w:t>
            </w:r>
            <w:r w:rsidR="0018655C">
              <w:rPr>
                <w:rFonts w:ascii="Arial" w:hAnsi="Arial" w:cs="Arial"/>
                <w:color w:val="000000" w:themeColor="text1"/>
                <w:sz w:val="20"/>
                <w:szCs w:val="20"/>
                <w:lang w:val="es-ES"/>
              </w:rPr>
              <w:t xml:space="preserve"> </w:t>
            </w:r>
            <w:r w:rsidR="00C15150" w:rsidRPr="0059421B">
              <w:rPr>
                <w:rFonts w:ascii="Arial" w:hAnsi="Arial" w:cs="Arial"/>
                <w:color w:val="000000" w:themeColor="text1"/>
                <w:sz w:val="20"/>
                <w:szCs w:val="20"/>
                <w:lang w:val="es-ES"/>
              </w:rPr>
              <w:t>DH</w:t>
            </w:r>
          </w:p>
          <w:p w14:paraId="469A42EA" w14:textId="03A46A42"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w:t>
            </w:r>
            <w:r w:rsidR="005A7B33">
              <w:rPr>
                <w:rFonts w:ascii="Arial" w:hAnsi="Arial" w:cs="Arial"/>
                <w:color w:val="000000" w:themeColor="text1"/>
                <w:sz w:val="20"/>
                <w:szCs w:val="20"/>
                <w:lang w:val="es-ES"/>
              </w:rPr>
              <w:t>Contados a</w:t>
            </w:r>
            <w:r w:rsidRPr="0059421B">
              <w:rPr>
                <w:rFonts w:ascii="Arial" w:hAnsi="Arial" w:cs="Arial"/>
                <w:color w:val="000000" w:themeColor="text1"/>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469A42EB" w14:textId="77777777" w:rsidR="00C15150" w:rsidRPr="0059421B" w:rsidRDefault="00C15150" w:rsidP="006039D9">
            <w:pPr>
              <w:suppressAutoHyphens/>
              <w:spacing w:before="0" w:after="0" w:line="276"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14:paraId="469A42ED" w14:textId="63E0ED6B" w:rsidR="0059421B" w:rsidRDefault="0059421B" w:rsidP="006039D9">
      <w:pPr>
        <w:spacing w:before="0" w:after="0" w:line="276" w:lineRule="auto"/>
        <w:rPr>
          <w:rFonts w:ascii="Arial" w:hAnsi="Arial" w:cs="Arial"/>
          <w:b/>
          <w:sz w:val="20"/>
          <w:szCs w:val="20"/>
          <w:u w:val="single"/>
        </w:rPr>
      </w:pPr>
    </w:p>
    <w:p w14:paraId="469A42EE" w14:textId="746C3DBA"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Modificación</w:t>
      </w:r>
    </w:p>
    <w:p w14:paraId="7788FC7B" w14:textId="77777777" w:rsidR="00806A2F" w:rsidRPr="0059421B"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2F0" w14:textId="77777777" w:rsidTr="009434E8">
        <w:trPr>
          <w:trHeight w:val="467"/>
          <w:jc w:val="center"/>
        </w:trPr>
        <w:tc>
          <w:tcPr>
            <w:tcW w:w="5000" w:type="pct"/>
            <w:gridSpan w:val="3"/>
            <w:shd w:val="clear" w:color="auto" w:fill="5B9BD5"/>
            <w:vAlign w:val="center"/>
          </w:tcPr>
          <w:p w14:paraId="469A42E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1: Envío y validación de la solicitud</w:t>
            </w:r>
          </w:p>
        </w:tc>
      </w:tr>
      <w:tr w:rsidR="0028148B" w:rsidRPr="0059421B" w14:paraId="469A42F4" w14:textId="77777777" w:rsidTr="009434E8">
        <w:trPr>
          <w:trHeight w:val="467"/>
          <w:jc w:val="center"/>
        </w:trPr>
        <w:tc>
          <w:tcPr>
            <w:tcW w:w="2402" w:type="pct"/>
            <w:shd w:val="clear" w:color="auto" w:fill="5B9BD5"/>
            <w:vAlign w:val="center"/>
          </w:tcPr>
          <w:p w14:paraId="469A42F1"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2F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2F3"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2F8" w14:textId="77777777" w:rsidTr="009434E8">
        <w:trPr>
          <w:trHeight w:val="467"/>
          <w:jc w:val="center"/>
        </w:trPr>
        <w:tc>
          <w:tcPr>
            <w:tcW w:w="2402" w:type="pct"/>
            <w:tcBorders>
              <w:bottom w:val="single" w:sz="4" w:space="0" w:color="auto"/>
            </w:tcBorders>
            <w:vAlign w:val="center"/>
          </w:tcPr>
          <w:p w14:paraId="469A42F5" w14:textId="15AB0E66"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14:paraId="469A42F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2F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14:paraId="469A42FD"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2F9" w14:textId="704E98BD" w:rsidR="004A595B"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4A595B" w:rsidRPr="0059421B">
              <w:rPr>
                <w:rFonts w:ascii="Arial" w:hAnsi="Arial" w:cs="Arial"/>
                <w:sz w:val="20"/>
                <w:szCs w:val="20"/>
                <w:lang w:val="es-ES"/>
              </w:rPr>
              <w:t xml:space="preserve"> valida</w:t>
            </w:r>
            <w:r w:rsidR="00C15150" w:rsidRPr="0059421B">
              <w:rPr>
                <w:rFonts w:ascii="Arial" w:hAnsi="Arial" w:cs="Arial"/>
                <w:sz w:val="20"/>
                <w:szCs w:val="20"/>
                <w:lang w:val="es-ES"/>
              </w:rPr>
              <w:t>n</w:t>
            </w:r>
            <w:r w:rsidR="004A595B" w:rsidRPr="0059421B">
              <w:rPr>
                <w:rFonts w:ascii="Arial" w:hAnsi="Arial" w:cs="Arial"/>
                <w:sz w:val="20"/>
                <w:szCs w:val="20"/>
                <w:lang w:val="es-ES"/>
              </w:rPr>
              <w:t xml:space="preserve"> </w:t>
            </w:r>
            <w:r w:rsidR="00C15150"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14:paraId="469A42FA" w14:textId="303FE9E3"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4A595B" w:rsidRPr="0059421B">
              <w:rPr>
                <w:rFonts w:ascii="Arial" w:hAnsi="Arial" w:cs="Arial"/>
                <w:sz w:val="20"/>
                <w:szCs w:val="20"/>
                <w:lang w:val="es-ES"/>
              </w:rPr>
              <w:t xml:space="preserve"> DH</w:t>
            </w:r>
          </w:p>
          <w:p w14:paraId="469A42FB" w14:textId="1C617C76"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14:paraId="469A42FC"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2FE"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0" w14:textId="77777777" w:rsidTr="009434E8">
        <w:trPr>
          <w:trHeight w:val="467"/>
          <w:jc w:val="center"/>
        </w:trPr>
        <w:tc>
          <w:tcPr>
            <w:tcW w:w="5000" w:type="pct"/>
            <w:gridSpan w:val="3"/>
            <w:shd w:val="clear" w:color="auto" w:fill="5B9BD5"/>
            <w:vAlign w:val="center"/>
          </w:tcPr>
          <w:p w14:paraId="469A42FF"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Actualización de Anteproyecto y Programa de Trabajo</w:t>
            </w:r>
          </w:p>
        </w:tc>
      </w:tr>
      <w:tr w:rsidR="0028148B" w:rsidRPr="0059421B" w14:paraId="469A4304" w14:textId="77777777" w:rsidTr="009434E8">
        <w:trPr>
          <w:jc w:val="center"/>
        </w:trPr>
        <w:tc>
          <w:tcPr>
            <w:tcW w:w="2402" w:type="pct"/>
            <w:shd w:val="clear" w:color="auto" w:fill="5B9BD5"/>
            <w:vAlign w:val="center"/>
          </w:tcPr>
          <w:p w14:paraId="469A4301"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2"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3"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09" w14:textId="77777777" w:rsidTr="009434E8">
        <w:trPr>
          <w:jc w:val="center"/>
        </w:trPr>
        <w:tc>
          <w:tcPr>
            <w:tcW w:w="2402" w:type="pct"/>
            <w:vAlign w:val="center"/>
          </w:tcPr>
          <w:p w14:paraId="469A4305" w14:textId="408E8E49"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los cambios para modificar el Anteproyecto.</w:t>
            </w:r>
          </w:p>
        </w:tc>
        <w:tc>
          <w:tcPr>
            <w:tcW w:w="1582" w:type="pct"/>
            <w:vAlign w:val="center"/>
          </w:tcPr>
          <w:p w14:paraId="469A4306"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14:paraId="469A4307" w14:textId="04348402"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14:paraId="469A4308"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0A" w14:textId="41FEABDD" w:rsidR="000F7C9D" w:rsidRDefault="000F7C9D" w:rsidP="006039D9">
      <w:pPr>
        <w:spacing w:before="0" w:after="0" w:line="276" w:lineRule="auto"/>
        <w:rPr>
          <w:rFonts w:ascii="Arial" w:hAnsi="Arial" w:cs="Arial"/>
          <w:sz w:val="2"/>
        </w:rPr>
      </w:pPr>
    </w:p>
    <w:p w14:paraId="621405AF"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0C" w14:textId="77777777" w:rsidTr="009434E8">
        <w:trPr>
          <w:jc w:val="center"/>
        </w:trPr>
        <w:tc>
          <w:tcPr>
            <w:tcW w:w="5000" w:type="pct"/>
            <w:gridSpan w:val="3"/>
            <w:shd w:val="clear" w:color="auto" w:fill="5B9BD5"/>
            <w:vAlign w:val="center"/>
          </w:tcPr>
          <w:p w14:paraId="469A430B"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14:paraId="469A4310" w14:textId="77777777" w:rsidTr="009434E8">
        <w:trPr>
          <w:jc w:val="center"/>
        </w:trPr>
        <w:tc>
          <w:tcPr>
            <w:tcW w:w="2402" w:type="pct"/>
            <w:shd w:val="clear" w:color="auto" w:fill="5B9BD5"/>
            <w:vAlign w:val="center"/>
          </w:tcPr>
          <w:p w14:paraId="469A430D"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0E"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0F"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15" w14:textId="77777777" w:rsidTr="009434E8">
        <w:trPr>
          <w:jc w:val="center"/>
        </w:trPr>
        <w:tc>
          <w:tcPr>
            <w:tcW w:w="2402" w:type="pct"/>
            <w:vAlign w:val="center"/>
          </w:tcPr>
          <w:p w14:paraId="469A4311" w14:textId="31E8E924" w:rsidR="004A595B"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notificará</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14:paraId="469A4312" w14:textId="1EFC71D9" w:rsidR="004A595B"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A595B" w:rsidRPr="0059421B">
              <w:rPr>
                <w:rFonts w:ascii="Arial" w:hAnsi="Arial" w:cs="Arial"/>
                <w:sz w:val="20"/>
                <w:szCs w:val="20"/>
                <w:lang w:val="es-ES"/>
              </w:rPr>
              <w:t xml:space="preserve"> DH</w:t>
            </w:r>
          </w:p>
          <w:p w14:paraId="469A4313" w14:textId="7344BD7C"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 xml:space="preserve">Contados </w:t>
            </w:r>
            <w:r w:rsidRPr="0059421B">
              <w:rPr>
                <w:rFonts w:ascii="Arial" w:hAnsi="Arial" w:cs="Arial"/>
                <w:sz w:val="20"/>
                <w:szCs w:val="20"/>
                <w:lang w:val="es-ES"/>
              </w:rPr>
              <w:t>a partir 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14:paraId="469A4314"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16" w14:textId="71D62F3F" w:rsidR="000F7C9D" w:rsidRDefault="000F7C9D" w:rsidP="006039D9">
      <w:pPr>
        <w:spacing w:before="0" w:after="0" w:line="276" w:lineRule="auto"/>
        <w:rPr>
          <w:rFonts w:ascii="Arial" w:hAnsi="Arial" w:cs="Arial"/>
          <w:sz w:val="2"/>
        </w:rPr>
      </w:pPr>
    </w:p>
    <w:p w14:paraId="40DF7BC6" w14:textId="77777777" w:rsidR="00806A2F" w:rsidRPr="00295C86" w:rsidRDefault="00806A2F"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18" w14:textId="77777777" w:rsidTr="009434E8">
        <w:trPr>
          <w:jc w:val="center"/>
        </w:trPr>
        <w:tc>
          <w:tcPr>
            <w:tcW w:w="5000" w:type="pct"/>
            <w:gridSpan w:val="3"/>
            <w:shd w:val="clear" w:color="auto" w:fill="5B9BD5"/>
            <w:vAlign w:val="center"/>
          </w:tcPr>
          <w:p w14:paraId="469A4317"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14:paraId="469A431C" w14:textId="77777777" w:rsidTr="009434E8">
        <w:trPr>
          <w:jc w:val="center"/>
        </w:trPr>
        <w:tc>
          <w:tcPr>
            <w:tcW w:w="2402" w:type="pct"/>
            <w:shd w:val="clear" w:color="auto" w:fill="5B9BD5"/>
            <w:vAlign w:val="center"/>
          </w:tcPr>
          <w:p w14:paraId="469A4319"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1A"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1B"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0" w14:textId="77777777" w:rsidTr="009434E8">
        <w:trPr>
          <w:jc w:val="center"/>
        </w:trPr>
        <w:tc>
          <w:tcPr>
            <w:tcW w:w="2402" w:type="pct"/>
            <w:vAlign w:val="center"/>
          </w:tcPr>
          <w:p w14:paraId="469A431D" w14:textId="356EB8F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14:paraId="469A431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14:paraId="469A431F"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685B7A05" w14:textId="64F9AE93"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2571"/>
        <w:gridCol w:w="1815"/>
      </w:tblGrid>
      <w:tr w:rsidR="00582B61" w:rsidRPr="0059421B" w14:paraId="66D23FDC" w14:textId="77777777" w:rsidTr="0018655C">
        <w:trPr>
          <w:jc w:val="center"/>
        </w:trPr>
        <w:tc>
          <w:tcPr>
            <w:tcW w:w="5000" w:type="pct"/>
            <w:gridSpan w:val="3"/>
            <w:shd w:val="clear" w:color="auto" w:fill="5B9BD5"/>
            <w:vAlign w:val="center"/>
          </w:tcPr>
          <w:p w14:paraId="1702F088" w14:textId="18011190"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Etapa </w:t>
            </w:r>
            <w:r>
              <w:rPr>
                <w:rFonts w:ascii="Arial" w:hAnsi="Arial" w:cs="Arial"/>
                <w:b/>
                <w:color w:val="FFFFFF"/>
                <w:sz w:val="20"/>
                <w:szCs w:val="20"/>
                <w:lang w:val="es-ES"/>
              </w:rPr>
              <w:t>5</w:t>
            </w:r>
            <w:r w:rsidRPr="0059421B">
              <w:rPr>
                <w:rFonts w:ascii="Arial" w:hAnsi="Arial" w:cs="Arial"/>
                <w:b/>
                <w:color w:val="FFFFFF"/>
                <w:sz w:val="20"/>
                <w:szCs w:val="20"/>
                <w:lang w:val="es-ES"/>
              </w:rPr>
              <w:t>: Verificación de Instalación de Infraestructura</w:t>
            </w:r>
          </w:p>
        </w:tc>
      </w:tr>
      <w:tr w:rsidR="00582B61" w:rsidRPr="0059421B" w14:paraId="2CDD1B7C" w14:textId="77777777" w:rsidTr="0018655C">
        <w:trPr>
          <w:jc w:val="center"/>
        </w:trPr>
        <w:tc>
          <w:tcPr>
            <w:tcW w:w="2364" w:type="pct"/>
            <w:tcBorders>
              <w:bottom w:val="single" w:sz="4" w:space="0" w:color="auto"/>
            </w:tcBorders>
            <w:shd w:val="clear" w:color="auto" w:fill="5B9BD5"/>
            <w:vAlign w:val="center"/>
          </w:tcPr>
          <w:p w14:paraId="2AE8CC71" w14:textId="77777777" w:rsidR="00582B61" w:rsidRPr="0059421B" w:rsidRDefault="00582B61"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14:paraId="3FF7C5A5"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14:paraId="1F66266E"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82B61" w:rsidRPr="0059421B" w14:paraId="4A5FA32D" w14:textId="77777777" w:rsidTr="0018655C">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14:paraId="39742F80" w14:textId="21A0CF4D" w:rsidR="00582B61"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582B61" w:rsidRPr="0059421B">
              <w:rPr>
                <w:rFonts w:ascii="Arial" w:hAnsi="Arial" w:cs="Arial"/>
                <w:sz w:val="20"/>
                <w:szCs w:val="20"/>
                <w:lang w:val="es-ES"/>
              </w:rPr>
              <w:t xml:space="preserve">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14:paraId="394F17F8" w14:textId="55A85724" w:rsidR="00582B61"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4341E7">
              <w:rPr>
                <w:rFonts w:ascii="Arial" w:hAnsi="Arial" w:cs="Arial"/>
                <w:sz w:val="20"/>
                <w:szCs w:val="20"/>
                <w:lang w:val="es-ES"/>
              </w:rPr>
              <w:t xml:space="preserve"> </w:t>
            </w:r>
            <w:r w:rsidR="00582B61" w:rsidRPr="0059421B">
              <w:rPr>
                <w:rFonts w:ascii="Arial" w:hAnsi="Arial" w:cs="Arial"/>
                <w:sz w:val="20"/>
                <w:szCs w:val="20"/>
                <w:lang w:val="es-ES"/>
              </w:rPr>
              <w:t>DH</w:t>
            </w:r>
          </w:p>
          <w:p w14:paraId="2A575019" w14:textId="1B4946A9"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14:paraId="72A8A21A" w14:textId="77777777" w:rsidR="00582B61" w:rsidRPr="0059421B"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582B61" w:rsidRPr="0059421B" w14:paraId="62E82F47" w14:textId="77777777" w:rsidTr="0018655C">
        <w:trPr>
          <w:jc w:val="center"/>
        </w:trPr>
        <w:tc>
          <w:tcPr>
            <w:tcW w:w="2364" w:type="pct"/>
            <w:tcBorders>
              <w:top w:val="single" w:sz="4" w:space="0" w:color="auto"/>
            </w:tcBorders>
            <w:shd w:val="clear" w:color="auto" w:fill="auto"/>
            <w:vAlign w:val="center"/>
          </w:tcPr>
          <w:p w14:paraId="5203C632" w14:textId="25B07C88" w:rsidR="00582B61" w:rsidRPr="0059421B" w:rsidRDefault="000B7EA3" w:rsidP="006039D9">
            <w:pPr>
              <w:suppressAutoHyphens/>
              <w:spacing w:before="0" w:after="0" w:line="276" w:lineRule="auto"/>
              <w:contextualSpacing/>
              <w:jc w:val="left"/>
              <w:rPr>
                <w:rFonts w:ascii="Arial" w:hAnsi="Arial" w:cs="Arial"/>
                <w:b/>
                <w:sz w:val="20"/>
                <w:szCs w:val="20"/>
                <w:lang w:val="es-ES"/>
              </w:rPr>
            </w:pPr>
            <w:r>
              <w:rPr>
                <w:rFonts w:ascii="Arial" w:hAnsi="Arial" w:cs="Arial"/>
                <w:sz w:val="20"/>
                <w:szCs w:val="20"/>
                <w:lang w:val="es-ES"/>
              </w:rPr>
              <w:t>Telmex y Telnor</w:t>
            </w:r>
            <w:r w:rsidR="00582B61" w:rsidRPr="0059421B">
              <w:rPr>
                <w:rFonts w:ascii="Arial" w:hAnsi="Arial" w:cs="Arial"/>
                <w:sz w:val="20"/>
                <w:szCs w:val="20"/>
                <w:lang w:val="es-ES"/>
              </w:rPr>
              <w:t xml:space="preserve">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14:paraId="75D745A0"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14:paraId="5E9706AE" w14:textId="77777777" w:rsidR="00582B61" w:rsidRPr="0059421B" w:rsidDel="00324AB3" w:rsidRDefault="00582B61"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14:paraId="63592DF4" w14:textId="77777777" w:rsidR="00582B61" w:rsidRDefault="00582B61" w:rsidP="006039D9">
      <w:pPr>
        <w:spacing w:before="0" w:after="0" w:line="276" w:lineRule="auto"/>
        <w:rPr>
          <w:rFonts w:ascii="Arial" w:hAnsi="Arial" w:cs="Arial"/>
          <w:b/>
          <w:sz w:val="20"/>
          <w:szCs w:val="20"/>
          <w:u w:val="single"/>
        </w:rPr>
      </w:pPr>
    </w:p>
    <w:p w14:paraId="469A4321" w14:textId="6C9676D1" w:rsidR="004A595B" w:rsidRDefault="004A595B" w:rsidP="006039D9">
      <w:pPr>
        <w:spacing w:before="0" w:after="0" w:line="276" w:lineRule="auto"/>
        <w:rPr>
          <w:rFonts w:ascii="Arial" w:hAnsi="Arial" w:cs="Arial"/>
          <w:b/>
          <w:sz w:val="20"/>
          <w:szCs w:val="20"/>
          <w:u w:val="single"/>
        </w:rPr>
      </w:pPr>
      <w:r w:rsidRPr="0059421B">
        <w:rPr>
          <w:rFonts w:ascii="Arial" w:hAnsi="Arial" w:cs="Arial"/>
          <w:b/>
          <w:sz w:val="20"/>
          <w:szCs w:val="20"/>
          <w:u w:val="single"/>
        </w:rPr>
        <w:t>Baja</w:t>
      </w:r>
    </w:p>
    <w:p w14:paraId="2E0453A4" w14:textId="77777777" w:rsidR="00806A2F" w:rsidRDefault="00806A2F" w:rsidP="006039D9">
      <w:pPr>
        <w:spacing w:before="0" w:after="0" w:line="276" w:lineRule="auto"/>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23" w14:textId="77777777" w:rsidTr="009434E8">
        <w:trPr>
          <w:trHeight w:val="467"/>
          <w:jc w:val="center"/>
        </w:trPr>
        <w:tc>
          <w:tcPr>
            <w:tcW w:w="5000" w:type="pct"/>
            <w:gridSpan w:val="3"/>
            <w:shd w:val="clear" w:color="auto" w:fill="5B9BD5"/>
            <w:vAlign w:val="center"/>
          </w:tcPr>
          <w:p w14:paraId="469A432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1: Envío y validación de la solicitud</w:t>
            </w:r>
          </w:p>
        </w:tc>
      </w:tr>
      <w:tr w:rsidR="0028148B" w:rsidRPr="0059421B" w14:paraId="469A4327" w14:textId="77777777" w:rsidTr="009434E8">
        <w:trPr>
          <w:trHeight w:val="467"/>
          <w:jc w:val="center"/>
        </w:trPr>
        <w:tc>
          <w:tcPr>
            <w:tcW w:w="2402" w:type="pct"/>
            <w:shd w:val="clear" w:color="auto" w:fill="5B9BD5"/>
            <w:vAlign w:val="center"/>
          </w:tcPr>
          <w:p w14:paraId="469A4324"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25"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2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14:paraId="469A432B" w14:textId="77777777" w:rsidTr="009434E8">
        <w:trPr>
          <w:trHeight w:val="467"/>
          <w:jc w:val="center"/>
        </w:trPr>
        <w:tc>
          <w:tcPr>
            <w:tcW w:w="2402" w:type="pct"/>
            <w:tcBorders>
              <w:bottom w:val="single" w:sz="4" w:space="0" w:color="auto"/>
            </w:tcBorders>
            <w:vAlign w:val="center"/>
          </w:tcPr>
          <w:p w14:paraId="469A4328" w14:textId="60B5E168" w:rsidR="004A595B" w:rsidRPr="0059421B" w:rsidRDefault="004A595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presenta solicitud de baja</w:t>
            </w:r>
          </w:p>
        </w:tc>
        <w:tc>
          <w:tcPr>
            <w:tcW w:w="1582" w:type="pct"/>
            <w:tcBorders>
              <w:bottom w:val="single" w:sz="4" w:space="0" w:color="auto"/>
            </w:tcBorders>
            <w:vAlign w:val="center"/>
          </w:tcPr>
          <w:p w14:paraId="469A4329"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14:paraId="469A432A"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30" w14:textId="77777777"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14:paraId="469A432C" w14:textId="6BD6CDD3"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notifica</w:t>
            </w:r>
            <w:r w:rsidR="00C15150"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14:paraId="469A432D" w14:textId="3623DA98"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U</w:t>
            </w:r>
            <w:r w:rsidR="00F051BD">
              <w:rPr>
                <w:rFonts w:ascii="Arial" w:hAnsi="Arial" w:cs="Arial"/>
                <w:sz w:val="20"/>
                <w:szCs w:val="20"/>
                <w:lang w:val="es-ES"/>
              </w:rPr>
              <w:t>n</w:t>
            </w:r>
            <w:r w:rsidR="000925F3" w:rsidRPr="0059421B">
              <w:rPr>
                <w:rFonts w:ascii="Arial" w:hAnsi="Arial" w:cs="Arial"/>
                <w:sz w:val="20"/>
                <w:szCs w:val="20"/>
                <w:lang w:val="es-ES"/>
              </w:rPr>
              <w:t xml:space="preserve"> DH</w:t>
            </w:r>
          </w:p>
          <w:p w14:paraId="469A432E" w14:textId="37A4E075"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la recepción de la solicitud)</w:t>
            </w:r>
          </w:p>
        </w:tc>
        <w:tc>
          <w:tcPr>
            <w:tcW w:w="1016" w:type="pct"/>
            <w:tcBorders>
              <w:left w:val="single" w:sz="4" w:space="0" w:color="auto"/>
            </w:tcBorders>
            <w:vAlign w:val="center"/>
          </w:tcPr>
          <w:p w14:paraId="469A432F"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31" w14:textId="77777777" w:rsidR="000F7C9D" w:rsidRPr="00295C86" w:rsidRDefault="000F7C9D" w:rsidP="006039D9">
      <w:pPr>
        <w:spacing w:before="0" w:after="0" w:line="276" w:lineRule="auto"/>
        <w:rPr>
          <w:rFonts w:ascii="Arial" w:hAnsi="Arial" w:cs="Arial"/>
          <w:sz w:val="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33" w14:textId="77777777" w:rsidTr="009434E8">
        <w:trPr>
          <w:trHeight w:val="467"/>
          <w:jc w:val="center"/>
        </w:trPr>
        <w:tc>
          <w:tcPr>
            <w:tcW w:w="5000" w:type="pct"/>
            <w:gridSpan w:val="3"/>
            <w:shd w:val="clear" w:color="auto" w:fill="5B9BD5"/>
            <w:vAlign w:val="center"/>
          </w:tcPr>
          <w:p w14:paraId="469A4332" w14:textId="77777777" w:rsidR="004A595B" w:rsidRPr="0059421B" w:rsidRDefault="004A595B" w:rsidP="006039D9">
            <w:pPr>
              <w:suppressAutoHyphens/>
              <w:spacing w:before="0" w:after="0" w:line="276"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14:paraId="469A4337" w14:textId="77777777" w:rsidTr="009434E8">
        <w:trPr>
          <w:jc w:val="center"/>
        </w:trPr>
        <w:tc>
          <w:tcPr>
            <w:tcW w:w="2402" w:type="pct"/>
            <w:shd w:val="clear" w:color="auto" w:fill="5B9BD5"/>
            <w:vAlign w:val="center"/>
          </w:tcPr>
          <w:p w14:paraId="469A4334" w14:textId="77777777" w:rsidR="0028148B" w:rsidRPr="0059421B" w:rsidRDefault="0028148B" w:rsidP="006039D9">
            <w:pPr>
              <w:suppressAutoHyphens/>
              <w:spacing w:before="0" w:after="0" w:line="276"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35"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36" w14:textId="77777777" w:rsidR="0028148B" w:rsidRPr="0059421B" w:rsidRDefault="0028148B" w:rsidP="006039D9">
            <w:pPr>
              <w:suppressAutoHyphens/>
              <w:spacing w:before="0" w:after="0" w:line="276"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3C" w14:textId="77777777" w:rsidTr="009434E8">
        <w:trPr>
          <w:jc w:val="center"/>
        </w:trPr>
        <w:tc>
          <w:tcPr>
            <w:tcW w:w="2402" w:type="pct"/>
            <w:vAlign w:val="center"/>
          </w:tcPr>
          <w:p w14:paraId="469A4338" w14:textId="29813D3F" w:rsidR="000925F3" w:rsidRPr="0059421B" w:rsidRDefault="000925F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elabora el Programa de Trabajo</w:t>
            </w:r>
          </w:p>
        </w:tc>
        <w:tc>
          <w:tcPr>
            <w:tcW w:w="1582" w:type="pct"/>
            <w:vAlign w:val="center"/>
          </w:tcPr>
          <w:p w14:paraId="469A4339" w14:textId="1885BCE2"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 xml:space="preserve">DH </w:t>
            </w:r>
          </w:p>
          <w:p w14:paraId="469A433A" w14:textId="4B43BBAD"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w:t>
            </w:r>
            <w:r w:rsidR="000B7EA3">
              <w:rPr>
                <w:rFonts w:ascii="Arial" w:hAnsi="Arial" w:cs="Arial"/>
                <w:sz w:val="20"/>
                <w:szCs w:val="20"/>
                <w:lang w:val="es-ES"/>
              </w:rPr>
              <w:t>Telmex y Telnor</w:t>
            </w:r>
            <w:r w:rsidRPr="0059421B">
              <w:rPr>
                <w:rFonts w:ascii="Arial" w:hAnsi="Arial" w:cs="Arial"/>
                <w:sz w:val="20"/>
                <w:szCs w:val="20"/>
                <w:lang w:val="es-ES"/>
              </w:rPr>
              <w:t xml:space="preserve"> aprob</w:t>
            </w:r>
            <w:r w:rsidR="00C15150" w:rsidRPr="0059421B">
              <w:rPr>
                <w:rFonts w:ascii="Arial" w:hAnsi="Arial" w:cs="Arial"/>
                <w:sz w:val="20"/>
                <w:szCs w:val="20"/>
                <w:lang w:val="es-ES"/>
              </w:rPr>
              <w:t>aron</w:t>
            </w:r>
            <w:r w:rsidRPr="0059421B">
              <w:rPr>
                <w:rFonts w:ascii="Arial" w:hAnsi="Arial" w:cs="Arial"/>
                <w:sz w:val="20"/>
                <w:szCs w:val="20"/>
                <w:lang w:val="es-ES"/>
              </w:rPr>
              <w:t xml:space="preserve"> la baja de los servicios)</w:t>
            </w:r>
          </w:p>
        </w:tc>
        <w:tc>
          <w:tcPr>
            <w:tcW w:w="1016" w:type="pct"/>
            <w:vAlign w:val="center"/>
          </w:tcPr>
          <w:p w14:paraId="469A433B"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14:paraId="469A4341" w14:textId="77777777" w:rsidTr="009434E8">
        <w:trPr>
          <w:jc w:val="center"/>
        </w:trPr>
        <w:tc>
          <w:tcPr>
            <w:tcW w:w="2402" w:type="pct"/>
            <w:vAlign w:val="center"/>
          </w:tcPr>
          <w:p w14:paraId="469A433D" w14:textId="2C4F42EF"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valida</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el Programa de Trabajo.</w:t>
            </w:r>
          </w:p>
        </w:tc>
        <w:tc>
          <w:tcPr>
            <w:tcW w:w="1582" w:type="pct"/>
            <w:vAlign w:val="center"/>
          </w:tcPr>
          <w:p w14:paraId="469A433E" w14:textId="5DABDE66"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w:t>
            </w:r>
          </w:p>
          <w:p w14:paraId="469A433F" w14:textId="0083A728"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entregó el Programa de Trabajo)</w:t>
            </w:r>
          </w:p>
        </w:tc>
        <w:tc>
          <w:tcPr>
            <w:tcW w:w="1016" w:type="pct"/>
            <w:vAlign w:val="center"/>
          </w:tcPr>
          <w:p w14:paraId="469A4340"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69A4342" w14:textId="77777777" w:rsidR="000F7C9D" w:rsidRPr="0059421B" w:rsidRDefault="000F7C9D" w:rsidP="006039D9">
      <w:pPr>
        <w:spacing w:before="0" w:after="0" w:line="276" w:lineRule="auto"/>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4" w14:textId="77777777" w:rsidTr="009434E8">
        <w:trPr>
          <w:jc w:val="center"/>
        </w:trPr>
        <w:tc>
          <w:tcPr>
            <w:tcW w:w="5000" w:type="pct"/>
            <w:gridSpan w:val="3"/>
            <w:shd w:val="clear" w:color="auto" w:fill="5B9BD5"/>
            <w:vAlign w:val="center"/>
          </w:tcPr>
          <w:p w14:paraId="469A4343"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14:paraId="469A4348" w14:textId="77777777" w:rsidTr="009434E8">
        <w:trPr>
          <w:jc w:val="center"/>
        </w:trPr>
        <w:tc>
          <w:tcPr>
            <w:tcW w:w="2402" w:type="pct"/>
            <w:shd w:val="clear" w:color="auto" w:fill="5B9BD5"/>
            <w:vAlign w:val="center"/>
          </w:tcPr>
          <w:p w14:paraId="469A4345"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46"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47"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4C" w14:textId="77777777" w:rsidTr="009434E8">
        <w:trPr>
          <w:jc w:val="center"/>
        </w:trPr>
        <w:tc>
          <w:tcPr>
            <w:tcW w:w="2402" w:type="pct"/>
            <w:vAlign w:val="center"/>
          </w:tcPr>
          <w:p w14:paraId="469A4349" w14:textId="7EF8496B" w:rsidR="000925F3" w:rsidRPr="0059421B" w:rsidRDefault="000925F3"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sz w:val="20"/>
                <w:szCs w:val="20"/>
                <w:lang w:val="es-ES"/>
              </w:rPr>
              <w:t>El CS</w:t>
            </w:r>
            <w:r w:rsidR="009615EA">
              <w:rPr>
                <w:rFonts w:ascii="Arial" w:hAnsi="Arial" w:cs="Arial"/>
                <w:sz w:val="20"/>
                <w:szCs w:val="20"/>
                <w:lang w:val="es-ES"/>
              </w:rPr>
              <w:t xml:space="preserve"> o AS</w:t>
            </w:r>
            <w:r w:rsidRPr="0059421B">
              <w:rPr>
                <w:rFonts w:ascii="Arial" w:hAnsi="Arial" w:cs="Arial"/>
                <w:sz w:val="20"/>
                <w:szCs w:val="20"/>
                <w:lang w:val="es-ES"/>
              </w:rPr>
              <w:t xml:space="preserve"> realiza el retiro de su infraestructura.</w:t>
            </w:r>
          </w:p>
        </w:tc>
        <w:tc>
          <w:tcPr>
            <w:tcW w:w="1582" w:type="pct"/>
            <w:vAlign w:val="center"/>
          </w:tcPr>
          <w:p w14:paraId="469A434A"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14:paraId="469A434B"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14:paraId="469A434D" w14:textId="77777777" w:rsidR="001A02F3" w:rsidRPr="009615EA" w:rsidRDefault="001A02F3" w:rsidP="006039D9">
      <w:pPr>
        <w:spacing w:before="0" w:after="0" w:line="276" w:lineRule="auto"/>
        <w:rPr>
          <w:rFonts w:ascii="Arial" w:hAnsi="Arial" w:cs="Arial"/>
          <w:sz w:val="6"/>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632"/>
        <w:gridCol w:w="1690"/>
      </w:tblGrid>
      <w:tr w:rsidR="004A595B" w:rsidRPr="0059421B" w14:paraId="469A434F" w14:textId="77777777" w:rsidTr="009434E8">
        <w:trPr>
          <w:jc w:val="center"/>
        </w:trPr>
        <w:tc>
          <w:tcPr>
            <w:tcW w:w="5000" w:type="pct"/>
            <w:gridSpan w:val="3"/>
            <w:shd w:val="clear" w:color="auto" w:fill="5B9BD5"/>
            <w:vAlign w:val="center"/>
          </w:tcPr>
          <w:p w14:paraId="469A434E" w14:textId="77777777" w:rsidR="004A595B" w:rsidRPr="0059421B" w:rsidRDefault="004A595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14:paraId="469A4353" w14:textId="77777777" w:rsidTr="009434E8">
        <w:trPr>
          <w:jc w:val="center"/>
        </w:trPr>
        <w:tc>
          <w:tcPr>
            <w:tcW w:w="2402" w:type="pct"/>
            <w:shd w:val="clear" w:color="auto" w:fill="5B9BD5"/>
            <w:vAlign w:val="center"/>
          </w:tcPr>
          <w:p w14:paraId="469A4350" w14:textId="77777777" w:rsidR="0028148B" w:rsidRPr="0059421B" w:rsidRDefault="0028148B" w:rsidP="006039D9">
            <w:pPr>
              <w:suppressAutoHyphens/>
              <w:spacing w:before="0" w:after="0" w:line="276"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14:paraId="469A4351"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14:paraId="469A4352" w14:textId="77777777" w:rsidR="0028148B" w:rsidRPr="0059421B" w:rsidRDefault="0028148B"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14:paraId="469A4358" w14:textId="77777777" w:rsidTr="009434E8">
        <w:trPr>
          <w:jc w:val="center"/>
        </w:trPr>
        <w:tc>
          <w:tcPr>
            <w:tcW w:w="2402" w:type="pct"/>
            <w:vAlign w:val="center"/>
          </w:tcPr>
          <w:p w14:paraId="469A4354" w14:textId="0CD0652F"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realizará</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14:paraId="469A4355" w14:textId="257FE704"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D</w:t>
            </w:r>
            <w:r w:rsidR="00F051BD">
              <w:rPr>
                <w:rFonts w:ascii="Arial" w:hAnsi="Arial" w:cs="Arial"/>
                <w:sz w:val="20"/>
                <w:szCs w:val="20"/>
                <w:lang w:val="es-ES"/>
              </w:rPr>
              <w:t>iez</w:t>
            </w:r>
            <w:r w:rsidR="004341E7">
              <w:rPr>
                <w:rFonts w:ascii="Arial" w:hAnsi="Arial" w:cs="Arial"/>
                <w:sz w:val="20"/>
                <w:szCs w:val="20"/>
                <w:lang w:val="es-ES"/>
              </w:rPr>
              <w:t xml:space="preserve"> </w:t>
            </w:r>
            <w:r w:rsidR="000925F3" w:rsidRPr="0059421B">
              <w:rPr>
                <w:rFonts w:ascii="Arial" w:hAnsi="Arial" w:cs="Arial"/>
                <w:sz w:val="20"/>
                <w:szCs w:val="20"/>
                <w:lang w:val="es-ES"/>
              </w:rPr>
              <w:t>DH</w:t>
            </w:r>
          </w:p>
          <w:p w14:paraId="469A4356" w14:textId="5C3C9482"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14:paraId="469A4357"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14:paraId="469A435D" w14:textId="77777777" w:rsidTr="009434E8">
        <w:trPr>
          <w:jc w:val="center"/>
        </w:trPr>
        <w:tc>
          <w:tcPr>
            <w:tcW w:w="2402" w:type="pct"/>
            <w:vAlign w:val="center"/>
          </w:tcPr>
          <w:p w14:paraId="469A4359" w14:textId="7A9145BC" w:rsidR="000925F3" w:rsidRPr="0059421B" w:rsidRDefault="000B7EA3" w:rsidP="006039D9">
            <w:pPr>
              <w:suppressAutoHyphens/>
              <w:spacing w:before="0" w:after="0" w:line="276" w:lineRule="auto"/>
              <w:contextualSpacing/>
              <w:jc w:val="left"/>
              <w:rPr>
                <w:rFonts w:ascii="Arial" w:hAnsi="Arial" w:cs="Arial"/>
                <w:sz w:val="20"/>
                <w:szCs w:val="20"/>
                <w:lang w:val="es-ES"/>
              </w:rPr>
            </w:pPr>
            <w:r>
              <w:rPr>
                <w:rFonts w:ascii="Arial" w:hAnsi="Arial" w:cs="Arial"/>
                <w:sz w:val="20"/>
                <w:szCs w:val="20"/>
                <w:lang w:val="es-ES"/>
              </w:rPr>
              <w:t>Telmex y Telnor</w:t>
            </w:r>
            <w:r w:rsidR="000925F3" w:rsidRPr="0059421B">
              <w:rPr>
                <w:rFonts w:ascii="Arial" w:hAnsi="Arial" w:cs="Arial"/>
                <w:sz w:val="20"/>
                <w:szCs w:val="20"/>
                <w:lang w:val="es-ES"/>
              </w:rPr>
              <w:t xml:space="preserve"> propone</w:t>
            </w:r>
            <w:r w:rsidR="00C15150"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14:paraId="469A435A" w14:textId="36CE56E0" w:rsidR="000925F3" w:rsidRPr="0059421B" w:rsidRDefault="00A91A02" w:rsidP="006039D9">
            <w:pPr>
              <w:suppressAutoHyphens/>
              <w:spacing w:before="0" w:after="0" w:line="276" w:lineRule="auto"/>
              <w:contextualSpacing/>
              <w:jc w:val="center"/>
              <w:rPr>
                <w:rFonts w:ascii="Arial" w:hAnsi="Arial" w:cs="Arial"/>
                <w:sz w:val="20"/>
                <w:szCs w:val="20"/>
                <w:lang w:val="es-ES"/>
              </w:rPr>
            </w:pPr>
            <w:r>
              <w:rPr>
                <w:rFonts w:ascii="Arial" w:hAnsi="Arial" w:cs="Arial"/>
                <w:sz w:val="20"/>
                <w:szCs w:val="20"/>
                <w:lang w:val="es-ES"/>
              </w:rPr>
              <w:t>C</w:t>
            </w:r>
            <w:r w:rsidR="00F051BD">
              <w:rPr>
                <w:rFonts w:ascii="Arial" w:hAnsi="Arial" w:cs="Arial"/>
                <w:sz w:val="20"/>
                <w:szCs w:val="20"/>
                <w:lang w:val="es-ES"/>
              </w:rPr>
              <w:t>inco</w:t>
            </w:r>
            <w:r w:rsidR="000925F3" w:rsidRPr="0059421B">
              <w:rPr>
                <w:rFonts w:ascii="Arial" w:hAnsi="Arial" w:cs="Arial"/>
                <w:sz w:val="20"/>
                <w:szCs w:val="20"/>
                <w:lang w:val="es-ES"/>
              </w:rPr>
              <w:t xml:space="preserve"> DH </w:t>
            </w:r>
          </w:p>
          <w:p w14:paraId="469A435B" w14:textId="1B1A34DE"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w:t>
            </w:r>
            <w:r w:rsidR="005A7B33">
              <w:rPr>
                <w:rFonts w:ascii="Arial" w:hAnsi="Arial" w:cs="Arial"/>
                <w:sz w:val="20"/>
                <w:szCs w:val="20"/>
                <w:lang w:val="es-ES"/>
              </w:rPr>
              <w:t>Contados a</w:t>
            </w:r>
            <w:r w:rsidRPr="0059421B">
              <w:rPr>
                <w:rFonts w:ascii="Arial" w:hAnsi="Arial" w:cs="Arial"/>
                <w:sz w:val="20"/>
                <w:szCs w:val="20"/>
                <w:lang w:val="es-ES"/>
              </w:rPr>
              <w:t xml:space="preserve"> partir de que el CS</w:t>
            </w:r>
            <w:r w:rsidR="009615EA">
              <w:rPr>
                <w:rFonts w:ascii="Arial" w:hAnsi="Arial" w:cs="Arial"/>
                <w:sz w:val="20"/>
                <w:szCs w:val="20"/>
                <w:lang w:val="es-ES"/>
              </w:rPr>
              <w:t xml:space="preserve"> o AS</w:t>
            </w:r>
            <w:r w:rsidRPr="0059421B">
              <w:rPr>
                <w:rFonts w:ascii="Arial" w:hAnsi="Arial" w:cs="Arial"/>
                <w:sz w:val="20"/>
                <w:szCs w:val="20"/>
                <w:lang w:val="es-ES"/>
              </w:rPr>
              <w:t xml:space="preserve"> notifique que ha concluido los trabajos de Desinstalación de Infraestructura)</w:t>
            </w:r>
          </w:p>
        </w:tc>
        <w:tc>
          <w:tcPr>
            <w:tcW w:w="1016" w:type="pct"/>
            <w:vAlign w:val="center"/>
          </w:tcPr>
          <w:p w14:paraId="469A435C" w14:textId="77777777" w:rsidR="000925F3" w:rsidRPr="0059421B" w:rsidRDefault="000925F3" w:rsidP="006039D9">
            <w:pPr>
              <w:suppressAutoHyphens/>
              <w:spacing w:before="0" w:after="0" w:line="276"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14:paraId="48F4D092" w14:textId="77777777" w:rsidR="006039D9" w:rsidRDefault="006039D9" w:rsidP="006039D9">
      <w:pPr>
        <w:spacing w:before="0" w:after="0" w:line="276" w:lineRule="auto"/>
        <w:jc w:val="left"/>
        <w:rPr>
          <w:rFonts w:ascii="Arial" w:hAnsi="Arial" w:cs="Arial"/>
          <w:sz w:val="22"/>
          <w:szCs w:val="22"/>
        </w:rPr>
      </w:pPr>
    </w:p>
    <w:p w14:paraId="469A435F" w14:textId="15EFCE4F" w:rsidR="006814AD" w:rsidRDefault="006814AD" w:rsidP="006039D9">
      <w:pPr>
        <w:pStyle w:val="Ttulo2"/>
        <w:spacing w:before="0" w:after="0" w:line="276" w:lineRule="auto"/>
        <w:rPr>
          <w:rFonts w:ascii="Arial" w:hAnsi="Arial" w:cs="Arial"/>
          <w:sz w:val="22"/>
          <w:szCs w:val="22"/>
        </w:rPr>
      </w:pPr>
      <w:r w:rsidRPr="0059421B">
        <w:rPr>
          <w:rFonts w:ascii="Arial" w:hAnsi="Arial" w:cs="Arial"/>
          <w:sz w:val="22"/>
          <w:szCs w:val="22"/>
        </w:rPr>
        <w:t>Penas Convencionales</w:t>
      </w:r>
    </w:p>
    <w:p w14:paraId="2BCA730F" w14:textId="77777777" w:rsidR="006039D9" w:rsidRPr="006039D9" w:rsidRDefault="006039D9" w:rsidP="006039D9">
      <w:pPr>
        <w:spacing w:before="0" w:after="0" w:line="276" w:lineRule="auto"/>
        <w:jc w:val="left"/>
      </w:pPr>
    </w:p>
    <w:p w14:paraId="469A4360" w14:textId="7FDD3821"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E756A9" w:rsidRPr="00E756A9">
        <w:rPr>
          <w:rFonts w:ascii="Arial" w:hAnsi="Arial" w:cs="Arial"/>
          <w:bCs/>
          <w:color w:val="000000"/>
          <w:sz w:val="22"/>
          <w:szCs w:val="22"/>
        </w:rPr>
        <w:t>Telmex y Telnor</w:t>
      </w:r>
      <w:r w:rsidR="00E756A9">
        <w:rPr>
          <w:rFonts w:ascii="Arial" w:hAnsi="Arial" w:cs="Arial"/>
          <w:bCs/>
          <w:color w:val="000000"/>
          <w:sz w:val="22"/>
          <w:szCs w:val="22"/>
        </w:rPr>
        <w:t xml:space="preserve"> </w:t>
      </w:r>
      <w:r w:rsidRPr="0059421B">
        <w:rPr>
          <w:rFonts w:ascii="Arial" w:hAnsi="Arial" w:cs="Arial"/>
          <w:bCs/>
          <w:color w:val="000000"/>
          <w:sz w:val="22"/>
          <w:szCs w:val="22"/>
        </w:rPr>
        <w:t>no alcance</w:t>
      </w:r>
      <w:r w:rsidR="000B7544">
        <w:rPr>
          <w:rFonts w:ascii="Arial" w:hAnsi="Arial" w:cs="Arial"/>
          <w:bCs/>
          <w:color w:val="000000"/>
          <w:sz w:val="22"/>
          <w:szCs w:val="22"/>
        </w:rPr>
        <w:t>n</w:t>
      </w:r>
      <w:r w:rsidRPr="0059421B">
        <w:rPr>
          <w:rFonts w:ascii="Arial" w:hAnsi="Arial" w:cs="Arial"/>
          <w:bCs/>
          <w:color w:val="000000"/>
          <w:sz w:val="22"/>
          <w:szCs w:val="22"/>
        </w:rPr>
        <w:t xml:space="preserve"> el indicador de calidad correspondiente a cualquier parámetro de algún Servicio objeto </w:t>
      </w:r>
      <w:r w:rsidR="009615EA">
        <w:rPr>
          <w:rFonts w:ascii="Arial" w:hAnsi="Arial" w:cs="Arial"/>
          <w:bCs/>
          <w:color w:val="000000"/>
          <w:sz w:val="22"/>
          <w:szCs w:val="22"/>
        </w:rPr>
        <w:t xml:space="preserve">de la Oferta de Referencia, el CS o AS </w:t>
      </w:r>
      <w:r w:rsidRPr="0059421B">
        <w:rPr>
          <w:rFonts w:ascii="Arial" w:hAnsi="Arial" w:cs="Arial"/>
          <w:bCs/>
          <w:color w:val="000000"/>
          <w:sz w:val="22"/>
          <w:szCs w:val="22"/>
        </w:rPr>
        <w:t xml:space="preserve">tendrá el derecho a requerir y obtener </w:t>
      </w:r>
      <w:r w:rsidR="002F7002" w:rsidRPr="0059421B">
        <w:rPr>
          <w:rFonts w:ascii="Arial" w:hAnsi="Arial" w:cs="Arial"/>
          <w:bCs/>
          <w:color w:val="000000"/>
          <w:sz w:val="22"/>
          <w:szCs w:val="22"/>
        </w:rPr>
        <w:t xml:space="preserve">de </w:t>
      </w:r>
      <w:r w:rsidR="00E756A9" w:rsidRPr="00E756A9">
        <w:rPr>
          <w:rFonts w:ascii="Arial" w:hAnsi="Arial" w:cs="Arial"/>
          <w:bCs/>
          <w:color w:val="000000"/>
          <w:sz w:val="22"/>
          <w:szCs w:val="22"/>
        </w:rPr>
        <w:t>Telmex y Telnor</w:t>
      </w:r>
      <w:r w:rsidR="00E756A9">
        <w:rPr>
          <w:rFonts w:ascii="Arial" w:hAnsi="Arial" w:cs="Arial"/>
          <w:bCs/>
          <w:color w:val="000000"/>
          <w:sz w:val="22"/>
          <w:szCs w:val="22"/>
        </w:rPr>
        <w:t xml:space="preserve"> </w:t>
      </w:r>
      <w:r w:rsidRPr="0059421B">
        <w:rPr>
          <w:rFonts w:ascii="Arial" w:hAnsi="Arial" w:cs="Arial"/>
          <w:bCs/>
          <w:color w:val="000000"/>
          <w:sz w:val="22"/>
          <w:szCs w:val="22"/>
        </w:rPr>
        <w:t>el pago de la compensación que corresponda conforme a lo siguiente:</w:t>
      </w:r>
    </w:p>
    <w:p w14:paraId="27B2EF6D"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1B167420" w14:textId="5D3E0A7B" w:rsidR="00D74F7F" w:rsidRPr="00D74F7F" w:rsidRDefault="006814AD" w:rsidP="00A2137E">
      <w:pPr>
        <w:pStyle w:val="N2Telmex"/>
        <w:outlineLvl w:val="2"/>
        <w:rPr>
          <w:rFonts w:ascii="Arial" w:eastAsia="Calibri" w:hAnsi="Arial" w:cs="Arial"/>
          <w:sz w:val="22"/>
          <w:szCs w:val="22"/>
          <w:u w:val="none"/>
        </w:rPr>
      </w:pPr>
      <w:r w:rsidRPr="00D74F7F">
        <w:rPr>
          <w:rFonts w:ascii="Arial" w:eastAsia="Calibri" w:hAnsi="Arial" w:cs="Arial"/>
          <w:sz w:val="22"/>
          <w:szCs w:val="22"/>
          <w:u w:val="none"/>
        </w:rPr>
        <w:t>Bloques</w:t>
      </w:r>
    </w:p>
    <w:p w14:paraId="469A4362" w14:textId="65340195"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cada uno de los Servicios han sido definidos los parámetros e indicadores de calidad. Dichos parámetros serán validados por bloques de 100 eventos consecutivos, considerando el orden en el que fueron presentadas sus respectivas solicitudes, comenzando por la primera solicitud presentada, en el entendido de que alcanzados tales 100 eventos consecutivos respecto del mismo parámetro, iniciará la contabilización de un nuevo bloque.</w:t>
      </w:r>
    </w:p>
    <w:p w14:paraId="6C324D78"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3" w14:textId="458E765B"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100, la medición de calidad se realizará con el número de eventos efectivamente alcanzados.</w:t>
      </w:r>
    </w:p>
    <w:p w14:paraId="1551471A"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4" w14:textId="055F6C6F"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 xml:space="preserve">de </w:t>
      </w:r>
      <w:r w:rsidR="002E3128" w:rsidRPr="002E3128">
        <w:rPr>
          <w:rFonts w:ascii="Arial" w:hAnsi="Arial" w:cs="Arial"/>
          <w:bCs/>
          <w:color w:val="000000"/>
          <w:sz w:val="22"/>
          <w:szCs w:val="22"/>
        </w:rPr>
        <w:t>Telmex y Telnor</w:t>
      </w:r>
      <w:r w:rsidRPr="0059421B">
        <w:rPr>
          <w:rFonts w:ascii="Arial" w:hAnsi="Arial" w:cs="Arial"/>
          <w:bCs/>
          <w:color w:val="000000"/>
          <w:sz w:val="22"/>
          <w:szCs w:val="22"/>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1F64B680"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5" w14:textId="1D23AC48" w:rsidR="006814AD" w:rsidRDefault="007357A4" w:rsidP="006039D9">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14:paraId="00131827" w14:textId="77777777" w:rsidR="006039D9" w:rsidRPr="006039D9" w:rsidRDefault="006039D9" w:rsidP="006039D9">
      <w:pPr>
        <w:adjustRightInd w:val="0"/>
        <w:spacing w:before="0" w:after="0" w:line="276" w:lineRule="auto"/>
      </w:pPr>
    </w:p>
    <w:p w14:paraId="469A4366" w14:textId="352054F8"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14:paraId="346881B7"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7" w14:textId="7CF12E39"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E3128" w:rsidRPr="002E3128">
        <w:rPr>
          <w:rFonts w:ascii="Arial" w:hAnsi="Arial" w:cs="Arial"/>
          <w:bCs/>
          <w:color w:val="000000"/>
          <w:sz w:val="22"/>
          <w:szCs w:val="22"/>
        </w:rPr>
        <w:t>Telmex y Telnor</w:t>
      </w:r>
      <w:r w:rsidR="002E3128">
        <w:rPr>
          <w:rFonts w:ascii="Arial" w:hAnsi="Arial" w:cs="Arial"/>
          <w:bCs/>
          <w:color w:val="000000"/>
          <w:sz w:val="22"/>
          <w:szCs w:val="22"/>
        </w:rPr>
        <w:t xml:space="preserve"> </w:t>
      </w:r>
      <w:r w:rsidRPr="0059421B">
        <w:rPr>
          <w:rFonts w:ascii="Arial" w:hAnsi="Arial" w:cs="Arial"/>
          <w:bCs/>
          <w:color w:val="000000"/>
          <w:sz w:val="22"/>
          <w:szCs w:val="22"/>
        </w:rPr>
        <w:t>alcanza</w:t>
      </w:r>
      <w:r w:rsidR="002E3128">
        <w:rPr>
          <w:rFonts w:ascii="Arial" w:hAnsi="Arial" w:cs="Arial"/>
          <w:bCs/>
          <w:color w:val="000000"/>
          <w:sz w:val="22"/>
          <w:szCs w:val="22"/>
        </w:rPr>
        <w:t>n</w:t>
      </w:r>
      <w:r w:rsidRPr="0059421B">
        <w:rPr>
          <w:rFonts w:ascii="Arial" w:hAnsi="Arial" w:cs="Arial"/>
          <w:bCs/>
          <w:color w:val="000000"/>
          <w:sz w:val="22"/>
          <w:szCs w:val="22"/>
        </w:rPr>
        <w:t xml:space="preserve"> el 90% del cumplimiento de los plazos establecidos, entonces el 10% restante podrá alcanzarse en un extra de tiempo no mayor al 50% del plazo original sin que esto genere una pena; por lo tanto, sólo generarán pena los eventos que superen el 150% del plazo original.</w:t>
      </w:r>
    </w:p>
    <w:p w14:paraId="7DBF6599"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8" w14:textId="32A99A71" w:rsidR="006814AD"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el cumplimiento, en los casos en que un cálculo arroje números decimales se tomará como válido el número entero inmediato superior.</w:t>
      </w:r>
    </w:p>
    <w:p w14:paraId="2F969E45" w14:textId="77777777" w:rsidR="006039D9" w:rsidRPr="0059421B" w:rsidRDefault="006039D9" w:rsidP="006039D9">
      <w:pPr>
        <w:adjustRightInd w:val="0"/>
        <w:spacing w:before="0" w:after="0" w:line="276" w:lineRule="auto"/>
        <w:rPr>
          <w:rFonts w:ascii="Arial" w:hAnsi="Arial" w:cs="Arial"/>
          <w:bCs/>
          <w:color w:val="000000"/>
          <w:sz w:val="22"/>
          <w:szCs w:val="22"/>
        </w:rPr>
      </w:pPr>
    </w:p>
    <w:p w14:paraId="469A4369" w14:textId="1EC67CE9" w:rsidR="006814AD" w:rsidRPr="0059421B" w:rsidRDefault="006814AD" w:rsidP="006039D9">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 xml:space="preserve">de </w:t>
      </w:r>
      <w:r w:rsidR="000B7544" w:rsidRPr="000B7544">
        <w:rPr>
          <w:rFonts w:ascii="Arial" w:hAnsi="Arial" w:cs="Arial"/>
          <w:bCs/>
          <w:color w:val="000000"/>
          <w:sz w:val="22"/>
          <w:szCs w:val="22"/>
        </w:rPr>
        <w:t>Telmex y Telnor</w:t>
      </w:r>
      <w:r w:rsidR="000B7544">
        <w:rPr>
          <w:rFonts w:ascii="Arial" w:hAnsi="Arial" w:cs="Arial"/>
          <w:bCs/>
          <w:color w:val="000000"/>
          <w:sz w:val="22"/>
          <w:szCs w:val="22"/>
        </w:rPr>
        <w:t xml:space="preserve"> </w:t>
      </w:r>
      <w:r w:rsidRPr="0059421B">
        <w:rPr>
          <w:rFonts w:ascii="Arial" w:hAnsi="Arial" w:cs="Arial"/>
          <w:bCs/>
          <w:color w:val="000000"/>
          <w:sz w:val="22"/>
          <w:szCs w:val="22"/>
        </w:rPr>
        <w:t>respecto de los plazos comprometidos para la realización de un Servicio en específico bajo los términos de la Oferta de Referencia.</w:t>
      </w:r>
    </w:p>
    <w:p w14:paraId="52319BA8" w14:textId="77777777" w:rsidR="006039D9" w:rsidRDefault="006039D9" w:rsidP="006039D9">
      <w:pPr>
        <w:adjustRightInd w:val="0"/>
        <w:spacing w:before="0" w:after="0" w:line="276" w:lineRule="auto"/>
        <w:ind w:right="760"/>
        <w:rPr>
          <w:rFonts w:ascii="Arial" w:hAnsi="Arial" w:cs="Arial"/>
          <w:bCs/>
          <w:color w:val="000000"/>
          <w:sz w:val="22"/>
          <w:szCs w:val="22"/>
        </w:rPr>
      </w:pPr>
    </w:p>
    <w:p w14:paraId="469A436A" w14:textId="40427FE7" w:rsidR="006814AD" w:rsidRPr="0059421B" w:rsidRDefault="006814AD" w:rsidP="006039D9">
      <w:pPr>
        <w:adjustRightInd w:val="0"/>
        <w:spacing w:before="0" w:after="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1843"/>
        <w:gridCol w:w="1843"/>
        <w:gridCol w:w="992"/>
      </w:tblGrid>
      <w:tr w:rsidR="006814AD" w:rsidRPr="00295C86" w14:paraId="469A436F" w14:textId="77777777" w:rsidTr="00760651">
        <w:trPr>
          <w:trHeight w:val="471"/>
          <w:jc w:val="center"/>
        </w:trPr>
        <w:tc>
          <w:tcPr>
            <w:tcW w:w="1271" w:type="dxa"/>
            <w:shd w:val="clear" w:color="auto" w:fill="548DD4"/>
            <w:vAlign w:val="center"/>
          </w:tcPr>
          <w:p w14:paraId="469A436B" w14:textId="77777777" w:rsidR="006814AD" w:rsidRPr="00295C86" w:rsidRDefault="006814AD" w:rsidP="006039D9">
            <w:pPr>
              <w:suppressAutoHyphens/>
              <w:spacing w:before="0" w:after="0" w:line="276"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Actividad:</w:t>
            </w:r>
          </w:p>
        </w:tc>
        <w:tc>
          <w:tcPr>
            <w:tcW w:w="1843" w:type="dxa"/>
            <w:vAlign w:val="center"/>
          </w:tcPr>
          <w:p w14:paraId="469A436C" w14:textId="77777777" w:rsidR="006814AD" w:rsidRPr="00295C86" w:rsidRDefault="006814AD" w:rsidP="006039D9">
            <w:pPr>
              <w:suppressAutoHyphens/>
              <w:spacing w:before="0" w:after="0" w:line="276" w:lineRule="auto"/>
              <w:contextualSpacing/>
              <w:jc w:val="left"/>
              <w:rPr>
                <w:rFonts w:ascii="Arial" w:hAnsi="Arial" w:cs="Arial"/>
                <w:sz w:val="22"/>
                <w:szCs w:val="22"/>
                <w:lang w:val="es-MX"/>
              </w:rPr>
            </w:pPr>
            <w:r w:rsidRPr="00295C86">
              <w:rPr>
                <w:rFonts w:ascii="Arial" w:hAnsi="Arial" w:cs="Arial"/>
                <w:sz w:val="22"/>
                <w:szCs w:val="22"/>
                <w:lang w:val="es-MX"/>
              </w:rPr>
              <w:t>Entrega de Análisis de Factibilidad</w:t>
            </w:r>
          </w:p>
        </w:tc>
        <w:tc>
          <w:tcPr>
            <w:tcW w:w="1843" w:type="dxa"/>
            <w:shd w:val="clear" w:color="auto" w:fill="548DD4"/>
            <w:vAlign w:val="center"/>
          </w:tcPr>
          <w:p w14:paraId="469A436D" w14:textId="77777777" w:rsidR="006814AD" w:rsidRPr="00295C86" w:rsidRDefault="006814AD" w:rsidP="006039D9">
            <w:pPr>
              <w:suppressAutoHyphens/>
              <w:spacing w:before="0" w:after="0" w:line="276" w:lineRule="auto"/>
              <w:contextualSpacing/>
              <w:jc w:val="left"/>
              <w:rPr>
                <w:rFonts w:ascii="Arial" w:hAnsi="Arial" w:cs="Arial"/>
                <w:b/>
                <w:color w:val="FFFFFF"/>
                <w:sz w:val="22"/>
                <w:szCs w:val="22"/>
                <w:lang w:val="es-MX"/>
              </w:rPr>
            </w:pPr>
            <w:r w:rsidRPr="00295C86">
              <w:rPr>
                <w:rFonts w:ascii="Arial" w:hAnsi="Arial" w:cs="Arial"/>
                <w:b/>
                <w:color w:val="FFFFFF"/>
                <w:sz w:val="22"/>
                <w:szCs w:val="22"/>
                <w:lang w:val="es-MX"/>
              </w:rPr>
              <w:t>Indicador:</w:t>
            </w:r>
          </w:p>
        </w:tc>
        <w:tc>
          <w:tcPr>
            <w:tcW w:w="992" w:type="dxa"/>
            <w:vAlign w:val="center"/>
          </w:tcPr>
          <w:p w14:paraId="469A436E"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90%</w:t>
            </w:r>
          </w:p>
        </w:tc>
      </w:tr>
      <w:tr w:rsidR="006814AD" w:rsidRPr="00295C86" w14:paraId="469A4374" w14:textId="77777777" w:rsidTr="00760651">
        <w:trPr>
          <w:jc w:val="center"/>
        </w:trPr>
        <w:tc>
          <w:tcPr>
            <w:tcW w:w="1271" w:type="dxa"/>
            <w:tcBorders>
              <w:top w:val="nil"/>
              <w:left w:val="nil"/>
              <w:bottom w:val="nil"/>
              <w:right w:val="nil"/>
            </w:tcBorders>
          </w:tcPr>
          <w:p w14:paraId="469A4370"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bottom w:val="nil"/>
              <w:right w:val="nil"/>
            </w:tcBorders>
          </w:tcPr>
          <w:p w14:paraId="469A4371"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bottom w:val="nil"/>
              <w:right w:val="nil"/>
            </w:tcBorders>
          </w:tcPr>
          <w:p w14:paraId="469A4372"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992" w:type="dxa"/>
            <w:tcBorders>
              <w:top w:val="nil"/>
              <w:left w:val="nil"/>
              <w:bottom w:val="nil"/>
              <w:right w:val="nil"/>
            </w:tcBorders>
          </w:tcPr>
          <w:p w14:paraId="469A4373"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r>
      <w:tr w:rsidR="006814AD" w:rsidRPr="00295C86" w14:paraId="469A4379" w14:textId="77777777" w:rsidTr="00760651">
        <w:trPr>
          <w:jc w:val="center"/>
        </w:trPr>
        <w:tc>
          <w:tcPr>
            <w:tcW w:w="1271" w:type="dxa"/>
            <w:tcBorders>
              <w:top w:val="nil"/>
              <w:left w:val="nil"/>
              <w:right w:val="nil"/>
            </w:tcBorders>
          </w:tcPr>
          <w:p w14:paraId="469A4375"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Bloque:</w:t>
            </w:r>
          </w:p>
        </w:tc>
        <w:tc>
          <w:tcPr>
            <w:tcW w:w="1843" w:type="dxa"/>
            <w:tcBorders>
              <w:top w:val="nil"/>
              <w:left w:val="nil"/>
              <w:right w:val="nil"/>
            </w:tcBorders>
          </w:tcPr>
          <w:p w14:paraId="469A4376"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1843" w:type="dxa"/>
            <w:tcBorders>
              <w:top w:val="nil"/>
              <w:left w:val="nil"/>
              <w:right w:val="nil"/>
            </w:tcBorders>
          </w:tcPr>
          <w:p w14:paraId="469A4377"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c>
          <w:tcPr>
            <w:tcW w:w="992" w:type="dxa"/>
            <w:tcBorders>
              <w:top w:val="nil"/>
              <w:left w:val="nil"/>
              <w:right w:val="nil"/>
            </w:tcBorders>
          </w:tcPr>
          <w:p w14:paraId="469A4378" w14:textId="77777777" w:rsidR="006814AD" w:rsidRPr="00295C86" w:rsidRDefault="006814AD" w:rsidP="006039D9">
            <w:pPr>
              <w:suppressAutoHyphens/>
              <w:spacing w:before="0" w:after="0" w:line="276" w:lineRule="auto"/>
              <w:contextualSpacing/>
              <w:rPr>
                <w:rFonts w:ascii="Arial" w:hAnsi="Arial" w:cs="Arial"/>
                <w:sz w:val="22"/>
                <w:szCs w:val="22"/>
                <w:lang w:val="es-MX"/>
              </w:rPr>
            </w:pPr>
          </w:p>
        </w:tc>
      </w:tr>
      <w:tr w:rsidR="006814AD" w:rsidRPr="00295C86" w14:paraId="469A437E" w14:textId="77777777" w:rsidTr="00760651">
        <w:trPr>
          <w:jc w:val="center"/>
        </w:trPr>
        <w:tc>
          <w:tcPr>
            <w:tcW w:w="1271" w:type="dxa"/>
            <w:shd w:val="clear" w:color="auto" w:fill="548DD4"/>
          </w:tcPr>
          <w:p w14:paraId="469A437A" w14:textId="77777777" w:rsidR="006814AD" w:rsidRPr="00295C86" w:rsidRDefault="006814AD" w:rsidP="006039D9">
            <w:pPr>
              <w:suppressAutoHyphens/>
              <w:spacing w:before="0" w:after="0" w:line="276" w:lineRule="auto"/>
              <w:contextualSpacing/>
              <w:rPr>
                <w:rFonts w:ascii="Arial" w:hAnsi="Arial" w:cs="Arial"/>
                <w:b/>
                <w:color w:val="FFFFFF"/>
                <w:sz w:val="22"/>
                <w:szCs w:val="22"/>
                <w:lang w:val="es-MX"/>
              </w:rPr>
            </w:pPr>
            <w:r w:rsidRPr="00295C86">
              <w:rPr>
                <w:rFonts w:ascii="Arial" w:hAnsi="Arial" w:cs="Arial"/>
                <w:b/>
                <w:color w:val="FFFFFF"/>
                <w:sz w:val="22"/>
                <w:szCs w:val="22"/>
                <w:lang w:val="es-MX"/>
              </w:rPr>
              <w:t>Mes</w:t>
            </w:r>
          </w:p>
        </w:tc>
        <w:tc>
          <w:tcPr>
            <w:tcW w:w="1843" w:type="dxa"/>
            <w:shd w:val="clear" w:color="auto" w:fill="548DD4"/>
          </w:tcPr>
          <w:p w14:paraId="469A437B"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A tiempo:</w:t>
            </w:r>
          </w:p>
        </w:tc>
        <w:tc>
          <w:tcPr>
            <w:tcW w:w="1843" w:type="dxa"/>
            <w:shd w:val="clear" w:color="auto" w:fill="548DD4"/>
          </w:tcPr>
          <w:p w14:paraId="469A437C"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Tardío</w:t>
            </w:r>
          </w:p>
        </w:tc>
        <w:tc>
          <w:tcPr>
            <w:tcW w:w="992" w:type="dxa"/>
            <w:shd w:val="clear" w:color="auto" w:fill="548DD4"/>
          </w:tcPr>
          <w:p w14:paraId="469A437D" w14:textId="77777777" w:rsidR="006814AD" w:rsidRPr="00295C86" w:rsidRDefault="006814AD" w:rsidP="006039D9">
            <w:pPr>
              <w:suppressAutoHyphens/>
              <w:spacing w:before="0" w:after="0" w:line="276" w:lineRule="auto"/>
              <w:contextualSpacing/>
              <w:jc w:val="center"/>
              <w:rPr>
                <w:rFonts w:ascii="Arial" w:hAnsi="Arial" w:cs="Arial"/>
                <w:b/>
                <w:color w:val="FFFFFF"/>
                <w:sz w:val="22"/>
                <w:szCs w:val="22"/>
                <w:lang w:val="es-MX"/>
              </w:rPr>
            </w:pPr>
            <w:r w:rsidRPr="00295C86">
              <w:rPr>
                <w:rFonts w:ascii="Arial" w:hAnsi="Arial" w:cs="Arial"/>
                <w:b/>
                <w:color w:val="FFFFFF"/>
                <w:sz w:val="22"/>
                <w:szCs w:val="22"/>
                <w:lang w:val="es-MX"/>
              </w:rPr>
              <w:t>Total</w:t>
            </w:r>
          </w:p>
        </w:tc>
      </w:tr>
      <w:tr w:rsidR="006814AD" w:rsidRPr="00295C86" w14:paraId="469A4383" w14:textId="77777777" w:rsidTr="00760651">
        <w:trPr>
          <w:jc w:val="center"/>
        </w:trPr>
        <w:tc>
          <w:tcPr>
            <w:tcW w:w="1271" w:type="dxa"/>
            <w:tcBorders>
              <w:left w:val="single" w:sz="4" w:space="0" w:color="BFBFBF"/>
              <w:bottom w:val="single" w:sz="4" w:space="0" w:color="BFBFBF"/>
              <w:right w:val="single" w:sz="4" w:space="0" w:color="BFBFBF"/>
            </w:tcBorders>
          </w:tcPr>
          <w:p w14:paraId="469A437F"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Enero</w:t>
            </w:r>
          </w:p>
        </w:tc>
        <w:tc>
          <w:tcPr>
            <w:tcW w:w="1843" w:type="dxa"/>
            <w:tcBorders>
              <w:left w:val="single" w:sz="4" w:space="0" w:color="BFBFBF"/>
              <w:bottom w:val="single" w:sz="4" w:space="0" w:color="BFBFBF"/>
              <w:right w:val="single" w:sz="4" w:space="0" w:color="BFBFBF"/>
            </w:tcBorders>
          </w:tcPr>
          <w:p w14:paraId="469A4380"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22</w:t>
            </w:r>
          </w:p>
        </w:tc>
        <w:tc>
          <w:tcPr>
            <w:tcW w:w="1843" w:type="dxa"/>
            <w:tcBorders>
              <w:left w:val="single" w:sz="4" w:space="0" w:color="BFBFBF"/>
              <w:bottom w:val="single" w:sz="4" w:space="0" w:color="BFBFBF"/>
              <w:right w:val="single" w:sz="4" w:space="0" w:color="BFBFBF"/>
            </w:tcBorders>
          </w:tcPr>
          <w:p w14:paraId="469A4381"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8</w:t>
            </w:r>
          </w:p>
        </w:tc>
        <w:tc>
          <w:tcPr>
            <w:tcW w:w="992" w:type="dxa"/>
            <w:tcBorders>
              <w:left w:val="single" w:sz="4" w:space="0" w:color="BFBFBF"/>
              <w:bottom w:val="single" w:sz="4" w:space="0" w:color="BFBFBF"/>
              <w:right w:val="single" w:sz="4" w:space="0" w:color="BFBFBF"/>
            </w:tcBorders>
          </w:tcPr>
          <w:p w14:paraId="469A4382"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295C86" w14:paraId="469A4388"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4"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14:paraId="469A4385"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18</w:t>
            </w:r>
          </w:p>
        </w:tc>
        <w:tc>
          <w:tcPr>
            <w:tcW w:w="1843" w:type="dxa"/>
            <w:tcBorders>
              <w:top w:val="single" w:sz="4" w:space="0" w:color="BFBFBF"/>
              <w:left w:val="single" w:sz="4" w:space="0" w:color="BFBFBF"/>
              <w:bottom w:val="single" w:sz="4" w:space="0" w:color="BFBFBF"/>
              <w:right w:val="single" w:sz="4" w:space="0" w:color="BFBFBF"/>
            </w:tcBorders>
          </w:tcPr>
          <w:p w14:paraId="469A4386"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w:t>
            </w:r>
          </w:p>
        </w:tc>
        <w:tc>
          <w:tcPr>
            <w:tcW w:w="992" w:type="dxa"/>
            <w:tcBorders>
              <w:top w:val="single" w:sz="4" w:space="0" w:color="BFBFBF"/>
              <w:left w:val="single" w:sz="4" w:space="0" w:color="BFBFBF"/>
              <w:bottom w:val="single" w:sz="4" w:space="0" w:color="BFBFBF"/>
              <w:right w:val="single" w:sz="4" w:space="0" w:color="BFBFBF"/>
            </w:tcBorders>
          </w:tcPr>
          <w:p w14:paraId="469A4387"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8D" w14:textId="77777777"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14:paraId="469A4389"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Marzo</w:t>
            </w:r>
          </w:p>
        </w:tc>
        <w:tc>
          <w:tcPr>
            <w:tcW w:w="1843" w:type="dxa"/>
            <w:tcBorders>
              <w:top w:val="single" w:sz="4" w:space="0" w:color="BFBFBF"/>
              <w:left w:val="single" w:sz="4" w:space="0" w:color="BFBFBF"/>
              <w:bottom w:val="single" w:sz="4" w:space="0" w:color="BFBFBF"/>
              <w:right w:val="single" w:sz="4" w:space="0" w:color="BFBFBF"/>
            </w:tcBorders>
          </w:tcPr>
          <w:p w14:paraId="469A438A"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bottom w:val="single" w:sz="4" w:space="0" w:color="BFBFBF"/>
              <w:right w:val="single" w:sz="4" w:space="0" w:color="BFBFBF"/>
            </w:tcBorders>
          </w:tcPr>
          <w:p w14:paraId="469A438B"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5</w:t>
            </w:r>
          </w:p>
        </w:tc>
        <w:tc>
          <w:tcPr>
            <w:tcW w:w="992" w:type="dxa"/>
            <w:tcBorders>
              <w:top w:val="single" w:sz="4" w:space="0" w:color="BFBFBF"/>
              <w:left w:val="single" w:sz="4" w:space="0" w:color="BFBFBF"/>
              <w:bottom w:val="single" w:sz="4" w:space="0" w:color="BFBFBF"/>
              <w:right w:val="single" w:sz="4" w:space="0" w:color="BFBFBF"/>
            </w:tcBorders>
          </w:tcPr>
          <w:p w14:paraId="469A438C"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20</w:t>
            </w:r>
          </w:p>
        </w:tc>
      </w:tr>
      <w:tr w:rsidR="006814AD" w:rsidRPr="00295C86" w14:paraId="469A4392" w14:textId="77777777" w:rsidTr="00760651">
        <w:trPr>
          <w:jc w:val="center"/>
        </w:trPr>
        <w:tc>
          <w:tcPr>
            <w:tcW w:w="1271" w:type="dxa"/>
            <w:tcBorders>
              <w:top w:val="single" w:sz="4" w:space="0" w:color="BFBFBF"/>
              <w:left w:val="single" w:sz="4" w:space="0" w:color="BFBFBF"/>
              <w:right w:val="single" w:sz="4" w:space="0" w:color="BFBFBF"/>
            </w:tcBorders>
          </w:tcPr>
          <w:p w14:paraId="469A438E" w14:textId="77777777" w:rsidR="006814AD" w:rsidRPr="00295C86" w:rsidRDefault="006814AD" w:rsidP="006039D9">
            <w:pPr>
              <w:suppressAutoHyphens/>
              <w:spacing w:before="0" w:after="0" w:line="276" w:lineRule="auto"/>
              <w:contextualSpacing/>
              <w:rPr>
                <w:rFonts w:ascii="Arial" w:hAnsi="Arial" w:cs="Arial"/>
                <w:sz w:val="22"/>
                <w:szCs w:val="22"/>
                <w:lang w:val="es-MX"/>
              </w:rPr>
            </w:pPr>
            <w:r w:rsidRPr="00295C86">
              <w:rPr>
                <w:rFonts w:ascii="Arial" w:hAnsi="Arial" w:cs="Arial"/>
                <w:sz w:val="22"/>
                <w:szCs w:val="22"/>
                <w:lang w:val="es-MX"/>
              </w:rPr>
              <w:t>Abril</w:t>
            </w:r>
          </w:p>
        </w:tc>
        <w:tc>
          <w:tcPr>
            <w:tcW w:w="1843" w:type="dxa"/>
            <w:tcBorders>
              <w:top w:val="single" w:sz="4" w:space="0" w:color="BFBFBF"/>
              <w:left w:val="single" w:sz="4" w:space="0" w:color="BFBFBF"/>
              <w:right w:val="single" w:sz="4" w:space="0" w:color="BFBFBF"/>
            </w:tcBorders>
          </w:tcPr>
          <w:p w14:paraId="469A438F"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1843" w:type="dxa"/>
            <w:tcBorders>
              <w:top w:val="single" w:sz="4" w:space="0" w:color="BFBFBF"/>
              <w:left w:val="single" w:sz="4" w:space="0" w:color="BFBFBF"/>
              <w:right w:val="single" w:sz="4" w:space="0" w:color="BFBFBF"/>
            </w:tcBorders>
          </w:tcPr>
          <w:p w14:paraId="469A4390"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15</w:t>
            </w:r>
          </w:p>
        </w:tc>
        <w:tc>
          <w:tcPr>
            <w:tcW w:w="992" w:type="dxa"/>
            <w:tcBorders>
              <w:top w:val="single" w:sz="4" w:space="0" w:color="BFBFBF"/>
              <w:left w:val="single" w:sz="4" w:space="0" w:color="BFBFBF"/>
              <w:right w:val="single" w:sz="4" w:space="0" w:color="BFBFBF"/>
            </w:tcBorders>
          </w:tcPr>
          <w:p w14:paraId="469A4391" w14:textId="77777777" w:rsidR="006814AD" w:rsidRPr="00295C86" w:rsidRDefault="006814AD" w:rsidP="006039D9">
            <w:pPr>
              <w:suppressAutoHyphens/>
              <w:spacing w:before="0" w:after="0" w:line="276" w:lineRule="auto"/>
              <w:contextualSpacing/>
              <w:jc w:val="center"/>
              <w:rPr>
                <w:rFonts w:ascii="Arial" w:hAnsi="Arial" w:cs="Arial"/>
                <w:sz w:val="22"/>
                <w:szCs w:val="22"/>
                <w:lang w:val="es-MX"/>
              </w:rPr>
            </w:pPr>
            <w:r w:rsidRPr="00295C86">
              <w:rPr>
                <w:rFonts w:ascii="Arial" w:hAnsi="Arial" w:cs="Arial"/>
                <w:sz w:val="22"/>
                <w:szCs w:val="22"/>
                <w:lang w:val="es-MX"/>
              </w:rPr>
              <w:t>30</w:t>
            </w:r>
          </w:p>
        </w:tc>
      </w:tr>
      <w:tr w:rsidR="006814AD" w:rsidRPr="003F1336" w14:paraId="469A4397" w14:textId="77777777" w:rsidTr="003F1336">
        <w:trPr>
          <w:jc w:val="center"/>
        </w:trPr>
        <w:tc>
          <w:tcPr>
            <w:tcW w:w="1271" w:type="dxa"/>
            <w:tcBorders>
              <w:left w:val="nil"/>
              <w:bottom w:val="nil"/>
              <w:right w:val="nil"/>
            </w:tcBorders>
          </w:tcPr>
          <w:p w14:paraId="469A4393" w14:textId="77777777" w:rsidR="006814AD" w:rsidRPr="003F1336" w:rsidRDefault="006814AD" w:rsidP="006039D9">
            <w:pPr>
              <w:suppressAutoHyphens/>
              <w:spacing w:before="0" w:after="0" w:line="276" w:lineRule="auto"/>
              <w:contextualSpacing/>
              <w:jc w:val="right"/>
              <w:rPr>
                <w:rFonts w:ascii="Arial" w:hAnsi="Arial" w:cs="Arial"/>
                <w:b/>
                <w:sz w:val="22"/>
                <w:szCs w:val="22"/>
                <w:lang w:val="es-MX"/>
              </w:rPr>
            </w:pPr>
            <w:r w:rsidRPr="003F1336">
              <w:rPr>
                <w:rFonts w:ascii="Arial" w:hAnsi="Arial" w:cs="Arial"/>
                <w:b/>
                <w:sz w:val="22"/>
                <w:szCs w:val="22"/>
                <w:lang w:val="es-MX"/>
              </w:rPr>
              <w:t>Total</w:t>
            </w:r>
          </w:p>
        </w:tc>
        <w:tc>
          <w:tcPr>
            <w:tcW w:w="1843" w:type="dxa"/>
            <w:tcBorders>
              <w:left w:val="nil"/>
              <w:bottom w:val="nil"/>
              <w:right w:val="nil"/>
            </w:tcBorders>
            <w:shd w:val="clear" w:color="auto" w:fill="auto"/>
          </w:tcPr>
          <w:p w14:paraId="469A4394" w14:textId="77777777" w:rsidR="006814AD" w:rsidRPr="003F1336" w:rsidRDefault="006814AD" w:rsidP="006039D9">
            <w:pPr>
              <w:suppressAutoHyphens/>
              <w:spacing w:before="0" w:after="0" w:line="276" w:lineRule="auto"/>
              <w:contextualSpacing/>
              <w:jc w:val="center"/>
              <w:rPr>
                <w:rFonts w:ascii="Arial" w:hAnsi="Arial" w:cs="Arial"/>
                <w:b/>
                <w:sz w:val="22"/>
                <w:szCs w:val="22"/>
                <w:lang w:val="es-MX"/>
              </w:rPr>
            </w:pPr>
            <w:r w:rsidRPr="003F1336">
              <w:rPr>
                <w:rFonts w:ascii="Arial" w:hAnsi="Arial" w:cs="Arial"/>
                <w:b/>
                <w:sz w:val="22"/>
                <w:szCs w:val="22"/>
                <w:lang w:val="es-MX"/>
              </w:rPr>
              <w:t>70</w:t>
            </w:r>
          </w:p>
        </w:tc>
        <w:tc>
          <w:tcPr>
            <w:tcW w:w="1843" w:type="dxa"/>
            <w:tcBorders>
              <w:left w:val="nil"/>
              <w:bottom w:val="nil"/>
              <w:right w:val="nil"/>
            </w:tcBorders>
            <w:shd w:val="clear" w:color="auto" w:fill="auto"/>
          </w:tcPr>
          <w:p w14:paraId="469A4395" w14:textId="77777777" w:rsidR="006814AD" w:rsidRPr="003F1336" w:rsidRDefault="006814AD" w:rsidP="006039D9">
            <w:pPr>
              <w:suppressAutoHyphens/>
              <w:spacing w:before="0" w:after="0" w:line="276" w:lineRule="auto"/>
              <w:contextualSpacing/>
              <w:jc w:val="center"/>
              <w:rPr>
                <w:rFonts w:ascii="Arial" w:hAnsi="Arial" w:cs="Arial"/>
                <w:b/>
                <w:sz w:val="22"/>
                <w:szCs w:val="22"/>
                <w:lang w:val="es-MX"/>
              </w:rPr>
            </w:pPr>
            <w:r w:rsidRPr="003F1336">
              <w:rPr>
                <w:rFonts w:ascii="Arial" w:hAnsi="Arial" w:cs="Arial"/>
                <w:b/>
                <w:sz w:val="22"/>
                <w:szCs w:val="22"/>
                <w:lang w:val="es-MX"/>
              </w:rPr>
              <w:t>30</w:t>
            </w:r>
          </w:p>
        </w:tc>
        <w:tc>
          <w:tcPr>
            <w:tcW w:w="992" w:type="dxa"/>
            <w:tcBorders>
              <w:left w:val="nil"/>
              <w:bottom w:val="nil"/>
              <w:right w:val="nil"/>
            </w:tcBorders>
            <w:shd w:val="clear" w:color="auto" w:fill="auto"/>
          </w:tcPr>
          <w:p w14:paraId="469A4396" w14:textId="77777777" w:rsidR="006814AD" w:rsidRPr="003F1336" w:rsidRDefault="006814AD" w:rsidP="006039D9">
            <w:pPr>
              <w:suppressAutoHyphens/>
              <w:spacing w:before="0" w:after="0" w:line="276" w:lineRule="auto"/>
              <w:contextualSpacing/>
              <w:jc w:val="center"/>
              <w:rPr>
                <w:rFonts w:ascii="Arial" w:hAnsi="Arial" w:cs="Arial"/>
                <w:b/>
                <w:sz w:val="22"/>
                <w:szCs w:val="22"/>
                <w:lang w:val="es-MX"/>
              </w:rPr>
            </w:pPr>
            <w:r w:rsidRPr="003F1336">
              <w:rPr>
                <w:rFonts w:ascii="Arial" w:hAnsi="Arial" w:cs="Arial"/>
                <w:b/>
                <w:sz w:val="22"/>
                <w:szCs w:val="22"/>
                <w:lang w:val="es-MX"/>
              </w:rPr>
              <w:t>100</w:t>
            </w:r>
          </w:p>
        </w:tc>
      </w:tr>
    </w:tbl>
    <w:p w14:paraId="469A4398" w14:textId="77777777" w:rsidR="002B16AB" w:rsidRPr="0059421B" w:rsidRDefault="002B16AB" w:rsidP="00CA6788">
      <w:pPr>
        <w:adjustRightInd w:val="0"/>
        <w:spacing w:before="0" w:after="0" w:line="276" w:lineRule="auto"/>
        <w:ind w:right="760"/>
        <w:rPr>
          <w:rFonts w:ascii="Arial" w:hAnsi="Arial" w:cs="Arial"/>
          <w:bCs/>
          <w:sz w:val="22"/>
          <w:szCs w:val="22"/>
        </w:rPr>
      </w:pPr>
    </w:p>
    <w:p w14:paraId="469A4399" w14:textId="29672F2C"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por lo tanto, la compensación se calcularía respecto del 30% restante. </w:t>
      </w:r>
    </w:p>
    <w:p w14:paraId="35D93EEF" w14:textId="77777777" w:rsidR="00CA6788" w:rsidRPr="00A2137E" w:rsidRDefault="00CA6788" w:rsidP="00CA6788">
      <w:pPr>
        <w:pStyle w:val="N2Telmex"/>
        <w:numPr>
          <w:ilvl w:val="0"/>
          <w:numId w:val="0"/>
        </w:numPr>
        <w:spacing w:before="0" w:after="0" w:line="276" w:lineRule="auto"/>
        <w:ind w:left="567"/>
        <w:rPr>
          <w:rFonts w:ascii="Arial" w:hAnsi="Arial" w:cs="Arial"/>
          <w:sz w:val="22"/>
          <w:szCs w:val="22"/>
          <w:u w:val="none"/>
        </w:rPr>
      </w:pPr>
    </w:p>
    <w:p w14:paraId="64BC9B98" w14:textId="50AE94C0" w:rsidR="00CA6788" w:rsidRPr="00A2137E" w:rsidRDefault="00794055" w:rsidP="00A2137E">
      <w:pPr>
        <w:pStyle w:val="Ttulo3"/>
        <w:rPr>
          <w:rFonts w:ascii="Arial" w:hAnsi="Arial" w:cs="Arial"/>
          <w:sz w:val="22"/>
          <w:szCs w:val="22"/>
          <w:u w:val="none"/>
        </w:rPr>
      </w:pPr>
      <w:r w:rsidRPr="00A2137E">
        <w:rPr>
          <w:rFonts w:ascii="Arial" w:hAnsi="Arial" w:cs="Arial"/>
          <w:sz w:val="22"/>
          <w:szCs w:val="22"/>
          <w:u w:val="none"/>
        </w:rPr>
        <w:t xml:space="preserve">3.3 </w:t>
      </w:r>
      <w:r w:rsidR="006814AD" w:rsidRPr="00A2137E">
        <w:rPr>
          <w:rFonts w:ascii="Arial" w:hAnsi="Arial" w:cs="Arial"/>
          <w:sz w:val="22"/>
          <w:szCs w:val="22"/>
          <w:u w:val="none"/>
        </w:rPr>
        <w:t>Valor de las Penas</w:t>
      </w:r>
    </w:p>
    <w:p w14:paraId="58C5D2C5" w14:textId="77777777" w:rsidR="00CA6788" w:rsidRPr="00CA6788" w:rsidRDefault="00CA6788" w:rsidP="00CA6788">
      <w:pPr>
        <w:adjustRightInd w:val="0"/>
        <w:spacing w:before="0" w:after="0" w:line="276" w:lineRule="auto"/>
      </w:pPr>
    </w:p>
    <w:p w14:paraId="469A439B" w14:textId="06F42654"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14:paraId="5F6F0616"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C" w14:textId="2884B74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E756A9" w:rsidRPr="00E756A9">
        <w:rPr>
          <w:rFonts w:ascii="Arial" w:hAnsi="Arial" w:cs="Arial"/>
          <w:bCs/>
          <w:color w:val="000000"/>
          <w:sz w:val="22"/>
          <w:szCs w:val="22"/>
        </w:rPr>
        <w:t>Telmex y Telnor</w:t>
      </w:r>
      <w:r w:rsidRPr="0059421B">
        <w:rPr>
          <w:rFonts w:ascii="Arial" w:hAnsi="Arial" w:cs="Arial"/>
          <w:bCs/>
          <w:color w:val="000000"/>
          <w:sz w:val="22"/>
          <w:szCs w:val="22"/>
        </w:rPr>
        <w:t xml:space="preserve">, las Partes entenderán que el servicio fue denegado por </w:t>
      </w:r>
      <w:r w:rsidR="002E3128" w:rsidRPr="002E3128">
        <w:rPr>
          <w:rFonts w:ascii="Arial" w:hAnsi="Arial" w:cs="Arial"/>
          <w:bCs/>
          <w:color w:val="000000"/>
          <w:sz w:val="22"/>
          <w:szCs w:val="22"/>
        </w:rPr>
        <w:t>Telmex y Telnor</w:t>
      </w:r>
      <w:r w:rsidRPr="0059421B">
        <w:rPr>
          <w:rFonts w:ascii="Arial" w:hAnsi="Arial" w:cs="Arial"/>
          <w:bCs/>
          <w:color w:val="000000"/>
          <w:sz w:val="22"/>
          <w:szCs w:val="22"/>
        </w:rPr>
        <w:t>, salvo que se acuerde lo contrario.</w:t>
      </w:r>
    </w:p>
    <w:p w14:paraId="34FC29B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D" w14:textId="7B30165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14:paraId="56054264"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E" w14:textId="22D0C9CD" w:rsidR="006814AD" w:rsidRPr="006039D9" w:rsidRDefault="003D3157" w:rsidP="00CA6788">
      <w:pPr>
        <w:adjustRightInd w:val="0"/>
        <w:spacing w:before="0" w:after="0" w:line="276" w:lineRule="auto"/>
        <w:rPr>
          <w:rFonts w:ascii="Arial" w:hAnsi="Arial" w:cs="Arial"/>
          <w:bCs/>
          <w:color w:val="000000"/>
          <w:sz w:val="22"/>
          <w:szCs w:val="22"/>
        </w:rPr>
      </w:pPr>
      <m:oMathPara>
        <m:oMath>
          <m:r>
            <w:rPr>
              <w:rFonts w:ascii="Cambria Math" w:hAnsi="Cambria Math" w:cs="Arial"/>
              <w:color w:val="000000"/>
              <w:sz w:val="22"/>
              <w:szCs w:val="22"/>
            </w:rPr>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14:paraId="3EDA7E49"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9F" w14:textId="5F2B94E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Donde:</w:t>
      </w:r>
    </w:p>
    <w:p w14:paraId="25FD4335"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A0" w14:textId="77777777" w:rsidR="006814AD" w:rsidRPr="0059421B" w:rsidRDefault="00A2137E" w:rsidP="00CA6788">
      <w:pPr>
        <w:adjustRightInd w:val="0"/>
        <w:spacing w:before="0" w:after="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m:t>
          </m:r>
          <m:r>
            <w:rPr>
              <w:rFonts w:ascii="Cambria Math" w:hAnsi="Cambria Math" w:cs="Arial"/>
              <w:color w:val="000000"/>
              <w:sz w:val="22"/>
              <w:szCs w:val="22"/>
            </w:rPr>
            <m:t>y</m:t>
          </m:r>
          <m:r>
            <w:rPr>
              <w:rFonts w:ascii="Cambria Math" w:hAnsi="Cambria Math" w:cs="Arial"/>
              <w:color w:val="000000"/>
              <w:sz w:val="22"/>
              <w:szCs w:val="22"/>
            </w:rPr>
            <m:t xml:space="preserve">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14:paraId="4FD209C4" w14:textId="77777777" w:rsidR="006039D9" w:rsidRDefault="006039D9" w:rsidP="00CA6788">
      <w:pPr>
        <w:adjustRightInd w:val="0"/>
        <w:spacing w:before="0" w:after="0" w:line="276" w:lineRule="auto"/>
        <w:rPr>
          <w:rFonts w:ascii="Arial" w:hAnsi="Arial" w:cs="Arial"/>
          <w:bCs/>
          <w:color w:val="000000"/>
          <w:sz w:val="22"/>
          <w:szCs w:val="22"/>
        </w:rPr>
      </w:pPr>
    </w:p>
    <w:p w14:paraId="469A43A1" w14:textId="00080C71"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14:paraId="469A43A2" w14:textId="77777777" w:rsidR="00362C1E" w:rsidRPr="0059421B" w:rsidRDefault="00362C1E" w:rsidP="00CA6788">
      <w:pPr>
        <w:adjustRightInd w:val="0"/>
        <w:spacing w:before="0" w:after="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14:paraId="469A43A6" w14:textId="77777777" w:rsidTr="00760651">
        <w:trPr>
          <w:trHeight w:val="453"/>
          <w:jc w:val="center"/>
        </w:trPr>
        <w:tc>
          <w:tcPr>
            <w:tcW w:w="2593" w:type="dxa"/>
            <w:shd w:val="clear" w:color="auto" w:fill="548DD4"/>
            <w:vAlign w:val="center"/>
          </w:tcPr>
          <w:p w14:paraId="469A43A3" w14:textId="77777777" w:rsidR="000F3DBC" w:rsidRPr="0059421B" w:rsidRDefault="000F3DBC"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t>Plazos de indicadores</w:t>
            </w:r>
          </w:p>
        </w:tc>
        <w:tc>
          <w:tcPr>
            <w:tcW w:w="2296" w:type="dxa"/>
            <w:shd w:val="clear" w:color="auto" w:fill="548DD4"/>
            <w:vAlign w:val="center"/>
          </w:tcPr>
          <w:p w14:paraId="469A43A4"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C" wp14:editId="469A43FD">
                  <wp:extent cx="1003300" cy="247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14:paraId="469A43A5" w14:textId="77777777" w:rsidR="000F3DBC" w:rsidRPr="0059421B" w:rsidRDefault="003D3157" w:rsidP="00CA6788">
            <w:pPr>
              <w:suppressAutoHyphens/>
              <w:spacing w:before="0" w:after="0" w:line="276"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14:anchorId="469A43FE" wp14:editId="469A43FF">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14:paraId="469A43AA" w14:textId="77777777" w:rsidTr="00760651">
        <w:trPr>
          <w:jc w:val="center"/>
        </w:trPr>
        <w:tc>
          <w:tcPr>
            <w:tcW w:w="2593" w:type="dxa"/>
          </w:tcPr>
          <w:p w14:paraId="469A43A7" w14:textId="76897B9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cuatro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8" w14:textId="1357D43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9" w14:textId="2B75BD1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AE" w14:textId="77777777" w:rsidTr="00760651">
        <w:trPr>
          <w:jc w:val="center"/>
        </w:trPr>
        <w:tc>
          <w:tcPr>
            <w:tcW w:w="2593" w:type="dxa"/>
          </w:tcPr>
          <w:p w14:paraId="469A43AB" w14:textId="5EE302A6"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cinco</w:t>
            </w:r>
            <w:r w:rsidR="00CE49C4">
              <w:rPr>
                <w:rFonts w:ascii="Arial" w:hAnsi="Arial" w:cs="Arial"/>
                <w:sz w:val="20"/>
                <w:szCs w:val="20"/>
                <w:lang w:val="es-MX"/>
              </w:rPr>
              <w:t xml:space="preserve"> </w:t>
            </w:r>
            <w:r w:rsidRPr="0059421B">
              <w:rPr>
                <w:rFonts w:ascii="Arial" w:hAnsi="Arial" w:cs="Arial"/>
                <w:sz w:val="20"/>
                <w:szCs w:val="20"/>
                <w:lang w:val="es-MX"/>
              </w:rPr>
              <w:t>días hábiles</w:t>
            </w:r>
          </w:p>
        </w:tc>
        <w:tc>
          <w:tcPr>
            <w:tcW w:w="2296" w:type="dxa"/>
          </w:tcPr>
          <w:p w14:paraId="469A43AC" w14:textId="45E9937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AD" w14:textId="2CCB0B0E"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2" w14:textId="77777777" w:rsidTr="00760651">
        <w:trPr>
          <w:jc w:val="center"/>
        </w:trPr>
        <w:tc>
          <w:tcPr>
            <w:tcW w:w="2593" w:type="dxa"/>
          </w:tcPr>
          <w:p w14:paraId="469A43AF" w14:textId="0473F53A"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ocho</w:t>
            </w:r>
            <w:r w:rsidRPr="0059421B">
              <w:rPr>
                <w:rFonts w:ascii="Arial" w:hAnsi="Arial" w:cs="Arial"/>
                <w:sz w:val="20"/>
                <w:szCs w:val="20"/>
                <w:lang w:val="es-MX"/>
              </w:rPr>
              <w:t xml:space="preserve"> días hábiles</w:t>
            </w:r>
          </w:p>
        </w:tc>
        <w:tc>
          <w:tcPr>
            <w:tcW w:w="2296" w:type="dxa"/>
          </w:tcPr>
          <w:p w14:paraId="469A43B0" w14:textId="6F935D1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1" w14:textId="0366AC26"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D</w:t>
            </w:r>
            <w:r w:rsidR="00F051BD">
              <w:rPr>
                <w:rFonts w:ascii="Arial" w:hAnsi="Arial" w:cs="Arial"/>
                <w:sz w:val="20"/>
                <w:szCs w:val="20"/>
                <w:lang w:val="es-MX"/>
              </w:rPr>
              <w:t>os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6" w14:textId="77777777" w:rsidTr="00760651">
        <w:trPr>
          <w:jc w:val="center"/>
        </w:trPr>
        <w:tc>
          <w:tcPr>
            <w:tcW w:w="2593" w:type="dxa"/>
          </w:tcPr>
          <w:p w14:paraId="469A43B3" w14:textId="14E6E63B"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 xml:space="preserve">Plazos de </w:t>
            </w:r>
            <w:r w:rsidR="00F051BD">
              <w:rPr>
                <w:rFonts w:ascii="Arial" w:hAnsi="Arial" w:cs="Arial"/>
                <w:sz w:val="20"/>
                <w:szCs w:val="20"/>
                <w:lang w:val="es-MX"/>
              </w:rPr>
              <w:t>diez</w:t>
            </w:r>
            <w:r w:rsidRPr="0059421B">
              <w:rPr>
                <w:rFonts w:ascii="Arial" w:hAnsi="Arial" w:cs="Arial"/>
                <w:sz w:val="20"/>
                <w:szCs w:val="20"/>
                <w:lang w:val="es-MX"/>
              </w:rPr>
              <w:t xml:space="preserve"> días hábiles</w:t>
            </w:r>
          </w:p>
        </w:tc>
        <w:tc>
          <w:tcPr>
            <w:tcW w:w="2296" w:type="dxa"/>
          </w:tcPr>
          <w:p w14:paraId="469A43B4" w14:textId="791B104A"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5" w14:textId="1E4CE331"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U</w:t>
            </w:r>
            <w:r w:rsidR="00F051BD">
              <w:rPr>
                <w:rFonts w:ascii="Arial" w:hAnsi="Arial" w:cs="Arial"/>
                <w:sz w:val="20"/>
                <w:szCs w:val="20"/>
                <w:lang w:val="es-MX"/>
              </w:rPr>
              <w:t>n</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A" w14:textId="77777777" w:rsidTr="00760651">
        <w:trPr>
          <w:jc w:val="center"/>
        </w:trPr>
        <w:tc>
          <w:tcPr>
            <w:tcW w:w="2593" w:type="dxa"/>
          </w:tcPr>
          <w:p w14:paraId="469A43B7"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14:paraId="469A43B8" w14:textId="06B48F78"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9" w14:textId="57F098B4"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T</w:t>
            </w:r>
            <w:r w:rsidR="00F051BD">
              <w:rPr>
                <w:rFonts w:ascii="Arial" w:hAnsi="Arial" w:cs="Arial"/>
                <w:sz w:val="20"/>
                <w:szCs w:val="20"/>
                <w:lang w:val="es-MX"/>
              </w:rPr>
              <w:t>res</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BE" w14:textId="77777777" w:rsidTr="00760651">
        <w:trPr>
          <w:jc w:val="center"/>
        </w:trPr>
        <w:tc>
          <w:tcPr>
            <w:tcW w:w="2593" w:type="dxa"/>
          </w:tcPr>
          <w:p w14:paraId="469A43BB"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14:paraId="469A43BC" w14:textId="441F0E60"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iete</w:t>
            </w:r>
            <w:r w:rsidR="000F3DBC" w:rsidRPr="0059421B">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BD" w14:textId="767762AC"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C</w:t>
            </w:r>
            <w:r w:rsidR="00F051BD">
              <w:rPr>
                <w:rFonts w:ascii="Arial" w:hAnsi="Arial" w:cs="Arial"/>
                <w:sz w:val="20"/>
                <w:szCs w:val="20"/>
                <w:lang w:val="es-MX"/>
              </w:rPr>
              <w:t>uatro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2" w14:textId="77777777" w:rsidTr="00760651">
        <w:trPr>
          <w:jc w:val="center"/>
        </w:trPr>
        <w:tc>
          <w:tcPr>
            <w:tcW w:w="2593" w:type="dxa"/>
          </w:tcPr>
          <w:p w14:paraId="469A43BF"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14:paraId="469A43C0" w14:textId="5D114C9B"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O</w:t>
            </w:r>
            <w:r w:rsidR="00F051BD">
              <w:rPr>
                <w:rFonts w:ascii="Arial" w:hAnsi="Arial" w:cs="Arial"/>
                <w:sz w:val="20"/>
                <w:szCs w:val="20"/>
                <w:lang w:val="es-MX"/>
              </w:rPr>
              <w:t>cho</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c>
          <w:tcPr>
            <w:tcW w:w="2316" w:type="dxa"/>
          </w:tcPr>
          <w:p w14:paraId="469A43C1" w14:textId="7BB4B457" w:rsidR="000F3DBC" w:rsidRPr="0059421B" w:rsidRDefault="00A91A02" w:rsidP="00CA6788">
            <w:pPr>
              <w:suppressAutoHyphens/>
              <w:spacing w:before="0" w:after="0" w:line="276" w:lineRule="auto"/>
              <w:contextualSpacing/>
              <w:rPr>
                <w:rFonts w:ascii="Arial" w:hAnsi="Arial" w:cs="Arial"/>
                <w:sz w:val="20"/>
                <w:szCs w:val="20"/>
                <w:lang w:val="es-MX"/>
              </w:rPr>
            </w:pPr>
            <w:r>
              <w:rPr>
                <w:rFonts w:ascii="Arial" w:hAnsi="Arial" w:cs="Arial"/>
                <w:sz w:val="20"/>
                <w:szCs w:val="20"/>
                <w:lang w:val="es-MX"/>
              </w:rPr>
              <w:t>S</w:t>
            </w:r>
            <w:r w:rsidR="00F051BD">
              <w:rPr>
                <w:rFonts w:ascii="Arial" w:hAnsi="Arial" w:cs="Arial"/>
                <w:sz w:val="20"/>
                <w:szCs w:val="20"/>
                <w:lang w:val="es-MX"/>
              </w:rPr>
              <w:t>eis</w:t>
            </w:r>
            <w:r w:rsidR="00CE49C4">
              <w:rPr>
                <w:rFonts w:ascii="Arial" w:hAnsi="Arial" w:cs="Arial"/>
                <w:sz w:val="20"/>
                <w:szCs w:val="20"/>
                <w:lang w:val="es-MX"/>
              </w:rPr>
              <w:t xml:space="preserve"> </w:t>
            </w:r>
            <w:r w:rsidR="00F94883" w:rsidRPr="0059421B">
              <w:rPr>
                <w:rFonts w:ascii="Arial" w:hAnsi="Arial" w:cs="Arial"/>
                <w:sz w:val="20"/>
                <w:szCs w:val="20"/>
                <w:lang w:val="es-MX"/>
              </w:rPr>
              <w:t>DH</w:t>
            </w:r>
          </w:p>
        </w:tc>
      </w:tr>
      <w:tr w:rsidR="000F3DBC" w:rsidRPr="0059421B" w14:paraId="469A43C6" w14:textId="77777777" w:rsidTr="00760651">
        <w:trPr>
          <w:jc w:val="center"/>
        </w:trPr>
        <w:tc>
          <w:tcPr>
            <w:tcW w:w="2593" w:type="dxa"/>
          </w:tcPr>
          <w:p w14:paraId="469A43C3"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no definido</w:t>
            </w:r>
          </w:p>
        </w:tc>
        <w:tc>
          <w:tcPr>
            <w:tcW w:w="2296" w:type="dxa"/>
          </w:tcPr>
          <w:p w14:paraId="469A43C4" w14:textId="77777777" w:rsidR="000F3DBC" w:rsidRPr="0059421B" w:rsidRDefault="000F3DBC" w:rsidP="00CA6788">
            <w:pPr>
              <w:suppressAutoHyphens/>
              <w:spacing w:before="0" w:after="0" w:line="276"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14:paraId="469A43C5" w14:textId="77777777" w:rsidR="000F3DBC" w:rsidRPr="0059421B" w:rsidRDefault="000F3DBC" w:rsidP="00CA6788">
            <w:pPr>
              <w:suppressAutoHyphens/>
              <w:spacing w:before="0" w:after="0" w:line="276"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14:paraId="469A43C7" w14:textId="77777777" w:rsidR="0059421B" w:rsidRDefault="0059421B" w:rsidP="00CA6788">
      <w:pPr>
        <w:adjustRightInd w:val="0"/>
        <w:spacing w:before="0" w:after="0" w:line="276" w:lineRule="auto"/>
        <w:rPr>
          <w:rFonts w:ascii="Arial" w:hAnsi="Arial" w:cs="Arial"/>
          <w:bCs/>
          <w:color w:val="000000"/>
        </w:rPr>
      </w:pPr>
    </w:p>
    <w:p w14:paraId="469A43C8" w14:textId="47CD7F5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Ejemplo:</w:t>
      </w:r>
    </w:p>
    <w:p w14:paraId="319A291C" w14:textId="77777777" w:rsidR="006039D9" w:rsidRPr="0059421B" w:rsidRDefault="006039D9" w:rsidP="00CA6788">
      <w:pPr>
        <w:adjustRightInd w:val="0"/>
        <w:spacing w:before="0" w:after="0" w:line="276" w:lineRule="auto"/>
        <w:rPr>
          <w:rFonts w:ascii="Arial" w:hAnsi="Arial" w:cs="Arial"/>
          <w:bCs/>
          <w:color w:val="000000"/>
          <w:sz w:val="22"/>
          <w:szCs w:val="22"/>
        </w:rPr>
      </w:pPr>
    </w:p>
    <w:p w14:paraId="469A43C9" w14:textId="0D8B1338"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14:paraId="2B6CFD8C" w14:textId="77777777" w:rsidR="009D3AC6" w:rsidRPr="0059421B" w:rsidRDefault="009D3AC6" w:rsidP="00CA6788">
      <w:pPr>
        <w:adjustRightInd w:val="0"/>
        <w:spacing w:before="0" w:after="0" w:line="276" w:lineRule="auto"/>
        <w:rPr>
          <w:rFonts w:ascii="Arial" w:hAnsi="Arial" w:cs="Arial"/>
          <w:bCs/>
          <w:color w:val="000000"/>
          <w:sz w:val="22"/>
          <w:szCs w:val="22"/>
        </w:rPr>
      </w:pPr>
    </w:p>
    <w:p w14:paraId="469A43CA"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hábiles 16, 17, 18 y 19 generan una pena por día del 2.5 % del valor del servicio; </w:t>
      </w:r>
    </w:p>
    <w:p w14:paraId="469A43CB" w14:textId="77777777" w:rsidR="002B16AB" w:rsidRPr="0059421B" w:rsidRDefault="002B16AB" w:rsidP="00CA6788">
      <w:pPr>
        <w:suppressAutoHyphens/>
        <w:adjustRightInd w:val="0"/>
        <w:spacing w:before="0" w:after="0" w:line="276" w:lineRule="auto"/>
        <w:ind w:left="723"/>
        <w:contextualSpacing/>
        <w:rPr>
          <w:rFonts w:ascii="Arial" w:hAnsi="Arial" w:cs="Arial"/>
          <w:bCs/>
          <w:color w:val="000000"/>
          <w:sz w:val="22"/>
          <w:szCs w:val="22"/>
        </w:rPr>
      </w:pPr>
    </w:p>
    <w:p w14:paraId="469A43CC"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14:paraId="469A43CD"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CE" w14:textId="77777777" w:rsidR="002B16AB"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14:paraId="469A43CF" w14:textId="77777777" w:rsidR="002B16AB" w:rsidRPr="0059421B" w:rsidRDefault="002B16AB" w:rsidP="00CA6788">
      <w:pPr>
        <w:suppressAutoHyphens/>
        <w:adjustRightInd w:val="0"/>
        <w:spacing w:before="0" w:after="0" w:line="276" w:lineRule="auto"/>
        <w:contextualSpacing/>
        <w:rPr>
          <w:rFonts w:ascii="Arial" w:hAnsi="Arial" w:cs="Arial"/>
          <w:bCs/>
          <w:color w:val="000000"/>
          <w:sz w:val="22"/>
          <w:szCs w:val="22"/>
        </w:rPr>
      </w:pPr>
    </w:p>
    <w:p w14:paraId="469A43D0" w14:textId="77777777" w:rsidR="006814AD" w:rsidRPr="0059421B" w:rsidRDefault="006814AD" w:rsidP="00CA6788">
      <w:pPr>
        <w:numPr>
          <w:ilvl w:val="0"/>
          <w:numId w:val="24"/>
        </w:numPr>
        <w:suppressAutoHyphens/>
        <w:adjustRightInd w:val="0"/>
        <w:spacing w:before="0" w:after="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14:paraId="469A43D1" w14:textId="77777777" w:rsidR="005841AB" w:rsidRPr="0059421B" w:rsidRDefault="005841AB" w:rsidP="00CA6788">
      <w:pPr>
        <w:adjustRightInd w:val="0"/>
        <w:spacing w:before="0" w:after="0" w:line="276" w:lineRule="auto"/>
        <w:rPr>
          <w:rFonts w:ascii="Arial" w:hAnsi="Arial" w:cs="Arial"/>
          <w:bCs/>
          <w:color w:val="000000"/>
          <w:sz w:val="22"/>
          <w:szCs w:val="22"/>
        </w:rPr>
      </w:pPr>
    </w:p>
    <w:p w14:paraId="469A43D3" w14:textId="78429E41"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w:t>
      </w:r>
      <w:r w:rsidR="00CE49C4">
        <w:rPr>
          <w:rFonts w:ascii="Arial" w:hAnsi="Arial" w:cs="Arial"/>
          <w:bCs/>
          <w:color w:val="000000"/>
          <w:sz w:val="22"/>
          <w:szCs w:val="22"/>
        </w:rPr>
        <w:t>e</w:t>
      </w:r>
      <w:r w:rsidRPr="0059421B">
        <w:rPr>
          <w:rFonts w:ascii="Arial" w:hAnsi="Arial" w:cs="Arial"/>
          <w:bCs/>
          <w:color w:val="000000"/>
          <w:sz w:val="22"/>
          <w:szCs w:val="22"/>
        </w:rPr>
        <w:t xml:space="preserve"> la actividad de apoyo asociada:</w:t>
      </w:r>
    </w:p>
    <w:p w14:paraId="608E42A2" w14:textId="77777777" w:rsidR="00806A2F" w:rsidRPr="0059421B" w:rsidRDefault="00806A2F" w:rsidP="00CA6788">
      <w:pPr>
        <w:adjustRightInd w:val="0"/>
        <w:spacing w:before="0" w:after="0" w:line="276" w:lineRule="auto"/>
        <w:rPr>
          <w:rFonts w:ascii="Arial" w:hAnsi="Arial" w:cs="Arial"/>
          <w:bCs/>
          <w:color w:val="000000"/>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14:paraId="469A43D6" w14:textId="77777777" w:rsidTr="002B16AB">
        <w:tc>
          <w:tcPr>
            <w:tcW w:w="4023" w:type="dxa"/>
            <w:shd w:val="clear" w:color="auto" w:fill="548DD4"/>
          </w:tcPr>
          <w:p w14:paraId="469A43D4"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4765" w:type="dxa"/>
            <w:shd w:val="clear" w:color="auto" w:fill="548DD4"/>
          </w:tcPr>
          <w:p w14:paraId="469A43D5"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D9" w14:textId="77777777" w:rsidTr="002B16AB">
        <w:tc>
          <w:tcPr>
            <w:tcW w:w="4023" w:type="dxa"/>
          </w:tcPr>
          <w:p w14:paraId="469A43D7"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14:paraId="469A43D8"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14:paraId="469A43DC" w14:textId="77777777" w:rsidTr="002B16AB">
        <w:tc>
          <w:tcPr>
            <w:tcW w:w="4023" w:type="dxa"/>
          </w:tcPr>
          <w:p w14:paraId="469A43DA" w14:textId="77777777" w:rsidR="006814AD" w:rsidRPr="0059421B" w:rsidRDefault="006814AD" w:rsidP="00CA6788">
            <w:pPr>
              <w:suppressAutoHyphens/>
              <w:spacing w:before="0" w:after="0" w:line="276"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14:paraId="469A43DB"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14:paraId="469A43DD" w14:textId="77777777" w:rsidR="006814AD" w:rsidRPr="0059421B" w:rsidRDefault="006814AD" w:rsidP="00CA6788">
      <w:pPr>
        <w:adjustRightInd w:val="0"/>
        <w:spacing w:before="0" w:after="0" w:line="276" w:lineRule="auto"/>
        <w:ind w:left="851" w:right="760"/>
        <w:rPr>
          <w:rFonts w:ascii="Arial" w:hAnsi="Arial" w:cs="Arial"/>
          <w:bCs/>
          <w:color w:val="000000"/>
          <w:sz w:val="22"/>
          <w:szCs w:val="22"/>
        </w:rPr>
      </w:pPr>
    </w:p>
    <w:p w14:paraId="469A43DE" w14:textId="13B58DA5" w:rsidR="00BF2BAA"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E3128" w:rsidRPr="002E3128">
        <w:rPr>
          <w:rFonts w:ascii="Arial" w:hAnsi="Arial" w:cs="Arial"/>
          <w:bCs/>
          <w:color w:val="000000"/>
          <w:sz w:val="22"/>
          <w:szCs w:val="22"/>
        </w:rPr>
        <w:t>Telmex y Telnor</w:t>
      </w:r>
      <w:r w:rsidR="002E3128">
        <w:rPr>
          <w:rFonts w:ascii="Arial" w:hAnsi="Arial" w:cs="Arial"/>
          <w:bCs/>
          <w:color w:val="000000"/>
          <w:sz w:val="22"/>
          <w:szCs w:val="22"/>
        </w:rPr>
        <w:t xml:space="preserve"> </w:t>
      </w:r>
      <w:r w:rsidRPr="0059421B">
        <w:rPr>
          <w:rFonts w:ascii="Arial" w:hAnsi="Arial" w:cs="Arial"/>
          <w:bCs/>
          <w:color w:val="000000"/>
          <w:sz w:val="22"/>
          <w:szCs w:val="22"/>
        </w:rPr>
        <w:t>ha</w:t>
      </w:r>
      <w:r w:rsidR="002E3128">
        <w:rPr>
          <w:rFonts w:ascii="Arial" w:hAnsi="Arial" w:cs="Arial"/>
          <w:bCs/>
          <w:color w:val="000000"/>
          <w:sz w:val="22"/>
          <w:szCs w:val="22"/>
        </w:rPr>
        <w:t>n</w:t>
      </w:r>
      <w:r w:rsidRPr="0059421B">
        <w:rPr>
          <w:rFonts w:ascii="Arial" w:hAnsi="Arial" w:cs="Arial"/>
          <w:bCs/>
          <w:color w:val="000000"/>
          <w:sz w:val="22"/>
          <w:szCs w:val="22"/>
        </w:rPr>
        <w:t xml:space="preserve"> incumplido con la correcta prestación de los servicios, salvo que se acuerde lo contrario.</w:t>
      </w:r>
    </w:p>
    <w:p w14:paraId="7774FF6C" w14:textId="4EC1F65B" w:rsidR="00806A2F" w:rsidRDefault="00806A2F" w:rsidP="00CA6788">
      <w:pPr>
        <w:adjustRightInd w:val="0"/>
        <w:spacing w:before="0" w:after="0" w:line="276" w:lineRule="auto"/>
        <w:rPr>
          <w:rFonts w:ascii="Arial" w:hAnsi="Arial" w:cs="Arial"/>
          <w:bCs/>
          <w:color w:val="000000"/>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14:paraId="469A43E1" w14:textId="77777777" w:rsidTr="00D65A2E">
        <w:tc>
          <w:tcPr>
            <w:tcW w:w="4848" w:type="dxa"/>
            <w:shd w:val="clear" w:color="auto" w:fill="548DD4"/>
          </w:tcPr>
          <w:p w14:paraId="469A43DF"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14:paraId="469A43E0" w14:textId="77777777" w:rsidR="006814AD" w:rsidRPr="0059421B" w:rsidRDefault="006814AD" w:rsidP="00CA6788">
            <w:pPr>
              <w:suppressAutoHyphens/>
              <w:spacing w:before="0" w:after="0" w:line="276"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14:paraId="469A43E4" w14:textId="77777777" w:rsidTr="00D65A2E">
        <w:tc>
          <w:tcPr>
            <w:tcW w:w="4848" w:type="dxa"/>
            <w:vAlign w:val="center"/>
          </w:tcPr>
          <w:p w14:paraId="469A43E2"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MX"/>
              </w:rPr>
              <w:lastRenderedPageBreak/>
              <w:t xml:space="preserve">Acceso por Emergencia </w:t>
            </w:r>
          </w:p>
        </w:tc>
        <w:tc>
          <w:tcPr>
            <w:tcW w:w="3798" w:type="dxa"/>
          </w:tcPr>
          <w:p w14:paraId="469A43E3"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7" w14:textId="77777777" w:rsidTr="00D65A2E">
        <w:tc>
          <w:tcPr>
            <w:tcW w:w="4848" w:type="dxa"/>
            <w:vAlign w:val="center"/>
          </w:tcPr>
          <w:p w14:paraId="469A43E5"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14:paraId="469A43E6"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A" w14:textId="77777777" w:rsidTr="00D65A2E">
        <w:tc>
          <w:tcPr>
            <w:tcW w:w="4848" w:type="dxa"/>
            <w:vAlign w:val="center"/>
          </w:tcPr>
          <w:p w14:paraId="469A43E8" w14:textId="77777777" w:rsidR="006814AD" w:rsidRPr="0059421B" w:rsidRDefault="006814AD" w:rsidP="00CA6788">
            <w:pPr>
              <w:suppressAutoHyphens/>
              <w:spacing w:before="0" w:after="0" w:line="276"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14:paraId="469A43E9"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14:paraId="469A43ED" w14:textId="77777777" w:rsidTr="00D65A2E">
        <w:tc>
          <w:tcPr>
            <w:tcW w:w="4848" w:type="dxa"/>
            <w:vAlign w:val="center"/>
          </w:tcPr>
          <w:p w14:paraId="469A43EB" w14:textId="3D3D71F0" w:rsidR="006814AD" w:rsidRPr="0059421B" w:rsidRDefault="006814AD" w:rsidP="00CA6788">
            <w:pPr>
              <w:suppressAutoHyphens/>
              <w:spacing w:before="0" w:after="0" w:line="276" w:lineRule="auto"/>
              <w:contextualSpacing/>
              <w:jc w:val="left"/>
              <w:rPr>
                <w:rFonts w:ascii="Arial" w:hAnsi="Arial" w:cs="Arial"/>
                <w:sz w:val="22"/>
                <w:szCs w:val="22"/>
                <w:lang w:val="es-ES"/>
              </w:rPr>
            </w:pPr>
            <w:r w:rsidRPr="0059421B">
              <w:rPr>
                <w:rFonts w:ascii="Arial" w:hAnsi="Arial" w:cs="Arial"/>
                <w:sz w:val="22"/>
                <w:szCs w:val="22"/>
                <w:lang w:val="es-ES"/>
              </w:rPr>
              <w:t xml:space="preserve">Reparación de fallas atribuidas a </w:t>
            </w:r>
            <w:r w:rsidR="002E3128" w:rsidRPr="002E3128">
              <w:rPr>
                <w:rFonts w:ascii="Arial" w:hAnsi="Arial" w:cs="Arial"/>
                <w:sz w:val="22"/>
                <w:szCs w:val="22"/>
                <w:lang w:val="es-ES"/>
              </w:rPr>
              <w:t>Telmex y Telnor</w:t>
            </w:r>
          </w:p>
        </w:tc>
        <w:tc>
          <w:tcPr>
            <w:tcW w:w="3798" w:type="dxa"/>
          </w:tcPr>
          <w:p w14:paraId="469A43EC" w14:textId="77777777" w:rsidR="006814AD" w:rsidRPr="0059421B" w:rsidRDefault="006814AD" w:rsidP="00CA6788">
            <w:pPr>
              <w:suppressAutoHyphens/>
              <w:spacing w:before="0" w:after="0" w:line="276"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14:paraId="469A43EE" w14:textId="77777777" w:rsidR="00061344" w:rsidRDefault="00061344" w:rsidP="00CA6788">
      <w:pPr>
        <w:adjustRightInd w:val="0"/>
        <w:spacing w:before="0" w:after="0" w:line="276" w:lineRule="auto"/>
        <w:rPr>
          <w:rFonts w:ascii="Arial" w:hAnsi="Arial" w:cs="Arial"/>
          <w:sz w:val="22"/>
          <w:szCs w:val="22"/>
        </w:rPr>
      </w:pPr>
    </w:p>
    <w:p w14:paraId="22F08B64" w14:textId="7948E1B2" w:rsidR="00480C0E" w:rsidRPr="00CB41BF" w:rsidRDefault="00480C0E" w:rsidP="00480C0E">
      <w:pPr>
        <w:adjustRightInd w:val="0"/>
        <w:spacing w:before="0" w:after="0" w:line="276" w:lineRule="auto"/>
        <w:rPr>
          <w:rFonts w:ascii="Arial" w:hAnsi="Arial" w:cs="Arial"/>
          <w:b/>
          <w:sz w:val="22"/>
          <w:szCs w:val="22"/>
          <w:u w:val="single"/>
        </w:rPr>
      </w:pPr>
      <w:r w:rsidRPr="00CB41BF">
        <w:rPr>
          <w:rFonts w:ascii="Arial" w:hAnsi="Arial" w:cs="Arial"/>
          <w:b/>
          <w:sz w:val="22"/>
          <w:szCs w:val="22"/>
          <w:u w:val="single"/>
        </w:rPr>
        <w:t>Consideraciones en el cómputo:</w:t>
      </w:r>
    </w:p>
    <w:p w14:paraId="012046DC" w14:textId="77777777" w:rsidR="00480C0E" w:rsidRPr="00480C0E" w:rsidRDefault="00480C0E" w:rsidP="00480C0E">
      <w:pPr>
        <w:adjustRightInd w:val="0"/>
        <w:spacing w:before="0" w:after="0" w:line="276" w:lineRule="auto"/>
        <w:rPr>
          <w:rFonts w:ascii="Arial" w:hAnsi="Arial" w:cs="Arial"/>
          <w:sz w:val="22"/>
          <w:szCs w:val="22"/>
        </w:rPr>
      </w:pPr>
    </w:p>
    <w:p w14:paraId="1172A049" w14:textId="41A95016" w:rsidR="00480C0E" w:rsidRDefault="00480C0E" w:rsidP="00480C0E">
      <w:pPr>
        <w:adjustRightInd w:val="0"/>
        <w:spacing w:before="0" w:after="0" w:line="276" w:lineRule="auto"/>
        <w:rPr>
          <w:rFonts w:ascii="Arial" w:hAnsi="Arial" w:cs="Arial"/>
          <w:sz w:val="22"/>
          <w:szCs w:val="22"/>
        </w:rPr>
      </w:pPr>
      <w:r w:rsidRPr="00480C0E">
        <w:rPr>
          <w:rFonts w:ascii="Arial" w:hAnsi="Arial" w:cs="Arial"/>
          <w:sz w:val="22"/>
          <w:szCs w:val="22"/>
        </w:rPr>
        <w:t>No se considerarán los días inhábiles establecidos en el Contrato Colectivo de Trabajo del AEP,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172DA116" w14:textId="77777777" w:rsidR="00480C0E" w:rsidRPr="0059421B" w:rsidRDefault="00480C0E" w:rsidP="00CA6788">
      <w:pPr>
        <w:adjustRightInd w:val="0"/>
        <w:spacing w:before="0" w:after="0" w:line="276" w:lineRule="auto"/>
        <w:rPr>
          <w:rFonts w:ascii="Arial" w:hAnsi="Arial" w:cs="Arial"/>
          <w:sz w:val="22"/>
          <w:szCs w:val="22"/>
        </w:rPr>
      </w:pPr>
    </w:p>
    <w:p w14:paraId="469A43EF" w14:textId="1772439F" w:rsidR="006814AD" w:rsidRDefault="00A77409" w:rsidP="00CA6788">
      <w:pPr>
        <w:pStyle w:val="Ttulo3"/>
        <w:spacing w:before="0" w:line="276" w:lineRule="auto"/>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14:paraId="104DFE3B" w14:textId="77777777" w:rsidR="009D3AC6" w:rsidRPr="009D3AC6" w:rsidRDefault="009D3AC6" w:rsidP="00CA6788">
      <w:pPr>
        <w:adjustRightInd w:val="0"/>
        <w:spacing w:before="0" w:after="0" w:line="276" w:lineRule="auto"/>
      </w:pPr>
    </w:p>
    <w:p w14:paraId="469A43F0" w14:textId="7668CD44"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14:paraId="2D97ACC1"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1" w14:textId="2ECB361D" w:rsidR="006814AD"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rPr>
        <w:t>El análisis de indicadores para el cálculo de penalizaciones se realizará de la siguiente forma:</w:t>
      </w:r>
    </w:p>
    <w:p w14:paraId="44E7D3BF"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2" w14:textId="71DA3B7E"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r w:rsidR="00806A2F">
        <w:rPr>
          <w:rFonts w:ascii="Arial" w:hAnsi="Arial" w:cs="Arial"/>
          <w:sz w:val="22"/>
          <w:szCs w:val="22"/>
          <w:lang w:val="es-ES" w:eastAsia="en-US"/>
        </w:rPr>
        <w:t>.</w:t>
      </w:r>
    </w:p>
    <w:p w14:paraId="469A43F3" w14:textId="73BFBB8C"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r w:rsidR="00806A2F">
        <w:rPr>
          <w:rFonts w:ascii="Arial" w:hAnsi="Arial" w:cs="Arial"/>
          <w:bCs/>
          <w:color w:val="000000"/>
          <w:sz w:val="22"/>
          <w:szCs w:val="22"/>
          <w:lang w:eastAsia="en-US"/>
        </w:rPr>
        <w:t>.</w:t>
      </w:r>
    </w:p>
    <w:p w14:paraId="469A43F4" w14:textId="0C84920D"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r w:rsidR="00806A2F">
        <w:rPr>
          <w:rFonts w:ascii="Arial" w:hAnsi="Arial" w:cs="Arial"/>
          <w:bCs/>
          <w:color w:val="000000"/>
          <w:sz w:val="22"/>
          <w:szCs w:val="22"/>
          <w:lang w:eastAsia="en-US"/>
        </w:rPr>
        <w:t>.</w:t>
      </w:r>
    </w:p>
    <w:p w14:paraId="469A43F5" w14:textId="29C1FC45" w:rsidR="006814AD" w:rsidRPr="0059421B" w:rsidRDefault="006814AD" w:rsidP="00CA6788">
      <w:pPr>
        <w:numPr>
          <w:ilvl w:val="0"/>
          <w:numId w:val="25"/>
        </w:numPr>
        <w:suppressAutoHyphens/>
        <w:adjustRightInd w:val="0"/>
        <w:spacing w:before="0" w:after="0" w:line="276" w:lineRule="auto"/>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Octubre: análisis de periodo Julio – Septiembre del año en curso</w:t>
      </w:r>
      <w:r w:rsidR="00806A2F">
        <w:rPr>
          <w:rFonts w:ascii="Arial" w:hAnsi="Arial" w:cs="Arial"/>
          <w:bCs/>
          <w:color w:val="000000"/>
          <w:sz w:val="22"/>
          <w:szCs w:val="22"/>
          <w:lang w:eastAsia="en-US"/>
        </w:rPr>
        <w:t>.</w:t>
      </w:r>
    </w:p>
    <w:p w14:paraId="469A43F6" w14:textId="77777777" w:rsidR="00D65A2E" w:rsidRPr="0059421B" w:rsidRDefault="00D65A2E" w:rsidP="00CA6788">
      <w:pPr>
        <w:suppressAutoHyphens/>
        <w:adjustRightInd w:val="0"/>
        <w:spacing w:before="0" w:after="0" w:line="276" w:lineRule="auto"/>
        <w:ind w:left="870"/>
        <w:contextualSpacing/>
        <w:rPr>
          <w:rFonts w:ascii="Arial" w:hAnsi="Arial" w:cs="Arial"/>
          <w:sz w:val="22"/>
          <w:szCs w:val="22"/>
          <w:lang w:val="es-ES" w:eastAsia="en-US"/>
        </w:rPr>
      </w:pPr>
    </w:p>
    <w:p w14:paraId="469A43F7" w14:textId="526BAD1F"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E3128" w:rsidRPr="002E3128">
        <w:rPr>
          <w:rFonts w:ascii="Arial" w:hAnsi="Arial" w:cs="Arial"/>
          <w:sz w:val="22"/>
          <w:szCs w:val="22"/>
          <w:lang w:val="es-ES" w:eastAsia="en-US"/>
        </w:rPr>
        <w:t>Telmex y Telnor</w:t>
      </w:r>
      <w:r w:rsidR="002E3128">
        <w:rPr>
          <w:rFonts w:ascii="Arial" w:hAnsi="Arial" w:cs="Arial"/>
          <w:sz w:val="22"/>
          <w:szCs w:val="22"/>
          <w:lang w:val="es-ES" w:eastAsia="en-US"/>
        </w:rPr>
        <w:t xml:space="preserve"> </w:t>
      </w:r>
      <w:r w:rsidRPr="0059421B">
        <w:rPr>
          <w:rFonts w:ascii="Arial" w:hAnsi="Arial" w:cs="Arial"/>
          <w:sz w:val="22"/>
          <w:szCs w:val="22"/>
          <w:lang w:val="es-ES" w:eastAsia="en-US"/>
        </w:rPr>
        <w:t>elaborará</w:t>
      </w:r>
      <w:r w:rsidR="002E3128">
        <w:rPr>
          <w:rFonts w:ascii="Arial" w:hAnsi="Arial" w:cs="Arial"/>
          <w:sz w:val="22"/>
          <w:szCs w:val="22"/>
          <w:lang w:val="es-ES" w:eastAsia="en-US"/>
        </w:rPr>
        <w:t>n</w:t>
      </w:r>
      <w:r w:rsidRPr="0059421B">
        <w:rPr>
          <w:rFonts w:ascii="Arial" w:hAnsi="Arial" w:cs="Arial"/>
          <w:sz w:val="22"/>
          <w:szCs w:val="22"/>
          <w:lang w:val="es-ES" w:eastAsia="en-US"/>
        </w:rPr>
        <w:t xml:space="preserve"> un reporte de cumplimiento de cada uno de los servicios y actividades de acuerdo a lo señalado en este documento dentro de los primeros </w:t>
      </w:r>
      <w:r w:rsidR="00CE49C4">
        <w:rPr>
          <w:rFonts w:ascii="Arial" w:hAnsi="Arial" w:cs="Arial"/>
          <w:sz w:val="22"/>
          <w:szCs w:val="22"/>
          <w:lang w:val="es-ES" w:eastAsia="en-US"/>
        </w:rPr>
        <w:t xml:space="preserve">diez </w:t>
      </w:r>
      <w:r w:rsidRPr="0059421B">
        <w:rPr>
          <w:rFonts w:ascii="Arial" w:hAnsi="Arial" w:cs="Arial"/>
          <w:sz w:val="22"/>
          <w:szCs w:val="22"/>
          <w:lang w:val="es-ES" w:eastAsia="en-US"/>
        </w:rPr>
        <w:t xml:space="preserve">días hábiles al trimestre que concluyó. </w:t>
      </w:r>
    </w:p>
    <w:p w14:paraId="4EAEA554"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8" w14:textId="54C2AA00"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E3128" w:rsidRPr="002E3128">
        <w:rPr>
          <w:rFonts w:ascii="Arial" w:hAnsi="Arial" w:cs="Arial"/>
          <w:sz w:val="22"/>
          <w:szCs w:val="22"/>
          <w:lang w:val="es-ES" w:eastAsia="en-US"/>
        </w:rPr>
        <w:t>Telmex y Telnor</w:t>
      </w:r>
      <w:r w:rsidR="002E3128">
        <w:rPr>
          <w:rFonts w:ascii="Arial" w:hAnsi="Arial" w:cs="Arial"/>
          <w:sz w:val="22"/>
          <w:szCs w:val="22"/>
          <w:lang w:val="es-ES" w:eastAsia="en-US"/>
        </w:rPr>
        <w:t xml:space="preserve"> </w:t>
      </w:r>
      <w:r w:rsidRPr="0059421B">
        <w:rPr>
          <w:rFonts w:ascii="Arial" w:hAnsi="Arial" w:cs="Arial"/>
          <w:sz w:val="22"/>
          <w:szCs w:val="22"/>
          <w:lang w:val="es-ES" w:eastAsia="en-US"/>
        </w:rPr>
        <w:t>se hace</w:t>
      </w:r>
      <w:r w:rsidR="002E3128">
        <w:rPr>
          <w:rFonts w:ascii="Arial" w:hAnsi="Arial" w:cs="Arial"/>
          <w:sz w:val="22"/>
          <w:szCs w:val="22"/>
          <w:lang w:val="es-ES" w:eastAsia="en-US"/>
        </w:rPr>
        <w:t>n</w:t>
      </w:r>
      <w:r w:rsidRPr="0059421B">
        <w:rPr>
          <w:rFonts w:ascii="Arial" w:hAnsi="Arial" w:cs="Arial"/>
          <w:sz w:val="22"/>
          <w:szCs w:val="22"/>
          <w:lang w:val="es-ES" w:eastAsia="en-US"/>
        </w:rPr>
        <w:t xml:space="preserve"> acreedor</w:t>
      </w:r>
      <w:r w:rsidR="002E3128">
        <w:rPr>
          <w:rFonts w:ascii="Arial" w:hAnsi="Arial" w:cs="Arial"/>
          <w:sz w:val="22"/>
          <w:szCs w:val="22"/>
          <w:lang w:val="es-ES" w:eastAsia="en-US"/>
        </w:rPr>
        <w:t>as</w:t>
      </w:r>
      <w:r w:rsidRPr="0059421B">
        <w:rPr>
          <w:rFonts w:ascii="Arial" w:hAnsi="Arial" w:cs="Arial"/>
          <w:sz w:val="22"/>
          <w:szCs w:val="22"/>
          <w:lang w:val="es-ES" w:eastAsia="en-US"/>
        </w:rPr>
        <w:t xml:space="preserve"> y por las que elaborará</w:t>
      </w:r>
      <w:r w:rsidR="002E3128">
        <w:rPr>
          <w:rFonts w:ascii="Arial" w:hAnsi="Arial" w:cs="Arial"/>
          <w:sz w:val="22"/>
          <w:szCs w:val="22"/>
          <w:lang w:val="es-ES" w:eastAsia="en-US"/>
        </w:rPr>
        <w:t>n</w:t>
      </w:r>
      <w:r w:rsidRPr="0059421B">
        <w:rPr>
          <w:rFonts w:ascii="Arial" w:hAnsi="Arial" w:cs="Arial"/>
          <w:sz w:val="22"/>
          <w:szCs w:val="22"/>
          <w:lang w:val="es-ES" w:eastAsia="en-US"/>
        </w:rPr>
        <w:t xml:space="preserve"> una Nota de Crédito que se enviará al CS</w:t>
      </w:r>
      <w:r w:rsidR="009615EA">
        <w:rPr>
          <w:rFonts w:ascii="Arial" w:hAnsi="Arial" w:cs="Arial"/>
          <w:sz w:val="22"/>
          <w:szCs w:val="22"/>
          <w:lang w:val="es-ES" w:eastAsia="en-US"/>
        </w:rPr>
        <w:t xml:space="preserve"> o AS</w:t>
      </w:r>
      <w:r w:rsidRPr="0059421B">
        <w:rPr>
          <w:rFonts w:ascii="Arial" w:hAnsi="Arial" w:cs="Arial"/>
          <w:sz w:val="22"/>
          <w:szCs w:val="22"/>
          <w:lang w:val="es-ES" w:eastAsia="en-US"/>
        </w:rPr>
        <w:t>.</w:t>
      </w:r>
    </w:p>
    <w:p w14:paraId="0CB1E8AE"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9" w14:textId="090D24D4" w:rsidR="006814AD" w:rsidRDefault="006814AD" w:rsidP="00CA6788">
      <w:pPr>
        <w:adjustRightInd w:val="0"/>
        <w:spacing w:before="0" w:after="0" w:line="276" w:lineRule="auto"/>
        <w:rPr>
          <w:rFonts w:ascii="Arial" w:hAnsi="Arial" w:cs="Arial"/>
          <w:sz w:val="22"/>
          <w:szCs w:val="22"/>
          <w:lang w:val="es-ES" w:eastAsia="en-US"/>
        </w:rPr>
      </w:pPr>
      <w:r w:rsidRPr="0059421B">
        <w:rPr>
          <w:rFonts w:ascii="Arial" w:hAnsi="Arial" w:cs="Arial"/>
          <w:bCs/>
          <w:color w:val="000000"/>
          <w:sz w:val="22"/>
          <w:szCs w:val="22"/>
          <w:lang w:eastAsia="en-US"/>
        </w:rPr>
        <w:t>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un plazo de </w:t>
      </w:r>
      <w:r w:rsidR="00F051BD">
        <w:rPr>
          <w:rFonts w:ascii="Arial" w:hAnsi="Arial" w:cs="Arial"/>
          <w:bCs/>
          <w:color w:val="000000"/>
          <w:sz w:val="22"/>
          <w:szCs w:val="22"/>
          <w:lang w:eastAsia="en-US"/>
        </w:rPr>
        <w:t>diez</w:t>
      </w:r>
      <w:r w:rsidRPr="0059421B">
        <w:rPr>
          <w:rFonts w:ascii="Arial" w:hAnsi="Arial" w:cs="Arial"/>
          <w:bCs/>
          <w:color w:val="000000"/>
          <w:sz w:val="22"/>
          <w:szCs w:val="22"/>
          <w:lang w:eastAsia="en-US"/>
        </w:rPr>
        <w:t xml:space="preserve"> días hábiles para verificar y aceptar las penalizaciones correspondientes, en cuyo caso la Nota de Crédito se aceptará y utilizará en el pago de la siguiente facturación del servicio. En caso contrario, enviará a </w:t>
      </w:r>
      <w:r w:rsidR="002E3128" w:rsidRPr="002E3128">
        <w:rPr>
          <w:rFonts w:ascii="Arial" w:hAnsi="Arial" w:cs="Arial"/>
          <w:sz w:val="22"/>
          <w:szCs w:val="22"/>
          <w:lang w:val="es-ES" w:eastAsia="en-US"/>
        </w:rPr>
        <w:t>Telmex y Telnor</w:t>
      </w:r>
      <w:r w:rsidR="002E3128">
        <w:rPr>
          <w:rFonts w:ascii="Arial" w:hAnsi="Arial" w:cs="Arial"/>
          <w:sz w:val="22"/>
          <w:szCs w:val="22"/>
          <w:lang w:val="es-ES" w:eastAsia="en-US"/>
        </w:rPr>
        <w:t xml:space="preserve"> </w:t>
      </w:r>
      <w:r w:rsidRPr="0059421B">
        <w:rPr>
          <w:rFonts w:ascii="Arial" w:hAnsi="Arial" w:cs="Arial"/>
          <w:sz w:val="22"/>
          <w:szCs w:val="22"/>
          <w:lang w:val="es-ES" w:eastAsia="en-US"/>
        </w:rPr>
        <w:t xml:space="preserve">una nota aclaratoria con el debido sustento (notificaciones de entrega de los servicios) y con base en ello se realizará el cálculo de las penas correspondientes. </w:t>
      </w:r>
    </w:p>
    <w:p w14:paraId="244A2893" w14:textId="77777777" w:rsidR="009D3AC6" w:rsidRPr="0059421B" w:rsidRDefault="009D3AC6" w:rsidP="00CA6788">
      <w:pPr>
        <w:adjustRightInd w:val="0"/>
        <w:spacing w:before="0" w:after="0" w:line="276" w:lineRule="auto"/>
        <w:rPr>
          <w:rFonts w:ascii="Arial" w:hAnsi="Arial" w:cs="Arial"/>
          <w:sz w:val="22"/>
          <w:szCs w:val="22"/>
          <w:lang w:val="es-ES" w:eastAsia="en-US"/>
        </w:rPr>
      </w:pPr>
    </w:p>
    <w:p w14:paraId="469A43FA" w14:textId="2EC9CE7E" w:rsidR="006814AD" w:rsidRPr="0059421B" w:rsidRDefault="006814AD" w:rsidP="00CA6788">
      <w:pPr>
        <w:adjustRightInd w:val="0"/>
        <w:spacing w:before="0" w:after="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E3128" w:rsidRPr="002E3128">
        <w:rPr>
          <w:rFonts w:ascii="Arial" w:hAnsi="Arial" w:cs="Arial"/>
          <w:bCs/>
          <w:color w:val="000000"/>
          <w:sz w:val="22"/>
          <w:szCs w:val="22"/>
          <w:lang w:eastAsia="en-US"/>
        </w:rPr>
        <w:t>Telmex y Telnor</w:t>
      </w:r>
      <w:r w:rsidR="002E3128">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haya</w:t>
      </w:r>
      <w:r w:rsidR="002E3128">
        <w:rPr>
          <w:rFonts w:ascii="Arial" w:hAnsi="Arial" w:cs="Arial"/>
          <w:bCs/>
          <w:color w:val="000000"/>
          <w:sz w:val="22"/>
          <w:szCs w:val="22"/>
          <w:lang w:eastAsia="en-US"/>
        </w:rPr>
        <w:t>n</w:t>
      </w:r>
      <w:r w:rsidRPr="0059421B">
        <w:rPr>
          <w:rFonts w:ascii="Arial" w:hAnsi="Arial" w:cs="Arial"/>
          <w:bCs/>
          <w:color w:val="000000"/>
          <w:sz w:val="22"/>
          <w:szCs w:val="22"/>
          <w:lang w:eastAsia="en-US"/>
        </w:rPr>
        <w:t xml:space="preserve"> recibido la aclaración por parte del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contará con </w:t>
      </w:r>
      <w:r w:rsidR="00F051BD">
        <w:rPr>
          <w:rFonts w:ascii="Arial" w:hAnsi="Arial" w:cs="Arial"/>
          <w:bCs/>
          <w:color w:val="000000"/>
          <w:sz w:val="22"/>
          <w:szCs w:val="22"/>
          <w:lang w:eastAsia="en-US"/>
        </w:rPr>
        <w:t>diez</w:t>
      </w:r>
      <w:r w:rsidR="00CE49C4">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 xml:space="preserve">días hábiles para verificar y validar la información. En caso de aceptación del nuevo cálculo </w:t>
      </w:r>
      <w:r w:rsidRPr="0059421B">
        <w:rPr>
          <w:rFonts w:ascii="Arial" w:hAnsi="Arial" w:cs="Arial"/>
          <w:bCs/>
          <w:color w:val="000000"/>
          <w:sz w:val="22"/>
          <w:szCs w:val="22"/>
          <w:lang w:eastAsia="en-US"/>
        </w:rPr>
        <w:lastRenderedPageBreak/>
        <w:t xml:space="preserve">de las penas, </w:t>
      </w:r>
      <w:r w:rsidR="002E3128" w:rsidRPr="002E3128">
        <w:rPr>
          <w:rFonts w:ascii="Arial" w:hAnsi="Arial" w:cs="Arial"/>
          <w:bCs/>
          <w:color w:val="000000"/>
          <w:sz w:val="22"/>
          <w:szCs w:val="22"/>
          <w:lang w:eastAsia="en-US"/>
        </w:rPr>
        <w:t>Telmex y Telnor</w:t>
      </w:r>
      <w:r w:rsidR="002E3128">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elaborará</w:t>
      </w:r>
      <w:r w:rsidR="002E3128">
        <w:rPr>
          <w:rFonts w:ascii="Arial" w:hAnsi="Arial" w:cs="Arial"/>
          <w:bCs/>
          <w:color w:val="000000"/>
          <w:sz w:val="22"/>
          <w:szCs w:val="22"/>
          <w:lang w:eastAsia="en-US"/>
        </w:rPr>
        <w:t>n</w:t>
      </w:r>
      <w:r w:rsidRPr="0059421B">
        <w:rPr>
          <w:rFonts w:ascii="Arial" w:hAnsi="Arial" w:cs="Arial"/>
          <w:bCs/>
          <w:color w:val="000000"/>
          <w:sz w:val="22"/>
          <w:szCs w:val="22"/>
          <w:lang w:eastAsia="en-US"/>
        </w:rPr>
        <w:t xml:space="preserve"> una nueva Nota de Crédito en un plazo máximo de </w:t>
      </w:r>
      <w:r w:rsidR="00F051BD">
        <w:rPr>
          <w:rFonts w:ascii="Arial" w:hAnsi="Arial" w:cs="Arial"/>
          <w:bCs/>
          <w:color w:val="000000"/>
          <w:sz w:val="22"/>
          <w:szCs w:val="22"/>
          <w:lang w:eastAsia="en-US"/>
        </w:rPr>
        <w:t>tres</w:t>
      </w:r>
      <w:r w:rsidRPr="0059421B">
        <w:rPr>
          <w:rFonts w:ascii="Arial" w:hAnsi="Arial" w:cs="Arial"/>
          <w:bCs/>
          <w:color w:val="000000"/>
          <w:sz w:val="22"/>
          <w:szCs w:val="22"/>
          <w:lang w:eastAsia="en-US"/>
        </w:rPr>
        <w:t xml:space="preserve"> días hábiles que el CS</w:t>
      </w:r>
      <w:r w:rsidR="009615EA">
        <w:rPr>
          <w:rFonts w:ascii="Arial" w:hAnsi="Arial" w:cs="Arial"/>
          <w:bCs/>
          <w:color w:val="000000"/>
          <w:sz w:val="22"/>
          <w:szCs w:val="22"/>
          <w:lang w:eastAsia="en-US"/>
        </w:rPr>
        <w:t xml:space="preserve"> o AS</w:t>
      </w:r>
      <w:r w:rsidRPr="0059421B">
        <w:rPr>
          <w:rFonts w:ascii="Arial" w:hAnsi="Arial" w:cs="Arial"/>
          <w:bCs/>
          <w:color w:val="000000"/>
          <w:sz w:val="22"/>
          <w:szCs w:val="22"/>
          <w:lang w:eastAsia="en-US"/>
        </w:rPr>
        <w:t xml:space="preserve"> podrá utilizar en su siguiente facturación. En caso contrario, </w:t>
      </w:r>
      <w:r w:rsidR="002E3128" w:rsidRPr="002E3128">
        <w:rPr>
          <w:rFonts w:ascii="Arial" w:hAnsi="Arial" w:cs="Arial"/>
          <w:bCs/>
          <w:color w:val="000000"/>
          <w:sz w:val="22"/>
          <w:szCs w:val="22"/>
          <w:lang w:eastAsia="en-US"/>
        </w:rPr>
        <w:t>Telmex y Telnor</w:t>
      </w:r>
      <w:r w:rsidR="002E3128">
        <w:rPr>
          <w:rFonts w:ascii="Arial" w:hAnsi="Arial" w:cs="Arial"/>
          <w:bCs/>
          <w:color w:val="000000"/>
          <w:sz w:val="22"/>
          <w:szCs w:val="22"/>
          <w:lang w:eastAsia="en-US"/>
        </w:rPr>
        <w:t xml:space="preserve"> </w:t>
      </w:r>
      <w:r w:rsidRPr="0059421B">
        <w:rPr>
          <w:rFonts w:ascii="Arial" w:hAnsi="Arial" w:cs="Arial"/>
          <w:bCs/>
          <w:color w:val="000000"/>
          <w:sz w:val="22"/>
          <w:szCs w:val="22"/>
          <w:lang w:eastAsia="en-US"/>
        </w:rPr>
        <w:t>deberá</w:t>
      </w:r>
      <w:r w:rsidR="002E3128">
        <w:rPr>
          <w:rFonts w:ascii="Arial" w:hAnsi="Arial" w:cs="Arial"/>
          <w:bCs/>
          <w:color w:val="000000"/>
          <w:sz w:val="22"/>
          <w:szCs w:val="22"/>
          <w:lang w:eastAsia="en-US"/>
        </w:rPr>
        <w:t>n</w:t>
      </w:r>
      <w:r w:rsidRPr="0059421B">
        <w:rPr>
          <w:rFonts w:ascii="Arial" w:hAnsi="Arial" w:cs="Arial"/>
          <w:bCs/>
          <w:color w:val="000000"/>
          <w:sz w:val="22"/>
          <w:szCs w:val="22"/>
          <w:lang w:eastAsia="en-US"/>
        </w:rPr>
        <w:t xml:space="preserve"> presentar la información que sustente el cálculo de las penas al IFT, quien tendrá la potestad de resolver dicho desacuerdo.</w:t>
      </w:r>
    </w:p>
    <w:p w14:paraId="469A43FB" w14:textId="77777777" w:rsidR="006814AD" w:rsidRPr="0059421B" w:rsidRDefault="006814AD" w:rsidP="006039D9">
      <w:pPr>
        <w:spacing w:before="0" w:after="0" w:line="276" w:lineRule="auto"/>
        <w:rPr>
          <w:rFonts w:ascii="Arial" w:hAnsi="Arial" w:cs="Arial"/>
          <w:sz w:val="22"/>
          <w:szCs w:val="22"/>
        </w:rPr>
      </w:pPr>
    </w:p>
    <w:sectPr w:rsidR="006814AD" w:rsidRPr="0059421B" w:rsidSect="005F2493">
      <w:headerReference w:type="default" r:id="rId13"/>
      <w:footerReference w:type="even" r:id="rId14"/>
      <w:footerReference w:type="default" r:id="rId15"/>
      <w:footerReference w:type="first" r:id="rId16"/>
      <w:pgSz w:w="12242" w:h="15842" w:code="1"/>
      <w:pgMar w:top="2098" w:right="1418" w:bottom="1021" w:left="1418" w:header="851"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1728E" w14:textId="77777777" w:rsidR="00604FB7" w:rsidRDefault="00604FB7" w:rsidP="005C1C06">
      <w:r>
        <w:separator/>
      </w:r>
    </w:p>
    <w:p w14:paraId="0AB4A7AD" w14:textId="77777777" w:rsidR="00604FB7" w:rsidRDefault="00604FB7" w:rsidP="005C1C06"/>
  </w:endnote>
  <w:endnote w:type="continuationSeparator" w:id="0">
    <w:p w14:paraId="158A6F3D" w14:textId="77777777" w:rsidR="00604FB7" w:rsidRDefault="00604FB7" w:rsidP="005C1C06">
      <w:r>
        <w:continuationSeparator/>
      </w:r>
    </w:p>
    <w:p w14:paraId="7ADA392B" w14:textId="77777777" w:rsidR="00604FB7" w:rsidRDefault="00604FB7" w:rsidP="005C1C06"/>
  </w:endnote>
  <w:endnote w:type="continuationNotice" w:id="1">
    <w:p w14:paraId="6C939CA4" w14:textId="77777777" w:rsidR="00604FB7" w:rsidRDefault="00604FB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440C" w14:textId="77777777" w:rsidR="006039D9" w:rsidRPr="00AB270C" w:rsidRDefault="006039D9" w:rsidP="00AB270C">
    <w:pPr>
      <w:pStyle w:val="Encabezado"/>
      <w:spacing w:before="0" w:after="0" w:line="240" w:lineRule="auto"/>
      <w:jc w:val="left"/>
      <w:rPr>
        <w:b/>
        <w:color w:val="548DD4"/>
        <w:szCs w:val="22"/>
        <w:lang w:val="es-ES"/>
      </w:rPr>
    </w:pPr>
    <w:r w:rsidRPr="00AB270C">
      <w:rPr>
        <w:b/>
        <w:color w:val="548DD4"/>
        <w:szCs w:val="22"/>
        <w:lang w:val="es-ES"/>
      </w:rPr>
      <w:t>ANEXO 3</w:t>
    </w:r>
  </w:p>
  <w:p w14:paraId="469A440D" w14:textId="77777777" w:rsidR="006039D9" w:rsidRDefault="006039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440E" w14:textId="6F6D3332" w:rsidR="006039D9" w:rsidRPr="0059421B" w:rsidRDefault="006039D9"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Pr>
        <w:rFonts w:cs="Arial"/>
        <w:noProof/>
        <w:sz w:val="18"/>
        <w:szCs w:val="22"/>
      </w:rPr>
      <w:t>12</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Pr>
        <w:rFonts w:cs="Arial"/>
        <w:noProof/>
        <w:sz w:val="18"/>
        <w:szCs w:val="22"/>
      </w:rPr>
      <w:t>14</w:t>
    </w:r>
    <w:r w:rsidRPr="0059421B">
      <w:rPr>
        <w:rFonts w:cs="Arial"/>
        <w:sz w:val="18"/>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4902" w14:textId="2AA5BCB7" w:rsidR="006039D9" w:rsidRPr="0059421B" w:rsidRDefault="006039D9" w:rsidP="005F2493">
    <w:pPr>
      <w:pStyle w:val="Piedepgina"/>
      <w:spacing w:before="0" w:after="0"/>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Pr>
        <w:rFonts w:cs="Arial"/>
        <w:noProof/>
        <w:sz w:val="18"/>
        <w:szCs w:val="22"/>
      </w:rPr>
      <w:t>1</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Pr>
        <w:rFonts w:cs="Arial"/>
        <w:noProof/>
        <w:sz w:val="18"/>
        <w:szCs w:val="22"/>
      </w:rPr>
      <w:t>14</w:t>
    </w:r>
    <w:r w:rsidRPr="0059421B">
      <w:rPr>
        <w:rFonts w:cs="Arial"/>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E6AF5" w14:textId="77777777" w:rsidR="00604FB7" w:rsidRDefault="00604FB7" w:rsidP="005F2493">
      <w:pPr>
        <w:spacing w:before="0" w:after="0"/>
      </w:pPr>
      <w:r>
        <w:separator/>
      </w:r>
    </w:p>
  </w:footnote>
  <w:footnote w:type="continuationSeparator" w:id="0">
    <w:p w14:paraId="1EF03033" w14:textId="77777777" w:rsidR="00604FB7" w:rsidRDefault="00604FB7" w:rsidP="005C1C06">
      <w:r>
        <w:continuationSeparator/>
      </w:r>
    </w:p>
    <w:p w14:paraId="7F75EA2B" w14:textId="77777777" w:rsidR="00604FB7" w:rsidRDefault="00604FB7" w:rsidP="005C1C06"/>
  </w:footnote>
  <w:footnote w:type="continuationNotice" w:id="1">
    <w:p w14:paraId="0922F0F4" w14:textId="77777777" w:rsidR="00604FB7" w:rsidRDefault="00604FB7">
      <w:pPr>
        <w:spacing w:before="0" w:after="0" w:line="240" w:lineRule="auto"/>
      </w:pPr>
    </w:p>
  </w:footnote>
  <w:footnote w:id="2">
    <w:p w14:paraId="469A4411" w14:textId="4136B5DD" w:rsidR="006039D9" w:rsidRPr="005F2493" w:rsidRDefault="006039D9"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 xml:space="preserve">Se entiende que dentro de este mismo plazo </w:t>
      </w:r>
      <w:r w:rsidR="00874300" w:rsidRPr="00874300">
        <w:rPr>
          <w:sz w:val="14"/>
          <w:lang w:val="es-MX"/>
        </w:rPr>
        <w:t>Telmex y Telnor</w:t>
      </w:r>
      <w:r w:rsidR="00874300">
        <w:rPr>
          <w:sz w:val="14"/>
          <w:lang w:val="es-MX"/>
        </w:rPr>
        <w:t xml:space="preserve"> </w:t>
      </w:r>
      <w:r w:rsidRPr="005F2493">
        <w:rPr>
          <w:sz w:val="14"/>
          <w:lang w:val="es-MX"/>
        </w:rPr>
        <w:t>deberá</w:t>
      </w:r>
      <w:r w:rsidR="00874300">
        <w:rPr>
          <w:sz w:val="14"/>
          <w:lang w:val="es-MX"/>
        </w:rPr>
        <w:t>n</w:t>
      </w:r>
      <w:r w:rsidRPr="005F2493">
        <w:rPr>
          <w:sz w:val="14"/>
          <w:lang w:val="es-MX"/>
        </w:rPr>
        <w:t xml:space="preserve"> actualizar la información correspondiente en el SEG y registrará el resultado de la Visita Técnica.</w:t>
      </w:r>
    </w:p>
  </w:footnote>
  <w:footnote w:id="3">
    <w:p w14:paraId="469A4412" w14:textId="723ABA80" w:rsidR="006039D9" w:rsidRPr="00BC7574" w:rsidRDefault="006039D9" w:rsidP="005F2493">
      <w:pPr>
        <w:pStyle w:val="Textonotapie"/>
        <w:spacing w:before="0" w:after="0" w:line="276" w:lineRule="auto"/>
        <w:rPr>
          <w:lang w:val="es-MX"/>
        </w:rPr>
      </w:pPr>
      <w:r w:rsidRPr="005F2493">
        <w:rPr>
          <w:rStyle w:val="Refdenotaalpie"/>
          <w:sz w:val="14"/>
        </w:rPr>
        <w:footnoteRef/>
      </w:r>
      <w:r w:rsidRPr="005F2493">
        <w:rPr>
          <w:sz w:val="14"/>
        </w:rPr>
        <w:t xml:space="preserve"> </w:t>
      </w:r>
      <w:r w:rsidRPr="005F2493">
        <w:rPr>
          <w:sz w:val="14"/>
          <w:lang w:val="es-MX"/>
        </w:rPr>
        <w:t xml:space="preserve">Se considera que, en caso de ser necesario, el CS o AS podrá solicitar a </w:t>
      </w:r>
      <w:r w:rsidR="00E756A9">
        <w:rPr>
          <w:sz w:val="14"/>
          <w:lang w:val="es-MX"/>
        </w:rPr>
        <w:t>Telmex y Telnor</w:t>
      </w:r>
      <w:r w:rsidRPr="005F2493">
        <w:rPr>
          <w:sz w:val="14"/>
          <w:lang w:val="es-MX"/>
        </w:rPr>
        <w:t xml:space="preserve"> mediante el SEG un plazo adicional de hasta 20 DH para la elaboración y entrega del Anteproyecto, mismo que deberá ser otorgado y aprobado por </w:t>
      </w:r>
      <w:r w:rsidR="00E756A9">
        <w:rPr>
          <w:sz w:val="14"/>
          <w:lang w:val="es-MX"/>
        </w:rPr>
        <w:t>Telmex y Telnor</w:t>
      </w:r>
      <w:r w:rsidRPr="005F2493">
        <w:rPr>
          <w:sz w:val="14"/>
          <w:lang w:val="es-MX"/>
        </w:rPr>
        <w:t xml:space="preserve"> mediante el SEG de manera inmediata y empezarán a correr nuevamente los 20 DH a partir de la fecha de solicitud registrada en el SEG.</w:t>
      </w:r>
    </w:p>
  </w:footnote>
  <w:footnote w:id="4">
    <w:p w14:paraId="469A4413" w14:textId="381B7ECB" w:rsidR="006039D9" w:rsidRPr="00806A2F" w:rsidRDefault="006039D9" w:rsidP="00806A2F">
      <w:pPr>
        <w:pStyle w:val="Textonotapie"/>
        <w:spacing w:before="0" w:after="0" w:line="276" w:lineRule="auto"/>
        <w:rPr>
          <w:lang w:val="es-MX"/>
        </w:rPr>
      </w:pPr>
      <w:r w:rsidRPr="00806A2F">
        <w:rPr>
          <w:rStyle w:val="Refdenotaalpie"/>
          <w:sz w:val="14"/>
        </w:rPr>
        <w:footnoteRef/>
      </w:r>
      <w:r w:rsidRPr="00806A2F">
        <w:rPr>
          <w:sz w:val="14"/>
        </w:rPr>
        <w:t xml:space="preserve"> </w:t>
      </w:r>
      <w:r w:rsidRPr="00806A2F">
        <w:rPr>
          <w:sz w:val="14"/>
          <w:lang w:val="es-MX"/>
        </w:rPr>
        <w:t xml:space="preserve">Dentro de este mismo plazo </w:t>
      </w:r>
      <w:r w:rsidR="00E756A9">
        <w:rPr>
          <w:sz w:val="14"/>
          <w:lang w:val="es-MX"/>
        </w:rPr>
        <w:t xml:space="preserve">Telmex y Telnor </w:t>
      </w:r>
      <w:r w:rsidRPr="00806A2F">
        <w:rPr>
          <w:sz w:val="14"/>
          <w:lang w:val="es-MX"/>
        </w:rPr>
        <w:t>deberá</w:t>
      </w:r>
      <w:r w:rsidR="00E756A9">
        <w:rPr>
          <w:sz w:val="14"/>
          <w:lang w:val="es-MX"/>
        </w:rPr>
        <w:t>n</w:t>
      </w:r>
      <w:r w:rsidRPr="00806A2F">
        <w:rPr>
          <w:sz w:val="14"/>
          <w:lang w:val="es-MX"/>
        </w:rPr>
        <w:t xml:space="preserve"> actualizar la información correspondiente en el SEG y registrará</w:t>
      </w:r>
      <w:r w:rsidR="00E756A9">
        <w:rPr>
          <w:sz w:val="14"/>
          <w:lang w:val="es-MX"/>
        </w:rPr>
        <w:t>n</w:t>
      </w:r>
      <w:r w:rsidRPr="00806A2F">
        <w:rPr>
          <w:sz w:val="14"/>
          <w:lang w:val="es-MX"/>
        </w:rPr>
        <w:t xml:space="preserve"> el resultado de la Visita Técnica.</w:t>
      </w:r>
    </w:p>
  </w:footnote>
  <w:footnote w:id="5">
    <w:p w14:paraId="469A4414" w14:textId="1556F755" w:rsidR="006039D9" w:rsidRPr="00BA6E34" w:rsidRDefault="006039D9" w:rsidP="00806A2F">
      <w:pPr>
        <w:pStyle w:val="Textonotapie"/>
        <w:spacing w:before="0" w:after="0" w:line="276" w:lineRule="auto"/>
        <w:rPr>
          <w:sz w:val="22"/>
          <w:lang w:val="es-MX"/>
        </w:rPr>
      </w:pPr>
      <w:r w:rsidRPr="00806A2F">
        <w:rPr>
          <w:rStyle w:val="Refdenotaalpie"/>
          <w:sz w:val="14"/>
        </w:rPr>
        <w:footnoteRef/>
      </w:r>
      <w:r w:rsidRPr="00806A2F">
        <w:rPr>
          <w:sz w:val="14"/>
        </w:rPr>
        <w:t xml:space="preserve"> </w:t>
      </w:r>
      <w:r w:rsidRPr="00806A2F">
        <w:rPr>
          <w:sz w:val="14"/>
          <w:lang w:val="es-MX"/>
        </w:rPr>
        <w:t xml:space="preserve">Se considera que, en caso de ser necesario, el CS o AS podrá solicitar </w:t>
      </w:r>
      <w:r w:rsidR="00E756A9">
        <w:rPr>
          <w:sz w:val="14"/>
          <w:lang w:val="es-MX"/>
        </w:rPr>
        <w:t xml:space="preserve">Telmex y Telnor </w:t>
      </w:r>
      <w:r w:rsidRPr="00806A2F">
        <w:rPr>
          <w:sz w:val="14"/>
          <w:lang w:val="es-MX"/>
        </w:rPr>
        <w:t xml:space="preserve">mediante el SEG un plazo adicional de hasta 20 DH para la elaboración y entrega del Anteproyecto, mismo que deberá ser otorgado y aprobado por </w:t>
      </w:r>
      <w:r w:rsidR="00E756A9">
        <w:rPr>
          <w:sz w:val="14"/>
          <w:lang w:val="es-MX"/>
        </w:rPr>
        <w:t xml:space="preserve">Telmex y Telnor </w:t>
      </w:r>
      <w:r w:rsidRPr="00806A2F">
        <w:rPr>
          <w:sz w:val="14"/>
          <w:lang w:val="es-MX"/>
        </w:rPr>
        <w:t>mediante el SEG de manera inmediata y empezarán a correr nuevamente los 20 DH a partir de la fecha de solicitud registrada en el SEG.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440B" w14:textId="3E07F462" w:rsidR="006039D9" w:rsidRPr="002140C8" w:rsidRDefault="006039D9" w:rsidP="00AB270C">
    <w:pPr>
      <w:pStyle w:val="Encabezado"/>
      <w:spacing w:before="0" w:after="0" w:line="240" w:lineRule="auto"/>
      <w:jc w:val="left"/>
      <w:rPr>
        <w:rFonts w:cs="Arial"/>
        <w:b/>
        <w:sz w:val="22"/>
        <w:szCs w:val="22"/>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16cid:durableId="1269389196">
    <w:abstractNumId w:val="3"/>
  </w:num>
  <w:num w:numId="2" w16cid:durableId="2127770329">
    <w:abstractNumId w:val="15"/>
  </w:num>
  <w:num w:numId="3" w16cid:durableId="517810437">
    <w:abstractNumId w:val="22"/>
  </w:num>
  <w:num w:numId="4" w16cid:durableId="1786927606">
    <w:abstractNumId w:val="13"/>
  </w:num>
  <w:num w:numId="5" w16cid:durableId="974870366">
    <w:abstractNumId w:val="10"/>
  </w:num>
  <w:num w:numId="6" w16cid:durableId="849372290">
    <w:abstractNumId w:val="8"/>
  </w:num>
  <w:num w:numId="7" w16cid:durableId="97062522">
    <w:abstractNumId w:val="18"/>
  </w:num>
  <w:num w:numId="8" w16cid:durableId="523135397">
    <w:abstractNumId w:val="0"/>
  </w:num>
  <w:num w:numId="9" w16cid:durableId="2112235868">
    <w:abstractNumId w:val="14"/>
  </w:num>
  <w:num w:numId="10" w16cid:durableId="1895849728">
    <w:abstractNumId w:val="11"/>
  </w:num>
  <w:num w:numId="11" w16cid:durableId="1071659336">
    <w:abstractNumId w:val="9"/>
  </w:num>
  <w:num w:numId="12" w16cid:durableId="1536382361">
    <w:abstractNumId w:val="23"/>
  </w:num>
  <w:num w:numId="13" w16cid:durableId="639111691">
    <w:abstractNumId w:val="6"/>
  </w:num>
  <w:num w:numId="14" w16cid:durableId="328139521">
    <w:abstractNumId w:val="5"/>
  </w:num>
  <w:num w:numId="15" w16cid:durableId="2111274958">
    <w:abstractNumId w:val="16"/>
  </w:num>
  <w:num w:numId="16" w16cid:durableId="1753310597">
    <w:abstractNumId w:val="17"/>
  </w:num>
  <w:num w:numId="17" w16cid:durableId="1894191531">
    <w:abstractNumId w:val="21"/>
  </w:num>
  <w:num w:numId="18" w16cid:durableId="983192791">
    <w:abstractNumId w:val="4"/>
  </w:num>
  <w:num w:numId="19" w16cid:durableId="991183016">
    <w:abstractNumId w:val="24"/>
  </w:num>
  <w:num w:numId="20" w16cid:durableId="1319963937">
    <w:abstractNumId w:val="12"/>
  </w:num>
  <w:num w:numId="21" w16cid:durableId="1049107917">
    <w:abstractNumId w:val="1"/>
  </w:num>
  <w:num w:numId="22" w16cid:durableId="1625770374">
    <w:abstractNumId w:val="7"/>
  </w:num>
  <w:num w:numId="23" w16cid:durableId="1731421135">
    <w:abstractNumId w:val="19"/>
  </w:num>
  <w:num w:numId="24" w16cid:durableId="1959407130">
    <w:abstractNumId w:val="2"/>
  </w:num>
  <w:num w:numId="25" w16cid:durableId="2061978880">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4D"/>
    <w:rsid w:val="00002E42"/>
    <w:rsid w:val="000114F7"/>
    <w:rsid w:val="00024A99"/>
    <w:rsid w:val="000269BF"/>
    <w:rsid w:val="000378AA"/>
    <w:rsid w:val="0004478A"/>
    <w:rsid w:val="00046AB5"/>
    <w:rsid w:val="00052AB2"/>
    <w:rsid w:val="00057632"/>
    <w:rsid w:val="00060DEB"/>
    <w:rsid w:val="00061344"/>
    <w:rsid w:val="00061A71"/>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95C24"/>
    <w:rsid w:val="000A13BD"/>
    <w:rsid w:val="000A4BAD"/>
    <w:rsid w:val="000A690E"/>
    <w:rsid w:val="000A7598"/>
    <w:rsid w:val="000B5183"/>
    <w:rsid w:val="000B588C"/>
    <w:rsid w:val="000B7544"/>
    <w:rsid w:val="000B7EA3"/>
    <w:rsid w:val="000C03B4"/>
    <w:rsid w:val="000C565B"/>
    <w:rsid w:val="000C677B"/>
    <w:rsid w:val="000C783C"/>
    <w:rsid w:val="000D0BFC"/>
    <w:rsid w:val="000D3F63"/>
    <w:rsid w:val="000D7034"/>
    <w:rsid w:val="000E1F01"/>
    <w:rsid w:val="000F2E4B"/>
    <w:rsid w:val="000F3DBC"/>
    <w:rsid w:val="000F7C9D"/>
    <w:rsid w:val="0010278E"/>
    <w:rsid w:val="00106CD8"/>
    <w:rsid w:val="00107993"/>
    <w:rsid w:val="00107C2A"/>
    <w:rsid w:val="00110286"/>
    <w:rsid w:val="00110DEF"/>
    <w:rsid w:val="00110EA9"/>
    <w:rsid w:val="00113FC9"/>
    <w:rsid w:val="00114DF7"/>
    <w:rsid w:val="00115E54"/>
    <w:rsid w:val="001203E9"/>
    <w:rsid w:val="00121967"/>
    <w:rsid w:val="00125B59"/>
    <w:rsid w:val="00130154"/>
    <w:rsid w:val="001302E2"/>
    <w:rsid w:val="001309DD"/>
    <w:rsid w:val="0013488C"/>
    <w:rsid w:val="0013527A"/>
    <w:rsid w:val="0014573D"/>
    <w:rsid w:val="00146D5C"/>
    <w:rsid w:val="00147D42"/>
    <w:rsid w:val="00151588"/>
    <w:rsid w:val="001518BC"/>
    <w:rsid w:val="001539AF"/>
    <w:rsid w:val="00154970"/>
    <w:rsid w:val="001566B4"/>
    <w:rsid w:val="00172CA1"/>
    <w:rsid w:val="00181C77"/>
    <w:rsid w:val="0018655C"/>
    <w:rsid w:val="00190B87"/>
    <w:rsid w:val="00191F43"/>
    <w:rsid w:val="001923CF"/>
    <w:rsid w:val="00194574"/>
    <w:rsid w:val="00197BE3"/>
    <w:rsid w:val="001A02F3"/>
    <w:rsid w:val="001A4867"/>
    <w:rsid w:val="001B3F1B"/>
    <w:rsid w:val="001B6D0B"/>
    <w:rsid w:val="001D732E"/>
    <w:rsid w:val="001E2258"/>
    <w:rsid w:val="001E5A8A"/>
    <w:rsid w:val="001E6404"/>
    <w:rsid w:val="001E7610"/>
    <w:rsid w:val="001E7AEE"/>
    <w:rsid w:val="001E7C19"/>
    <w:rsid w:val="001F440A"/>
    <w:rsid w:val="001F5062"/>
    <w:rsid w:val="001F5951"/>
    <w:rsid w:val="001F7C97"/>
    <w:rsid w:val="00203A05"/>
    <w:rsid w:val="00205813"/>
    <w:rsid w:val="00205C37"/>
    <w:rsid w:val="0020603D"/>
    <w:rsid w:val="00206425"/>
    <w:rsid w:val="00212DBE"/>
    <w:rsid w:val="002135BA"/>
    <w:rsid w:val="002140C8"/>
    <w:rsid w:val="0021471D"/>
    <w:rsid w:val="0021629D"/>
    <w:rsid w:val="002165CD"/>
    <w:rsid w:val="00217CBD"/>
    <w:rsid w:val="00220AFC"/>
    <w:rsid w:val="0022523E"/>
    <w:rsid w:val="002257DC"/>
    <w:rsid w:val="00234BD2"/>
    <w:rsid w:val="00244A3E"/>
    <w:rsid w:val="002512CA"/>
    <w:rsid w:val="0025352E"/>
    <w:rsid w:val="00255BA1"/>
    <w:rsid w:val="0026070F"/>
    <w:rsid w:val="00260852"/>
    <w:rsid w:val="00260E1B"/>
    <w:rsid w:val="002639CE"/>
    <w:rsid w:val="00267359"/>
    <w:rsid w:val="002675CE"/>
    <w:rsid w:val="00270041"/>
    <w:rsid w:val="00273869"/>
    <w:rsid w:val="002742A7"/>
    <w:rsid w:val="00280008"/>
    <w:rsid w:val="0028086D"/>
    <w:rsid w:val="0028148B"/>
    <w:rsid w:val="002839FC"/>
    <w:rsid w:val="0028485B"/>
    <w:rsid w:val="002849C5"/>
    <w:rsid w:val="002856A5"/>
    <w:rsid w:val="00294399"/>
    <w:rsid w:val="00295C86"/>
    <w:rsid w:val="002A080F"/>
    <w:rsid w:val="002A2C91"/>
    <w:rsid w:val="002A4480"/>
    <w:rsid w:val="002A4AE0"/>
    <w:rsid w:val="002A54A7"/>
    <w:rsid w:val="002B16AB"/>
    <w:rsid w:val="002B1E7A"/>
    <w:rsid w:val="002C1C56"/>
    <w:rsid w:val="002C275F"/>
    <w:rsid w:val="002C287A"/>
    <w:rsid w:val="002C3A47"/>
    <w:rsid w:val="002C536E"/>
    <w:rsid w:val="002C75CD"/>
    <w:rsid w:val="002D218D"/>
    <w:rsid w:val="002D4638"/>
    <w:rsid w:val="002D6A0E"/>
    <w:rsid w:val="002D73B2"/>
    <w:rsid w:val="002D7BA7"/>
    <w:rsid w:val="002D7EFF"/>
    <w:rsid w:val="002E1B57"/>
    <w:rsid w:val="002E3128"/>
    <w:rsid w:val="002E3B61"/>
    <w:rsid w:val="002E7144"/>
    <w:rsid w:val="002E7875"/>
    <w:rsid w:val="002F7002"/>
    <w:rsid w:val="002F78E3"/>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5630"/>
    <w:rsid w:val="0038053B"/>
    <w:rsid w:val="00382BDF"/>
    <w:rsid w:val="003936B8"/>
    <w:rsid w:val="003A35A9"/>
    <w:rsid w:val="003A4771"/>
    <w:rsid w:val="003A7E52"/>
    <w:rsid w:val="003B406F"/>
    <w:rsid w:val="003B6ACE"/>
    <w:rsid w:val="003B7AB1"/>
    <w:rsid w:val="003C0ED6"/>
    <w:rsid w:val="003D3157"/>
    <w:rsid w:val="003D7035"/>
    <w:rsid w:val="003E3B3F"/>
    <w:rsid w:val="003E5B38"/>
    <w:rsid w:val="003E7661"/>
    <w:rsid w:val="003F1336"/>
    <w:rsid w:val="003F44B6"/>
    <w:rsid w:val="003F6474"/>
    <w:rsid w:val="004054A1"/>
    <w:rsid w:val="00407003"/>
    <w:rsid w:val="004078A6"/>
    <w:rsid w:val="00410E4B"/>
    <w:rsid w:val="00412FA6"/>
    <w:rsid w:val="00414197"/>
    <w:rsid w:val="00415ABC"/>
    <w:rsid w:val="00423A22"/>
    <w:rsid w:val="00426C06"/>
    <w:rsid w:val="00430531"/>
    <w:rsid w:val="00430B0B"/>
    <w:rsid w:val="00432B87"/>
    <w:rsid w:val="00433EB5"/>
    <w:rsid w:val="004341E7"/>
    <w:rsid w:val="00434324"/>
    <w:rsid w:val="00435C6F"/>
    <w:rsid w:val="00437441"/>
    <w:rsid w:val="00447D04"/>
    <w:rsid w:val="0045206E"/>
    <w:rsid w:val="00463FFE"/>
    <w:rsid w:val="00467A0B"/>
    <w:rsid w:val="004752AC"/>
    <w:rsid w:val="00476C77"/>
    <w:rsid w:val="00480C0E"/>
    <w:rsid w:val="004865C1"/>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0648"/>
    <w:rsid w:val="004D1B33"/>
    <w:rsid w:val="004D218F"/>
    <w:rsid w:val="004D2807"/>
    <w:rsid w:val="004D79E0"/>
    <w:rsid w:val="004E4120"/>
    <w:rsid w:val="004F7D74"/>
    <w:rsid w:val="0050045F"/>
    <w:rsid w:val="00500656"/>
    <w:rsid w:val="005008E0"/>
    <w:rsid w:val="00503CDB"/>
    <w:rsid w:val="005075DC"/>
    <w:rsid w:val="00515D0E"/>
    <w:rsid w:val="00524B1D"/>
    <w:rsid w:val="00525155"/>
    <w:rsid w:val="00527834"/>
    <w:rsid w:val="005304C8"/>
    <w:rsid w:val="0053196B"/>
    <w:rsid w:val="0053275D"/>
    <w:rsid w:val="00535492"/>
    <w:rsid w:val="00541210"/>
    <w:rsid w:val="005445B3"/>
    <w:rsid w:val="005446A9"/>
    <w:rsid w:val="0054763F"/>
    <w:rsid w:val="00550A28"/>
    <w:rsid w:val="00554FD8"/>
    <w:rsid w:val="00562CD8"/>
    <w:rsid w:val="00567A04"/>
    <w:rsid w:val="005727D1"/>
    <w:rsid w:val="005772B8"/>
    <w:rsid w:val="0058003C"/>
    <w:rsid w:val="0058006A"/>
    <w:rsid w:val="005803DE"/>
    <w:rsid w:val="005816FA"/>
    <w:rsid w:val="00582B61"/>
    <w:rsid w:val="00583E91"/>
    <w:rsid w:val="005841AB"/>
    <w:rsid w:val="00584AB0"/>
    <w:rsid w:val="00592305"/>
    <w:rsid w:val="00593EFE"/>
    <w:rsid w:val="0059421B"/>
    <w:rsid w:val="0059760A"/>
    <w:rsid w:val="005A05E3"/>
    <w:rsid w:val="005A2803"/>
    <w:rsid w:val="005A29F8"/>
    <w:rsid w:val="005A6538"/>
    <w:rsid w:val="005A6DC5"/>
    <w:rsid w:val="005A7B33"/>
    <w:rsid w:val="005B0DEC"/>
    <w:rsid w:val="005B2F21"/>
    <w:rsid w:val="005B4E41"/>
    <w:rsid w:val="005B5011"/>
    <w:rsid w:val="005B6834"/>
    <w:rsid w:val="005B6E36"/>
    <w:rsid w:val="005B7A4A"/>
    <w:rsid w:val="005C1BB4"/>
    <w:rsid w:val="005C1C06"/>
    <w:rsid w:val="005D394C"/>
    <w:rsid w:val="005E4800"/>
    <w:rsid w:val="005F2493"/>
    <w:rsid w:val="005F3D69"/>
    <w:rsid w:val="005F491E"/>
    <w:rsid w:val="005F5021"/>
    <w:rsid w:val="006039D9"/>
    <w:rsid w:val="006042C1"/>
    <w:rsid w:val="00604FB7"/>
    <w:rsid w:val="00607D84"/>
    <w:rsid w:val="00616442"/>
    <w:rsid w:val="0062371D"/>
    <w:rsid w:val="00626931"/>
    <w:rsid w:val="00633826"/>
    <w:rsid w:val="00633977"/>
    <w:rsid w:val="0063609B"/>
    <w:rsid w:val="00641387"/>
    <w:rsid w:val="00642BEA"/>
    <w:rsid w:val="00642F33"/>
    <w:rsid w:val="006437EE"/>
    <w:rsid w:val="006458FB"/>
    <w:rsid w:val="00650658"/>
    <w:rsid w:val="00654DF0"/>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249E"/>
    <w:rsid w:val="006A500B"/>
    <w:rsid w:val="006A6730"/>
    <w:rsid w:val="006B0C19"/>
    <w:rsid w:val="006B1142"/>
    <w:rsid w:val="006B48C0"/>
    <w:rsid w:val="006B524C"/>
    <w:rsid w:val="006C39B3"/>
    <w:rsid w:val="006C5A8C"/>
    <w:rsid w:val="006C61AE"/>
    <w:rsid w:val="006C6C2F"/>
    <w:rsid w:val="006D02AB"/>
    <w:rsid w:val="006D19D9"/>
    <w:rsid w:val="006D75BE"/>
    <w:rsid w:val="006E0B03"/>
    <w:rsid w:val="006F30C7"/>
    <w:rsid w:val="00700D04"/>
    <w:rsid w:val="007028DD"/>
    <w:rsid w:val="00702A48"/>
    <w:rsid w:val="0070765E"/>
    <w:rsid w:val="007144C2"/>
    <w:rsid w:val="00720E9A"/>
    <w:rsid w:val="00724119"/>
    <w:rsid w:val="0072538C"/>
    <w:rsid w:val="007338DC"/>
    <w:rsid w:val="007357A4"/>
    <w:rsid w:val="00737DCB"/>
    <w:rsid w:val="0074269F"/>
    <w:rsid w:val="00746C82"/>
    <w:rsid w:val="00747AEF"/>
    <w:rsid w:val="00751458"/>
    <w:rsid w:val="00756398"/>
    <w:rsid w:val="00756DC1"/>
    <w:rsid w:val="00756EEF"/>
    <w:rsid w:val="00760086"/>
    <w:rsid w:val="00760651"/>
    <w:rsid w:val="00763975"/>
    <w:rsid w:val="00765E57"/>
    <w:rsid w:val="00765EF3"/>
    <w:rsid w:val="00766A0E"/>
    <w:rsid w:val="00770BF1"/>
    <w:rsid w:val="00773E78"/>
    <w:rsid w:val="0077702B"/>
    <w:rsid w:val="00777A85"/>
    <w:rsid w:val="00782D15"/>
    <w:rsid w:val="007903A9"/>
    <w:rsid w:val="00790B70"/>
    <w:rsid w:val="00794055"/>
    <w:rsid w:val="007940C0"/>
    <w:rsid w:val="00794F59"/>
    <w:rsid w:val="007A1E09"/>
    <w:rsid w:val="007B1696"/>
    <w:rsid w:val="007B3AB7"/>
    <w:rsid w:val="007B4B4D"/>
    <w:rsid w:val="007B7A80"/>
    <w:rsid w:val="007C00E6"/>
    <w:rsid w:val="007C17D7"/>
    <w:rsid w:val="007C1AB7"/>
    <w:rsid w:val="007C2B79"/>
    <w:rsid w:val="007D5372"/>
    <w:rsid w:val="007D7331"/>
    <w:rsid w:val="007E2B94"/>
    <w:rsid w:val="007E49B2"/>
    <w:rsid w:val="007F23B7"/>
    <w:rsid w:val="00800B5C"/>
    <w:rsid w:val="00806A2F"/>
    <w:rsid w:val="00806CE0"/>
    <w:rsid w:val="00820DAC"/>
    <w:rsid w:val="008235B3"/>
    <w:rsid w:val="008250B0"/>
    <w:rsid w:val="00825BCD"/>
    <w:rsid w:val="0083186C"/>
    <w:rsid w:val="00832A48"/>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4300"/>
    <w:rsid w:val="00876F7A"/>
    <w:rsid w:val="008772A6"/>
    <w:rsid w:val="00883967"/>
    <w:rsid w:val="008853ED"/>
    <w:rsid w:val="008933F4"/>
    <w:rsid w:val="008A4CC9"/>
    <w:rsid w:val="008A4E5E"/>
    <w:rsid w:val="008B255E"/>
    <w:rsid w:val="008B2D5D"/>
    <w:rsid w:val="008B40E7"/>
    <w:rsid w:val="008B4F35"/>
    <w:rsid w:val="008B55D7"/>
    <w:rsid w:val="008C3074"/>
    <w:rsid w:val="008C4645"/>
    <w:rsid w:val="008C6E44"/>
    <w:rsid w:val="008C7499"/>
    <w:rsid w:val="008C7884"/>
    <w:rsid w:val="008D015B"/>
    <w:rsid w:val="008D0FEB"/>
    <w:rsid w:val="008D20FA"/>
    <w:rsid w:val="008D2172"/>
    <w:rsid w:val="008D2B5A"/>
    <w:rsid w:val="008D3414"/>
    <w:rsid w:val="008D69EE"/>
    <w:rsid w:val="008E0939"/>
    <w:rsid w:val="008E3159"/>
    <w:rsid w:val="008E42C1"/>
    <w:rsid w:val="008E4600"/>
    <w:rsid w:val="008E4952"/>
    <w:rsid w:val="008E64F1"/>
    <w:rsid w:val="008F0DB3"/>
    <w:rsid w:val="008F3589"/>
    <w:rsid w:val="00901896"/>
    <w:rsid w:val="00901DB9"/>
    <w:rsid w:val="00910886"/>
    <w:rsid w:val="00910E8C"/>
    <w:rsid w:val="00911431"/>
    <w:rsid w:val="00913A10"/>
    <w:rsid w:val="0091404F"/>
    <w:rsid w:val="00914FC3"/>
    <w:rsid w:val="00922AE0"/>
    <w:rsid w:val="00922F80"/>
    <w:rsid w:val="00923A69"/>
    <w:rsid w:val="00923FA5"/>
    <w:rsid w:val="0092536D"/>
    <w:rsid w:val="009434E8"/>
    <w:rsid w:val="00944C6D"/>
    <w:rsid w:val="0094524F"/>
    <w:rsid w:val="00946448"/>
    <w:rsid w:val="00952CB5"/>
    <w:rsid w:val="009551CC"/>
    <w:rsid w:val="009615EA"/>
    <w:rsid w:val="009641A4"/>
    <w:rsid w:val="009648DA"/>
    <w:rsid w:val="00967DD0"/>
    <w:rsid w:val="00970516"/>
    <w:rsid w:val="00970D9B"/>
    <w:rsid w:val="00974239"/>
    <w:rsid w:val="00976548"/>
    <w:rsid w:val="00982A9C"/>
    <w:rsid w:val="009A39D4"/>
    <w:rsid w:val="009A7612"/>
    <w:rsid w:val="009B00D0"/>
    <w:rsid w:val="009B1FDC"/>
    <w:rsid w:val="009B25CC"/>
    <w:rsid w:val="009B2FE0"/>
    <w:rsid w:val="009B4A14"/>
    <w:rsid w:val="009B7819"/>
    <w:rsid w:val="009C14C7"/>
    <w:rsid w:val="009C1ACB"/>
    <w:rsid w:val="009C3BDA"/>
    <w:rsid w:val="009C4473"/>
    <w:rsid w:val="009C5BA6"/>
    <w:rsid w:val="009D3AB0"/>
    <w:rsid w:val="009D3AC6"/>
    <w:rsid w:val="009D5796"/>
    <w:rsid w:val="009F1AD3"/>
    <w:rsid w:val="009F2449"/>
    <w:rsid w:val="009F3D36"/>
    <w:rsid w:val="009F59E8"/>
    <w:rsid w:val="009F756F"/>
    <w:rsid w:val="00A06B2B"/>
    <w:rsid w:val="00A07695"/>
    <w:rsid w:val="00A10E46"/>
    <w:rsid w:val="00A15E78"/>
    <w:rsid w:val="00A2137E"/>
    <w:rsid w:val="00A222BE"/>
    <w:rsid w:val="00A22F96"/>
    <w:rsid w:val="00A231A7"/>
    <w:rsid w:val="00A23425"/>
    <w:rsid w:val="00A24688"/>
    <w:rsid w:val="00A2573C"/>
    <w:rsid w:val="00A31D28"/>
    <w:rsid w:val="00A32EFC"/>
    <w:rsid w:val="00A3304F"/>
    <w:rsid w:val="00A35D95"/>
    <w:rsid w:val="00A40620"/>
    <w:rsid w:val="00A453ED"/>
    <w:rsid w:val="00A52D8F"/>
    <w:rsid w:val="00A60701"/>
    <w:rsid w:val="00A72C73"/>
    <w:rsid w:val="00A7420E"/>
    <w:rsid w:val="00A77409"/>
    <w:rsid w:val="00A77AC4"/>
    <w:rsid w:val="00A857A8"/>
    <w:rsid w:val="00A91A02"/>
    <w:rsid w:val="00A92915"/>
    <w:rsid w:val="00A93984"/>
    <w:rsid w:val="00AA0D65"/>
    <w:rsid w:val="00AA3BBC"/>
    <w:rsid w:val="00AB1643"/>
    <w:rsid w:val="00AB23B8"/>
    <w:rsid w:val="00AB270C"/>
    <w:rsid w:val="00AB7B71"/>
    <w:rsid w:val="00AB7CEA"/>
    <w:rsid w:val="00AC438F"/>
    <w:rsid w:val="00AC7752"/>
    <w:rsid w:val="00AD7783"/>
    <w:rsid w:val="00AF0727"/>
    <w:rsid w:val="00AF12A9"/>
    <w:rsid w:val="00AF2532"/>
    <w:rsid w:val="00AF3674"/>
    <w:rsid w:val="00AF4B37"/>
    <w:rsid w:val="00B010A7"/>
    <w:rsid w:val="00B11F64"/>
    <w:rsid w:val="00B1344C"/>
    <w:rsid w:val="00B145BA"/>
    <w:rsid w:val="00B1598A"/>
    <w:rsid w:val="00B15B85"/>
    <w:rsid w:val="00B22A50"/>
    <w:rsid w:val="00B24EB2"/>
    <w:rsid w:val="00B25B92"/>
    <w:rsid w:val="00B31660"/>
    <w:rsid w:val="00B31C44"/>
    <w:rsid w:val="00B412A9"/>
    <w:rsid w:val="00B46489"/>
    <w:rsid w:val="00B51F24"/>
    <w:rsid w:val="00B56DC4"/>
    <w:rsid w:val="00B64A41"/>
    <w:rsid w:val="00B660A0"/>
    <w:rsid w:val="00B662E7"/>
    <w:rsid w:val="00B70414"/>
    <w:rsid w:val="00B7272C"/>
    <w:rsid w:val="00B80555"/>
    <w:rsid w:val="00B838B1"/>
    <w:rsid w:val="00B9371D"/>
    <w:rsid w:val="00B9410E"/>
    <w:rsid w:val="00B955F7"/>
    <w:rsid w:val="00BA09AF"/>
    <w:rsid w:val="00BA6E34"/>
    <w:rsid w:val="00BB02AA"/>
    <w:rsid w:val="00BB0901"/>
    <w:rsid w:val="00BB5E95"/>
    <w:rsid w:val="00BC132A"/>
    <w:rsid w:val="00BC37E0"/>
    <w:rsid w:val="00BC4093"/>
    <w:rsid w:val="00BD0FD5"/>
    <w:rsid w:val="00BD1469"/>
    <w:rsid w:val="00BD6094"/>
    <w:rsid w:val="00BE122B"/>
    <w:rsid w:val="00BE1FA5"/>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821"/>
    <w:rsid w:val="00C23940"/>
    <w:rsid w:val="00C23941"/>
    <w:rsid w:val="00C250E2"/>
    <w:rsid w:val="00C36127"/>
    <w:rsid w:val="00C37009"/>
    <w:rsid w:val="00C43FD0"/>
    <w:rsid w:val="00C45881"/>
    <w:rsid w:val="00C45ACB"/>
    <w:rsid w:val="00C46B15"/>
    <w:rsid w:val="00C46B26"/>
    <w:rsid w:val="00C46ED3"/>
    <w:rsid w:val="00C546BE"/>
    <w:rsid w:val="00C65A93"/>
    <w:rsid w:val="00C701E7"/>
    <w:rsid w:val="00C73116"/>
    <w:rsid w:val="00C741DE"/>
    <w:rsid w:val="00C74ACF"/>
    <w:rsid w:val="00C8428A"/>
    <w:rsid w:val="00C91E7F"/>
    <w:rsid w:val="00C97458"/>
    <w:rsid w:val="00CA075A"/>
    <w:rsid w:val="00CA0FB7"/>
    <w:rsid w:val="00CA1436"/>
    <w:rsid w:val="00CA2B78"/>
    <w:rsid w:val="00CA6788"/>
    <w:rsid w:val="00CA785D"/>
    <w:rsid w:val="00CB187A"/>
    <w:rsid w:val="00CB1CBD"/>
    <w:rsid w:val="00CB41BF"/>
    <w:rsid w:val="00CB6438"/>
    <w:rsid w:val="00CC2C71"/>
    <w:rsid w:val="00CC428D"/>
    <w:rsid w:val="00CC67E0"/>
    <w:rsid w:val="00CC6AF6"/>
    <w:rsid w:val="00CC6CF0"/>
    <w:rsid w:val="00CD46C9"/>
    <w:rsid w:val="00CD6140"/>
    <w:rsid w:val="00CD68CD"/>
    <w:rsid w:val="00CD6A6C"/>
    <w:rsid w:val="00CE49C4"/>
    <w:rsid w:val="00CE6EBE"/>
    <w:rsid w:val="00CF0907"/>
    <w:rsid w:val="00CF1C92"/>
    <w:rsid w:val="00CF3E72"/>
    <w:rsid w:val="00CF4B15"/>
    <w:rsid w:val="00D00C42"/>
    <w:rsid w:val="00D046BF"/>
    <w:rsid w:val="00D05073"/>
    <w:rsid w:val="00D05877"/>
    <w:rsid w:val="00D07110"/>
    <w:rsid w:val="00D100B1"/>
    <w:rsid w:val="00D14AD5"/>
    <w:rsid w:val="00D1557B"/>
    <w:rsid w:val="00D23AD9"/>
    <w:rsid w:val="00D25317"/>
    <w:rsid w:val="00D267EA"/>
    <w:rsid w:val="00D34FFB"/>
    <w:rsid w:val="00D4560A"/>
    <w:rsid w:val="00D4628F"/>
    <w:rsid w:val="00D5398F"/>
    <w:rsid w:val="00D65A2E"/>
    <w:rsid w:val="00D679A5"/>
    <w:rsid w:val="00D7389C"/>
    <w:rsid w:val="00D74F7F"/>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E7ABB"/>
    <w:rsid w:val="00DF4882"/>
    <w:rsid w:val="00DF71D7"/>
    <w:rsid w:val="00E01269"/>
    <w:rsid w:val="00E018C8"/>
    <w:rsid w:val="00E01E01"/>
    <w:rsid w:val="00E028D0"/>
    <w:rsid w:val="00E03F0D"/>
    <w:rsid w:val="00E04E51"/>
    <w:rsid w:val="00E10F2F"/>
    <w:rsid w:val="00E25810"/>
    <w:rsid w:val="00E32997"/>
    <w:rsid w:val="00E32F84"/>
    <w:rsid w:val="00E33293"/>
    <w:rsid w:val="00E348EC"/>
    <w:rsid w:val="00E406B7"/>
    <w:rsid w:val="00E426EF"/>
    <w:rsid w:val="00E45836"/>
    <w:rsid w:val="00E46AD6"/>
    <w:rsid w:val="00E50DFE"/>
    <w:rsid w:val="00E6130F"/>
    <w:rsid w:val="00E722A1"/>
    <w:rsid w:val="00E7264D"/>
    <w:rsid w:val="00E74743"/>
    <w:rsid w:val="00E756A9"/>
    <w:rsid w:val="00E75EDF"/>
    <w:rsid w:val="00E81120"/>
    <w:rsid w:val="00E84088"/>
    <w:rsid w:val="00E84F29"/>
    <w:rsid w:val="00E850B9"/>
    <w:rsid w:val="00E858AF"/>
    <w:rsid w:val="00E906FF"/>
    <w:rsid w:val="00E9455A"/>
    <w:rsid w:val="00EA064A"/>
    <w:rsid w:val="00EA1796"/>
    <w:rsid w:val="00EA450A"/>
    <w:rsid w:val="00EA5FC3"/>
    <w:rsid w:val="00EA6B55"/>
    <w:rsid w:val="00EA6F54"/>
    <w:rsid w:val="00EB35B4"/>
    <w:rsid w:val="00EC3780"/>
    <w:rsid w:val="00EC49D3"/>
    <w:rsid w:val="00EC56A4"/>
    <w:rsid w:val="00EC59B8"/>
    <w:rsid w:val="00ED0704"/>
    <w:rsid w:val="00EE234D"/>
    <w:rsid w:val="00EF3743"/>
    <w:rsid w:val="00EF38FB"/>
    <w:rsid w:val="00EF70DB"/>
    <w:rsid w:val="00F04CD4"/>
    <w:rsid w:val="00F051BD"/>
    <w:rsid w:val="00F07C19"/>
    <w:rsid w:val="00F12690"/>
    <w:rsid w:val="00F14C1D"/>
    <w:rsid w:val="00F203A1"/>
    <w:rsid w:val="00F205CB"/>
    <w:rsid w:val="00F21372"/>
    <w:rsid w:val="00F24D8A"/>
    <w:rsid w:val="00F25DF0"/>
    <w:rsid w:val="00F310A9"/>
    <w:rsid w:val="00F317C8"/>
    <w:rsid w:val="00F36889"/>
    <w:rsid w:val="00F37E12"/>
    <w:rsid w:val="00F505F0"/>
    <w:rsid w:val="00F54EDD"/>
    <w:rsid w:val="00F55DB4"/>
    <w:rsid w:val="00F575CE"/>
    <w:rsid w:val="00F57F8B"/>
    <w:rsid w:val="00F604D1"/>
    <w:rsid w:val="00F65456"/>
    <w:rsid w:val="00F65AFC"/>
    <w:rsid w:val="00F66DE5"/>
    <w:rsid w:val="00F676BF"/>
    <w:rsid w:val="00F7071B"/>
    <w:rsid w:val="00F72F11"/>
    <w:rsid w:val="00F75E70"/>
    <w:rsid w:val="00F767C2"/>
    <w:rsid w:val="00F76AF5"/>
    <w:rsid w:val="00F81156"/>
    <w:rsid w:val="00F83D85"/>
    <w:rsid w:val="00F84C1E"/>
    <w:rsid w:val="00F854BF"/>
    <w:rsid w:val="00F8780F"/>
    <w:rsid w:val="00F929C8"/>
    <w:rsid w:val="00F94302"/>
    <w:rsid w:val="00F94883"/>
    <w:rsid w:val="00F94921"/>
    <w:rsid w:val="00F96903"/>
    <w:rsid w:val="00F97AA4"/>
    <w:rsid w:val="00F97CD3"/>
    <w:rsid w:val="00FA1CBC"/>
    <w:rsid w:val="00FA5825"/>
    <w:rsid w:val="00FA7655"/>
    <w:rsid w:val="00FB7027"/>
    <w:rsid w:val="00FC2816"/>
    <w:rsid w:val="00FC41D1"/>
    <w:rsid w:val="00FC61BF"/>
    <w:rsid w:val="00FD3859"/>
    <w:rsid w:val="00FD4E96"/>
    <w:rsid w:val="00FD5761"/>
    <w:rsid w:val="00FE01D3"/>
    <w:rsid w:val="00FE0C52"/>
    <w:rsid w:val="00FE6445"/>
    <w:rsid w:val="00FF0224"/>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9A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 w:type="character" w:customStyle="1" w:styleId="IFTnormalCar">
    <w:name w:val="IFT normal Car"/>
    <w:link w:val="IFTnormal"/>
    <w:qFormat/>
    <w:locked/>
    <w:rsid w:val="002140C8"/>
    <w:rPr>
      <w:rFonts w:ascii="ITC Avant Garde" w:eastAsia="MS Mincho" w:hAnsi="ITC Avant Garde" w:cs="Calibri"/>
      <w:bCs/>
    </w:rPr>
  </w:style>
  <w:style w:type="paragraph" w:customStyle="1" w:styleId="IFTnormal">
    <w:name w:val="IFT normal"/>
    <w:basedOn w:val="Normal"/>
    <w:link w:val="IFTnormalCar"/>
    <w:qFormat/>
    <w:rsid w:val="002140C8"/>
    <w:pPr>
      <w:spacing w:before="0" w:after="200" w:line="276" w:lineRule="auto"/>
    </w:pPr>
    <w:rPr>
      <w:rFonts w:ascii="ITC Avant Garde" w:eastAsia="MS Mincho" w:hAnsi="ITC Avant Garde" w:cs="Calibri"/>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AB50240-5FF4-4B97-9924-E3C61C14CF83}">
  <ds:schemaRefs>
    <ds:schemaRef ds:uri="http://schemas.microsoft.com/sharepoint/v3/contenttype/forms"/>
  </ds:schemaRefs>
</ds:datastoreItem>
</file>

<file path=customXml/itemProps2.xml><?xml version="1.0" encoding="utf-8"?>
<ds:datastoreItem xmlns:ds="http://schemas.openxmlformats.org/officeDocument/2006/customXml" ds:itemID="{9E0D0089-0FEA-44AE-AA02-3D84174CE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6BBAEB-A1FE-48FF-AFB0-EA5D9CFFC655}">
  <ds:schemaRefs>
    <ds:schemaRef ds:uri="http://schemas.openxmlformats.org/officeDocument/2006/bibliography"/>
  </ds:schemaRefs>
</ds:datastoreItem>
</file>

<file path=customXml/itemProps4.xml><?xml version="1.0" encoding="utf-8"?>
<ds:datastoreItem xmlns:ds="http://schemas.openxmlformats.org/officeDocument/2006/customXml" ds:itemID="{99F09E8B-B138-4BFC-A89D-993AD53C81EB}">
  <ds:schemaRef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infopath/2007/PartnerControls"/>
    <ds:schemaRef ds:uri="http://schemas.microsoft.com/office/2006/documentManagement/types"/>
    <ds:schemaRef ds:uri="c346aaa7-98e8-4feb-9325-8bd5c0fa89a4"/>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3701</Words>
  <Characters>19186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2023-12-05T22:48:00Z</dcterms:created>
  <dcterms:modified xsi:type="dcterms:W3CDTF">2023-12-07T18:16:00Z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