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65146" w14:textId="17195872" w:rsidR="003B1A3E" w:rsidRPr="00DC42C3" w:rsidRDefault="003B1A3E" w:rsidP="007A55E8">
      <w:pPr>
        <w:pStyle w:val="Default"/>
        <w:spacing w:line="276" w:lineRule="auto"/>
        <w:jc w:val="both"/>
        <w:rPr>
          <w:rFonts w:ascii="Arial" w:eastAsia="Times New Roman" w:hAnsi="Arial" w:cs="Arial"/>
          <w:b/>
          <w:bCs/>
          <w:sz w:val="18"/>
          <w:szCs w:val="18"/>
          <w:lang w:eastAsia="es-MX"/>
        </w:rPr>
      </w:pPr>
      <w:r w:rsidRPr="00DC42C3">
        <w:rPr>
          <w:rFonts w:ascii="Arial" w:eastAsia="Times New Roman" w:hAnsi="Arial" w:cs="Arial"/>
          <w:b/>
          <w:bCs/>
          <w:sz w:val="18"/>
          <w:szCs w:val="18"/>
          <w:lang w:val="es-ES_tradnl" w:eastAsia="es-MX"/>
        </w:rPr>
        <w:t>Acuerdo mediante el cual el Pleno del Instituto Federal de Telecomunicaciones mo</w:t>
      </w:r>
      <w:bookmarkStart w:id="0" w:name="_GoBack"/>
      <w:bookmarkEnd w:id="0"/>
      <w:r w:rsidRPr="00DC42C3">
        <w:rPr>
          <w:rFonts w:ascii="Arial" w:eastAsia="Times New Roman" w:hAnsi="Arial" w:cs="Arial"/>
          <w:b/>
          <w:bCs/>
          <w:sz w:val="18"/>
          <w:szCs w:val="18"/>
          <w:lang w:val="es-ES_tradnl" w:eastAsia="es-MX"/>
        </w:rPr>
        <w:t>difica los Lineamientos para la comercialización de servicios móviles por parte de operadores móviles virtuales</w:t>
      </w:r>
      <w:r w:rsidRPr="00DC42C3">
        <w:rPr>
          <w:rFonts w:ascii="Arial" w:eastAsia="Times New Roman" w:hAnsi="Arial" w:cs="Arial"/>
          <w:b/>
          <w:bCs/>
          <w:sz w:val="18"/>
          <w:szCs w:val="18"/>
          <w:lang w:eastAsia="es-MX"/>
        </w:rPr>
        <w:t>.</w:t>
      </w:r>
    </w:p>
    <w:p w14:paraId="6668B14F" w14:textId="77777777" w:rsidR="003B1A3E" w:rsidRPr="00DC42C3" w:rsidRDefault="003B1A3E" w:rsidP="007A55E8">
      <w:pPr>
        <w:spacing w:after="0"/>
        <w:jc w:val="center"/>
        <w:rPr>
          <w:rFonts w:ascii="Arial" w:hAnsi="Arial" w:cs="Arial"/>
          <w:color w:val="000000"/>
          <w:sz w:val="18"/>
          <w:szCs w:val="18"/>
          <w:lang w:val="es-MX" w:eastAsia="es-MX"/>
        </w:rPr>
      </w:pPr>
    </w:p>
    <w:p w14:paraId="3ABADA34" w14:textId="16942E7A" w:rsidR="00A666E4" w:rsidRPr="00DC42C3" w:rsidRDefault="00A666E4" w:rsidP="007A55E8">
      <w:pPr>
        <w:spacing w:after="0"/>
        <w:jc w:val="center"/>
        <w:rPr>
          <w:rFonts w:ascii="Arial" w:hAnsi="Arial" w:cs="Arial"/>
          <w:b/>
          <w:bCs/>
          <w:color w:val="000000"/>
          <w:sz w:val="18"/>
          <w:szCs w:val="18"/>
          <w:lang w:eastAsia="es-MX"/>
        </w:rPr>
      </w:pPr>
      <w:r w:rsidRPr="00DC42C3">
        <w:rPr>
          <w:rFonts w:ascii="Arial" w:hAnsi="Arial" w:cs="Arial"/>
          <w:b/>
          <w:bCs/>
          <w:color w:val="000000"/>
          <w:sz w:val="18"/>
          <w:szCs w:val="18"/>
          <w:lang w:eastAsia="es-MX"/>
        </w:rPr>
        <w:t>Antecedentes</w:t>
      </w:r>
    </w:p>
    <w:p w14:paraId="15CA4E82" w14:textId="77777777" w:rsidR="00301944" w:rsidRPr="00DC42C3" w:rsidRDefault="00301944" w:rsidP="007A55E8">
      <w:pPr>
        <w:spacing w:after="0"/>
        <w:jc w:val="center"/>
        <w:rPr>
          <w:rFonts w:ascii="Arial" w:hAnsi="Arial" w:cs="Arial"/>
          <w:b/>
          <w:bCs/>
          <w:color w:val="000000"/>
          <w:sz w:val="18"/>
          <w:szCs w:val="18"/>
          <w:lang w:eastAsia="es-MX"/>
        </w:rPr>
      </w:pPr>
    </w:p>
    <w:p w14:paraId="0465CD35" w14:textId="77777777" w:rsidR="00A666E4" w:rsidRPr="00DC42C3" w:rsidRDefault="00A666E4" w:rsidP="007A55E8">
      <w:pPr>
        <w:spacing w:after="0"/>
        <w:jc w:val="both"/>
        <w:rPr>
          <w:rFonts w:ascii="Arial" w:hAnsi="Arial" w:cs="Arial"/>
          <w:b/>
          <w:sz w:val="18"/>
          <w:szCs w:val="18"/>
        </w:rPr>
      </w:pPr>
      <w:proofErr w:type="gramStart"/>
      <w:r w:rsidRPr="00DC42C3">
        <w:rPr>
          <w:rFonts w:ascii="Arial" w:hAnsi="Arial" w:cs="Arial"/>
          <w:b/>
          <w:sz w:val="18"/>
          <w:szCs w:val="18"/>
        </w:rPr>
        <w:t>Primero.-</w:t>
      </w:r>
      <w:proofErr w:type="gramEnd"/>
      <w:r w:rsidRPr="00DC42C3">
        <w:rPr>
          <w:rFonts w:ascii="Arial" w:hAnsi="Arial" w:cs="Arial"/>
          <w:b/>
          <w:sz w:val="18"/>
          <w:szCs w:val="18"/>
        </w:rPr>
        <w:t xml:space="preserve"> Decreto de Reforma Constitucional.</w:t>
      </w:r>
      <w:r w:rsidRPr="00DC42C3">
        <w:rPr>
          <w:rFonts w:ascii="Arial" w:hAnsi="Arial" w:cs="Arial"/>
          <w:sz w:val="18"/>
          <w:szCs w:val="18"/>
        </w:rPr>
        <w:t xml:space="preserve"> El 11 de junio de 2013, se publicó en el Diario Oficial de la Federación (en lo sucesivo, “DOF”) el “</w:t>
      </w:r>
      <w:r w:rsidRPr="00DC42C3">
        <w:rPr>
          <w:rFonts w:ascii="Arial" w:hAnsi="Arial" w:cs="Arial"/>
          <w:i/>
          <w:sz w:val="18"/>
          <w:szCs w:val="18"/>
        </w:rPr>
        <w:t>DECRETO por el que se reforman y adicionan diversas disposiciones de los artículos 6o., 7o., 27, 28, 73, 78, 94 y 105 de la Constitución Política de los Estados Unidos Mexicanos, en materia de telecomunicaciones</w:t>
      </w:r>
      <w:r w:rsidRPr="00DC42C3">
        <w:rPr>
          <w:rFonts w:ascii="Arial" w:hAnsi="Arial" w:cs="Arial"/>
          <w:sz w:val="18"/>
          <w:szCs w:val="18"/>
        </w:rPr>
        <w:t>” mediante el cual se creó al Instituto Federal de Telecomunicaciones (en lo sucesivo, el “Instituto”), como un órgano autónomo con personalidad jurídica y patrimonio propios,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14:paraId="507E1CAE" w14:textId="77777777" w:rsidR="00A666E4" w:rsidRPr="00DC42C3" w:rsidRDefault="00A666E4" w:rsidP="007A55E8">
      <w:pPr>
        <w:spacing w:after="0"/>
        <w:jc w:val="both"/>
        <w:rPr>
          <w:rFonts w:ascii="Arial" w:hAnsi="Arial" w:cs="Arial"/>
          <w:b/>
          <w:bCs/>
          <w:color w:val="000000"/>
          <w:sz w:val="18"/>
          <w:szCs w:val="18"/>
          <w:lang w:eastAsia="es-MX"/>
        </w:rPr>
      </w:pPr>
    </w:p>
    <w:p w14:paraId="111F226B" w14:textId="25A530DB" w:rsidR="00A666E4" w:rsidRPr="00DC42C3" w:rsidRDefault="00A666E4" w:rsidP="007A55E8">
      <w:pPr>
        <w:widowControl w:val="0"/>
        <w:spacing w:after="0"/>
        <w:jc w:val="both"/>
        <w:rPr>
          <w:rFonts w:ascii="Arial" w:hAnsi="Arial" w:cs="Arial"/>
          <w:sz w:val="18"/>
          <w:szCs w:val="18"/>
        </w:rPr>
      </w:pPr>
      <w:proofErr w:type="gramStart"/>
      <w:r w:rsidRPr="00DC42C3">
        <w:rPr>
          <w:rFonts w:ascii="Arial" w:hAnsi="Arial" w:cs="Arial"/>
          <w:b/>
          <w:sz w:val="18"/>
          <w:szCs w:val="18"/>
        </w:rPr>
        <w:t>Segundo.-</w:t>
      </w:r>
      <w:proofErr w:type="gramEnd"/>
      <w:r w:rsidRPr="00DC42C3">
        <w:rPr>
          <w:rFonts w:ascii="Arial" w:hAnsi="Arial" w:cs="Arial"/>
          <w:b/>
          <w:sz w:val="18"/>
          <w:szCs w:val="18"/>
        </w:rPr>
        <w:t xml:space="preserve"> Ley Federal de Telecomunicaciones y Radiodifusión.</w:t>
      </w:r>
      <w:r w:rsidRPr="00DC42C3">
        <w:rPr>
          <w:rFonts w:ascii="Arial" w:hAnsi="Arial" w:cs="Arial"/>
          <w:sz w:val="18"/>
          <w:szCs w:val="18"/>
        </w:rPr>
        <w:t xml:space="preserve"> El 14 de julio de 2014, se publicó en el DOF el “</w:t>
      </w:r>
      <w:r w:rsidRPr="00DC42C3">
        <w:rPr>
          <w:rFonts w:ascii="Arial" w:hAnsi="Arial" w:cs="Arial"/>
          <w:i/>
          <w:sz w:val="18"/>
          <w:szCs w:val="18"/>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C42C3">
        <w:rPr>
          <w:rFonts w:ascii="Arial" w:hAnsi="Arial" w:cs="Arial"/>
          <w:sz w:val="18"/>
          <w:szCs w:val="18"/>
        </w:rPr>
        <w:t>” entrando en vigor la Ley Federal de Telecomunicaciones y Radiodifusión (en lo sucesivo, la “LFTR”) el 13 de agosto del 2014.</w:t>
      </w:r>
    </w:p>
    <w:p w14:paraId="7278293A" w14:textId="77777777" w:rsidR="00A666E4" w:rsidRPr="00DC42C3" w:rsidRDefault="00A666E4" w:rsidP="007A55E8">
      <w:pPr>
        <w:spacing w:after="0"/>
        <w:jc w:val="both"/>
        <w:rPr>
          <w:rFonts w:ascii="Arial" w:hAnsi="Arial" w:cs="Arial"/>
          <w:b/>
          <w:bCs/>
          <w:color w:val="000000"/>
          <w:sz w:val="18"/>
          <w:szCs w:val="18"/>
          <w:lang w:eastAsia="es-MX"/>
        </w:rPr>
      </w:pPr>
    </w:p>
    <w:p w14:paraId="06D2856B" w14:textId="1D364A6B" w:rsidR="00A666E4" w:rsidRPr="00DC42C3" w:rsidRDefault="00A666E4" w:rsidP="007A55E8">
      <w:pPr>
        <w:widowControl w:val="0"/>
        <w:spacing w:after="0"/>
        <w:jc w:val="both"/>
        <w:rPr>
          <w:rFonts w:ascii="Arial" w:hAnsi="Arial" w:cs="Arial"/>
          <w:sz w:val="18"/>
          <w:szCs w:val="18"/>
        </w:rPr>
      </w:pPr>
      <w:proofErr w:type="gramStart"/>
      <w:r w:rsidRPr="00DC42C3">
        <w:rPr>
          <w:rFonts w:ascii="Arial" w:hAnsi="Arial" w:cs="Arial"/>
          <w:b/>
          <w:sz w:val="18"/>
          <w:szCs w:val="18"/>
        </w:rPr>
        <w:t>Tercero.-</w:t>
      </w:r>
      <w:proofErr w:type="gramEnd"/>
      <w:r w:rsidRPr="00DC42C3">
        <w:rPr>
          <w:rFonts w:ascii="Arial" w:hAnsi="Arial" w:cs="Arial"/>
          <w:b/>
          <w:sz w:val="18"/>
          <w:szCs w:val="18"/>
        </w:rPr>
        <w:t xml:space="preserve"> Estatuto Orgánico del Instituto Federal de Telecomunicaciones.</w:t>
      </w:r>
      <w:r w:rsidRPr="00DC42C3">
        <w:rPr>
          <w:rFonts w:ascii="Arial" w:hAnsi="Arial" w:cs="Arial"/>
          <w:sz w:val="18"/>
          <w:szCs w:val="18"/>
        </w:rPr>
        <w:t xml:space="preserve"> El 4 de septiembre de 2014, se publicó en el DOF el “</w:t>
      </w:r>
      <w:r w:rsidRPr="00DC42C3">
        <w:rPr>
          <w:rFonts w:ascii="Arial" w:hAnsi="Arial" w:cs="Arial"/>
          <w:i/>
          <w:sz w:val="18"/>
          <w:szCs w:val="18"/>
        </w:rPr>
        <w:t>ESTATUTO Orgánico del Instituto Federal de Telecomunicaciones</w:t>
      </w:r>
      <w:r w:rsidRPr="00DC42C3">
        <w:rPr>
          <w:rFonts w:ascii="Arial" w:hAnsi="Arial" w:cs="Arial"/>
          <w:sz w:val="18"/>
          <w:szCs w:val="18"/>
        </w:rPr>
        <w:t>”, aprobado mediante Acuerdo P/IFT/EXT/270814/209, mismo que entró en vigor el 26 de septiembre de 2014.</w:t>
      </w:r>
    </w:p>
    <w:p w14:paraId="55550A59" w14:textId="77777777" w:rsidR="00A666E4" w:rsidRPr="00DC42C3" w:rsidRDefault="00A666E4" w:rsidP="007A55E8">
      <w:pPr>
        <w:widowControl w:val="0"/>
        <w:spacing w:after="0"/>
        <w:jc w:val="both"/>
        <w:rPr>
          <w:rFonts w:ascii="Arial" w:hAnsi="Arial" w:cs="Arial"/>
          <w:sz w:val="18"/>
          <w:szCs w:val="18"/>
        </w:rPr>
      </w:pPr>
    </w:p>
    <w:p w14:paraId="3A7AE62D" w14:textId="5FE7C078" w:rsidR="00A666E4" w:rsidRPr="00DC42C3" w:rsidRDefault="00A666E4" w:rsidP="007A55E8">
      <w:pPr>
        <w:widowControl w:val="0"/>
        <w:spacing w:after="0"/>
        <w:jc w:val="both"/>
        <w:rPr>
          <w:rFonts w:ascii="Arial" w:hAnsi="Arial" w:cs="Arial"/>
          <w:sz w:val="18"/>
          <w:szCs w:val="18"/>
        </w:rPr>
      </w:pPr>
      <w:proofErr w:type="gramStart"/>
      <w:r w:rsidRPr="00DC42C3">
        <w:rPr>
          <w:rFonts w:ascii="Arial" w:hAnsi="Arial" w:cs="Arial"/>
          <w:b/>
          <w:bCs/>
          <w:sz w:val="18"/>
          <w:szCs w:val="18"/>
        </w:rPr>
        <w:t>Cuarto.-</w:t>
      </w:r>
      <w:proofErr w:type="gramEnd"/>
      <w:r w:rsidRPr="00DC42C3">
        <w:rPr>
          <w:rFonts w:ascii="Arial" w:hAnsi="Arial" w:cs="Arial"/>
          <w:sz w:val="18"/>
          <w:szCs w:val="18"/>
        </w:rPr>
        <w:t xml:space="preserve"> </w:t>
      </w:r>
      <w:r w:rsidRPr="00DC42C3">
        <w:rPr>
          <w:rFonts w:ascii="Arial" w:hAnsi="Arial" w:cs="Arial"/>
          <w:b/>
          <w:bCs/>
          <w:sz w:val="18"/>
          <w:szCs w:val="18"/>
        </w:rPr>
        <w:t>Reglas de Portabilidad Numérica</w:t>
      </w:r>
      <w:r w:rsidRPr="00DC42C3">
        <w:rPr>
          <w:rFonts w:ascii="Arial" w:hAnsi="Arial" w:cs="Arial"/>
          <w:sz w:val="18"/>
          <w:szCs w:val="18"/>
        </w:rPr>
        <w:t xml:space="preserve">. El 12 de noviembre de 2014, se publicó en el DOF el </w:t>
      </w:r>
      <w:r w:rsidR="001E35AD">
        <w:rPr>
          <w:rFonts w:ascii="Arial" w:hAnsi="Arial" w:cs="Arial"/>
          <w:sz w:val="18"/>
          <w:szCs w:val="18"/>
        </w:rPr>
        <w:t>“</w:t>
      </w:r>
      <w:r w:rsidRPr="00DC42C3">
        <w:rPr>
          <w:rFonts w:ascii="Arial" w:hAnsi="Arial" w:cs="Arial"/>
          <w:i/>
          <w:iCs/>
          <w:sz w:val="18"/>
          <w:szCs w:val="18"/>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sidR="001E35AD">
        <w:rPr>
          <w:rFonts w:ascii="Arial" w:hAnsi="Arial" w:cs="Arial"/>
          <w:i/>
          <w:iCs/>
          <w:sz w:val="18"/>
          <w:szCs w:val="18"/>
        </w:rPr>
        <w:t>”</w:t>
      </w:r>
      <w:r w:rsidRPr="00DC42C3">
        <w:rPr>
          <w:rFonts w:ascii="Arial" w:hAnsi="Arial" w:cs="Arial"/>
          <w:sz w:val="18"/>
          <w:szCs w:val="18"/>
        </w:rPr>
        <w:t>, aprobado mediante Acuerdo P/IFT/EXT/061114/213 (en lo sucesivo, las "Reglas de Portabilidad").</w:t>
      </w:r>
    </w:p>
    <w:p w14:paraId="17DD3121" w14:textId="77777777" w:rsidR="00A666E4" w:rsidRPr="00DC42C3" w:rsidRDefault="00A666E4" w:rsidP="007A55E8">
      <w:pPr>
        <w:widowControl w:val="0"/>
        <w:spacing w:after="0"/>
        <w:jc w:val="both"/>
        <w:rPr>
          <w:rFonts w:ascii="Arial" w:hAnsi="Arial" w:cs="Arial"/>
          <w:sz w:val="18"/>
          <w:szCs w:val="18"/>
        </w:rPr>
      </w:pPr>
    </w:p>
    <w:p w14:paraId="2E6A3825" w14:textId="46F2E1D5" w:rsidR="00A666E4" w:rsidRPr="00DC42C3" w:rsidRDefault="00EC5B51" w:rsidP="007A55E8">
      <w:pPr>
        <w:spacing w:after="0"/>
        <w:jc w:val="both"/>
        <w:rPr>
          <w:rFonts w:ascii="Arial" w:hAnsi="Arial" w:cs="Arial"/>
          <w:sz w:val="18"/>
          <w:szCs w:val="18"/>
        </w:rPr>
      </w:pPr>
      <w:proofErr w:type="gramStart"/>
      <w:r w:rsidRPr="00DC42C3">
        <w:rPr>
          <w:rFonts w:ascii="Arial" w:hAnsi="Arial" w:cs="Arial"/>
          <w:b/>
          <w:sz w:val="18"/>
          <w:szCs w:val="18"/>
        </w:rPr>
        <w:t>Quinto</w:t>
      </w:r>
      <w:r w:rsidR="00A666E4" w:rsidRPr="00DC42C3">
        <w:rPr>
          <w:rFonts w:ascii="Arial" w:hAnsi="Arial" w:cs="Arial"/>
          <w:b/>
          <w:sz w:val="18"/>
          <w:szCs w:val="18"/>
        </w:rPr>
        <w:t>.-</w:t>
      </w:r>
      <w:proofErr w:type="gramEnd"/>
      <w:r w:rsidR="00A666E4" w:rsidRPr="00DC42C3">
        <w:rPr>
          <w:rFonts w:ascii="Arial" w:hAnsi="Arial" w:cs="Arial"/>
          <w:b/>
          <w:sz w:val="18"/>
          <w:szCs w:val="18"/>
        </w:rPr>
        <w:t xml:space="preserve"> Acuerdo de Lineamientos de OMV.</w:t>
      </w:r>
      <w:r w:rsidR="00A666E4" w:rsidRPr="00DC42C3">
        <w:rPr>
          <w:rFonts w:ascii="Arial" w:hAnsi="Arial" w:cs="Arial"/>
          <w:sz w:val="18"/>
          <w:szCs w:val="18"/>
        </w:rPr>
        <w:t xml:space="preserve"> El 9 de marzo de 2016, se publicó en el DOF el “</w:t>
      </w:r>
      <w:r w:rsidR="00A666E4" w:rsidRPr="00DC42C3">
        <w:rPr>
          <w:rFonts w:ascii="Arial" w:hAnsi="Arial" w:cs="Arial"/>
          <w:i/>
          <w:sz w:val="18"/>
          <w:szCs w:val="18"/>
        </w:rPr>
        <w:t>ACUERDO mediante el cual el Pleno del Instituto Federal de Telecomunicaciones emite los Lineamientos para la comercialización de servicios por parte de operadores móviles virtuales</w:t>
      </w:r>
      <w:r w:rsidR="00A666E4" w:rsidRPr="00DC42C3">
        <w:rPr>
          <w:rFonts w:ascii="Arial" w:hAnsi="Arial" w:cs="Arial"/>
          <w:sz w:val="18"/>
          <w:szCs w:val="18"/>
        </w:rPr>
        <w:t>”,</w:t>
      </w:r>
      <w:bookmarkStart w:id="1" w:name="_Hlk151466761"/>
      <w:r w:rsidR="00A666E4" w:rsidRPr="00DC42C3">
        <w:rPr>
          <w:rFonts w:ascii="Arial" w:hAnsi="Arial" w:cs="Arial"/>
          <w:sz w:val="18"/>
          <w:szCs w:val="18"/>
        </w:rPr>
        <w:t xml:space="preserve"> </w:t>
      </w:r>
      <w:r w:rsidR="00A666E4" w:rsidRPr="00DC42C3">
        <w:rPr>
          <w:rFonts w:ascii="Arial" w:hAnsi="Arial" w:cs="Arial"/>
          <w:bCs/>
          <w:sz w:val="18"/>
          <w:szCs w:val="18"/>
          <w:lang w:eastAsia="es-ES"/>
        </w:rPr>
        <w:t>aprobado mediante Acuerdo P/IFT/170216/35</w:t>
      </w:r>
      <w:bookmarkEnd w:id="1"/>
      <w:r w:rsidR="00A666E4" w:rsidRPr="00DC42C3">
        <w:rPr>
          <w:rFonts w:ascii="Arial" w:hAnsi="Arial" w:cs="Arial"/>
          <w:sz w:val="18"/>
          <w:szCs w:val="18"/>
        </w:rPr>
        <w:t xml:space="preserve"> (en lo sucesivo, los “Lineamientos de OMV”)</w:t>
      </w:r>
      <w:r w:rsidR="00A666E4" w:rsidRPr="00DC42C3">
        <w:rPr>
          <w:rFonts w:ascii="Arial" w:hAnsi="Arial" w:cs="Arial"/>
          <w:bCs/>
          <w:sz w:val="18"/>
          <w:szCs w:val="18"/>
          <w:lang w:eastAsia="es-ES"/>
        </w:rPr>
        <w:t>.</w:t>
      </w:r>
    </w:p>
    <w:p w14:paraId="3BF89FC2" w14:textId="77777777" w:rsidR="00A666E4" w:rsidRPr="00DC42C3" w:rsidRDefault="00A666E4" w:rsidP="007A55E8">
      <w:pPr>
        <w:widowControl w:val="0"/>
        <w:spacing w:after="0"/>
        <w:jc w:val="both"/>
        <w:rPr>
          <w:rFonts w:ascii="Arial" w:hAnsi="Arial" w:cs="Arial"/>
          <w:sz w:val="18"/>
          <w:szCs w:val="18"/>
        </w:rPr>
      </w:pPr>
    </w:p>
    <w:p w14:paraId="4C15B7C8" w14:textId="40926487" w:rsidR="00A666E4" w:rsidRPr="00DC42C3" w:rsidRDefault="00EC5B51" w:rsidP="007A55E8">
      <w:pPr>
        <w:widowControl w:val="0"/>
        <w:spacing w:after="0"/>
        <w:jc w:val="both"/>
        <w:rPr>
          <w:rFonts w:ascii="Arial" w:hAnsi="Arial" w:cs="Arial"/>
          <w:sz w:val="18"/>
          <w:szCs w:val="18"/>
        </w:rPr>
      </w:pPr>
      <w:proofErr w:type="gramStart"/>
      <w:r w:rsidRPr="00DC42C3">
        <w:rPr>
          <w:rFonts w:ascii="Arial" w:hAnsi="Arial" w:cs="Arial"/>
          <w:b/>
          <w:sz w:val="18"/>
          <w:szCs w:val="18"/>
        </w:rPr>
        <w:t>Sexto</w:t>
      </w:r>
      <w:r w:rsidR="00A666E4" w:rsidRPr="00DC42C3">
        <w:rPr>
          <w:rFonts w:ascii="Arial" w:hAnsi="Arial" w:cs="Arial"/>
          <w:b/>
          <w:sz w:val="18"/>
          <w:szCs w:val="18"/>
        </w:rPr>
        <w:t>.-</w:t>
      </w:r>
      <w:proofErr w:type="gramEnd"/>
      <w:r w:rsidR="00A666E4" w:rsidRPr="00DC42C3">
        <w:rPr>
          <w:rFonts w:ascii="Arial" w:hAnsi="Arial" w:cs="Arial"/>
          <w:b/>
          <w:sz w:val="18"/>
          <w:szCs w:val="18"/>
        </w:rPr>
        <w:t xml:space="preserve"> Lineamientos de Consulta Pública y Análisis de Impacto Regulatorio.</w:t>
      </w:r>
      <w:r w:rsidR="00A666E4" w:rsidRPr="00DC42C3">
        <w:rPr>
          <w:rFonts w:ascii="Arial" w:hAnsi="Arial" w:cs="Arial"/>
          <w:sz w:val="18"/>
          <w:szCs w:val="18"/>
        </w:rPr>
        <w:t xml:space="preserve"> El 8 de noviembre de 2017, se publicó en el DOF el “</w:t>
      </w:r>
      <w:r w:rsidR="00A666E4" w:rsidRPr="00DC42C3">
        <w:rPr>
          <w:rFonts w:ascii="Arial" w:hAnsi="Arial" w:cs="Arial"/>
          <w:i/>
          <w:iCs/>
          <w:sz w:val="18"/>
          <w:szCs w:val="18"/>
        </w:rPr>
        <w:t>Acuerdo mediante el cual el Pleno del Instituto Federal de Telecomunicaciones aprueba y emite los Lineamientos de Consulta Pública y Análisis de Impacto Regulatorio del Instituto Federal de Telecomunicaciones</w:t>
      </w:r>
      <w:r w:rsidR="00A666E4" w:rsidRPr="00DC42C3">
        <w:rPr>
          <w:rFonts w:ascii="Arial" w:hAnsi="Arial" w:cs="Arial"/>
          <w:sz w:val="18"/>
          <w:szCs w:val="18"/>
        </w:rPr>
        <w:t>”, aprobado mediante Acuerdo P/IFT/250917/592.</w:t>
      </w:r>
    </w:p>
    <w:p w14:paraId="7838597B" w14:textId="77777777" w:rsidR="00A666E4" w:rsidRPr="00DC42C3" w:rsidRDefault="00A666E4" w:rsidP="007A55E8">
      <w:pPr>
        <w:widowControl w:val="0"/>
        <w:spacing w:after="0"/>
        <w:jc w:val="both"/>
        <w:rPr>
          <w:rFonts w:ascii="Arial" w:hAnsi="Arial" w:cs="Arial"/>
          <w:sz w:val="18"/>
          <w:szCs w:val="18"/>
        </w:rPr>
      </w:pPr>
    </w:p>
    <w:p w14:paraId="5AC4CB23" w14:textId="1739B834" w:rsidR="00E1555C" w:rsidRPr="00DC42C3" w:rsidRDefault="00EC5B51" w:rsidP="007A55E8">
      <w:pPr>
        <w:widowControl w:val="0"/>
        <w:spacing w:after="0"/>
        <w:jc w:val="both"/>
        <w:rPr>
          <w:rFonts w:ascii="Arial" w:hAnsi="Arial" w:cs="Arial"/>
          <w:sz w:val="18"/>
          <w:szCs w:val="18"/>
        </w:rPr>
      </w:pPr>
      <w:proofErr w:type="gramStart"/>
      <w:r w:rsidRPr="00DC42C3">
        <w:rPr>
          <w:rFonts w:ascii="Arial" w:hAnsi="Arial" w:cs="Arial"/>
          <w:b/>
          <w:sz w:val="18"/>
          <w:szCs w:val="18"/>
        </w:rPr>
        <w:t>Séptimo</w:t>
      </w:r>
      <w:r w:rsidR="00442923" w:rsidRPr="00DC42C3">
        <w:rPr>
          <w:rFonts w:ascii="Arial" w:hAnsi="Arial" w:cs="Arial"/>
          <w:b/>
          <w:sz w:val="18"/>
          <w:szCs w:val="18"/>
        </w:rPr>
        <w:t>.-</w:t>
      </w:r>
      <w:proofErr w:type="gramEnd"/>
      <w:r w:rsidR="00442923" w:rsidRPr="00DC42C3">
        <w:rPr>
          <w:rFonts w:ascii="Arial" w:hAnsi="Arial" w:cs="Arial"/>
          <w:b/>
          <w:sz w:val="18"/>
          <w:szCs w:val="18"/>
        </w:rPr>
        <w:t xml:space="preserve"> </w:t>
      </w:r>
      <w:r w:rsidR="00A3782F" w:rsidRPr="00DC42C3">
        <w:rPr>
          <w:rFonts w:ascii="Arial" w:hAnsi="Arial" w:cs="Arial"/>
          <w:b/>
          <w:sz w:val="18"/>
          <w:szCs w:val="18"/>
        </w:rPr>
        <w:t>Consulta Pública</w:t>
      </w:r>
      <w:r w:rsidR="00442923" w:rsidRPr="00DC42C3">
        <w:rPr>
          <w:rFonts w:ascii="Arial" w:hAnsi="Arial" w:cs="Arial"/>
          <w:b/>
          <w:sz w:val="18"/>
          <w:szCs w:val="18"/>
        </w:rPr>
        <w:t>.</w:t>
      </w:r>
      <w:r w:rsidR="00442923" w:rsidRPr="00DC42C3">
        <w:rPr>
          <w:rFonts w:ascii="Arial" w:hAnsi="Arial" w:cs="Arial"/>
          <w:sz w:val="18"/>
          <w:szCs w:val="18"/>
        </w:rPr>
        <w:t xml:space="preserve"> El </w:t>
      </w:r>
      <w:r w:rsidR="00657994" w:rsidRPr="00DC42C3">
        <w:rPr>
          <w:rFonts w:ascii="Arial" w:hAnsi="Arial" w:cs="Arial"/>
          <w:sz w:val="18"/>
          <w:szCs w:val="18"/>
        </w:rPr>
        <w:t xml:space="preserve">7 </w:t>
      </w:r>
      <w:r w:rsidR="00442923" w:rsidRPr="00DC42C3">
        <w:rPr>
          <w:rFonts w:ascii="Arial" w:hAnsi="Arial" w:cs="Arial"/>
          <w:sz w:val="18"/>
          <w:szCs w:val="18"/>
        </w:rPr>
        <w:t xml:space="preserve">de </w:t>
      </w:r>
      <w:r w:rsidR="00657994" w:rsidRPr="00DC42C3">
        <w:rPr>
          <w:rFonts w:ascii="Arial" w:hAnsi="Arial" w:cs="Arial"/>
          <w:sz w:val="18"/>
          <w:szCs w:val="18"/>
        </w:rPr>
        <w:t xml:space="preserve">agosto </w:t>
      </w:r>
      <w:r w:rsidR="00A3782F" w:rsidRPr="00DC42C3">
        <w:rPr>
          <w:rFonts w:ascii="Arial" w:hAnsi="Arial" w:cs="Arial"/>
          <w:sz w:val="18"/>
          <w:szCs w:val="18"/>
        </w:rPr>
        <w:t xml:space="preserve">de </w:t>
      </w:r>
      <w:r w:rsidR="00657994" w:rsidRPr="00DC42C3">
        <w:rPr>
          <w:rFonts w:ascii="Arial" w:hAnsi="Arial" w:cs="Arial"/>
          <w:sz w:val="18"/>
          <w:szCs w:val="18"/>
        </w:rPr>
        <w:t>2024</w:t>
      </w:r>
      <w:r w:rsidR="00A3782F" w:rsidRPr="00DC42C3">
        <w:rPr>
          <w:rFonts w:ascii="Arial" w:hAnsi="Arial" w:cs="Arial"/>
          <w:sz w:val="18"/>
          <w:szCs w:val="18"/>
        </w:rPr>
        <w:t>, el Pleno del Instituto</w:t>
      </w:r>
      <w:r w:rsidR="00A51AB1" w:rsidRPr="00DC42C3">
        <w:rPr>
          <w:rFonts w:ascii="Arial" w:hAnsi="Arial" w:cs="Arial"/>
          <w:sz w:val="18"/>
          <w:szCs w:val="18"/>
        </w:rPr>
        <w:t>,</w:t>
      </w:r>
      <w:r w:rsidR="00ED3AE2" w:rsidRPr="00DC42C3">
        <w:rPr>
          <w:rFonts w:ascii="Arial" w:hAnsi="Arial" w:cs="Arial"/>
          <w:sz w:val="18"/>
          <w:szCs w:val="18"/>
        </w:rPr>
        <w:t xml:space="preserve"> aprobó someter a consulta pública el “</w:t>
      </w:r>
      <w:r w:rsidR="00E617E8" w:rsidRPr="00DC42C3">
        <w:rPr>
          <w:rFonts w:ascii="Arial" w:hAnsi="Arial" w:cs="Arial"/>
          <w:i/>
          <w:iCs/>
          <w:sz w:val="18"/>
          <w:szCs w:val="18"/>
        </w:rPr>
        <w:t>Anteproyecto de Acuerdo mediante el cual el Pleno del Instituto Federal de Telecomunicaciones modifica los Lineamientos para la comercialización de servicios móviles por parte de operadores móviles virtuales</w:t>
      </w:r>
      <w:r w:rsidR="00ED3AE2" w:rsidRPr="00DC42C3">
        <w:rPr>
          <w:rFonts w:ascii="Arial" w:hAnsi="Arial" w:cs="Arial"/>
          <w:sz w:val="18"/>
          <w:szCs w:val="18"/>
        </w:rPr>
        <w:t>”</w:t>
      </w:r>
      <w:r w:rsidR="00E502A3" w:rsidRPr="00DC42C3">
        <w:rPr>
          <w:rFonts w:ascii="Arial" w:hAnsi="Arial" w:cs="Arial"/>
          <w:sz w:val="18"/>
          <w:szCs w:val="18"/>
        </w:rPr>
        <w:t>,</w:t>
      </w:r>
      <w:r w:rsidR="00041260" w:rsidRPr="00DC42C3">
        <w:rPr>
          <w:rFonts w:ascii="Arial" w:hAnsi="Arial" w:cs="Arial"/>
          <w:sz w:val="18"/>
          <w:szCs w:val="18"/>
        </w:rPr>
        <w:t xml:space="preserve"> mediante Acuerdo </w:t>
      </w:r>
      <w:r w:rsidR="00B16947" w:rsidRPr="00DC42C3">
        <w:rPr>
          <w:rFonts w:ascii="Arial" w:hAnsi="Arial" w:cs="Arial"/>
          <w:sz w:val="18"/>
          <w:szCs w:val="18"/>
        </w:rPr>
        <w:t>P/IFT/070824/279</w:t>
      </w:r>
      <w:r w:rsidR="00041260" w:rsidRPr="00DC42C3">
        <w:rPr>
          <w:rFonts w:ascii="Arial" w:hAnsi="Arial" w:cs="Arial"/>
          <w:sz w:val="18"/>
          <w:szCs w:val="18"/>
        </w:rPr>
        <w:t xml:space="preserve">, </w:t>
      </w:r>
      <w:r w:rsidR="00E502A3" w:rsidRPr="00DC42C3">
        <w:rPr>
          <w:rFonts w:ascii="Arial" w:hAnsi="Arial" w:cs="Arial"/>
          <w:sz w:val="18"/>
          <w:szCs w:val="18"/>
        </w:rPr>
        <w:t xml:space="preserve">y determinó que dicha consulta pública se realizaría por un periodo de </w:t>
      </w:r>
      <w:r w:rsidR="005D6F29" w:rsidRPr="00DC42C3">
        <w:rPr>
          <w:rFonts w:ascii="Arial" w:hAnsi="Arial" w:cs="Arial"/>
          <w:sz w:val="18"/>
          <w:szCs w:val="18"/>
        </w:rPr>
        <w:t>20</w:t>
      </w:r>
      <w:r w:rsidR="00E502A3" w:rsidRPr="00DC42C3">
        <w:rPr>
          <w:rFonts w:ascii="Arial" w:hAnsi="Arial" w:cs="Arial"/>
          <w:sz w:val="18"/>
          <w:szCs w:val="18"/>
        </w:rPr>
        <w:t xml:space="preserve"> (</w:t>
      </w:r>
      <w:r w:rsidR="005D6F29" w:rsidRPr="00DC42C3">
        <w:rPr>
          <w:rFonts w:ascii="Arial" w:hAnsi="Arial" w:cs="Arial"/>
          <w:sz w:val="18"/>
          <w:szCs w:val="18"/>
        </w:rPr>
        <w:t>veinte</w:t>
      </w:r>
      <w:r w:rsidR="00E502A3" w:rsidRPr="00DC42C3">
        <w:rPr>
          <w:rFonts w:ascii="Arial" w:hAnsi="Arial" w:cs="Arial"/>
          <w:sz w:val="18"/>
          <w:szCs w:val="18"/>
        </w:rPr>
        <w:t>) días hábiles, contados a partir del día siguiente al de su publicación en el portal de Internet del Instituto</w:t>
      </w:r>
      <w:r w:rsidR="00F9533F" w:rsidRPr="00DC42C3">
        <w:rPr>
          <w:rFonts w:ascii="Arial" w:hAnsi="Arial" w:cs="Arial"/>
          <w:sz w:val="18"/>
          <w:szCs w:val="18"/>
        </w:rPr>
        <w:t xml:space="preserve">, lo que transcurrió del </w:t>
      </w:r>
      <w:r w:rsidR="00DD7469" w:rsidRPr="00DC42C3">
        <w:rPr>
          <w:rFonts w:ascii="Arial" w:hAnsi="Arial" w:cs="Arial"/>
          <w:sz w:val="18"/>
          <w:szCs w:val="18"/>
        </w:rPr>
        <w:t xml:space="preserve">9 de agosto al </w:t>
      </w:r>
      <w:r w:rsidR="00823EC5" w:rsidRPr="00DC42C3">
        <w:rPr>
          <w:rFonts w:ascii="Arial" w:hAnsi="Arial" w:cs="Arial"/>
          <w:sz w:val="18"/>
          <w:szCs w:val="18"/>
        </w:rPr>
        <w:t>5 de septiembre de 2024</w:t>
      </w:r>
      <w:r w:rsidR="00041260" w:rsidRPr="00DC42C3">
        <w:rPr>
          <w:rFonts w:ascii="Arial" w:hAnsi="Arial" w:cs="Arial"/>
          <w:sz w:val="18"/>
          <w:szCs w:val="18"/>
        </w:rPr>
        <w:t>.</w:t>
      </w:r>
    </w:p>
    <w:p w14:paraId="3D3F0864" w14:textId="77777777" w:rsidR="00DC6E41" w:rsidRPr="00DC42C3" w:rsidRDefault="00DC6E41" w:rsidP="007A55E8">
      <w:pPr>
        <w:widowControl w:val="0"/>
        <w:spacing w:after="0"/>
        <w:jc w:val="both"/>
        <w:rPr>
          <w:rFonts w:ascii="Arial" w:hAnsi="Arial" w:cs="Arial"/>
          <w:sz w:val="18"/>
          <w:szCs w:val="18"/>
        </w:rPr>
      </w:pPr>
    </w:p>
    <w:p w14:paraId="1CD624FD" w14:textId="01D39973" w:rsidR="00DC6E41" w:rsidRDefault="00EC5B51" w:rsidP="007A55E8">
      <w:pPr>
        <w:widowControl w:val="0"/>
        <w:spacing w:after="0"/>
        <w:jc w:val="both"/>
        <w:rPr>
          <w:rFonts w:ascii="Arial" w:hAnsi="Arial" w:cs="Arial"/>
          <w:sz w:val="18"/>
          <w:szCs w:val="18"/>
        </w:rPr>
      </w:pPr>
      <w:proofErr w:type="gramStart"/>
      <w:r w:rsidRPr="00DC42C3">
        <w:rPr>
          <w:rFonts w:ascii="Arial" w:hAnsi="Arial" w:cs="Arial"/>
          <w:b/>
          <w:bCs/>
          <w:sz w:val="18"/>
          <w:szCs w:val="18"/>
        </w:rPr>
        <w:t>Octavo</w:t>
      </w:r>
      <w:r w:rsidR="00CA18ED" w:rsidRPr="00DC42C3">
        <w:rPr>
          <w:rFonts w:ascii="Arial" w:hAnsi="Arial" w:cs="Arial"/>
          <w:b/>
          <w:bCs/>
          <w:sz w:val="18"/>
          <w:szCs w:val="18"/>
        </w:rPr>
        <w:t>.-</w:t>
      </w:r>
      <w:proofErr w:type="gramEnd"/>
      <w:r w:rsidR="00CA18ED" w:rsidRPr="00DC42C3">
        <w:rPr>
          <w:rFonts w:ascii="Arial" w:hAnsi="Arial" w:cs="Arial"/>
          <w:b/>
          <w:bCs/>
          <w:sz w:val="18"/>
          <w:szCs w:val="18"/>
        </w:rPr>
        <w:t xml:space="preserve"> Ampliación de la Consulta Pública</w:t>
      </w:r>
      <w:r w:rsidR="00E5717F" w:rsidRPr="00DC42C3">
        <w:rPr>
          <w:rFonts w:ascii="Arial" w:hAnsi="Arial" w:cs="Arial"/>
          <w:b/>
          <w:bCs/>
          <w:sz w:val="18"/>
          <w:szCs w:val="18"/>
        </w:rPr>
        <w:t>.</w:t>
      </w:r>
      <w:r w:rsidR="00E5717F" w:rsidRPr="00DC42C3">
        <w:rPr>
          <w:rFonts w:ascii="Arial" w:hAnsi="Arial" w:cs="Arial"/>
          <w:sz w:val="18"/>
          <w:szCs w:val="18"/>
        </w:rPr>
        <w:t xml:space="preserve"> El </w:t>
      </w:r>
      <w:r w:rsidR="00AF5334" w:rsidRPr="00DC42C3">
        <w:rPr>
          <w:rFonts w:ascii="Arial" w:hAnsi="Arial" w:cs="Arial"/>
          <w:sz w:val="18"/>
          <w:szCs w:val="18"/>
        </w:rPr>
        <w:t xml:space="preserve">4 de septiembre de 2024, el Pleno del Instituto, </w:t>
      </w:r>
      <w:r w:rsidR="00A60875" w:rsidRPr="00DC42C3">
        <w:rPr>
          <w:rFonts w:ascii="Arial" w:hAnsi="Arial" w:cs="Arial"/>
          <w:sz w:val="18"/>
          <w:szCs w:val="18"/>
        </w:rPr>
        <w:t xml:space="preserve">determinó </w:t>
      </w:r>
      <w:r w:rsidR="001A0981" w:rsidRPr="00DC42C3">
        <w:rPr>
          <w:rFonts w:ascii="Arial" w:hAnsi="Arial" w:cs="Arial"/>
          <w:sz w:val="18"/>
          <w:szCs w:val="18"/>
        </w:rPr>
        <w:t>ampliar el plazo de Consulta Pública del “</w:t>
      </w:r>
      <w:r w:rsidR="001A0981" w:rsidRPr="00DC42C3">
        <w:rPr>
          <w:rFonts w:ascii="Arial" w:hAnsi="Arial" w:cs="Arial"/>
          <w:i/>
          <w:iCs/>
          <w:sz w:val="18"/>
          <w:szCs w:val="18"/>
        </w:rPr>
        <w:t>Anteproyecto de Acuerdo mediante el cual el Pleno del Instituto Federal de Telecomunicaciones modifica los Lineamientos para la comercialización de servicios móviles por parte de operadores móviles virtuales</w:t>
      </w:r>
      <w:r w:rsidR="001A0981" w:rsidRPr="00DC42C3">
        <w:rPr>
          <w:rFonts w:ascii="Arial" w:hAnsi="Arial" w:cs="Arial"/>
          <w:sz w:val="18"/>
          <w:szCs w:val="18"/>
        </w:rPr>
        <w:t>”</w:t>
      </w:r>
      <w:r w:rsidR="002F7142" w:rsidRPr="00DC42C3">
        <w:rPr>
          <w:rFonts w:ascii="Arial" w:hAnsi="Arial" w:cs="Arial"/>
          <w:sz w:val="18"/>
          <w:szCs w:val="18"/>
        </w:rPr>
        <w:t xml:space="preserve"> por 10 (diez) días hábiles adicionales, </w:t>
      </w:r>
      <w:r w:rsidR="00E116D0" w:rsidRPr="00DC42C3">
        <w:rPr>
          <w:rFonts w:ascii="Arial" w:hAnsi="Arial" w:cs="Arial"/>
          <w:sz w:val="18"/>
          <w:szCs w:val="18"/>
        </w:rPr>
        <w:t xml:space="preserve">mismos que transcurrieron del </w:t>
      </w:r>
      <w:r w:rsidR="00541CB7" w:rsidRPr="00DC42C3">
        <w:rPr>
          <w:rFonts w:ascii="Arial" w:hAnsi="Arial" w:cs="Arial"/>
          <w:sz w:val="18"/>
          <w:szCs w:val="18"/>
        </w:rPr>
        <w:t>6 al 20 de septiembre de 2024.</w:t>
      </w:r>
    </w:p>
    <w:p w14:paraId="52E6FC5E" w14:textId="77777777" w:rsidR="008D6F98" w:rsidRDefault="008D6F98" w:rsidP="007A55E8">
      <w:pPr>
        <w:widowControl w:val="0"/>
        <w:spacing w:after="0"/>
        <w:jc w:val="both"/>
        <w:rPr>
          <w:rFonts w:ascii="Arial" w:hAnsi="Arial" w:cs="Arial"/>
          <w:sz w:val="18"/>
          <w:szCs w:val="18"/>
        </w:rPr>
      </w:pPr>
    </w:p>
    <w:p w14:paraId="249AA8EC" w14:textId="26F9E9A0" w:rsidR="008D6F98" w:rsidRPr="008D6F98" w:rsidRDefault="008D6F98" w:rsidP="008D6F98">
      <w:pPr>
        <w:widowControl w:val="0"/>
        <w:spacing w:after="0"/>
        <w:jc w:val="both"/>
        <w:rPr>
          <w:rFonts w:ascii="Arial" w:hAnsi="Arial" w:cs="Arial"/>
          <w:bCs/>
          <w:sz w:val="18"/>
          <w:szCs w:val="18"/>
        </w:rPr>
      </w:pPr>
      <w:proofErr w:type="gramStart"/>
      <w:r>
        <w:rPr>
          <w:rFonts w:ascii="Arial" w:hAnsi="Arial" w:cs="Arial"/>
          <w:b/>
          <w:sz w:val="18"/>
          <w:szCs w:val="18"/>
        </w:rPr>
        <w:t>Noveno</w:t>
      </w:r>
      <w:r w:rsidRPr="008D6F98">
        <w:rPr>
          <w:rFonts w:ascii="Arial" w:hAnsi="Arial" w:cs="Arial"/>
          <w:b/>
          <w:sz w:val="18"/>
          <w:szCs w:val="18"/>
        </w:rPr>
        <w:t>.-</w:t>
      </w:r>
      <w:proofErr w:type="gramEnd"/>
      <w:r w:rsidRPr="008D6F98">
        <w:rPr>
          <w:rFonts w:ascii="Arial" w:hAnsi="Arial" w:cs="Arial"/>
          <w:bCs/>
          <w:sz w:val="18"/>
          <w:szCs w:val="18"/>
        </w:rPr>
        <w:t xml:space="preserve"> </w:t>
      </w:r>
      <w:r w:rsidRPr="008D6F98">
        <w:rPr>
          <w:rFonts w:ascii="Arial" w:hAnsi="Arial" w:cs="Arial"/>
          <w:b/>
          <w:sz w:val="18"/>
          <w:szCs w:val="18"/>
        </w:rPr>
        <w:t xml:space="preserve">Decreto de Reforma Constitucional en materia de simplificación orgánica. </w:t>
      </w:r>
      <w:r w:rsidRPr="008D6F98">
        <w:rPr>
          <w:rFonts w:ascii="Arial" w:hAnsi="Arial" w:cs="Arial"/>
          <w:bCs/>
          <w:sz w:val="18"/>
          <w:szCs w:val="18"/>
        </w:rPr>
        <w:t xml:space="preserve">El </w:t>
      </w:r>
      <w:r w:rsidR="002B4D6C">
        <w:rPr>
          <w:rFonts w:ascii="Arial" w:hAnsi="Arial" w:cs="Arial"/>
          <w:bCs/>
          <w:sz w:val="18"/>
          <w:szCs w:val="18"/>
        </w:rPr>
        <w:t>20</w:t>
      </w:r>
      <w:r w:rsidRPr="008D6F98">
        <w:rPr>
          <w:rFonts w:ascii="Arial" w:hAnsi="Arial" w:cs="Arial"/>
          <w:bCs/>
          <w:sz w:val="18"/>
          <w:szCs w:val="18"/>
        </w:rPr>
        <w:t xml:space="preserve"> de diciembre de 2024 se publicó en el DOF el “</w:t>
      </w:r>
      <w:r w:rsidRPr="008D6F98">
        <w:rPr>
          <w:rFonts w:ascii="Arial" w:hAnsi="Arial" w:cs="Arial"/>
          <w:bCs/>
          <w:i/>
          <w:iCs/>
          <w:sz w:val="18"/>
          <w:szCs w:val="18"/>
        </w:rPr>
        <w:t>Decreto por el que se reforman, adicionan y derogan diversas disposiciones de la Constitución Política de los Estados Unidos Mexicanos, en materia de simplificación orgánica</w:t>
      </w:r>
      <w:r w:rsidRPr="008D6F98">
        <w:rPr>
          <w:rFonts w:ascii="Arial" w:hAnsi="Arial" w:cs="Arial"/>
          <w:bCs/>
          <w:sz w:val="18"/>
          <w:szCs w:val="18"/>
        </w:rPr>
        <w:t>” (Decreto de simplificación orgánica) mediante el cual</w:t>
      </w:r>
      <w:r w:rsidR="000316ED">
        <w:rPr>
          <w:rFonts w:ascii="Arial" w:hAnsi="Arial" w:cs="Arial"/>
          <w:bCs/>
          <w:sz w:val="18"/>
          <w:szCs w:val="18"/>
        </w:rPr>
        <w:t>,</w:t>
      </w:r>
      <w:r w:rsidRPr="008D6F98">
        <w:rPr>
          <w:rFonts w:ascii="Arial" w:hAnsi="Arial" w:cs="Arial"/>
          <w:bCs/>
          <w:sz w:val="18"/>
          <w:szCs w:val="18"/>
        </w:rPr>
        <w:t xml:space="preserve"> de conformidad con lo previsto en</w:t>
      </w:r>
      <w:r w:rsidR="00EC4C22">
        <w:rPr>
          <w:rFonts w:ascii="Arial" w:hAnsi="Arial" w:cs="Arial"/>
          <w:bCs/>
          <w:sz w:val="18"/>
          <w:szCs w:val="18"/>
        </w:rPr>
        <w:t xml:space="preserve"> los Transitorios Primero, Décimo y</w:t>
      </w:r>
      <w:r w:rsidRPr="008D6F98">
        <w:rPr>
          <w:rFonts w:ascii="Arial" w:hAnsi="Arial" w:cs="Arial"/>
          <w:bCs/>
          <w:sz w:val="18"/>
          <w:szCs w:val="18"/>
        </w:rPr>
        <w:t xml:space="preserve"> Décimo Primero </w:t>
      </w:r>
      <w:r w:rsidR="00B57EEF" w:rsidRPr="00CC4035">
        <w:rPr>
          <w:rFonts w:ascii="Arial" w:hAnsi="Arial" w:cs="Arial"/>
          <w:bCs/>
          <w:sz w:val="18"/>
          <w:szCs w:val="18"/>
        </w:rPr>
        <w:t xml:space="preserve">el Instituto se extinguirá </w:t>
      </w:r>
      <w:r w:rsidR="00B57EEF">
        <w:rPr>
          <w:rFonts w:ascii="Arial" w:hAnsi="Arial" w:cs="Arial"/>
          <w:bCs/>
          <w:sz w:val="18"/>
          <w:szCs w:val="18"/>
        </w:rPr>
        <w:t xml:space="preserve">en un plazo de </w:t>
      </w:r>
      <w:r w:rsidR="00B57EEF" w:rsidRPr="00CC4035">
        <w:rPr>
          <w:rFonts w:ascii="Arial" w:hAnsi="Arial" w:cs="Arial"/>
          <w:bCs/>
          <w:sz w:val="18"/>
          <w:szCs w:val="18"/>
        </w:rPr>
        <w:t>180 (ciento ochenta) días contados a partir de la entrada en vigor de la legislación secundaria en materia de competencia y libre concurrencia; y en materia de telecomunicaciones y radiodifusión, respectivamente, que el Congreso de la Unión expida, por lo cual, los actos emitidos por el Instituto con anterioridad a la entrada en vigor del Decreto de simplificación orgánica, continuarán surtiendo todos sus efectos legales en términos de lo señalado en el artículo Décimo Primero transitorio</w:t>
      </w:r>
      <w:r w:rsidRPr="008D6F98">
        <w:rPr>
          <w:rFonts w:ascii="Arial" w:hAnsi="Arial" w:cs="Arial"/>
          <w:bCs/>
          <w:sz w:val="18"/>
          <w:szCs w:val="18"/>
        </w:rPr>
        <w:t>.</w:t>
      </w:r>
    </w:p>
    <w:p w14:paraId="09C9C0B0" w14:textId="77777777" w:rsidR="002F5F11" w:rsidRPr="00DC42C3" w:rsidRDefault="002F5F11" w:rsidP="007A55E8">
      <w:pPr>
        <w:widowControl w:val="0"/>
        <w:spacing w:after="0"/>
        <w:jc w:val="both"/>
        <w:rPr>
          <w:rFonts w:ascii="Arial" w:hAnsi="Arial" w:cs="Arial"/>
          <w:sz w:val="18"/>
          <w:szCs w:val="18"/>
        </w:rPr>
      </w:pPr>
    </w:p>
    <w:p w14:paraId="45F6DD5F" w14:textId="228EF457" w:rsidR="002F5F11" w:rsidRPr="00DC42C3" w:rsidRDefault="002F5F11" w:rsidP="007A55E8">
      <w:pPr>
        <w:widowControl w:val="0"/>
        <w:spacing w:after="0"/>
        <w:jc w:val="both"/>
        <w:rPr>
          <w:rFonts w:ascii="Arial" w:hAnsi="Arial" w:cs="Arial"/>
          <w:sz w:val="18"/>
          <w:szCs w:val="18"/>
        </w:rPr>
      </w:pPr>
      <w:r w:rsidRPr="00DC42C3">
        <w:rPr>
          <w:rFonts w:ascii="Arial" w:hAnsi="Arial" w:cs="Arial"/>
          <w:sz w:val="18"/>
          <w:szCs w:val="18"/>
        </w:rPr>
        <w:t>En virtud de los antecedentes señalados y,</w:t>
      </w:r>
    </w:p>
    <w:p w14:paraId="05E5C34D" w14:textId="77777777" w:rsidR="00A666E4" w:rsidRPr="00DC42C3" w:rsidRDefault="00A666E4" w:rsidP="007A55E8">
      <w:pPr>
        <w:spacing w:after="0"/>
        <w:jc w:val="center"/>
        <w:rPr>
          <w:rFonts w:ascii="Arial" w:hAnsi="Arial" w:cs="Arial"/>
          <w:color w:val="000000"/>
          <w:sz w:val="18"/>
          <w:szCs w:val="18"/>
          <w:lang w:eastAsia="es-MX"/>
        </w:rPr>
      </w:pPr>
    </w:p>
    <w:p w14:paraId="61B8F9AC" w14:textId="77777777" w:rsidR="00775445" w:rsidRPr="00DC42C3" w:rsidRDefault="00775445" w:rsidP="007A55E8">
      <w:pPr>
        <w:spacing w:after="0"/>
        <w:jc w:val="center"/>
        <w:rPr>
          <w:rFonts w:ascii="Arial" w:hAnsi="Arial" w:cs="Arial"/>
          <w:b/>
          <w:bCs/>
          <w:color w:val="000000"/>
          <w:sz w:val="18"/>
          <w:szCs w:val="18"/>
          <w:lang w:eastAsia="es-MX"/>
        </w:rPr>
      </w:pPr>
      <w:r w:rsidRPr="00DC42C3">
        <w:rPr>
          <w:rFonts w:ascii="Arial" w:hAnsi="Arial" w:cs="Arial"/>
          <w:b/>
          <w:bCs/>
          <w:color w:val="000000"/>
          <w:sz w:val="18"/>
          <w:szCs w:val="18"/>
          <w:lang w:eastAsia="es-MX"/>
        </w:rPr>
        <w:t>Considerando</w:t>
      </w:r>
    </w:p>
    <w:p w14:paraId="47D4A196" w14:textId="77777777" w:rsidR="00775445" w:rsidRPr="00DC42C3" w:rsidRDefault="00775445" w:rsidP="007A55E8">
      <w:pPr>
        <w:spacing w:after="0"/>
        <w:jc w:val="center"/>
        <w:rPr>
          <w:rFonts w:ascii="Arial" w:hAnsi="Arial" w:cs="Arial"/>
          <w:b/>
          <w:bCs/>
          <w:color w:val="000000"/>
          <w:sz w:val="18"/>
          <w:szCs w:val="18"/>
          <w:lang w:eastAsia="es-MX"/>
        </w:rPr>
      </w:pPr>
    </w:p>
    <w:p w14:paraId="3C77347D" w14:textId="0DA76116" w:rsidR="00413970" w:rsidRPr="00BD7173" w:rsidRDefault="00775445" w:rsidP="00413970">
      <w:pPr>
        <w:suppressAutoHyphens/>
        <w:spacing w:after="0"/>
        <w:ind w:right="49"/>
        <w:jc w:val="both"/>
        <w:rPr>
          <w:rFonts w:ascii="Arial" w:eastAsia="Times New Roman" w:hAnsi="Arial" w:cs="Arial"/>
          <w:kern w:val="1"/>
          <w:sz w:val="18"/>
          <w:szCs w:val="18"/>
          <w:lang w:eastAsia="ar-SA"/>
        </w:rPr>
      </w:pPr>
      <w:proofErr w:type="gramStart"/>
      <w:r w:rsidRPr="00DC42C3">
        <w:rPr>
          <w:rFonts w:ascii="Arial" w:eastAsia="Times New Roman" w:hAnsi="Arial" w:cs="Arial"/>
          <w:b/>
          <w:bCs/>
          <w:kern w:val="1"/>
          <w:sz w:val="18"/>
          <w:szCs w:val="18"/>
          <w:lang w:eastAsia="ar-SA"/>
        </w:rPr>
        <w:t>Primero.-</w:t>
      </w:r>
      <w:proofErr w:type="gramEnd"/>
      <w:r w:rsidRPr="00DC42C3">
        <w:rPr>
          <w:rFonts w:ascii="Arial" w:eastAsia="Times New Roman" w:hAnsi="Arial" w:cs="Arial"/>
          <w:b/>
          <w:bCs/>
          <w:kern w:val="1"/>
          <w:sz w:val="18"/>
          <w:szCs w:val="18"/>
          <w:lang w:eastAsia="ar-SA"/>
        </w:rPr>
        <w:t xml:space="preserve"> Competencia del Instituto. </w:t>
      </w:r>
      <w:r w:rsidR="00413970" w:rsidRPr="00BD7173">
        <w:rPr>
          <w:rFonts w:ascii="Arial" w:eastAsia="Times New Roman" w:hAnsi="Arial" w:cs="Arial"/>
          <w:kern w:val="1"/>
          <w:sz w:val="18"/>
          <w:szCs w:val="18"/>
          <w:lang w:eastAsia="ar-SA"/>
        </w:rPr>
        <w:t>De conformidad con lo dispuesto en los artículos 6o., apartado B, fracción II, y 28, párrafos décimo sexto y décimo séptimo de la Constitución Política de los Estados Unidos Mexicanos (Constitución) vigentes, en relación con los artículos transitorios Primero, Décimo y Décimo Primero del Decreto de simplificación orgánica; 1 y 7 de la Ley, y 1 del Estatuto Orgánico, el Instituto es un órgano público autónomo con personalidad jurídica y patrimonio propios que tiene por objeto el desarrollo eficiente de la radiodifusión y las telecomunicaciones, además de ser la autoridad en materia de competencia económica de los sectores de radiodifusión y telecomunicaciones.</w:t>
      </w:r>
    </w:p>
    <w:p w14:paraId="44256AF0" w14:textId="77777777" w:rsidR="00413970" w:rsidRPr="00BD7173" w:rsidRDefault="00413970" w:rsidP="00413970">
      <w:pPr>
        <w:suppressAutoHyphens/>
        <w:spacing w:after="0"/>
        <w:ind w:right="49"/>
        <w:jc w:val="both"/>
        <w:rPr>
          <w:rFonts w:ascii="Arial" w:eastAsia="Times New Roman" w:hAnsi="Arial" w:cs="Arial"/>
          <w:kern w:val="1"/>
          <w:sz w:val="18"/>
          <w:szCs w:val="18"/>
          <w:lang w:eastAsia="ar-SA"/>
        </w:rPr>
      </w:pPr>
    </w:p>
    <w:p w14:paraId="6A84569F" w14:textId="77777777" w:rsidR="00413970" w:rsidRPr="00BD7173" w:rsidRDefault="00413970" w:rsidP="00413970">
      <w:pPr>
        <w:suppressAutoHyphens/>
        <w:spacing w:after="0"/>
        <w:ind w:right="49"/>
        <w:jc w:val="both"/>
        <w:rPr>
          <w:rFonts w:ascii="Arial" w:eastAsia="Times New Roman" w:hAnsi="Arial" w:cs="Arial"/>
          <w:kern w:val="1"/>
          <w:sz w:val="18"/>
          <w:szCs w:val="18"/>
          <w:lang w:eastAsia="ar-SA"/>
        </w:rPr>
      </w:pPr>
      <w:r w:rsidRPr="00BD7173">
        <w:rPr>
          <w:rFonts w:ascii="Arial" w:eastAsia="Times New Roman" w:hAnsi="Arial" w:cs="Arial"/>
          <w:kern w:val="1"/>
          <w:sz w:val="18"/>
          <w:szCs w:val="18"/>
          <w:lang w:eastAsia="ar-SA"/>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71FBFF01" w14:textId="77777777" w:rsidR="00413970" w:rsidRPr="00BD7173" w:rsidRDefault="00413970" w:rsidP="00413970">
      <w:pPr>
        <w:suppressAutoHyphens/>
        <w:spacing w:after="0"/>
        <w:ind w:right="49"/>
        <w:jc w:val="both"/>
        <w:rPr>
          <w:rFonts w:ascii="Arial" w:eastAsia="Times New Roman" w:hAnsi="Arial" w:cs="Arial"/>
          <w:kern w:val="1"/>
          <w:sz w:val="18"/>
          <w:szCs w:val="18"/>
          <w:lang w:eastAsia="ar-SA"/>
        </w:rPr>
      </w:pPr>
    </w:p>
    <w:p w14:paraId="6B72C31F" w14:textId="77777777" w:rsidR="00413970" w:rsidRPr="001159DD" w:rsidRDefault="00413970" w:rsidP="00413970">
      <w:pPr>
        <w:suppressAutoHyphens/>
        <w:spacing w:after="0"/>
        <w:ind w:right="49"/>
        <w:jc w:val="both"/>
        <w:rPr>
          <w:rFonts w:ascii="Arial" w:eastAsia="Times New Roman" w:hAnsi="Arial" w:cs="Arial"/>
          <w:kern w:val="1"/>
          <w:sz w:val="18"/>
          <w:szCs w:val="18"/>
          <w:lang w:eastAsia="ar-SA"/>
        </w:rPr>
      </w:pPr>
      <w:r w:rsidRPr="00BD7173">
        <w:rPr>
          <w:rFonts w:ascii="Arial" w:eastAsia="Times New Roman" w:hAnsi="Arial" w:cs="Arial"/>
          <w:kern w:val="1"/>
          <w:sz w:val="18"/>
          <w:szCs w:val="18"/>
          <w:lang w:eastAsia="ar-SA"/>
        </w:rPr>
        <w:t>En este sentido, como órgano máximo de gobierno del Instituto, el Pleno resulta competente para emitir el presente Acuerdo, con fundamento en los artículos 15 fracc</w:t>
      </w:r>
      <w:r>
        <w:rPr>
          <w:rFonts w:ascii="Arial" w:eastAsia="Times New Roman" w:hAnsi="Arial" w:cs="Arial"/>
          <w:kern w:val="1"/>
          <w:sz w:val="18"/>
          <w:szCs w:val="18"/>
          <w:lang w:eastAsia="ar-SA"/>
        </w:rPr>
        <w:t>iones I y LVI</w:t>
      </w:r>
      <w:r w:rsidRPr="001159DD">
        <w:rPr>
          <w:rFonts w:ascii="Arial" w:eastAsia="Times New Roman" w:hAnsi="Arial" w:cs="Arial"/>
          <w:kern w:val="1"/>
          <w:sz w:val="18"/>
          <w:szCs w:val="18"/>
          <w:lang w:eastAsia="ar-SA"/>
        </w:rPr>
        <w:t>, 16 y 17 fracci</w:t>
      </w:r>
      <w:r>
        <w:rPr>
          <w:rFonts w:ascii="Arial" w:eastAsia="Times New Roman" w:hAnsi="Arial" w:cs="Arial"/>
          <w:kern w:val="1"/>
          <w:sz w:val="18"/>
          <w:szCs w:val="18"/>
          <w:lang w:eastAsia="ar-SA"/>
        </w:rPr>
        <w:t>ó</w:t>
      </w:r>
      <w:r w:rsidRPr="001159DD">
        <w:rPr>
          <w:rFonts w:ascii="Arial" w:eastAsia="Times New Roman" w:hAnsi="Arial" w:cs="Arial"/>
          <w:kern w:val="1"/>
          <w:sz w:val="18"/>
          <w:szCs w:val="18"/>
          <w:lang w:eastAsia="ar-SA"/>
        </w:rPr>
        <w:t>n I de la Ley, 4 fracción I y 6 fracciones I y XXXVIII del Estatuto Orgánico.</w:t>
      </w:r>
    </w:p>
    <w:p w14:paraId="2CB45C8C" w14:textId="77777777" w:rsidR="00413970" w:rsidRPr="001159DD" w:rsidRDefault="00413970" w:rsidP="00413970">
      <w:pPr>
        <w:suppressAutoHyphens/>
        <w:spacing w:after="0"/>
        <w:ind w:right="49"/>
        <w:jc w:val="both"/>
        <w:rPr>
          <w:rFonts w:ascii="Arial" w:eastAsia="Times New Roman" w:hAnsi="Arial" w:cs="Arial"/>
          <w:kern w:val="1"/>
          <w:sz w:val="18"/>
          <w:szCs w:val="18"/>
          <w:lang w:eastAsia="ar-SA"/>
        </w:rPr>
      </w:pPr>
    </w:p>
    <w:p w14:paraId="3307691E" w14:textId="52E49261" w:rsidR="00FC44EB" w:rsidRPr="00EC67A3" w:rsidRDefault="00413970" w:rsidP="00413970">
      <w:pPr>
        <w:suppressAutoHyphens/>
        <w:spacing w:after="0"/>
        <w:ind w:right="49"/>
        <w:jc w:val="both"/>
        <w:rPr>
          <w:rFonts w:ascii="Arial" w:eastAsia="Times New Roman" w:hAnsi="Arial" w:cs="Arial"/>
          <w:bCs/>
          <w:kern w:val="1"/>
          <w:sz w:val="18"/>
          <w:szCs w:val="18"/>
          <w:lang w:eastAsia="ar-SA"/>
        </w:rPr>
      </w:pPr>
      <w:r w:rsidRPr="001159DD">
        <w:rPr>
          <w:rFonts w:ascii="Arial" w:eastAsia="Times New Roman" w:hAnsi="Arial" w:cs="Arial"/>
          <w:kern w:val="1"/>
          <w:sz w:val="18"/>
          <w:szCs w:val="18"/>
          <w:lang w:eastAsia="ar-SA"/>
        </w:rPr>
        <w:t xml:space="preserve">Sin perjuicio de lo anterior, de conformidad con lo previsto en los Transitorios Primero y Décimo Primero del Decreto de simplificación orgánica señalado en el Antecedente </w:t>
      </w:r>
      <w:r>
        <w:rPr>
          <w:rFonts w:ascii="Arial" w:eastAsia="Times New Roman" w:hAnsi="Arial" w:cs="Arial"/>
          <w:kern w:val="1"/>
          <w:sz w:val="18"/>
          <w:szCs w:val="18"/>
          <w:lang w:eastAsia="ar-SA"/>
        </w:rPr>
        <w:t>Noveno</w:t>
      </w:r>
      <w:r w:rsidRPr="001159DD">
        <w:rPr>
          <w:rFonts w:ascii="Arial" w:eastAsia="Times New Roman" w:hAnsi="Arial" w:cs="Arial"/>
          <w:kern w:val="1"/>
          <w:sz w:val="18"/>
          <w:szCs w:val="18"/>
          <w:lang w:eastAsia="ar-SA"/>
        </w:rPr>
        <w:t xml:space="preserve">, el Instituto se extinguirá en términos de su artículo Décimo transitorio, esto es, </w:t>
      </w:r>
      <w:r>
        <w:rPr>
          <w:rFonts w:ascii="Arial" w:eastAsia="Times New Roman" w:hAnsi="Arial" w:cs="Arial"/>
          <w:kern w:val="1"/>
          <w:sz w:val="18"/>
          <w:szCs w:val="18"/>
          <w:lang w:eastAsia="ar-SA"/>
        </w:rPr>
        <w:t>en un plazo de</w:t>
      </w:r>
      <w:r w:rsidRPr="001159DD">
        <w:rPr>
          <w:rFonts w:ascii="Arial" w:eastAsia="Times New Roman" w:hAnsi="Arial" w:cs="Arial"/>
          <w:kern w:val="1"/>
          <w:sz w:val="18"/>
          <w:szCs w:val="18"/>
          <w:lang w:eastAsia="ar-SA"/>
        </w:rPr>
        <w:t xml:space="preserve"> 180 días contados a partir de la entrada en vigor de la legislación secundaria que el Congreso de la Unión expida en materia de competencia y libre concurrencia; y en materia de telecomunicaciones y radiodifusión, respectivamente. Al efecto, es un hecho notorio para este Instituto que, al momento de dictarse el presente Acuerdo, el Congreso de la Unión no ha emitido la legislación secundaria referida, por lo que el Pleno, como órgano máximo de gobierno de este Instituto, resulta competente para la emisión del presente Acuerdo.</w:t>
      </w:r>
      <w:bookmarkStart w:id="2" w:name="_Hlk127299861"/>
    </w:p>
    <w:p w14:paraId="420C9B97" w14:textId="77777777" w:rsidR="00775445" w:rsidRPr="00DC42C3" w:rsidRDefault="00775445" w:rsidP="007A55E8">
      <w:pPr>
        <w:suppressAutoHyphens/>
        <w:spacing w:after="0"/>
        <w:ind w:right="49"/>
        <w:jc w:val="both"/>
        <w:rPr>
          <w:rFonts w:ascii="Arial" w:eastAsia="Times New Roman" w:hAnsi="Arial" w:cs="Arial"/>
          <w:bCs/>
          <w:kern w:val="1"/>
          <w:sz w:val="18"/>
          <w:szCs w:val="18"/>
          <w:lang w:eastAsia="ar-SA"/>
        </w:rPr>
      </w:pPr>
    </w:p>
    <w:p w14:paraId="78B9CB1D" w14:textId="77777777" w:rsidR="00775445" w:rsidRDefault="00775445" w:rsidP="007A55E8">
      <w:pPr>
        <w:suppressAutoHyphens/>
        <w:spacing w:after="0"/>
        <w:ind w:right="49"/>
        <w:jc w:val="both"/>
        <w:rPr>
          <w:rFonts w:ascii="Arial" w:eastAsia="Times New Roman" w:hAnsi="Arial" w:cs="Arial"/>
          <w:bCs/>
          <w:kern w:val="1"/>
          <w:sz w:val="18"/>
          <w:szCs w:val="18"/>
          <w:lang w:eastAsia="ar-SA"/>
        </w:rPr>
      </w:pPr>
      <w:proofErr w:type="gramStart"/>
      <w:r w:rsidRPr="00DC42C3">
        <w:rPr>
          <w:rFonts w:ascii="Arial" w:eastAsia="Times New Roman" w:hAnsi="Arial" w:cs="Arial"/>
          <w:b/>
          <w:bCs/>
          <w:kern w:val="1"/>
          <w:sz w:val="18"/>
          <w:szCs w:val="18"/>
          <w:lang w:eastAsia="ar-SA"/>
        </w:rPr>
        <w:t>Segundo.-</w:t>
      </w:r>
      <w:proofErr w:type="gramEnd"/>
      <w:r w:rsidRPr="00DC42C3">
        <w:rPr>
          <w:rFonts w:ascii="Arial" w:eastAsia="Times New Roman" w:hAnsi="Arial" w:cs="Arial"/>
          <w:b/>
          <w:bCs/>
          <w:kern w:val="1"/>
          <w:sz w:val="18"/>
          <w:szCs w:val="18"/>
          <w:lang w:eastAsia="ar-SA"/>
        </w:rPr>
        <w:t xml:space="preserve"> Las telecomunicaciones como servicio público de interés general. </w:t>
      </w:r>
      <w:r w:rsidRPr="00DC42C3">
        <w:rPr>
          <w:rFonts w:ascii="Arial" w:eastAsia="Times New Roman" w:hAnsi="Arial" w:cs="Arial"/>
          <w:bCs/>
          <w:kern w:val="1"/>
          <w:sz w:val="18"/>
          <w:szCs w:val="18"/>
          <w:lang w:eastAsia="ar-SA"/>
        </w:rPr>
        <w:t>Como lo prevé el artículo 28 Constitucional, el Instituto tiene el mandato de garantizar lo establecido en los artículos 6 y 7 de la Constitución, disposiciones que prevén, entre otras cosas, el derecho de acceso a las tecnologías de la información y comunicación, así como a los servicios de radiodifusión y telecomunicaciones. En este orden de ideas, en términos de la fracción II, del apartado B, del artículo 6 de la Constitución y 2 de la LFTR, las telecomunicaciones son un servicio público de interés general, por lo que el Estado garantizará que sean prestados en condiciones de competencia, calidad, pluralidad, cobertura universal, interconexión, convergencia, continuidad, acceso libre y sin injerencias arbitrarias.</w:t>
      </w:r>
    </w:p>
    <w:p w14:paraId="54CAFDBF" w14:textId="77777777" w:rsidR="00FA29A2" w:rsidRDefault="00FA29A2" w:rsidP="007A55E8">
      <w:pPr>
        <w:suppressAutoHyphens/>
        <w:spacing w:after="0"/>
        <w:ind w:right="49"/>
        <w:jc w:val="both"/>
        <w:rPr>
          <w:rFonts w:ascii="Arial" w:eastAsia="Times New Roman" w:hAnsi="Arial" w:cs="Arial"/>
          <w:bCs/>
          <w:kern w:val="1"/>
          <w:sz w:val="18"/>
          <w:szCs w:val="18"/>
          <w:lang w:eastAsia="ar-SA"/>
        </w:rPr>
      </w:pPr>
    </w:p>
    <w:p w14:paraId="362A4559" w14:textId="51BD9682" w:rsidR="00FA29A2" w:rsidRPr="00DC42C3" w:rsidRDefault="002C40BB" w:rsidP="007A55E8">
      <w:pPr>
        <w:suppressAutoHyphens/>
        <w:spacing w:after="0"/>
        <w:ind w:right="49"/>
        <w:jc w:val="both"/>
        <w:rPr>
          <w:rFonts w:ascii="Arial" w:eastAsia="Times New Roman" w:hAnsi="Arial" w:cs="Arial"/>
          <w:bCs/>
          <w:kern w:val="1"/>
          <w:sz w:val="18"/>
          <w:szCs w:val="18"/>
          <w:lang w:eastAsia="ar-SA"/>
        </w:rPr>
      </w:pPr>
      <w:r>
        <w:rPr>
          <w:rFonts w:ascii="Arial" w:eastAsia="Times New Roman" w:hAnsi="Arial" w:cs="Arial"/>
          <w:bCs/>
          <w:kern w:val="1"/>
          <w:sz w:val="18"/>
          <w:szCs w:val="18"/>
          <w:lang w:eastAsia="ar-SA"/>
        </w:rPr>
        <w:t>Es así que,</w:t>
      </w:r>
      <w:r w:rsidR="00FA29A2" w:rsidRPr="00FA29A2">
        <w:rPr>
          <w:rFonts w:ascii="Arial" w:eastAsia="Times New Roman" w:hAnsi="Arial" w:cs="Arial"/>
          <w:bCs/>
          <w:kern w:val="1"/>
          <w:sz w:val="18"/>
          <w:szCs w:val="18"/>
          <w:lang w:eastAsia="ar-SA"/>
        </w:rPr>
        <w:t xml:space="preserve"> </w:t>
      </w:r>
      <w:r w:rsidR="003E2224">
        <w:rPr>
          <w:rFonts w:ascii="Arial" w:eastAsia="Times New Roman" w:hAnsi="Arial" w:cs="Arial"/>
          <w:bCs/>
          <w:kern w:val="1"/>
          <w:sz w:val="18"/>
          <w:szCs w:val="18"/>
          <w:lang w:eastAsia="ar-SA"/>
        </w:rPr>
        <w:t xml:space="preserve">considerando </w:t>
      </w:r>
      <w:r w:rsidR="00FA29A2" w:rsidRPr="00FA29A2">
        <w:rPr>
          <w:rFonts w:ascii="Arial" w:eastAsia="Times New Roman" w:hAnsi="Arial" w:cs="Arial"/>
          <w:bCs/>
          <w:kern w:val="1"/>
          <w:sz w:val="18"/>
          <w:szCs w:val="18"/>
          <w:lang w:eastAsia="ar-SA"/>
        </w:rPr>
        <w:t>las telecomunicaciones como servicio público</w:t>
      </w:r>
      <w:r>
        <w:rPr>
          <w:rFonts w:ascii="Arial" w:eastAsia="Times New Roman" w:hAnsi="Arial" w:cs="Arial"/>
          <w:bCs/>
          <w:kern w:val="1"/>
          <w:sz w:val="18"/>
          <w:szCs w:val="18"/>
          <w:lang w:eastAsia="ar-SA"/>
        </w:rPr>
        <w:t xml:space="preserve"> de interés general,</w:t>
      </w:r>
      <w:r w:rsidR="00FA29A2" w:rsidRPr="00FA29A2">
        <w:rPr>
          <w:rFonts w:ascii="Arial" w:eastAsia="Times New Roman" w:hAnsi="Arial" w:cs="Arial"/>
          <w:bCs/>
          <w:kern w:val="1"/>
          <w:sz w:val="18"/>
          <w:szCs w:val="18"/>
          <w:lang w:eastAsia="ar-SA"/>
        </w:rPr>
        <w:t xml:space="preserve"> es imperativo preservar las condiciones legales que rigen su prestación</w:t>
      </w:r>
      <w:r w:rsidR="00C350D8">
        <w:rPr>
          <w:rFonts w:ascii="Arial" w:eastAsia="Times New Roman" w:hAnsi="Arial" w:cs="Arial"/>
          <w:bCs/>
          <w:kern w:val="1"/>
          <w:sz w:val="18"/>
          <w:szCs w:val="18"/>
          <w:lang w:eastAsia="ar-SA"/>
        </w:rPr>
        <w:t xml:space="preserve">, </w:t>
      </w:r>
      <w:r w:rsidR="00FA29A2" w:rsidRPr="00FA29A2">
        <w:rPr>
          <w:rFonts w:ascii="Arial" w:eastAsia="Times New Roman" w:hAnsi="Arial" w:cs="Arial"/>
          <w:bCs/>
          <w:kern w:val="1"/>
          <w:sz w:val="18"/>
          <w:szCs w:val="18"/>
          <w:lang w:eastAsia="ar-SA"/>
        </w:rPr>
        <w:t>garantiza</w:t>
      </w:r>
      <w:r w:rsidR="00C350D8">
        <w:rPr>
          <w:rFonts w:ascii="Arial" w:eastAsia="Times New Roman" w:hAnsi="Arial" w:cs="Arial"/>
          <w:bCs/>
          <w:kern w:val="1"/>
          <w:sz w:val="18"/>
          <w:szCs w:val="18"/>
          <w:lang w:eastAsia="ar-SA"/>
        </w:rPr>
        <w:t>ndo</w:t>
      </w:r>
      <w:r w:rsidR="00FA29A2" w:rsidRPr="00FA29A2">
        <w:rPr>
          <w:rFonts w:ascii="Arial" w:eastAsia="Times New Roman" w:hAnsi="Arial" w:cs="Arial"/>
          <w:bCs/>
          <w:kern w:val="1"/>
          <w:sz w:val="18"/>
          <w:szCs w:val="18"/>
          <w:lang w:eastAsia="ar-SA"/>
        </w:rPr>
        <w:t xml:space="preserve"> su provisión de forma continua y obligatoria, en estricto apego a los principios y objetivos establecidos en el marco constitucional y legal aplicable, a fin de satisfacer las necesidades de la población y salvaguardar el interés general.</w:t>
      </w:r>
    </w:p>
    <w:bookmarkEnd w:id="2"/>
    <w:p w14:paraId="1EAA7E3F" w14:textId="77777777" w:rsidR="008A3838" w:rsidRDefault="008A3838" w:rsidP="007A55E8">
      <w:pPr>
        <w:suppressAutoHyphens/>
        <w:spacing w:after="0"/>
        <w:ind w:right="49"/>
        <w:jc w:val="both"/>
        <w:rPr>
          <w:rFonts w:ascii="Arial" w:eastAsia="Times New Roman" w:hAnsi="Arial" w:cs="Arial"/>
          <w:bCs/>
          <w:kern w:val="1"/>
          <w:sz w:val="18"/>
          <w:szCs w:val="18"/>
          <w:lang w:eastAsia="ar-SA"/>
        </w:rPr>
      </w:pPr>
    </w:p>
    <w:p w14:paraId="5347DE88" w14:textId="1C298132" w:rsidR="008A3838" w:rsidRPr="00AB49A7" w:rsidRDefault="008A3838" w:rsidP="008A3838">
      <w:pPr>
        <w:suppressAutoHyphens/>
        <w:spacing w:after="0"/>
        <w:ind w:right="49"/>
        <w:jc w:val="both"/>
        <w:rPr>
          <w:rFonts w:ascii="Arial" w:eastAsia="Times New Roman" w:hAnsi="Arial" w:cs="Arial"/>
          <w:bCs/>
          <w:kern w:val="1"/>
          <w:sz w:val="18"/>
          <w:szCs w:val="18"/>
          <w:lang w:eastAsia="ar-SA"/>
        </w:rPr>
      </w:pPr>
      <w:r w:rsidRPr="00AB49A7">
        <w:rPr>
          <w:rFonts w:ascii="Arial" w:eastAsia="Times New Roman" w:hAnsi="Arial" w:cs="Arial"/>
          <w:bCs/>
          <w:kern w:val="1"/>
          <w:sz w:val="18"/>
          <w:szCs w:val="18"/>
          <w:lang w:eastAsia="ar-SA"/>
        </w:rPr>
        <w:t xml:space="preserve">Sin perjuicio de lo anterior, de conformidad con lo previsto en el artículo Décimo Primero Transitorio del Decreto en materia de simplificación orgánica señalado en el Antecedente </w:t>
      </w:r>
      <w:r>
        <w:rPr>
          <w:rFonts w:ascii="Arial" w:eastAsia="Times New Roman" w:hAnsi="Arial" w:cs="Arial"/>
          <w:bCs/>
          <w:kern w:val="1"/>
          <w:sz w:val="18"/>
          <w:szCs w:val="18"/>
          <w:lang w:eastAsia="ar-SA"/>
        </w:rPr>
        <w:t>Noveno</w:t>
      </w:r>
      <w:r w:rsidRPr="00AB49A7">
        <w:rPr>
          <w:rFonts w:ascii="Arial" w:eastAsia="Times New Roman" w:hAnsi="Arial" w:cs="Arial"/>
          <w:bCs/>
          <w:kern w:val="1"/>
          <w:sz w:val="18"/>
          <w:szCs w:val="18"/>
          <w:lang w:eastAsia="ar-SA"/>
        </w:rPr>
        <w:t xml:space="preserve">, el Instituto se extinguirá en términos de su artículo Décimo transitorio, esto es, </w:t>
      </w:r>
      <w:r w:rsidR="00023A2B">
        <w:rPr>
          <w:rFonts w:ascii="Arial" w:eastAsia="Times New Roman" w:hAnsi="Arial" w:cs="Arial"/>
          <w:bCs/>
          <w:kern w:val="1"/>
          <w:sz w:val="18"/>
          <w:szCs w:val="18"/>
          <w:lang w:eastAsia="ar-SA"/>
        </w:rPr>
        <w:t>en un plazo de</w:t>
      </w:r>
      <w:r w:rsidRPr="00AB49A7">
        <w:rPr>
          <w:rFonts w:ascii="Arial" w:eastAsia="Times New Roman" w:hAnsi="Arial" w:cs="Arial"/>
          <w:bCs/>
          <w:kern w:val="1"/>
          <w:sz w:val="18"/>
          <w:szCs w:val="18"/>
          <w:lang w:eastAsia="ar-SA"/>
        </w:rPr>
        <w:t xml:space="preserve"> 180 días contados a partir de la entrada en vigor de la legislación secundaria que el Congreso de la Unión expida en materia de competencia y libre concurrencia; y en materia de telecomunicaciones y radiodifusión, respectivamente. Al efecto, es</w:t>
      </w:r>
      <w:r w:rsidR="001F75E6">
        <w:rPr>
          <w:rFonts w:ascii="Arial" w:eastAsia="Times New Roman" w:hAnsi="Arial" w:cs="Arial"/>
          <w:bCs/>
          <w:kern w:val="1"/>
          <w:sz w:val="18"/>
          <w:szCs w:val="18"/>
          <w:lang w:eastAsia="ar-SA"/>
        </w:rPr>
        <w:t xml:space="preserve"> un</w:t>
      </w:r>
      <w:r w:rsidRPr="00AB49A7">
        <w:rPr>
          <w:rFonts w:ascii="Arial" w:eastAsia="Times New Roman" w:hAnsi="Arial" w:cs="Arial"/>
          <w:bCs/>
          <w:kern w:val="1"/>
          <w:sz w:val="18"/>
          <w:szCs w:val="18"/>
          <w:lang w:eastAsia="ar-SA"/>
        </w:rPr>
        <w:t xml:space="preserve"> hecho notorio para este Instituto que al momento de dictarse </w:t>
      </w:r>
      <w:r>
        <w:rPr>
          <w:rFonts w:ascii="Arial" w:eastAsia="Times New Roman" w:hAnsi="Arial" w:cs="Arial"/>
          <w:bCs/>
          <w:kern w:val="1"/>
          <w:sz w:val="18"/>
          <w:szCs w:val="18"/>
          <w:lang w:eastAsia="ar-SA"/>
        </w:rPr>
        <w:t>el</w:t>
      </w:r>
      <w:r w:rsidRPr="00AB49A7">
        <w:rPr>
          <w:rFonts w:ascii="Arial" w:eastAsia="Times New Roman" w:hAnsi="Arial" w:cs="Arial"/>
          <w:bCs/>
          <w:kern w:val="1"/>
          <w:sz w:val="18"/>
          <w:szCs w:val="18"/>
          <w:lang w:eastAsia="ar-SA"/>
        </w:rPr>
        <w:t xml:space="preserve"> presente </w:t>
      </w:r>
      <w:r>
        <w:rPr>
          <w:rFonts w:ascii="Arial" w:eastAsia="Times New Roman" w:hAnsi="Arial" w:cs="Arial"/>
          <w:bCs/>
          <w:kern w:val="1"/>
          <w:sz w:val="18"/>
          <w:szCs w:val="18"/>
          <w:lang w:eastAsia="ar-SA"/>
        </w:rPr>
        <w:t>Acuerdo</w:t>
      </w:r>
      <w:r w:rsidRPr="00AB49A7">
        <w:rPr>
          <w:rFonts w:ascii="Arial" w:eastAsia="Times New Roman" w:hAnsi="Arial" w:cs="Arial"/>
          <w:bCs/>
          <w:kern w:val="1"/>
          <w:sz w:val="18"/>
          <w:szCs w:val="18"/>
          <w:lang w:eastAsia="ar-SA"/>
        </w:rPr>
        <w:t xml:space="preserve"> el Congreso de la Unión no ha emitido la legislación secundaria referida, por lo que este Instituto</w:t>
      </w:r>
      <w:r>
        <w:rPr>
          <w:rFonts w:ascii="Arial" w:eastAsia="Times New Roman" w:hAnsi="Arial" w:cs="Arial"/>
          <w:bCs/>
          <w:kern w:val="1"/>
          <w:sz w:val="18"/>
          <w:szCs w:val="18"/>
          <w:lang w:eastAsia="ar-SA"/>
        </w:rPr>
        <w:t xml:space="preserve"> debe mantener el mandato de garantizar lo establecido en</w:t>
      </w:r>
      <w:r w:rsidRPr="00DC42C3">
        <w:rPr>
          <w:rFonts w:ascii="Arial" w:eastAsia="Times New Roman" w:hAnsi="Arial" w:cs="Arial"/>
          <w:bCs/>
          <w:kern w:val="1"/>
          <w:sz w:val="18"/>
          <w:szCs w:val="18"/>
          <w:lang w:eastAsia="ar-SA"/>
        </w:rPr>
        <w:t xml:space="preserve"> los artículos 6 y 7 de la Constitución</w:t>
      </w:r>
      <w:r>
        <w:rPr>
          <w:rFonts w:ascii="Arial" w:eastAsia="Times New Roman" w:hAnsi="Arial" w:cs="Arial"/>
          <w:bCs/>
          <w:kern w:val="1"/>
          <w:sz w:val="18"/>
          <w:szCs w:val="18"/>
          <w:lang w:eastAsia="ar-SA"/>
        </w:rPr>
        <w:t>.</w:t>
      </w:r>
    </w:p>
    <w:p w14:paraId="77222F08" w14:textId="77777777" w:rsidR="00775445" w:rsidRPr="00DC42C3" w:rsidRDefault="00775445" w:rsidP="007A55E8">
      <w:pPr>
        <w:spacing w:after="0"/>
        <w:rPr>
          <w:rFonts w:ascii="Arial" w:hAnsi="Arial" w:cs="Arial"/>
          <w:color w:val="000000"/>
          <w:sz w:val="18"/>
          <w:szCs w:val="18"/>
          <w:lang w:eastAsia="es-MX"/>
        </w:rPr>
      </w:pPr>
    </w:p>
    <w:p w14:paraId="1A0EB9C4" w14:textId="56BE3056" w:rsidR="005F5A50" w:rsidRDefault="00516CE5" w:rsidP="007A55E8">
      <w:pPr>
        <w:shd w:val="clear" w:color="auto" w:fill="FFFFFF"/>
        <w:spacing w:after="0"/>
        <w:ind w:right="49"/>
        <w:jc w:val="both"/>
        <w:rPr>
          <w:rFonts w:ascii="Arial" w:eastAsia="Times New Roman" w:hAnsi="Arial" w:cs="Arial"/>
          <w:kern w:val="1"/>
          <w:sz w:val="18"/>
          <w:szCs w:val="18"/>
          <w:lang w:eastAsia="ar-SA"/>
        </w:rPr>
      </w:pPr>
      <w:proofErr w:type="gramStart"/>
      <w:r w:rsidRPr="00DC42C3">
        <w:rPr>
          <w:rFonts w:ascii="Arial" w:eastAsia="Times New Roman" w:hAnsi="Arial" w:cs="Arial"/>
          <w:b/>
          <w:bCs/>
          <w:kern w:val="1"/>
          <w:sz w:val="18"/>
          <w:szCs w:val="18"/>
          <w:lang w:eastAsia="ar-SA"/>
        </w:rPr>
        <w:t>Tercero.-</w:t>
      </w:r>
      <w:proofErr w:type="gramEnd"/>
      <w:r w:rsidRPr="00DC42C3">
        <w:rPr>
          <w:rFonts w:ascii="Arial" w:eastAsia="Times New Roman" w:hAnsi="Arial" w:cs="Arial"/>
          <w:b/>
          <w:bCs/>
          <w:kern w:val="1"/>
          <w:sz w:val="18"/>
          <w:szCs w:val="18"/>
          <w:lang w:eastAsia="ar-SA"/>
        </w:rPr>
        <w:t xml:space="preserve"> Necesidad de </w:t>
      </w:r>
      <w:r w:rsidR="00293C89">
        <w:rPr>
          <w:rFonts w:ascii="Arial" w:eastAsia="Times New Roman" w:hAnsi="Arial" w:cs="Arial"/>
          <w:b/>
          <w:bCs/>
          <w:kern w:val="1"/>
          <w:sz w:val="18"/>
          <w:szCs w:val="18"/>
          <w:lang w:eastAsia="ar-SA"/>
        </w:rPr>
        <w:t>mantener la conectividad de los usuarios</w:t>
      </w:r>
      <w:r w:rsidRPr="00DC42C3">
        <w:rPr>
          <w:rFonts w:ascii="Arial" w:eastAsia="Times New Roman" w:hAnsi="Arial" w:cs="Arial"/>
          <w:b/>
          <w:bCs/>
          <w:kern w:val="1"/>
          <w:sz w:val="18"/>
          <w:szCs w:val="18"/>
          <w:lang w:eastAsia="ar-SA"/>
        </w:rPr>
        <w:t>.</w:t>
      </w:r>
      <w:r w:rsidRPr="00DC42C3">
        <w:rPr>
          <w:rFonts w:ascii="Arial" w:eastAsia="Times New Roman" w:hAnsi="Arial" w:cs="Arial"/>
          <w:kern w:val="1"/>
          <w:sz w:val="18"/>
          <w:szCs w:val="18"/>
          <w:lang w:eastAsia="ar-SA"/>
        </w:rPr>
        <w:t xml:space="preserve"> Como parte del desarrollo dinámico del mercado de telecomunicaciones, pueden presentarse situaciones en las que los Operadores Móviles Virtuales (OMV) que prestan servicios a los usuarios finales a través de una integración total o parcial con Concesionarios Mayoristas Móviles, ya sea por cuestiones asociadas a los planes de negocio de los primeros, estrategia, o debido a situaciones económicas adversas, cesan de manera abrupta operaciones y con ello la prestación de servicios de telecomunicaciones móviles a sus usuarios. </w:t>
      </w:r>
    </w:p>
    <w:p w14:paraId="13BE35B2" w14:textId="77777777" w:rsidR="005F5A50" w:rsidRDefault="005F5A50" w:rsidP="007A55E8">
      <w:pPr>
        <w:shd w:val="clear" w:color="auto" w:fill="FFFFFF"/>
        <w:spacing w:after="0"/>
        <w:ind w:right="49"/>
        <w:jc w:val="both"/>
        <w:rPr>
          <w:rFonts w:ascii="Arial" w:eastAsia="Times New Roman" w:hAnsi="Arial" w:cs="Arial"/>
          <w:kern w:val="1"/>
          <w:sz w:val="18"/>
          <w:szCs w:val="18"/>
          <w:lang w:eastAsia="ar-SA"/>
        </w:rPr>
      </w:pPr>
    </w:p>
    <w:p w14:paraId="1F4608F2" w14:textId="41F94AFA" w:rsidR="00516CE5" w:rsidRPr="00DC42C3" w:rsidRDefault="00516CE5" w:rsidP="007A55E8">
      <w:pPr>
        <w:shd w:val="clear" w:color="auto" w:fill="FFFFFF"/>
        <w:spacing w:after="0"/>
        <w:ind w:right="49"/>
        <w:jc w:val="both"/>
        <w:rPr>
          <w:rFonts w:ascii="Arial" w:hAnsi="Arial" w:cs="Arial"/>
          <w:kern w:val="1"/>
          <w:sz w:val="18"/>
          <w:szCs w:val="18"/>
          <w:lang w:eastAsia="ar-SA"/>
        </w:rPr>
      </w:pPr>
      <w:r w:rsidRPr="00DC42C3">
        <w:rPr>
          <w:rFonts w:ascii="Arial" w:eastAsia="Times New Roman" w:hAnsi="Arial" w:cs="Arial"/>
          <w:kern w:val="1"/>
          <w:sz w:val="18"/>
          <w:szCs w:val="18"/>
          <w:lang w:eastAsia="ar-SA"/>
        </w:rPr>
        <w:t>Dicho escenario configura una problemática para los usuarios finales, pues si no se cuenta con una adecuada adopción de medidas que faciliten la migración oportuna de los usuarios a fin de obtener los servicios de otro operador activo en el mercado, podrían experimentar afectación en su acceso a la comunicación a través de las redes públicas de  telecomunicaciones, así como limitaciones para el ejercicio de sus derechos mínimos como usuarios de servicios de telecomunicaciones, tales como el derecho a la portabilidad numérica, acceso a números de emergencia, acceso a sistemas de atención telefónica para cualquier tipo de consulta relacionada con su número, entre otras.</w:t>
      </w:r>
      <w:r w:rsidRPr="00DC42C3">
        <w:rPr>
          <w:rFonts w:ascii="Arial" w:hAnsi="Arial" w:cs="Arial"/>
          <w:kern w:val="1"/>
          <w:sz w:val="18"/>
          <w:szCs w:val="18"/>
          <w:lang w:eastAsia="ar-SA"/>
        </w:rPr>
        <w:t xml:space="preserve"> </w:t>
      </w:r>
    </w:p>
    <w:p w14:paraId="5CD1E169" w14:textId="77777777" w:rsidR="00516CE5" w:rsidRPr="00DC42C3" w:rsidRDefault="00516CE5" w:rsidP="007A55E8">
      <w:pPr>
        <w:shd w:val="clear" w:color="auto" w:fill="FFFFFF"/>
        <w:spacing w:after="0"/>
        <w:ind w:right="49"/>
        <w:jc w:val="both"/>
        <w:rPr>
          <w:rFonts w:ascii="Arial" w:eastAsia="Times New Roman" w:hAnsi="Arial" w:cs="Arial"/>
          <w:color w:val="2F2F2F"/>
          <w:sz w:val="18"/>
          <w:szCs w:val="18"/>
          <w:lang w:eastAsia="es-MX"/>
        </w:rPr>
      </w:pPr>
    </w:p>
    <w:p w14:paraId="7AC16D81" w14:textId="3B6C0591" w:rsidR="00516CE5" w:rsidRPr="00A361B9" w:rsidRDefault="00516CE5" w:rsidP="007A55E8">
      <w:pPr>
        <w:shd w:val="clear" w:color="auto" w:fill="FFFFFF"/>
        <w:spacing w:after="0"/>
        <w:ind w:right="49"/>
        <w:jc w:val="both"/>
        <w:rPr>
          <w:rFonts w:ascii="Arial" w:eastAsia="Times New Roman" w:hAnsi="Arial" w:cs="Arial"/>
          <w:kern w:val="1"/>
          <w:sz w:val="18"/>
          <w:szCs w:val="18"/>
          <w:lang w:eastAsia="ar-SA"/>
        </w:rPr>
      </w:pPr>
      <w:r w:rsidRPr="00A361B9">
        <w:rPr>
          <w:rFonts w:ascii="Arial" w:eastAsia="Times New Roman" w:hAnsi="Arial" w:cs="Arial"/>
          <w:kern w:val="1"/>
          <w:sz w:val="18"/>
          <w:szCs w:val="18"/>
          <w:lang w:eastAsia="ar-SA"/>
        </w:rPr>
        <w:t>Si bien, actualmente en términos del artículo 13</w:t>
      </w:r>
      <w:r w:rsidR="004F67C3" w:rsidRPr="00A361B9">
        <w:rPr>
          <w:rFonts w:ascii="Arial" w:eastAsia="Times New Roman" w:hAnsi="Arial" w:cs="Arial"/>
          <w:kern w:val="1"/>
          <w:sz w:val="18"/>
          <w:szCs w:val="18"/>
          <w:lang w:eastAsia="ar-SA"/>
        </w:rPr>
        <w:t>,</w:t>
      </w:r>
      <w:r w:rsidRPr="00A361B9">
        <w:rPr>
          <w:rFonts w:ascii="Arial" w:eastAsia="Times New Roman" w:hAnsi="Arial" w:cs="Arial"/>
          <w:kern w:val="1"/>
          <w:sz w:val="18"/>
          <w:szCs w:val="18"/>
          <w:lang w:eastAsia="ar-SA"/>
        </w:rPr>
        <w:t xml:space="preserve"> fracción VI de los Lineamientos de OMV</w:t>
      </w:r>
      <w:r w:rsidR="002B204B" w:rsidRPr="00A361B9">
        <w:rPr>
          <w:rFonts w:ascii="Arial" w:eastAsia="Times New Roman" w:hAnsi="Arial" w:cs="Arial"/>
          <w:kern w:val="1"/>
          <w:sz w:val="18"/>
          <w:szCs w:val="18"/>
          <w:lang w:eastAsia="ar-SA"/>
        </w:rPr>
        <w:t>,</w:t>
      </w:r>
      <w:r w:rsidRPr="00A361B9">
        <w:rPr>
          <w:rFonts w:ascii="Arial" w:eastAsia="Times New Roman" w:hAnsi="Arial" w:cs="Arial"/>
          <w:kern w:val="1"/>
          <w:sz w:val="18"/>
          <w:szCs w:val="18"/>
          <w:lang w:eastAsia="ar-SA"/>
        </w:rPr>
        <w:t xml:space="preserve"> </w:t>
      </w:r>
      <w:r w:rsidR="002B204B" w:rsidRPr="00A361B9">
        <w:rPr>
          <w:rFonts w:ascii="Arial" w:eastAsia="Times New Roman" w:hAnsi="Arial" w:cs="Arial"/>
          <w:kern w:val="1"/>
          <w:sz w:val="18"/>
          <w:szCs w:val="18"/>
          <w:lang w:eastAsia="ar-SA"/>
        </w:rPr>
        <w:t xml:space="preserve">se </w:t>
      </w:r>
      <w:r w:rsidRPr="00A361B9">
        <w:rPr>
          <w:rFonts w:ascii="Arial" w:eastAsia="Times New Roman" w:hAnsi="Arial" w:cs="Arial"/>
          <w:kern w:val="1"/>
          <w:sz w:val="18"/>
          <w:szCs w:val="18"/>
          <w:lang w:eastAsia="ar-SA"/>
        </w:rPr>
        <w:t xml:space="preserve">establece la obligación de los OMV de dar aviso al usuario final con al menos 30 días de anticipación en caso del cese de prestación de los servicios contratados, deben preverse los mecanismos necesarios que garanticen que el mayor número de usuarios ejerzan sus derechos y contribuyan a que se mantenga el acceso a servicios de telecomunicaciones. </w:t>
      </w:r>
    </w:p>
    <w:p w14:paraId="6992F16F" w14:textId="77777777" w:rsidR="00516CE5" w:rsidRPr="00A361B9" w:rsidRDefault="00516CE5" w:rsidP="007A55E8">
      <w:pPr>
        <w:spacing w:after="0"/>
        <w:jc w:val="both"/>
        <w:rPr>
          <w:rFonts w:ascii="Arial" w:eastAsia="Times New Roman" w:hAnsi="Arial" w:cs="Arial"/>
          <w:b/>
          <w:bCs/>
          <w:kern w:val="1"/>
          <w:sz w:val="18"/>
          <w:szCs w:val="18"/>
          <w:lang w:eastAsia="ar-SA"/>
        </w:rPr>
      </w:pPr>
    </w:p>
    <w:p w14:paraId="45452E07" w14:textId="77777777" w:rsidR="00516CE5" w:rsidRPr="00A361B9" w:rsidRDefault="00516CE5" w:rsidP="007A55E8">
      <w:pPr>
        <w:spacing w:after="0"/>
        <w:jc w:val="both"/>
        <w:rPr>
          <w:rFonts w:ascii="Arial" w:eastAsia="Times New Roman" w:hAnsi="Arial" w:cs="Arial"/>
          <w:bCs/>
          <w:kern w:val="1"/>
          <w:sz w:val="18"/>
          <w:szCs w:val="18"/>
          <w:lang w:eastAsia="ar-SA"/>
        </w:rPr>
      </w:pPr>
      <w:proofErr w:type="gramStart"/>
      <w:r w:rsidRPr="00A361B9">
        <w:rPr>
          <w:rFonts w:ascii="Arial" w:eastAsia="Times New Roman" w:hAnsi="Arial" w:cs="Arial"/>
          <w:b/>
          <w:bCs/>
          <w:kern w:val="1"/>
          <w:sz w:val="18"/>
          <w:szCs w:val="18"/>
          <w:lang w:eastAsia="ar-SA"/>
        </w:rPr>
        <w:t>Cuarto.-</w:t>
      </w:r>
      <w:proofErr w:type="gramEnd"/>
      <w:r w:rsidRPr="00A361B9">
        <w:rPr>
          <w:rFonts w:ascii="Arial" w:eastAsia="Times New Roman" w:hAnsi="Arial" w:cs="Arial"/>
          <w:b/>
          <w:bCs/>
          <w:kern w:val="1"/>
          <w:sz w:val="18"/>
          <w:szCs w:val="18"/>
          <w:lang w:eastAsia="ar-SA"/>
        </w:rPr>
        <w:t xml:space="preserve"> Dinamismo en el mercado de OMV en México. </w:t>
      </w:r>
      <w:r w:rsidRPr="00A361B9">
        <w:rPr>
          <w:rFonts w:ascii="Arial" w:eastAsia="Times New Roman" w:hAnsi="Arial" w:cs="Arial"/>
          <w:bCs/>
          <w:kern w:val="1"/>
          <w:sz w:val="18"/>
          <w:szCs w:val="18"/>
          <w:lang w:eastAsia="ar-SA"/>
        </w:rPr>
        <w:t>Con los avances en la regulación en materia de telecomunicaciones en México y la evolución tecnológica y de mercado en el país, la cantidad de OMV ha tenido un crecimiento importante que ha permitido una diversificación en las opciones que tienen los usuarios finales para escoger al proveedor de servicios de telecomunicaciones. La apertura y regulación para este tipo de operadores permite que los usuarios finales cuenten con alternativas que se ajusten a sus necesidades, saliendo del paradigma que suponía escoger entre los operadores de telecomunicaciones móviles tradicionales.</w:t>
      </w:r>
    </w:p>
    <w:p w14:paraId="0A03A24E" w14:textId="77777777" w:rsidR="00516CE5" w:rsidRPr="00A361B9" w:rsidRDefault="00516CE5" w:rsidP="007A55E8">
      <w:pPr>
        <w:spacing w:after="0"/>
        <w:jc w:val="both"/>
        <w:rPr>
          <w:rFonts w:ascii="Arial" w:eastAsia="Times New Roman" w:hAnsi="Arial" w:cs="Arial"/>
          <w:bCs/>
          <w:kern w:val="1"/>
          <w:sz w:val="18"/>
          <w:szCs w:val="18"/>
          <w:lang w:eastAsia="ar-SA"/>
        </w:rPr>
      </w:pPr>
    </w:p>
    <w:p w14:paraId="4876430E" w14:textId="60D9627E" w:rsidR="00516CE5" w:rsidRPr="00A361B9" w:rsidRDefault="00516CE5" w:rsidP="007A55E8">
      <w:pPr>
        <w:spacing w:after="0"/>
        <w:jc w:val="both"/>
        <w:rPr>
          <w:rFonts w:ascii="Arial" w:eastAsia="Times New Roman" w:hAnsi="Arial" w:cs="Arial"/>
          <w:bCs/>
          <w:kern w:val="1"/>
          <w:sz w:val="18"/>
          <w:szCs w:val="18"/>
          <w:lang w:eastAsia="ar-SA"/>
        </w:rPr>
      </w:pPr>
      <w:r w:rsidRPr="00A361B9">
        <w:rPr>
          <w:rFonts w:ascii="Arial" w:eastAsia="Times New Roman" w:hAnsi="Arial" w:cs="Arial"/>
          <w:bCs/>
          <w:kern w:val="1"/>
          <w:sz w:val="18"/>
          <w:szCs w:val="18"/>
          <w:lang w:eastAsia="ar-SA"/>
        </w:rPr>
        <w:t>Como se ha señalado en el Análisis sobre el Mercado de Operadores Móviles Virtuales 2023</w:t>
      </w:r>
      <w:r w:rsidRPr="00A361B9">
        <w:rPr>
          <w:rStyle w:val="Refdenotaalpie"/>
          <w:rFonts w:ascii="Arial" w:eastAsia="Times New Roman" w:hAnsi="Arial" w:cs="Arial"/>
          <w:bCs/>
          <w:kern w:val="1"/>
          <w:sz w:val="18"/>
          <w:szCs w:val="18"/>
          <w:lang w:eastAsia="ar-SA"/>
        </w:rPr>
        <w:footnoteReference w:id="2"/>
      </w:r>
      <w:r w:rsidRPr="00A361B9">
        <w:rPr>
          <w:rFonts w:ascii="Arial" w:eastAsia="Times New Roman" w:hAnsi="Arial" w:cs="Arial"/>
          <w:bCs/>
          <w:kern w:val="1"/>
          <w:sz w:val="18"/>
          <w:szCs w:val="18"/>
          <w:lang w:eastAsia="ar-SA"/>
        </w:rPr>
        <w:t>, de 2020 a 2022 se experimentó un crecimiento del 312.7% de las líneas del servicio móvil de telefonía OMV, atribuible a diferentes factores como la fidelización de sus clientes y la oferta de servicios más económicos y personalizados. Lo anterior se observa como una participación del 7.7% del total del mercado de líneas de telefonía móvil en el país por parte de los OMV, contabilizando 10,525,271 líneas correspondientes a</w:t>
      </w:r>
      <w:r w:rsidR="00FE32FB" w:rsidRPr="00A361B9">
        <w:rPr>
          <w:rFonts w:ascii="Arial" w:eastAsia="Times New Roman" w:hAnsi="Arial" w:cs="Arial"/>
          <w:bCs/>
          <w:kern w:val="1"/>
          <w:sz w:val="18"/>
          <w:szCs w:val="18"/>
          <w:lang w:eastAsia="ar-SA"/>
        </w:rPr>
        <w:t xml:space="preserve"> </w:t>
      </w:r>
      <w:r w:rsidRPr="00A361B9">
        <w:rPr>
          <w:rFonts w:ascii="Arial" w:eastAsia="Times New Roman" w:hAnsi="Arial" w:cs="Arial"/>
          <w:bCs/>
          <w:kern w:val="1"/>
          <w:sz w:val="18"/>
          <w:szCs w:val="18"/>
          <w:lang w:eastAsia="ar-SA"/>
        </w:rPr>
        <w:t>111 OMV identificados en dicho Análisis.</w:t>
      </w:r>
    </w:p>
    <w:p w14:paraId="7BF75D2E" w14:textId="77777777" w:rsidR="00516CE5" w:rsidRPr="00A361B9" w:rsidRDefault="00516CE5" w:rsidP="007A55E8">
      <w:pPr>
        <w:spacing w:after="0"/>
        <w:jc w:val="both"/>
        <w:rPr>
          <w:rFonts w:ascii="Arial" w:eastAsia="Times New Roman" w:hAnsi="Arial" w:cs="Arial"/>
          <w:bCs/>
          <w:kern w:val="1"/>
          <w:sz w:val="18"/>
          <w:szCs w:val="18"/>
          <w:lang w:eastAsia="ar-SA"/>
        </w:rPr>
      </w:pPr>
    </w:p>
    <w:p w14:paraId="5BBE9988" w14:textId="77777777" w:rsidR="00516CE5" w:rsidRPr="00A361B9" w:rsidRDefault="00516CE5" w:rsidP="007A55E8">
      <w:pPr>
        <w:spacing w:after="0"/>
        <w:jc w:val="both"/>
        <w:rPr>
          <w:rFonts w:ascii="Arial" w:eastAsia="Times New Roman" w:hAnsi="Arial" w:cs="Arial"/>
          <w:bCs/>
          <w:kern w:val="1"/>
          <w:sz w:val="18"/>
          <w:szCs w:val="18"/>
          <w:lang w:eastAsia="ar-SA"/>
        </w:rPr>
      </w:pPr>
      <w:r w:rsidRPr="00A361B9">
        <w:rPr>
          <w:rFonts w:ascii="Arial" w:eastAsia="Times New Roman" w:hAnsi="Arial" w:cs="Arial"/>
          <w:bCs/>
          <w:kern w:val="1"/>
          <w:sz w:val="18"/>
          <w:szCs w:val="18"/>
          <w:lang w:eastAsia="ar-SA"/>
        </w:rPr>
        <w:t xml:space="preserve">No obstante, si bien la cantidad de OMV que entran al mercado presenta un incremento año con año, pasando de un promedio de entre 6 y 7 OMV de 2014 a 2019, a ser un promedio de 53 nuevos OMV que iniciaron operaciones entre 2021 y 2022, los datos del mencionado Análisis también señalan que diferentes OMV han dejado de prestar servicios a sus usuarios en los años recientes. </w:t>
      </w:r>
    </w:p>
    <w:p w14:paraId="3A14DEEF" w14:textId="77777777" w:rsidR="00516CE5" w:rsidRPr="00A361B9" w:rsidRDefault="00516CE5" w:rsidP="007A55E8">
      <w:pPr>
        <w:spacing w:after="0"/>
        <w:jc w:val="both"/>
        <w:rPr>
          <w:rFonts w:ascii="Arial" w:eastAsia="Times New Roman" w:hAnsi="Arial" w:cs="Arial"/>
          <w:bCs/>
          <w:kern w:val="1"/>
          <w:sz w:val="18"/>
          <w:szCs w:val="18"/>
          <w:lang w:eastAsia="ar-SA"/>
        </w:rPr>
      </w:pPr>
    </w:p>
    <w:p w14:paraId="4DB93936" w14:textId="69F23D79" w:rsidR="00516CE5" w:rsidRPr="00A361B9" w:rsidRDefault="00516CE5" w:rsidP="007A55E8">
      <w:pPr>
        <w:spacing w:after="0"/>
        <w:jc w:val="both"/>
        <w:rPr>
          <w:rFonts w:ascii="Arial" w:eastAsia="Times New Roman" w:hAnsi="Arial" w:cs="Arial"/>
          <w:bCs/>
          <w:kern w:val="1"/>
          <w:sz w:val="18"/>
          <w:szCs w:val="18"/>
          <w:lang w:eastAsia="ar-SA"/>
        </w:rPr>
      </w:pPr>
      <w:r w:rsidRPr="00A361B9">
        <w:rPr>
          <w:rFonts w:ascii="Arial" w:eastAsia="Times New Roman" w:hAnsi="Arial" w:cs="Arial"/>
          <w:bCs/>
          <w:kern w:val="1"/>
          <w:sz w:val="18"/>
          <w:szCs w:val="18"/>
          <w:lang w:eastAsia="ar-SA"/>
        </w:rPr>
        <w:t xml:space="preserve">Casos de OMV como </w:t>
      </w:r>
      <w:proofErr w:type="spellStart"/>
      <w:r w:rsidRPr="00A361B9">
        <w:rPr>
          <w:rFonts w:ascii="Arial" w:eastAsia="Times New Roman" w:hAnsi="Arial" w:cs="Arial"/>
          <w:bCs/>
          <w:kern w:val="1"/>
          <w:sz w:val="18"/>
          <w:szCs w:val="18"/>
          <w:lang w:eastAsia="ar-SA"/>
        </w:rPr>
        <w:t>Simpati</w:t>
      </w:r>
      <w:proofErr w:type="spellEnd"/>
      <w:r w:rsidRPr="00A361B9">
        <w:rPr>
          <w:rFonts w:ascii="Arial" w:eastAsia="Times New Roman" w:hAnsi="Arial" w:cs="Arial"/>
          <w:bCs/>
          <w:kern w:val="1"/>
          <w:sz w:val="18"/>
          <w:szCs w:val="18"/>
          <w:lang w:eastAsia="ar-SA"/>
        </w:rPr>
        <w:t xml:space="preserve"> (Celmex Innova S.A.P.I. de C.V.) quien notificó al Instituto el cese de la prestación de servicios, y la renuncia de su autorización para establecer y operar o explotar una comercializadora de servicios de telecomunicaciones en 2022; o Yo Mobile (</w:t>
      </w:r>
      <w:proofErr w:type="spellStart"/>
      <w:r w:rsidRPr="00A361B9">
        <w:rPr>
          <w:rFonts w:ascii="Arial" w:eastAsia="Times New Roman" w:hAnsi="Arial" w:cs="Arial"/>
          <w:bCs/>
          <w:kern w:val="1"/>
          <w:sz w:val="18"/>
          <w:szCs w:val="18"/>
          <w:lang w:eastAsia="ar-SA"/>
        </w:rPr>
        <w:t>Yonder</w:t>
      </w:r>
      <w:proofErr w:type="spellEnd"/>
      <w:r w:rsidRPr="00A361B9">
        <w:rPr>
          <w:rFonts w:ascii="Arial" w:eastAsia="Times New Roman" w:hAnsi="Arial" w:cs="Arial"/>
          <w:bCs/>
          <w:kern w:val="1"/>
          <w:sz w:val="18"/>
          <w:szCs w:val="18"/>
          <w:lang w:eastAsia="ar-SA"/>
        </w:rPr>
        <w:t xml:space="preserve"> Media Mobile México, S. de R.L. de C.V.) que dejó de prestar servicios de telecomunicaciones durante 2022, establecen antecedentes para una situación que podría afectar a los </w:t>
      </w:r>
      <w:r w:rsidRPr="00A361B9">
        <w:rPr>
          <w:rFonts w:ascii="Arial" w:eastAsia="Times New Roman" w:hAnsi="Arial" w:cs="Arial"/>
          <w:bCs/>
          <w:kern w:val="1"/>
          <w:sz w:val="18"/>
          <w:szCs w:val="18"/>
          <w:lang w:eastAsia="ar-SA"/>
        </w:rPr>
        <w:lastRenderedPageBreak/>
        <w:t>usuarios finales, además de la pérdida de líneas móviles para el sector de telecomunicaciones, puesto que el número de portaciones completadas de usuarios de estos OMV hacia las redes de otros prestadores de servicios es claramente bajo</w:t>
      </w:r>
      <w:r w:rsidR="00C800A3" w:rsidRPr="00A361B9">
        <w:rPr>
          <w:rFonts w:ascii="Arial" w:eastAsia="Times New Roman" w:hAnsi="Arial" w:cs="Arial"/>
          <w:bCs/>
          <w:kern w:val="1"/>
          <w:sz w:val="18"/>
          <w:szCs w:val="18"/>
          <w:lang w:eastAsia="ar-SA"/>
        </w:rPr>
        <w:t xml:space="preserve">, lo anterior considerando los plazos </w:t>
      </w:r>
      <w:r w:rsidR="00391F12" w:rsidRPr="00A361B9">
        <w:rPr>
          <w:rFonts w:ascii="Arial" w:eastAsia="Times New Roman" w:hAnsi="Arial" w:cs="Arial"/>
          <w:bCs/>
          <w:kern w:val="1"/>
          <w:sz w:val="18"/>
          <w:szCs w:val="18"/>
          <w:lang w:eastAsia="ar-SA"/>
        </w:rPr>
        <w:t xml:space="preserve">establecidos </w:t>
      </w:r>
      <w:r w:rsidR="005D559B" w:rsidRPr="00A361B9">
        <w:rPr>
          <w:rFonts w:ascii="Arial" w:eastAsia="Times New Roman" w:hAnsi="Arial" w:cs="Arial"/>
          <w:bCs/>
          <w:kern w:val="1"/>
          <w:sz w:val="18"/>
          <w:szCs w:val="18"/>
          <w:lang w:eastAsia="ar-SA"/>
        </w:rPr>
        <w:t xml:space="preserve">en los Lineamientos </w:t>
      </w:r>
      <w:r w:rsidR="00184C02" w:rsidRPr="00A361B9">
        <w:rPr>
          <w:rFonts w:ascii="Arial" w:eastAsia="Times New Roman" w:hAnsi="Arial" w:cs="Arial"/>
          <w:bCs/>
          <w:kern w:val="1"/>
          <w:sz w:val="18"/>
          <w:szCs w:val="18"/>
          <w:lang w:eastAsia="ar-SA"/>
        </w:rPr>
        <w:t xml:space="preserve">de OMV y en las </w:t>
      </w:r>
      <w:r w:rsidR="00DE011D" w:rsidRPr="00A361B9">
        <w:rPr>
          <w:rFonts w:ascii="Arial" w:eastAsia="Times New Roman" w:hAnsi="Arial" w:cs="Arial"/>
          <w:bCs/>
          <w:kern w:val="1"/>
          <w:sz w:val="18"/>
          <w:szCs w:val="18"/>
          <w:lang w:eastAsia="ar-SA"/>
        </w:rPr>
        <w:t xml:space="preserve">Reglas de Portabilidad, </w:t>
      </w:r>
      <w:r w:rsidR="008A53D3" w:rsidRPr="00A361B9">
        <w:rPr>
          <w:rFonts w:ascii="Arial" w:eastAsia="Times New Roman" w:hAnsi="Arial" w:cs="Arial"/>
          <w:bCs/>
          <w:kern w:val="1"/>
          <w:sz w:val="18"/>
          <w:szCs w:val="18"/>
          <w:lang w:eastAsia="ar-SA"/>
        </w:rPr>
        <w:t xml:space="preserve">en que el OMV </w:t>
      </w:r>
      <w:r w:rsidR="00052EC2" w:rsidRPr="00A361B9">
        <w:rPr>
          <w:rFonts w:ascii="Arial" w:eastAsia="Times New Roman" w:hAnsi="Arial" w:cs="Arial"/>
          <w:bCs/>
          <w:kern w:val="1"/>
          <w:sz w:val="18"/>
          <w:szCs w:val="18"/>
          <w:lang w:eastAsia="ar-SA"/>
        </w:rPr>
        <w:t xml:space="preserve">debe dar aviso al usuario final </w:t>
      </w:r>
      <w:r w:rsidR="003F1A9D" w:rsidRPr="00A361B9">
        <w:rPr>
          <w:rFonts w:ascii="Arial" w:eastAsia="Times New Roman" w:hAnsi="Arial" w:cs="Arial"/>
          <w:bCs/>
          <w:kern w:val="1"/>
          <w:sz w:val="18"/>
          <w:szCs w:val="18"/>
          <w:lang w:eastAsia="ar-SA"/>
        </w:rPr>
        <w:t xml:space="preserve">sobre el cese de prestación de los servicios contratados, y el </w:t>
      </w:r>
      <w:r w:rsidR="006E4E13" w:rsidRPr="00A361B9">
        <w:rPr>
          <w:rFonts w:ascii="Arial" w:eastAsia="Times New Roman" w:hAnsi="Arial" w:cs="Arial"/>
          <w:bCs/>
          <w:kern w:val="1"/>
          <w:sz w:val="18"/>
          <w:szCs w:val="18"/>
          <w:lang w:eastAsia="ar-SA"/>
        </w:rPr>
        <w:t>plazo máximo</w:t>
      </w:r>
      <w:r w:rsidR="003F1A9D" w:rsidRPr="00A361B9">
        <w:rPr>
          <w:rFonts w:ascii="Arial" w:eastAsia="Times New Roman" w:hAnsi="Arial" w:cs="Arial"/>
          <w:bCs/>
          <w:kern w:val="1"/>
          <w:sz w:val="18"/>
          <w:szCs w:val="18"/>
          <w:lang w:eastAsia="ar-SA"/>
        </w:rPr>
        <w:t xml:space="preserve"> en que este </w:t>
      </w:r>
      <w:r w:rsidR="0081117B" w:rsidRPr="00A361B9">
        <w:rPr>
          <w:rFonts w:ascii="Arial" w:eastAsia="Times New Roman" w:hAnsi="Arial" w:cs="Arial"/>
          <w:bCs/>
          <w:kern w:val="1"/>
          <w:sz w:val="18"/>
          <w:szCs w:val="18"/>
          <w:lang w:eastAsia="ar-SA"/>
        </w:rPr>
        <w:t>último</w:t>
      </w:r>
      <w:r w:rsidR="003F1A9D" w:rsidRPr="00A361B9">
        <w:rPr>
          <w:rFonts w:ascii="Arial" w:eastAsia="Times New Roman" w:hAnsi="Arial" w:cs="Arial"/>
          <w:bCs/>
          <w:kern w:val="1"/>
          <w:sz w:val="18"/>
          <w:szCs w:val="18"/>
          <w:lang w:eastAsia="ar-SA"/>
        </w:rPr>
        <w:t xml:space="preserve"> puede</w:t>
      </w:r>
      <w:r w:rsidR="00DE011D" w:rsidRPr="00A361B9">
        <w:rPr>
          <w:rFonts w:ascii="Arial" w:eastAsia="Times New Roman" w:hAnsi="Arial" w:cs="Arial"/>
          <w:bCs/>
          <w:kern w:val="1"/>
          <w:sz w:val="18"/>
          <w:szCs w:val="18"/>
          <w:lang w:eastAsia="ar-SA"/>
        </w:rPr>
        <w:t xml:space="preserve"> </w:t>
      </w:r>
      <w:r w:rsidR="0023202E" w:rsidRPr="00A361B9">
        <w:rPr>
          <w:rFonts w:ascii="Arial" w:eastAsia="Times New Roman" w:hAnsi="Arial" w:cs="Arial"/>
          <w:bCs/>
          <w:kern w:val="1"/>
          <w:sz w:val="18"/>
          <w:szCs w:val="18"/>
          <w:lang w:eastAsia="ar-SA"/>
        </w:rPr>
        <w:t>recuperar su número telefónico</w:t>
      </w:r>
      <w:r w:rsidR="007B2D08" w:rsidRPr="00A361B9">
        <w:rPr>
          <w:rFonts w:ascii="Arial" w:eastAsia="Times New Roman" w:hAnsi="Arial" w:cs="Arial"/>
          <w:bCs/>
          <w:kern w:val="1"/>
          <w:sz w:val="18"/>
          <w:szCs w:val="18"/>
          <w:lang w:eastAsia="ar-SA"/>
        </w:rPr>
        <w:t xml:space="preserve"> a través del proceso </w:t>
      </w:r>
      <w:r w:rsidR="0081117B" w:rsidRPr="00A361B9">
        <w:rPr>
          <w:rFonts w:ascii="Arial" w:eastAsia="Times New Roman" w:hAnsi="Arial" w:cs="Arial"/>
          <w:bCs/>
          <w:kern w:val="1"/>
          <w:sz w:val="18"/>
          <w:szCs w:val="18"/>
          <w:lang w:eastAsia="ar-SA"/>
        </w:rPr>
        <w:t>establecido en las mencionadas Reglas de Portabilidad</w:t>
      </w:r>
      <w:r w:rsidRPr="00A361B9">
        <w:rPr>
          <w:rFonts w:ascii="Arial" w:eastAsia="Times New Roman" w:hAnsi="Arial" w:cs="Arial"/>
          <w:bCs/>
          <w:kern w:val="1"/>
          <w:sz w:val="18"/>
          <w:szCs w:val="18"/>
          <w:lang w:eastAsia="ar-SA"/>
        </w:rPr>
        <w:t>.</w:t>
      </w:r>
    </w:p>
    <w:p w14:paraId="55D4A3E8" w14:textId="77777777" w:rsidR="00516CE5" w:rsidRPr="00A361B9" w:rsidRDefault="00516CE5" w:rsidP="007A55E8">
      <w:pPr>
        <w:spacing w:after="0"/>
        <w:jc w:val="both"/>
        <w:rPr>
          <w:rFonts w:ascii="Arial" w:eastAsia="Times New Roman" w:hAnsi="Arial" w:cs="Arial"/>
          <w:bCs/>
          <w:kern w:val="1"/>
          <w:sz w:val="18"/>
          <w:szCs w:val="18"/>
          <w:lang w:eastAsia="ar-SA"/>
        </w:rPr>
      </w:pPr>
    </w:p>
    <w:p w14:paraId="7D4FA2C9" w14:textId="77777777" w:rsidR="00F55FA3" w:rsidRPr="00DC42C3" w:rsidRDefault="00F55FA3" w:rsidP="00F55FA3">
      <w:pPr>
        <w:spacing w:after="0"/>
        <w:jc w:val="center"/>
        <w:rPr>
          <w:rFonts w:ascii="Arial" w:eastAsia="Times New Roman" w:hAnsi="Arial" w:cs="Arial"/>
          <w:bCs/>
          <w:kern w:val="1"/>
          <w:sz w:val="18"/>
          <w:szCs w:val="18"/>
          <w:lang w:eastAsia="ar-SA"/>
        </w:rPr>
      </w:pPr>
      <w:r w:rsidRPr="00DC42C3">
        <w:rPr>
          <w:rFonts w:ascii="Arial" w:eastAsia="Times New Roman" w:hAnsi="Arial" w:cs="Arial"/>
          <w:bCs/>
          <w:kern w:val="1"/>
          <w:sz w:val="18"/>
          <w:szCs w:val="18"/>
          <w:lang w:eastAsia="ar-SA"/>
        </w:rPr>
        <w:t>Tabla 1. Portaciones completas en OMV que cesaron operaciones.</w:t>
      </w:r>
    </w:p>
    <w:tbl>
      <w:tblPr>
        <w:tblStyle w:val="Tabladelista4-nfasis6"/>
        <w:tblW w:w="9394" w:type="dxa"/>
        <w:jc w:val="center"/>
        <w:tblLook w:val="0420" w:firstRow="1" w:lastRow="0" w:firstColumn="0" w:lastColumn="0" w:noHBand="0" w:noVBand="1"/>
      </w:tblPr>
      <w:tblGrid>
        <w:gridCol w:w="1697"/>
        <w:gridCol w:w="2301"/>
        <w:gridCol w:w="1393"/>
        <w:gridCol w:w="1662"/>
        <w:gridCol w:w="2341"/>
      </w:tblGrid>
      <w:tr w:rsidR="00516CE5" w:rsidRPr="00A361B9" w14:paraId="225EEBA5" w14:textId="77777777">
        <w:trPr>
          <w:cnfStyle w:val="100000000000" w:firstRow="1" w:lastRow="0" w:firstColumn="0" w:lastColumn="0" w:oddVBand="0" w:evenVBand="0" w:oddHBand="0" w:evenHBand="0" w:firstRowFirstColumn="0" w:firstRowLastColumn="0" w:lastRowFirstColumn="0" w:lastRowLastColumn="0"/>
          <w:trHeight w:val="798"/>
          <w:jc w:val="center"/>
        </w:trPr>
        <w:tc>
          <w:tcPr>
            <w:tcW w:w="1697" w:type="dxa"/>
            <w:hideMark/>
          </w:tcPr>
          <w:p w14:paraId="0DA08F75" w14:textId="77777777" w:rsidR="00516CE5" w:rsidRPr="00DC42C3" w:rsidRDefault="00516CE5" w:rsidP="007A55E8">
            <w:pPr>
              <w:spacing w:after="0"/>
              <w:jc w:val="center"/>
              <w:rPr>
                <w:rFonts w:ascii="Arial" w:eastAsia="Times New Roman" w:hAnsi="Arial" w:cs="Arial"/>
                <w:kern w:val="1"/>
                <w:sz w:val="18"/>
                <w:szCs w:val="18"/>
                <w:lang w:val="es-MX" w:eastAsia="ar-SA"/>
              </w:rPr>
            </w:pPr>
            <w:r w:rsidRPr="00DC42C3">
              <w:rPr>
                <w:rFonts w:ascii="Arial" w:eastAsia="Times New Roman" w:hAnsi="Arial" w:cs="Arial"/>
                <w:kern w:val="1"/>
                <w:sz w:val="18"/>
                <w:szCs w:val="18"/>
                <w:lang w:val="es-MX" w:eastAsia="ar-SA"/>
              </w:rPr>
              <w:t>OMV</w:t>
            </w:r>
          </w:p>
        </w:tc>
        <w:tc>
          <w:tcPr>
            <w:tcW w:w="2301" w:type="dxa"/>
            <w:hideMark/>
          </w:tcPr>
          <w:p w14:paraId="63AC3CFD" w14:textId="77777777" w:rsidR="00516CE5" w:rsidRPr="00DC42C3" w:rsidRDefault="00516CE5" w:rsidP="007A55E8">
            <w:pPr>
              <w:spacing w:after="0"/>
              <w:jc w:val="center"/>
              <w:rPr>
                <w:rFonts w:ascii="Arial" w:eastAsia="Times New Roman" w:hAnsi="Arial" w:cs="Arial"/>
                <w:kern w:val="1"/>
                <w:sz w:val="18"/>
                <w:szCs w:val="18"/>
                <w:lang w:val="es-MX" w:eastAsia="ar-SA"/>
              </w:rPr>
            </w:pPr>
            <w:r w:rsidRPr="00DC42C3">
              <w:rPr>
                <w:rFonts w:ascii="Arial" w:eastAsia="Times New Roman" w:hAnsi="Arial" w:cs="Arial"/>
                <w:kern w:val="1"/>
                <w:sz w:val="18"/>
                <w:szCs w:val="18"/>
                <w:lang w:val="es-MX" w:eastAsia="ar-SA"/>
              </w:rPr>
              <w:t>Fecha cese de operaciones</w:t>
            </w:r>
          </w:p>
        </w:tc>
        <w:tc>
          <w:tcPr>
            <w:tcW w:w="1393" w:type="dxa"/>
          </w:tcPr>
          <w:p w14:paraId="61ACACAB" w14:textId="77777777" w:rsidR="00516CE5" w:rsidRPr="00DC42C3" w:rsidRDefault="00516CE5" w:rsidP="007A55E8">
            <w:pPr>
              <w:spacing w:after="0"/>
              <w:jc w:val="center"/>
              <w:rPr>
                <w:rFonts w:ascii="Arial" w:eastAsia="Times New Roman" w:hAnsi="Arial" w:cs="Arial"/>
                <w:kern w:val="1"/>
                <w:sz w:val="18"/>
                <w:szCs w:val="18"/>
                <w:lang w:val="es-MX" w:eastAsia="ar-SA"/>
              </w:rPr>
            </w:pPr>
            <w:r w:rsidRPr="00DC42C3">
              <w:rPr>
                <w:rFonts w:ascii="Arial" w:eastAsia="Times New Roman" w:hAnsi="Arial" w:cs="Arial"/>
                <w:kern w:val="1"/>
                <w:sz w:val="18"/>
                <w:szCs w:val="18"/>
                <w:lang w:val="es-MX" w:eastAsia="ar-SA"/>
              </w:rPr>
              <w:t>Estatus Autorización</w:t>
            </w:r>
          </w:p>
        </w:tc>
        <w:tc>
          <w:tcPr>
            <w:tcW w:w="1662" w:type="dxa"/>
            <w:hideMark/>
          </w:tcPr>
          <w:p w14:paraId="38691881" w14:textId="77777777" w:rsidR="00516CE5" w:rsidRPr="00DC42C3" w:rsidRDefault="00516CE5" w:rsidP="007A55E8">
            <w:pPr>
              <w:spacing w:after="0"/>
              <w:jc w:val="center"/>
              <w:rPr>
                <w:rFonts w:ascii="Arial" w:eastAsia="Times New Roman" w:hAnsi="Arial" w:cs="Arial"/>
                <w:b w:val="0"/>
                <w:bCs w:val="0"/>
                <w:kern w:val="1"/>
                <w:sz w:val="18"/>
                <w:szCs w:val="18"/>
                <w:lang w:val="es-MX" w:eastAsia="ar-SA"/>
              </w:rPr>
            </w:pPr>
            <w:r w:rsidRPr="00DC42C3">
              <w:rPr>
                <w:rFonts w:ascii="Arial" w:eastAsia="Times New Roman" w:hAnsi="Arial" w:cs="Arial"/>
                <w:kern w:val="1"/>
                <w:sz w:val="18"/>
                <w:szCs w:val="18"/>
                <w:lang w:val="es-MX" w:eastAsia="ar-SA"/>
              </w:rPr>
              <w:t>Usuarios al cese de operaciones</w:t>
            </w:r>
          </w:p>
          <w:p w14:paraId="32DDD46C" w14:textId="77777777" w:rsidR="00516CE5" w:rsidRPr="00DC42C3" w:rsidRDefault="00516CE5" w:rsidP="007A55E8">
            <w:pPr>
              <w:spacing w:after="0"/>
              <w:jc w:val="center"/>
              <w:rPr>
                <w:rFonts w:ascii="Arial" w:eastAsia="Times New Roman" w:hAnsi="Arial" w:cs="Arial"/>
                <w:b w:val="0"/>
                <w:bCs w:val="0"/>
                <w:kern w:val="1"/>
                <w:sz w:val="18"/>
                <w:szCs w:val="18"/>
                <w:lang w:val="es-MX" w:eastAsia="ar-SA"/>
              </w:rPr>
            </w:pPr>
            <w:r w:rsidRPr="00DC42C3">
              <w:rPr>
                <w:rFonts w:ascii="Arial" w:eastAsia="Times New Roman" w:hAnsi="Arial" w:cs="Arial"/>
                <w:kern w:val="1"/>
                <w:sz w:val="18"/>
                <w:szCs w:val="18"/>
                <w:lang w:val="es-MX" w:eastAsia="ar-SA"/>
              </w:rPr>
              <w:t>(último dato reportado)</w:t>
            </w:r>
          </w:p>
          <w:p w14:paraId="032AF89F" w14:textId="77777777" w:rsidR="00516CE5" w:rsidRPr="00DC42C3" w:rsidRDefault="00516CE5" w:rsidP="007A55E8">
            <w:pPr>
              <w:spacing w:after="0"/>
              <w:jc w:val="center"/>
              <w:rPr>
                <w:rFonts w:ascii="Arial" w:eastAsia="Times New Roman" w:hAnsi="Arial" w:cs="Arial"/>
                <w:kern w:val="1"/>
                <w:sz w:val="18"/>
                <w:szCs w:val="18"/>
                <w:lang w:val="es-MX" w:eastAsia="ar-SA"/>
              </w:rPr>
            </w:pPr>
          </w:p>
        </w:tc>
        <w:tc>
          <w:tcPr>
            <w:tcW w:w="2341" w:type="dxa"/>
            <w:hideMark/>
          </w:tcPr>
          <w:p w14:paraId="2290A6E2" w14:textId="77777777" w:rsidR="00516CE5" w:rsidRPr="00DC42C3" w:rsidRDefault="00516CE5" w:rsidP="007A55E8">
            <w:pPr>
              <w:spacing w:after="0"/>
              <w:jc w:val="center"/>
              <w:rPr>
                <w:rFonts w:ascii="Arial" w:eastAsia="Times New Roman" w:hAnsi="Arial" w:cs="Arial"/>
                <w:kern w:val="1"/>
                <w:sz w:val="18"/>
                <w:szCs w:val="18"/>
                <w:lang w:val="es-MX" w:eastAsia="ar-SA"/>
              </w:rPr>
            </w:pPr>
            <w:r w:rsidRPr="00DC42C3">
              <w:rPr>
                <w:rFonts w:ascii="Arial" w:eastAsia="Times New Roman" w:hAnsi="Arial" w:cs="Arial"/>
                <w:kern w:val="1"/>
                <w:sz w:val="18"/>
                <w:szCs w:val="18"/>
                <w:lang w:val="es-MX" w:eastAsia="ar-SA"/>
              </w:rPr>
              <w:t>Portaciones donadas dentro los últimos 30 días de operación más el plazo de recuperación</w:t>
            </w:r>
            <w:r w:rsidRPr="00DC42C3">
              <w:rPr>
                <w:rStyle w:val="Refdenotaalpie"/>
                <w:rFonts w:ascii="Arial" w:eastAsia="Times New Roman" w:hAnsi="Arial" w:cs="Arial"/>
                <w:kern w:val="1"/>
                <w:sz w:val="18"/>
                <w:szCs w:val="18"/>
                <w:lang w:val="es-MX" w:eastAsia="ar-SA"/>
              </w:rPr>
              <w:footnoteReference w:id="3"/>
            </w:r>
          </w:p>
        </w:tc>
      </w:tr>
      <w:tr w:rsidR="00516CE5" w:rsidRPr="00A361B9" w14:paraId="15072559" w14:textId="77777777">
        <w:trPr>
          <w:cnfStyle w:val="000000100000" w:firstRow="0" w:lastRow="0" w:firstColumn="0" w:lastColumn="0" w:oddVBand="0" w:evenVBand="0" w:oddHBand="1" w:evenHBand="0" w:firstRowFirstColumn="0" w:firstRowLastColumn="0" w:lastRowFirstColumn="0" w:lastRowLastColumn="0"/>
          <w:trHeight w:val="308"/>
          <w:jc w:val="center"/>
        </w:trPr>
        <w:tc>
          <w:tcPr>
            <w:tcW w:w="1697" w:type="dxa"/>
            <w:hideMark/>
          </w:tcPr>
          <w:p w14:paraId="2E82E49F"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Cierto</w:t>
            </w:r>
          </w:p>
          <w:p w14:paraId="6E896CC5"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w:t>
            </w:r>
            <w:proofErr w:type="spellStart"/>
            <w:r w:rsidRPr="00DC42C3">
              <w:rPr>
                <w:rFonts w:ascii="Arial" w:eastAsia="Times New Roman" w:hAnsi="Arial" w:cs="Arial"/>
                <w:bCs/>
                <w:kern w:val="1"/>
                <w:sz w:val="18"/>
                <w:szCs w:val="18"/>
                <w:lang w:val="es-MX" w:eastAsia="ar-SA"/>
              </w:rPr>
              <w:t>Teligentia</w:t>
            </w:r>
            <w:proofErr w:type="spellEnd"/>
            <w:r w:rsidRPr="00DC42C3">
              <w:rPr>
                <w:rFonts w:ascii="Arial" w:eastAsia="Times New Roman" w:hAnsi="Arial" w:cs="Arial"/>
                <w:bCs/>
                <w:kern w:val="1"/>
                <w:sz w:val="18"/>
                <w:szCs w:val="18"/>
                <w:lang w:val="es-MX" w:eastAsia="ar-SA"/>
              </w:rPr>
              <w:t>, S.A. de C.V.)</w:t>
            </w:r>
          </w:p>
        </w:tc>
        <w:tc>
          <w:tcPr>
            <w:tcW w:w="2301" w:type="dxa"/>
            <w:hideMark/>
          </w:tcPr>
          <w:p w14:paraId="291EA692"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21 de octubre de 2020</w:t>
            </w:r>
          </w:p>
        </w:tc>
        <w:tc>
          <w:tcPr>
            <w:tcW w:w="1393" w:type="dxa"/>
          </w:tcPr>
          <w:p w14:paraId="17E90330"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Renuncia</w:t>
            </w:r>
          </w:p>
        </w:tc>
        <w:tc>
          <w:tcPr>
            <w:tcW w:w="1662" w:type="dxa"/>
            <w:hideMark/>
          </w:tcPr>
          <w:p w14:paraId="612BFB3D"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6233</w:t>
            </w:r>
          </w:p>
          <w:p w14:paraId="6F5232D7" w14:textId="77777777" w:rsidR="00516CE5" w:rsidRPr="00DC42C3" w:rsidRDefault="00516CE5" w:rsidP="007A55E8">
            <w:pPr>
              <w:spacing w:after="0"/>
              <w:jc w:val="center"/>
              <w:rPr>
                <w:rFonts w:ascii="Arial" w:eastAsia="Times New Roman" w:hAnsi="Arial" w:cs="Arial"/>
                <w:sz w:val="18"/>
                <w:szCs w:val="18"/>
                <w:lang w:val="es-MX" w:eastAsia="ar-SA"/>
              </w:rPr>
            </w:pPr>
          </w:p>
        </w:tc>
        <w:tc>
          <w:tcPr>
            <w:tcW w:w="2341" w:type="dxa"/>
            <w:hideMark/>
          </w:tcPr>
          <w:p w14:paraId="3F756096"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2</w:t>
            </w:r>
          </w:p>
        </w:tc>
      </w:tr>
      <w:tr w:rsidR="00516CE5" w:rsidRPr="00A361B9" w14:paraId="57FF15A7" w14:textId="77777777">
        <w:trPr>
          <w:trHeight w:val="308"/>
          <w:jc w:val="center"/>
        </w:trPr>
        <w:tc>
          <w:tcPr>
            <w:tcW w:w="1697" w:type="dxa"/>
            <w:hideMark/>
          </w:tcPr>
          <w:p w14:paraId="4E308C6A" w14:textId="77777777" w:rsidR="00516CE5" w:rsidRPr="00DC42C3" w:rsidRDefault="00516CE5" w:rsidP="007A55E8">
            <w:pPr>
              <w:spacing w:after="0"/>
              <w:jc w:val="center"/>
              <w:rPr>
                <w:rFonts w:ascii="Arial" w:eastAsia="Times New Roman" w:hAnsi="Arial" w:cs="Arial"/>
                <w:bCs/>
                <w:kern w:val="1"/>
                <w:sz w:val="18"/>
                <w:szCs w:val="18"/>
                <w:lang w:val="es-MX" w:eastAsia="ar-SA"/>
              </w:rPr>
            </w:pPr>
            <w:proofErr w:type="spellStart"/>
            <w:r w:rsidRPr="00DC42C3">
              <w:rPr>
                <w:rFonts w:ascii="Arial" w:eastAsia="Times New Roman" w:hAnsi="Arial" w:cs="Arial"/>
                <w:bCs/>
                <w:kern w:val="1"/>
                <w:sz w:val="18"/>
                <w:szCs w:val="18"/>
                <w:lang w:val="es-MX" w:eastAsia="ar-SA"/>
              </w:rPr>
              <w:t>Compartfon</w:t>
            </w:r>
            <w:proofErr w:type="spellEnd"/>
            <w:r w:rsidRPr="00DC42C3">
              <w:rPr>
                <w:rFonts w:ascii="Arial" w:eastAsia="Times New Roman" w:hAnsi="Arial" w:cs="Arial"/>
                <w:bCs/>
                <w:kern w:val="1"/>
                <w:sz w:val="18"/>
                <w:szCs w:val="18"/>
                <w:lang w:val="es-MX" w:eastAsia="ar-SA"/>
              </w:rPr>
              <w:t xml:space="preserve"> (</w:t>
            </w:r>
            <w:proofErr w:type="spellStart"/>
            <w:r w:rsidRPr="00DC42C3">
              <w:rPr>
                <w:rFonts w:ascii="Arial" w:eastAsia="Times New Roman" w:hAnsi="Arial" w:cs="Arial"/>
                <w:bCs/>
                <w:kern w:val="1"/>
                <w:sz w:val="18"/>
                <w:szCs w:val="18"/>
                <w:lang w:val="es-MX" w:eastAsia="ar-SA"/>
              </w:rPr>
              <w:t>Ome</w:t>
            </w:r>
            <w:proofErr w:type="spellEnd"/>
            <w:r w:rsidRPr="00DC42C3">
              <w:rPr>
                <w:rFonts w:ascii="Arial" w:eastAsia="Times New Roman" w:hAnsi="Arial" w:cs="Arial"/>
                <w:bCs/>
                <w:kern w:val="1"/>
                <w:sz w:val="18"/>
                <w:szCs w:val="18"/>
                <w:lang w:val="es-MX" w:eastAsia="ar-SA"/>
              </w:rPr>
              <w:t xml:space="preserve"> Tel, S.A. de C.V.)</w:t>
            </w:r>
          </w:p>
        </w:tc>
        <w:tc>
          <w:tcPr>
            <w:tcW w:w="2301" w:type="dxa"/>
            <w:hideMark/>
          </w:tcPr>
          <w:p w14:paraId="3787AA7B"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7 de junio de 2022</w:t>
            </w:r>
          </w:p>
        </w:tc>
        <w:tc>
          <w:tcPr>
            <w:tcW w:w="1393" w:type="dxa"/>
          </w:tcPr>
          <w:p w14:paraId="6AA400B4"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Vigente</w:t>
            </w:r>
          </w:p>
        </w:tc>
        <w:tc>
          <w:tcPr>
            <w:tcW w:w="1662" w:type="dxa"/>
            <w:hideMark/>
          </w:tcPr>
          <w:p w14:paraId="30BBF94B"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9254</w:t>
            </w:r>
          </w:p>
        </w:tc>
        <w:tc>
          <w:tcPr>
            <w:tcW w:w="2341" w:type="dxa"/>
            <w:hideMark/>
          </w:tcPr>
          <w:p w14:paraId="36578E69"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0</w:t>
            </w:r>
          </w:p>
        </w:tc>
      </w:tr>
      <w:tr w:rsidR="00516CE5" w:rsidRPr="00A361B9" w14:paraId="7E8BB607" w14:textId="77777777">
        <w:trPr>
          <w:cnfStyle w:val="000000100000" w:firstRow="0" w:lastRow="0" w:firstColumn="0" w:lastColumn="0" w:oddVBand="0" w:evenVBand="0" w:oddHBand="1" w:evenHBand="0" w:firstRowFirstColumn="0" w:firstRowLastColumn="0" w:lastRowFirstColumn="0" w:lastRowLastColumn="0"/>
          <w:trHeight w:val="308"/>
          <w:jc w:val="center"/>
        </w:trPr>
        <w:tc>
          <w:tcPr>
            <w:tcW w:w="1697" w:type="dxa"/>
          </w:tcPr>
          <w:p w14:paraId="6FEE9AC1" w14:textId="77777777" w:rsidR="00516CE5" w:rsidRPr="00DC42C3" w:rsidRDefault="00516CE5" w:rsidP="007A55E8">
            <w:pPr>
              <w:spacing w:after="0"/>
              <w:jc w:val="center"/>
              <w:rPr>
                <w:rFonts w:ascii="Arial" w:eastAsia="Times New Roman" w:hAnsi="Arial" w:cs="Arial"/>
                <w:bCs/>
                <w:kern w:val="1"/>
                <w:sz w:val="18"/>
                <w:szCs w:val="18"/>
                <w:lang w:val="es-MX" w:eastAsia="ar-SA"/>
              </w:rPr>
            </w:pPr>
            <w:proofErr w:type="spellStart"/>
            <w:r w:rsidRPr="00DC42C3">
              <w:rPr>
                <w:rFonts w:ascii="Arial" w:eastAsia="Times New Roman" w:hAnsi="Arial" w:cs="Arial"/>
                <w:bCs/>
                <w:kern w:val="1"/>
                <w:sz w:val="18"/>
                <w:szCs w:val="18"/>
                <w:lang w:val="es-MX" w:eastAsia="ar-SA"/>
              </w:rPr>
              <w:t>Maz</w:t>
            </w:r>
            <w:proofErr w:type="spellEnd"/>
            <w:r w:rsidRPr="00DC42C3">
              <w:rPr>
                <w:rFonts w:ascii="Arial" w:eastAsia="Times New Roman" w:hAnsi="Arial" w:cs="Arial"/>
                <w:bCs/>
                <w:kern w:val="1"/>
                <w:sz w:val="18"/>
                <w:szCs w:val="18"/>
                <w:lang w:val="es-MX" w:eastAsia="ar-SA"/>
              </w:rPr>
              <w:t xml:space="preserve"> Tiempo (</w:t>
            </w:r>
            <w:proofErr w:type="spellStart"/>
            <w:r w:rsidRPr="00DC42C3">
              <w:rPr>
                <w:rFonts w:ascii="Arial" w:eastAsia="Times New Roman" w:hAnsi="Arial" w:cs="Arial"/>
                <w:bCs/>
                <w:kern w:val="1"/>
                <w:sz w:val="18"/>
                <w:szCs w:val="18"/>
                <w:lang w:val="es-MX" w:eastAsia="ar-SA"/>
              </w:rPr>
              <w:t>Maz</w:t>
            </w:r>
            <w:proofErr w:type="spellEnd"/>
            <w:r w:rsidRPr="00DC42C3">
              <w:rPr>
                <w:rFonts w:ascii="Arial" w:eastAsia="Times New Roman" w:hAnsi="Arial" w:cs="Arial"/>
                <w:bCs/>
                <w:kern w:val="1"/>
                <w:sz w:val="18"/>
                <w:szCs w:val="18"/>
                <w:lang w:val="es-MX" w:eastAsia="ar-SA"/>
              </w:rPr>
              <w:t xml:space="preserve"> Tiempo, S.A.P.I. de C.V.)</w:t>
            </w:r>
          </w:p>
        </w:tc>
        <w:tc>
          <w:tcPr>
            <w:tcW w:w="2301" w:type="dxa"/>
          </w:tcPr>
          <w:p w14:paraId="2FB3DE51"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4 de mayo de 2020</w:t>
            </w:r>
          </w:p>
        </w:tc>
        <w:tc>
          <w:tcPr>
            <w:tcW w:w="1393" w:type="dxa"/>
          </w:tcPr>
          <w:p w14:paraId="22649B2D"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Vigente</w:t>
            </w:r>
          </w:p>
        </w:tc>
        <w:tc>
          <w:tcPr>
            <w:tcW w:w="1662" w:type="dxa"/>
          </w:tcPr>
          <w:p w14:paraId="08A1C759"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2123</w:t>
            </w:r>
          </w:p>
        </w:tc>
        <w:tc>
          <w:tcPr>
            <w:tcW w:w="2341" w:type="dxa"/>
          </w:tcPr>
          <w:p w14:paraId="41694513"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n/d</w:t>
            </w:r>
          </w:p>
        </w:tc>
      </w:tr>
      <w:tr w:rsidR="00516CE5" w:rsidRPr="00A361B9" w14:paraId="3B0500E7" w14:textId="77777777">
        <w:trPr>
          <w:trHeight w:val="308"/>
          <w:jc w:val="center"/>
        </w:trPr>
        <w:tc>
          <w:tcPr>
            <w:tcW w:w="1697" w:type="dxa"/>
            <w:hideMark/>
          </w:tcPr>
          <w:p w14:paraId="50D3195C" w14:textId="77777777" w:rsidR="00516CE5" w:rsidRPr="00DC42C3" w:rsidRDefault="00516CE5" w:rsidP="007A55E8">
            <w:pPr>
              <w:spacing w:after="0"/>
              <w:jc w:val="center"/>
              <w:rPr>
                <w:rFonts w:ascii="Arial" w:eastAsia="Times New Roman" w:hAnsi="Arial" w:cs="Arial"/>
                <w:bCs/>
                <w:kern w:val="1"/>
                <w:sz w:val="18"/>
                <w:szCs w:val="18"/>
                <w:lang w:val="es-MX" w:eastAsia="ar-SA"/>
              </w:rPr>
            </w:pPr>
            <w:proofErr w:type="spellStart"/>
            <w:r w:rsidRPr="00DC42C3">
              <w:rPr>
                <w:rFonts w:ascii="Arial" w:eastAsia="Times New Roman" w:hAnsi="Arial" w:cs="Arial"/>
                <w:bCs/>
                <w:kern w:val="1"/>
                <w:sz w:val="18"/>
                <w:szCs w:val="18"/>
                <w:lang w:val="es-MX" w:eastAsia="ar-SA"/>
              </w:rPr>
              <w:t>Simpati</w:t>
            </w:r>
            <w:proofErr w:type="spellEnd"/>
            <w:r w:rsidRPr="00DC42C3">
              <w:rPr>
                <w:rFonts w:ascii="Arial" w:eastAsia="Times New Roman" w:hAnsi="Arial" w:cs="Arial"/>
                <w:bCs/>
                <w:kern w:val="1"/>
                <w:sz w:val="18"/>
                <w:szCs w:val="18"/>
                <w:lang w:val="es-MX" w:eastAsia="ar-SA"/>
              </w:rPr>
              <w:t xml:space="preserve"> (Celmex Innova S.A.P.I. de C.V.)</w:t>
            </w:r>
          </w:p>
        </w:tc>
        <w:tc>
          <w:tcPr>
            <w:tcW w:w="2301" w:type="dxa"/>
            <w:hideMark/>
          </w:tcPr>
          <w:p w14:paraId="4D80D123"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30 de noviembre de 2022</w:t>
            </w:r>
          </w:p>
        </w:tc>
        <w:tc>
          <w:tcPr>
            <w:tcW w:w="1393" w:type="dxa"/>
          </w:tcPr>
          <w:p w14:paraId="61E40913"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Renuncia</w:t>
            </w:r>
          </w:p>
        </w:tc>
        <w:tc>
          <w:tcPr>
            <w:tcW w:w="1662" w:type="dxa"/>
            <w:hideMark/>
          </w:tcPr>
          <w:p w14:paraId="043D042F"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33659</w:t>
            </w:r>
          </w:p>
        </w:tc>
        <w:tc>
          <w:tcPr>
            <w:tcW w:w="2341" w:type="dxa"/>
            <w:hideMark/>
          </w:tcPr>
          <w:p w14:paraId="33D6303A"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1068</w:t>
            </w:r>
          </w:p>
        </w:tc>
      </w:tr>
      <w:tr w:rsidR="00516CE5" w:rsidRPr="00A361B9" w14:paraId="78B5E55A" w14:textId="77777777">
        <w:trPr>
          <w:cnfStyle w:val="000000100000" w:firstRow="0" w:lastRow="0" w:firstColumn="0" w:lastColumn="0" w:oddVBand="0" w:evenVBand="0" w:oddHBand="1" w:evenHBand="0" w:firstRowFirstColumn="0" w:firstRowLastColumn="0" w:lastRowFirstColumn="0" w:lastRowLastColumn="0"/>
          <w:trHeight w:val="308"/>
          <w:jc w:val="center"/>
        </w:trPr>
        <w:tc>
          <w:tcPr>
            <w:tcW w:w="1697" w:type="dxa"/>
            <w:hideMark/>
          </w:tcPr>
          <w:p w14:paraId="4A0083F8"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fr-FR" w:eastAsia="ar-SA"/>
              </w:rPr>
              <w:t>Simplii (Mobilebandits, S.A. de C.V.)</w:t>
            </w:r>
          </w:p>
        </w:tc>
        <w:tc>
          <w:tcPr>
            <w:tcW w:w="2301" w:type="dxa"/>
            <w:hideMark/>
          </w:tcPr>
          <w:p w14:paraId="10D3AA12"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13 de febrero del 2021</w:t>
            </w:r>
          </w:p>
        </w:tc>
        <w:tc>
          <w:tcPr>
            <w:tcW w:w="1393" w:type="dxa"/>
          </w:tcPr>
          <w:p w14:paraId="23303A60"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Renuncia</w:t>
            </w:r>
          </w:p>
        </w:tc>
        <w:tc>
          <w:tcPr>
            <w:tcW w:w="1662" w:type="dxa"/>
            <w:hideMark/>
          </w:tcPr>
          <w:p w14:paraId="0C3C3372"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2391</w:t>
            </w:r>
          </w:p>
        </w:tc>
        <w:tc>
          <w:tcPr>
            <w:tcW w:w="2341" w:type="dxa"/>
            <w:hideMark/>
          </w:tcPr>
          <w:p w14:paraId="7C8E4339"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2066</w:t>
            </w:r>
          </w:p>
        </w:tc>
      </w:tr>
      <w:tr w:rsidR="00516CE5" w:rsidRPr="00A361B9" w14:paraId="373E5995" w14:textId="77777777">
        <w:trPr>
          <w:trHeight w:val="385"/>
          <w:jc w:val="center"/>
        </w:trPr>
        <w:tc>
          <w:tcPr>
            <w:tcW w:w="1697" w:type="dxa"/>
            <w:hideMark/>
          </w:tcPr>
          <w:p w14:paraId="752CB370" w14:textId="77777777" w:rsidR="00516CE5" w:rsidRPr="00DC42C3" w:rsidRDefault="00516CE5" w:rsidP="007A55E8">
            <w:pPr>
              <w:spacing w:after="0"/>
              <w:jc w:val="center"/>
              <w:rPr>
                <w:rFonts w:ascii="Arial" w:eastAsia="Times New Roman" w:hAnsi="Arial" w:cs="Arial"/>
                <w:bCs/>
                <w:kern w:val="1"/>
                <w:sz w:val="18"/>
                <w:szCs w:val="18"/>
                <w:lang w:val="es-MX" w:eastAsia="ar-SA"/>
              </w:rPr>
            </w:pPr>
            <w:proofErr w:type="spellStart"/>
            <w:r w:rsidRPr="00DC42C3">
              <w:rPr>
                <w:rFonts w:ascii="Arial" w:eastAsia="Times New Roman" w:hAnsi="Arial" w:cs="Arial"/>
                <w:bCs/>
                <w:kern w:val="1"/>
                <w:sz w:val="18"/>
                <w:szCs w:val="18"/>
                <w:lang w:val="es-MX" w:eastAsia="ar-SA"/>
              </w:rPr>
              <w:t>Six</w:t>
            </w:r>
            <w:proofErr w:type="spellEnd"/>
            <w:r w:rsidRPr="00DC42C3">
              <w:rPr>
                <w:rFonts w:ascii="Arial" w:eastAsia="Times New Roman" w:hAnsi="Arial" w:cs="Arial"/>
                <w:bCs/>
                <w:kern w:val="1"/>
                <w:sz w:val="18"/>
                <w:szCs w:val="18"/>
                <w:lang w:val="es-MX" w:eastAsia="ar-SA"/>
              </w:rPr>
              <w:t xml:space="preserve"> Móvil (Hip Cricket de México, S.A. de C.V.)</w:t>
            </w:r>
          </w:p>
        </w:tc>
        <w:tc>
          <w:tcPr>
            <w:tcW w:w="2301" w:type="dxa"/>
            <w:hideMark/>
          </w:tcPr>
          <w:p w14:paraId="4EECD8BB"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15 de agosto de 2018</w:t>
            </w:r>
          </w:p>
        </w:tc>
        <w:tc>
          <w:tcPr>
            <w:tcW w:w="1393" w:type="dxa"/>
          </w:tcPr>
          <w:p w14:paraId="6F436050"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Vigente</w:t>
            </w:r>
          </w:p>
        </w:tc>
        <w:tc>
          <w:tcPr>
            <w:tcW w:w="1662" w:type="dxa"/>
            <w:hideMark/>
          </w:tcPr>
          <w:p w14:paraId="06D2C9DD"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682</w:t>
            </w:r>
          </w:p>
        </w:tc>
        <w:tc>
          <w:tcPr>
            <w:tcW w:w="2341" w:type="dxa"/>
            <w:hideMark/>
          </w:tcPr>
          <w:p w14:paraId="5F96CCDE" w14:textId="77777777" w:rsidR="00516CE5" w:rsidRPr="00DC42C3" w:rsidRDefault="00516CE5" w:rsidP="007A55E8">
            <w:pPr>
              <w:spacing w:after="0"/>
              <w:jc w:val="center"/>
              <w:rPr>
                <w:rFonts w:ascii="Arial" w:eastAsia="Times New Roman" w:hAnsi="Arial" w:cs="Arial"/>
                <w:bCs/>
                <w:kern w:val="1"/>
                <w:sz w:val="18"/>
                <w:szCs w:val="18"/>
                <w:lang w:val="es-MX" w:eastAsia="ar-SA"/>
              </w:rPr>
            </w:pPr>
            <w:r w:rsidRPr="00DC42C3">
              <w:rPr>
                <w:rFonts w:ascii="Arial" w:eastAsia="Times New Roman" w:hAnsi="Arial" w:cs="Arial"/>
                <w:bCs/>
                <w:kern w:val="1"/>
                <w:sz w:val="18"/>
                <w:szCs w:val="18"/>
                <w:lang w:val="es-MX" w:eastAsia="ar-SA"/>
              </w:rPr>
              <w:t>2</w:t>
            </w:r>
          </w:p>
        </w:tc>
      </w:tr>
    </w:tbl>
    <w:p w14:paraId="6DFF8969" w14:textId="77777777" w:rsidR="00516CE5" w:rsidRPr="00DC42C3" w:rsidRDefault="00516CE5" w:rsidP="007A55E8">
      <w:pPr>
        <w:spacing w:after="0"/>
        <w:jc w:val="center"/>
        <w:rPr>
          <w:rFonts w:ascii="Arial" w:eastAsia="Times New Roman" w:hAnsi="Arial" w:cs="Arial"/>
          <w:bCs/>
          <w:kern w:val="1"/>
          <w:sz w:val="18"/>
          <w:szCs w:val="18"/>
          <w:lang w:eastAsia="ar-SA"/>
        </w:rPr>
      </w:pPr>
      <w:r w:rsidRPr="00DC42C3">
        <w:rPr>
          <w:rFonts w:ascii="Arial" w:eastAsia="Times New Roman" w:hAnsi="Arial" w:cs="Arial"/>
          <w:bCs/>
          <w:kern w:val="1"/>
          <w:sz w:val="18"/>
          <w:szCs w:val="18"/>
          <w:lang w:eastAsia="ar-SA"/>
        </w:rPr>
        <w:t>Fuente: Elaboración propia con información del Administrador de la Base de Datos de portabilidad numérica.</w:t>
      </w:r>
    </w:p>
    <w:p w14:paraId="7F476AA4" w14:textId="77777777" w:rsidR="00516CE5" w:rsidRPr="00A361B9" w:rsidRDefault="00516CE5" w:rsidP="007A55E8">
      <w:pPr>
        <w:spacing w:after="0"/>
        <w:jc w:val="both"/>
        <w:rPr>
          <w:rFonts w:ascii="Arial" w:eastAsia="Times New Roman" w:hAnsi="Arial" w:cs="Arial"/>
          <w:bCs/>
          <w:kern w:val="1"/>
          <w:sz w:val="18"/>
          <w:szCs w:val="18"/>
          <w:lang w:val="es-MX" w:eastAsia="ar-SA"/>
        </w:rPr>
      </w:pPr>
    </w:p>
    <w:p w14:paraId="6534CF56" w14:textId="08A15601" w:rsidR="003E23B8" w:rsidRPr="00A361B9" w:rsidRDefault="003E23B8" w:rsidP="007A55E8">
      <w:pPr>
        <w:spacing w:after="0"/>
        <w:jc w:val="both"/>
        <w:rPr>
          <w:rFonts w:ascii="Arial" w:eastAsia="Times New Roman" w:hAnsi="Arial" w:cs="Arial"/>
          <w:bCs/>
          <w:kern w:val="1"/>
          <w:sz w:val="18"/>
          <w:szCs w:val="18"/>
          <w:lang w:eastAsia="ar-SA"/>
        </w:rPr>
      </w:pPr>
      <w:r w:rsidRPr="00A361B9">
        <w:rPr>
          <w:rFonts w:ascii="Arial" w:eastAsia="Times New Roman" w:hAnsi="Arial" w:cs="Arial"/>
          <w:bCs/>
          <w:kern w:val="1"/>
          <w:sz w:val="18"/>
          <w:szCs w:val="18"/>
          <w:lang w:eastAsia="ar-SA"/>
        </w:rPr>
        <w:t xml:space="preserve">Asimismo, </w:t>
      </w:r>
      <w:r w:rsidR="00742B7A" w:rsidRPr="00A361B9">
        <w:rPr>
          <w:rFonts w:ascii="Arial" w:eastAsia="Times New Roman" w:hAnsi="Arial" w:cs="Arial"/>
          <w:bCs/>
          <w:kern w:val="1"/>
          <w:sz w:val="18"/>
          <w:szCs w:val="18"/>
          <w:lang w:eastAsia="ar-SA"/>
        </w:rPr>
        <w:t xml:space="preserve">es </w:t>
      </w:r>
      <w:r w:rsidR="00A3475B" w:rsidRPr="00A361B9">
        <w:rPr>
          <w:rFonts w:ascii="Arial" w:eastAsia="Times New Roman" w:hAnsi="Arial" w:cs="Arial"/>
          <w:bCs/>
          <w:kern w:val="1"/>
          <w:sz w:val="18"/>
          <w:szCs w:val="18"/>
          <w:lang w:eastAsia="ar-SA"/>
        </w:rPr>
        <w:t xml:space="preserve">del conocimiento de este Instituto, </w:t>
      </w:r>
      <w:r w:rsidR="0075735A" w:rsidRPr="00A361B9">
        <w:rPr>
          <w:rFonts w:ascii="Arial" w:eastAsia="Times New Roman" w:hAnsi="Arial" w:cs="Arial"/>
          <w:bCs/>
          <w:kern w:val="1"/>
          <w:sz w:val="18"/>
          <w:szCs w:val="18"/>
          <w:lang w:eastAsia="ar-SA"/>
        </w:rPr>
        <w:t>la rescisión de</w:t>
      </w:r>
      <w:r w:rsidR="00DB1739" w:rsidRPr="00A361B9">
        <w:rPr>
          <w:rFonts w:ascii="Arial" w:eastAsia="Times New Roman" w:hAnsi="Arial" w:cs="Arial"/>
          <w:bCs/>
          <w:kern w:val="1"/>
          <w:sz w:val="18"/>
          <w:szCs w:val="18"/>
          <w:lang w:eastAsia="ar-SA"/>
        </w:rPr>
        <w:t xml:space="preserve"> diversos</w:t>
      </w:r>
      <w:r w:rsidR="0075735A" w:rsidRPr="00A361B9">
        <w:rPr>
          <w:rFonts w:ascii="Arial" w:eastAsia="Times New Roman" w:hAnsi="Arial" w:cs="Arial"/>
          <w:bCs/>
          <w:kern w:val="1"/>
          <w:sz w:val="18"/>
          <w:szCs w:val="18"/>
          <w:lang w:eastAsia="ar-SA"/>
        </w:rPr>
        <w:t xml:space="preserve"> contratos suscritos </w:t>
      </w:r>
      <w:r w:rsidR="00FF636D" w:rsidRPr="00A361B9">
        <w:rPr>
          <w:rFonts w:ascii="Arial" w:eastAsia="Times New Roman" w:hAnsi="Arial" w:cs="Arial"/>
          <w:bCs/>
          <w:kern w:val="1"/>
          <w:sz w:val="18"/>
          <w:szCs w:val="18"/>
          <w:lang w:eastAsia="ar-SA"/>
        </w:rPr>
        <w:t xml:space="preserve">entre Concesionarios Mayoristas Móviles </w:t>
      </w:r>
      <w:r w:rsidR="0075735A" w:rsidRPr="00A361B9">
        <w:rPr>
          <w:rFonts w:ascii="Arial" w:eastAsia="Times New Roman" w:hAnsi="Arial" w:cs="Arial"/>
          <w:bCs/>
          <w:kern w:val="1"/>
          <w:sz w:val="18"/>
          <w:szCs w:val="18"/>
          <w:lang w:eastAsia="ar-SA"/>
        </w:rPr>
        <w:t>con diferentes OMV</w:t>
      </w:r>
      <w:r w:rsidR="001364C8" w:rsidRPr="00A361B9">
        <w:rPr>
          <w:rStyle w:val="Refdenotaalpie"/>
          <w:rFonts w:ascii="Arial" w:eastAsia="Times New Roman" w:hAnsi="Arial" w:cs="Arial"/>
          <w:bCs/>
          <w:kern w:val="1"/>
          <w:sz w:val="18"/>
          <w:szCs w:val="18"/>
          <w:lang w:eastAsia="ar-SA"/>
        </w:rPr>
        <w:footnoteReference w:id="4"/>
      </w:r>
      <w:r w:rsidR="00FF636D" w:rsidRPr="00A361B9">
        <w:rPr>
          <w:rFonts w:ascii="Arial" w:eastAsia="Times New Roman" w:hAnsi="Arial" w:cs="Arial"/>
          <w:bCs/>
          <w:kern w:val="1"/>
          <w:sz w:val="18"/>
          <w:szCs w:val="18"/>
          <w:vertAlign w:val="superscript"/>
          <w:lang w:eastAsia="ar-SA"/>
        </w:rPr>
        <w:t>,</w:t>
      </w:r>
      <w:r w:rsidR="00115571" w:rsidRPr="00A361B9">
        <w:rPr>
          <w:rStyle w:val="Refdenotaalpie"/>
          <w:rFonts w:ascii="Arial" w:eastAsia="Times New Roman" w:hAnsi="Arial" w:cs="Arial"/>
          <w:bCs/>
          <w:kern w:val="1"/>
          <w:sz w:val="18"/>
          <w:szCs w:val="18"/>
          <w:lang w:eastAsia="ar-SA"/>
        </w:rPr>
        <w:footnoteReference w:id="5"/>
      </w:r>
      <w:r w:rsidR="00FF636D" w:rsidRPr="00A361B9">
        <w:rPr>
          <w:rFonts w:ascii="Arial" w:eastAsia="Times New Roman" w:hAnsi="Arial" w:cs="Arial"/>
          <w:bCs/>
          <w:kern w:val="1"/>
          <w:sz w:val="18"/>
          <w:szCs w:val="18"/>
          <w:vertAlign w:val="superscript"/>
          <w:lang w:eastAsia="ar-SA"/>
        </w:rPr>
        <w:t>,</w:t>
      </w:r>
      <w:r w:rsidR="00A171BC" w:rsidRPr="00A361B9">
        <w:rPr>
          <w:rStyle w:val="Refdenotaalpie"/>
          <w:rFonts w:ascii="Arial" w:eastAsia="Times New Roman" w:hAnsi="Arial" w:cs="Arial"/>
          <w:bCs/>
          <w:kern w:val="1"/>
          <w:sz w:val="18"/>
          <w:szCs w:val="18"/>
          <w:lang w:eastAsia="ar-SA"/>
        </w:rPr>
        <w:footnoteReference w:id="6"/>
      </w:r>
      <w:r w:rsidR="00FF636D" w:rsidRPr="00A361B9">
        <w:rPr>
          <w:rFonts w:ascii="Arial" w:eastAsia="Times New Roman" w:hAnsi="Arial" w:cs="Arial"/>
          <w:bCs/>
          <w:kern w:val="1"/>
          <w:sz w:val="18"/>
          <w:szCs w:val="18"/>
          <w:vertAlign w:val="superscript"/>
          <w:lang w:eastAsia="ar-SA"/>
        </w:rPr>
        <w:t>,</w:t>
      </w:r>
      <w:r w:rsidR="00E83BDB" w:rsidRPr="00A361B9">
        <w:rPr>
          <w:rStyle w:val="Refdenotaalpie"/>
          <w:rFonts w:ascii="Arial" w:eastAsia="Times New Roman" w:hAnsi="Arial" w:cs="Arial"/>
          <w:bCs/>
          <w:kern w:val="1"/>
          <w:sz w:val="18"/>
          <w:szCs w:val="18"/>
          <w:lang w:eastAsia="ar-SA"/>
        </w:rPr>
        <w:footnoteReference w:id="7"/>
      </w:r>
      <w:r w:rsidR="00FF636D" w:rsidRPr="00A361B9">
        <w:rPr>
          <w:rFonts w:ascii="Arial" w:eastAsia="Times New Roman" w:hAnsi="Arial" w:cs="Arial"/>
          <w:bCs/>
          <w:kern w:val="1"/>
          <w:sz w:val="18"/>
          <w:szCs w:val="18"/>
          <w:vertAlign w:val="superscript"/>
          <w:lang w:eastAsia="ar-SA"/>
        </w:rPr>
        <w:t>,</w:t>
      </w:r>
      <w:r w:rsidR="00A95C9E" w:rsidRPr="00A361B9">
        <w:rPr>
          <w:rStyle w:val="Refdenotaalpie"/>
          <w:rFonts w:ascii="Arial" w:eastAsia="Times New Roman" w:hAnsi="Arial" w:cs="Arial"/>
          <w:bCs/>
          <w:kern w:val="1"/>
          <w:sz w:val="18"/>
          <w:szCs w:val="18"/>
          <w:lang w:eastAsia="ar-SA"/>
        </w:rPr>
        <w:footnoteReference w:id="8"/>
      </w:r>
      <w:r w:rsidR="00FF636D" w:rsidRPr="00A361B9">
        <w:rPr>
          <w:rFonts w:ascii="Arial" w:eastAsia="Times New Roman" w:hAnsi="Arial" w:cs="Arial"/>
          <w:bCs/>
          <w:kern w:val="1"/>
          <w:sz w:val="18"/>
          <w:szCs w:val="18"/>
          <w:vertAlign w:val="superscript"/>
          <w:lang w:eastAsia="ar-SA"/>
        </w:rPr>
        <w:t>,</w:t>
      </w:r>
      <w:r w:rsidR="00A95C9E" w:rsidRPr="00A361B9">
        <w:rPr>
          <w:rStyle w:val="Refdenotaalpie"/>
          <w:rFonts w:ascii="Arial" w:eastAsia="Times New Roman" w:hAnsi="Arial" w:cs="Arial"/>
          <w:bCs/>
          <w:kern w:val="1"/>
          <w:sz w:val="18"/>
          <w:szCs w:val="18"/>
          <w:lang w:eastAsia="ar-SA"/>
        </w:rPr>
        <w:footnoteReference w:id="9"/>
      </w:r>
      <w:r w:rsidR="001A52A4" w:rsidRPr="00A361B9">
        <w:rPr>
          <w:rFonts w:ascii="Arial" w:eastAsia="Times New Roman" w:hAnsi="Arial" w:cs="Arial"/>
          <w:bCs/>
          <w:kern w:val="1"/>
          <w:sz w:val="18"/>
          <w:szCs w:val="18"/>
          <w:lang w:eastAsia="ar-SA"/>
        </w:rPr>
        <w:t>, derivadas de</w:t>
      </w:r>
      <w:r w:rsidR="00DF1B5C" w:rsidRPr="00A361B9">
        <w:rPr>
          <w:rFonts w:ascii="Arial" w:eastAsia="Times New Roman" w:hAnsi="Arial" w:cs="Arial"/>
          <w:bCs/>
          <w:kern w:val="1"/>
          <w:sz w:val="18"/>
          <w:szCs w:val="18"/>
          <w:lang w:eastAsia="ar-SA"/>
        </w:rPr>
        <w:t xml:space="preserve">l incumplimiento de </w:t>
      </w:r>
      <w:r w:rsidR="00FC1F9F" w:rsidRPr="00A361B9">
        <w:rPr>
          <w:rFonts w:ascii="Arial" w:eastAsia="Times New Roman" w:hAnsi="Arial" w:cs="Arial"/>
          <w:bCs/>
          <w:kern w:val="1"/>
          <w:sz w:val="18"/>
          <w:szCs w:val="18"/>
          <w:lang w:eastAsia="ar-SA"/>
        </w:rPr>
        <w:t xml:space="preserve">diversas </w:t>
      </w:r>
      <w:r w:rsidR="00DF1B5C" w:rsidRPr="00A361B9">
        <w:rPr>
          <w:rFonts w:ascii="Arial" w:eastAsia="Times New Roman" w:hAnsi="Arial" w:cs="Arial"/>
          <w:bCs/>
          <w:kern w:val="1"/>
          <w:sz w:val="18"/>
          <w:szCs w:val="18"/>
          <w:lang w:eastAsia="ar-SA"/>
        </w:rPr>
        <w:t>obligaciones</w:t>
      </w:r>
      <w:r w:rsidR="00CE69F8" w:rsidRPr="00A361B9">
        <w:rPr>
          <w:rFonts w:ascii="Arial" w:eastAsia="Times New Roman" w:hAnsi="Arial" w:cs="Arial"/>
          <w:bCs/>
          <w:kern w:val="1"/>
          <w:sz w:val="18"/>
          <w:szCs w:val="18"/>
          <w:lang w:eastAsia="ar-SA"/>
        </w:rPr>
        <w:t xml:space="preserve"> por parte de los OMV, </w:t>
      </w:r>
      <w:r w:rsidR="00C61804" w:rsidRPr="00A361B9">
        <w:rPr>
          <w:rFonts w:ascii="Arial" w:eastAsia="Times New Roman" w:hAnsi="Arial" w:cs="Arial"/>
          <w:bCs/>
          <w:kern w:val="1"/>
          <w:sz w:val="18"/>
          <w:szCs w:val="18"/>
          <w:lang w:eastAsia="ar-SA"/>
        </w:rPr>
        <w:t xml:space="preserve">en las cuales no se ha contado con </w:t>
      </w:r>
      <w:r w:rsidR="00D84BCC" w:rsidRPr="00A361B9">
        <w:rPr>
          <w:rFonts w:ascii="Arial" w:eastAsia="Times New Roman" w:hAnsi="Arial" w:cs="Arial"/>
          <w:bCs/>
          <w:kern w:val="1"/>
          <w:sz w:val="18"/>
          <w:szCs w:val="18"/>
          <w:lang w:eastAsia="ar-SA"/>
        </w:rPr>
        <w:t xml:space="preserve">un mecanismo que contenga las medidas </w:t>
      </w:r>
      <w:r w:rsidR="00C858D6" w:rsidRPr="00A361B9">
        <w:rPr>
          <w:rFonts w:ascii="Arial" w:eastAsia="Times New Roman" w:hAnsi="Arial" w:cs="Arial"/>
          <w:bCs/>
          <w:kern w:val="1"/>
          <w:sz w:val="18"/>
          <w:szCs w:val="18"/>
          <w:lang w:eastAsia="ar-SA"/>
        </w:rPr>
        <w:t>necesarias para que los usuarios finales puedan continuar con los servicios de telecomunicaciones mediante la contratación con otro autorizado o concesionario</w:t>
      </w:r>
      <w:r w:rsidR="008742F6" w:rsidRPr="00A361B9">
        <w:rPr>
          <w:rFonts w:ascii="Arial" w:eastAsia="Times New Roman" w:hAnsi="Arial" w:cs="Arial"/>
          <w:bCs/>
          <w:kern w:val="1"/>
          <w:sz w:val="18"/>
          <w:szCs w:val="18"/>
          <w:lang w:eastAsia="ar-SA"/>
        </w:rPr>
        <w:t>, con el objetivo de asegurar su continuidad y preservar los derechos de los usuarios finales involucrados.</w:t>
      </w:r>
      <w:r w:rsidR="008F3DD7" w:rsidRPr="00A361B9">
        <w:rPr>
          <w:rFonts w:ascii="Arial" w:eastAsia="Times New Roman" w:hAnsi="Arial" w:cs="Arial"/>
          <w:bCs/>
          <w:kern w:val="1"/>
          <w:sz w:val="18"/>
          <w:szCs w:val="18"/>
          <w:lang w:eastAsia="ar-SA"/>
        </w:rPr>
        <w:t xml:space="preserve"> Este tipo de </w:t>
      </w:r>
      <w:r w:rsidR="00311354" w:rsidRPr="00A361B9">
        <w:rPr>
          <w:rFonts w:ascii="Arial" w:eastAsia="Times New Roman" w:hAnsi="Arial" w:cs="Arial"/>
          <w:bCs/>
          <w:kern w:val="1"/>
          <w:sz w:val="18"/>
          <w:szCs w:val="18"/>
          <w:lang w:eastAsia="ar-SA"/>
        </w:rPr>
        <w:t xml:space="preserve">casos, </w:t>
      </w:r>
      <w:r w:rsidR="001B5598" w:rsidRPr="00A361B9">
        <w:rPr>
          <w:rFonts w:ascii="Arial" w:eastAsia="Times New Roman" w:hAnsi="Arial" w:cs="Arial"/>
          <w:bCs/>
          <w:kern w:val="1"/>
          <w:sz w:val="18"/>
          <w:szCs w:val="18"/>
          <w:lang w:eastAsia="ar-SA"/>
        </w:rPr>
        <w:t xml:space="preserve">en los que el OMV </w:t>
      </w:r>
      <w:r w:rsidR="003722E7" w:rsidRPr="00A361B9">
        <w:rPr>
          <w:rFonts w:ascii="Arial" w:eastAsia="Times New Roman" w:hAnsi="Arial" w:cs="Arial"/>
          <w:bCs/>
          <w:kern w:val="1"/>
          <w:sz w:val="18"/>
          <w:szCs w:val="18"/>
          <w:lang w:eastAsia="ar-SA"/>
        </w:rPr>
        <w:t xml:space="preserve">resulta ser omiso al </w:t>
      </w:r>
      <w:r w:rsidR="003A656C" w:rsidRPr="00A361B9">
        <w:rPr>
          <w:rFonts w:ascii="Arial" w:eastAsia="Times New Roman" w:hAnsi="Arial" w:cs="Arial"/>
          <w:bCs/>
          <w:kern w:val="1"/>
          <w:sz w:val="18"/>
          <w:szCs w:val="18"/>
          <w:lang w:eastAsia="ar-SA"/>
        </w:rPr>
        <w:t xml:space="preserve">ofrecer una comunicación clara con </w:t>
      </w:r>
      <w:r w:rsidR="00164103" w:rsidRPr="00A361B9">
        <w:rPr>
          <w:rFonts w:ascii="Arial" w:eastAsia="Times New Roman" w:hAnsi="Arial" w:cs="Arial"/>
          <w:bCs/>
          <w:kern w:val="1"/>
          <w:sz w:val="18"/>
          <w:szCs w:val="18"/>
          <w:lang w:eastAsia="ar-SA"/>
        </w:rPr>
        <w:t xml:space="preserve">los Concesionarios Mayoristas Móviles, también genera una problemática para estos últimos, </w:t>
      </w:r>
      <w:r w:rsidR="0089477B" w:rsidRPr="00A361B9">
        <w:rPr>
          <w:rFonts w:ascii="Arial" w:eastAsia="Times New Roman" w:hAnsi="Arial" w:cs="Arial"/>
          <w:bCs/>
          <w:kern w:val="1"/>
          <w:sz w:val="18"/>
          <w:szCs w:val="18"/>
          <w:lang w:eastAsia="ar-SA"/>
        </w:rPr>
        <w:t xml:space="preserve">en términos económicos y operativos, que resultan perjudiciales de la misma manera para los usuarios finales, quienes </w:t>
      </w:r>
      <w:r w:rsidR="00F6552A" w:rsidRPr="00A361B9">
        <w:rPr>
          <w:rFonts w:ascii="Arial" w:eastAsia="Times New Roman" w:hAnsi="Arial" w:cs="Arial"/>
          <w:bCs/>
          <w:kern w:val="1"/>
          <w:sz w:val="18"/>
          <w:szCs w:val="18"/>
          <w:lang w:eastAsia="ar-SA"/>
        </w:rPr>
        <w:t xml:space="preserve">también se ven impedidos de obtener una </w:t>
      </w:r>
      <w:r w:rsidR="00F6552A" w:rsidRPr="00A361B9">
        <w:rPr>
          <w:rFonts w:ascii="Arial" w:eastAsia="Times New Roman" w:hAnsi="Arial" w:cs="Arial"/>
          <w:bCs/>
          <w:kern w:val="1"/>
          <w:sz w:val="18"/>
          <w:szCs w:val="18"/>
          <w:lang w:eastAsia="ar-SA"/>
        </w:rPr>
        <w:lastRenderedPageBreak/>
        <w:t xml:space="preserve">atención clara y directa por parte de quien </w:t>
      </w:r>
      <w:r w:rsidR="008F0955" w:rsidRPr="00A361B9">
        <w:rPr>
          <w:rFonts w:ascii="Arial" w:eastAsia="Times New Roman" w:hAnsi="Arial" w:cs="Arial"/>
          <w:bCs/>
          <w:kern w:val="1"/>
          <w:sz w:val="18"/>
          <w:szCs w:val="18"/>
          <w:lang w:eastAsia="ar-SA"/>
        </w:rPr>
        <w:t>f</w:t>
      </w:r>
      <w:r w:rsidR="00E356F4" w:rsidRPr="00A361B9">
        <w:rPr>
          <w:rFonts w:ascii="Arial" w:eastAsia="Times New Roman" w:hAnsi="Arial" w:cs="Arial"/>
          <w:bCs/>
          <w:kern w:val="1"/>
          <w:sz w:val="18"/>
          <w:szCs w:val="18"/>
          <w:lang w:eastAsia="ar-SA"/>
        </w:rPr>
        <w:t>uera su prestador de servicios</w:t>
      </w:r>
      <w:r w:rsidR="009E38AC" w:rsidRPr="00A361B9">
        <w:rPr>
          <w:rFonts w:ascii="Arial" w:eastAsia="Times New Roman" w:hAnsi="Arial" w:cs="Arial"/>
          <w:bCs/>
          <w:kern w:val="1"/>
          <w:sz w:val="18"/>
          <w:szCs w:val="18"/>
          <w:lang w:eastAsia="ar-SA"/>
        </w:rPr>
        <w:t xml:space="preserve">, </w:t>
      </w:r>
      <w:r w:rsidR="005D2043" w:rsidRPr="00A361B9">
        <w:rPr>
          <w:rFonts w:ascii="Arial" w:eastAsia="Times New Roman" w:hAnsi="Arial" w:cs="Arial"/>
          <w:bCs/>
          <w:kern w:val="1"/>
          <w:sz w:val="18"/>
          <w:szCs w:val="18"/>
          <w:lang w:eastAsia="ar-SA"/>
        </w:rPr>
        <w:t xml:space="preserve">para que se puedan tomar las medidas necesarias y evitar una afectación en la </w:t>
      </w:r>
      <w:r w:rsidR="00DA16F0" w:rsidRPr="00A361B9">
        <w:rPr>
          <w:rFonts w:ascii="Arial" w:eastAsia="Times New Roman" w:hAnsi="Arial" w:cs="Arial"/>
          <w:bCs/>
          <w:kern w:val="1"/>
          <w:sz w:val="18"/>
          <w:szCs w:val="18"/>
          <w:lang w:eastAsia="ar-SA"/>
        </w:rPr>
        <w:t>recepción de servicios de telecomunicaciones móviles.</w:t>
      </w:r>
      <w:r w:rsidR="00311354" w:rsidRPr="00A361B9">
        <w:rPr>
          <w:rFonts w:ascii="Arial" w:eastAsia="Times New Roman" w:hAnsi="Arial" w:cs="Arial"/>
          <w:bCs/>
          <w:kern w:val="1"/>
          <w:sz w:val="18"/>
          <w:szCs w:val="18"/>
          <w:lang w:eastAsia="ar-SA"/>
        </w:rPr>
        <w:t xml:space="preserve"> </w:t>
      </w:r>
    </w:p>
    <w:p w14:paraId="24A3545C" w14:textId="77777777" w:rsidR="003E23B8" w:rsidRPr="00A361B9" w:rsidRDefault="003E23B8" w:rsidP="007A55E8">
      <w:pPr>
        <w:spacing w:after="0"/>
        <w:jc w:val="both"/>
        <w:rPr>
          <w:rFonts w:ascii="Arial" w:eastAsia="Times New Roman" w:hAnsi="Arial" w:cs="Arial"/>
          <w:bCs/>
          <w:kern w:val="1"/>
          <w:sz w:val="18"/>
          <w:szCs w:val="18"/>
          <w:lang w:eastAsia="ar-SA"/>
        </w:rPr>
      </w:pPr>
    </w:p>
    <w:p w14:paraId="71D30C30" w14:textId="7661E537" w:rsidR="00516CE5" w:rsidRPr="00A361B9" w:rsidRDefault="00516CE5" w:rsidP="007A55E8">
      <w:pPr>
        <w:spacing w:after="0"/>
        <w:jc w:val="both"/>
        <w:rPr>
          <w:rFonts w:ascii="Arial" w:eastAsia="Times New Roman" w:hAnsi="Arial" w:cs="Arial"/>
          <w:bCs/>
          <w:kern w:val="1"/>
          <w:sz w:val="18"/>
          <w:szCs w:val="18"/>
          <w:lang w:eastAsia="ar-SA"/>
        </w:rPr>
      </w:pPr>
      <w:r w:rsidRPr="00A361B9">
        <w:rPr>
          <w:rFonts w:ascii="Arial" w:eastAsia="Times New Roman" w:hAnsi="Arial" w:cs="Arial"/>
          <w:bCs/>
          <w:kern w:val="1"/>
          <w:sz w:val="18"/>
          <w:szCs w:val="18"/>
          <w:lang w:eastAsia="ar-SA"/>
        </w:rPr>
        <w:t>Por otra parte, en el Registro Público de Concesiones, obran constancias de la inscripción de sanciones impuestas por el Instituto a distintos OMV, por incumplimientos a las obligaciones relacionadas con la terminación anticipada de su autorización</w:t>
      </w:r>
      <w:r w:rsidRPr="00A361B9">
        <w:rPr>
          <w:sz w:val="18"/>
          <w:szCs w:val="18"/>
          <w:vertAlign w:val="superscript"/>
        </w:rPr>
        <w:footnoteReference w:id="10"/>
      </w:r>
      <w:r w:rsidRPr="00A361B9">
        <w:rPr>
          <w:rFonts w:ascii="Arial" w:eastAsia="Times New Roman" w:hAnsi="Arial" w:cs="Arial"/>
          <w:bCs/>
          <w:kern w:val="1"/>
          <w:sz w:val="18"/>
          <w:szCs w:val="18"/>
          <w:lang w:eastAsia="ar-SA"/>
        </w:rPr>
        <w:t>, así como por incumplimientos a las obligaciones referentes a garantizar que los servicios de telecomunicaciones se presten de forma continua y eficiente de conformidad con la legislación aplicable</w:t>
      </w:r>
      <w:r w:rsidRPr="00A361B9">
        <w:rPr>
          <w:rStyle w:val="Refdenotaalpie"/>
          <w:rFonts w:ascii="Arial" w:eastAsia="Times New Roman" w:hAnsi="Arial" w:cs="Arial"/>
          <w:bCs/>
          <w:kern w:val="1"/>
          <w:sz w:val="18"/>
          <w:szCs w:val="18"/>
          <w:lang w:eastAsia="ar-SA"/>
        </w:rPr>
        <w:footnoteReference w:id="11"/>
      </w:r>
      <w:r w:rsidRPr="00A361B9">
        <w:rPr>
          <w:rFonts w:ascii="Arial" w:eastAsia="Times New Roman" w:hAnsi="Arial" w:cs="Arial"/>
          <w:bCs/>
          <w:kern w:val="1"/>
          <w:sz w:val="18"/>
          <w:szCs w:val="18"/>
          <w:lang w:eastAsia="ar-SA"/>
        </w:rPr>
        <w:t xml:space="preserve">, conductas que resultan en afectaciones graves a los usuarios, al limitar su acceso a servicios públicos de telecomunicaciones y/o a la posibilidad de ejercer su derecho a la portabilidad numérica. </w:t>
      </w:r>
    </w:p>
    <w:p w14:paraId="48877BF5" w14:textId="77777777" w:rsidR="00516CE5" w:rsidRPr="00A361B9" w:rsidRDefault="00516CE5" w:rsidP="007A55E8">
      <w:pPr>
        <w:spacing w:after="0"/>
        <w:jc w:val="both"/>
        <w:rPr>
          <w:rFonts w:ascii="Arial" w:eastAsia="Times New Roman" w:hAnsi="Arial" w:cs="Arial"/>
          <w:bCs/>
          <w:kern w:val="1"/>
          <w:sz w:val="18"/>
          <w:szCs w:val="18"/>
          <w:lang w:eastAsia="ar-SA"/>
        </w:rPr>
      </w:pPr>
    </w:p>
    <w:p w14:paraId="10AB3CD9" w14:textId="77777777" w:rsidR="00516CE5" w:rsidRPr="00A361B9" w:rsidRDefault="00516CE5" w:rsidP="007A55E8">
      <w:pPr>
        <w:spacing w:after="0"/>
        <w:jc w:val="both"/>
        <w:rPr>
          <w:rFonts w:ascii="Arial" w:eastAsia="Times New Roman" w:hAnsi="Arial" w:cs="Arial"/>
          <w:bCs/>
          <w:kern w:val="1"/>
          <w:sz w:val="18"/>
          <w:szCs w:val="18"/>
          <w:lang w:eastAsia="ar-SA"/>
        </w:rPr>
      </w:pPr>
      <w:r w:rsidRPr="00A361B9">
        <w:rPr>
          <w:rFonts w:ascii="Arial" w:eastAsia="Times New Roman" w:hAnsi="Arial" w:cs="Arial"/>
          <w:bCs/>
          <w:kern w:val="1"/>
          <w:sz w:val="18"/>
          <w:szCs w:val="18"/>
          <w:lang w:eastAsia="ar-SA"/>
        </w:rPr>
        <w:t>En este sentido, se advierte que los usuarios finales de aquellos OMV que han detenido operaciones y con ello la comercialización de servicios de telecomunicaciones, ya sea por un cese de operaciones programado o por una interrupción abrupta, no siempre son migrados oportunamente hacia otros prestadores de servicios, poniendo en riesgo la continuidad de la conectividad de los usuarios y limitando su derecho al uso de servicios de telecomunicaciones, al no existir mecanismos claros que enfrenten dicha situación, como asegurar que los usuarios cuenten con información suficiente y oportuna para el ejercicio de su derecho a la portabilidad numérica.</w:t>
      </w:r>
    </w:p>
    <w:p w14:paraId="144A1851" w14:textId="77777777" w:rsidR="00516CE5" w:rsidRPr="00A361B9" w:rsidRDefault="00516CE5" w:rsidP="007A55E8">
      <w:pPr>
        <w:spacing w:after="0"/>
        <w:jc w:val="both"/>
        <w:rPr>
          <w:rFonts w:ascii="Arial" w:eastAsia="Times New Roman" w:hAnsi="Arial" w:cs="Arial"/>
          <w:bCs/>
          <w:kern w:val="1"/>
          <w:sz w:val="18"/>
          <w:szCs w:val="18"/>
          <w:lang w:eastAsia="ar-SA"/>
        </w:rPr>
      </w:pPr>
    </w:p>
    <w:p w14:paraId="799399D6" w14:textId="77777777" w:rsidR="00516CE5" w:rsidRPr="00A361B9" w:rsidRDefault="00516CE5" w:rsidP="007A55E8">
      <w:pPr>
        <w:suppressAutoHyphens/>
        <w:spacing w:after="0"/>
        <w:ind w:right="49"/>
        <w:jc w:val="both"/>
        <w:rPr>
          <w:rFonts w:ascii="Arial" w:eastAsia="Times New Roman" w:hAnsi="Arial" w:cs="Arial"/>
          <w:bCs/>
          <w:kern w:val="1"/>
          <w:sz w:val="18"/>
          <w:szCs w:val="18"/>
          <w:lang w:eastAsia="ar-SA"/>
        </w:rPr>
      </w:pPr>
      <w:proofErr w:type="gramStart"/>
      <w:r w:rsidRPr="00A361B9">
        <w:rPr>
          <w:rFonts w:ascii="Arial" w:eastAsia="Times New Roman" w:hAnsi="Arial" w:cs="Arial"/>
          <w:b/>
          <w:bCs/>
          <w:kern w:val="1"/>
          <w:sz w:val="18"/>
          <w:szCs w:val="18"/>
          <w:lang w:eastAsia="ar-SA"/>
        </w:rPr>
        <w:t>Quinto.-</w:t>
      </w:r>
      <w:proofErr w:type="gramEnd"/>
      <w:r w:rsidRPr="00A361B9">
        <w:rPr>
          <w:rFonts w:ascii="Arial" w:eastAsia="Times New Roman" w:hAnsi="Arial" w:cs="Arial"/>
          <w:b/>
          <w:bCs/>
          <w:kern w:val="1"/>
          <w:sz w:val="18"/>
          <w:szCs w:val="18"/>
          <w:lang w:eastAsia="ar-SA"/>
        </w:rPr>
        <w:t xml:space="preserve"> Modificación de los Lineamientos de OMV. </w:t>
      </w:r>
      <w:r w:rsidRPr="00A361B9">
        <w:rPr>
          <w:rFonts w:ascii="Arial" w:eastAsia="Times New Roman" w:hAnsi="Arial" w:cs="Arial"/>
          <w:bCs/>
          <w:kern w:val="1"/>
          <w:sz w:val="18"/>
          <w:szCs w:val="18"/>
          <w:lang w:eastAsia="ar-SA"/>
        </w:rPr>
        <w:t>En los Lineamientos de OMV se han establecido diversas reglas asociadas a la relación que se tiene entre los Concesionarios Mayoristas Móviles y los OMV para la prestación de servicios por y/o a través de estos. Sin embargo, de un análisis a dichos lineamientos, se observa que estos no establecen lo aplicable en el caso de que un OMV que deja de prestar servicios, no dé aviso oportuno a los usuarios finales sobre el cese de prestación de los servicios contratados por éstos, ni qué sucederá con aquellos usuarios finales que ante la falta de información suficiente para el ejercicio de sus derechos, como el derecho a la portabilidad, no hayan establecido previamente una relación contractual con algún otro prestador de servicios de telecomunicaciones móviles, lo cual genera incertidumbre sobre la continuidad de la conexión de dichos usuarios en las redes públicas de telecomunicaciones.</w:t>
      </w:r>
    </w:p>
    <w:p w14:paraId="60350991" w14:textId="77777777" w:rsidR="00D102A4" w:rsidRPr="00A361B9" w:rsidRDefault="00D102A4" w:rsidP="007A55E8">
      <w:pPr>
        <w:suppressAutoHyphens/>
        <w:spacing w:after="0"/>
        <w:ind w:right="49"/>
        <w:jc w:val="both"/>
        <w:rPr>
          <w:rFonts w:ascii="Arial" w:eastAsia="Times New Roman" w:hAnsi="Arial" w:cs="Arial"/>
          <w:bCs/>
          <w:kern w:val="1"/>
          <w:sz w:val="18"/>
          <w:szCs w:val="18"/>
          <w:lang w:eastAsia="ar-SA"/>
        </w:rPr>
      </w:pPr>
    </w:p>
    <w:p w14:paraId="0ED5322D" w14:textId="6E1E3F29" w:rsidR="00DE2EEE" w:rsidRDefault="00DE2EEE" w:rsidP="007A55E8">
      <w:pPr>
        <w:suppressAutoHyphens/>
        <w:spacing w:after="0"/>
        <w:ind w:right="49"/>
        <w:jc w:val="both"/>
        <w:rPr>
          <w:rFonts w:ascii="Arial" w:eastAsia="Times New Roman" w:hAnsi="Arial" w:cs="Arial"/>
          <w:bCs/>
          <w:kern w:val="1"/>
          <w:sz w:val="18"/>
          <w:szCs w:val="18"/>
          <w:lang w:eastAsia="ar-SA"/>
        </w:rPr>
      </w:pPr>
      <w:r w:rsidRPr="00DE2EEE">
        <w:rPr>
          <w:rFonts w:ascii="Arial" w:eastAsia="Times New Roman" w:hAnsi="Arial" w:cs="Arial"/>
          <w:bCs/>
          <w:kern w:val="1"/>
          <w:sz w:val="18"/>
          <w:szCs w:val="18"/>
          <w:lang w:eastAsia="ar-SA"/>
        </w:rPr>
        <w:t>En este sentido, se considera necesario establecer obligaciones adicionales para los Operadores Móviles Virtuales, con el fin de garantizar que, en caso de cesar la prestación de servicios de telecomunicaciones, sus usuarios dispongan de toda la información necesaria para ejercer su derecho a la portabilidad numérica</w:t>
      </w:r>
      <w:r w:rsidR="00397AAD">
        <w:rPr>
          <w:rFonts w:ascii="Arial" w:eastAsia="Times New Roman" w:hAnsi="Arial" w:cs="Arial"/>
          <w:bCs/>
          <w:kern w:val="1"/>
          <w:sz w:val="18"/>
          <w:szCs w:val="18"/>
          <w:lang w:eastAsia="ar-SA"/>
        </w:rPr>
        <w:t xml:space="preserve"> oportunamente</w:t>
      </w:r>
      <w:r>
        <w:rPr>
          <w:rFonts w:ascii="Arial" w:eastAsia="Times New Roman" w:hAnsi="Arial" w:cs="Arial"/>
          <w:bCs/>
          <w:kern w:val="1"/>
          <w:sz w:val="18"/>
          <w:szCs w:val="18"/>
          <w:lang w:eastAsia="ar-SA"/>
        </w:rPr>
        <w:t>.</w:t>
      </w:r>
    </w:p>
    <w:p w14:paraId="52741101" w14:textId="77777777" w:rsidR="00DE2EEE" w:rsidRDefault="00DE2EEE" w:rsidP="007A55E8">
      <w:pPr>
        <w:suppressAutoHyphens/>
        <w:spacing w:after="0"/>
        <w:ind w:right="49"/>
        <w:jc w:val="both"/>
        <w:rPr>
          <w:rFonts w:ascii="Arial" w:eastAsia="Times New Roman" w:hAnsi="Arial" w:cs="Arial"/>
          <w:bCs/>
          <w:kern w:val="1"/>
          <w:sz w:val="18"/>
          <w:szCs w:val="18"/>
          <w:lang w:eastAsia="ar-SA"/>
        </w:rPr>
      </w:pPr>
    </w:p>
    <w:p w14:paraId="55DF4DCA" w14:textId="1EFAFD03" w:rsidR="00D102A4" w:rsidRPr="00A361B9" w:rsidRDefault="00D102A4" w:rsidP="007A55E8">
      <w:pPr>
        <w:suppressAutoHyphens/>
        <w:spacing w:after="0"/>
        <w:ind w:right="49"/>
        <w:jc w:val="both"/>
        <w:rPr>
          <w:rFonts w:ascii="Arial" w:eastAsia="Times New Roman" w:hAnsi="Arial" w:cs="Arial"/>
          <w:bCs/>
          <w:kern w:val="1"/>
          <w:sz w:val="18"/>
          <w:szCs w:val="18"/>
          <w:lang w:eastAsia="ar-SA"/>
        </w:rPr>
      </w:pPr>
      <w:r w:rsidRPr="00A361B9">
        <w:rPr>
          <w:rFonts w:ascii="Arial" w:eastAsia="Times New Roman" w:hAnsi="Arial" w:cs="Arial"/>
          <w:bCs/>
          <w:kern w:val="1"/>
          <w:sz w:val="18"/>
          <w:szCs w:val="18"/>
          <w:lang w:eastAsia="ar-SA"/>
        </w:rPr>
        <w:t xml:space="preserve">Asimismo, se ha </w:t>
      </w:r>
      <w:r w:rsidR="005C20F9" w:rsidRPr="00A361B9">
        <w:rPr>
          <w:rFonts w:ascii="Arial" w:eastAsia="Times New Roman" w:hAnsi="Arial" w:cs="Arial"/>
          <w:bCs/>
          <w:kern w:val="1"/>
          <w:sz w:val="18"/>
          <w:szCs w:val="18"/>
          <w:lang w:eastAsia="ar-SA"/>
        </w:rPr>
        <w:t xml:space="preserve">identificado que, en el caso de los Operadores Móviles Virtuales Completos que cuentan con infraestructura de conmutación y transmisión </w:t>
      </w:r>
      <w:r w:rsidR="006A35D9" w:rsidRPr="00A361B9">
        <w:rPr>
          <w:rFonts w:ascii="Arial" w:eastAsia="Times New Roman" w:hAnsi="Arial" w:cs="Arial"/>
          <w:bCs/>
          <w:kern w:val="1"/>
          <w:sz w:val="18"/>
          <w:szCs w:val="18"/>
          <w:lang w:eastAsia="ar-SA"/>
        </w:rPr>
        <w:t xml:space="preserve">que permite la gestión de su </w:t>
      </w:r>
      <w:r w:rsidR="00BE53AF" w:rsidRPr="00A361B9">
        <w:rPr>
          <w:rFonts w:ascii="Arial" w:eastAsia="Times New Roman" w:hAnsi="Arial" w:cs="Arial"/>
          <w:bCs/>
          <w:kern w:val="1"/>
          <w:sz w:val="18"/>
          <w:szCs w:val="18"/>
          <w:lang w:eastAsia="ar-SA"/>
        </w:rPr>
        <w:t>tráfico</w:t>
      </w:r>
      <w:r w:rsidR="006A35D9" w:rsidRPr="00A361B9">
        <w:rPr>
          <w:rFonts w:ascii="Arial" w:eastAsia="Times New Roman" w:hAnsi="Arial" w:cs="Arial"/>
          <w:bCs/>
          <w:kern w:val="1"/>
          <w:sz w:val="18"/>
          <w:szCs w:val="18"/>
          <w:lang w:eastAsia="ar-SA"/>
        </w:rPr>
        <w:t xml:space="preserve"> y que pueden administrar recursos de numeración</w:t>
      </w:r>
      <w:r w:rsidR="008E71FD" w:rsidRPr="00A361B9">
        <w:rPr>
          <w:rFonts w:ascii="Arial" w:eastAsia="Times New Roman" w:hAnsi="Arial" w:cs="Arial"/>
          <w:bCs/>
          <w:kern w:val="1"/>
          <w:sz w:val="18"/>
          <w:szCs w:val="18"/>
          <w:lang w:eastAsia="ar-SA"/>
        </w:rPr>
        <w:t xml:space="preserve">, resulta necesario </w:t>
      </w:r>
      <w:r w:rsidR="001262F8" w:rsidRPr="00A361B9">
        <w:rPr>
          <w:rFonts w:ascii="Arial" w:eastAsia="Times New Roman" w:hAnsi="Arial" w:cs="Arial"/>
          <w:bCs/>
          <w:kern w:val="1"/>
          <w:sz w:val="18"/>
          <w:szCs w:val="18"/>
          <w:lang w:eastAsia="ar-SA"/>
        </w:rPr>
        <w:t>que dichos operadores realicen las acciones necesarias para presentar</w:t>
      </w:r>
      <w:r w:rsidR="006D2AB7" w:rsidRPr="00A361B9">
        <w:rPr>
          <w:rFonts w:ascii="Arial" w:eastAsia="Times New Roman" w:hAnsi="Arial" w:cs="Arial"/>
          <w:bCs/>
          <w:kern w:val="1"/>
          <w:sz w:val="18"/>
          <w:szCs w:val="18"/>
          <w:lang w:eastAsia="ar-SA"/>
        </w:rPr>
        <w:t>,</w:t>
      </w:r>
      <w:r w:rsidR="001262F8" w:rsidRPr="00A361B9">
        <w:rPr>
          <w:rFonts w:ascii="Arial" w:eastAsia="Times New Roman" w:hAnsi="Arial" w:cs="Arial"/>
          <w:bCs/>
          <w:kern w:val="1"/>
          <w:sz w:val="18"/>
          <w:szCs w:val="18"/>
          <w:lang w:eastAsia="ar-SA"/>
        </w:rPr>
        <w:t xml:space="preserve"> a los </w:t>
      </w:r>
      <w:r w:rsidR="000B57DA" w:rsidRPr="00A361B9">
        <w:rPr>
          <w:rFonts w:ascii="Arial" w:eastAsia="Times New Roman" w:hAnsi="Arial" w:cs="Arial"/>
          <w:bCs/>
          <w:kern w:val="1"/>
          <w:sz w:val="18"/>
          <w:szCs w:val="18"/>
          <w:lang w:eastAsia="ar-SA"/>
        </w:rPr>
        <w:t xml:space="preserve">Concesionarios Mayoristas Móviles, toda información </w:t>
      </w:r>
      <w:r w:rsidR="00B741F2" w:rsidRPr="00A361B9">
        <w:rPr>
          <w:rFonts w:ascii="Arial" w:eastAsia="Times New Roman" w:hAnsi="Arial" w:cs="Arial"/>
          <w:bCs/>
          <w:kern w:val="1"/>
          <w:sz w:val="18"/>
          <w:szCs w:val="18"/>
          <w:lang w:eastAsia="ar-SA"/>
        </w:rPr>
        <w:t>que sea técnicamente necesaria para la identificación de</w:t>
      </w:r>
      <w:r w:rsidR="000B57DA" w:rsidRPr="00A361B9">
        <w:rPr>
          <w:rFonts w:ascii="Arial" w:eastAsia="Times New Roman" w:hAnsi="Arial" w:cs="Arial"/>
          <w:bCs/>
          <w:kern w:val="1"/>
          <w:sz w:val="18"/>
          <w:szCs w:val="18"/>
          <w:lang w:eastAsia="ar-SA"/>
        </w:rPr>
        <w:t xml:space="preserve"> los usuarios activos en el momento en que </w:t>
      </w:r>
      <w:r w:rsidR="0092334B" w:rsidRPr="00A361B9">
        <w:rPr>
          <w:rFonts w:ascii="Arial" w:eastAsia="Times New Roman" w:hAnsi="Arial" w:cs="Arial"/>
          <w:bCs/>
          <w:kern w:val="1"/>
          <w:sz w:val="18"/>
          <w:szCs w:val="18"/>
          <w:lang w:eastAsia="ar-SA"/>
        </w:rPr>
        <w:t xml:space="preserve">suspendan definitivamente la prestación de servicios de telecomunicaciones, pues durante </w:t>
      </w:r>
      <w:r w:rsidR="00D71C65" w:rsidRPr="00A361B9">
        <w:rPr>
          <w:rFonts w:ascii="Arial" w:eastAsia="Times New Roman" w:hAnsi="Arial" w:cs="Arial"/>
          <w:bCs/>
          <w:kern w:val="1"/>
          <w:sz w:val="18"/>
          <w:szCs w:val="18"/>
          <w:lang w:eastAsia="ar-SA"/>
        </w:rPr>
        <w:t xml:space="preserve">las actividades comerciales, son estos operadores móviles virtuales quienes llevan un completo control de </w:t>
      </w:r>
      <w:r w:rsidR="004467E9" w:rsidRPr="00A361B9">
        <w:rPr>
          <w:rFonts w:ascii="Arial" w:eastAsia="Times New Roman" w:hAnsi="Arial" w:cs="Arial"/>
          <w:bCs/>
          <w:kern w:val="1"/>
          <w:sz w:val="18"/>
          <w:szCs w:val="18"/>
          <w:lang w:eastAsia="ar-SA"/>
        </w:rPr>
        <w:t xml:space="preserve">la numeración y seguimiento de sus usuarios finales. </w:t>
      </w:r>
    </w:p>
    <w:p w14:paraId="2E81B2B6" w14:textId="77777777" w:rsidR="00516CE5" w:rsidRPr="00A361B9" w:rsidRDefault="00516CE5" w:rsidP="007A55E8">
      <w:pPr>
        <w:suppressAutoHyphens/>
        <w:spacing w:after="0"/>
        <w:ind w:right="49"/>
        <w:jc w:val="both"/>
        <w:rPr>
          <w:rFonts w:ascii="Arial" w:eastAsia="Times New Roman" w:hAnsi="Arial" w:cs="Arial"/>
          <w:bCs/>
          <w:kern w:val="1"/>
          <w:sz w:val="18"/>
          <w:szCs w:val="18"/>
          <w:lang w:eastAsia="ar-SA"/>
        </w:rPr>
      </w:pPr>
    </w:p>
    <w:p w14:paraId="40B1AF48" w14:textId="1B9717C2" w:rsidR="00516CE5" w:rsidRPr="00A361B9" w:rsidRDefault="00516CE5" w:rsidP="007A55E8">
      <w:pPr>
        <w:suppressAutoHyphens/>
        <w:spacing w:after="0"/>
        <w:ind w:right="49"/>
        <w:jc w:val="both"/>
        <w:rPr>
          <w:rFonts w:ascii="Arial" w:eastAsia="Times New Roman" w:hAnsi="Arial" w:cs="Arial"/>
          <w:bCs/>
          <w:kern w:val="1"/>
          <w:sz w:val="18"/>
          <w:szCs w:val="18"/>
          <w:lang w:eastAsia="ar-SA"/>
        </w:rPr>
      </w:pPr>
      <w:r w:rsidRPr="00A361B9">
        <w:rPr>
          <w:rFonts w:ascii="Arial" w:eastAsia="Times New Roman" w:hAnsi="Arial" w:cs="Arial"/>
          <w:bCs/>
          <w:kern w:val="1"/>
          <w:sz w:val="18"/>
          <w:szCs w:val="18"/>
          <w:lang w:eastAsia="ar-SA"/>
        </w:rPr>
        <w:t xml:space="preserve">Por lo anterior, este Instituto considera necesario realizar modificaciones a los Lineamientos de OMV, mediante las cuales se prevea </w:t>
      </w:r>
      <w:r w:rsidR="009E62B9" w:rsidRPr="00A361B9">
        <w:rPr>
          <w:rFonts w:ascii="Arial" w:eastAsia="Times New Roman" w:hAnsi="Arial" w:cs="Arial"/>
          <w:bCs/>
          <w:kern w:val="1"/>
          <w:sz w:val="18"/>
          <w:szCs w:val="18"/>
          <w:lang w:eastAsia="ar-SA"/>
        </w:rPr>
        <w:t xml:space="preserve">estos </w:t>
      </w:r>
      <w:r w:rsidRPr="00A361B9">
        <w:rPr>
          <w:rFonts w:ascii="Arial" w:eastAsia="Times New Roman" w:hAnsi="Arial" w:cs="Arial"/>
          <w:bCs/>
          <w:kern w:val="1"/>
          <w:sz w:val="18"/>
          <w:szCs w:val="18"/>
          <w:lang w:eastAsia="ar-SA"/>
        </w:rPr>
        <w:t>escenario</w:t>
      </w:r>
      <w:r w:rsidR="009E62B9" w:rsidRPr="00A361B9">
        <w:rPr>
          <w:rFonts w:ascii="Arial" w:eastAsia="Times New Roman" w:hAnsi="Arial" w:cs="Arial"/>
          <w:bCs/>
          <w:kern w:val="1"/>
          <w:sz w:val="18"/>
          <w:szCs w:val="18"/>
          <w:lang w:eastAsia="ar-SA"/>
        </w:rPr>
        <w:t>s</w:t>
      </w:r>
      <w:r w:rsidRPr="00A361B9">
        <w:rPr>
          <w:rFonts w:ascii="Arial" w:eastAsia="Times New Roman" w:hAnsi="Arial" w:cs="Arial"/>
          <w:bCs/>
          <w:kern w:val="1"/>
          <w:sz w:val="18"/>
          <w:szCs w:val="18"/>
          <w:lang w:eastAsia="ar-SA"/>
        </w:rPr>
        <w:t xml:space="preserve"> y se tenga una alternativa que permita mantener la conectividad de las líneas de los usuarios de estos OMV, con los principales objetivos de salvaguardar el acceso a servicios de telecomunicaciones considerados de interés general y así garantizar su continuidad, a través del establecimiento de un periodo en el cual, la red del Concesionario Mayorista Móvil en la cual se encuentren conectados estos usuarios, dé continuidad únicamente a las funcionalidades necesarias para la ejecución de la portabilidad numérica, así como para el trámite de comunicaciones destinadas a números de emergencia</w:t>
      </w:r>
      <w:r w:rsidRPr="00A361B9">
        <w:rPr>
          <w:rFonts w:ascii="Arial" w:eastAsia="Times New Roman" w:hAnsi="Arial" w:cs="Arial"/>
          <w:kern w:val="1"/>
          <w:sz w:val="18"/>
          <w:szCs w:val="18"/>
          <w:lang w:eastAsia="ar-SA"/>
        </w:rPr>
        <w:t>.</w:t>
      </w:r>
      <w:r w:rsidRPr="00A361B9">
        <w:rPr>
          <w:rFonts w:ascii="Arial" w:eastAsia="Times New Roman" w:hAnsi="Arial" w:cs="Arial"/>
          <w:bCs/>
          <w:kern w:val="1"/>
          <w:sz w:val="18"/>
          <w:szCs w:val="18"/>
          <w:lang w:eastAsia="ar-SA"/>
        </w:rPr>
        <w:t xml:space="preserve">  </w:t>
      </w:r>
    </w:p>
    <w:p w14:paraId="7B9E3BB6" w14:textId="77777777" w:rsidR="00516CE5" w:rsidRPr="00A361B9" w:rsidRDefault="00516CE5" w:rsidP="007A55E8">
      <w:pPr>
        <w:suppressAutoHyphens/>
        <w:spacing w:after="0"/>
        <w:ind w:right="49"/>
        <w:jc w:val="both"/>
        <w:rPr>
          <w:rFonts w:ascii="Arial" w:eastAsia="Times New Roman" w:hAnsi="Arial" w:cs="Arial"/>
          <w:bCs/>
          <w:kern w:val="1"/>
          <w:sz w:val="18"/>
          <w:szCs w:val="18"/>
          <w:lang w:eastAsia="ar-SA"/>
        </w:rPr>
      </w:pPr>
    </w:p>
    <w:p w14:paraId="0646C241" w14:textId="6BECEF0F" w:rsidR="005A6EFD" w:rsidRPr="00A361B9" w:rsidRDefault="005A6EFD" w:rsidP="007A55E8">
      <w:pPr>
        <w:suppressAutoHyphens/>
        <w:spacing w:after="0"/>
        <w:ind w:right="49"/>
        <w:jc w:val="both"/>
        <w:rPr>
          <w:rFonts w:ascii="Arial" w:eastAsia="Times New Roman" w:hAnsi="Arial" w:cs="Arial"/>
          <w:kern w:val="1"/>
          <w:sz w:val="18"/>
          <w:szCs w:val="18"/>
          <w:lang w:eastAsia="ar-SA"/>
        </w:rPr>
      </w:pPr>
      <w:proofErr w:type="gramStart"/>
      <w:r w:rsidRPr="00A361B9">
        <w:rPr>
          <w:rFonts w:ascii="Arial" w:eastAsia="Times New Roman" w:hAnsi="Arial" w:cs="Arial"/>
          <w:b/>
          <w:bCs/>
          <w:kern w:val="1"/>
          <w:sz w:val="18"/>
          <w:szCs w:val="18"/>
          <w:lang w:eastAsia="ar-SA"/>
        </w:rPr>
        <w:t>Sexto.-</w:t>
      </w:r>
      <w:proofErr w:type="gramEnd"/>
      <w:r w:rsidRPr="00A361B9">
        <w:rPr>
          <w:rFonts w:ascii="Arial" w:eastAsia="Times New Roman" w:hAnsi="Arial" w:cs="Arial"/>
          <w:b/>
          <w:bCs/>
          <w:kern w:val="1"/>
          <w:sz w:val="18"/>
          <w:szCs w:val="18"/>
          <w:lang w:eastAsia="ar-SA"/>
        </w:rPr>
        <w:t xml:space="preserve"> Consulta pública y Análisis de Impacto Regulatorio. </w:t>
      </w:r>
      <w:r w:rsidRPr="00A361B9">
        <w:rPr>
          <w:rFonts w:ascii="Arial" w:eastAsia="Times New Roman" w:hAnsi="Arial" w:cs="Arial"/>
          <w:kern w:val="1"/>
          <w:sz w:val="18"/>
          <w:szCs w:val="18"/>
          <w:lang w:eastAsia="ar-SA"/>
        </w:rPr>
        <w:t xml:space="preserve">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w:t>
      </w:r>
      <w:r w:rsidRPr="00A361B9">
        <w:rPr>
          <w:rFonts w:ascii="Arial" w:eastAsia="Times New Roman" w:hAnsi="Arial" w:cs="Arial"/>
          <w:kern w:val="1"/>
          <w:sz w:val="18"/>
          <w:szCs w:val="18"/>
          <w:lang w:eastAsia="ar-SA"/>
        </w:rPr>
        <w:lastRenderedPageBreak/>
        <w:t xml:space="preserve">participación ciudadana; asimismo señala que previamente a la emisión de reglas, lineamientos o disposiciones administrativas de carácter general de que se trate, el Instituto deberá realizar y hacer público un análisis de impacto regulatorio. </w:t>
      </w:r>
    </w:p>
    <w:p w14:paraId="6396E22C" w14:textId="77777777" w:rsidR="005A6EFD" w:rsidRPr="00A361B9" w:rsidRDefault="005A6EFD" w:rsidP="007A55E8">
      <w:pPr>
        <w:suppressAutoHyphens/>
        <w:spacing w:after="0"/>
        <w:ind w:right="49"/>
        <w:jc w:val="both"/>
        <w:rPr>
          <w:rFonts w:ascii="Arial" w:eastAsia="Times New Roman" w:hAnsi="Arial" w:cs="Arial"/>
          <w:kern w:val="1"/>
          <w:sz w:val="18"/>
          <w:szCs w:val="18"/>
          <w:lang w:eastAsia="ar-SA"/>
        </w:rPr>
      </w:pPr>
      <w:r w:rsidRPr="00A361B9">
        <w:rPr>
          <w:rFonts w:ascii="Arial" w:eastAsia="Times New Roman" w:hAnsi="Arial" w:cs="Arial"/>
          <w:kern w:val="1"/>
          <w:sz w:val="18"/>
          <w:szCs w:val="18"/>
          <w:lang w:eastAsia="ar-SA"/>
        </w:rPr>
        <w:t xml:space="preserve">  </w:t>
      </w:r>
    </w:p>
    <w:p w14:paraId="2E6F926B" w14:textId="77777777" w:rsidR="005A6EFD" w:rsidRPr="00A361B9" w:rsidRDefault="005A6EFD" w:rsidP="007A55E8">
      <w:pPr>
        <w:suppressAutoHyphens/>
        <w:spacing w:after="0"/>
        <w:ind w:right="49"/>
        <w:jc w:val="both"/>
        <w:rPr>
          <w:rFonts w:ascii="Arial" w:eastAsia="Times New Roman" w:hAnsi="Arial" w:cs="Arial"/>
          <w:kern w:val="1"/>
          <w:sz w:val="18"/>
          <w:szCs w:val="18"/>
          <w:lang w:eastAsia="ar-SA"/>
        </w:rPr>
      </w:pPr>
      <w:r w:rsidRPr="00A361B9">
        <w:rPr>
          <w:rFonts w:ascii="Arial" w:eastAsia="Times New Roman" w:hAnsi="Arial" w:cs="Arial"/>
          <w:kern w:val="1"/>
          <w:sz w:val="18"/>
          <w:szCs w:val="18"/>
          <w:lang w:eastAsia="ar-SA"/>
        </w:rPr>
        <w:t xml:space="preserve">En este sentido, el Pleno del Instituto estimó conveniente someter a consulta pública el Anteproyecto de Lineamientos. Al efecto, una vez concluido el plazo de consulta respectivo, se publicaron en el portal de Internet del Instituto todos y cada uno de los comentarios, opiniones y propuestas concretas recibidas respecto del Anteproyecto materia de dicha consulta pública. </w:t>
      </w:r>
    </w:p>
    <w:p w14:paraId="0950E3F2" w14:textId="77777777" w:rsidR="005A6EFD" w:rsidRPr="00A361B9" w:rsidRDefault="005A6EFD" w:rsidP="007A55E8">
      <w:pPr>
        <w:suppressAutoHyphens/>
        <w:spacing w:after="0"/>
        <w:ind w:right="49"/>
        <w:jc w:val="both"/>
        <w:rPr>
          <w:rFonts w:ascii="Arial" w:eastAsia="Times New Roman" w:hAnsi="Arial" w:cs="Arial"/>
          <w:kern w:val="1"/>
          <w:sz w:val="18"/>
          <w:szCs w:val="18"/>
          <w:lang w:eastAsia="ar-SA"/>
        </w:rPr>
      </w:pPr>
      <w:r w:rsidRPr="00A361B9">
        <w:rPr>
          <w:rFonts w:ascii="Arial" w:eastAsia="Times New Roman" w:hAnsi="Arial" w:cs="Arial"/>
          <w:kern w:val="1"/>
          <w:sz w:val="18"/>
          <w:szCs w:val="18"/>
          <w:lang w:eastAsia="ar-SA"/>
        </w:rPr>
        <w:t xml:space="preserve">  </w:t>
      </w:r>
    </w:p>
    <w:p w14:paraId="7F4582EB" w14:textId="77777777" w:rsidR="005A6EFD" w:rsidRPr="00A361B9" w:rsidRDefault="005A6EFD" w:rsidP="007A55E8">
      <w:pPr>
        <w:suppressAutoHyphens/>
        <w:spacing w:after="0"/>
        <w:ind w:right="49"/>
        <w:jc w:val="both"/>
        <w:rPr>
          <w:rFonts w:ascii="Arial" w:eastAsia="Times New Roman" w:hAnsi="Arial" w:cs="Arial"/>
          <w:kern w:val="1"/>
          <w:sz w:val="18"/>
          <w:szCs w:val="18"/>
          <w:lang w:eastAsia="ar-SA"/>
        </w:rPr>
      </w:pPr>
      <w:r w:rsidRPr="00A361B9">
        <w:rPr>
          <w:rFonts w:ascii="Arial" w:eastAsia="Times New Roman" w:hAnsi="Arial" w:cs="Arial"/>
          <w:kern w:val="1"/>
          <w:sz w:val="18"/>
          <w:szCs w:val="18"/>
          <w:lang w:eastAsia="ar-SA"/>
        </w:rPr>
        <w:t xml:space="preserve">De las manifestaciones y propuestas realizadas, el Instituto identificó oportunidades de precisión y mejora del instrumento regulatorio de mérito, logrando clarificar y robustecer su contenido. Las respuestas y comentarios a las participaciones recibidas del público durante el periodo de consulta pública se encuentran disponibles en la página de Internet del Instituto. </w:t>
      </w:r>
    </w:p>
    <w:p w14:paraId="28BC6091" w14:textId="77777777" w:rsidR="005A6EFD" w:rsidRPr="00A361B9" w:rsidRDefault="005A6EFD" w:rsidP="007A55E8">
      <w:pPr>
        <w:suppressAutoHyphens/>
        <w:spacing w:after="0"/>
        <w:ind w:right="49"/>
        <w:jc w:val="both"/>
        <w:rPr>
          <w:rFonts w:ascii="Arial" w:eastAsia="Times New Roman" w:hAnsi="Arial" w:cs="Arial"/>
          <w:kern w:val="1"/>
          <w:sz w:val="18"/>
          <w:szCs w:val="18"/>
          <w:lang w:eastAsia="ar-SA"/>
        </w:rPr>
      </w:pPr>
      <w:r w:rsidRPr="00A361B9">
        <w:rPr>
          <w:rFonts w:ascii="Arial" w:eastAsia="Times New Roman" w:hAnsi="Arial" w:cs="Arial"/>
          <w:kern w:val="1"/>
          <w:sz w:val="18"/>
          <w:szCs w:val="18"/>
          <w:lang w:eastAsia="ar-SA"/>
        </w:rPr>
        <w:t xml:space="preserve">  </w:t>
      </w:r>
    </w:p>
    <w:p w14:paraId="5DD1636E" w14:textId="77777777" w:rsidR="005A6EFD" w:rsidRPr="00A361B9" w:rsidRDefault="005A6EFD" w:rsidP="007A55E8">
      <w:pPr>
        <w:suppressAutoHyphens/>
        <w:spacing w:after="0"/>
        <w:ind w:right="49"/>
        <w:jc w:val="both"/>
        <w:rPr>
          <w:rFonts w:ascii="Arial" w:eastAsia="Times New Roman" w:hAnsi="Arial" w:cs="Arial"/>
          <w:kern w:val="1"/>
          <w:sz w:val="18"/>
          <w:szCs w:val="18"/>
          <w:lang w:eastAsia="ar-SA"/>
        </w:rPr>
      </w:pPr>
      <w:r w:rsidRPr="00A361B9">
        <w:rPr>
          <w:rFonts w:ascii="Arial" w:eastAsia="Times New Roman" w:hAnsi="Arial" w:cs="Arial"/>
          <w:kern w:val="1"/>
          <w:sz w:val="18"/>
          <w:szCs w:val="18"/>
          <w:lang w:eastAsia="ar-SA"/>
        </w:rPr>
        <w:t xml:space="preserve">Por otra parte, la Unidad de Política Regulatoria del Instituto realizó el Análisis de Impacto Regulatorio correspondiente, mismo que fue sometido formalmente a opinión no vinculante de la Coordinación General de Mejora Regulatoria del propio Instituto. </w:t>
      </w:r>
    </w:p>
    <w:p w14:paraId="44E05B1C" w14:textId="77777777" w:rsidR="005A6EFD" w:rsidRPr="00A361B9" w:rsidRDefault="005A6EFD" w:rsidP="007A55E8">
      <w:pPr>
        <w:suppressAutoHyphens/>
        <w:spacing w:after="0"/>
        <w:ind w:right="49"/>
        <w:jc w:val="both"/>
        <w:rPr>
          <w:rFonts w:ascii="Arial" w:eastAsia="Times New Roman" w:hAnsi="Arial" w:cs="Arial"/>
          <w:kern w:val="1"/>
          <w:sz w:val="18"/>
          <w:szCs w:val="18"/>
          <w:lang w:eastAsia="ar-SA"/>
        </w:rPr>
      </w:pPr>
      <w:r w:rsidRPr="00A361B9">
        <w:rPr>
          <w:rFonts w:ascii="Arial" w:eastAsia="Times New Roman" w:hAnsi="Arial" w:cs="Arial"/>
          <w:kern w:val="1"/>
          <w:sz w:val="18"/>
          <w:szCs w:val="18"/>
          <w:lang w:eastAsia="ar-SA"/>
        </w:rPr>
        <w:t xml:space="preserve">  </w:t>
      </w:r>
    </w:p>
    <w:p w14:paraId="6E142D71" w14:textId="303A5C26" w:rsidR="005A6EFD" w:rsidRPr="00A361B9" w:rsidRDefault="005A6EFD" w:rsidP="007A55E8">
      <w:pPr>
        <w:suppressAutoHyphens/>
        <w:spacing w:after="0"/>
        <w:ind w:right="49"/>
        <w:jc w:val="both"/>
        <w:rPr>
          <w:rFonts w:ascii="Arial" w:eastAsia="Times New Roman" w:hAnsi="Arial" w:cs="Arial"/>
          <w:kern w:val="1"/>
          <w:sz w:val="18"/>
          <w:szCs w:val="18"/>
          <w:lang w:eastAsia="ar-SA"/>
        </w:rPr>
      </w:pPr>
      <w:r w:rsidRPr="00A361B9">
        <w:rPr>
          <w:rFonts w:ascii="Arial" w:eastAsia="Times New Roman" w:hAnsi="Arial" w:cs="Arial"/>
          <w:kern w:val="1"/>
          <w:sz w:val="18"/>
          <w:szCs w:val="18"/>
          <w:lang w:eastAsia="ar-SA"/>
        </w:rPr>
        <w:t>Como consecuencia de lo anterior, mediante oficio IFT/211/CGMR/</w:t>
      </w:r>
      <w:r w:rsidR="00F22361">
        <w:rPr>
          <w:rFonts w:ascii="Arial" w:eastAsia="Times New Roman" w:hAnsi="Arial" w:cs="Arial"/>
          <w:kern w:val="1"/>
          <w:sz w:val="18"/>
          <w:szCs w:val="18"/>
          <w:lang w:eastAsia="ar-SA"/>
        </w:rPr>
        <w:t>00</w:t>
      </w:r>
      <w:r w:rsidR="00553C91">
        <w:rPr>
          <w:rFonts w:ascii="Arial" w:eastAsia="Times New Roman" w:hAnsi="Arial" w:cs="Arial"/>
          <w:kern w:val="1"/>
          <w:sz w:val="18"/>
          <w:szCs w:val="18"/>
          <w:lang w:eastAsia="ar-SA"/>
        </w:rPr>
        <w:t>6</w:t>
      </w:r>
      <w:r w:rsidRPr="00A361B9">
        <w:rPr>
          <w:rFonts w:ascii="Arial" w:eastAsia="Times New Roman" w:hAnsi="Arial" w:cs="Arial"/>
          <w:kern w:val="1"/>
          <w:sz w:val="18"/>
          <w:szCs w:val="18"/>
          <w:lang w:eastAsia="ar-SA"/>
        </w:rPr>
        <w:t>/</w:t>
      </w:r>
      <w:r w:rsidR="00553C91">
        <w:rPr>
          <w:rFonts w:ascii="Arial" w:eastAsia="Times New Roman" w:hAnsi="Arial" w:cs="Arial"/>
          <w:kern w:val="1"/>
          <w:sz w:val="18"/>
          <w:szCs w:val="18"/>
          <w:lang w:eastAsia="ar-SA"/>
        </w:rPr>
        <w:t>2025</w:t>
      </w:r>
      <w:r w:rsidR="00553C91" w:rsidRPr="00A361B9">
        <w:rPr>
          <w:rFonts w:ascii="Arial" w:eastAsia="Times New Roman" w:hAnsi="Arial" w:cs="Arial"/>
          <w:kern w:val="1"/>
          <w:sz w:val="18"/>
          <w:szCs w:val="18"/>
          <w:lang w:eastAsia="ar-SA"/>
        </w:rPr>
        <w:t xml:space="preserve"> </w:t>
      </w:r>
      <w:r w:rsidRPr="00A361B9">
        <w:rPr>
          <w:rFonts w:ascii="Arial" w:eastAsia="Times New Roman" w:hAnsi="Arial" w:cs="Arial"/>
          <w:kern w:val="1"/>
          <w:sz w:val="18"/>
          <w:szCs w:val="18"/>
          <w:lang w:eastAsia="ar-SA"/>
        </w:rPr>
        <w:t xml:space="preserve">del </w:t>
      </w:r>
      <w:r w:rsidR="00553C91">
        <w:rPr>
          <w:rFonts w:ascii="Arial" w:eastAsia="Times New Roman" w:hAnsi="Arial" w:cs="Arial"/>
          <w:kern w:val="1"/>
          <w:sz w:val="18"/>
          <w:szCs w:val="18"/>
          <w:lang w:eastAsia="ar-SA"/>
        </w:rPr>
        <w:t>13</w:t>
      </w:r>
      <w:r w:rsidR="00553C91" w:rsidRPr="00A361B9">
        <w:rPr>
          <w:rFonts w:ascii="Arial" w:eastAsia="Times New Roman" w:hAnsi="Arial" w:cs="Arial"/>
          <w:kern w:val="1"/>
          <w:sz w:val="18"/>
          <w:szCs w:val="18"/>
          <w:lang w:eastAsia="ar-SA"/>
        </w:rPr>
        <w:t xml:space="preserve"> </w:t>
      </w:r>
      <w:r w:rsidRPr="00A361B9">
        <w:rPr>
          <w:rFonts w:ascii="Arial" w:eastAsia="Times New Roman" w:hAnsi="Arial" w:cs="Arial"/>
          <w:kern w:val="1"/>
          <w:sz w:val="18"/>
          <w:szCs w:val="18"/>
          <w:lang w:eastAsia="ar-SA"/>
        </w:rPr>
        <w:t xml:space="preserve">de </w:t>
      </w:r>
      <w:r w:rsidR="00E60827">
        <w:rPr>
          <w:rFonts w:ascii="Arial" w:eastAsia="Times New Roman" w:hAnsi="Arial" w:cs="Arial"/>
          <w:kern w:val="1"/>
          <w:sz w:val="18"/>
          <w:szCs w:val="18"/>
          <w:lang w:eastAsia="ar-SA"/>
        </w:rPr>
        <w:t>enero</w:t>
      </w:r>
      <w:r w:rsidR="00E60827" w:rsidRPr="00A361B9">
        <w:rPr>
          <w:rFonts w:ascii="Arial" w:eastAsia="Times New Roman" w:hAnsi="Arial" w:cs="Arial"/>
          <w:kern w:val="1"/>
          <w:sz w:val="18"/>
          <w:szCs w:val="18"/>
          <w:lang w:eastAsia="ar-SA"/>
        </w:rPr>
        <w:t xml:space="preserve"> </w:t>
      </w:r>
      <w:r w:rsidRPr="00A361B9">
        <w:rPr>
          <w:rFonts w:ascii="Arial" w:eastAsia="Times New Roman" w:hAnsi="Arial" w:cs="Arial"/>
          <w:kern w:val="1"/>
          <w:sz w:val="18"/>
          <w:szCs w:val="18"/>
          <w:lang w:eastAsia="ar-SA"/>
        </w:rPr>
        <w:t xml:space="preserve">de </w:t>
      </w:r>
      <w:r w:rsidR="00E60827">
        <w:rPr>
          <w:rFonts w:ascii="Arial" w:eastAsia="Times New Roman" w:hAnsi="Arial" w:cs="Arial"/>
          <w:kern w:val="1"/>
          <w:sz w:val="18"/>
          <w:szCs w:val="18"/>
          <w:lang w:eastAsia="ar-SA"/>
        </w:rPr>
        <w:t>2025</w:t>
      </w:r>
      <w:r w:rsidRPr="00A361B9">
        <w:rPr>
          <w:rFonts w:ascii="Arial" w:eastAsia="Times New Roman" w:hAnsi="Arial" w:cs="Arial"/>
          <w:kern w:val="1"/>
          <w:sz w:val="18"/>
          <w:szCs w:val="18"/>
          <w:lang w:eastAsia="ar-SA"/>
        </w:rPr>
        <w:t xml:space="preserve">, la Coordinación General de Mejora Regulatoria emitió la opinión no vinculante respecto del </w:t>
      </w:r>
      <w:r w:rsidR="00FE4DCF">
        <w:rPr>
          <w:rFonts w:ascii="Arial" w:eastAsia="Times New Roman" w:hAnsi="Arial" w:cs="Arial"/>
          <w:kern w:val="1"/>
          <w:sz w:val="18"/>
          <w:szCs w:val="18"/>
          <w:lang w:eastAsia="ar-SA"/>
        </w:rPr>
        <w:t>“</w:t>
      </w:r>
      <w:r w:rsidR="004343C8" w:rsidRPr="00A361B9">
        <w:rPr>
          <w:rFonts w:ascii="Arial" w:eastAsia="Times New Roman" w:hAnsi="Arial" w:cs="Arial"/>
          <w:i/>
          <w:iCs/>
          <w:kern w:val="1"/>
          <w:sz w:val="18"/>
          <w:szCs w:val="18"/>
          <w:lang w:eastAsia="ar-SA"/>
        </w:rPr>
        <w:t>Acuerdo mediante el cual el Pleno del Instituto Federal de Telecomunicaciones modifica los Lineamientos para la comercialización de servicios móviles por parte de operadores móviles virtuales</w:t>
      </w:r>
      <w:r w:rsidR="00FE4DCF">
        <w:rPr>
          <w:rFonts w:ascii="Arial" w:eastAsia="Times New Roman" w:hAnsi="Arial" w:cs="Arial"/>
          <w:i/>
          <w:iCs/>
          <w:kern w:val="1"/>
          <w:sz w:val="18"/>
          <w:szCs w:val="18"/>
          <w:lang w:eastAsia="ar-SA"/>
        </w:rPr>
        <w:t>”</w:t>
      </w:r>
      <w:r w:rsidRPr="00A361B9">
        <w:rPr>
          <w:rFonts w:ascii="Arial" w:eastAsia="Times New Roman" w:hAnsi="Arial" w:cs="Arial"/>
          <w:kern w:val="1"/>
          <w:sz w:val="18"/>
          <w:szCs w:val="18"/>
          <w:lang w:eastAsia="ar-SA"/>
        </w:rPr>
        <w:t xml:space="preserve">. </w:t>
      </w:r>
    </w:p>
    <w:p w14:paraId="172033F3" w14:textId="77777777" w:rsidR="005A6EFD" w:rsidRPr="00A361B9" w:rsidRDefault="005A6EFD" w:rsidP="007A55E8">
      <w:pPr>
        <w:suppressAutoHyphens/>
        <w:spacing w:after="0"/>
        <w:ind w:right="49"/>
        <w:jc w:val="both"/>
        <w:rPr>
          <w:rFonts w:ascii="Arial" w:eastAsia="Times New Roman" w:hAnsi="Arial" w:cs="Arial"/>
          <w:kern w:val="1"/>
          <w:sz w:val="18"/>
          <w:szCs w:val="18"/>
          <w:lang w:eastAsia="ar-SA"/>
        </w:rPr>
      </w:pPr>
      <w:r w:rsidRPr="00A361B9">
        <w:rPr>
          <w:rFonts w:ascii="Arial" w:eastAsia="Times New Roman" w:hAnsi="Arial" w:cs="Arial"/>
          <w:kern w:val="1"/>
          <w:sz w:val="18"/>
          <w:szCs w:val="18"/>
          <w:lang w:eastAsia="ar-SA"/>
        </w:rPr>
        <w:t xml:space="preserve">  </w:t>
      </w:r>
    </w:p>
    <w:p w14:paraId="7DC44AAF" w14:textId="408FB783" w:rsidR="0016235C" w:rsidRPr="00A361B9" w:rsidRDefault="005A6EFD" w:rsidP="007A55E8">
      <w:pPr>
        <w:suppressAutoHyphens/>
        <w:spacing w:after="0"/>
        <w:ind w:right="49"/>
        <w:jc w:val="both"/>
        <w:rPr>
          <w:rFonts w:ascii="Arial" w:eastAsia="Times New Roman" w:hAnsi="Arial" w:cs="Arial"/>
          <w:kern w:val="1"/>
          <w:sz w:val="18"/>
          <w:szCs w:val="18"/>
          <w:lang w:eastAsia="ar-SA"/>
        </w:rPr>
      </w:pPr>
      <w:r w:rsidRPr="00A361B9">
        <w:rPr>
          <w:rFonts w:ascii="Arial" w:eastAsia="Times New Roman" w:hAnsi="Arial" w:cs="Arial"/>
          <w:kern w:val="1"/>
          <w:sz w:val="18"/>
          <w:szCs w:val="18"/>
          <w:lang w:eastAsia="ar-SA"/>
        </w:rPr>
        <w:t xml:space="preserve">El Análisis de Impacto Regulatorio del </w:t>
      </w:r>
      <w:r w:rsidR="00FE4DCF">
        <w:rPr>
          <w:rFonts w:ascii="Arial" w:eastAsia="Times New Roman" w:hAnsi="Arial" w:cs="Arial"/>
          <w:kern w:val="1"/>
          <w:sz w:val="18"/>
          <w:szCs w:val="18"/>
          <w:lang w:eastAsia="ar-SA"/>
        </w:rPr>
        <w:t>“</w:t>
      </w:r>
      <w:r w:rsidR="009C4032" w:rsidRPr="00A361B9">
        <w:rPr>
          <w:rFonts w:ascii="Arial" w:eastAsia="Times New Roman" w:hAnsi="Arial" w:cs="Arial"/>
          <w:i/>
          <w:iCs/>
          <w:kern w:val="1"/>
          <w:sz w:val="18"/>
          <w:szCs w:val="18"/>
          <w:lang w:eastAsia="ar-SA"/>
        </w:rPr>
        <w:t>Acuerdo mediante el cual el Pleno del Instituto Federal de Telecomunicaciones modifica los Lineamientos para la comercialización de servicios móviles por parte de operadores móviles virtuales</w:t>
      </w:r>
      <w:r w:rsidR="00FE4DCF">
        <w:rPr>
          <w:rFonts w:ascii="Arial" w:eastAsia="Times New Roman" w:hAnsi="Arial" w:cs="Arial"/>
          <w:i/>
          <w:iCs/>
          <w:kern w:val="1"/>
          <w:sz w:val="18"/>
          <w:szCs w:val="18"/>
          <w:lang w:eastAsia="ar-SA"/>
        </w:rPr>
        <w:t>”</w:t>
      </w:r>
      <w:r w:rsidRPr="00A361B9">
        <w:rPr>
          <w:rFonts w:ascii="Arial" w:eastAsia="Times New Roman" w:hAnsi="Arial" w:cs="Arial"/>
          <w:kern w:val="1"/>
          <w:sz w:val="18"/>
          <w:szCs w:val="18"/>
          <w:lang w:eastAsia="ar-SA"/>
        </w:rPr>
        <w:t>, fue debidamente publicado en la página de Internet del Instituto, en el espacio destinado para los procesos de consultas públicas, a efecto de darle debida publicidad.</w:t>
      </w:r>
    </w:p>
    <w:p w14:paraId="402D74E9" w14:textId="77777777" w:rsidR="005A6EFD" w:rsidRPr="00A361B9" w:rsidRDefault="005A6EFD" w:rsidP="007A55E8">
      <w:pPr>
        <w:suppressAutoHyphens/>
        <w:spacing w:after="0"/>
        <w:ind w:right="49"/>
        <w:jc w:val="both"/>
        <w:rPr>
          <w:rFonts w:ascii="Arial" w:eastAsia="Times New Roman" w:hAnsi="Arial" w:cs="Arial"/>
          <w:kern w:val="1"/>
          <w:sz w:val="18"/>
          <w:szCs w:val="18"/>
          <w:lang w:val="es-MX" w:eastAsia="ar-SA"/>
        </w:rPr>
      </w:pPr>
    </w:p>
    <w:p w14:paraId="6E720AFD" w14:textId="60AE9A1F" w:rsidR="0016235C" w:rsidRPr="00A361B9" w:rsidRDefault="0016235C" w:rsidP="007A55E8">
      <w:pPr>
        <w:suppressAutoHyphens/>
        <w:spacing w:after="0"/>
        <w:ind w:right="49"/>
        <w:jc w:val="both"/>
        <w:rPr>
          <w:rFonts w:ascii="Arial" w:eastAsia="Times New Roman" w:hAnsi="Arial" w:cs="Arial"/>
          <w:bCs/>
          <w:kern w:val="1"/>
          <w:sz w:val="18"/>
          <w:szCs w:val="18"/>
          <w:lang w:eastAsia="ar-SA"/>
        </w:rPr>
      </w:pPr>
      <w:r w:rsidRPr="00A361B9">
        <w:rPr>
          <w:rFonts w:ascii="Arial" w:eastAsia="Times New Roman" w:hAnsi="Arial" w:cs="Arial"/>
          <w:bCs/>
          <w:kern w:val="1"/>
          <w:sz w:val="18"/>
          <w:szCs w:val="18"/>
          <w:lang w:eastAsia="ar-SA"/>
        </w:rPr>
        <w:t xml:space="preserve">Por lo anterior, con fundamento en los artículos </w:t>
      </w:r>
      <w:r w:rsidR="00837E20">
        <w:rPr>
          <w:rFonts w:ascii="Arial" w:eastAsia="Times New Roman" w:hAnsi="Arial" w:cs="Arial"/>
          <w:bCs/>
          <w:kern w:val="1"/>
          <w:sz w:val="18"/>
          <w:szCs w:val="18"/>
          <w:lang w:eastAsia="ar-SA"/>
        </w:rPr>
        <w:t xml:space="preserve">6°, apartado B, fracción II y </w:t>
      </w:r>
      <w:r w:rsidRPr="00A361B9">
        <w:rPr>
          <w:rFonts w:ascii="Arial" w:eastAsia="Times New Roman" w:hAnsi="Arial" w:cs="Arial"/>
          <w:bCs/>
          <w:kern w:val="1"/>
          <w:sz w:val="18"/>
          <w:szCs w:val="18"/>
          <w:lang w:eastAsia="ar-SA"/>
        </w:rPr>
        <w:t xml:space="preserve">28, párrafo décimo </w:t>
      </w:r>
      <w:r w:rsidR="00B847A4" w:rsidRPr="00A361B9">
        <w:rPr>
          <w:rFonts w:ascii="Arial" w:eastAsia="Times New Roman" w:hAnsi="Arial" w:cs="Arial"/>
          <w:bCs/>
          <w:kern w:val="1"/>
          <w:sz w:val="18"/>
          <w:szCs w:val="18"/>
          <w:lang w:eastAsia="ar-SA"/>
        </w:rPr>
        <w:t>sexto</w:t>
      </w:r>
      <w:r w:rsidRPr="00A361B9">
        <w:rPr>
          <w:rFonts w:ascii="Arial" w:eastAsia="Times New Roman" w:hAnsi="Arial" w:cs="Arial"/>
          <w:bCs/>
          <w:kern w:val="1"/>
          <w:sz w:val="18"/>
          <w:szCs w:val="18"/>
          <w:lang w:eastAsia="ar-SA"/>
        </w:rPr>
        <w:t>, de la Constitución Política de los Estados Unidos Mexicanos</w:t>
      </w:r>
      <w:r w:rsidR="00DA25BF">
        <w:rPr>
          <w:rFonts w:ascii="Arial" w:eastAsia="Times New Roman" w:hAnsi="Arial" w:cs="Arial"/>
          <w:bCs/>
          <w:kern w:val="1"/>
          <w:sz w:val="18"/>
          <w:szCs w:val="18"/>
          <w:lang w:eastAsia="ar-SA"/>
        </w:rPr>
        <w:t xml:space="preserve"> </w:t>
      </w:r>
      <w:r w:rsidR="00D55A3C">
        <w:rPr>
          <w:rFonts w:ascii="Arial" w:eastAsia="Times New Roman" w:hAnsi="Arial" w:cs="Arial"/>
          <w:bCs/>
          <w:kern w:val="1"/>
          <w:sz w:val="18"/>
          <w:szCs w:val="18"/>
          <w:lang w:eastAsia="ar-SA"/>
        </w:rPr>
        <w:t>en</w:t>
      </w:r>
      <w:r w:rsidR="00D55A3C" w:rsidRPr="00814A76">
        <w:rPr>
          <w:rFonts w:ascii="Arial" w:eastAsia="Times New Roman" w:hAnsi="Arial" w:cs="Arial"/>
          <w:bCs/>
          <w:kern w:val="1"/>
          <w:sz w:val="18"/>
          <w:szCs w:val="18"/>
          <w:lang w:eastAsia="ar-SA"/>
        </w:rPr>
        <w:t xml:space="preserve"> </w:t>
      </w:r>
      <w:r w:rsidR="00DA25BF" w:rsidRPr="00814A76">
        <w:rPr>
          <w:rFonts w:ascii="Arial" w:eastAsia="Times New Roman" w:hAnsi="Arial" w:cs="Arial"/>
          <w:bCs/>
          <w:kern w:val="1"/>
          <w:sz w:val="18"/>
          <w:szCs w:val="18"/>
          <w:lang w:eastAsia="ar-SA"/>
        </w:rPr>
        <w:t xml:space="preserve">relación </w:t>
      </w:r>
      <w:r w:rsidR="00A92EF7">
        <w:rPr>
          <w:rFonts w:ascii="Arial" w:eastAsia="Times New Roman" w:hAnsi="Arial" w:cs="Arial"/>
          <w:bCs/>
          <w:kern w:val="1"/>
          <w:sz w:val="18"/>
          <w:szCs w:val="18"/>
          <w:lang w:eastAsia="ar-SA"/>
        </w:rPr>
        <w:t>con los artículos t</w:t>
      </w:r>
      <w:r w:rsidR="00DA25BF" w:rsidRPr="00814A76">
        <w:rPr>
          <w:rFonts w:ascii="Arial" w:eastAsia="Times New Roman" w:hAnsi="Arial" w:cs="Arial"/>
          <w:bCs/>
          <w:kern w:val="1"/>
          <w:sz w:val="18"/>
          <w:szCs w:val="18"/>
          <w:lang w:eastAsia="ar-SA"/>
        </w:rPr>
        <w:t>ransitorio</w:t>
      </w:r>
      <w:r w:rsidR="00A92EF7">
        <w:rPr>
          <w:rFonts w:ascii="Arial" w:eastAsia="Times New Roman" w:hAnsi="Arial" w:cs="Arial"/>
          <w:bCs/>
          <w:kern w:val="1"/>
          <w:sz w:val="18"/>
          <w:szCs w:val="18"/>
          <w:lang w:eastAsia="ar-SA"/>
        </w:rPr>
        <w:t>s</w:t>
      </w:r>
      <w:r w:rsidR="00DA25BF" w:rsidRPr="00814A76">
        <w:rPr>
          <w:rFonts w:ascii="Arial" w:eastAsia="Times New Roman" w:hAnsi="Arial" w:cs="Arial"/>
          <w:bCs/>
          <w:kern w:val="1"/>
          <w:sz w:val="18"/>
          <w:szCs w:val="18"/>
          <w:lang w:eastAsia="ar-SA"/>
        </w:rPr>
        <w:t xml:space="preserve"> </w:t>
      </w:r>
      <w:r w:rsidR="00A92EF7">
        <w:rPr>
          <w:rFonts w:ascii="Arial" w:eastAsia="Times New Roman" w:hAnsi="Arial" w:cs="Arial"/>
          <w:bCs/>
          <w:kern w:val="1"/>
          <w:sz w:val="18"/>
          <w:szCs w:val="18"/>
          <w:lang w:eastAsia="ar-SA"/>
        </w:rPr>
        <w:t xml:space="preserve">Primero, Décimo  y </w:t>
      </w:r>
      <w:r w:rsidR="00DA25BF" w:rsidRPr="00814A76">
        <w:rPr>
          <w:rFonts w:ascii="Arial" w:eastAsia="Times New Roman" w:hAnsi="Arial" w:cs="Arial"/>
          <w:bCs/>
          <w:kern w:val="1"/>
          <w:sz w:val="18"/>
          <w:szCs w:val="18"/>
          <w:lang w:eastAsia="ar-SA"/>
        </w:rPr>
        <w:t>Décimo Primero del “</w:t>
      </w:r>
      <w:r w:rsidR="00DA25BF" w:rsidRPr="00A809F2">
        <w:rPr>
          <w:rFonts w:ascii="Arial" w:eastAsia="Times New Roman" w:hAnsi="Arial" w:cs="Arial"/>
          <w:bCs/>
          <w:i/>
          <w:iCs/>
          <w:kern w:val="1"/>
          <w:sz w:val="18"/>
          <w:szCs w:val="18"/>
          <w:lang w:eastAsia="ar-SA"/>
        </w:rPr>
        <w:t>Decreto por el que se reforman, adicionan y derogan diversas disposiciones de la Constitución Política de los Estados Unidos Mexicanos, en materia de simplificación orgánica</w:t>
      </w:r>
      <w:r w:rsidR="00DA25BF" w:rsidRPr="00814A76">
        <w:rPr>
          <w:rFonts w:ascii="Arial" w:eastAsia="Times New Roman" w:hAnsi="Arial" w:cs="Arial"/>
          <w:bCs/>
          <w:kern w:val="1"/>
          <w:sz w:val="18"/>
          <w:szCs w:val="18"/>
          <w:lang w:eastAsia="ar-SA"/>
        </w:rPr>
        <w:t xml:space="preserve">”, publicado en el Diario Oficial de la Federación el </w:t>
      </w:r>
      <w:r w:rsidR="00774048">
        <w:rPr>
          <w:rFonts w:ascii="Arial" w:eastAsia="Times New Roman" w:hAnsi="Arial" w:cs="Arial"/>
          <w:bCs/>
          <w:kern w:val="1"/>
          <w:sz w:val="18"/>
          <w:szCs w:val="18"/>
          <w:lang w:eastAsia="ar-SA"/>
        </w:rPr>
        <w:t>20</w:t>
      </w:r>
      <w:r w:rsidR="008838F6">
        <w:rPr>
          <w:rFonts w:ascii="Arial" w:eastAsia="Times New Roman" w:hAnsi="Arial" w:cs="Arial"/>
          <w:bCs/>
          <w:kern w:val="1"/>
          <w:sz w:val="18"/>
          <w:szCs w:val="18"/>
          <w:lang w:eastAsia="ar-SA"/>
        </w:rPr>
        <w:t xml:space="preserve"> </w:t>
      </w:r>
      <w:r w:rsidR="00DA25BF" w:rsidRPr="00814A76">
        <w:rPr>
          <w:rFonts w:ascii="Arial" w:eastAsia="Times New Roman" w:hAnsi="Arial" w:cs="Arial"/>
          <w:bCs/>
          <w:kern w:val="1"/>
          <w:sz w:val="18"/>
          <w:szCs w:val="18"/>
          <w:lang w:eastAsia="ar-SA"/>
        </w:rPr>
        <w:t>de diciembre de 2024</w:t>
      </w:r>
      <w:r w:rsidRPr="00A361B9">
        <w:rPr>
          <w:rFonts w:ascii="Arial" w:eastAsia="Times New Roman" w:hAnsi="Arial" w:cs="Arial"/>
          <w:bCs/>
          <w:kern w:val="1"/>
          <w:sz w:val="18"/>
          <w:szCs w:val="18"/>
          <w:lang w:eastAsia="ar-SA"/>
        </w:rPr>
        <w:t>; 1, 2, 7, 15 fracciones I y</w:t>
      </w:r>
      <w:r w:rsidR="000C3DEC" w:rsidRPr="00A361B9">
        <w:rPr>
          <w:rFonts w:ascii="Arial" w:eastAsia="Times New Roman" w:hAnsi="Arial" w:cs="Arial"/>
          <w:bCs/>
          <w:kern w:val="1"/>
          <w:sz w:val="18"/>
          <w:szCs w:val="18"/>
          <w:lang w:eastAsia="ar-SA"/>
        </w:rPr>
        <w:t xml:space="preserve"> LVI</w:t>
      </w:r>
      <w:r w:rsidR="00A0467E">
        <w:rPr>
          <w:rFonts w:ascii="Arial" w:eastAsia="Times New Roman" w:hAnsi="Arial" w:cs="Arial"/>
          <w:bCs/>
          <w:kern w:val="1"/>
          <w:sz w:val="18"/>
          <w:szCs w:val="18"/>
          <w:lang w:eastAsia="ar-SA"/>
        </w:rPr>
        <w:t>,</w:t>
      </w:r>
      <w:r w:rsidR="00F922B3">
        <w:rPr>
          <w:rFonts w:ascii="Arial" w:eastAsia="Times New Roman" w:hAnsi="Arial" w:cs="Arial"/>
          <w:bCs/>
          <w:kern w:val="1"/>
          <w:sz w:val="18"/>
          <w:szCs w:val="18"/>
          <w:lang w:eastAsia="ar-SA"/>
        </w:rPr>
        <w:t xml:space="preserve"> 16, 17 fracción I</w:t>
      </w:r>
      <w:r w:rsidR="000C3DEC" w:rsidRPr="00A361B9">
        <w:rPr>
          <w:rFonts w:ascii="Arial" w:eastAsia="Times New Roman" w:hAnsi="Arial" w:cs="Arial"/>
          <w:bCs/>
          <w:kern w:val="1"/>
          <w:sz w:val="18"/>
          <w:szCs w:val="18"/>
          <w:lang w:eastAsia="ar-SA"/>
        </w:rPr>
        <w:t xml:space="preserve"> y 51 de la Ley Federal de Telecomunicaciones y Radiodifusión; 1, 4, fracción I y 6 fracciones I y XXV del Estatuto Orgánico</w:t>
      </w:r>
      <w:r w:rsidRPr="00A361B9">
        <w:rPr>
          <w:rFonts w:ascii="Arial" w:eastAsia="Times New Roman" w:hAnsi="Arial" w:cs="Arial"/>
          <w:bCs/>
          <w:kern w:val="1"/>
          <w:sz w:val="18"/>
          <w:szCs w:val="18"/>
          <w:lang w:eastAsia="ar-SA"/>
        </w:rPr>
        <w:t>, el Pleno de este Instituto expide el siguiente:</w:t>
      </w:r>
    </w:p>
    <w:p w14:paraId="62B9831C" w14:textId="77777777" w:rsidR="00772825" w:rsidRPr="00A361B9" w:rsidRDefault="00772825" w:rsidP="007A55E8">
      <w:pPr>
        <w:suppressAutoHyphens/>
        <w:spacing w:after="0"/>
        <w:ind w:right="49"/>
        <w:jc w:val="center"/>
        <w:rPr>
          <w:rFonts w:ascii="Arial" w:eastAsia="Times New Roman" w:hAnsi="Arial" w:cs="Arial"/>
          <w:bCs/>
          <w:kern w:val="1"/>
          <w:sz w:val="18"/>
          <w:szCs w:val="18"/>
          <w:lang w:eastAsia="ar-SA"/>
        </w:rPr>
      </w:pPr>
    </w:p>
    <w:p w14:paraId="2E87FA36" w14:textId="77777777" w:rsidR="00772825" w:rsidRPr="00A361B9" w:rsidRDefault="00772825" w:rsidP="007A55E8">
      <w:pPr>
        <w:spacing w:after="0"/>
        <w:jc w:val="center"/>
        <w:rPr>
          <w:rFonts w:ascii="Arial" w:hAnsi="Arial" w:cs="Arial"/>
          <w:b/>
          <w:bCs/>
          <w:color w:val="000000"/>
          <w:sz w:val="18"/>
          <w:szCs w:val="18"/>
          <w:lang w:eastAsia="es-MX"/>
        </w:rPr>
      </w:pPr>
      <w:r w:rsidRPr="00A361B9">
        <w:rPr>
          <w:rFonts w:ascii="Arial" w:hAnsi="Arial" w:cs="Arial"/>
          <w:b/>
          <w:bCs/>
          <w:color w:val="000000"/>
          <w:sz w:val="18"/>
          <w:szCs w:val="18"/>
          <w:lang w:eastAsia="es-MX"/>
        </w:rPr>
        <w:t>Acuerdo</w:t>
      </w:r>
    </w:p>
    <w:p w14:paraId="7E1A9C17" w14:textId="77777777" w:rsidR="00772825" w:rsidRPr="00A361B9" w:rsidRDefault="00772825" w:rsidP="007A55E8">
      <w:pPr>
        <w:spacing w:after="0"/>
        <w:jc w:val="center"/>
        <w:rPr>
          <w:rFonts w:ascii="Arial" w:hAnsi="Arial" w:cs="Arial"/>
          <w:b/>
          <w:bCs/>
          <w:color w:val="000000"/>
          <w:sz w:val="18"/>
          <w:szCs w:val="18"/>
          <w:lang w:eastAsia="es-MX"/>
        </w:rPr>
      </w:pPr>
    </w:p>
    <w:p w14:paraId="63E1F1B6" w14:textId="5762CF0B" w:rsidR="003B1A3E" w:rsidRPr="00A361B9" w:rsidRDefault="003B1A3E" w:rsidP="007A55E8">
      <w:pPr>
        <w:pStyle w:val="Default"/>
        <w:tabs>
          <w:tab w:val="left" w:pos="426"/>
        </w:tabs>
        <w:spacing w:line="276" w:lineRule="auto"/>
        <w:jc w:val="both"/>
        <w:rPr>
          <w:rFonts w:ascii="Arial" w:hAnsi="Arial" w:cs="Arial"/>
          <w:color w:val="auto"/>
          <w:sz w:val="18"/>
          <w:szCs w:val="18"/>
          <w:lang w:val="es-ES"/>
        </w:rPr>
      </w:pPr>
      <w:proofErr w:type="gramStart"/>
      <w:r w:rsidRPr="00A361B9">
        <w:rPr>
          <w:rFonts w:ascii="Arial" w:hAnsi="Arial" w:cs="Arial"/>
          <w:b/>
          <w:color w:val="auto"/>
          <w:sz w:val="18"/>
          <w:szCs w:val="18"/>
          <w:lang w:val="es-ES"/>
        </w:rPr>
        <w:t>Único.-</w:t>
      </w:r>
      <w:proofErr w:type="gramEnd"/>
      <w:r w:rsidRPr="00A361B9">
        <w:rPr>
          <w:rFonts w:ascii="Arial" w:hAnsi="Arial" w:cs="Arial"/>
          <w:color w:val="auto"/>
          <w:sz w:val="18"/>
          <w:szCs w:val="18"/>
          <w:lang w:val="es-ES"/>
        </w:rPr>
        <w:t xml:space="preserve">  Se </w:t>
      </w:r>
      <w:r w:rsidRPr="00A361B9">
        <w:rPr>
          <w:rFonts w:ascii="Arial" w:hAnsi="Arial" w:cs="Arial"/>
          <w:b/>
          <w:bCs/>
          <w:color w:val="404040" w:themeColor="text1" w:themeTint="BF"/>
          <w:sz w:val="18"/>
          <w:szCs w:val="18"/>
          <w:lang w:val="es-ES"/>
        </w:rPr>
        <w:t>ADICIONA</w:t>
      </w:r>
      <w:r w:rsidR="00D7519D" w:rsidRPr="00A361B9">
        <w:rPr>
          <w:rFonts w:ascii="Arial" w:hAnsi="Arial" w:cs="Arial"/>
          <w:b/>
          <w:bCs/>
          <w:color w:val="404040" w:themeColor="text1" w:themeTint="BF"/>
          <w:sz w:val="18"/>
          <w:szCs w:val="18"/>
          <w:lang w:val="es-ES"/>
        </w:rPr>
        <w:t>N</w:t>
      </w:r>
      <w:r w:rsidRPr="00A361B9">
        <w:rPr>
          <w:rFonts w:ascii="Arial" w:hAnsi="Arial" w:cs="Arial"/>
          <w:color w:val="404040" w:themeColor="text1" w:themeTint="BF"/>
          <w:sz w:val="18"/>
          <w:szCs w:val="18"/>
          <w:lang w:val="es-ES"/>
        </w:rPr>
        <w:t xml:space="preserve"> </w:t>
      </w:r>
      <w:r w:rsidRPr="00A361B9">
        <w:rPr>
          <w:rFonts w:ascii="Arial" w:hAnsi="Arial" w:cs="Arial"/>
          <w:color w:val="auto"/>
          <w:sz w:val="18"/>
          <w:szCs w:val="18"/>
          <w:lang w:val="es-ES"/>
        </w:rPr>
        <w:t xml:space="preserve">la fracción XIII al artículo 8 y el </w:t>
      </w:r>
      <w:r w:rsidRPr="00A361B9">
        <w:rPr>
          <w:rFonts w:ascii="Arial" w:hAnsi="Arial" w:cs="Arial"/>
          <w:color w:val="404040" w:themeColor="text1" w:themeTint="BF"/>
          <w:sz w:val="18"/>
          <w:szCs w:val="18"/>
          <w:lang w:val="es-ES"/>
        </w:rPr>
        <w:t>Capítulo VI “De la Continuidad de</w:t>
      </w:r>
      <w:r w:rsidR="00CD541F" w:rsidRPr="00A361B9">
        <w:rPr>
          <w:rFonts w:ascii="Arial" w:hAnsi="Arial" w:cs="Arial"/>
          <w:color w:val="404040" w:themeColor="text1" w:themeTint="BF"/>
          <w:sz w:val="18"/>
          <w:szCs w:val="18"/>
          <w:lang w:val="es-ES"/>
        </w:rPr>
        <w:t xml:space="preserve"> </w:t>
      </w:r>
      <w:r w:rsidR="00B46D47" w:rsidRPr="00A361B9">
        <w:rPr>
          <w:rFonts w:ascii="Arial" w:hAnsi="Arial" w:cs="Arial"/>
          <w:color w:val="404040" w:themeColor="text1" w:themeTint="BF"/>
          <w:sz w:val="18"/>
          <w:szCs w:val="18"/>
          <w:lang w:val="es-ES"/>
        </w:rPr>
        <w:t>F</w:t>
      </w:r>
      <w:r w:rsidR="00CD541F" w:rsidRPr="00A361B9">
        <w:rPr>
          <w:rFonts w:ascii="Arial" w:hAnsi="Arial" w:cs="Arial"/>
          <w:color w:val="404040" w:themeColor="text1" w:themeTint="BF"/>
          <w:sz w:val="18"/>
          <w:szCs w:val="18"/>
          <w:lang w:val="es-ES"/>
        </w:rPr>
        <w:t>uncionalidades</w:t>
      </w:r>
      <w:r w:rsidRPr="00A361B9">
        <w:rPr>
          <w:rFonts w:ascii="Arial" w:hAnsi="Arial" w:cs="Arial"/>
          <w:color w:val="404040" w:themeColor="text1" w:themeTint="BF"/>
          <w:sz w:val="18"/>
          <w:szCs w:val="18"/>
          <w:lang w:val="es-ES"/>
        </w:rPr>
        <w:t>”</w:t>
      </w:r>
      <w:r w:rsidR="008C15F8" w:rsidRPr="00A361B9">
        <w:rPr>
          <w:rFonts w:ascii="Arial" w:hAnsi="Arial" w:cs="Arial"/>
          <w:color w:val="404040" w:themeColor="text1" w:themeTint="BF"/>
          <w:sz w:val="18"/>
          <w:szCs w:val="18"/>
          <w:lang w:val="es-ES"/>
        </w:rPr>
        <w:t xml:space="preserve">, que incluye </w:t>
      </w:r>
      <w:r w:rsidRPr="00A361B9">
        <w:rPr>
          <w:rFonts w:ascii="Arial" w:hAnsi="Arial" w:cs="Arial"/>
          <w:color w:val="auto"/>
          <w:sz w:val="18"/>
          <w:szCs w:val="18"/>
          <w:lang w:val="es-ES"/>
        </w:rPr>
        <w:t>los artículos 22, 23, 24</w:t>
      </w:r>
      <w:r w:rsidR="00492D32" w:rsidRPr="00A361B9">
        <w:rPr>
          <w:rFonts w:ascii="Arial" w:hAnsi="Arial" w:cs="Arial"/>
          <w:color w:val="auto"/>
          <w:sz w:val="18"/>
          <w:szCs w:val="18"/>
          <w:lang w:val="es-ES"/>
        </w:rPr>
        <w:t xml:space="preserve">, </w:t>
      </w:r>
      <w:r w:rsidRPr="00A361B9">
        <w:rPr>
          <w:rFonts w:ascii="Arial" w:hAnsi="Arial" w:cs="Arial"/>
          <w:color w:val="auto"/>
          <w:sz w:val="18"/>
          <w:szCs w:val="18"/>
          <w:lang w:val="es-ES"/>
        </w:rPr>
        <w:t>25</w:t>
      </w:r>
      <w:r w:rsidR="00315BCB" w:rsidRPr="00A361B9">
        <w:rPr>
          <w:rFonts w:ascii="Arial" w:hAnsi="Arial" w:cs="Arial"/>
          <w:color w:val="auto"/>
          <w:sz w:val="18"/>
          <w:szCs w:val="18"/>
          <w:lang w:val="es-ES"/>
        </w:rPr>
        <w:t>,</w:t>
      </w:r>
      <w:r w:rsidR="00492D32" w:rsidRPr="00A361B9">
        <w:rPr>
          <w:rFonts w:ascii="Arial" w:hAnsi="Arial" w:cs="Arial"/>
          <w:color w:val="auto"/>
          <w:sz w:val="18"/>
          <w:szCs w:val="18"/>
          <w:lang w:val="es-ES"/>
        </w:rPr>
        <w:t xml:space="preserve"> 26</w:t>
      </w:r>
      <w:r w:rsidRPr="00A361B9">
        <w:rPr>
          <w:rFonts w:ascii="Arial" w:hAnsi="Arial" w:cs="Arial"/>
          <w:color w:val="404040" w:themeColor="text1" w:themeTint="BF"/>
          <w:sz w:val="18"/>
          <w:szCs w:val="18"/>
          <w:lang w:val="es-ES"/>
        </w:rPr>
        <w:t xml:space="preserve"> </w:t>
      </w:r>
      <w:r w:rsidRPr="00A361B9">
        <w:rPr>
          <w:rFonts w:ascii="Arial" w:hAnsi="Arial" w:cs="Arial"/>
          <w:color w:val="auto"/>
          <w:sz w:val="18"/>
          <w:szCs w:val="18"/>
          <w:lang w:val="es-ES"/>
        </w:rPr>
        <w:t>y</w:t>
      </w:r>
      <w:r w:rsidR="001153D0" w:rsidRPr="00A361B9">
        <w:rPr>
          <w:rFonts w:ascii="Arial" w:hAnsi="Arial" w:cs="Arial"/>
          <w:color w:val="auto"/>
          <w:sz w:val="18"/>
          <w:szCs w:val="18"/>
          <w:lang w:val="es-ES"/>
        </w:rPr>
        <w:t>,</w:t>
      </w:r>
      <w:r w:rsidRPr="00A361B9">
        <w:rPr>
          <w:rFonts w:ascii="Arial" w:hAnsi="Arial" w:cs="Arial"/>
          <w:color w:val="auto"/>
          <w:sz w:val="18"/>
          <w:szCs w:val="18"/>
          <w:lang w:val="es-ES"/>
        </w:rPr>
        <w:t xml:space="preserve"> se </w:t>
      </w:r>
      <w:r w:rsidRPr="00A361B9">
        <w:rPr>
          <w:rFonts w:ascii="Arial" w:hAnsi="Arial" w:cs="Arial"/>
          <w:b/>
          <w:bCs/>
          <w:sz w:val="18"/>
          <w:szCs w:val="18"/>
          <w:lang w:val="es-ES"/>
        </w:rPr>
        <w:t>MODIFICA</w:t>
      </w:r>
      <w:r w:rsidR="001153D0" w:rsidRPr="00A361B9">
        <w:rPr>
          <w:rFonts w:ascii="Arial" w:hAnsi="Arial" w:cs="Arial"/>
          <w:b/>
          <w:bCs/>
          <w:sz w:val="18"/>
          <w:szCs w:val="18"/>
          <w:lang w:val="es-ES"/>
        </w:rPr>
        <w:t>N</w:t>
      </w:r>
      <w:r w:rsidRPr="00A361B9">
        <w:rPr>
          <w:rFonts w:ascii="Arial" w:hAnsi="Arial" w:cs="Arial"/>
          <w:sz w:val="18"/>
          <w:szCs w:val="18"/>
          <w:lang w:val="es-ES"/>
        </w:rPr>
        <w:t xml:space="preserve"> </w:t>
      </w:r>
      <w:r w:rsidR="00BF370B" w:rsidRPr="00A361B9">
        <w:rPr>
          <w:rFonts w:ascii="Arial" w:hAnsi="Arial" w:cs="Arial"/>
          <w:sz w:val="18"/>
          <w:szCs w:val="18"/>
          <w:lang w:val="es-ES"/>
        </w:rPr>
        <w:t xml:space="preserve">el artículo 13, fracción VI, así como </w:t>
      </w:r>
      <w:r w:rsidRPr="00A361B9">
        <w:rPr>
          <w:rFonts w:ascii="Arial" w:hAnsi="Arial" w:cs="Arial"/>
          <w:sz w:val="18"/>
          <w:szCs w:val="18"/>
          <w:lang w:val="es-ES"/>
        </w:rPr>
        <w:t>el</w:t>
      </w:r>
      <w:r w:rsidRPr="00A361B9">
        <w:rPr>
          <w:rFonts w:ascii="Arial" w:hAnsi="Arial" w:cs="Arial"/>
          <w:color w:val="auto"/>
          <w:sz w:val="18"/>
          <w:szCs w:val="18"/>
          <w:lang w:val="es-ES"/>
        </w:rPr>
        <w:t xml:space="preserve"> artículo 18, fracción VIII</w:t>
      </w:r>
      <w:r w:rsidR="00701563" w:rsidRPr="00A361B9">
        <w:rPr>
          <w:rFonts w:ascii="Arial" w:hAnsi="Arial" w:cs="Arial"/>
          <w:color w:val="auto"/>
          <w:sz w:val="18"/>
          <w:szCs w:val="18"/>
          <w:lang w:val="es-ES"/>
        </w:rPr>
        <w:t>,</w:t>
      </w:r>
      <w:r w:rsidRPr="00A361B9">
        <w:rPr>
          <w:rFonts w:ascii="Arial" w:hAnsi="Arial" w:cs="Arial"/>
          <w:color w:val="auto"/>
          <w:sz w:val="18"/>
          <w:szCs w:val="18"/>
          <w:lang w:val="es-ES"/>
        </w:rPr>
        <w:t xml:space="preserve"> de los Lineamientos para la comercialización de servicios móviles por parte de Operadores Móviles Virtuales, para quedar como sigue:</w:t>
      </w:r>
    </w:p>
    <w:p w14:paraId="6E02B5A5" w14:textId="77777777" w:rsidR="003B1A3E" w:rsidRPr="00A361B9" w:rsidRDefault="003B1A3E" w:rsidP="007A55E8">
      <w:pPr>
        <w:pStyle w:val="Default"/>
        <w:tabs>
          <w:tab w:val="left" w:pos="426"/>
        </w:tabs>
        <w:spacing w:line="276" w:lineRule="auto"/>
        <w:jc w:val="both"/>
        <w:rPr>
          <w:rFonts w:ascii="Arial" w:hAnsi="Arial" w:cs="Arial"/>
          <w:bCs/>
          <w:color w:val="auto"/>
          <w:sz w:val="18"/>
          <w:szCs w:val="18"/>
        </w:rPr>
      </w:pPr>
    </w:p>
    <w:p w14:paraId="78FF75AC" w14:textId="57970A81" w:rsidR="003B1A3E" w:rsidRPr="00DC42C3" w:rsidRDefault="003B1A3E" w:rsidP="007A55E8">
      <w:pPr>
        <w:pStyle w:val="Texto"/>
        <w:tabs>
          <w:tab w:val="left" w:pos="426"/>
        </w:tabs>
        <w:spacing w:after="0" w:line="276" w:lineRule="auto"/>
        <w:ind w:left="567" w:right="615" w:firstLine="0"/>
        <w:rPr>
          <w:szCs w:val="18"/>
        </w:rPr>
      </w:pPr>
      <w:r w:rsidRPr="00DC42C3">
        <w:rPr>
          <w:b/>
          <w:bCs/>
          <w:szCs w:val="18"/>
        </w:rPr>
        <w:t>Artículo 8</w:t>
      </w:r>
      <w:r w:rsidR="007E0BA5" w:rsidRPr="00DC42C3">
        <w:rPr>
          <w:b/>
          <w:bCs/>
          <w:szCs w:val="18"/>
        </w:rPr>
        <w:t>.</w:t>
      </w:r>
      <w:r w:rsidR="008A0ABF" w:rsidRPr="00DC42C3">
        <w:rPr>
          <w:b/>
          <w:bCs/>
          <w:szCs w:val="18"/>
        </w:rPr>
        <w:t xml:space="preserve"> …</w:t>
      </w:r>
    </w:p>
    <w:p w14:paraId="7B5235B3" w14:textId="77777777" w:rsidR="003B1A3E" w:rsidRPr="00DC42C3" w:rsidRDefault="003B1A3E" w:rsidP="007A55E8">
      <w:pPr>
        <w:pStyle w:val="Texto"/>
        <w:tabs>
          <w:tab w:val="left" w:pos="426"/>
        </w:tabs>
        <w:spacing w:after="0" w:line="276" w:lineRule="auto"/>
        <w:ind w:left="567" w:right="615" w:firstLine="0"/>
        <w:rPr>
          <w:szCs w:val="18"/>
        </w:rPr>
      </w:pPr>
    </w:p>
    <w:p w14:paraId="1BE31BBA" w14:textId="5B451B29" w:rsidR="003B1A3E" w:rsidRPr="00DC42C3" w:rsidRDefault="003B1A3E" w:rsidP="007A55E8">
      <w:pPr>
        <w:pStyle w:val="Texto"/>
        <w:tabs>
          <w:tab w:val="left" w:pos="426"/>
        </w:tabs>
        <w:spacing w:after="0" w:line="276" w:lineRule="auto"/>
        <w:ind w:left="567" w:right="615" w:firstLine="0"/>
        <w:rPr>
          <w:b/>
          <w:szCs w:val="18"/>
        </w:rPr>
      </w:pPr>
      <w:r w:rsidRPr="00DC42C3">
        <w:rPr>
          <w:b/>
          <w:bCs/>
          <w:szCs w:val="18"/>
        </w:rPr>
        <w:t>I a XII.</w:t>
      </w:r>
      <w:r w:rsidRPr="00DC42C3">
        <w:rPr>
          <w:b/>
          <w:szCs w:val="18"/>
        </w:rPr>
        <w:t xml:space="preserve"> …</w:t>
      </w:r>
    </w:p>
    <w:p w14:paraId="72AB603F" w14:textId="77777777" w:rsidR="003B1A3E" w:rsidRPr="00DC42C3" w:rsidRDefault="003B1A3E" w:rsidP="007A55E8">
      <w:pPr>
        <w:pStyle w:val="Texto"/>
        <w:tabs>
          <w:tab w:val="left" w:pos="426"/>
        </w:tabs>
        <w:spacing w:after="0" w:line="276" w:lineRule="auto"/>
        <w:ind w:left="567" w:right="615" w:firstLine="0"/>
        <w:rPr>
          <w:b/>
          <w:szCs w:val="18"/>
        </w:rPr>
      </w:pPr>
    </w:p>
    <w:p w14:paraId="33983B23" w14:textId="0776D466" w:rsidR="003B1A3E" w:rsidRPr="00DC42C3" w:rsidRDefault="003B1A3E" w:rsidP="007A55E8">
      <w:pPr>
        <w:pStyle w:val="Texto"/>
        <w:tabs>
          <w:tab w:val="left" w:pos="426"/>
        </w:tabs>
        <w:spacing w:after="0" w:line="276" w:lineRule="auto"/>
        <w:ind w:left="567" w:right="615" w:firstLine="0"/>
        <w:rPr>
          <w:bCs/>
          <w:szCs w:val="18"/>
        </w:rPr>
      </w:pPr>
      <w:r w:rsidRPr="00DC42C3">
        <w:rPr>
          <w:b/>
          <w:szCs w:val="18"/>
        </w:rPr>
        <w:t xml:space="preserve">XIII. </w:t>
      </w:r>
      <w:r w:rsidR="00E01E76" w:rsidRPr="00DC42C3">
        <w:rPr>
          <w:bCs/>
          <w:szCs w:val="18"/>
        </w:rPr>
        <w:t xml:space="preserve">Llevar a cabo </w:t>
      </w:r>
      <w:r w:rsidRPr="00DC42C3">
        <w:rPr>
          <w:bCs/>
          <w:szCs w:val="18"/>
        </w:rPr>
        <w:t xml:space="preserve">las acciones necesarias para </w:t>
      </w:r>
      <w:r w:rsidR="00433DAF" w:rsidRPr="00DC42C3">
        <w:rPr>
          <w:bCs/>
          <w:szCs w:val="18"/>
        </w:rPr>
        <w:t xml:space="preserve">implementar </w:t>
      </w:r>
      <w:r w:rsidRPr="00DC42C3">
        <w:rPr>
          <w:bCs/>
          <w:szCs w:val="18"/>
        </w:rPr>
        <w:t>el mecanismo establecido en el Capítulo VI de los presentes Lineamientos</w:t>
      </w:r>
      <w:r w:rsidR="00407889" w:rsidRPr="00DC42C3">
        <w:rPr>
          <w:bCs/>
          <w:szCs w:val="18"/>
        </w:rPr>
        <w:t>,</w:t>
      </w:r>
      <w:r w:rsidRPr="00DC42C3">
        <w:rPr>
          <w:bCs/>
          <w:szCs w:val="18"/>
        </w:rPr>
        <w:t xml:space="preserve"> con la finalidad de mantener provisionalmente la conectividad de los usuarios en las redes públicas de telecomunicaciones y salvaguardar </w:t>
      </w:r>
      <w:r w:rsidR="00B95906" w:rsidRPr="00DC42C3">
        <w:rPr>
          <w:bCs/>
          <w:szCs w:val="18"/>
        </w:rPr>
        <w:t>sus derechos</w:t>
      </w:r>
      <w:r w:rsidRPr="00DC42C3">
        <w:rPr>
          <w:bCs/>
          <w:szCs w:val="18"/>
        </w:rPr>
        <w:t>.</w:t>
      </w:r>
    </w:p>
    <w:p w14:paraId="72217711" w14:textId="77777777" w:rsidR="003B1A3E" w:rsidRPr="00DC42C3" w:rsidRDefault="003B1A3E" w:rsidP="007A55E8">
      <w:pPr>
        <w:pStyle w:val="Texto"/>
        <w:tabs>
          <w:tab w:val="left" w:pos="426"/>
        </w:tabs>
        <w:spacing w:after="0" w:line="276" w:lineRule="auto"/>
        <w:ind w:left="567" w:right="615" w:firstLine="0"/>
        <w:rPr>
          <w:bCs/>
          <w:szCs w:val="18"/>
        </w:rPr>
      </w:pPr>
    </w:p>
    <w:p w14:paraId="6F6AA662" w14:textId="542270AC" w:rsidR="00641F3E" w:rsidRPr="00DC42C3" w:rsidRDefault="00641F3E" w:rsidP="007A55E8">
      <w:pPr>
        <w:pStyle w:val="Texto"/>
        <w:tabs>
          <w:tab w:val="left" w:pos="426"/>
        </w:tabs>
        <w:spacing w:after="0" w:line="276" w:lineRule="auto"/>
        <w:ind w:left="567" w:right="615" w:firstLine="0"/>
        <w:rPr>
          <w:szCs w:val="18"/>
        </w:rPr>
      </w:pPr>
      <w:r w:rsidRPr="00DC42C3">
        <w:rPr>
          <w:b/>
          <w:bCs/>
          <w:szCs w:val="18"/>
        </w:rPr>
        <w:t>Artículo 13.</w:t>
      </w:r>
      <w:r w:rsidR="000C6EF7" w:rsidRPr="00DC42C3">
        <w:rPr>
          <w:b/>
          <w:bCs/>
          <w:szCs w:val="18"/>
        </w:rPr>
        <w:t xml:space="preserve"> …</w:t>
      </w:r>
      <w:r w:rsidRPr="00DC42C3">
        <w:rPr>
          <w:szCs w:val="18"/>
        </w:rPr>
        <w:t xml:space="preserve"> </w:t>
      </w:r>
    </w:p>
    <w:p w14:paraId="697DE23A" w14:textId="77777777" w:rsidR="00641F3E" w:rsidRPr="00DC42C3" w:rsidRDefault="00641F3E" w:rsidP="007A55E8">
      <w:pPr>
        <w:pStyle w:val="Texto"/>
        <w:tabs>
          <w:tab w:val="left" w:pos="426"/>
        </w:tabs>
        <w:spacing w:after="0" w:line="276" w:lineRule="auto"/>
        <w:ind w:left="567" w:right="615" w:firstLine="0"/>
        <w:rPr>
          <w:szCs w:val="18"/>
        </w:rPr>
      </w:pPr>
    </w:p>
    <w:p w14:paraId="1D5CC92D" w14:textId="4EC45086" w:rsidR="00641F3E" w:rsidRPr="00DC42C3" w:rsidRDefault="00641F3E" w:rsidP="007A55E8">
      <w:pPr>
        <w:pStyle w:val="Texto"/>
        <w:tabs>
          <w:tab w:val="left" w:pos="426"/>
        </w:tabs>
        <w:spacing w:after="0" w:line="276" w:lineRule="auto"/>
        <w:ind w:left="567" w:right="615" w:firstLine="0"/>
        <w:rPr>
          <w:b/>
          <w:szCs w:val="18"/>
        </w:rPr>
      </w:pPr>
      <w:r w:rsidRPr="00DC42C3">
        <w:rPr>
          <w:b/>
          <w:bCs/>
          <w:szCs w:val="18"/>
        </w:rPr>
        <w:lastRenderedPageBreak/>
        <w:t xml:space="preserve">I a </w:t>
      </w:r>
      <w:r w:rsidR="00FE09D5" w:rsidRPr="00DC42C3">
        <w:rPr>
          <w:b/>
          <w:bCs/>
          <w:szCs w:val="18"/>
        </w:rPr>
        <w:t>V</w:t>
      </w:r>
      <w:r w:rsidRPr="00DC42C3">
        <w:rPr>
          <w:b/>
          <w:bCs/>
          <w:szCs w:val="18"/>
        </w:rPr>
        <w:t>.</w:t>
      </w:r>
      <w:r w:rsidRPr="00DC42C3">
        <w:rPr>
          <w:b/>
          <w:szCs w:val="18"/>
        </w:rPr>
        <w:t xml:space="preserve"> …</w:t>
      </w:r>
    </w:p>
    <w:p w14:paraId="0B9E91BA" w14:textId="77777777" w:rsidR="00641F3E" w:rsidRPr="00DC42C3" w:rsidRDefault="00641F3E" w:rsidP="007A55E8">
      <w:pPr>
        <w:pStyle w:val="Texto"/>
        <w:tabs>
          <w:tab w:val="left" w:pos="426"/>
        </w:tabs>
        <w:spacing w:after="0" w:line="276" w:lineRule="auto"/>
        <w:ind w:left="567" w:right="615" w:firstLine="0"/>
        <w:rPr>
          <w:b/>
          <w:szCs w:val="18"/>
        </w:rPr>
      </w:pPr>
    </w:p>
    <w:p w14:paraId="0CD23293" w14:textId="4857FB45" w:rsidR="00FE09D5" w:rsidRPr="00DC42C3" w:rsidRDefault="00FE09D5" w:rsidP="007A55E8">
      <w:pPr>
        <w:pStyle w:val="Texto"/>
        <w:tabs>
          <w:tab w:val="left" w:pos="426"/>
        </w:tabs>
        <w:spacing w:after="0" w:line="276" w:lineRule="auto"/>
        <w:ind w:left="567" w:right="615" w:firstLine="0"/>
        <w:rPr>
          <w:b/>
          <w:szCs w:val="18"/>
        </w:rPr>
      </w:pPr>
      <w:r w:rsidRPr="00DC42C3">
        <w:rPr>
          <w:b/>
          <w:bCs/>
          <w:szCs w:val="18"/>
        </w:rPr>
        <w:t>V</w:t>
      </w:r>
      <w:r w:rsidR="0020654C" w:rsidRPr="00DC42C3">
        <w:rPr>
          <w:b/>
          <w:bCs/>
          <w:szCs w:val="18"/>
        </w:rPr>
        <w:t>I</w:t>
      </w:r>
      <w:r w:rsidRPr="00DC42C3">
        <w:rPr>
          <w:b/>
          <w:bCs/>
          <w:szCs w:val="18"/>
        </w:rPr>
        <w:t>.</w:t>
      </w:r>
      <w:r w:rsidRPr="00DC42C3">
        <w:rPr>
          <w:b/>
          <w:szCs w:val="18"/>
        </w:rPr>
        <w:t xml:space="preserve"> </w:t>
      </w:r>
      <w:r w:rsidR="0020654C" w:rsidRPr="00DC42C3">
        <w:rPr>
          <w:bCs/>
          <w:szCs w:val="18"/>
        </w:rPr>
        <w:t xml:space="preserve">Dar aviso al usuario final con </w:t>
      </w:r>
      <w:r w:rsidR="000C27DD" w:rsidRPr="00DC42C3">
        <w:rPr>
          <w:bCs/>
          <w:szCs w:val="18"/>
        </w:rPr>
        <w:t>al</w:t>
      </w:r>
      <w:r w:rsidR="0020654C" w:rsidRPr="00DC42C3">
        <w:rPr>
          <w:bCs/>
          <w:szCs w:val="18"/>
        </w:rPr>
        <w:t xml:space="preserve"> menos 30</w:t>
      </w:r>
      <w:r w:rsidR="00D55446">
        <w:rPr>
          <w:bCs/>
          <w:szCs w:val="18"/>
        </w:rPr>
        <w:t>, 15 y 5</w:t>
      </w:r>
      <w:r w:rsidR="0020654C" w:rsidRPr="00DC42C3">
        <w:rPr>
          <w:bCs/>
          <w:szCs w:val="18"/>
        </w:rPr>
        <w:t xml:space="preserve"> días de anticipación en caso del cese de prestación de los servicios contratados por éste</w:t>
      </w:r>
      <w:r w:rsidR="00F70A65" w:rsidRPr="00DC42C3">
        <w:rPr>
          <w:bCs/>
          <w:szCs w:val="18"/>
        </w:rPr>
        <w:t xml:space="preserve">, </w:t>
      </w:r>
      <w:r w:rsidR="00A75090">
        <w:rPr>
          <w:bCs/>
          <w:szCs w:val="18"/>
        </w:rPr>
        <w:t>informándole</w:t>
      </w:r>
      <w:r w:rsidR="002435E6">
        <w:rPr>
          <w:bCs/>
          <w:szCs w:val="18"/>
        </w:rPr>
        <w:t xml:space="preserve"> </w:t>
      </w:r>
      <w:r w:rsidR="00BB61AE">
        <w:rPr>
          <w:bCs/>
          <w:szCs w:val="18"/>
        </w:rPr>
        <w:t xml:space="preserve">la fecha de </w:t>
      </w:r>
      <w:r w:rsidR="004B473D">
        <w:rPr>
          <w:bCs/>
          <w:szCs w:val="18"/>
        </w:rPr>
        <w:t>conclusión de su servicio,</w:t>
      </w:r>
      <w:r w:rsidR="006D4128">
        <w:rPr>
          <w:bCs/>
          <w:szCs w:val="18"/>
        </w:rPr>
        <w:t xml:space="preserve"> sobre </w:t>
      </w:r>
      <w:r w:rsidR="0065116E" w:rsidRPr="0065116E">
        <w:rPr>
          <w:bCs/>
          <w:szCs w:val="18"/>
        </w:rPr>
        <w:t>su derecho a la portabilidad numérica, y en su caso</w:t>
      </w:r>
      <w:r w:rsidR="00902FB1">
        <w:rPr>
          <w:bCs/>
          <w:szCs w:val="18"/>
        </w:rPr>
        <w:t>,</w:t>
      </w:r>
      <w:r w:rsidR="0065116E" w:rsidRPr="0065116E">
        <w:rPr>
          <w:bCs/>
          <w:szCs w:val="18"/>
        </w:rPr>
        <w:t xml:space="preserve"> las alternativas de concesionarios y/o autorizados que puedan ofrecer la continuidad en la prestación de los servicios</w:t>
      </w:r>
      <w:r w:rsidR="006D4128">
        <w:rPr>
          <w:bCs/>
          <w:szCs w:val="18"/>
        </w:rPr>
        <w:t>.</w:t>
      </w:r>
      <w:r w:rsidR="0065116E">
        <w:rPr>
          <w:bCs/>
          <w:szCs w:val="18"/>
        </w:rPr>
        <w:t xml:space="preserve"> </w:t>
      </w:r>
      <w:r w:rsidR="003C6C99">
        <w:rPr>
          <w:bCs/>
          <w:szCs w:val="18"/>
        </w:rPr>
        <w:t>Asimismo</w:t>
      </w:r>
      <w:r w:rsidR="003972E0">
        <w:rPr>
          <w:bCs/>
          <w:szCs w:val="18"/>
        </w:rPr>
        <w:t>,</w:t>
      </w:r>
      <w:r w:rsidR="006D4128">
        <w:rPr>
          <w:bCs/>
          <w:szCs w:val="18"/>
        </w:rPr>
        <w:t xml:space="preserve"> deberá</w:t>
      </w:r>
      <w:r w:rsidR="00F70A65" w:rsidRPr="00DC42C3">
        <w:rPr>
          <w:bCs/>
          <w:szCs w:val="18"/>
        </w:rPr>
        <w:t xml:space="preserve"> notificar al Concesionario Mayorista Móvil respecto</w:t>
      </w:r>
      <w:r w:rsidR="002B312E">
        <w:rPr>
          <w:bCs/>
          <w:szCs w:val="18"/>
        </w:rPr>
        <w:t xml:space="preserve"> de la fecha de</w:t>
      </w:r>
      <w:r w:rsidR="00F70A65" w:rsidRPr="00DC42C3">
        <w:rPr>
          <w:bCs/>
          <w:szCs w:val="18"/>
        </w:rPr>
        <w:t xml:space="preserve"> </w:t>
      </w:r>
      <w:r w:rsidR="002B312E" w:rsidRPr="00DC42C3">
        <w:t xml:space="preserve">suspensión definitiva de los servicios de telecomunicaciones </w:t>
      </w:r>
      <w:r w:rsidR="00F70A65" w:rsidRPr="00DC42C3">
        <w:rPr>
          <w:bCs/>
          <w:szCs w:val="18"/>
        </w:rPr>
        <w:t>en los términos y plazos establecidos en el contrato entre las partes</w:t>
      </w:r>
      <w:r w:rsidR="00EF4E97" w:rsidRPr="00DC42C3">
        <w:rPr>
          <w:bCs/>
          <w:szCs w:val="18"/>
        </w:rPr>
        <w:t>; y</w:t>
      </w:r>
      <w:r w:rsidR="00F70A65" w:rsidRPr="00DC42C3" w:rsidDel="00F70A65">
        <w:rPr>
          <w:bCs/>
          <w:szCs w:val="18"/>
        </w:rPr>
        <w:t xml:space="preserve"> </w:t>
      </w:r>
    </w:p>
    <w:p w14:paraId="2E436BBD" w14:textId="77777777" w:rsidR="00641F3E" w:rsidRPr="00DC42C3" w:rsidRDefault="00641F3E" w:rsidP="007A55E8">
      <w:pPr>
        <w:pStyle w:val="Texto"/>
        <w:tabs>
          <w:tab w:val="left" w:pos="426"/>
        </w:tabs>
        <w:spacing w:after="0" w:line="276" w:lineRule="auto"/>
        <w:ind w:left="567" w:right="615" w:firstLine="0"/>
        <w:rPr>
          <w:bCs/>
          <w:szCs w:val="18"/>
        </w:rPr>
      </w:pPr>
    </w:p>
    <w:p w14:paraId="7E7554B1" w14:textId="29439F5D" w:rsidR="004B211F" w:rsidRPr="00DC42C3" w:rsidRDefault="00D566D7" w:rsidP="007A55E8">
      <w:pPr>
        <w:pStyle w:val="Texto"/>
        <w:tabs>
          <w:tab w:val="left" w:pos="426"/>
        </w:tabs>
        <w:spacing w:after="0" w:line="276" w:lineRule="auto"/>
        <w:ind w:left="567" w:right="615" w:firstLine="0"/>
        <w:rPr>
          <w:b/>
          <w:bCs/>
          <w:szCs w:val="18"/>
        </w:rPr>
      </w:pPr>
      <w:r w:rsidRPr="00DC42C3">
        <w:rPr>
          <w:b/>
          <w:bCs/>
          <w:szCs w:val="18"/>
        </w:rPr>
        <w:t>VII. …</w:t>
      </w:r>
    </w:p>
    <w:p w14:paraId="42E603A6" w14:textId="77777777" w:rsidR="00D566D7" w:rsidRPr="00DC42C3" w:rsidRDefault="00D566D7" w:rsidP="007A55E8">
      <w:pPr>
        <w:pStyle w:val="Texto"/>
        <w:tabs>
          <w:tab w:val="left" w:pos="426"/>
        </w:tabs>
        <w:spacing w:after="0" w:line="276" w:lineRule="auto"/>
        <w:ind w:left="567" w:right="615" w:firstLine="0"/>
        <w:rPr>
          <w:bCs/>
          <w:szCs w:val="18"/>
        </w:rPr>
      </w:pPr>
    </w:p>
    <w:p w14:paraId="08E1C0B7" w14:textId="43724402" w:rsidR="003B1A3E" w:rsidRPr="00DC42C3" w:rsidRDefault="003B1A3E" w:rsidP="007A55E8">
      <w:pPr>
        <w:pStyle w:val="Texto"/>
        <w:tabs>
          <w:tab w:val="left" w:pos="426"/>
        </w:tabs>
        <w:spacing w:after="0" w:line="276" w:lineRule="auto"/>
        <w:ind w:left="567" w:right="615" w:firstLine="0"/>
        <w:rPr>
          <w:szCs w:val="18"/>
        </w:rPr>
      </w:pPr>
      <w:r w:rsidRPr="00DC42C3">
        <w:rPr>
          <w:b/>
          <w:szCs w:val="18"/>
        </w:rPr>
        <w:t>Artículo 18</w:t>
      </w:r>
      <w:r w:rsidR="007E0BA5" w:rsidRPr="00DC42C3">
        <w:rPr>
          <w:b/>
          <w:szCs w:val="18"/>
        </w:rPr>
        <w:t>.</w:t>
      </w:r>
      <w:r w:rsidRPr="00DC42C3">
        <w:rPr>
          <w:b/>
          <w:szCs w:val="18"/>
        </w:rPr>
        <w:t xml:space="preserve"> </w:t>
      </w:r>
      <w:r w:rsidR="00D8168E" w:rsidRPr="00DC42C3">
        <w:rPr>
          <w:b/>
          <w:szCs w:val="18"/>
        </w:rPr>
        <w:t>…</w:t>
      </w:r>
    </w:p>
    <w:p w14:paraId="57AAD192" w14:textId="77777777" w:rsidR="003B1A3E" w:rsidRPr="00DC42C3" w:rsidRDefault="003B1A3E" w:rsidP="007A55E8">
      <w:pPr>
        <w:pStyle w:val="Texto"/>
        <w:tabs>
          <w:tab w:val="left" w:pos="426"/>
        </w:tabs>
        <w:spacing w:after="0" w:line="276" w:lineRule="auto"/>
        <w:ind w:left="567" w:right="615" w:firstLine="0"/>
        <w:rPr>
          <w:szCs w:val="18"/>
        </w:rPr>
      </w:pPr>
    </w:p>
    <w:p w14:paraId="4F36A481" w14:textId="2BC38038" w:rsidR="003B1A3E" w:rsidRPr="00DC42C3" w:rsidRDefault="003B1A3E" w:rsidP="007A55E8">
      <w:pPr>
        <w:pStyle w:val="Texto"/>
        <w:tabs>
          <w:tab w:val="left" w:pos="426"/>
        </w:tabs>
        <w:spacing w:after="0" w:line="276" w:lineRule="auto"/>
        <w:ind w:left="567" w:right="615" w:firstLine="0"/>
        <w:rPr>
          <w:szCs w:val="18"/>
        </w:rPr>
      </w:pPr>
      <w:r w:rsidRPr="00DC42C3">
        <w:rPr>
          <w:b/>
          <w:bCs/>
          <w:szCs w:val="18"/>
        </w:rPr>
        <w:t>I a VII.</w:t>
      </w:r>
      <w:r w:rsidRPr="00DC42C3">
        <w:rPr>
          <w:b/>
          <w:szCs w:val="18"/>
        </w:rPr>
        <w:t xml:space="preserve"> …</w:t>
      </w:r>
    </w:p>
    <w:p w14:paraId="7E51DA3A" w14:textId="77777777" w:rsidR="003B1A3E" w:rsidRPr="00DC42C3" w:rsidRDefault="003B1A3E" w:rsidP="007A55E8">
      <w:pPr>
        <w:pStyle w:val="ROMANOS"/>
        <w:tabs>
          <w:tab w:val="clear" w:pos="720"/>
          <w:tab w:val="left" w:pos="426"/>
        </w:tabs>
        <w:spacing w:after="0" w:line="276" w:lineRule="auto"/>
        <w:ind w:left="567" w:right="615" w:firstLine="0"/>
        <w:rPr>
          <w:b/>
        </w:rPr>
      </w:pPr>
    </w:p>
    <w:p w14:paraId="252DDC75" w14:textId="59FEA7EE" w:rsidR="003B1A3E" w:rsidRPr="00DC42C3" w:rsidRDefault="003B1A3E" w:rsidP="007A55E8">
      <w:pPr>
        <w:pStyle w:val="ROMANOS"/>
        <w:tabs>
          <w:tab w:val="clear" w:pos="720"/>
          <w:tab w:val="left" w:pos="426"/>
        </w:tabs>
        <w:spacing w:after="0" w:line="276" w:lineRule="auto"/>
        <w:ind w:left="567" w:right="615" w:firstLine="0"/>
        <w:rPr>
          <w:bCs/>
        </w:rPr>
      </w:pPr>
      <w:r w:rsidRPr="00DC42C3">
        <w:rPr>
          <w:b/>
        </w:rPr>
        <w:t xml:space="preserve">VIII. </w:t>
      </w:r>
      <w:r w:rsidRPr="00DC42C3">
        <w:rPr>
          <w:bCs/>
        </w:rPr>
        <w:t>Cláusula(s) en la(s) cual(es) el Concesionario Mayorista Móvil señale expresamente que garantizar</w:t>
      </w:r>
      <w:r w:rsidR="00216678" w:rsidRPr="00DC42C3">
        <w:rPr>
          <w:bCs/>
        </w:rPr>
        <w:t>á</w:t>
      </w:r>
      <w:r w:rsidRPr="00DC42C3">
        <w:rPr>
          <w:bCs/>
        </w:rPr>
        <w:t xml:space="preserve"> la continuidad </w:t>
      </w:r>
      <w:r w:rsidR="003C78A1" w:rsidRPr="00DC42C3">
        <w:rPr>
          <w:bCs/>
        </w:rPr>
        <w:t xml:space="preserve">de funcionalidades </w:t>
      </w:r>
      <w:r w:rsidRPr="00DC42C3">
        <w:rPr>
          <w:bCs/>
        </w:rPr>
        <w:t>al usuario</w:t>
      </w:r>
      <w:r w:rsidR="003C71A8" w:rsidRPr="00DC42C3">
        <w:rPr>
          <w:bCs/>
        </w:rPr>
        <w:t>,</w:t>
      </w:r>
      <w:r w:rsidRPr="00DC42C3">
        <w:rPr>
          <w:bCs/>
        </w:rPr>
        <w:t xml:space="preserve"> de conformidad con lo establecido en el Capítulo VI de los presentes Lineamientos y, por otro lado, </w:t>
      </w:r>
      <w:r w:rsidR="007632F6" w:rsidRPr="00DC42C3">
        <w:rPr>
          <w:bCs/>
        </w:rPr>
        <w:t xml:space="preserve">que </w:t>
      </w:r>
      <w:r w:rsidRPr="00DC42C3">
        <w:rPr>
          <w:bCs/>
        </w:rPr>
        <w:t>indique</w:t>
      </w:r>
      <w:r w:rsidR="00B933DC" w:rsidRPr="00DC42C3">
        <w:rPr>
          <w:bCs/>
        </w:rPr>
        <w:t>n</w:t>
      </w:r>
      <w:r w:rsidRPr="00DC42C3">
        <w:rPr>
          <w:bCs/>
        </w:rPr>
        <w:t xml:space="preserve"> los sistemas y procedimientos que se seguirán para la atención de fallas e incidencias, trabajos de emergencia, programación de los mantenimientos respectivos</w:t>
      </w:r>
      <w:r w:rsidR="00FE40C8" w:rsidRPr="00DC42C3">
        <w:rPr>
          <w:bCs/>
        </w:rPr>
        <w:t xml:space="preserve"> y cualquier otra que asegure la continuidad en la prestación de los Servicios Mayoristas de Telecomunicaciones Móviles y de los Servicios Móviles al usuario final;</w:t>
      </w:r>
    </w:p>
    <w:p w14:paraId="6B6F31DE" w14:textId="77777777" w:rsidR="003B1A3E" w:rsidRPr="00DC42C3" w:rsidRDefault="003B1A3E" w:rsidP="007A55E8">
      <w:pPr>
        <w:pStyle w:val="ROMANOS"/>
        <w:tabs>
          <w:tab w:val="clear" w:pos="720"/>
          <w:tab w:val="left" w:pos="426"/>
        </w:tabs>
        <w:spacing w:after="0" w:line="276" w:lineRule="auto"/>
        <w:ind w:left="567" w:right="615" w:firstLine="0"/>
        <w:rPr>
          <w:b/>
        </w:rPr>
      </w:pPr>
    </w:p>
    <w:p w14:paraId="23D908C9" w14:textId="2CF1DF4E" w:rsidR="003B1A3E" w:rsidRPr="00DC42C3" w:rsidRDefault="003B1A3E" w:rsidP="007A55E8">
      <w:pPr>
        <w:pStyle w:val="ROMANOS"/>
        <w:tabs>
          <w:tab w:val="clear" w:pos="720"/>
          <w:tab w:val="left" w:pos="426"/>
        </w:tabs>
        <w:spacing w:after="0" w:line="276" w:lineRule="auto"/>
        <w:ind w:left="567" w:right="615" w:firstLine="0"/>
      </w:pPr>
      <w:r w:rsidRPr="00DC42C3">
        <w:rPr>
          <w:b/>
        </w:rPr>
        <w:t>IX. a XX. …</w:t>
      </w:r>
    </w:p>
    <w:p w14:paraId="5832D9AA" w14:textId="77777777" w:rsidR="003B1A3E" w:rsidRPr="00DC42C3" w:rsidRDefault="003B1A3E" w:rsidP="007A55E8">
      <w:pPr>
        <w:pStyle w:val="ROMANOS"/>
        <w:tabs>
          <w:tab w:val="clear" w:pos="720"/>
          <w:tab w:val="left" w:pos="288"/>
          <w:tab w:val="left" w:pos="426"/>
        </w:tabs>
        <w:spacing w:after="0" w:line="276" w:lineRule="auto"/>
        <w:ind w:left="567" w:right="615" w:firstLine="0"/>
        <w:rPr>
          <w:b/>
          <w:bCs/>
        </w:rPr>
      </w:pPr>
      <w:r w:rsidRPr="00DC42C3">
        <w:rPr>
          <w:b/>
          <w:bCs/>
        </w:rPr>
        <w:t>…</w:t>
      </w:r>
    </w:p>
    <w:p w14:paraId="31D53603" w14:textId="77777777" w:rsidR="003B1A3E" w:rsidRPr="00DC42C3" w:rsidRDefault="003B1A3E" w:rsidP="007A55E8">
      <w:pPr>
        <w:pStyle w:val="ROMANOS"/>
        <w:tabs>
          <w:tab w:val="clear" w:pos="720"/>
          <w:tab w:val="left" w:pos="288"/>
          <w:tab w:val="left" w:pos="426"/>
        </w:tabs>
        <w:spacing w:after="0" w:line="276" w:lineRule="auto"/>
        <w:ind w:left="567" w:right="615" w:firstLine="0"/>
        <w:rPr>
          <w:b/>
          <w:bCs/>
        </w:rPr>
      </w:pPr>
    </w:p>
    <w:p w14:paraId="5B85D01A" w14:textId="77777777" w:rsidR="003B1A3E" w:rsidRPr="00DC42C3" w:rsidRDefault="003B1A3E" w:rsidP="007A55E8">
      <w:pPr>
        <w:pStyle w:val="Texto"/>
        <w:tabs>
          <w:tab w:val="left" w:pos="288"/>
          <w:tab w:val="left" w:pos="426"/>
        </w:tabs>
        <w:spacing w:after="0" w:line="276" w:lineRule="auto"/>
        <w:ind w:left="567" w:right="615" w:firstLine="0"/>
        <w:jc w:val="center"/>
        <w:rPr>
          <w:b/>
          <w:bCs/>
          <w:szCs w:val="18"/>
        </w:rPr>
      </w:pPr>
      <w:r w:rsidRPr="00DC42C3">
        <w:rPr>
          <w:b/>
          <w:bCs/>
          <w:szCs w:val="18"/>
        </w:rPr>
        <w:t>CAPÍTULO VI</w:t>
      </w:r>
    </w:p>
    <w:p w14:paraId="378D6C6F" w14:textId="20DB935F" w:rsidR="003B1A3E" w:rsidRPr="00DC42C3" w:rsidRDefault="003B1A3E" w:rsidP="007A55E8">
      <w:pPr>
        <w:pStyle w:val="Texto"/>
        <w:tabs>
          <w:tab w:val="left" w:pos="288"/>
          <w:tab w:val="left" w:pos="426"/>
        </w:tabs>
        <w:spacing w:after="0" w:line="276" w:lineRule="auto"/>
        <w:ind w:left="567" w:right="615" w:firstLine="0"/>
        <w:jc w:val="center"/>
        <w:rPr>
          <w:b/>
          <w:bCs/>
          <w:szCs w:val="18"/>
        </w:rPr>
      </w:pPr>
      <w:r w:rsidRPr="00DC42C3">
        <w:rPr>
          <w:b/>
          <w:bCs/>
          <w:szCs w:val="18"/>
        </w:rPr>
        <w:t>DE LA CONTINUIDAD DE</w:t>
      </w:r>
      <w:r w:rsidR="008824A7" w:rsidRPr="00DC42C3">
        <w:rPr>
          <w:b/>
          <w:bCs/>
          <w:szCs w:val="18"/>
        </w:rPr>
        <w:t xml:space="preserve"> FUNCIONALIDADES</w:t>
      </w:r>
    </w:p>
    <w:p w14:paraId="4785A2E2" w14:textId="77777777" w:rsidR="003B1A3E" w:rsidRPr="00DC42C3" w:rsidRDefault="003B1A3E" w:rsidP="007A55E8">
      <w:pPr>
        <w:pStyle w:val="ROMANOS"/>
        <w:tabs>
          <w:tab w:val="clear" w:pos="720"/>
          <w:tab w:val="left" w:pos="288"/>
          <w:tab w:val="left" w:pos="426"/>
        </w:tabs>
        <w:spacing w:after="0" w:line="276" w:lineRule="auto"/>
        <w:ind w:left="567" w:right="615"/>
        <w:rPr>
          <w:b/>
          <w:bCs/>
        </w:rPr>
      </w:pPr>
    </w:p>
    <w:p w14:paraId="6CC699A8" w14:textId="51789FEA" w:rsidR="003B1A3E" w:rsidRPr="00DC42C3" w:rsidRDefault="003B1A3E" w:rsidP="007A55E8">
      <w:pPr>
        <w:pStyle w:val="ROMANOS"/>
        <w:tabs>
          <w:tab w:val="clear" w:pos="720"/>
          <w:tab w:val="left" w:pos="288"/>
          <w:tab w:val="left" w:pos="426"/>
        </w:tabs>
        <w:spacing w:after="0" w:line="276" w:lineRule="auto"/>
        <w:ind w:left="567" w:right="615" w:firstLine="4"/>
        <w:rPr>
          <w:b/>
          <w:bCs/>
        </w:rPr>
      </w:pPr>
      <w:r w:rsidRPr="00DC42C3">
        <w:rPr>
          <w:b/>
          <w:bCs/>
        </w:rPr>
        <w:t xml:space="preserve">Artículo 22. </w:t>
      </w:r>
      <w:r w:rsidRPr="00DC42C3">
        <w:t xml:space="preserve">Cuando un Operador Móvil Virtual </w:t>
      </w:r>
      <w:r w:rsidR="00F2542A" w:rsidRPr="00DC42C3">
        <w:t xml:space="preserve">cese </w:t>
      </w:r>
      <w:r w:rsidR="0046442D" w:rsidRPr="00DC42C3">
        <w:t>operaciones</w:t>
      </w:r>
      <w:r w:rsidR="00B51AB2" w:rsidRPr="00DC42C3">
        <w:t>,</w:t>
      </w:r>
      <w:r w:rsidR="00F2542A" w:rsidRPr="00DC42C3">
        <w:t xml:space="preserve"> </w:t>
      </w:r>
      <w:r w:rsidRPr="00DC42C3">
        <w:t>suspend</w:t>
      </w:r>
      <w:r w:rsidR="00F2542A" w:rsidRPr="00DC42C3">
        <w:t>iendo</w:t>
      </w:r>
      <w:r w:rsidRPr="00DC42C3">
        <w:t xml:space="preserve"> </w:t>
      </w:r>
      <w:r w:rsidR="00D774D6" w:rsidRPr="00DC42C3">
        <w:t>de manera definitiva</w:t>
      </w:r>
      <w:r w:rsidRPr="00DC42C3">
        <w:t xml:space="preserve"> la prestación de servicios de telecomunicaciones a sus usuarios finales</w:t>
      </w:r>
      <w:r w:rsidR="00B5129B" w:rsidRPr="00DC42C3">
        <w:t>,</w:t>
      </w:r>
      <w:r w:rsidRPr="00DC42C3">
        <w:t xml:space="preserve"> y no </w:t>
      </w:r>
      <w:r w:rsidR="000A21BC" w:rsidRPr="00DC42C3">
        <w:t xml:space="preserve">exista o no </w:t>
      </w:r>
      <w:r w:rsidR="00890993" w:rsidRPr="00DC42C3">
        <w:t>se haya llevado a cabo un</w:t>
      </w:r>
      <w:r w:rsidR="006F3466" w:rsidRPr="00DC42C3">
        <w:t>a</w:t>
      </w:r>
      <w:r w:rsidRPr="00DC42C3">
        <w:t xml:space="preserve"> migración</w:t>
      </w:r>
      <w:r w:rsidR="00BF0B55" w:rsidRPr="00DC42C3">
        <w:t xml:space="preserve"> </w:t>
      </w:r>
      <w:r w:rsidR="00877117">
        <w:t xml:space="preserve">de usuarios </w:t>
      </w:r>
      <w:r w:rsidR="00BF0B55" w:rsidRPr="00DC42C3">
        <w:t>total</w:t>
      </w:r>
      <w:r w:rsidRPr="00DC42C3">
        <w:t xml:space="preserve"> hacia otro</w:t>
      </w:r>
      <w:r w:rsidR="00821840" w:rsidRPr="00DC42C3">
        <w:t>s</w:t>
      </w:r>
      <w:r w:rsidRPr="00DC42C3">
        <w:t xml:space="preserve"> concesionario</w:t>
      </w:r>
      <w:r w:rsidR="00821840" w:rsidRPr="00DC42C3">
        <w:t>s</w:t>
      </w:r>
      <w:r w:rsidRPr="00DC42C3">
        <w:t xml:space="preserve"> u </w:t>
      </w:r>
      <w:r w:rsidR="000364DC" w:rsidRPr="00DC42C3">
        <w:t xml:space="preserve">Operadores </w:t>
      </w:r>
      <w:r w:rsidRPr="00DC42C3">
        <w:t>Móvil</w:t>
      </w:r>
      <w:r w:rsidR="006518DB" w:rsidRPr="00DC42C3">
        <w:t>es</w:t>
      </w:r>
      <w:r w:rsidRPr="00DC42C3">
        <w:t xml:space="preserve"> Virtual</w:t>
      </w:r>
      <w:r w:rsidR="006518DB" w:rsidRPr="00DC42C3">
        <w:t>es</w:t>
      </w:r>
      <w:r w:rsidRPr="00DC42C3">
        <w:t xml:space="preserve">, el Concesionario Mayorista Móvil con quien </w:t>
      </w:r>
      <w:r w:rsidR="00B5129B" w:rsidRPr="00DC42C3">
        <w:t>se haya</w:t>
      </w:r>
      <w:r w:rsidR="00FE341F" w:rsidRPr="00DC42C3">
        <w:t xml:space="preserve"> celebrado</w:t>
      </w:r>
      <w:r w:rsidR="00B5129B" w:rsidRPr="00DC42C3">
        <w:t xml:space="preserve"> </w:t>
      </w:r>
      <w:r w:rsidRPr="00DC42C3">
        <w:t xml:space="preserve">un Contrato de Servicios Mayoristas de Telecomunicaciones Móviles </w:t>
      </w:r>
      <w:r w:rsidR="00A94BA2" w:rsidRPr="00DC42C3">
        <w:t xml:space="preserve">deberá </w:t>
      </w:r>
      <w:r w:rsidR="00FE341F" w:rsidRPr="00DC42C3">
        <w:t xml:space="preserve">garantizar a </w:t>
      </w:r>
      <w:r w:rsidR="00B91A39" w:rsidRPr="00DC42C3">
        <w:t xml:space="preserve">dichos </w:t>
      </w:r>
      <w:r w:rsidRPr="00DC42C3">
        <w:t xml:space="preserve">usuarios las funcionalidades </w:t>
      </w:r>
      <w:r w:rsidR="00B91A39" w:rsidRPr="00DC42C3">
        <w:t>necesarias para realizar la</w:t>
      </w:r>
      <w:r w:rsidRPr="00DC42C3">
        <w:t xml:space="preserve"> portabilidad</w:t>
      </w:r>
      <w:r w:rsidR="008345E4" w:rsidRPr="00DC42C3">
        <w:t xml:space="preserve"> numérica</w:t>
      </w:r>
      <w:r w:rsidR="002C2984" w:rsidRPr="00DC42C3">
        <w:t>,</w:t>
      </w:r>
      <w:r w:rsidR="00ED38DB" w:rsidRPr="00DC42C3">
        <w:t xml:space="preserve"> así como</w:t>
      </w:r>
      <w:r w:rsidR="007205F7" w:rsidRPr="00DC42C3">
        <w:t xml:space="preserve"> </w:t>
      </w:r>
      <w:r w:rsidR="006162AD" w:rsidRPr="00DC42C3">
        <w:t xml:space="preserve">la capacidad de </w:t>
      </w:r>
      <w:r w:rsidR="00C9216F" w:rsidRPr="00DC42C3">
        <w:t xml:space="preserve">realizar </w:t>
      </w:r>
      <w:r w:rsidR="007205F7" w:rsidRPr="00DC42C3">
        <w:t>llam</w:t>
      </w:r>
      <w:r w:rsidR="00B8500D" w:rsidRPr="00DC42C3">
        <w:t>adas</w:t>
      </w:r>
      <w:r w:rsidR="00044A69" w:rsidRPr="00DC42C3">
        <w:t xml:space="preserve"> a números</w:t>
      </w:r>
      <w:r w:rsidR="00B8500D" w:rsidRPr="00DC42C3">
        <w:t xml:space="preserve"> de emergencia,</w:t>
      </w:r>
      <w:r w:rsidR="00E06616" w:rsidRPr="00DC42C3">
        <w:t xml:space="preserve"> </w:t>
      </w:r>
      <w:r w:rsidRPr="00DC42C3">
        <w:t xml:space="preserve">durante un periodo de </w:t>
      </w:r>
      <w:r w:rsidR="00A94BA2" w:rsidRPr="00DC42C3">
        <w:t>4</w:t>
      </w:r>
      <w:r w:rsidRPr="00DC42C3">
        <w:t xml:space="preserve">0 días </w:t>
      </w:r>
      <w:r w:rsidR="00F878B9" w:rsidRPr="00DC42C3">
        <w:t>naturales</w:t>
      </w:r>
      <w:r w:rsidR="003844A1" w:rsidRPr="00DC42C3">
        <w:t xml:space="preserve">, contados a partir </w:t>
      </w:r>
      <w:r w:rsidR="0020338A">
        <w:t xml:space="preserve">de </w:t>
      </w:r>
      <w:r w:rsidR="00C44E93">
        <w:t>la</w:t>
      </w:r>
      <w:r w:rsidR="00DF78C9" w:rsidRPr="00DC42C3">
        <w:t xml:space="preserve"> </w:t>
      </w:r>
      <w:r w:rsidR="00FD3A3A" w:rsidRPr="00DC42C3">
        <w:t>suspensión definitiva de los servicios de telecomunicaciones</w:t>
      </w:r>
      <w:r w:rsidR="00FD3A3A">
        <w:t xml:space="preserve"> </w:t>
      </w:r>
      <w:r w:rsidR="006D4EAA">
        <w:t xml:space="preserve">y/o </w:t>
      </w:r>
      <w:r w:rsidR="00DE4DDB" w:rsidRPr="00DC42C3">
        <w:t>de la re</w:t>
      </w:r>
      <w:r w:rsidR="008E5771">
        <w:t>s</w:t>
      </w:r>
      <w:r w:rsidR="00DE4DDB" w:rsidRPr="00DC42C3">
        <w:t>cisión o terminación del contrato por la prestación de servicios mayoristas móviles</w:t>
      </w:r>
      <w:r w:rsidR="00DF78C9" w:rsidRPr="00DC42C3">
        <w:t xml:space="preserve"> con el Operador Móvil Virtual</w:t>
      </w:r>
      <w:r w:rsidRPr="00DC42C3">
        <w:rPr>
          <w:b/>
          <w:bCs/>
        </w:rPr>
        <w:t>.</w:t>
      </w:r>
    </w:p>
    <w:p w14:paraId="7BF3FA04" w14:textId="77777777" w:rsidR="00AA7485" w:rsidRPr="00DC42C3" w:rsidRDefault="00AA7485" w:rsidP="007A55E8">
      <w:pPr>
        <w:pStyle w:val="ROMANOS"/>
        <w:tabs>
          <w:tab w:val="clear" w:pos="720"/>
          <w:tab w:val="left" w:pos="288"/>
          <w:tab w:val="left" w:pos="426"/>
        </w:tabs>
        <w:spacing w:after="0" w:line="276" w:lineRule="auto"/>
        <w:ind w:left="567" w:right="615" w:firstLine="4"/>
        <w:rPr>
          <w:b/>
          <w:bCs/>
        </w:rPr>
      </w:pPr>
    </w:p>
    <w:p w14:paraId="1BD15183" w14:textId="724F6D3D" w:rsidR="00AA7485" w:rsidRPr="00DC42C3" w:rsidRDefault="007245E7" w:rsidP="007A55E8">
      <w:pPr>
        <w:pStyle w:val="Texto"/>
        <w:tabs>
          <w:tab w:val="left" w:pos="426"/>
        </w:tabs>
        <w:spacing w:after="0" w:line="276" w:lineRule="auto"/>
        <w:ind w:left="567" w:right="615" w:firstLine="0"/>
        <w:rPr>
          <w:b/>
          <w:szCs w:val="18"/>
        </w:rPr>
      </w:pPr>
      <w:r w:rsidRPr="00DC42C3">
        <w:rPr>
          <w:bCs/>
          <w:szCs w:val="18"/>
        </w:rPr>
        <w:t>En</w:t>
      </w:r>
      <w:r w:rsidR="00AA7485" w:rsidRPr="00DC42C3">
        <w:rPr>
          <w:bCs/>
          <w:szCs w:val="18"/>
        </w:rPr>
        <w:t xml:space="preserve"> el caso de los Operadores Móviles Virtuales que cuent</w:t>
      </w:r>
      <w:r w:rsidRPr="00DC42C3">
        <w:rPr>
          <w:bCs/>
          <w:szCs w:val="18"/>
        </w:rPr>
        <w:t>e</w:t>
      </w:r>
      <w:r w:rsidR="00AA7485" w:rsidRPr="00DC42C3">
        <w:rPr>
          <w:bCs/>
          <w:szCs w:val="18"/>
        </w:rPr>
        <w:t xml:space="preserve">n con infraestructura para la gestión de </w:t>
      </w:r>
      <w:r w:rsidR="00483416" w:rsidRPr="00DC42C3">
        <w:rPr>
          <w:bCs/>
          <w:szCs w:val="18"/>
        </w:rPr>
        <w:t>los servicios provistos a los usuarios finales,</w:t>
      </w:r>
      <w:r w:rsidR="00051999" w:rsidRPr="00DC42C3">
        <w:rPr>
          <w:bCs/>
          <w:szCs w:val="18"/>
        </w:rPr>
        <w:t xml:space="preserve"> </w:t>
      </w:r>
      <w:r w:rsidR="00894869" w:rsidRPr="00DC42C3">
        <w:rPr>
          <w:bCs/>
          <w:szCs w:val="18"/>
        </w:rPr>
        <w:t>será obligación</w:t>
      </w:r>
      <w:r w:rsidR="00493450" w:rsidRPr="00DC42C3">
        <w:rPr>
          <w:bCs/>
          <w:szCs w:val="18"/>
        </w:rPr>
        <w:t xml:space="preserve"> de estos</w:t>
      </w:r>
      <w:r w:rsidR="00483416" w:rsidRPr="00DC42C3">
        <w:rPr>
          <w:bCs/>
          <w:szCs w:val="18"/>
        </w:rPr>
        <w:t xml:space="preserve"> entregar </w:t>
      </w:r>
      <w:r w:rsidR="00501084" w:rsidRPr="00DC42C3">
        <w:rPr>
          <w:bCs/>
          <w:szCs w:val="18"/>
        </w:rPr>
        <w:t xml:space="preserve">al Concesionario Mayorista Móvil, </w:t>
      </w:r>
      <w:r w:rsidR="00216BE0" w:rsidRPr="00DC42C3">
        <w:rPr>
          <w:bCs/>
          <w:szCs w:val="18"/>
          <w:lang w:val="es-ES"/>
        </w:rPr>
        <w:t>junto con</w:t>
      </w:r>
      <w:r w:rsidR="00322201" w:rsidRPr="00DC42C3">
        <w:rPr>
          <w:bCs/>
          <w:szCs w:val="18"/>
          <w:lang w:val="es-ES"/>
        </w:rPr>
        <w:t xml:space="preserve"> </w:t>
      </w:r>
      <w:r w:rsidR="004F5736" w:rsidRPr="00DC42C3">
        <w:rPr>
          <w:bCs/>
          <w:szCs w:val="18"/>
          <w:lang w:val="es-ES"/>
        </w:rPr>
        <w:t xml:space="preserve">la notificación </w:t>
      </w:r>
      <w:r w:rsidR="00270EFB" w:rsidRPr="00DC42C3">
        <w:rPr>
          <w:bCs/>
          <w:szCs w:val="18"/>
          <w:lang w:val="es-ES"/>
        </w:rPr>
        <w:t>de</w:t>
      </w:r>
      <w:r w:rsidR="004F5736" w:rsidRPr="00DC42C3">
        <w:rPr>
          <w:bCs/>
          <w:szCs w:val="18"/>
          <w:lang w:val="es-ES"/>
        </w:rPr>
        <w:t xml:space="preserve"> cese de</w:t>
      </w:r>
      <w:r w:rsidR="002D77A6" w:rsidRPr="00DC42C3">
        <w:rPr>
          <w:bCs/>
          <w:szCs w:val="18"/>
          <w:lang w:val="es-ES"/>
        </w:rPr>
        <w:t>finitivo de</w:t>
      </w:r>
      <w:r w:rsidR="004F5736" w:rsidRPr="00DC42C3">
        <w:rPr>
          <w:bCs/>
          <w:szCs w:val="18"/>
          <w:lang w:val="es-ES"/>
        </w:rPr>
        <w:t xml:space="preserve"> operaciones, </w:t>
      </w:r>
      <w:r w:rsidR="00AA7485" w:rsidRPr="00DC42C3">
        <w:rPr>
          <w:bCs/>
          <w:szCs w:val="18"/>
        </w:rPr>
        <w:t>toda información técnica necesaria para la identificación de los usuarios activos en su red, a efecto de que</w:t>
      </w:r>
      <w:r w:rsidR="00531771" w:rsidRPr="00DC42C3">
        <w:rPr>
          <w:bCs/>
          <w:szCs w:val="18"/>
        </w:rPr>
        <w:t>,</w:t>
      </w:r>
      <w:r w:rsidR="00AA7485" w:rsidRPr="00DC42C3">
        <w:rPr>
          <w:bCs/>
          <w:szCs w:val="18"/>
        </w:rPr>
        <w:t xml:space="preserve"> </w:t>
      </w:r>
      <w:r w:rsidR="003C2223" w:rsidRPr="00DC42C3">
        <w:rPr>
          <w:bCs/>
          <w:szCs w:val="18"/>
        </w:rPr>
        <w:t xml:space="preserve">en caso de ser </w:t>
      </w:r>
      <w:r w:rsidR="00AC6F59" w:rsidRPr="00DC42C3">
        <w:rPr>
          <w:bCs/>
          <w:szCs w:val="18"/>
        </w:rPr>
        <w:t>necesario, sean</w:t>
      </w:r>
      <w:r w:rsidR="00AA7485" w:rsidRPr="00DC42C3">
        <w:rPr>
          <w:bCs/>
          <w:szCs w:val="18"/>
        </w:rPr>
        <w:t xml:space="preserve"> </w:t>
      </w:r>
      <w:r w:rsidR="00961DE8" w:rsidRPr="00DC42C3">
        <w:rPr>
          <w:bCs/>
          <w:szCs w:val="18"/>
        </w:rPr>
        <w:t>implementadas las</w:t>
      </w:r>
      <w:r w:rsidR="00AA7485" w:rsidRPr="00DC42C3">
        <w:rPr>
          <w:bCs/>
          <w:szCs w:val="18"/>
        </w:rPr>
        <w:t xml:space="preserve"> </w:t>
      </w:r>
      <w:r w:rsidR="00AB2EFE">
        <w:rPr>
          <w:bCs/>
          <w:szCs w:val="18"/>
        </w:rPr>
        <w:t>funcionalidades</w:t>
      </w:r>
      <w:r w:rsidR="00AB2EFE" w:rsidRPr="00DC42C3">
        <w:rPr>
          <w:bCs/>
          <w:szCs w:val="18"/>
        </w:rPr>
        <w:t xml:space="preserve"> </w:t>
      </w:r>
      <w:r w:rsidR="005815B3" w:rsidRPr="00DC42C3">
        <w:rPr>
          <w:bCs/>
          <w:szCs w:val="18"/>
        </w:rPr>
        <w:t>a las que se refiere el párrafo anterior</w:t>
      </w:r>
      <w:r w:rsidR="00051999" w:rsidRPr="00DC42C3">
        <w:rPr>
          <w:bCs/>
          <w:szCs w:val="18"/>
        </w:rPr>
        <w:t>.</w:t>
      </w:r>
      <w:r w:rsidR="00466B2C" w:rsidRPr="00DC42C3">
        <w:rPr>
          <w:bCs/>
          <w:szCs w:val="18"/>
        </w:rPr>
        <w:t xml:space="preserve"> </w:t>
      </w:r>
      <w:r w:rsidR="004A447A" w:rsidRPr="00DC42C3">
        <w:rPr>
          <w:bCs/>
          <w:szCs w:val="18"/>
        </w:rPr>
        <w:t xml:space="preserve">Los Concesionarios Mayoristas Móviles </w:t>
      </w:r>
      <w:r w:rsidR="00FC6A92" w:rsidRPr="00DC42C3">
        <w:rPr>
          <w:bCs/>
          <w:szCs w:val="18"/>
        </w:rPr>
        <w:t xml:space="preserve">no estarán obligados a </w:t>
      </w:r>
      <w:r w:rsidR="004640A7" w:rsidRPr="00DC42C3">
        <w:rPr>
          <w:bCs/>
          <w:szCs w:val="18"/>
        </w:rPr>
        <w:t xml:space="preserve">implementar las funcionalidades </w:t>
      </w:r>
      <w:r w:rsidR="006F2051" w:rsidRPr="00DC42C3">
        <w:rPr>
          <w:bCs/>
          <w:szCs w:val="18"/>
        </w:rPr>
        <w:t xml:space="preserve">si los Operadores Móviles Virtuales </w:t>
      </w:r>
      <w:r w:rsidR="00271178" w:rsidRPr="00DC42C3">
        <w:rPr>
          <w:bCs/>
          <w:szCs w:val="18"/>
          <w:lang w:val="es-ES"/>
        </w:rPr>
        <w:t>que cuenten con infraestructura para la gestión de los servicios provistos a los usuarios finales</w:t>
      </w:r>
      <w:r w:rsidR="000143CB" w:rsidRPr="00DC42C3">
        <w:rPr>
          <w:bCs/>
          <w:szCs w:val="18"/>
          <w:lang w:val="es-ES"/>
        </w:rPr>
        <w:t xml:space="preserve"> incumplen con su obligación de entregar </w:t>
      </w:r>
      <w:r w:rsidR="0036287E" w:rsidRPr="00DC42C3">
        <w:rPr>
          <w:bCs/>
          <w:szCs w:val="18"/>
          <w:lang w:val="es-ES"/>
        </w:rPr>
        <w:t>la información mencionada en este párrafo.</w:t>
      </w:r>
    </w:p>
    <w:p w14:paraId="3ACAA356" w14:textId="77777777" w:rsidR="00AA7485" w:rsidRPr="00DC42C3" w:rsidRDefault="00AA7485" w:rsidP="007A55E8">
      <w:pPr>
        <w:pStyle w:val="ROMANOS"/>
        <w:tabs>
          <w:tab w:val="clear" w:pos="720"/>
          <w:tab w:val="left" w:pos="288"/>
          <w:tab w:val="left" w:pos="426"/>
        </w:tabs>
        <w:spacing w:after="0" w:line="276" w:lineRule="auto"/>
        <w:ind w:left="567" w:right="615" w:firstLine="4"/>
        <w:rPr>
          <w:b/>
          <w:bCs/>
        </w:rPr>
      </w:pPr>
    </w:p>
    <w:p w14:paraId="63EE1E0D" w14:textId="12670B42" w:rsidR="00A05F3B" w:rsidRPr="00DC42C3" w:rsidRDefault="00051999" w:rsidP="007A55E8">
      <w:pPr>
        <w:pStyle w:val="ROMANOS"/>
        <w:tabs>
          <w:tab w:val="clear" w:pos="720"/>
          <w:tab w:val="left" w:pos="288"/>
          <w:tab w:val="left" w:pos="426"/>
        </w:tabs>
        <w:spacing w:after="0" w:line="276" w:lineRule="auto"/>
        <w:ind w:left="567" w:right="615" w:firstLine="4"/>
      </w:pPr>
      <w:r w:rsidRPr="00DC42C3">
        <w:rPr>
          <w:b/>
          <w:bCs/>
        </w:rPr>
        <w:t>Artículo 23</w:t>
      </w:r>
      <w:r w:rsidRPr="00DC42C3">
        <w:t xml:space="preserve">. </w:t>
      </w:r>
      <w:r w:rsidR="00A05F3B" w:rsidRPr="00DC42C3">
        <w:t xml:space="preserve">Las funcionalidades </w:t>
      </w:r>
      <w:r w:rsidR="0073537D" w:rsidRPr="00DC42C3">
        <w:t xml:space="preserve">temporales </w:t>
      </w:r>
      <w:r w:rsidR="00A05F3B" w:rsidRPr="00DC42C3">
        <w:t>que deberá brindar el Concesionario Mayorista Móvil se limitarán a l</w:t>
      </w:r>
      <w:r w:rsidR="009357D9" w:rsidRPr="00DC42C3">
        <w:t xml:space="preserve">a conexión </w:t>
      </w:r>
      <w:r w:rsidR="00747249" w:rsidRPr="00DC42C3">
        <w:t xml:space="preserve">en su red </w:t>
      </w:r>
      <w:r w:rsidR="009357D9" w:rsidRPr="00DC42C3">
        <w:t xml:space="preserve">del equipo terminal del usuario </w:t>
      </w:r>
      <w:r w:rsidR="00362595" w:rsidRPr="00DC42C3">
        <w:t>con los siguientes propósitos</w:t>
      </w:r>
      <w:r w:rsidR="00625DB2" w:rsidRPr="00DC42C3">
        <w:t>:</w:t>
      </w:r>
    </w:p>
    <w:p w14:paraId="62C08ED7" w14:textId="77777777" w:rsidR="007656AA" w:rsidRPr="00DC42C3" w:rsidRDefault="007656AA" w:rsidP="007A55E8">
      <w:pPr>
        <w:pStyle w:val="ROMANOS"/>
        <w:tabs>
          <w:tab w:val="clear" w:pos="720"/>
          <w:tab w:val="left" w:pos="288"/>
          <w:tab w:val="left" w:pos="426"/>
        </w:tabs>
        <w:spacing w:after="0" w:line="276" w:lineRule="auto"/>
        <w:ind w:left="567" w:right="615" w:firstLine="4"/>
      </w:pPr>
    </w:p>
    <w:p w14:paraId="3B027CB8" w14:textId="7A11FBDF" w:rsidR="00071416" w:rsidRPr="00DC42C3" w:rsidRDefault="00901CF7" w:rsidP="007A55E8">
      <w:pPr>
        <w:pStyle w:val="ROMANOS"/>
        <w:numPr>
          <w:ilvl w:val="0"/>
          <w:numId w:val="23"/>
        </w:numPr>
        <w:tabs>
          <w:tab w:val="clear" w:pos="720"/>
          <w:tab w:val="left" w:pos="288"/>
          <w:tab w:val="left" w:pos="426"/>
        </w:tabs>
        <w:spacing w:after="0" w:line="276" w:lineRule="auto"/>
        <w:ind w:right="615"/>
      </w:pPr>
      <w:proofErr w:type="spellStart"/>
      <w:r w:rsidRPr="00DC42C3">
        <w:t>Originación</w:t>
      </w:r>
      <w:proofErr w:type="spellEnd"/>
      <w:r w:rsidRPr="00DC42C3">
        <w:t xml:space="preserve"> y terminación de </w:t>
      </w:r>
      <w:r w:rsidR="0089723A" w:rsidRPr="00DC42C3">
        <w:t xml:space="preserve">las </w:t>
      </w:r>
      <w:r w:rsidRPr="00DC42C3">
        <w:t xml:space="preserve">llamadas y/o mensajes cortos </w:t>
      </w:r>
      <w:r w:rsidR="000A5BC2" w:rsidRPr="00DC42C3">
        <w:t>previstos</w:t>
      </w:r>
      <w:r w:rsidR="00AA5BC8" w:rsidRPr="00DC42C3">
        <w:t xml:space="preserve"> en las Reglas de Porta</w:t>
      </w:r>
      <w:r w:rsidR="00996619" w:rsidRPr="00DC42C3">
        <w:t>bilidad;</w:t>
      </w:r>
    </w:p>
    <w:p w14:paraId="2B0FE99B" w14:textId="77777777" w:rsidR="00CB67D5" w:rsidRPr="00DC42C3" w:rsidRDefault="00CB67D5" w:rsidP="007A55E8">
      <w:pPr>
        <w:pStyle w:val="ROMANOS"/>
        <w:tabs>
          <w:tab w:val="clear" w:pos="720"/>
          <w:tab w:val="left" w:pos="288"/>
          <w:tab w:val="left" w:pos="426"/>
        </w:tabs>
        <w:spacing w:after="0" w:line="276" w:lineRule="auto"/>
        <w:ind w:left="1291" w:right="615" w:firstLine="0"/>
      </w:pPr>
    </w:p>
    <w:p w14:paraId="434B7DA1" w14:textId="44498C04" w:rsidR="00996619" w:rsidRPr="00DC42C3" w:rsidRDefault="00996619" w:rsidP="007A55E8">
      <w:pPr>
        <w:pStyle w:val="ROMANOS"/>
        <w:numPr>
          <w:ilvl w:val="0"/>
          <w:numId w:val="23"/>
        </w:numPr>
        <w:tabs>
          <w:tab w:val="clear" w:pos="720"/>
          <w:tab w:val="left" w:pos="426"/>
        </w:tabs>
        <w:spacing w:after="0" w:line="276" w:lineRule="auto"/>
        <w:ind w:right="615"/>
      </w:pPr>
      <w:proofErr w:type="spellStart"/>
      <w:r w:rsidRPr="00DC42C3">
        <w:lastRenderedPageBreak/>
        <w:t>Originación</w:t>
      </w:r>
      <w:proofErr w:type="spellEnd"/>
      <w:r w:rsidRPr="00DC42C3">
        <w:t xml:space="preserve"> de llamadas con destino a los números de emergencia establecidos en los Lineamientos de Colaboración en Materia de Seguridad y Justicia</w:t>
      </w:r>
      <w:r w:rsidR="003A0155" w:rsidRPr="00DC42C3">
        <w:t xml:space="preserve"> y</w:t>
      </w:r>
    </w:p>
    <w:p w14:paraId="6AB850D5" w14:textId="77777777" w:rsidR="00CB67D5" w:rsidRPr="00DC42C3" w:rsidRDefault="00CB67D5" w:rsidP="007A55E8">
      <w:pPr>
        <w:pStyle w:val="ROMANOS"/>
        <w:tabs>
          <w:tab w:val="clear" w:pos="720"/>
          <w:tab w:val="left" w:pos="426"/>
        </w:tabs>
        <w:spacing w:after="0" w:line="276" w:lineRule="auto"/>
        <w:ind w:left="1291" w:right="615" w:firstLine="0"/>
      </w:pPr>
    </w:p>
    <w:p w14:paraId="169F1EF4" w14:textId="68AF4808" w:rsidR="00C55478" w:rsidRPr="00DC42C3" w:rsidRDefault="00AE14B1" w:rsidP="007A55E8">
      <w:pPr>
        <w:pStyle w:val="ROMANOS"/>
        <w:numPr>
          <w:ilvl w:val="0"/>
          <w:numId w:val="23"/>
        </w:numPr>
        <w:tabs>
          <w:tab w:val="clear" w:pos="720"/>
          <w:tab w:val="left" w:pos="288"/>
          <w:tab w:val="left" w:pos="426"/>
        </w:tabs>
        <w:spacing w:after="0" w:line="276" w:lineRule="auto"/>
        <w:ind w:right="615"/>
        <w:rPr>
          <w:shd w:val="clear" w:color="auto" w:fill="FFFFFF"/>
        </w:rPr>
      </w:pPr>
      <w:r w:rsidRPr="00DC42C3">
        <w:t xml:space="preserve">Cualquier comunicación con el usuario </w:t>
      </w:r>
      <w:r w:rsidR="00592115" w:rsidRPr="00DC42C3">
        <w:t xml:space="preserve">para </w:t>
      </w:r>
      <w:r w:rsidR="00250D65" w:rsidRPr="00DC42C3">
        <w:t xml:space="preserve">brindar </w:t>
      </w:r>
      <w:r w:rsidR="00592115" w:rsidRPr="00DC42C3">
        <w:t>información</w:t>
      </w:r>
      <w:r w:rsidR="005C72A9" w:rsidRPr="00DC42C3">
        <w:t xml:space="preserve"> relacionad</w:t>
      </w:r>
      <w:r w:rsidR="00090F6F" w:rsidRPr="00DC42C3">
        <w:t>a</w:t>
      </w:r>
      <w:r w:rsidR="005C72A9" w:rsidRPr="00DC42C3">
        <w:t xml:space="preserve"> con el trámite de portabilidad</w:t>
      </w:r>
      <w:r w:rsidR="007D10EC" w:rsidRPr="00DC42C3">
        <w:t xml:space="preserve"> numérica</w:t>
      </w:r>
      <w:r w:rsidR="00C55478" w:rsidRPr="00DC42C3">
        <w:t xml:space="preserve"> </w:t>
      </w:r>
      <w:r w:rsidR="00E4639B" w:rsidRPr="00DC42C3">
        <w:rPr>
          <w:shd w:val="clear" w:color="auto" w:fill="FFFFFF"/>
        </w:rPr>
        <w:t>y/o</w:t>
      </w:r>
      <w:r w:rsidR="00C55478" w:rsidRPr="00DC42C3">
        <w:rPr>
          <w:shd w:val="clear" w:color="auto" w:fill="FFFFFF"/>
        </w:rPr>
        <w:t xml:space="preserve"> </w:t>
      </w:r>
      <w:r w:rsidR="007D10EC" w:rsidRPr="00DC42C3">
        <w:rPr>
          <w:shd w:val="clear" w:color="auto" w:fill="FFFFFF"/>
        </w:rPr>
        <w:t xml:space="preserve">para la </w:t>
      </w:r>
      <w:r w:rsidR="00C55478" w:rsidRPr="00DC42C3">
        <w:rPr>
          <w:shd w:val="clear" w:color="auto" w:fill="FFFFFF"/>
        </w:rPr>
        <w:t xml:space="preserve">atención </w:t>
      </w:r>
      <w:r w:rsidR="007D10EC" w:rsidRPr="00DC42C3">
        <w:rPr>
          <w:shd w:val="clear" w:color="auto" w:fill="FFFFFF"/>
        </w:rPr>
        <w:t xml:space="preserve">de </w:t>
      </w:r>
      <w:r w:rsidR="0076657C" w:rsidRPr="00DC42C3">
        <w:rPr>
          <w:kern w:val="1"/>
          <w:lang w:eastAsia="ar-SA"/>
        </w:rPr>
        <w:t>cualquier tipo de consulta</w:t>
      </w:r>
      <w:r w:rsidR="00B16B6C" w:rsidRPr="00DC42C3">
        <w:rPr>
          <w:kern w:val="1"/>
          <w:lang w:eastAsia="ar-SA"/>
        </w:rPr>
        <w:t xml:space="preserve"> de los usuarios</w:t>
      </w:r>
      <w:r w:rsidR="0076657C" w:rsidRPr="00DC42C3">
        <w:rPr>
          <w:kern w:val="1"/>
          <w:lang w:eastAsia="ar-SA"/>
        </w:rPr>
        <w:t xml:space="preserve"> relacionada con </w:t>
      </w:r>
      <w:r w:rsidR="00521954" w:rsidRPr="00DC42C3">
        <w:rPr>
          <w:kern w:val="1"/>
          <w:lang w:eastAsia="ar-SA"/>
        </w:rPr>
        <w:t>su número</w:t>
      </w:r>
      <w:r w:rsidR="0076657C" w:rsidRPr="00DC42C3">
        <w:rPr>
          <w:kern w:val="1"/>
          <w:lang w:eastAsia="ar-SA"/>
        </w:rPr>
        <w:t>.</w:t>
      </w:r>
    </w:p>
    <w:p w14:paraId="6093BDAA" w14:textId="2C6D9858" w:rsidR="00D30B19" w:rsidRPr="00DC42C3" w:rsidRDefault="00D30B19" w:rsidP="007A55E8">
      <w:pPr>
        <w:pStyle w:val="ROMANOS"/>
        <w:tabs>
          <w:tab w:val="clear" w:pos="720"/>
          <w:tab w:val="left" w:pos="288"/>
          <w:tab w:val="left" w:pos="426"/>
        </w:tabs>
        <w:spacing w:after="0" w:line="276" w:lineRule="auto"/>
        <w:ind w:left="567" w:right="615" w:firstLine="4"/>
        <w:rPr>
          <w:b/>
          <w:bCs/>
        </w:rPr>
      </w:pPr>
    </w:p>
    <w:p w14:paraId="4D9FAAE9" w14:textId="71F2B1B0" w:rsidR="003B1A3E" w:rsidRPr="00DC42C3" w:rsidRDefault="003B1A3E" w:rsidP="007A55E8">
      <w:pPr>
        <w:pStyle w:val="ROMANOS"/>
        <w:tabs>
          <w:tab w:val="clear" w:pos="720"/>
          <w:tab w:val="left" w:pos="288"/>
          <w:tab w:val="left" w:pos="426"/>
        </w:tabs>
        <w:spacing w:after="0" w:line="276" w:lineRule="auto"/>
        <w:ind w:left="567" w:right="615" w:firstLine="0"/>
      </w:pPr>
      <w:r w:rsidRPr="00DC42C3">
        <w:rPr>
          <w:b/>
          <w:bCs/>
        </w:rPr>
        <w:t>Artículo 2</w:t>
      </w:r>
      <w:r w:rsidR="005E11D5" w:rsidRPr="00DC42C3">
        <w:rPr>
          <w:b/>
          <w:bCs/>
        </w:rPr>
        <w:t>4</w:t>
      </w:r>
      <w:r w:rsidRPr="00DC42C3">
        <w:rPr>
          <w:b/>
          <w:bCs/>
        </w:rPr>
        <w:t xml:space="preserve">. </w:t>
      </w:r>
      <w:r w:rsidR="00FF2813" w:rsidRPr="00DC42C3">
        <w:t xml:space="preserve">A partir de la </w:t>
      </w:r>
      <w:r w:rsidR="006E7A32" w:rsidRPr="00DC42C3">
        <w:t>suspensión definitiva de los servicios de telecomunicaciones</w:t>
      </w:r>
      <w:r w:rsidR="003E0D49">
        <w:t xml:space="preserve"> por parte del Operador Móvil Virtual</w:t>
      </w:r>
      <w:r w:rsidR="006E7A32" w:rsidRPr="00DC42C3">
        <w:t xml:space="preserve"> </w:t>
      </w:r>
      <w:r w:rsidR="003E0D49">
        <w:t xml:space="preserve">y/o de la </w:t>
      </w:r>
      <w:r w:rsidR="00FF2813" w:rsidRPr="00DC42C3">
        <w:t>re</w:t>
      </w:r>
      <w:r w:rsidR="008E5771">
        <w:t>s</w:t>
      </w:r>
      <w:r w:rsidR="00FF2813" w:rsidRPr="00DC42C3">
        <w:t xml:space="preserve">cisión </w:t>
      </w:r>
      <w:r w:rsidR="002E48F1" w:rsidRPr="00DC42C3">
        <w:t xml:space="preserve">o terminación </w:t>
      </w:r>
      <w:r w:rsidR="00FF2813" w:rsidRPr="00DC42C3">
        <w:t xml:space="preserve">del contrato </w:t>
      </w:r>
      <w:r w:rsidR="000D67F0" w:rsidRPr="00DC42C3">
        <w:t xml:space="preserve">por la prestación de servicios mayoristas móviles </w:t>
      </w:r>
      <w:r w:rsidR="003364CA" w:rsidRPr="00DC42C3">
        <w:t xml:space="preserve">con </w:t>
      </w:r>
      <w:r w:rsidR="000D67F0" w:rsidRPr="00DC42C3">
        <w:t>el</w:t>
      </w:r>
      <w:r w:rsidRPr="00DC42C3">
        <w:t xml:space="preserve"> Operador Móvil Virtual, </w:t>
      </w:r>
      <w:r w:rsidR="00CB0991" w:rsidRPr="00DC42C3">
        <w:t xml:space="preserve">el Concesionario Mayorista Móvil deberá </w:t>
      </w:r>
      <w:r w:rsidRPr="00DC42C3">
        <w:t xml:space="preserve">informar </w:t>
      </w:r>
      <w:r w:rsidR="00EF613E" w:rsidRPr="00DC42C3">
        <w:t xml:space="preserve">dicha circunstancia </w:t>
      </w:r>
      <w:r w:rsidRPr="00DC42C3">
        <w:t xml:space="preserve">al Instituto </w:t>
      </w:r>
      <w:r w:rsidR="003C3F0E" w:rsidRPr="00DC42C3">
        <w:t xml:space="preserve">e iniciar con la prestación </w:t>
      </w:r>
      <w:r w:rsidR="00D45AD8" w:rsidRPr="00DC42C3">
        <w:t xml:space="preserve">de las funcionalidades </w:t>
      </w:r>
      <w:r w:rsidR="007B2542" w:rsidRPr="00DC42C3">
        <w:t xml:space="preserve">a las que se refiere el artículo anterior, </w:t>
      </w:r>
      <w:r w:rsidRPr="00DC42C3">
        <w:t>a más tardar al día hábil siguiente.</w:t>
      </w:r>
    </w:p>
    <w:p w14:paraId="016C8211" w14:textId="77777777" w:rsidR="003B1A3E" w:rsidRPr="00DC42C3" w:rsidRDefault="003B1A3E" w:rsidP="007A55E8">
      <w:pPr>
        <w:pStyle w:val="ROMANOS"/>
        <w:tabs>
          <w:tab w:val="clear" w:pos="720"/>
          <w:tab w:val="left" w:pos="288"/>
          <w:tab w:val="left" w:pos="426"/>
        </w:tabs>
        <w:spacing w:after="0" w:line="276" w:lineRule="auto"/>
        <w:ind w:left="567" w:right="615" w:firstLine="0"/>
      </w:pPr>
    </w:p>
    <w:p w14:paraId="3AC67C59" w14:textId="782F9380" w:rsidR="003B1A3E" w:rsidRPr="00DC42C3" w:rsidRDefault="003B1A3E" w:rsidP="007A55E8">
      <w:pPr>
        <w:pStyle w:val="ROMANOS"/>
        <w:tabs>
          <w:tab w:val="clear" w:pos="720"/>
          <w:tab w:val="left" w:pos="288"/>
          <w:tab w:val="left" w:pos="426"/>
        </w:tabs>
        <w:spacing w:after="0" w:line="276" w:lineRule="auto"/>
        <w:ind w:left="567" w:right="615" w:firstLine="0"/>
      </w:pPr>
      <w:r w:rsidRPr="00DC42C3">
        <w:t xml:space="preserve">El aviso </w:t>
      </w:r>
      <w:r w:rsidR="00614025" w:rsidRPr="00DC42C3">
        <w:t xml:space="preserve">se realizará mediante escrito libre y </w:t>
      </w:r>
      <w:r w:rsidRPr="00DC42C3">
        <w:t xml:space="preserve">deberá contener el nombre del Concesionario Mayorista Móvil, así como del Operador Móvil Virtual y la cantidad de usuarios finales a los que se les brindarán las funcionalidades </w:t>
      </w:r>
      <w:r w:rsidR="00027802" w:rsidRPr="00DC42C3">
        <w:t>a las que se refiere el artículo anterior</w:t>
      </w:r>
      <w:r w:rsidR="00A22AEE" w:rsidRPr="00DC42C3">
        <w:t>,</w:t>
      </w:r>
      <w:r w:rsidR="00027802" w:rsidRPr="00DC42C3">
        <w:t xml:space="preserve"> así como la</w:t>
      </w:r>
      <w:r w:rsidR="00A22AEE" w:rsidRPr="00DC42C3">
        <w:t xml:space="preserve"> descripción de los hechos que motiva</w:t>
      </w:r>
      <w:r w:rsidR="00027802" w:rsidRPr="00DC42C3">
        <w:t>n</w:t>
      </w:r>
      <w:r w:rsidR="005412E3" w:rsidRPr="00DC42C3">
        <w:t xml:space="preserve"> </w:t>
      </w:r>
      <w:r w:rsidR="003B1C81" w:rsidRPr="00DC42C3">
        <w:t xml:space="preserve">la continuidad de </w:t>
      </w:r>
      <w:r w:rsidR="00BD1B4F" w:rsidRPr="00DC42C3">
        <w:t>tales</w:t>
      </w:r>
      <w:r w:rsidR="003B1C81" w:rsidRPr="00DC42C3">
        <w:t xml:space="preserve"> funcionalidades</w:t>
      </w:r>
      <w:r w:rsidRPr="00DC42C3">
        <w:t>.</w:t>
      </w:r>
    </w:p>
    <w:p w14:paraId="0B0849B9" w14:textId="77777777" w:rsidR="001F3410" w:rsidRPr="00DC42C3" w:rsidRDefault="001F3410" w:rsidP="007A55E8">
      <w:pPr>
        <w:pStyle w:val="ROMANOS"/>
        <w:tabs>
          <w:tab w:val="clear" w:pos="720"/>
          <w:tab w:val="left" w:pos="288"/>
          <w:tab w:val="left" w:pos="426"/>
        </w:tabs>
        <w:spacing w:after="0" w:line="276" w:lineRule="auto"/>
        <w:ind w:left="567" w:right="615" w:firstLine="0"/>
      </w:pPr>
    </w:p>
    <w:p w14:paraId="0BFA4B87" w14:textId="6C1EC1EE" w:rsidR="003B1A3E" w:rsidRPr="00DC42C3" w:rsidRDefault="001F3410" w:rsidP="007A55E8">
      <w:pPr>
        <w:pStyle w:val="ROMANOS"/>
        <w:tabs>
          <w:tab w:val="clear" w:pos="720"/>
          <w:tab w:val="left" w:pos="288"/>
          <w:tab w:val="left" w:pos="426"/>
        </w:tabs>
        <w:spacing w:after="0" w:line="276" w:lineRule="auto"/>
        <w:ind w:left="567" w:right="615" w:firstLine="0"/>
      </w:pPr>
      <w:r w:rsidRPr="00DC42C3">
        <w:t>E</w:t>
      </w:r>
      <w:r w:rsidR="003B1A3E" w:rsidRPr="00DC42C3">
        <w:t xml:space="preserve">l Concesionario Mayorista Móvil deberá informar a los usuarios correspondientes, a través del envío de </w:t>
      </w:r>
      <w:r w:rsidR="00AA7063" w:rsidRPr="00DC42C3">
        <w:t>mensajes cortos</w:t>
      </w:r>
      <w:r w:rsidR="003B1A3E" w:rsidRPr="00DC42C3">
        <w:t>, sobre el estado que guarda</w:t>
      </w:r>
      <w:r w:rsidR="008F6384" w:rsidRPr="00DC42C3">
        <w:t xml:space="preserve"> la continuidad en</w:t>
      </w:r>
      <w:r w:rsidR="003B1A3E" w:rsidRPr="00DC42C3">
        <w:t xml:space="preserve"> su red y el plazo </w:t>
      </w:r>
      <w:r w:rsidR="00183DA4" w:rsidRPr="00DC42C3">
        <w:t>durante el cual estarán disponibles las funciona</w:t>
      </w:r>
      <w:r w:rsidR="00530570" w:rsidRPr="00DC42C3">
        <w:t xml:space="preserve">lidades que </w:t>
      </w:r>
      <w:r w:rsidR="00C25998">
        <w:t>les</w:t>
      </w:r>
      <w:r w:rsidR="00C25998" w:rsidRPr="00DC42C3">
        <w:t xml:space="preserve"> </w:t>
      </w:r>
      <w:r w:rsidR="00530570" w:rsidRPr="00DC42C3">
        <w:t>permitan</w:t>
      </w:r>
      <w:r w:rsidR="00183DA4" w:rsidRPr="00DC42C3">
        <w:t xml:space="preserve"> </w:t>
      </w:r>
      <w:r w:rsidR="003B1A3E" w:rsidRPr="00DC42C3">
        <w:t xml:space="preserve">ejercer su derecho de portabilidad hacia otro Operador Móvil Virtual o Concesionario, además de señalar que posterior a dicho plazo su línea telefónica será </w:t>
      </w:r>
      <w:r w:rsidR="001A69A7" w:rsidRPr="00DC42C3">
        <w:t>desactivada</w:t>
      </w:r>
      <w:r w:rsidR="00E910A2" w:rsidRPr="00DC42C3">
        <w:t xml:space="preserve"> y </w:t>
      </w:r>
      <w:r w:rsidR="00510168" w:rsidRPr="00DC42C3">
        <w:t xml:space="preserve">no </w:t>
      </w:r>
      <w:r w:rsidR="004B5898" w:rsidRPr="00DC42C3">
        <w:t>podrá</w:t>
      </w:r>
      <w:r w:rsidR="006C3C72" w:rsidRPr="00DC42C3">
        <w:t xml:space="preserve"> ejercer la portabilidad </w:t>
      </w:r>
      <w:r w:rsidR="00335507" w:rsidRPr="00DC42C3">
        <w:t>del número</w:t>
      </w:r>
      <w:r w:rsidR="003B1A3E" w:rsidRPr="00DC42C3">
        <w:t>.</w:t>
      </w:r>
      <w:r w:rsidR="00304884" w:rsidRPr="00DC42C3">
        <w:t xml:space="preserve"> </w:t>
      </w:r>
    </w:p>
    <w:p w14:paraId="1C302787" w14:textId="77777777" w:rsidR="003B1A3E" w:rsidRPr="00DC42C3" w:rsidRDefault="003B1A3E" w:rsidP="007A55E8">
      <w:pPr>
        <w:pStyle w:val="ROMANOS"/>
        <w:tabs>
          <w:tab w:val="clear" w:pos="720"/>
          <w:tab w:val="left" w:pos="288"/>
          <w:tab w:val="left" w:pos="426"/>
        </w:tabs>
        <w:spacing w:after="0" w:line="276" w:lineRule="auto"/>
        <w:ind w:left="567" w:right="615" w:firstLine="0"/>
        <w:rPr>
          <w:b/>
          <w:bCs/>
          <w:shd w:val="clear" w:color="auto" w:fill="FFFFFF"/>
        </w:rPr>
      </w:pPr>
    </w:p>
    <w:p w14:paraId="7E692355" w14:textId="6B35388F" w:rsidR="003B1A3E" w:rsidRPr="00DC42C3" w:rsidRDefault="003B1A3E" w:rsidP="007A55E8">
      <w:pPr>
        <w:pStyle w:val="ROMANOS"/>
        <w:tabs>
          <w:tab w:val="clear" w:pos="720"/>
          <w:tab w:val="left" w:pos="288"/>
          <w:tab w:val="left" w:pos="426"/>
        </w:tabs>
        <w:spacing w:after="0" w:line="276" w:lineRule="auto"/>
        <w:ind w:left="567" w:right="615" w:firstLine="0"/>
        <w:rPr>
          <w:shd w:val="clear" w:color="auto" w:fill="FFFFFF"/>
        </w:rPr>
      </w:pPr>
      <w:r w:rsidRPr="00DC42C3">
        <w:rPr>
          <w:b/>
          <w:bCs/>
          <w:shd w:val="clear" w:color="auto" w:fill="FFFFFF"/>
        </w:rPr>
        <w:t>Artículo 2</w:t>
      </w:r>
      <w:r w:rsidR="00A70CBE" w:rsidRPr="00DC42C3">
        <w:rPr>
          <w:b/>
          <w:bCs/>
          <w:shd w:val="clear" w:color="auto" w:fill="FFFFFF"/>
        </w:rPr>
        <w:t>5</w:t>
      </w:r>
      <w:r w:rsidRPr="00DC42C3">
        <w:rPr>
          <w:b/>
          <w:bCs/>
          <w:shd w:val="clear" w:color="auto" w:fill="FFFFFF"/>
        </w:rPr>
        <w:t xml:space="preserve">. </w:t>
      </w:r>
      <w:r w:rsidRPr="00DC42C3">
        <w:rPr>
          <w:shd w:val="clear" w:color="auto" w:fill="FFFFFF"/>
        </w:rPr>
        <w:t xml:space="preserve">Durante el </w:t>
      </w:r>
      <w:r w:rsidR="00CE4C67" w:rsidRPr="00DC42C3">
        <w:rPr>
          <w:shd w:val="clear" w:color="auto" w:fill="FFFFFF"/>
        </w:rPr>
        <w:t xml:space="preserve">plazo </w:t>
      </w:r>
      <w:r w:rsidRPr="00DC42C3">
        <w:rPr>
          <w:shd w:val="clear" w:color="auto" w:fill="FFFFFF"/>
        </w:rPr>
        <w:t xml:space="preserve">establecido en el artículo 22, el </w:t>
      </w:r>
      <w:r w:rsidRPr="00DC42C3">
        <w:t xml:space="preserve">Concesionario Mayorista Móvil deberá poner a disposición de los usuarios, a </w:t>
      </w:r>
      <w:r w:rsidRPr="00DC42C3">
        <w:rPr>
          <w:shd w:val="clear" w:color="auto" w:fill="FFFFFF"/>
        </w:rPr>
        <w:t>través de</w:t>
      </w:r>
      <w:r w:rsidR="0057646A" w:rsidRPr="00DC42C3">
        <w:rPr>
          <w:shd w:val="clear" w:color="auto" w:fill="FFFFFF"/>
        </w:rPr>
        <w:t xml:space="preserve"> mensajes cortos</w:t>
      </w:r>
      <w:r w:rsidR="004C4338" w:rsidRPr="00DC42C3">
        <w:rPr>
          <w:shd w:val="clear" w:color="auto" w:fill="FFFFFF"/>
        </w:rPr>
        <w:t>, toda</w:t>
      </w:r>
      <w:r w:rsidRPr="00DC42C3">
        <w:rPr>
          <w:shd w:val="clear" w:color="auto" w:fill="FFFFFF"/>
        </w:rPr>
        <w:t xml:space="preserve"> la información necesaria </w:t>
      </w:r>
      <w:r w:rsidR="00467FA9" w:rsidRPr="00DC42C3">
        <w:rPr>
          <w:shd w:val="clear" w:color="auto" w:fill="FFFFFF"/>
        </w:rPr>
        <w:t>para ejercer</w:t>
      </w:r>
      <w:r w:rsidRPr="00DC42C3">
        <w:rPr>
          <w:shd w:val="clear" w:color="auto" w:fill="FFFFFF"/>
        </w:rPr>
        <w:t xml:space="preserve"> </w:t>
      </w:r>
      <w:r w:rsidR="0023282D" w:rsidRPr="00DC42C3">
        <w:rPr>
          <w:shd w:val="clear" w:color="auto" w:fill="FFFFFF"/>
        </w:rPr>
        <w:t>el</w:t>
      </w:r>
      <w:r w:rsidRPr="00DC42C3">
        <w:rPr>
          <w:shd w:val="clear" w:color="auto" w:fill="FFFFFF"/>
        </w:rPr>
        <w:t xml:space="preserve"> derecho a la portabilidad de manera informada</w:t>
      </w:r>
      <w:r w:rsidR="008077EE" w:rsidRPr="00DC42C3">
        <w:rPr>
          <w:shd w:val="clear" w:color="auto" w:fill="FFFFFF"/>
        </w:rPr>
        <w:t xml:space="preserve">, así como la información </w:t>
      </w:r>
      <w:r w:rsidR="00BA2024" w:rsidRPr="00DC42C3">
        <w:rPr>
          <w:shd w:val="clear" w:color="auto" w:fill="FFFFFF"/>
        </w:rPr>
        <w:t xml:space="preserve">referida en el último párrafo </w:t>
      </w:r>
      <w:r w:rsidR="009A1B95" w:rsidRPr="00DC42C3">
        <w:rPr>
          <w:shd w:val="clear" w:color="auto" w:fill="FFFFFF"/>
        </w:rPr>
        <w:t>del artículo 2</w:t>
      </w:r>
      <w:r w:rsidR="0093662C">
        <w:rPr>
          <w:shd w:val="clear" w:color="auto" w:fill="FFFFFF"/>
        </w:rPr>
        <w:t>4</w:t>
      </w:r>
      <w:r w:rsidR="005734C3" w:rsidRPr="00DC42C3">
        <w:rPr>
          <w:shd w:val="clear" w:color="auto" w:fill="FFFFFF"/>
        </w:rPr>
        <w:t>, a través del siguiente procedimiento:</w:t>
      </w:r>
      <w:r w:rsidR="00222988" w:rsidRPr="00DC42C3">
        <w:rPr>
          <w:shd w:val="clear" w:color="auto" w:fill="FFFFFF"/>
        </w:rPr>
        <w:t xml:space="preserve"> </w:t>
      </w:r>
    </w:p>
    <w:p w14:paraId="07A0547F" w14:textId="77777777" w:rsidR="00F9709B" w:rsidRPr="00DC42C3" w:rsidRDefault="00F9709B" w:rsidP="007A55E8">
      <w:pPr>
        <w:pStyle w:val="ROMANOS"/>
        <w:tabs>
          <w:tab w:val="clear" w:pos="720"/>
          <w:tab w:val="left" w:pos="288"/>
          <w:tab w:val="left" w:pos="426"/>
        </w:tabs>
        <w:spacing w:after="0" w:line="276" w:lineRule="auto"/>
        <w:ind w:left="567" w:right="615" w:firstLine="0"/>
        <w:rPr>
          <w:shd w:val="clear" w:color="auto" w:fill="FFFFFF"/>
        </w:rPr>
      </w:pPr>
    </w:p>
    <w:p w14:paraId="502EDC8C" w14:textId="52A304EE" w:rsidR="00F9709B" w:rsidRPr="00DC42C3" w:rsidRDefault="00936F50" w:rsidP="007A55E8">
      <w:pPr>
        <w:pStyle w:val="ROMANOS"/>
        <w:numPr>
          <w:ilvl w:val="0"/>
          <w:numId w:val="24"/>
        </w:numPr>
        <w:tabs>
          <w:tab w:val="clear" w:pos="720"/>
          <w:tab w:val="left" w:pos="288"/>
          <w:tab w:val="left" w:pos="426"/>
        </w:tabs>
        <w:spacing w:after="0" w:line="276" w:lineRule="auto"/>
        <w:ind w:right="615"/>
      </w:pPr>
      <w:r w:rsidRPr="00DC42C3">
        <w:t xml:space="preserve">El Concesionario Mayorista Móvil deberá enviar </w:t>
      </w:r>
      <w:r w:rsidR="008B783A" w:rsidRPr="00DC42C3">
        <w:t>al menos</w:t>
      </w:r>
      <w:r w:rsidR="00F9709B" w:rsidRPr="00DC42C3">
        <w:t xml:space="preserve"> un </w:t>
      </w:r>
      <w:r w:rsidR="009D2171" w:rsidRPr="00DC42C3">
        <w:t>mensaje</w:t>
      </w:r>
      <w:r w:rsidR="00E13C4F" w:rsidRPr="00DC42C3">
        <w:t xml:space="preserve"> corto</w:t>
      </w:r>
      <w:r w:rsidR="009D2171" w:rsidRPr="00DC42C3">
        <w:t xml:space="preserve"> </w:t>
      </w:r>
      <w:r w:rsidR="006F1A53" w:rsidRPr="00DC42C3">
        <w:t xml:space="preserve">a los usuarios </w:t>
      </w:r>
      <w:r w:rsidR="00AB552C" w:rsidRPr="00DC42C3">
        <w:t xml:space="preserve">del Operador Móvil Virtual </w:t>
      </w:r>
      <w:r w:rsidR="00F9709B" w:rsidRPr="00DC42C3">
        <w:t xml:space="preserve">dentro de los </w:t>
      </w:r>
      <w:r w:rsidR="005D3CCE" w:rsidRPr="00DC42C3">
        <w:t>p</w:t>
      </w:r>
      <w:r w:rsidR="00433932" w:rsidRPr="00DC42C3">
        <w:t>rimeros</w:t>
      </w:r>
      <w:r w:rsidR="005D3CCE" w:rsidRPr="00DC42C3">
        <w:t xml:space="preserve"> 10</w:t>
      </w:r>
      <w:r w:rsidR="004D6749" w:rsidRPr="00DC42C3">
        <w:t xml:space="preserve"> (diez)</w:t>
      </w:r>
      <w:r w:rsidR="005D3CCE" w:rsidRPr="00DC42C3">
        <w:t xml:space="preserve"> día</w:t>
      </w:r>
      <w:r w:rsidR="004D6749" w:rsidRPr="00DC42C3">
        <w:t>s</w:t>
      </w:r>
      <w:r w:rsidR="005D3CCE" w:rsidRPr="00DC42C3">
        <w:t xml:space="preserve"> </w:t>
      </w:r>
      <w:r w:rsidR="00433932" w:rsidRPr="00DC42C3">
        <w:t>hábiles</w:t>
      </w:r>
      <w:r w:rsidR="004D6749" w:rsidRPr="00DC42C3">
        <w:t xml:space="preserve"> </w:t>
      </w:r>
      <w:r w:rsidR="005754D4" w:rsidRPr="00DC42C3">
        <w:t xml:space="preserve">contados </w:t>
      </w:r>
      <w:r w:rsidR="00071A8E" w:rsidRPr="00DC42C3">
        <w:t>a par</w:t>
      </w:r>
      <w:r w:rsidR="00B62D5F" w:rsidRPr="00DC42C3">
        <w:t>tir</w:t>
      </w:r>
      <w:r w:rsidR="001627F7" w:rsidRPr="00DC42C3">
        <w:t xml:space="preserve"> </w:t>
      </w:r>
      <w:r w:rsidR="006E229F" w:rsidRPr="00DC42C3">
        <w:t xml:space="preserve">de </w:t>
      </w:r>
      <w:r w:rsidR="00E457DC" w:rsidRPr="00DC42C3">
        <w:t xml:space="preserve">la </w:t>
      </w:r>
      <w:r w:rsidR="00794ACE" w:rsidRPr="00DC42C3">
        <w:t>suspensión</w:t>
      </w:r>
      <w:r w:rsidR="004D6749" w:rsidRPr="00DC42C3">
        <w:t xml:space="preserve"> definitiva de </w:t>
      </w:r>
      <w:r w:rsidR="00CC03D5" w:rsidRPr="00DC42C3">
        <w:t xml:space="preserve">los </w:t>
      </w:r>
      <w:r w:rsidR="004D6749" w:rsidRPr="00DC42C3">
        <w:t>servicios de telecomunicaciones</w:t>
      </w:r>
      <w:r w:rsidR="00E13C4F" w:rsidRPr="00DC42C3">
        <w:t xml:space="preserve"> por parte del Operador Móvil Virtual</w:t>
      </w:r>
      <w:r w:rsidR="00551C71">
        <w:t>,</w:t>
      </w:r>
      <w:r w:rsidR="0019161C">
        <w:t xml:space="preserve"> o de la </w:t>
      </w:r>
      <w:r w:rsidR="0019161C" w:rsidRPr="00DC42C3">
        <w:t>re</w:t>
      </w:r>
      <w:r w:rsidR="00BD760E">
        <w:t>s</w:t>
      </w:r>
      <w:r w:rsidR="0019161C" w:rsidRPr="00DC42C3">
        <w:t>cisión o terminación del contrato por la prestación de servicios mayoristas móviles</w:t>
      </w:r>
      <w:r w:rsidR="00CB095C">
        <w:t xml:space="preserve"> con el </w:t>
      </w:r>
      <w:r w:rsidR="000F0EA7">
        <w:t>mismo</w:t>
      </w:r>
      <w:r w:rsidR="008D348E" w:rsidRPr="00DC42C3">
        <w:t>;</w:t>
      </w:r>
    </w:p>
    <w:p w14:paraId="6F485066" w14:textId="77777777" w:rsidR="00AB13EB" w:rsidRPr="00DC42C3" w:rsidRDefault="00AB13EB" w:rsidP="007A55E8">
      <w:pPr>
        <w:pStyle w:val="ROMANOS"/>
        <w:tabs>
          <w:tab w:val="clear" w:pos="720"/>
          <w:tab w:val="left" w:pos="288"/>
          <w:tab w:val="left" w:pos="426"/>
        </w:tabs>
        <w:spacing w:after="0" w:line="276" w:lineRule="auto"/>
        <w:ind w:left="1291" w:right="615" w:firstLine="0"/>
      </w:pPr>
    </w:p>
    <w:p w14:paraId="5ED0AABC" w14:textId="4110E50E" w:rsidR="00297815" w:rsidRPr="00DC42C3" w:rsidRDefault="004F3320" w:rsidP="007A55E8">
      <w:pPr>
        <w:pStyle w:val="ROMANOS"/>
        <w:numPr>
          <w:ilvl w:val="0"/>
          <w:numId w:val="24"/>
        </w:numPr>
        <w:tabs>
          <w:tab w:val="clear" w:pos="720"/>
          <w:tab w:val="left" w:pos="288"/>
          <w:tab w:val="left" w:pos="426"/>
        </w:tabs>
        <w:spacing w:after="0" w:line="276" w:lineRule="auto"/>
        <w:ind w:right="615"/>
      </w:pPr>
      <w:r w:rsidRPr="00DC42C3">
        <w:t>S</w:t>
      </w:r>
      <w:r w:rsidR="004A001D" w:rsidRPr="00DC42C3">
        <w:t xml:space="preserve">i </w:t>
      </w:r>
      <w:r w:rsidR="00421AB3" w:rsidRPr="00DC42C3">
        <w:t xml:space="preserve">aún </w:t>
      </w:r>
      <w:r w:rsidR="00F763E1" w:rsidRPr="00DC42C3">
        <w:t xml:space="preserve">existieran usuarios no </w:t>
      </w:r>
      <w:r w:rsidR="0036682F" w:rsidRPr="00DC42C3">
        <w:t xml:space="preserve">portados </w:t>
      </w:r>
      <w:r w:rsidR="005E5A80" w:rsidRPr="00DC42C3">
        <w:t>en</w:t>
      </w:r>
      <w:r w:rsidR="002B6022" w:rsidRPr="00DC42C3">
        <w:t xml:space="preserve"> </w:t>
      </w:r>
      <w:r w:rsidR="006D71B4" w:rsidRPr="00DC42C3">
        <w:t xml:space="preserve">el </w:t>
      </w:r>
      <w:r w:rsidR="00830A65" w:rsidRPr="00DC42C3">
        <w:t xml:space="preserve">día </w:t>
      </w:r>
      <w:r w:rsidR="00467FA9" w:rsidRPr="00DC42C3">
        <w:t>20</w:t>
      </w:r>
      <w:r w:rsidR="006D63E4" w:rsidRPr="00DC42C3">
        <w:t xml:space="preserve"> </w:t>
      </w:r>
      <w:r w:rsidR="00155A56" w:rsidRPr="00DC42C3">
        <w:t>(</w:t>
      </w:r>
      <w:r w:rsidR="00467FA9" w:rsidRPr="00DC42C3">
        <w:t>veinte</w:t>
      </w:r>
      <w:r w:rsidR="00155A56" w:rsidRPr="00DC42C3">
        <w:t>)</w:t>
      </w:r>
      <w:r w:rsidR="006D63E4" w:rsidRPr="00DC42C3">
        <w:t xml:space="preserve"> </w:t>
      </w:r>
      <w:r w:rsidR="007F55AF" w:rsidRPr="00DC42C3">
        <w:t xml:space="preserve">del </w:t>
      </w:r>
      <w:r w:rsidR="00421AB3" w:rsidRPr="00DC42C3">
        <w:t xml:space="preserve">plazo </w:t>
      </w:r>
      <w:r w:rsidR="007F55AF" w:rsidRPr="00DC42C3">
        <w:t>mencionado en el artículo 22</w:t>
      </w:r>
      <w:r w:rsidR="00A35EF5" w:rsidRPr="00DC42C3">
        <w:t xml:space="preserve">, </w:t>
      </w:r>
      <w:r w:rsidR="00A30A05" w:rsidRPr="00DC42C3">
        <w:t xml:space="preserve">el Concesionario Mayorista Móvil </w:t>
      </w:r>
      <w:r w:rsidR="00A35EF5" w:rsidRPr="00DC42C3">
        <w:t>deberá</w:t>
      </w:r>
      <w:r w:rsidR="00A30A05" w:rsidRPr="00DC42C3">
        <w:t xml:space="preserve"> enviar</w:t>
      </w:r>
      <w:r w:rsidR="00A35EF5" w:rsidRPr="00DC42C3">
        <w:t xml:space="preserve"> </w:t>
      </w:r>
      <w:r w:rsidR="00696CB6" w:rsidRPr="00DC42C3">
        <w:t>al menos</w:t>
      </w:r>
      <w:r w:rsidR="00A35EF5" w:rsidRPr="00DC42C3">
        <w:t xml:space="preserve"> otro </w:t>
      </w:r>
      <w:r w:rsidR="00E0482F" w:rsidRPr="00DC42C3">
        <w:t>mensaje corto</w:t>
      </w:r>
      <w:r w:rsidR="00250D90" w:rsidRPr="00DC42C3">
        <w:t xml:space="preserve"> con </w:t>
      </w:r>
      <w:r w:rsidR="00557C88" w:rsidRPr="00DC42C3">
        <w:t xml:space="preserve">la </w:t>
      </w:r>
      <w:r w:rsidR="00250D90" w:rsidRPr="00DC42C3">
        <w:t>información</w:t>
      </w:r>
      <w:r w:rsidR="00F95343" w:rsidRPr="00DC42C3">
        <w:t>,</w:t>
      </w:r>
      <w:r w:rsidR="00557C88" w:rsidRPr="00DC42C3">
        <w:t xml:space="preserve"> </w:t>
      </w:r>
      <w:r w:rsidR="00772FDA" w:rsidRPr="00DC42C3">
        <w:t>y</w:t>
      </w:r>
    </w:p>
    <w:p w14:paraId="5169B23B" w14:textId="77777777" w:rsidR="00297815" w:rsidRPr="00DC42C3" w:rsidRDefault="00297815" w:rsidP="007A55E8">
      <w:pPr>
        <w:pStyle w:val="ROMANOS"/>
        <w:tabs>
          <w:tab w:val="clear" w:pos="720"/>
          <w:tab w:val="left" w:pos="288"/>
          <w:tab w:val="left" w:pos="426"/>
        </w:tabs>
        <w:spacing w:after="0" w:line="276" w:lineRule="auto"/>
        <w:ind w:left="1291" w:right="615" w:firstLine="0"/>
      </w:pPr>
    </w:p>
    <w:p w14:paraId="20EF3187" w14:textId="2A534BD9" w:rsidR="00AB13EB" w:rsidRPr="00DC42C3" w:rsidRDefault="00297815" w:rsidP="007A55E8">
      <w:pPr>
        <w:pStyle w:val="ROMANOS"/>
        <w:numPr>
          <w:ilvl w:val="0"/>
          <w:numId w:val="24"/>
        </w:numPr>
        <w:tabs>
          <w:tab w:val="clear" w:pos="720"/>
          <w:tab w:val="left" w:pos="288"/>
          <w:tab w:val="left" w:pos="426"/>
        </w:tabs>
        <w:spacing w:after="0" w:line="276" w:lineRule="auto"/>
        <w:ind w:right="615"/>
      </w:pPr>
      <w:r w:rsidRPr="00DC42C3">
        <w:t xml:space="preserve">Se deberá </w:t>
      </w:r>
      <w:r w:rsidR="007500C8" w:rsidRPr="00DC42C3">
        <w:t>mandar</w:t>
      </w:r>
      <w:r w:rsidR="00F526E1" w:rsidRPr="00DC42C3">
        <w:t xml:space="preserve"> al </w:t>
      </w:r>
      <w:r w:rsidR="00E3621C" w:rsidRPr="00DC42C3">
        <w:t xml:space="preserve">menos </w:t>
      </w:r>
      <w:r w:rsidR="007500C8" w:rsidRPr="00DC42C3">
        <w:t xml:space="preserve">un </w:t>
      </w:r>
      <w:r w:rsidR="00C70A4A" w:rsidRPr="00DC42C3">
        <w:t>mensaje corto</w:t>
      </w:r>
      <w:r w:rsidR="007500C8" w:rsidRPr="00DC42C3">
        <w:t xml:space="preserve"> </w:t>
      </w:r>
      <w:r w:rsidR="00F526E1" w:rsidRPr="00DC42C3">
        <w:t xml:space="preserve">a los usuarios no </w:t>
      </w:r>
      <w:r w:rsidR="00DA2174" w:rsidRPr="00DC42C3">
        <w:t xml:space="preserve">portados </w:t>
      </w:r>
      <w:r w:rsidR="00EB2CF6" w:rsidRPr="00DC42C3">
        <w:t>72 horas</w:t>
      </w:r>
      <w:r w:rsidR="00F526E1" w:rsidRPr="00DC42C3">
        <w:t xml:space="preserve"> antes de </w:t>
      </w:r>
      <w:r w:rsidR="00052618" w:rsidRPr="00DC42C3">
        <w:t xml:space="preserve">que se </w:t>
      </w:r>
      <w:r w:rsidR="003D2A88" w:rsidRPr="00DC42C3">
        <w:t>desactive</w:t>
      </w:r>
      <w:r w:rsidR="00052618" w:rsidRPr="00DC42C3">
        <w:t xml:space="preserve"> </w:t>
      </w:r>
      <w:r w:rsidR="00043609" w:rsidRPr="00DC42C3">
        <w:t>la línea</w:t>
      </w:r>
      <w:r w:rsidR="003E0AA8" w:rsidRPr="00DC42C3">
        <w:t>, indicando</w:t>
      </w:r>
      <w:r w:rsidR="00DB2EDB" w:rsidRPr="00DC42C3">
        <w:t>, además de la información</w:t>
      </w:r>
      <w:r w:rsidR="00FE3B49" w:rsidRPr="00DC42C3">
        <w:t xml:space="preserve"> relativa a la portabilidad numérica</w:t>
      </w:r>
      <w:r w:rsidR="00DB2EDB" w:rsidRPr="00DC42C3">
        <w:t>,</w:t>
      </w:r>
      <w:r w:rsidR="003E0AA8" w:rsidRPr="00DC42C3">
        <w:t xml:space="preserve"> </w:t>
      </w:r>
      <w:r w:rsidR="00351744" w:rsidRPr="00DC42C3">
        <w:t xml:space="preserve">la próxima </w:t>
      </w:r>
      <w:r w:rsidR="000D62C4" w:rsidRPr="00DC42C3">
        <w:t>desactivación</w:t>
      </w:r>
      <w:r w:rsidR="00976521" w:rsidRPr="00DC42C3">
        <w:t xml:space="preserve"> de la línea</w:t>
      </w:r>
      <w:r w:rsidR="00981EC1" w:rsidRPr="00DC42C3">
        <w:t xml:space="preserve"> y la </w:t>
      </w:r>
      <w:r w:rsidR="00421AB3" w:rsidRPr="00DC42C3">
        <w:t xml:space="preserve">pérdida </w:t>
      </w:r>
      <w:r w:rsidR="00981EC1" w:rsidRPr="00DC42C3">
        <w:t>de número</w:t>
      </w:r>
      <w:r w:rsidR="00351744" w:rsidRPr="00DC42C3">
        <w:t>.</w:t>
      </w:r>
    </w:p>
    <w:p w14:paraId="227D640C" w14:textId="77777777" w:rsidR="003B1A3E" w:rsidRPr="00DC42C3" w:rsidRDefault="003B1A3E" w:rsidP="007A55E8">
      <w:pPr>
        <w:pStyle w:val="ROMANOS"/>
        <w:tabs>
          <w:tab w:val="clear" w:pos="720"/>
          <w:tab w:val="left" w:pos="288"/>
          <w:tab w:val="left" w:pos="426"/>
        </w:tabs>
        <w:spacing w:after="0" w:line="276" w:lineRule="auto"/>
        <w:ind w:left="567" w:right="615" w:firstLine="0"/>
        <w:rPr>
          <w:b/>
          <w:bCs/>
          <w:shd w:val="clear" w:color="auto" w:fill="FFFFFF"/>
        </w:rPr>
      </w:pPr>
    </w:p>
    <w:p w14:paraId="3F73F70D" w14:textId="4B348092" w:rsidR="003B1A3E" w:rsidRPr="00DC42C3" w:rsidRDefault="003B1A3E" w:rsidP="007A55E8">
      <w:pPr>
        <w:pStyle w:val="ROMANOS"/>
        <w:tabs>
          <w:tab w:val="clear" w:pos="720"/>
          <w:tab w:val="left" w:pos="288"/>
          <w:tab w:val="left" w:pos="426"/>
        </w:tabs>
        <w:spacing w:after="0" w:line="276" w:lineRule="auto"/>
        <w:ind w:left="567" w:right="615" w:firstLine="0"/>
        <w:rPr>
          <w:shd w:val="clear" w:color="auto" w:fill="FFFFFF"/>
        </w:rPr>
      </w:pPr>
      <w:r w:rsidRPr="00DC42C3">
        <w:rPr>
          <w:shd w:val="clear" w:color="auto" w:fill="FFFFFF"/>
        </w:rPr>
        <w:t xml:space="preserve">Adicionalmente, el Concesionario Mayorista Móvil </w:t>
      </w:r>
      <w:r w:rsidR="00FE056D" w:rsidRPr="00DC42C3">
        <w:rPr>
          <w:shd w:val="clear" w:color="auto" w:fill="FFFFFF"/>
        </w:rPr>
        <w:t xml:space="preserve">deberá </w:t>
      </w:r>
      <w:r w:rsidRPr="00DC42C3">
        <w:rPr>
          <w:shd w:val="clear" w:color="auto" w:fill="FFFFFF"/>
        </w:rPr>
        <w:t xml:space="preserve">habilitar, durante el plazo establecido para la portabilidad de los usuarios del </w:t>
      </w:r>
      <w:r w:rsidR="00A33ABF" w:rsidRPr="00DC42C3">
        <w:rPr>
          <w:shd w:val="clear" w:color="auto" w:fill="FFFFFF"/>
        </w:rPr>
        <w:t>Operador Móvil Virtual</w:t>
      </w:r>
      <w:r w:rsidRPr="00DC42C3">
        <w:rPr>
          <w:shd w:val="clear" w:color="auto" w:fill="FFFFFF"/>
        </w:rPr>
        <w:t>, un sistema de atención gratuita de consultas de los usuarios afectados</w:t>
      </w:r>
      <w:r w:rsidR="00FB2672" w:rsidRPr="00DC42C3">
        <w:rPr>
          <w:shd w:val="clear" w:color="auto" w:fill="FFFFFF"/>
        </w:rPr>
        <w:t xml:space="preserve"> y podrá brindar </w:t>
      </w:r>
      <w:r w:rsidR="006A32E0" w:rsidRPr="00DC42C3">
        <w:rPr>
          <w:shd w:val="clear" w:color="auto" w:fill="FFFFFF"/>
        </w:rPr>
        <w:t xml:space="preserve">información de portabilidad </w:t>
      </w:r>
      <w:r w:rsidR="005326C6" w:rsidRPr="00DC42C3">
        <w:rPr>
          <w:shd w:val="clear" w:color="auto" w:fill="FFFFFF"/>
        </w:rPr>
        <w:t>por cualquier otro medio</w:t>
      </w:r>
      <w:r w:rsidRPr="00DC42C3">
        <w:rPr>
          <w:shd w:val="clear" w:color="auto" w:fill="FFFFFF"/>
        </w:rPr>
        <w:t>.</w:t>
      </w:r>
    </w:p>
    <w:p w14:paraId="5ED98DA1" w14:textId="77777777" w:rsidR="003B1A3E" w:rsidRPr="00DC42C3" w:rsidRDefault="003B1A3E" w:rsidP="007A55E8">
      <w:pPr>
        <w:pStyle w:val="ROMANOS"/>
        <w:tabs>
          <w:tab w:val="clear" w:pos="720"/>
          <w:tab w:val="left" w:pos="288"/>
          <w:tab w:val="left" w:pos="426"/>
        </w:tabs>
        <w:spacing w:after="0" w:line="276" w:lineRule="auto"/>
        <w:ind w:left="567" w:right="615" w:firstLine="0"/>
        <w:rPr>
          <w:shd w:val="clear" w:color="auto" w:fill="FFFFFF"/>
        </w:rPr>
      </w:pPr>
    </w:p>
    <w:p w14:paraId="5B1B4682" w14:textId="0DA6E2D5" w:rsidR="003B1A3E" w:rsidRPr="00DC42C3" w:rsidRDefault="003B1A3E" w:rsidP="007A55E8">
      <w:pPr>
        <w:pStyle w:val="ROMANOS"/>
        <w:tabs>
          <w:tab w:val="clear" w:pos="720"/>
        </w:tabs>
        <w:spacing w:after="0" w:line="276" w:lineRule="auto"/>
        <w:ind w:left="567" w:right="615" w:firstLine="0"/>
      </w:pPr>
      <w:r w:rsidRPr="00DC42C3">
        <w:rPr>
          <w:shd w:val="clear" w:color="auto" w:fill="FFFFFF"/>
        </w:rPr>
        <w:t xml:space="preserve">Una vez concluido el periodo </w:t>
      </w:r>
      <w:r w:rsidR="00B31C5E" w:rsidRPr="00DC42C3">
        <w:rPr>
          <w:shd w:val="clear" w:color="auto" w:fill="FFFFFF"/>
        </w:rPr>
        <w:t>de funcionalidades temporales</w:t>
      </w:r>
      <w:r w:rsidRPr="00DC42C3">
        <w:rPr>
          <w:shd w:val="clear" w:color="auto" w:fill="FFFFFF"/>
        </w:rPr>
        <w:t xml:space="preserve">, el </w:t>
      </w:r>
      <w:r w:rsidRPr="00DC42C3">
        <w:t xml:space="preserve">Concesionario Mayorista Móvil deberá </w:t>
      </w:r>
      <w:r w:rsidR="0039028D" w:rsidRPr="00DC42C3">
        <w:t>desactivar</w:t>
      </w:r>
      <w:r w:rsidRPr="00DC42C3">
        <w:t xml:space="preserve"> las líneas de aquellos usuarios que no ejercieron su derecho de portabilidad y deberá informar al Instituto el número de usuarios </w:t>
      </w:r>
      <w:r w:rsidR="00E4448C" w:rsidRPr="00DC42C3">
        <w:t>no portados</w:t>
      </w:r>
      <w:r w:rsidRPr="00DC42C3">
        <w:t xml:space="preserve"> a más tardar 15 (quince) días hábiles posteriores a la terminación del periodo establecido.</w:t>
      </w:r>
    </w:p>
    <w:p w14:paraId="2DB4A6D9" w14:textId="77777777" w:rsidR="00E8714E" w:rsidRPr="00DC42C3" w:rsidRDefault="00E8714E" w:rsidP="007A55E8">
      <w:pPr>
        <w:pStyle w:val="ROMANOS"/>
        <w:tabs>
          <w:tab w:val="clear" w:pos="720"/>
          <w:tab w:val="left" w:pos="426"/>
        </w:tabs>
        <w:spacing w:after="0" w:line="276" w:lineRule="auto"/>
        <w:ind w:left="0" w:right="615" w:firstLine="0"/>
      </w:pPr>
    </w:p>
    <w:p w14:paraId="78997858" w14:textId="2F9092BB" w:rsidR="006D5F3C" w:rsidRPr="00DC42C3" w:rsidRDefault="003B1A3E" w:rsidP="007A55E8">
      <w:pPr>
        <w:pStyle w:val="ROMANOS"/>
        <w:tabs>
          <w:tab w:val="clear" w:pos="720"/>
          <w:tab w:val="left" w:pos="426"/>
        </w:tabs>
        <w:spacing w:after="0" w:line="276" w:lineRule="auto"/>
        <w:ind w:left="567" w:right="615" w:firstLine="0"/>
      </w:pPr>
      <w:r w:rsidRPr="00DC42C3">
        <w:rPr>
          <w:b/>
          <w:bCs/>
          <w:shd w:val="clear" w:color="auto" w:fill="FFFFFF"/>
        </w:rPr>
        <w:lastRenderedPageBreak/>
        <w:t>Artículo 2</w:t>
      </w:r>
      <w:r w:rsidR="00F52A1D" w:rsidRPr="00DC42C3">
        <w:rPr>
          <w:b/>
          <w:bCs/>
          <w:shd w:val="clear" w:color="auto" w:fill="FFFFFF"/>
        </w:rPr>
        <w:t>6</w:t>
      </w:r>
      <w:r w:rsidRPr="00DC42C3">
        <w:rPr>
          <w:b/>
          <w:bCs/>
          <w:shd w:val="clear" w:color="auto" w:fill="FFFFFF"/>
        </w:rPr>
        <w:t xml:space="preserve">. </w:t>
      </w:r>
      <w:r w:rsidRPr="00DC42C3">
        <w:rPr>
          <w:shd w:val="clear" w:color="auto" w:fill="FFFFFF"/>
        </w:rPr>
        <w:t xml:space="preserve">En ningún caso, </w:t>
      </w:r>
      <w:r w:rsidR="00B32841" w:rsidRPr="00DC42C3">
        <w:rPr>
          <w:shd w:val="clear" w:color="auto" w:fill="FFFFFF"/>
        </w:rPr>
        <w:t>la continuidad de funcionalidades</w:t>
      </w:r>
      <w:r w:rsidRPr="00DC42C3">
        <w:rPr>
          <w:shd w:val="clear" w:color="auto" w:fill="FFFFFF"/>
        </w:rPr>
        <w:t xml:space="preserve"> habilitará al </w:t>
      </w:r>
      <w:r w:rsidRPr="00DC42C3">
        <w:t xml:space="preserve">Concesionario Mayorista Móvil a </w:t>
      </w:r>
      <w:r w:rsidR="00924EC0" w:rsidRPr="00DC42C3">
        <w:t>ofrecer</w:t>
      </w:r>
      <w:r w:rsidRPr="00DC42C3">
        <w:t xml:space="preserve"> servicios de telecomunicaciones a los usuarios finales del Operador Móvil Virtual; </w:t>
      </w:r>
      <w:r w:rsidR="00600795">
        <w:t xml:space="preserve">las comunicaciones y </w:t>
      </w:r>
      <w:r w:rsidRPr="00DC42C3">
        <w:t xml:space="preserve">el mecanismo </w:t>
      </w:r>
      <w:r w:rsidR="00917A7E">
        <w:t xml:space="preserve">descritos </w:t>
      </w:r>
      <w:r w:rsidR="00F2693D">
        <w:t>en el presente capítulo</w:t>
      </w:r>
      <w:r w:rsidRPr="00DC42C3">
        <w:t xml:space="preserve"> se limita</w:t>
      </w:r>
      <w:r w:rsidR="00710332">
        <w:t>n</w:t>
      </w:r>
      <w:r w:rsidRPr="00DC42C3">
        <w:t xml:space="preserve"> </w:t>
      </w:r>
      <w:r w:rsidR="00867B31">
        <w:t xml:space="preserve">exclusivamente </w:t>
      </w:r>
      <w:r w:rsidRPr="00DC42C3">
        <w:t>al ejercicio de los derechos mínimos de los usuarios</w:t>
      </w:r>
      <w:r w:rsidR="005816A4">
        <w:t>,</w:t>
      </w:r>
      <w:r w:rsidRPr="00DC42C3">
        <w:t xml:space="preserve"> y no a la comercialización de servicios de telecomunicaciones</w:t>
      </w:r>
      <w:r w:rsidR="00EE2316">
        <w:t xml:space="preserve"> propios o de terceros</w:t>
      </w:r>
      <w:r w:rsidRPr="00DC42C3">
        <w:t>.</w:t>
      </w:r>
    </w:p>
    <w:p w14:paraId="65AF3B9C" w14:textId="77777777" w:rsidR="003B1A3E" w:rsidRPr="00A361B9" w:rsidRDefault="003B1A3E" w:rsidP="007A55E8">
      <w:pPr>
        <w:pStyle w:val="ROMANOS"/>
        <w:tabs>
          <w:tab w:val="clear" w:pos="720"/>
        </w:tabs>
        <w:spacing w:after="0" w:line="276" w:lineRule="auto"/>
        <w:ind w:left="284" w:right="333" w:firstLine="0"/>
      </w:pPr>
    </w:p>
    <w:p w14:paraId="0E8EB880" w14:textId="77777777" w:rsidR="003B1A3E" w:rsidRPr="00A361B9" w:rsidRDefault="003B1A3E" w:rsidP="007A55E8">
      <w:pPr>
        <w:spacing w:after="0"/>
        <w:ind w:left="284"/>
        <w:jc w:val="center"/>
        <w:rPr>
          <w:rFonts w:ascii="Arial" w:eastAsia="MS Mincho" w:hAnsi="Arial" w:cs="Arial"/>
          <w:b/>
          <w:sz w:val="18"/>
          <w:szCs w:val="18"/>
          <w:lang w:eastAsia="es-MX"/>
        </w:rPr>
      </w:pPr>
      <w:r w:rsidRPr="00A361B9">
        <w:rPr>
          <w:rFonts w:ascii="Arial" w:eastAsia="MS Mincho" w:hAnsi="Arial" w:cs="Arial"/>
          <w:b/>
          <w:sz w:val="18"/>
          <w:szCs w:val="18"/>
          <w:lang w:eastAsia="es-MX"/>
        </w:rPr>
        <w:t>Transitorios</w:t>
      </w:r>
    </w:p>
    <w:p w14:paraId="2AE065CA" w14:textId="77777777" w:rsidR="00714430" w:rsidRPr="00A361B9" w:rsidRDefault="00714430" w:rsidP="007A55E8">
      <w:pPr>
        <w:spacing w:after="0"/>
        <w:ind w:left="284"/>
        <w:rPr>
          <w:rFonts w:ascii="Arial" w:hAnsi="Arial" w:cs="Arial"/>
          <w:sz w:val="18"/>
          <w:szCs w:val="18"/>
        </w:rPr>
      </w:pPr>
    </w:p>
    <w:p w14:paraId="45BD15DD" w14:textId="14D45FF3" w:rsidR="003B1A3E" w:rsidRPr="00A361B9" w:rsidRDefault="003B1A3E" w:rsidP="007A55E8">
      <w:pPr>
        <w:tabs>
          <w:tab w:val="left" w:pos="851"/>
        </w:tabs>
        <w:spacing w:after="0"/>
        <w:jc w:val="both"/>
        <w:rPr>
          <w:rFonts w:ascii="Arial" w:hAnsi="Arial" w:cs="Arial"/>
          <w:sz w:val="18"/>
          <w:szCs w:val="18"/>
        </w:rPr>
      </w:pPr>
      <w:proofErr w:type="gramStart"/>
      <w:r w:rsidRPr="00A361B9">
        <w:rPr>
          <w:rFonts w:ascii="Arial" w:hAnsi="Arial" w:cs="Arial"/>
          <w:b/>
          <w:sz w:val="18"/>
          <w:szCs w:val="18"/>
        </w:rPr>
        <w:t>Primero.-</w:t>
      </w:r>
      <w:proofErr w:type="gramEnd"/>
      <w:r w:rsidRPr="00A361B9">
        <w:rPr>
          <w:rFonts w:ascii="Arial" w:hAnsi="Arial" w:cs="Arial"/>
          <w:sz w:val="18"/>
          <w:szCs w:val="18"/>
        </w:rPr>
        <w:t xml:space="preserve"> Publíquese el presente Acuerdo en el Diario Oficial de la Federación</w:t>
      </w:r>
      <w:r w:rsidR="00A756D3" w:rsidRPr="002C00BA">
        <w:rPr>
          <w:rFonts w:ascii="Arial" w:hAnsi="Arial"/>
          <w:sz w:val="18"/>
        </w:rPr>
        <w:t>, de conformidad con lo dispuesto en el artículo 46 de la Ley Federal de Telecomunicaciones y Radiodifusión</w:t>
      </w:r>
      <w:r w:rsidRPr="00A361B9">
        <w:rPr>
          <w:rFonts w:ascii="Arial" w:hAnsi="Arial" w:cs="Arial"/>
          <w:sz w:val="18"/>
          <w:szCs w:val="18"/>
        </w:rPr>
        <w:t>.</w:t>
      </w:r>
    </w:p>
    <w:p w14:paraId="01FC8BB7" w14:textId="77777777" w:rsidR="003B1A3E" w:rsidRPr="00A361B9" w:rsidRDefault="003B1A3E" w:rsidP="007A55E8">
      <w:pPr>
        <w:tabs>
          <w:tab w:val="left" w:pos="851"/>
        </w:tabs>
        <w:spacing w:after="0"/>
        <w:jc w:val="both"/>
        <w:rPr>
          <w:rFonts w:ascii="Arial" w:hAnsi="Arial" w:cs="Arial"/>
          <w:sz w:val="18"/>
          <w:szCs w:val="18"/>
        </w:rPr>
      </w:pPr>
    </w:p>
    <w:p w14:paraId="5088A972" w14:textId="77777777" w:rsidR="003B1A3E" w:rsidRPr="00A361B9" w:rsidRDefault="003B1A3E" w:rsidP="007A55E8">
      <w:pPr>
        <w:tabs>
          <w:tab w:val="left" w:pos="851"/>
        </w:tabs>
        <w:spacing w:after="0"/>
        <w:jc w:val="both"/>
        <w:rPr>
          <w:rFonts w:ascii="Arial" w:hAnsi="Arial" w:cs="Arial"/>
          <w:sz w:val="18"/>
          <w:szCs w:val="18"/>
        </w:rPr>
      </w:pPr>
      <w:proofErr w:type="gramStart"/>
      <w:r w:rsidRPr="00A361B9">
        <w:rPr>
          <w:rFonts w:ascii="Arial" w:hAnsi="Arial" w:cs="Arial"/>
          <w:b/>
          <w:bCs/>
          <w:sz w:val="18"/>
          <w:szCs w:val="18"/>
        </w:rPr>
        <w:t>Segundo.-</w:t>
      </w:r>
      <w:proofErr w:type="gramEnd"/>
      <w:r w:rsidRPr="00A361B9">
        <w:rPr>
          <w:rFonts w:ascii="Arial" w:hAnsi="Arial" w:cs="Arial"/>
          <w:sz w:val="18"/>
          <w:szCs w:val="18"/>
        </w:rPr>
        <w:t xml:space="preserve"> El presente Acuerdo entrará en vigor a los 60 (sesenta) días naturales siguientes al día de su publicación en el Diario Oficial de la Federación.</w:t>
      </w:r>
    </w:p>
    <w:p w14:paraId="04244FA1" w14:textId="77777777" w:rsidR="00BD06AD" w:rsidRPr="00A361B9" w:rsidRDefault="00BD06AD" w:rsidP="007A55E8">
      <w:pPr>
        <w:spacing w:after="0"/>
        <w:jc w:val="both"/>
        <w:rPr>
          <w:rFonts w:ascii="Arial" w:eastAsia="Times New Roman" w:hAnsi="Arial" w:cs="Arial"/>
          <w:bCs/>
          <w:kern w:val="1"/>
          <w:sz w:val="18"/>
          <w:szCs w:val="18"/>
          <w:lang w:eastAsia="ar-SA"/>
        </w:rPr>
      </w:pPr>
    </w:p>
    <w:p w14:paraId="4E2F02C0" w14:textId="77777777" w:rsidR="00E155B9" w:rsidRPr="00A361B9" w:rsidRDefault="00E155B9" w:rsidP="007A55E8">
      <w:pPr>
        <w:spacing w:after="0"/>
        <w:jc w:val="both"/>
        <w:rPr>
          <w:rFonts w:ascii="Arial" w:eastAsia="Times New Roman" w:hAnsi="Arial" w:cs="Arial"/>
          <w:bCs/>
          <w:kern w:val="1"/>
          <w:sz w:val="18"/>
          <w:szCs w:val="18"/>
          <w:lang w:eastAsia="ar-SA"/>
        </w:rPr>
      </w:pPr>
    </w:p>
    <w:sectPr w:rsidR="00E155B9" w:rsidRPr="00A361B9" w:rsidSect="00137B05">
      <w:headerReference w:type="even" r:id="rId8"/>
      <w:headerReference w:type="default" r:id="rId9"/>
      <w:footerReference w:type="default" r:id="rId10"/>
      <w:headerReference w:type="first" r:id="rId11"/>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03FE8" w14:textId="77777777" w:rsidR="006E0B7E" w:rsidRDefault="006E0B7E" w:rsidP="000F1667">
      <w:pPr>
        <w:spacing w:after="0" w:line="240" w:lineRule="auto"/>
      </w:pPr>
      <w:r>
        <w:separator/>
      </w:r>
    </w:p>
  </w:endnote>
  <w:endnote w:type="continuationSeparator" w:id="0">
    <w:p w14:paraId="7C85F6C2" w14:textId="77777777" w:rsidR="006E0B7E" w:rsidRDefault="006E0B7E" w:rsidP="000F1667">
      <w:pPr>
        <w:spacing w:after="0" w:line="240" w:lineRule="auto"/>
      </w:pPr>
      <w:r>
        <w:continuationSeparator/>
      </w:r>
    </w:p>
  </w:endnote>
  <w:endnote w:type="continuationNotice" w:id="1">
    <w:p w14:paraId="6EED2943" w14:textId="77777777" w:rsidR="006E0B7E" w:rsidRDefault="006E0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58D22E43" w:rsidR="00EF3BAA" w:rsidRPr="00BB6A0B" w:rsidRDefault="00EF3BAA"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10</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10</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D2AFD" w14:textId="77777777" w:rsidR="006E0B7E" w:rsidRDefault="006E0B7E" w:rsidP="000F1667">
      <w:pPr>
        <w:spacing w:after="0" w:line="240" w:lineRule="auto"/>
      </w:pPr>
      <w:r>
        <w:separator/>
      </w:r>
    </w:p>
  </w:footnote>
  <w:footnote w:type="continuationSeparator" w:id="0">
    <w:p w14:paraId="4857337D" w14:textId="77777777" w:rsidR="006E0B7E" w:rsidRDefault="006E0B7E" w:rsidP="000F1667">
      <w:pPr>
        <w:spacing w:after="0" w:line="240" w:lineRule="auto"/>
      </w:pPr>
      <w:r>
        <w:continuationSeparator/>
      </w:r>
    </w:p>
  </w:footnote>
  <w:footnote w:type="continuationNotice" w:id="1">
    <w:p w14:paraId="5E6A04D4" w14:textId="77777777" w:rsidR="006E0B7E" w:rsidRDefault="006E0B7E">
      <w:pPr>
        <w:spacing w:after="0" w:line="240" w:lineRule="auto"/>
      </w:pPr>
    </w:p>
  </w:footnote>
  <w:footnote w:id="2">
    <w:p w14:paraId="5027C35B" w14:textId="77777777" w:rsidR="00516CE5" w:rsidRPr="00955480" w:rsidRDefault="00516CE5" w:rsidP="00516CE5">
      <w:pPr>
        <w:pStyle w:val="Textonotapie"/>
        <w:rPr>
          <w:rFonts w:ascii="Arial" w:hAnsi="Arial" w:cs="Arial"/>
          <w:sz w:val="18"/>
          <w:szCs w:val="18"/>
          <w:lang w:val="es-MX"/>
        </w:rPr>
      </w:pPr>
      <w:r w:rsidRPr="00955480">
        <w:rPr>
          <w:rStyle w:val="Refdenotaalpie"/>
          <w:rFonts w:ascii="Arial" w:hAnsi="Arial" w:cs="Arial"/>
          <w:sz w:val="18"/>
          <w:szCs w:val="18"/>
        </w:rPr>
        <w:footnoteRef/>
      </w:r>
      <w:r w:rsidRPr="00955480">
        <w:rPr>
          <w:rFonts w:ascii="Arial" w:hAnsi="Arial" w:cs="Arial"/>
          <w:sz w:val="18"/>
          <w:szCs w:val="18"/>
        </w:rPr>
        <w:t xml:space="preserve"> </w:t>
      </w:r>
      <w:hyperlink r:id="rId1" w:history="1">
        <w:r w:rsidRPr="00955480">
          <w:rPr>
            <w:rStyle w:val="Hipervnculo"/>
            <w:rFonts w:ascii="Arial" w:hAnsi="Arial" w:cs="Arial"/>
            <w:sz w:val="18"/>
            <w:szCs w:val="18"/>
          </w:rPr>
          <w:t>https://www.ift.org.mx/sites/default/files/contenidogeneral/estadisticas/omvs2023.pdf</w:t>
        </w:r>
      </w:hyperlink>
      <w:r w:rsidRPr="00955480">
        <w:rPr>
          <w:rFonts w:ascii="Arial" w:hAnsi="Arial" w:cs="Arial"/>
          <w:sz w:val="18"/>
          <w:szCs w:val="18"/>
        </w:rPr>
        <w:t xml:space="preserve"> </w:t>
      </w:r>
    </w:p>
  </w:footnote>
  <w:footnote w:id="3">
    <w:p w14:paraId="207E6702" w14:textId="77777777" w:rsidR="00516CE5" w:rsidRPr="00955480" w:rsidRDefault="00516CE5" w:rsidP="009F55C9">
      <w:pPr>
        <w:pStyle w:val="Textonotapie"/>
        <w:jc w:val="both"/>
        <w:rPr>
          <w:rFonts w:ascii="Arial" w:hAnsi="Arial" w:cs="Arial"/>
          <w:sz w:val="18"/>
          <w:szCs w:val="18"/>
          <w:lang w:val="es-MX"/>
        </w:rPr>
      </w:pPr>
      <w:r w:rsidRPr="00955480">
        <w:rPr>
          <w:rStyle w:val="Refdenotaalpie"/>
          <w:rFonts w:ascii="Arial" w:hAnsi="Arial" w:cs="Arial"/>
          <w:sz w:val="18"/>
          <w:szCs w:val="18"/>
        </w:rPr>
        <w:footnoteRef/>
      </w:r>
      <w:r w:rsidRPr="00955480">
        <w:rPr>
          <w:rFonts w:ascii="Arial" w:hAnsi="Arial" w:cs="Arial"/>
          <w:sz w:val="18"/>
          <w:szCs w:val="18"/>
        </w:rPr>
        <w:t xml:space="preserve"> De acuerdo con las Reglas de Portabilidad, el plazo máximo de recuperación de un número mediante el proceso de portabilidad son 40 días naturales contados a partir de la cancelación del servicio.</w:t>
      </w:r>
    </w:p>
  </w:footnote>
  <w:footnote w:id="4">
    <w:p w14:paraId="1474E96B" w14:textId="20C31C05" w:rsidR="001364C8" w:rsidRPr="00955480" w:rsidRDefault="001364C8" w:rsidP="009F55C9">
      <w:pPr>
        <w:pStyle w:val="Textonotapie"/>
        <w:jc w:val="both"/>
        <w:rPr>
          <w:rFonts w:ascii="Arial" w:hAnsi="Arial" w:cs="Arial"/>
          <w:sz w:val="18"/>
          <w:szCs w:val="18"/>
        </w:rPr>
      </w:pPr>
      <w:r w:rsidRPr="00955480">
        <w:rPr>
          <w:rStyle w:val="Refdenotaalpie"/>
          <w:rFonts w:ascii="Arial" w:hAnsi="Arial" w:cs="Arial"/>
          <w:sz w:val="18"/>
          <w:szCs w:val="18"/>
        </w:rPr>
        <w:footnoteRef/>
      </w:r>
      <w:r w:rsidRPr="00955480">
        <w:rPr>
          <w:rFonts w:ascii="Arial" w:hAnsi="Arial" w:cs="Arial"/>
          <w:sz w:val="18"/>
          <w:szCs w:val="18"/>
        </w:rPr>
        <w:t xml:space="preserve"> </w:t>
      </w:r>
      <w:r w:rsidR="00E23682" w:rsidRPr="00955480">
        <w:rPr>
          <w:rFonts w:ascii="Arial" w:hAnsi="Arial" w:cs="Arial"/>
          <w:sz w:val="18"/>
          <w:szCs w:val="18"/>
        </w:rPr>
        <w:t xml:space="preserve">El 9 de noviembre de 2022, Altán </w:t>
      </w:r>
      <w:r w:rsidR="000C1483" w:rsidRPr="00955480">
        <w:rPr>
          <w:rFonts w:ascii="Arial" w:hAnsi="Arial" w:cs="Arial"/>
          <w:sz w:val="18"/>
          <w:szCs w:val="18"/>
        </w:rPr>
        <w:t>Redes S.A.P.I. de C.V.</w:t>
      </w:r>
      <w:r w:rsidR="00D718A0" w:rsidRPr="00955480">
        <w:rPr>
          <w:rFonts w:ascii="Arial" w:hAnsi="Arial" w:cs="Arial"/>
          <w:sz w:val="18"/>
          <w:szCs w:val="18"/>
        </w:rPr>
        <w:t xml:space="preserve"> (en lo sucesivo “Altán”),</w:t>
      </w:r>
      <w:r w:rsidR="000C1483" w:rsidRPr="00955480">
        <w:rPr>
          <w:rFonts w:ascii="Arial" w:hAnsi="Arial" w:cs="Arial"/>
          <w:sz w:val="18"/>
          <w:szCs w:val="18"/>
        </w:rPr>
        <w:t xml:space="preserve"> </w:t>
      </w:r>
      <w:r w:rsidR="00E23682" w:rsidRPr="00955480">
        <w:rPr>
          <w:rFonts w:ascii="Arial" w:hAnsi="Arial" w:cs="Arial"/>
          <w:sz w:val="18"/>
          <w:szCs w:val="18"/>
        </w:rPr>
        <w:t xml:space="preserve">notificó a este </w:t>
      </w:r>
      <w:r w:rsidR="00A171BC" w:rsidRPr="00955480">
        <w:rPr>
          <w:rFonts w:ascii="Arial" w:hAnsi="Arial" w:cs="Arial"/>
          <w:sz w:val="18"/>
          <w:szCs w:val="18"/>
        </w:rPr>
        <w:t>Instituto</w:t>
      </w:r>
      <w:r w:rsidR="00E23682" w:rsidRPr="00955480">
        <w:rPr>
          <w:rFonts w:ascii="Arial" w:hAnsi="Arial" w:cs="Arial"/>
          <w:sz w:val="18"/>
          <w:szCs w:val="18"/>
        </w:rPr>
        <w:t xml:space="preserve"> la rescisión de Contrato suscrito con Yonder Media Mobile México</w:t>
      </w:r>
      <w:r w:rsidR="00803539" w:rsidRPr="00955480">
        <w:rPr>
          <w:rFonts w:ascii="Arial" w:hAnsi="Arial" w:cs="Arial"/>
          <w:sz w:val="18"/>
          <w:szCs w:val="18"/>
        </w:rPr>
        <w:t>, S. de R.L. de C.V</w:t>
      </w:r>
      <w:r w:rsidR="00115571" w:rsidRPr="00955480">
        <w:rPr>
          <w:rFonts w:ascii="Arial" w:hAnsi="Arial" w:cs="Arial"/>
          <w:sz w:val="18"/>
          <w:szCs w:val="18"/>
        </w:rPr>
        <w:t>.</w:t>
      </w:r>
    </w:p>
  </w:footnote>
  <w:footnote w:id="5">
    <w:p w14:paraId="1B4A5B2B" w14:textId="6E0AB2F7" w:rsidR="00115571" w:rsidRPr="00955480" w:rsidRDefault="00115571" w:rsidP="009F55C9">
      <w:pPr>
        <w:pStyle w:val="Textonotapie"/>
        <w:jc w:val="both"/>
        <w:rPr>
          <w:rFonts w:ascii="Arial" w:hAnsi="Arial" w:cs="Arial"/>
          <w:sz w:val="18"/>
          <w:szCs w:val="18"/>
        </w:rPr>
      </w:pPr>
      <w:r w:rsidRPr="00955480">
        <w:rPr>
          <w:rStyle w:val="Refdenotaalpie"/>
          <w:rFonts w:ascii="Arial" w:hAnsi="Arial" w:cs="Arial"/>
          <w:sz w:val="18"/>
          <w:szCs w:val="18"/>
        </w:rPr>
        <w:footnoteRef/>
      </w:r>
      <w:r w:rsidRPr="00955480">
        <w:rPr>
          <w:rFonts w:ascii="Arial" w:hAnsi="Arial" w:cs="Arial"/>
          <w:sz w:val="18"/>
          <w:szCs w:val="18"/>
        </w:rPr>
        <w:t xml:space="preserve"> El </w:t>
      </w:r>
      <w:r w:rsidR="00A171BC" w:rsidRPr="00955480">
        <w:rPr>
          <w:rFonts w:ascii="Arial" w:hAnsi="Arial" w:cs="Arial"/>
          <w:sz w:val="18"/>
          <w:szCs w:val="18"/>
        </w:rPr>
        <w:t>27 de octubre de 2023, Altán notificó a este Instituto la rescisión de Contrato suscrito con Guga Telecom, S.A.P.I. de C.V.</w:t>
      </w:r>
    </w:p>
  </w:footnote>
  <w:footnote w:id="6">
    <w:p w14:paraId="6248C834" w14:textId="31E7DB80" w:rsidR="00A171BC" w:rsidRPr="00955480" w:rsidRDefault="00A171BC" w:rsidP="009F55C9">
      <w:pPr>
        <w:pStyle w:val="Textonotapie"/>
        <w:jc w:val="both"/>
        <w:rPr>
          <w:rFonts w:ascii="Arial" w:hAnsi="Arial" w:cs="Arial"/>
          <w:sz w:val="18"/>
          <w:szCs w:val="18"/>
        </w:rPr>
      </w:pPr>
      <w:r w:rsidRPr="00955480">
        <w:rPr>
          <w:rStyle w:val="Refdenotaalpie"/>
          <w:rFonts w:ascii="Arial" w:hAnsi="Arial" w:cs="Arial"/>
          <w:sz w:val="18"/>
          <w:szCs w:val="18"/>
        </w:rPr>
        <w:footnoteRef/>
      </w:r>
      <w:r w:rsidRPr="00955480">
        <w:rPr>
          <w:rFonts w:ascii="Arial" w:hAnsi="Arial" w:cs="Arial"/>
          <w:sz w:val="18"/>
          <w:szCs w:val="18"/>
        </w:rPr>
        <w:t xml:space="preserve"> </w:t>
      </w:r>
      <w:r w:rsidR="00EA673D" w:rsidRPr="00955480">
        <w:rPr>
          <w:rFonts w:ascii="Arial" w:hAnsi="Arial" w:cs="Arial"/>
          <w:sz w:val="18"/>
          <w:szCs w:val="18"/>
        </w:rPr>
        <w:t>El 27 de octubre de 2023, Altán notificó a este Instituto la rescisión de Contrato suscrito con Solucionika, S.A. de C.V.</w:t>
      </w:r>
    </w:p>
  </w:footnote>
  <w:footnote w:id="7">
    <w:p w14:paraId="7AB77D15" w14:textId="397E1529" w:rsidR="00E83BDB" w:rsidRPr="00955480" w:rsidRDefault="00E83BDB" w:rsidP="009F55C9">
      <w:pPr>
        <w:pStyle w:val="Textonotapie"/>
        <w:jc w:val="both"/>
        <w:rPr>
          <w:rFonts w:ascii="Arial" w:hAnsi="Arial" w:cs="Arial"/>
          <w:sz w:val="18"/>
          <w:szCs w:val="18"/>
        </w:rPr>
      </w:pPr>
      <w:r w:rsidRPr="00955480">
        <w:rPr>
          <w:rStyle w:val="Refdenotaalpie"/>
          <w:rFonts w:ascii="Arial" w:hAnsi="Arial" w:cs="Arial"/>
          <w:sz w:val="18"/>
          <w:szCs w:val="18"/>
        </w:rPr>
        <w:footnoteRef/>
      </w:r>
      <w:r w:rsidRPr="00955480">
        <w:rPr>
          <w:rFonts w:ascii="Arial" w:hAnsi="Arial" w:cs="Arial"/>
          <w:sz w:val="18"/>
          <w:szCs w:val="18"/>
        </w:rPr>
        <w:t xml:space="preserve"> El 22 de noviembre de 2023, Altán notificó a este Instituto la rescisión de Contrato suscrito con Tritium, S.A. de C.V.</w:t>
      </w:r>
    </w:p>
  </w:footnote>
  <w:footnote w:id="8">
    <w:p w14:paraId="5F53E744" w14:textId="1B34BF69" w:rsidR="00A95C9E" w:rsidRPr="00955480" w:rsidRDefault="00A95C9E" w:rsidP="009F55C9">
      <w:pPr>
        <w:pStyle w:val="Textonotapie"/>
        <w:jc w:val="both"/>
        <w:rPr>
          <w:rFonts w:ascii="Arial" w:hAnsi="Arial" w:cs="Arial"/>
          <w:sz w:val="18"/>
          <w:szCs w:val="18"/>
        </w:rPr>
      </w:pPr>
      <w:r w:rsidRPr="00955480">
        <w:rPr>
          <w:rStyle w:val="Refdenotaalpie"/>
          <w:rFonts w:ascii="Arial" w:hAnsi="Arial" w:cs="Arial"/>
          <w:sz w:val="18"/>
          <w:szCs w:val="18"/>
        </w:rPr>
        <w:footnoteRef/>
      </w:r>
      <w:r w:rsidRPr="00955480">
        <w:rPr>
          <w:rFonts w:ascii="Arial" w:hAnsi="Arial" w:cs="Arial"/>
          <w:sz w:val="18"/>
          <w:szCs w:val="18"/>
        </w:rPr>
        <w:t xml:space="preserve"> El 19 de junio de 2024, Altán notificó a este Instituto la rescisión de Contrato suscrito con Mobecel, S.A. de C.V.</w:t>
      </w:r>
    </w:p>
  </w:footnote>
  <w:footnote w:id="9">
    <w:p w14:paraId="6312FD7D" w14:textId="06FD2409" w:rsidR="00A95C9E" w:rsidRPr="00955480" w:rsidRDefault="00A95C9E" w:rsidP="009F55C9">
      <w:pPr>
        <w:pStyle w:val="Textonotapie"/>
        <w:jc w:val="both"/>
        <w:rPr>
          <w:rFonts w:ascii="Arial" w:hAnsi="Arial" w:cs="Arial"/>
          <w:sz w:val="18"/>
          <w:szCs w:val="18"/>
        </w:rPr>
      </w:pPr>
      <w:r w:rsidRPr="00955480">
        <w:rPr>
          <w:rStyle w:val="Refdenotaalpie"/>
          <w:rFonts w:ascii="Arial" w:hAnsi="Arial" w:cs="Arial"/>
          <w:sz w:val="18"/>
          <w:szCs w:val="18"/>
        </w:rPr>
        <w:footnoteRef/>
      </w:r>
      <w:r w:rsidRPr="00955480">
        <w:rPr>
          <w:rFonts w:ascii="Arial" w:hAnsi="Arial" w:cs="Arial"/>
          <w:sz w:val="18"/>
          <w:szCs w:val="18"/>
        </w:rPr>
        <w:t xml:space="preserve"> </w:t>
      </w:r>
      <w:r w:rsidR="00DF2B23" w:rsidRPr="00955480">
        <w:rPr>
          <w:rFonts w:ascii="Arial" w:hAnsi="Arial" w:cs="Arial"/>
          <w:sz w:val="18"/>
          <w:szCs w:val="18"/>
        </w:rPr>
        <w:t xml:space="preserve">El 7 de agosto de 2024, Altán notificó a este Instituto la rescisión de Contrato suscrito con </w:t>
      </w:r>
      <w:r w:rsidR="00BC6B15" w:rsidRPr="00955480">
        <w:rPr>
          <w:rFonts w:ascii="Arial" w:hAnsi="Arial" w:cs="Arial"/>
          <w:sz w:val="18"/>
          <w:szCs w:val="18"/>
        </w:rPr>
        <w:t>Altcel II, S.A.P.I. de C.V.</w:t>
      </w:r>
    </w:p>
  </w:footnote>
  <w:footnote w:id="10">
    <w:p w14:paraId="2C426F40" w14:textId="48BBC19C" w:rsidR="00516CE5" w:rsidRPr="00955480" w:rsidRDefault="00516CE5" w:rsidP="00516CE5">
      <w:pPr>
        <w:pStyle w:val="Textonotapie"/>
        <w:rPr>
          <w:rFonts w:ascii="Arial" w:hAnsi="Arial" w:cs="Arial"/>
          <w:sz w:val="18"/>
          <w:szCs w:val="18"/>
          <w:lang w:val="es-MX"/>
        </w:rPr>
      </w:pPr>
      <w:r w:rsidRPr="00955480">
        <w:rPr>
          <w:rStyle w:val="Refdenotaalpie"/>
          <w:rFonts w:ascii="Arial" w:hAnsi="Arial" w:cs="Arial"/>
          <w:sz w:val="18"/>
          <w:szCs w:val="18"/>
        </w:rPr>
        <w:footnoteRef/>
      </w:r>
      <w:r w:rsidRPr="00955480">
        <w:rPr>
          <w:rFonts w:ascii="Arial" w:hAnsi="Arial" w:cs="Arial"/>
          <w:sz w:val="18"/>
          <w:szCs w:val="18"/>
          <w:vertAlign w:val="superscript"/>
        </w:rPr>
        <w:t xml:space="preserve"> </w:t>
      </w:r>
      <w:hyperlink r:id="rId2" w:history="1">
        <w:r w:rsidR="00023762" w:rsidRPr="00955480">
          <w:rPr>
            <w:rStyle w:val="Hipervnculo"/>
            <w:rFonts w:ascii="Arial" w:hAnsi="Arial" w:cs="Arial"/>
            <w:sz w:val="18"/>
            <w:szCs w:val="18"/>
          </w:rPr>
          <w:t>https://sert.ift.org.mx/tarifasVE/publish/pdfs/informes/71636_6518_230711192018.pdf</w:t>
        </w:r>
      </w:hyperlink>
      <w:r w:rsidR="00023762" w:rsidRPr="00955480">
        <w:rPr>
          <w:rFonts w:ascii="Arial" w:hAnsi="Arial" w:cs="Arial"/>
          <w:sz w:val="18"/>
          <w:szCs w:val="18"/>
        </w:rPr>
        <w:t xml:space="preserve"> </w:t>
      </w:r>
    </w:p>
  </w:footnote>
  <w:footnote w:id="11">
    <w:p w14:paraId="0BB2B495" w14:textId="11A5C576" w:rsidR="00516CE5" w:rsidRPr="00955480" w:rsidRDefault="00516CE5" w:rsidP="00516CE5">
      <w:pPr>
        <w:pStyle w:val="Textonotapie"/>
        <w:rPr>
          <w:rFonts w:ascii="Arial" w:hAnsi="Arial" w:cs="Arial"/>
          <w:sz w:val="18"/>
          <w:szCs w:val="18"/>
          <w:lang w:val="es-MX"/>
        </w:rPr>
      </w:pPr>
      <w:r w:rsidRPr="00955480">
        <w:rPr>
          <w:rFonts w:ascii="Arial" w:hAnsi="Arial" w:cs="Arial"/>
          <w:sz w:val="18"/>
          <w:szCs w:val="18"/>
          <w:vertAlign w:val="superscript"/>
        </w:rPr>
        <w:footnoteRef/>
      </w:r>
      <w:r w:rsidRPr="00955480">
        <w:rPr>
          <w:rFonts w:ascii="Arial" w:hAnsi="Arial" w:cs="Arial"/>
          <w:sz w:val="18"/>
          <w:szCs w:val="18"/>
        </w:rPr>
        <w:t xml:space="preserve"> </w:t>
      </w:r>
      <w:hyperlink r:id="rId3" w:history="1">
        <w:r w:rsidR="00023762" w:rsidRPr="00955480">
          <w:rPr>
            <w:rStyle w:val="Hipervnculo"/>
            <w:rFonts w:ascii="Arial" w:hAnsi="Arial" w:cs="Arial"/>
            <w:sz w:val="18"/>
            <w:szCs w:val="18"/>
          </w:rPr>
          <w:t>https://sert.ift.org.mx/tarifasVE/publish/pdfs/informes/71086_4106_230626200547.pdf</w:t>
        </w:r>
      </w:hyperlink>
      <w:r w:rsidR="00023762" w:rsidRPr="00955480">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00F7" w14:textId="30C77728" w:rsidR="001857E4" w:rsidRDefault="00D666B3">
    <w:pPr>
      <w:pStyle w:val="Encabezado"/>
    </w:pPr>
    <w:r>
      <w:rPr>
        <w:noProof/>
      </w:rPr>
      <w:pict w14:anchorId="521CA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9313" o:spid="_x0000_s2063"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452DD0A8" w:rsidR="00EF3BAA" w:rsidRDefault="00D666B3">
    <w:pPr>
      <w:pStyle w:val="Encabezado"/>
    </w:pPr>
    <w:r>
      <w:rPr>
        <w:noProof/>
      </w:rPr>
      <w:pict w14:anchorId="1FFAE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5" type="#_x0000_t75" style="position:absolute;margin-left:-72.05pt;margin-top:-113.6pt;width:612pt;height:11in;z-index:-251652096;mso-position-horizontal-relative:margin;mso-position-vertical-relative:margin" o:allowincell="f">
          <v:imagedata r:id="rId1" o:title="hoja membretada s dir-01"/>
          <w10:wrap anchorx="margin" anchory="margin"/>
        </v:shape>
      </w:pict>
    </w:r>
    <w:r>
      <w:rPr>
        <w:noProof/>
      </w:rPr>
      <w:pict w14:anchorId="05896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9314" o:spid="_x0000_s2064"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B79A" w14:textId="5E220374" w:rsidR="001857E4" w:rsidRDefault="00D666B3">
    <w:pPr>
      <w:pStyle w:val="Encabezado"/>
    </w:pPr>
    <w:r>
      <w:rPr>
        <w:noProof/>
      </w:rPr>
      <w:pict w14:anchorId="6F16F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39312" o:spid="_x0000_s2062"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DFF"/>
    <w:multiLevelType w:val="hybridMultilevel"/>
    <w:tmpl w:val="7354E3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F3F6B"/>
    <w:multiLevelType w:val="hybridMultilevel"/>
    <w:tmpl w:val="FFFFFFFF"/>
    <w:lvl w:ilvl="0" w:tplc="54D25C7A">
      <w:start w:val="1"/>
      <w:numFmt w:val="upperRoman"/>
      <w:lvlText w:val="%1."/>
      <w:lvlJc w:val="left"/>
      <w:pPr>
        <w:ind w:left="720" w:hanging="360"/>
      </w:pPr>
    </w:lvl>
    <w:lvl w:ilvl="1" w:tplc="4DA41E48">
      <w:start w:val="1"/>
      <w:numFmt w:val="lowerLetter"/>
      <w:lvlText w:val="%2."/>
      <w:lvlJc w:val="left"/>
      <w:pPr>
        <w:ind w:left="1440" w:hanging="360"/>
      </w:pPr>
    </w:lvl>
    <w:lvl w:ilvl="2" w:tplc="229C1412">
      <w:start w:val="1"/>
      <w:numFmt w:val="lowerRoman"/>
      <w:lvlText w:val="%3."/>
      <w:lvlJc w:val="right"/>
      <w:pPr>
        <w:ind w:left="2160" w:hanging="180"/>
      </w:pPr>
    </w:lvl>
    <w:lvl w:ilvl="3" w:tplc="5CF8041C">
      <w:start w:val="1"/>
      <w:numFmt w:val="decimal"/>
      <w:lvlText w:val="%4."/>
      <w:lvlJc w:val="left"/>
      <w:pPr>
        <w:ind w:left="2880" w:hanging="360"/>
      </w:pPr>
    </w:lvl>
    <w:lvl w:ilvl="4" w:tplc="ED601424">
      <w:start w:val="1"/>
      <w:numFmt w:val="lowerLetter"/>
      <w:lvlText w:val="%5."/>
      <w:lvlJc w:val="left"/>
      <w:pPr>
        <w:ind w:left="3600" w:hanging="360"/>
      </w:pPr>
    </w:lvl>
    <w:lvl w:ilvl="5" w:tplc="1E88C246">
      <w:start w:val="1"/>
      <w:numFmt w:val="lowerRoman"/>
      <w:lvlText w:val="%6."/>
      <w:lvlJc w:val="right"/>
      <w:pPr>
        <w:ind w:left="4320" w:hanging="180"/>
      </w:pPr>
    </w:lvl>
    <w:lvl w:ilvl="6" w:tplc="77EE8362">
      <w:start w:val="1"/>
      <w:numFmt w:val="decimal"/>
      <w:lvlText w:val="%7."/>
      <w:lvlJc w:val="left"/>
      <w:pPr>
        <w:ind w:left="5040" w:hanging="360"/>
      </w:pPr>
    </w:lvl>
    <w:lvl w:ilvl="7" w:tplc="E618EBE8">
      <w:start w:val="1"/>
      <w:numFmt w:val="lowerLetter"/>
      <w:lvlText w:val="%8."/>
      <w:lvlJc w:val="left"/>
      <w:pPr>
        <w:ind w:left="5760" w:hanging="360"/>
      </w:pPr>
    </w:lvl>
    <w:lvl w:ilvl="8" w:tplc="B6C2B5E0">
      <w:start w:val="1"/>
      <w:numFmt w:val="lowerRoman"/>
      <w:lvlText w:val="%9."/>
      <w:lvlJc w:val="right"/>
      <w:pPr>
        <w:ind w:left="6480" w:hanging="180"/>
      </w:pPr>
    </w:lvl>
  </w:abstractNum>
  <w:abstractNum w:abstractNumId="2"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3E33ED"/>
    <w:multiLevelType w:val="hybridMultilevel"/>
    <w:tmpl w:val="8C0E93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5D2A75"/>
    <w:multiLevelType w:val="hybridMultilevel"/>
    <w:tmpl w:val="1B8882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F04"/>
    <w:multiLevelType w:val="hybridMultilevel"/>
    <w:tmpl w:val="8C0E93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8" w15:restartNumberingAfterBreak="0">
    <w:nsid w:val="1A7B0928"/>
    <w:multiLevelType w:val="hybridMultilevel"/>
    <w:tmpl w:val="FA6458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0" w15:restartNumberingAfterBreak="0">
    <w:nsid w:val="1EBB299E"/>
    <w:multiLevelType w:val="hybridMultilevel"/>
    <w:tmpl w:val="7CA65808"/>
    <w:lvl w:ilvl="0" w:tplc="AD704414">
      <w:start w:val="1"/>
      <w:numFmt w:val="lowerRoman"/>
      <w:lvlText w:val="%1."/>
      <w:lvlJc w:val="left"/>
      <w:pPr>
        <w:ind w:left="1429" w:hanging="720"/>
      </w:pPr>
      <w:rPr>
        <w:rFonts w:ascii="Arial" w:eastAsia="Times New Roman" w:hAnsi="Arial" w:cs="Arial"/>
        <w:b/>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0A5E69"/>
    <w:multiLevelType w:val="hybridMultilevel"/>
    <w:tmpl w:val="47A052D0"/>
    <w:lvl w:ilvl="0" w:tplc="B970A8F4">
      <w:numFmt w:val="bullet"/>
      <w:lvlText w:val=""/>
      <w:lvlJc w:val="left"/>
      <w:pPr>
        <w:ind w:left="720" w:hanging="360"/>
      </w:pPr>
      <w:rPr>
        <w:rFonts w:ascii="Wingdings" w:eastAsia="Calibri" w:hAnsi="Wingdings" w:cs="Arial"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017653"/>
    <w:multiLevelType w:val="hybridMultilevel"/>
    <w:tmpl w:val="0FD60270"/>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E3253B"/>
    <w:multiLevelType w:val="hybridMultilevel"/>
    <w:tmpl w:val="85C09414"/>
    <w:lvl w:ilvl="0" w:tplc="85D48B40">
      <w:start w:val="1"/>
      <w:numFmt w:val="upperRoman"/>
      <w:lvlText w:val="%1."/>
      <w:lvlJc w:val="left"/>
      <w:pPr>
        <w:ind w:left="1291" w:hanging="720"/>
      </w:pPr>
      <w:rPr>
        <w:rFonts w:hint="default"/>
      </w:rPr>
    </w:lvl>
    <w:lvl w:ilvl="1" w:tplc="080A0019" w:tentative="1">
      <w:start w:val="1"/>
      <w:numFmt w:val="lowerLetter"/>
      <w:lvlText w:val="%2."/>
      <w:lvlJc w:val="left"/>
      <w:pPr>
        <w:ind w:left="1651" w:hanging="360"/>
      </w:pPr>
    </w:lvl>
    <w:lvl w:ilvl="2" w:tplc="080A001B" w:tentative="1">
      <w:start w:val="1"/>
      <w:numFmt w:val="lowerRoman"/>
      <w:lvlText w:val="%3."/>
      <w:lvlJc w:val="right"/>
      <w:pPr>
        <w:ind w:left="2371" w:hanging="180"/>
      </w:pPr>
    </w:lvl>
    <w:lvl w:ilvl="3" w:tplc="080A000F" w:tentative="1">
      <w:start w:val="1"/>
      <w:numFmt w:val="decimal"/>
      <w:lvlText w:val="%4."/>
      <w:lvlJc w:val="left"/>
      <w:pPr>
        <w:ind w:left="3091" w:hanging="360"/>
      </w:pPr>
    </w:lvl>
    <w:lvl w:ilvl="4" w:tplc="080A0019" w:tentative="1">
      <w:start w:val="1"/>
      <w:numFmt w:val="lowerLetter"/>
      <w:lvlText w:val="%5."/>
      <w:lvlJc w:val="left"/>
      <w:pPr>
        <w:ind w:left="3811" w:hanging="360"/>
      </w:pPr>
    </w:lvl>
    <w:lvl w:ilvl="5" w:tplc="080A001B" w:tentative="1">
      <w:start w:val="1"/>
      <w:numFmt w:val="lowerRoman"/>
      <w:lvlText w:val="%6."/>
      <w:lvlJc w:val="right"/>
      <w:pPr>
        <w:ind w:left="4531" w:hanging="180"/>
      </w:pPr>
    </w:lvl>
    <w:lvl w:ilvl="6" w:tplc="080A000F" w:tentative="1">
      <w:start w:val="1"/>
      <w:numFmt w:val="decimal"/>
      <w:lvlText w:val="%7."/>
      <w:lvlJc w:val="left"/>
      <w:pPr>
        <w:ind w:left="5251" w:hanging="360"/>
      </w:pPr>
    </w:lvl>
    <w:lvl w:ilvl="7" w:tplc="080A0019" w:tentative="1">
      <w:start w:val="1"/>
      <w:numFmt w:val="lowerLetter"/>
      <w:lvlText w:val="%8."/>
      <w:lvlJc w:val="left"/>
      <w:pPr>
        <w:ind w:left="5971" w:hanging="360"/>
      </w:pPr>
    </w:lvl>
    <w:lvl w:ilvl="8" w:tplc="080A001B" w:tentative="1">
      <w:start w:val="1"/>
      <w:numFmt w:val="lowerRoman"/>
      <w:lvlText w:val="%9."/>
      <w:lvlJc w:val="right"/>
      <w:pPr>
        <w:ind w:left="6691" w:hanging="180"/>
      </w:pPr>
    </w:lvl>
  </w:abstractNum>
  <w:abstractNum w:abstractNumId="1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6" w15:restartNumberingAfterBreak="0">
    <w:nsid w:val="3BF60A53"/>
    <w:multiLevelType w:val="hybridMultilevel"/>
    <w:tmpl w:val="644E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18" w15:restartNumberingAfterBreak="0">
    <w:nsid w:val="3F2A687D"/>
    <w:multiLevelType w:val="hybridMultilevel"/>
    <w:tmpl w:val="AC06EC32"/>
    <w:lvl w:ilvl="0" w:tplc="D780CC4C">
      <w:start w:val="1"/>
      <w:numFmt w:val="upperRoman"/>
      <w:lvlText w:val="%1."/>
      <w:lvlJc w:val="left"/>
      <w:pPr>
        <w:ind w:left="720" w:hanging="360"/>
      </w:pPr>
    </w:lvl>
    <w:lvl w:ilvl="1" w:tplc="1C2E6A40">
      <w:start w:val="1"/>
      <w:numFmt w:val="lowerLetter"/>
      <w:lvlText w:val="%2."/>
      <w:lvlJc w:val="left"/>
      <w:pPr>
        <w:ind w:left="1440" w:hanging="360"/>
      </w:pPr>
    </w:lvl>
    <w:lvl w:ilvl="2" w:tplc="BB985AA4">
      <w:start w:val="1"/>
      <w:numFmt w:val="lowerRoman"/>
      <w:lvlText w:val="%3."/>
      <w:lvlJc w:val="right"/>
      <w:pPr>
        <w:ind w:left="2160" w:hanging="180"/>
      </w:pPr>
    </w:lvl>
    <w:lvl w:ilvl="3" w:tplc="C5C822CC">
      <w:start w:val="1"/>
      <w:numFmt w:val="decimal"/>
      <w:lvlText w:val="%4."/>
      <w:lvlJc w:val="left"/>
      <w:pPr>
        <w:ind w:left="2880" w:hanging="360"/>
      </w:pPr>
    </w:lvl>
    <w:lvl w:ilvl="4" w:tplc="4DE25EBC">
      <w:start w:val="1"/>
      <w:numFmt w:val="lowerLetter"/>
      <w:lvlText w:val="%5."/>
      <w:lvlJc w:val="left"/>
      <w:pPr>
        <w:ind w:left="3600" w:hanging="360"/>
      </w:pPr>
    </w:lvl>
    <w:lvl w:ilvl="5" w:tplc="AC1060AC">
      <w:start w:val="1"/>
      <w:numFmt w:val="lowerRoman"/>
      <w:lvlText w:val="%6."/>
      <w:lvlJc w:val="right"/>
      <w:pPr>
        <w:ind w:left="4320" w:hanging="180"/>
      </w:pPr>
    </w:lvl>
    <w:lvl w:ilvl="6" w:tplc="075A7D94">
      <w:start w:val="1"/>
      <w:numFmt w:val="decimal"/>
      <w:lvlText w:val="%7."/>
      <w:lvlJc w:val="left"/>
      <w:pPr>
        <w:ind w:left="5040" w:hanging="360"/>
      </w:pPr>
    </w:lvl>
    <w:lvl w:ilvl="7" w:tplc="F954C4F0">
      <w:start w:val="1"/>
      <w:numFmt w:val="lowerLetter"/>
      <w:lvlText w:val="%8."/>
      <w:lvlJc w:val="left"/>
      <w:pPr>
        <w:ind w:left="5760" w:hanging="360"/>
      </w:pPr>
    </w:lvl>
    <w:lvl w:ilvl="8" w:tplc="C2AA79CC">
      <w:start w:val="1"/>
      <w:numFmt w:val="lowerRoman"/>
      <w:lvlText w:val="%9."/>
      <w:lvlJc w:val="right"/>
      <w:pPr>
        <w:ind w:left="6480" w:hanging="180"/>
      </w:pPr>
    </w:lvl>
  </w:abstractNum>
  <w:abstractNum w:abstractNumId="19" w15:restartNumberingAfterBreak="0">
    <w:nsid w:val="41D8448D"/>
    <w:multiLevelType w:val="hybridMultilevel"/>
    <w:tmpl w:val="85C09414"/>
    <w:lvl w:ilvl="0" w:tplc="FFFFFFFF">
      <w:start w:val="1"/>
      <w:numFmt w:val="upperRoman"/>
      <w:lvlText w:val="%1."/>
      <w:lvlJc w:val="left"/>
      <w:pPr>
        <w:ind w:left="1291" w:hanging="720"/>
      </w:pPr>
      <w:rPr>
        <w:rFonts w:hint="default"/>
      </w:rPr>
    </w:lvl>
    <w:lvl w:ilvl="1" w:tplc="FFFFFFFF" w:tentative="1">
      <w:start w:val="1"/>
      <w:numFmt w:val="lowerLetter"/>
      <w:lvlText w:val="%2."/>
      <w:lvlJc w:val="left"/>
      <w:pPr>
        <w:ind w:left="1651" w:hanging="360"/>
      </w:pPr>
    </w:lvl>
    <w:lvl w:ilvl="2" w:tplc="FFFFFFFF" w:tentative="1">
      <w:start w:val="1"/>
      <w:numFmt w:val="lowerRoman"/>
      <w:lvlText w:val="%3."/>
      <w:lvlJc w:val="right"/>
      <w:pPr>
        <w:ind w:left="2371" w:hanging="180"/>
      </w:pPr>
    </w:lvl>
    <w:lvl w:ilvl="3" w:tplc="FFFFFFFF" w:tentative="1">
      <w:start w:val="1"/>
      <w:numFmt w:val="decimal"/>
      <w:lvlText w:val="%4."/>
      <w:lvlJc w:val="left"/>
      <w:pPr>
        <w:ind w:left="3091" w:hanging="360"/>
      </w:pPr>
    </w:lvl>
    <w:lvl w:ilvl="4" w:tplc="FFFFFFFF" w:tentative="1">
      <w:start w:val="1"/>
      <w:numFmt w:val="lowerLetter"/>
      <w:lvlText w:val="%5."/>
      <w:lvlJc w:val="left"/>
      <w:pPr>
        <w:ind w:left="3811" w:hanging="360"/>
      </w:pPr>
    </w:lvl>
    <w:lvl w:ilvl="5" w:tplc="FFFFFFFF" w:tentative="1">
      <w:start w:val="1"/>
      <w:numFmt w:val="lowerRoman"/>
      <w:lvlText w:val="%6."/>
      <w:lvlJc w:val="right"/>
      <w:pPr>
        <w:ind w:left="4531" w:hanging="180"/>
      </w:pPr>
    </w:lvl>
    <w:lvl w:ilvl="6" w:tplc="FFFFFFFF" w:tentative="1">
      <w:start w:val="1"/>
      <w:numFmt w:val="decimal"/>
      <w:lvlText w:val="%7."/>
      <w:lvlJc w:val="left"/>
      <w:pPr>
        <w:ind w:left="5251" w:hanging="360"/>
      </w:pPr>
    </w:lvl>
    <w:lvl w:ilvl="7" w:tplc="FFFFFFFF" w:tentative="1">
      <w:start w:val="1"/>
      <w:numFmt w:val="lowerLetter"/>
      <w:lvlText w:val="%8."/>
      <w:lvlJc w:val="left"/>
      <w:pPr>
        <w:ind w:left="5971" w:hanging="360"/>
      </w:pPr>
    </w:lvl>
    <w:lvl w:ilvl="8" w:tplc="FFFFFFFF" w:tentative="1">
      <w:start w:val="1"/>
      <w:numFmt w:val="lowerRoman"/>
      <w:lvlText w:val="%9."/>
      <w:lvlJc w:val="right"/>
      <w:pPr>
        <w:ind w:left="6691" w:hanging="180"/>
      </w:pPr>
    </w:lvl>
  </w:abstractNum>
  <w:abstractNum w:abstractNumId="20" w15:restartNumberingAfterBreak="0">
    <w:nsid w:val="43310112"/>
    <w:multiLevelType w:val="hybridMultilevel"/>
    <w:tmpl w:val="23283F3C"/>
    <w:lvl w:ilvl="0" w:tplc="98B27C1E">
      <w:numFmt w:val="bullet"/>
      <w:lvlText w:val=""/>
      <w:lvlJc w:val="left"/>
      <w:pPr>
        <w:ind w:left="720" w:hanging="360"/>
      </w:pPr>
      <w:rPr>
        <w:rFonts w:ascii="Wingdings" w:eastAsia="Calibri" w:hAnsi="Wingdings" w:cs="Arial" w:hint="default"/>
        <w:color w:val="000000"/>
        <w:sz w:val="18"/>
        <w:u w:val="singl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14E3DF4"/>
    <w:multiLevelType w:val="hybridMultilevel"/>
    <w:tmpl w:val="BD305890"/>
    <w:lvl w:ilvl="0" w:tplc="FB662B36">
      <w:start w:val="1"/>
      <w:numFmt w:val="upperRoman"/>
      <w:lvlText w:val="%1."/>
      <w:lvlJc w:val="left"/>
      <w:pPr>
        <w:ind w:left="1080" w:hanging="720"/>
      </w:pPr>
      <w:rPr>
        <w:rFonts w:ascii="Arial" w:hAnsi="Arial" w:cs="Arial" w:hint="default"/>
        <w:b/>
        <w:bCs/>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D53491"/>
    <w:multiLevelType w:val="hybridMultilevel"/>
    <w:tmpl w:val="BFC09F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5190FF2"/>
    <w:multiLevelType w:val="hybridMultilevel"/>
    <w:tmpl w:val="67BAE47A"/>
    <w:lvl w:ilvl="0" w:tplc="44E458A6">
      <w:start w:val="1"/>
      <w:numFmt w:val="bullet"/>
      <w:lvlText w:val="-"/>
      <w:lvlJc w:val="left"/>
      <w:pPr>
        <w:ind w:left="1080" w:hanging="360"/>
      </w:pPr>
      <w:rPr>
        <w:rFonts w:ascii="ITC Avant Garde" w:eastAsia="Calibri" w:hAnsi="ITC Avant Garde"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1"/>
  </w:num>
  <w:num w:numId="2">
    <w:abstractNumId w:val="4"/>
  </w:num>
  <w:num w:numId="3">
    <w:abstractNumId w:val="7"/>
  </w:num>
  <w:num w:numId="4">
    <w:abstractNumId w:val="9"/>
  </w:num>
  <w:num w:numId="5">
    <w:abstractNumId w:val="11"/>
  </w:num>
  <w:num w:numId="6">
    <w:abstractNumId w:val="24"/>
  </w:num>
  <w:num w:numId="7">
    <w:abstractNumId w:val="17"/>
  </w:num>
  <w:num w:numId="8">
    <w:abstractNumId w:val="15"/>
  </w:num>
  <w:num w:numId="9">
    <w:abstractNumId w:val="2"/>
  </w:num>
  <w:num w:numId="10">
    <w:abstractNumId w:val="23"/>
  </w:num>
  <w:num w:numId="11">
    <w:abstractNumId w:val="22"/>
  </w:num>
  <w:num w:numId="12">
    <w:abstractNumId w:val="18"/>
  </w:num>
  <w:num w:numId="13">
    <w:abstractNumId w:val="1"/>
  </w:num>
  <w:num w:numId="14">
    <w:abstractNumId w:val="5"/>
  </w:num>
  <w:num w:numId="15">
    <w:abstractNumId w:val="0"/>
  </w:num>
  <w:num w:numId="16">
    <w:abstractNumId w:val="3"/>
  </w:num>
  <w:num w:numId="17">
    <w:abstractNumId w:val="16"/>
  </w:num>
  <w:num w:numId="18">
    <w:abstractNumId w:val="20"/>
  </w:num>
  <w:num w:numId="19">
    <w:abstractNumId w:val="12"/>
  </w:num>
  <w:num w:numId="20">
    <w:abstractNumId w:val="10"/>
  </w:num>
  <w:num w:numId="21">
    <w:abstractNumId w:val="8"/>
  </w:num>
  <w:num w:numId="22">
    <w:abstractNumId w:val="6"/>
  </w:num>
  <w:num w:numId="23">
    <w:abstractNumId w:val="14"/>
  </w:num>
  <w:num w:numId="24">
    <w:abstractNumId w:val="19"/>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15E5"/>
    <w:rsid w:val="000021D1"/>
    <w:rsid w:val="000029B5"/>
    <w:rsid w:val="00002A94"/>
    <w:rsid w:val="00003514"/>
    <w:rsid w:val="00003C92"/>
    <w:rsid w:val="00004092"/>
    <w:rsid w:val="0000448E"/>
    <w:rsid w:val="000047C3"/>
    <w:rsid w:val="00004C93"/>
    <w:rsid w:val="00004D4D"/>
    <w:rsid w:val="00005BE2"/>
    <w:rsid w:val="000066F5"/>
    <w:rsid w:val="0000708C"/>
    <w:rsid w:val="000075EE"/>
    <w:rsid w:val="00010356"/>
    <w:rsid w:val="00010D48"/>
    <w:rsid w:val="00011227"/>
    <w:rsid w:val="000113B5"/>
    <w:rsid w:val="00011A69"/>
    <w:rsid w:val="00011D7D"/>
    <w:rsid w:val="0001246A"/>
    <w:rsid w:val="00012BB5"/>
    <w:rsid w:val="000134BE"/>
    <w:rsid w:val="000142E6"/>
    <w:rsid w:val="000143CB"/>
    <w:rsid w:val="00014456"/>
    <w:rsid w:val="00014C89"/>
    <w:rsid w:val="00014D9E"/>
    <w:rsid w:val="00015C2E"/>
    <w:rsid w:val="00015DC8"/>
    <w:rsid w:val="00016420"/>
    <w:rsid w:val="00016A8A"/>
    <w:rsid w:val="00016ECE"/>
    <w:rsid w:val="00017499"/>
    <w:rsid w:val="000209EF"/>
    <w:rsid w:val="000224DE"/>
    <w:rsid w:val="00022838"/>
    <w:rsid w:val="00022A8C"/>
    <w:rsid w:val="00022EA4"/>
    <w:rsid w:val="00022EC6"/>
    <w:rsid w:val="0002322F"/>
    <w:rsid w:val="00023762"/>
    <w:rsid w:val="00023A2B"/>
    <w:rsid w:val="00024EF0"/>
    <w:rsid w:val="00025152"/>
    <w:rsid w:val="000251B4"/>
    <w:rsid w:val="00025F70"/>
    <w:rsid w:val="0002633F"/>
    <w:rsid w:val="0002767D"/>
    <w:rsid w:val="00027802"/>
    <w:rsid w:val="00027A00"/>
    <w:rsid w:val="000301C0"/>
    <w:rsid w:val="000312A3"/>
    <w:rsid w:val="00031318"/>
    <w:rsid w:val="0003146E"/>
    <w:rsid w:val="000316ED"/>
    <w:rsid w:val="000319FF"/>
    <w:rsid w:val="00032BEF"/>
    <w:rsid w:val="00033638"/>
    <w:rsid w:val="000341E4"/>
    <w:rsid w:val="00034293"/>
    <w:rsid w:val="00034E14"/>
    <w:rsid w:val="00036160"/>
    <w:rsid w:val="000364DC"/>
    <w:rsid w:val="000366FE"/>
    <w:rsid w:val="00036C98"/>
    <w:rsid w:val="00037381"/>
    <w:rsid w:val="00037BBC"/>
    <w:rsid w:val="00040218"/>
    <w:rsid w:val="000402D8"/>
    <w:rsid w:val="000404A2"/>
    <w:rsid w:val="00041260"/>
    <w:rsid w:val="000416D5"/>
    <w:rsid w:val="00041CD8"/>
    <w:rsid w:val="000430A3"/>
    <w:rsid w:val="00043416"/>
    <w:rsid w:val="00043609"/>
    <w:rsid w:val="00044A69"/>
    <w:rsid w:val="00046E25"/>
    <w:rsid w:val="00047124"/>
    <w:rsid w:val="0004749E"/>
    <w:rsid w:val="00047FF9"/>
    <w:rsid w:val="00050A90"/>
    <w:rsid w:val="00050FA7"/>
    <w:rsid w:val="000512F6"/>
    <w:rsid w:val="00051999"/>
    <w:rsid w:val="00052618"/>
    <w:rsid w:val="00052EC2"/>
    <w:rsid w:val="00053A01"/>
    <w:rsid w:val="000544E0"/>
    <w:rsid w:val="00055597"/>
    <w:rsid w:val="00056257"/>
    <w:rsid w:val="0005626B"/>
    <w:rsid w:val="000563B4"/>
    <w:rsid w:val="00056688"/>
    <w:rsid w:val="000568A0"/>
    <w:rsid w:val="00057579"/>
    <w:rsid w:val="000577B5"/>
    <w:rsid w:val="00057B21"/>
    <w:rsid w:val="00057EFE"/>
    <w:rsid w:val="0006009A"/>
    <w:rsid w:val="0006065D"/>
    <w:rsid w:val="000619B3"/>
    <w:rsid w:val="00062CB1"/>
    <w:rsid w:val="0006304F"/>
    <w:rsid w:val="00063427"/>
    <w:rsid w:val="00063436"/>
    <w:rsid w:val="0006397A"/>
    <w:rsid w:val="00064062"/>
    <w:rsid w:val="00065A68"/>
    <w:rsid w:val="00065C6C"/>
    <w:rsid w:val="00065DA5"/>
    <w:rsid w:val="0006647C"/>
    <w:rsid w:val="000665CD"/>
    <w:rsid w:val="00067BCE"/>
    <w:rsid w:val="00067FB7"/>
    <w:rsid w:val="00070765"/>
    <w:rsid w:val="000708F1"/>
    <w:rsid w:val="00071316"/>
    <w:rsid w:val="00071416"/>
    <w:rsid w:val="00071534"/>
    <w:rsid w:val="00071A8E"/>
    <w:rsid w:val="00071E6D"/>
    <w:rsid w:val="00071F88"/>
    <w:rsid w:val="00072454"/>
    <w:rsid w:val="00072CC8"/>
    <w:rsid w:val="00074A55"/>
    <w:rsid w:val="00074B54"/>
    <w:rsid w:val="00075763"/>
    <w:rsid w:val="00076AFD"/>
    <w:rsid w:val="00077A7D"/>
    <w:rsid w:val="00081414"/>
    <w:rsid w:val="00081520"/>
    <w:rsid w:val="00081A79"/>
    <w:rsid w:val="000822F0"/>
    <w:rsid w:val="0008296C"/>
    <w:rsid w:val="00082D21"/>
    <w:rsid w:val="00083E22"/>
    <w:rsid w:val="0008462D"/>
    <w:rsid w:val="00084AEB"/>
    <w:rsid w:val="00085A79"/>
    <w:rsid w:val="000862CF"/>
    <w:rsid w:val="000863E9"/>
    <w:rsid w:val="0008680C"/>
    <w:rsid w:val="00086F4B"/>
    <w:rsid w:val="0008723A"/>
    <w:rsid w:val="0008793C"/>
    <w:rsid w:val="00087D45"/>
    <w:rsid w:val="00090132"/>
    <w:rsid w:val="00090F6F"/>
    <w:rsid w:val="00090F84"/>
    <w:rsid w:val="00091129"/>
    <w:rsid w:val="000927CF"/>
    <w:rsid w:val="00092AA4"/>
    <w:rsid w:val="00092B4A"/>
    <w:rsid w:val="00092E2C"/>
    <w:rsid w:val="00093720"/>
    <w:rsid w:val="00093ADD"/>
    <w:rsid w:val="00095EB5"/>
    <w:rsid w:val="000962EA"/>
    <w:rsid w:val="000963AE"/>
    <w:rsid w:val="0009762D"/>
    <w:rsid w:val="000A0E2A"/>
    <w:rsid w:val="000A12C4"/>
    <w:rsid w:val="000A18C3"/>
    <w:rsid w:val="000A1997"/>
    <w:rsid w:val="000A21BC"/>
    <w:rsid w:val="000A2410"/>
    <w:rsid w:val="000A27D6"/>
    <w:rsid w:val="000A4BFF"/>
    <w:rsid w:val="000A596B"/>
    <w:rsid w:val="000A5BC2"/>
    <w:rsid w:val="000B01C5"/>
    <w:rsid w:val="000B0DAD"/>
    <w:rsid w:val="000B1395"/>
    <w:rsid w:val="000B18A3"/>
    <w:rsid w:val="000B257D"/>
    <w:rsid w:val="000B259C"/>
    <w:rsid w:val="000B26A0"/>
    <w:rsid w:val="000B2C3E"/>
    <w:rsid w:val="000B33AD"/>
    <w:rsid w:val="000B45B2"/>
    <w:rsid w:val="000B57DA"/>
    <w:rsid w:val="000B58EC"/>
    <w:rsid w:val="000B6D14"/>
    <w:rsid w:val="000B6FEC"/>
    <w:rsid w:val="000B7488"/>
    <w:rsid w:val="000B7B28"/>
    <w:rsid w:val="000C0DB0"/>
    <w:rsid w:val="000C0EEC"/>
    <w:rsid w:val="000C0F63"/>
    <w:rsid w:val="000C1483"/>
    <w:rsid w:val="000C26E0"/>
    <w:rsid w:val="000C27DD"/>
    <w:rsid w:val="000C2E63"/>
    <w:rsid w:val="000C30A5"/>
    <w:rsid w:val="000C3BA2"/>
    <w:rsid w:val="000C3DA9"/>
    <w:rsid w:val="000C3DEC"/>
    <w:rsid w:val="000C48BC"/>
    <w:rsid w:val="000C5DA3"/>
    <w:rsid w:val="000C5EA8"/>
    <w:rsid w:val="000C653A"/>
    <w:rsid w:val="000C6709"/>
    <w:rsid w:val="000C6EF7"/>
    <w:rsid w:val="000C7303"/>
    <w:rsid w:val="000C73C9"/>
    <w:rsid w:val="000C7997"/>
    <w:rsid w:val="000C7A58"/>
    <w:rsid w:val="000D0289"/>
    <w:rsid w:val="000D0414"/>
    <w:rsid w:val="000D06FF"/>
    <w:rsid w:val="000D0E7D"/>
    <w:rsid w:val="000D0FB9"/>
    <w:rsid w:val="000D1089"/>
    <w:rsid w:val="000D2649"/>
    <w:rsid w:val="000D27F1"/>
    <w:rsid w:val="000D321D"/>
    <w:rsid w:val="000D521B"/>
    <w:rsid w:val="000D58E6"/>
    <w:rsid w:val="000D59F2"/>
    <w:rsid w:val="000D62C4"/>
    <w:rsid w:val="000D630C"/>
    <w:rsid w:val="000D6729"/>
    <w:rsid w:val="000D67F0"/>
    <w:rsid w:val="000D6CF2"/>
    <w:rsid w:val="000E0987"/>
    <w:rsid w:val="000E0F2B"/>
    <w:rsid w:val="000E2460"/>
    <w:rsid w:val="000E273E"/>
    <w:rsid w:val="000E2E56"/>
    <w:rsid w:val="000E302C"/>
    <w:rsid w:val="000E3155"/>
    <w:rsid w:val="000E330E"/>
    <w:rsid w:val="000E3932"/>
    <w:rsid w:val="000E3994"/>
    <w:rsid w:val="000E46E1"/>
    <w:rsid w:val="000E496B"/>
    <w:rsid w:val="000E4B98"/>
    <w:rsid w:val="000E7836"/>
    <w:rsid w:val="000F016D"/>
    <w:rsid w:val="000F069D"/>
    <w:rsid w:val="000F0EA7"/>
    <w:rsid w:val="000F1667"/>
    <w:rsid w:val="000F2005"/>
    <w:rsid w:val="000F21E8"/>
    <w:rsid w:val="000F2220"/>
    <w:rsid w:val="000F3651"/>
    <w:rsid w:val="000F3963"/>
    <w:rsid w:val="000F40CA"/>
    <w:rsid w:val="000F45D7"/>
    <w:rsid w:val="000F7BBB"/>
    <w:rsid w:val="000F7F3D"/>
    <w:rsid w:val="001002FD"/>
    <w:rsid w:val="001008F5"/>
    <w:rsid w:val="001010B3"/>
    <w:rsid w:val="001019CF"/>
    <w:rsid w:val="001030B1"/>
    <w:rsid w:val="00103957"/>
    <w:rsid w:val="00103F72"/>
    <w:rsid w:val="001041F5"/>
    <w:rsid w:val="0010495D"/>
    <w:rsid w:val="00105959"/>
    <w:rsid w:val="0010621C"/>
    <w:rsid w:val="001062F5"/>
    <w:rsid w:val="001064D9"/>
    <w:rsid w:val="0010650B"/>
    <w:rsid w:val="001067AC"/>
    <w:rsid w:val="0010785E"/>
    <w:rsid w:val="0011024D"/>
    <w:rsid w:val="001104A4"/>
    <w:rsid w:val="00110809"/>
    <w:rsid w:val="00111A44"/>
    <w:rsid w:val="00112AE2"/>
    <w:rsid w:val="0011347F"/>
    <w:rsid w:val="00113C4B"/>
    <w:rsid w:val="0011416E"/>
    <w:rsid w:val="00114F1F"/>
    <w:rsid w:val="001153D0"/>
    <w:rsid w:val="00115571"/>
    <w:rsid w:val="00115970"/>
    <w:rsid w:val="00115AFA"/>
    <w:rsid w:val="00116E7E"/>
    <w:rsid w:val="001172CE"/>
    <w:rsid w:val="00117976"/>
    <w:rsid w:val="00117D68"/>
    <w:rsid w:val="001202E1"/>
    <w:rsid w:val="00121620"/>
    <w:rsid w:val="00122E95"/>
    <w:rsid w:val="00123290"/>
    <w:rsid w:val="001237EA"/>
    <w:rsid w:val="00123E5D"/>
    <w:rsid w:val="001241D8"/>
    <w:rsid w:val="001262F8"/>
    <w:rsid w:val="001263EA"/>
    <w:rsid w:val="00127C1C"/>
    <w:rsid w:val="00127E7C"/>
    <w:rsid w:val="001301C0"/>
    <w:rsid w:val="001302C2"/>
    <w:rsid w:val="00131140"/>
    <w:rsid w:val="00131377"/>
    <w:rsid w:val="00131E57"/>
    <w:rsid w:val="0013315B"/>
    <w:rsid w:val="00134897"/>
    <w:rsid w:val="001348BB"/>
    <w:rsid w:val="00135649"/>
    <w:rsid w:val="00135C16"/>
    <w:rsid w:val="00135D3E"/>
    <w:rsid w:val="001361F6"/>
    <w:rsid w:val="001364C8"/>
    <w:rsid w:val="0013672C"/>
    <w:rsid w:val="00136CE2"/>
    <w:rsid w:val="00136D23"/>
    <w:rsid w:val="00137661"/>
    <w:rsid w:val="00137B05"/>
    <w:rsid w:val="00137E61"/>
    <w:rsid w:val="001408C8"/>
    <w:rsid w:val="001408F0"/>
    <w:rsid w:val="0014141C"/>
    <w:rsid w:val="00141738"/>
    <w:rsid w:val="0014174C"/>
    <w:rsid w:val="0014255F"/>
    <w:rsid w:val="00142C05"/>
    <w:rsid w:val="0014383E"/>
    <w:rsid w:val="001446C7"/>
    <w:rsid w:val="001446F2"/>
    <w:rsid w:val="001461F4"/>
    <w:rsid w:val="00146C27"/>
    <w:rsid w:val="00146F0E"/>
    <w:rsid w:val="00147122"/>
    <w:rsid w:val="00147605"/>
    <w:rsid w:val="0015002D"/>
    <w:rsid w:val="001506B7"/>
    <w:rsid w:val="00150AFE"/>
    <w:rsid w:val="00151542"/>
    <w:rsid w:val="00151F0B"/>
    <w:rsid w:val="001524A5"/>
    <w:rsid w:val="00152847"/>
    <w:rsid w:val="001529A6"/>
    <w:rsid w:val="00152F4A"/>
    <w:rsid w:val="00153294"/>
    <w:rsid w:val="001532CF"/>
    <w:rsid w:val="001538EE"/>
    <w:rsid w:val="00153CF6"/>
    <w:rsid w:val="00154E19"/>
    <w:rsid w:val="001555DF"/>
    <w:rsid w:val="00155A56"/>
    <w:rsid w:val="00155D85"/>
    <w:rsid w:val="00155F9B"/>
    <w:rsid w:val="00156616"/>
    <w:rsid w:val="00156AEE"/>
    <w:rsid w:val="00156D23"/>
    <w:rsid w:val="00160221"/>
    <w:rsid w:val="00160B90"/>
    <w:rsid w:val="0016154B"/>
    <w:rsid w:val="0016223B"/>
    <w:rsid w:val="001622CE"/>
    <w:rsid w:val="0016235C"/>
    <w:rsid w:val="001627F7"/>
    <w:rsid w:val="00162DAC"/>
    <w:rsid w:val="00163C57"/>
    <w:rsid w:val="00164103"/>
    <w:rsid w:val="00164D90"/>
    <w:rsid w:val="00164E72"/>
    <w:rsid w:val="00165090"/>
    <w:rsid w:val="0016553B"/>
    <w:rsid w:val="001661B4"/>
    <w:rsid w:val="001669A4"/>
    <w:rsid w:val="001671A9"/>
    <w:rsid w:val="00167252"/>
    <w:rsid w:val="0016763F"/>
    <w:rsid w:val="00167DF7"/>
    <w:rsid w:val="00170698"/>
    <w:rsid w:val="001726AD"/>
    <w:rsid w:val="0017321D"/>
    <w:rsid w:val="00173F38"/>
    <w:rsid w:val="00174E4E"/>
    <w:rsid w:val="00175535"/>
    <w:rsid w:val="00175AA8"/>
    <w:rsid w:val="00176D69"/>
    <w:rsid w:val="00177827"/>
    <w:rsid w:val="00180472"/>
    <w:rsid w:val="0018083D"/>
    <w:rsid w:val="00180EBE"/>
    <w:rsid w:val="00180F33"/>
    <w:rsid w:val="0018163F"/>
    <w:rsid w:val="00181DDC"/>
    <w:rsid w:val="00181F0C"/>
    <w:rsid w:val="0018209F"/>
    <w:rsid w:val="00182E5E"/>
    <w:rsid w:val="001839C0"/>
    <w:rsid w:val="00183B9F"/>
    <w:rsid w:val="00183DA4"/>
    <w:rsid w:val="00184886"/>
    <w:rsid w:val="00184C02"/>
    <w:rsid w:val="00185080"/>
    <w:rsid w:val="00185085"/>
    <w:rsid w:val="001857E4"/>
    <w:rsid w:val="001861A2"/>
    <w:rsid w:val="0018676F"/>
    <w:rsid w:val="00186774"/>
    <w:rsid w:val="0018741C"/>
    <w:rsid w:val="00187997"/>
    <w:rsid w:val="0019042A"/>
    <w:rsid w:val="001907CA"/>
    <w:rsid w:val="00190FEE"/>
    <w:rsid w:val="0019161C"/>
    <w:rsid w:val="00191B31"/>
    <w:rsid w:val="00191B4D"/>
    <w:rsid w:val="00191DF4"/>
    <w:rsid w:val="00191FF8"/>
    <w:rsid w:val="00192F49"/>
    <w:rsid w:val="00193B5A"/>
    <w:rsid w:val="00194520"/>
    <w:rsid w:val="001951B5"/>
    <w:rsid w:val="00195AAD"/>
    <w:rsid w:val="00195B4B"/>
    <w:rsid w:val="001968BD"/>
    <w:rsid w:val="0019757E"/>
    <w:rsid w:val="001A0321"/>
    <w:rsid w:val="001A0981"/>
    <w:rsid w:val="001A10C4"/>
    <w:rsid w:val="001A191D"/>
    <w:rsid w:val="001A1ECF"/>
    <w:rsid w:val="001A2230"/>
    <w:rsid w:val="001A22E4"/>
    <w:rsid w:val="001A36C2"/>
    <w:rsid w:val="001A37C2"/>
    <w:rsid w:val="001A3ECD"/>
    <w:rsid w:val="001A40FD"/>
    <w:rsid w:val="001A474B"/>
    <w:rsid w:val="001A4B54"/>
    <w:rsid w:val="001A4C7F"/>
    <w:rsid w:val="001A52A4"/>
    <w:rsid w:val="001A69A7"/>
    <w:rsid w:val="001A6FBA"/>
    <w:rsid w:val="001A7934"/>
    <w:rsid w:val="001B0222"/>
    <w:rsid w:val="001B08AB"/>
    <w:rsid w:val="001B163B"/>
    <w:rsid w:val="001B3A81"/>
    <w:rsid w:val="001B5182"/>
    <w:rsid w:val="001B5598"/>
    <w:rsid w:val="001B57F9"/>
    <w:rsid w:val="001B6076"/>
    <w:rsid w:val="001B6E17"/>
    <w:rsid w:val="001B7117"/>
    <w:rsid w:val="001B7414"/>
    <w:rsid w:val="001B7CA3"/>
    <w:rsid w:val="001C04D3"/>
    <w:rsid w:val="001C1001"/>
    <w:rsid w:val="001C18C0"/>
    <w:rsid w:val="001C1D7F"/>
    <w:rsid w:val="001C1E94"/>
    <w:rsid w:val="001C21CE"/>
    <w:rsid w:val="001C3150"/>
    <w:rsid w:val="001C3501"/>
    <w:rsid w:val="001C35C5"/>
    <w:rsid w:val="001C3616"/>
    <w:rsid w:val="001C3876"/>
    <w:rsid w:val="001C40E9"/>
    <w:rsid w:val="001C458E"/>
    <w:rsid w:val="001C4C21"/>
    <w:rsid w:val="001C517D"/>
    <w:rsid w:val="001C5392"/>
    <w:rsid w:val="001C58EC"/>
    <w:rsid w:val="001C6BC2"/>
    <w:rsid w:val="001D0D53"/>
    <w:rsid w:val="001D1124"/>
    <w:rsid w:val="001D12CA"/>
    <w:rsid w:val="001D133C"/>
    <w:rsid w:val="001D2663"/>
    <w:rsid w:val="001D2884"/>
    <w:rsid w:val="001D37CB"/>
    <w:rsid w:val="001D7237"/>
    <w:rsid w:val="001D7299"/>
    <w:rsid w:val="001D76B3"/>
    <w:rsid w:val="001E0FDA"/>
    <w:rsid w:val="001E35AD"/>
    <w:rsid w:val="001E3CC5"/>
    <w:rsid w:val="001E3D34"/>
    <w:rsid w:val="001E3E5E"/>
    <w:rsid w:val="001E4075"/>
    <w:rsid w:val="001E4C67"/>
    <w:rsid w:val="001E4DF6"/>
    <w:rsid w:val="001E5DEE"/>
    <w:rsid w:val="001E67A9"/>
    <w:rsid w:val="001E7269"/>
    <w:rsid w:val="001E796A"/>
    <w:rsid w:val="001F16BD"/>
    <w:rsid w:val="001F1CEB"/>
    <w:rsid w:val="001F29C9"/>
    <w:rsid w:val="001F2AAF"/>
    <w:rsid w:val="001F31EE"/>
    <w:rsid w:val="001F3410"/>
    <w:rsid w:val="001F3C97"/>
    <w:rsid w:val="001F4912"/>
    <w:rsid w:val="001F5085"/>
    <w:rsid w:val="001F509A"/>
    <w:rsid w:val="001F5C62"/>
    <w:rsid w:val="001F6A44"/>
    <w:rsid w:val="001F73A4"/>
    <w:rsid w:val="001F75E6"/>
    <w:rsid w:val="00200E4B"/>
    <w:rsid w:val="00201116"/>
    <w:rsid w:val="00201744"/>
    <w:rsid w:val="00202341"/>
    <w:rsid w:val="002032F8"/>
    <w:rsid w:val="0020338A"/>
    <w:rsid w:val="00203845"/>
    <w:rsid w:val="00203ACC"/>
    <w:rsid w:val="00204775"/>
    <w:rsid w:val="0020654C"/>
    <w:rsid w:val="002068FC"/>
    <w:rsid w:val="00206A9D"/>
    <w:rsid w:val="002075A2"/>
    <w:rsid w:val="00207D93"/>
    <w:rsid w:val="00207EE9"/>
    <w:rsid w:val="00207F64"/>
    <w:rsid w:val="0021013D"/>
    <w:rsid w:val="00210C83"/>
    <w:rsid w:val="0021129A"/>
    <w:rsid w:val="00211312"/>
    <w:rsid w:val="00211FA1"/>
    <w:rsid w:val="0021222C"/>
    <w:rsid w:val="00212D69"/>
    <w:rsid w:val="00213A4B"/>
    <w:rsid w:val="00214F24"/>
    <w:rsid w:val="002151C0"/>
    <w:rsid w:val="00215524"/>
    <w:rsid w:val="0021602A"/>
    <w:rsid w:val="00216370"/>
    <w:rsid w:val="00216678"/>
    <w:rsid w:val="00216BE0"/>
    <w:rsid w:val="0021704D"/>
    <w:rsid w:val="00217271"/>
    <w:rsid w:val="00220F78"/>
    <w:rsid w:val="002217D9"/>
    <w:rsid w:val="00221B6A"/>
    <w:rsid w:val="002220C6"/>
    <w:rsid w:val="00222988"/>
    <w:rsid w:val="00225F0E"/>
    <w:rsid w:val="00226536"/>
    <w:rsid w:val="00226FC1"/>
    <w:rsid w:val="00231400"/>
    <w:rsid w:val="0023189A"/>
    <w:rsid w:val="002319B7"/>
    <w:rsid w:val="00231EF2"/>
    <w:rsid w:val="0023202E"/>
    <w:rsid w:val="00232268"/>
    <w:rsid w:val="002322A9"/>
    <w:rsid w:val="0023282D"/>
    <w:rsid w:val="00233CEC"/>
    <w:rsid w:val="00234024"/>
    <w:rsid w:val="00234933"/>
    <w:rsid w:val="00234A25"/>
    <w:rsid w:val="00234FF5"/>
    <w:rsid w:val="0023662A"/>
    <w:rsid w:val="00236C08"/>
    <w:rsid w:val="0024024A"/>
    <w:rsid w:val="00240A73"/>
    <w:rsid w:val="00240DDE"/>
    <w:rsid w:val="00241BD0"/>
    <w:rsid w:val="00241D6B"/>
    <w:rsid w:val="00242195"/>
    <w:rsid w:val="00242298"/>
    <w:rsid w:val="0024255F"/>
    <w:rsid w:val="002431D7"/>
    <w:rsid w:val="002432F3"/>
    <w:rsid w:val="002435E6"/>
    <w:rsid w:val="00243AF8"/>
    <w:rsid w:val="00243D81"/>
    <w:rsid w:val="0024408B"/>
    <w:rsid w:val="002447C6"/>
    <w:rsid w:val="00244C22"/>
    <w:rsid w:val="002450AB"/>
    <w:rsid w:val="00245399"/>
    <w:rsid w:val="00246046"/>
    <w:rsid w:val="00247F9A"/>
    <w:rsid w:val="002509C4"/>
    <w:rsid w:val="00250D65"/>
    <w:rsid w:val="00250D90"/>
    <w:rsid w:val="00251BF8"/>
    <w:rsid w:val="00251E9E"/>
    <w:rsid w:val="00252822"/>
    <w:rsid w:val="0025283D"/>
    <w:rsid w:val="0025304E"/>
    <w:rsid w:val="0025339D"/>
    <w:rsid w:val="00253BEC"/>
    <w:rsid w:val="00253C92"/>
    <w:rsid w:val="00253F6B"/>
    <w:rsid w:val="00254D2C"/>
    <w:rsid w:val="00256555"/>
    <w:rsid w:val="00257138"/>
    <w:rsid w:val="002579D4"/>
    <w:rsid w:val="00260CB6"/>
    <w:rsid w:val="00260D4C"/>
    <w:rsid w:val="00260DC6"/>
    <w:rsid w:val="00261556"/>
    <w:rsid w:val="00263176"/>
    <w:rsid w:val="002638F8"/>
    <w:rsid w:val="0026407F"/>
    <w:rsid w:val="0026480E"/>
    <w:rsid w:val="00264F53"/>
    <w:rsid w:val="002674AD"/>
    <w:rsid w:val="00267CB9"/>
    <w:rsid w:val="00267E38"/>
    <w:rsid w:val="0027085C"/>
    <w:rsid w:val="00270E18"/>
    <w:rsid w:val="00270EDD"/>
    <w:rsid w:val="00270EFB"/>
    <w:rsid w:val="00270FBA"/>
    <w:rsid w:val="00271178"/>
    <w:rsid w:val="002724FB"/>
    <w:rsid w:val="0027391A"/>
    <w:rsid w:val="00273A91"/>
    <w:rsid w:val="00273CDB"/>
    <w:rsid w:val="00274458"/>
    <w:rsid w:val="00276522"/>
    <w:rsid w:val="00276AA1"/>
    <w:rsid w:val="00277EAB"/>
    <w:rsid w:val="002800EA"/>
    <w:rsid w:val="00282A18"/>
    <w:rsid w:val="002841FF"/>
    <w:rsid w:val="0028497D"/>
    <w:rsid w:val="00285F4B"/>
    <w:rsid w:val="002866AE"/>
    <w:rsid w:val="00286C74"/>
    <w:rsid w:val="0028705D"/>
    <w:rsid w:val="00290018"/>
    <w:rsid w:val="00290BDC"/>
    <w:rsid w:val="00290CAF"/>
    <w:rsid w:val="00290CC3"/>
    <w:rsid w:val="00290EFD"/>
    <w:rsid w:val="00291176"/>
    <w:rsid w:val="00291316"/>
    <w:rsid w:val="00291CF9"/>
    <w:rsid w:val="002937CD"/>
    <w:rsid w:val="00293C89"/>
    <w:rsid w:val="00294A6C"/>
    <w:rsid w:val="002968CD"/>
    <w:rsid w:val="00296B9B"/>
    <w:rsid w:val="00297815"/>
    <w:rsid w:val="00297909"/>
    <w:rsid w:val="00297A60"/>
    <w:rsid w:val="002A05A7"/>
    <w:rsid w:val="002A0E3D"/>
    <w:rsid w:val="002A1BCB"/>
    <w:rsid w:val="002A20C9"/>
    <w:rsid w:val="002A2DF5"/>
    <w:rsid w:val="002A3397"/>
    <w:rsid w:val="002A3456"/>
    <w:rsid w:val="002A3C3A"/>
    <w:rsid w:val="002A3ECE"/>
    <w:rsid w:val="002A43F0"/>
    <w:rsid w:val="002A485A"/>
    <w:rsid w:val="002A4D51"/>
    <w:rsid w:val="002A5EE9"/>
    <w:rsid w:val="002A6C7F"/>
    <w:rsid w:val="002A6DB2"/>
    <w:rsid w:val="002A725E"/>
    <w:rsid w:val="002B1CFF"/>
    <w:rsid w:val="002B204B"/>
    <w:rsid w:val="002B312E"/>
    <w:rsid w:val="002B31C9"/>
    <w:rsid w:val="002B3558"/>
    <w:rsid w:val="002B3E17"/>
    <w:rsid w:val="002B40AA"/>
    <w:rsid w:val="002B4D6C"/>
    <w:rsid w:val="002B5FB2"/>
    <w:rsid w:val="002B6022"/>
    <w:rsid w:val="002B6754"/>
    <w:rsid w:val="002B6D65"/>
    <w:rsid w:val="002B71B5"/>
    <w:rsid w:val="002B7A48"/>
    <w:rsid w:val="002C1E17"/>
    <w:rsid w:val="002C2984"/>
    <w:rsid w:val="002C3AD8"/>
    <w:rsid w:val="002C3F21"/>
    <w:rsid w:val="002C3F7E"/>
    <w:rsid w:val="002C40BB"/>
    <w:rsid w:val="002C560A"/>
    <w:rsid w:val="002C6265"/>
    <w:rsid w:val="002C6CF7"/>
    <w:rsid w:val="002C707A"/>
    <w:rsid w:val="002D201E"/>
    <w:rsid w:val="002D3061"/>
    <w:rsid w:val="002D3123"/>
    <w:rsid w:val="002D33CD"/>
    <w:rsid w:val="002D4073"/>
    <w:rsid w:val="002D4717"/>
    <w:rsid w:val="002D4FE4"/>
    <w:rsid w:val="002D5901"/>
    <w:rsid w:val="002D7217"/>
    <w:rsid w:val="002D72DB"/>
    <w:rsid w:val="002D7605"/>
    <w:rsid w:val="002D77A6"/>
    <w:rsid w:val="002E0C4A"/>
    <w:rsid w:val="002E0F3B"/>
    <w:rsid w:val="002E0F52"/>
    <w:rsid w:val="002E1959"/>
    <w:rsid w:val="002E19D8"/>
    <w:rsid w:val="002E2320"/>
    <w:rsid w:val="002E2525"/>
    <w:rsid w:val="002E267D"/>
    <w:rsid w:val="002E48F1"/>
    <w:rsid w:val="002E4B1C"/>
    <w:rsid w:val="002E522E"/>
    <w:rsid w:val="002E6594"/>
    <w:rsid w:val="002E70B9"/>
    <w:rsid w:val="002E74A9"/>
    <w:rsid w:val="002F0353"/>
    <w:rsid w:val="002F0593"/>
    <w:rsid w:val="002F16BB"/>
    <w:rsid w:val="002F1B88"/>
    <w:rsid w:val="002F30F0"/>
    <w:rsid w:val="002F36D2"/>
    <w:rsid w:val="002F3ED2"/>
    <w:rsid w:val="002F48C4"/>
    <w:rsid w:val="002F4FA2"/>
    <w:rsid w:val="002F5C2B"/>
    <w:rsid w:val="002F5DD5"/>
    <w:rsid w:val="002F5F11"/>
    <w:rsid w:val="002F675C"/>
    <w:rsid w:val="002F6A00"/>
    <w:rsid w:val="002F70C1"/>
    <w:rsid w:val="002F7142"/>
    <w:rsid w:val="00301288"/>
    <w:rsid w:val="003012FA"/>
    <w:rsid w:val="00301944"/>
    <w:rsid w:val="003019C6"/>
    <w:rsid w:val="003031F5"/>
    <w:rsid w:val="00303340"/>
    <w:rsid w:val="00303C49"/>
    <w:rsid w:val="0030436E"/>
    <w:rsid w:val="0030468A"/>
    <w:rsid w:val="00304884"/>
    <w:rsid w:val="00304BF2"/>
    <w:rsid w:val="00304BF8"/>
    <w:rsid w:val="0030502A"/>
    <w:rsid w:val="0030517E"/>
    <w:rsid w:val="0030650E"/>
    <w:rsid w:val="003073F0"/>
    <w:rsid w:val="00307A2C"/>
    <w:rsid w:val="00310A87"/>
    <w:rsid w:val="00311354"/>
    <w:rsid w:val="00312A5A"/>
    <w:rsid w:val="00313442"/>
    <w:rsid w:val="00313D6F"/>
    <w:rsid w:val="00315BCB"/>
    <w:rsid w:val="0031638B"/>
    <w:rsid w:val="00317165"/>
    <w:rsid w:val="00317192"/>
    <w:rsid w:val="003173FD"/>
    <w:rsid w:val="0031745A"/>
    <w:rsid w:val="00317527"/>
    <w:rsid w:val="00320691"/>
    <w:rsid w:val="003216EE"/>
    <w:rsid w:val="00321734"/>
    <w:rsid w:val="00321BC8"/>
    <w:rsid w:val="00322201"/>
    <w:rsid w:val="00323EAF"/>
    <w:rsid w:val="003246DA"/>
    <w:rsid w:val="003257F5"/>
    <w:rsid w:val="0032652D"/>
    <w:rsid w:val="00326EEF"/>
    <w:rsid w:val="00327663"/>
    <w:rsid w:val="00332082"/>
    <w:rsid w:val="00333507"/>
    <w:rsid w:val="00333891"/>
    <w:rsid w:val="00333AC9"/>
    <w:rsid w:val="0033402E"/>
    <w:rsid w:val="003346CB"/>
    <w:rsid w:val="003350CF"/>
    <w:rsid w:val="003352AD"/>
    <w:rsid w:val="00335338"/>
    <w:rsid w:val="00335507"/>
    <w:rsid w:val="003364CA"/>
    <w:rsid w:val="0033731B"/>
    <w:rsid w:val="0033735A"/>
    <w:rsid w:val="0033766C"/>
    <w:rsid w:val="0034075D"/>
    <w:rsid w:val="00340F7D"/>
    <w:rsid w:val="00341E96"/>
    <w:rsid w:val="003426D5"/>
    <w:rsid w:val="00342C4A"/>
    <w:rsid w:val="00342C56"/>
    <w:rsid w:val="00343069"/>
    <w:rsid w:val="003434A9"/>
    <w:rsid w:val="00343617"/>
    <w:rsid w:val="00343A78"/>
    <w:rsid w:val="003446FB"/>
    <w:rsid w:val="00344ACC"/>
    <w:rsid w:val="003456EE"/>
    <w:rsid w:val="00346475"/>
    <w:rsid w:val="00346BCE"/>
    <w:rsid w:val="00347FAB"/>
    <w:rsid w:val="00350DE1"/>
    <w:rsid w:val="00351653"/>
    <w:rsid w:val="00351744"/>
    <w:rsid w:val="00353031"/>
    <w:rsid w:val="00354983"/>
    <w:rsid w:val="00356DF6"/>
    <w:rsid w:val="00357B01"/>
    <w:rsid w:val="0036239D"/>
    <w:rsid w:val="00362595"/>
    <w:rsid w:val="0036287E"/>
    <w:rsid w:val="00362F4C"/>
    <w:rsid w:val="00363559"/>
    <w:rsid w:val="00363566"/>
    <w:rsid w:val="00363E50"/>
    <w:rsid w:val="00364C76"/>
    <w:rsid w:val="00365595"/>
    <w:rsid w:val="003659F5"/>
    <w:rsid w:val="00365A38"/>
    <w:rsid w:val="0036682F"/>
    <w:rsid w:val="003677AA"/>
    <w:rsid w:val="003701EC"/>
    <w:rsid w:val="00371AF7"/>
    <w:rsid w:val="003722E7"/>
    <w:rsid w:val="003723D4"/>
    <w:rsid w:val="00372E2D"/>
    <w:rsid w:val="00373588"/>
    <w:rsid w:val="003745A3"/>
    <w:rsid w:val="00374CA8"/>
    <w:rsid w:val="00374EDB"/>
    <w:rsid w:val="0037590D"/>
    <w:rsid w:val="003778E4"/>
    <w:rsid w:val="00377CBA"/>
    <w:rsid w:val="0038056F"/>
    <w:rsid w:val="0038079C"/>
    <w:rsid w:val="00380C24"/>
    <w:rsid w:val="00382B34"/>
    <w:rsid w:val="003836B6"/>
    <w:rsid w:val="0038376D"/>
    <w:rsid w:val="003844A1"/>
    <w:rsid w:val="0038455A"/>
    <w:rsid w:val="00384745"/>
    <w:rsid w:val="00384A5C"/>
    <w:rsid w:val="00384CAC"/>
    <w:rsid w:val="00385EBE"/>
    <w:rsid w:val="00386600"/>
    <w:rsid w:val="003869DE"/>
    <w:rsid w:val="00387A8C"/>
    <w:rsid w:val="00387AC5"/>
    <w:rsid w:val="00387F13"/>
    <w:rsid w:val="0039028D"/>
    <w:rsid w:val="00390698"/>
    <w:rsid w:val="00391061"/>
    <w:rsid w:val="003913D9"/>
    <w:rsid w:val="00391A18"/>
    <w:rsid w:val="00391F12"/>
    <w:rsid w:val="00393350"/>
    <w:rsid w:val="0039531C"/>
    <w:rsid w:val="003953DA"/>
    <w:rsid w:val="00395D6B"/>
    <w:rsid w:val="00396050"/>
    <w:rsid w:val="00396075"/>
    <w:rsid w:val="00396FF6"/>
    <w:rsid w:val="003972E0"/>
    <w:rsid w:val="00397AAD"/>
    <w:rsid w:val="00397B9B"/>
    <w:rsid w:val="003A0155"/>
    <w:rsid w:val="003A0266"/>
    <w:rsid w:val="003A0378"/>
    <w:rsid w:val="003A0F00"/>
    <w:rsid w:val="003A1E43"/>
    <w:rsid w:val="003A2053"/>
    <w:rsid w:val="003A293C"/>
    <w:rsid w:val="003A3058"/>
    <w:rsid w:val="003A3188"/>
    <w:rsid w:val="003A35DA"/>
    <w:rsid w:val="003A3AF9"/>
    <w:rsid w:val="003A472B"/>
    <w:rsid w:val="003A5036"/>
    <w:rsid w:val="003A50DE"/>
    <w:rsid w:val="003A5CA2"/>
    <w:rsid w:val="003A6194"/>
    <w:rsid w:val="003A656C"/>
    <w:rsid w:val="003A6770"/>
    <w:rsid w:val="003A70B6"/>
    <w:rsid w:val="003A7C6F"/>
    <w:rsid w:val="003A7E51"/>
    <w:rsid w:val="003B054B"/>
    <w:rsid w:val="003B07BF"/>
    <w:rsid w:val="003B13A0"/>
    <w:rsid w:val="003B1A3E"/>
    <w:rsid w:val="003B1C81"/>
    <w:rsid w:val="003B27A2"/>
    <w:rsid w:val="003B2F77"/>
    <w:rsid w:val="003B37CC"/>
    <w:rsid w:val="003B4276"/>
    <w:rsid w:val="003B4B3A"/>
    <w:rsid w:val="003B4D07"/>
    <w:rsid w:val="003B64A8"/>
    <w:rsid w:val="003B6505"/>
    <w:rsid w:val="003B6CEE"/>
    <w:rsid w:val="003B6F29"/>
    <w:rsid w:val="003B708C"/>
    <w:rsid w:val="003C0268"/>
    <w:rsid w:val="003C09E1"/>
    <w:rsid w:val="003C0E22"/>
    <w:rsid w:val="003C1771"/>
    <w:rsid w:val="003C1959"/>
    <w:rsid w:val="003C2223"/>
    <w:rsid w:val="003C2D41"/>
    <w:rsid w:val="003C31F7"/>
    <w:rsid w:val="003C350A"/>
    <w:rsid w:val="003C3D99"/>
    <w:rsid w:val="003C3E2F"/>
    <w:rsid w:val="003C3F0E"/>
    <w:rsid w:val="003C48D9"/>
    <w:rsid w:val="003C4E58"/>
    <w:rsid w:val="003C4FB1"/>
    <w:rsid w:val="003C4FE6"/>
    <w:rsid w:val="003C5644"/>
    <w:rsid w:val="003C59C8"/>
    <w:rsid w:val="003C60C0"/>
    <w:rsid w:val="003C64E6"/>
    <w:rsid w:val="003C69DF"/>
    <w:rsid w:val="003C6C99"/>
    <w:rsid w:val="003C6D81"/>
    <w:rsid w:val="003C71A8"/>
    <w:rsid w:val="003C78A1"/>
    <w:rsid w:val="003C795A"/>
    <w:rsid w:val="003C7C0C"/>
    <w:rsid w:val="003D0F53"/>
    <w:rsid w:val="003D1520"/>
    <w:rsid w:val="003D18D3"/>
    <w:rsid w:val="003D2861"/>
    <w:rsid w:val="003D28F2"/>
    <w:rsid w:val="003D2A88"/>
    <w:rsid w:val="003D51ED"/>
    <w:rsid w:val="003D5AFB"/>
    <w:rsid w:val="003D640E"/>
    <w:rsid w:val="003D66E5"/>
    <w:rsid w:val="003D6EEF"/>
    <w:rsid w:val="003E0AA8"/>
    <w:rsid w:val="003E0D49"/>
    <w:rsid w:val="003E0DFA"/>
    <w:rsid w:val="003E12F2"/>
    <w:rsid w:val="003E2224"/>
    <w:rsid w:val="003E2331"/>
    <w:rsid w:val="003E23B8"/>
    <w:rsid w:val="003E25EF"/>
    <w:rsid w:val="003E2D38"/>
    <w:rsid w:val="003E2FCA"/>
    <w:rsid w:val="003E3B67"/>
    <w:rsid w:val="003E43DE"/>
    <w:rsid w:val="003E4EB1"/>
    <w:rsid w:val="003E4FFA"/>
    <w:rsid w:val="003E5F25"/>
    <w:rsid w:val="003E6265"/>
    <w:rsid w:val="003E62AF"/>
    <w:rsid w:val="003E6738"/>
    <w:rsid w:val="003E735B"/>
    <w:rsid w:val="003E75DF"/>
    <w:rsid w:val="003E7A17"/>
    <w:rsid w:val="003F0E74"/>
    <w:rsid w:val="003F1697"/>
    <w:rsid w:val="003F1A9D"/>
    <w:rsid w:val="003F1F15"/>
    <w:rsid w:val="003F27C0"/>
    <w:rsid w:val="003F44E3"/>
    <w:rsid w:val="003F4542"/>
    <w:rsid w:val="003F461F"/>
    <w:rsid w:val="003F4C73"/>
    <w:rsid w:val="003F5473"/>
    <w:rsid w:val="003F5998"/>
    <w:rsid w:val="003F5A99"/>
    <w:rsid w:val="003F5CA5"/>
    <w:rsid w:val="003F6892"/>
    <w:rsid w:val="003F71E9"/>
    <w:rsid w:val="003F7773"/>
    <w:rsid w:val="003F7D54"/>
    <w:rsid w:val="004000AD"/>
    <w:rsid w:val="00400CDE"/>
    <w:rsid w:val="00400E88"/>
    <w:rsid w:val="00401260"/>
    <w:rsid w:val="004014C9"/>
    <w:rsid w:val="00401D9E"/>
    <w:rsid w:val="004024F8"/>
    <w:rsid w:val="0040399E"/>
    <w:rsid w:val="00403B01"/>
    <w:rsid w:val="004044AA"/>
    <w:rsid w:val="00404C0B"/>
    <w:rsid w:val="00405B9B"/>
    <w:rsid w:val="00405BE0"/>
    <w:rsid w:val="0040628E"/>
    <w:rsid w:val="004062BC"/>
    <w:rsid w:val="00406684"/>
    <w:rsid w:val="00407604"/>
    <w:rsid w:val="00407889"/>
    <w:rsid w:val="004102C1"/>
    <w:rsid w:val="00410F99"/>
    <w:rsid w:val="00412A99"/>
    <w:rsid w:val="004136AB"/>
    <w:rsid w:val="00413970"/>
    <w:rsid w:val="00413E8B"/>
    <w:rsid w:val="00413EE9"/>
    <w:rsid w:val="004140C5"/>
    <w:rsid w:val="00415E1F"/>
    <w:rsid w:val="00416680"/>
    <w:rsid w:val="00417BFB"/>
    <w:rsid w:val="00417FCD"/>
    <w:rsid w:val="00420DB5"/>
    <w:rsid w:val="004216A3"/>
    <w:rsid w:val="0042175C"/>
    <w:rsid w:val="00421A24"/>
    <w:rsid w:val="00421AB3"/>
    <w:rsid w:val="0042220A"/>
    <w:rsid w:val="0042281A"/>
    <w:rsid w:val="0042338F"/>
    <w:rsid w:val="00423A4D"/>
    <w:rsid w:val="00424BF2"/>
    <w:rsid w:val="00425091"/>
    <w:rsid w:val="004257D0"/>
    <w:rsid w:val="004265B4"/>
    <w:rsid w:val="00427048"/>
    <w:rsid w:val="004304BB"/>
    <w:rsid w:val="00430A06"/>
    <w:rsid w:val="00430C4F"/>
    <w:rsid w:val="004317F3"/>
    <w:rsid w:val="00433150"/>
    <w:rsid w:val="00433932"/>
    <w:rsid w:val="00433DAF"/>
    <w:rsid w:val="004343C8"/>
    <w:rsid w:val="004345A5"/>
    <w:rsid w:val="00434F6C"/>
    <w:rsid w:val="004350C0"/>
    <w:rsid w:val="004354B1"/>
    <w:rsid w:val="00435B3B"/>
    <w:rsid w:val="00435B8F"/>
    <w:rsid w:val="00436584"/>
    <w:rsid w:val="00440BAF"/>
    <w:rsid w:val="00441757"/>
    <w:rsid w:val="004424C8"/>
    <w:rsid w:val="004425CD"/>
    <w:rsid w:val="00442923"/>
    <w:rsid w:val="004436FA"/>
    <w:rsid w:val="00443815"/>
    <w:rsid w:val="004438AB"/>
    <w:rsid w:val="00443C5D"/>
    <w:rsid w:val="00443F15"/>
    <w:rsid w:val="0044459D"/>
    <w:rsid w:val="00444A54"/>
    <w:rsid w:val="00445406"/>
    <w:rsid w:val="0044569C"/>
    <w:rsid w:val="00445DC6"/>
    <w:rsid w:val="00446121"/>
    <w:rsid w:val="004467E9"/>
    <w:rsid w:val="00446E58"/>
    <w:rsid w:val="00447178"/>
    <w:rsid w:val="00447EAE"/>
    <w:rsid w:val="00450734"/>
    <w:rsid w:val="004515A3"/>
    <w:rsid w:val="0045270B"/>
    <w:rsid w:val="004531A9"/>
    <w:rsid w:val="0045349B"/>
    <w:rsid w:val="00453B68"/>
    <w:rsid w:val="00453EB7"/>
    <w:rsid w:val="00454CA3"/>
    <w:rsid w:val="004553EA"/>
    <w:rsid w:val="0045683E"/>
    <w:rsid w:val="004571DF"/>
    <w:rsid w:val="00457A8B"/>
    <w:rsid w:val="004601F5"/>
    <w:rsid w:val="004616EA"/>
    <w:rsid w:val="00461D76"/>
    <w:rsid w:val="004626EF"/>
    <w:rsid w:val="004640A7"/>
    <w:rsid w:val="0046413B"/>
    <w:rsid w:val="00464288"/>
    <w:rsid w:val="0046442D"/>
    <w:rsid w:val="004649C0"/>
    <w:rsid w:val="004652D3"/>
    <w:rsid w:val="0046547A"/>
    <w:rsid w:val="00466589"/>
    <w:rsid w:val="00466824"/>
    <w:rsid w:val="0046682B"/>
    <w:rsid w:val="00466B2C"/>
    <w:rsid w:val="0046732B"/>
    <w:rsid w:val="00467B64"/>
    <w:rsid w:val="00467FA9"/>
    <w:rsid w:val="00470347"/>
    <w:rsid w:val="004721C1"/>
    <w:rsid w:val="00472412"/>
    <w:rsid w:val="004726DF"/>
    <w:rsid w:val="00472C56"/>
    <w:rsid w:val="00472F7F"/>
    <w:rsid w:val="00473376"/>
    <w:rsid w:val="00473AA9"/>
    <w:rsid w:val="00473F9C"/>
    <w:rsid w:val="0047485B"/>
    <w:rsid w:val="004756B8"/>
    <w:rsid w:val="004765F0"/>
    <w:rsid w:val="00476E8E"/>
    <w:rsid w:val="00477903"/>
    <w:rsid w:val="004779E3"/>
    <w:rsid w:val="00477ACD"/>
    <w:rsid w:val="00481E7D"/>
    <w:rsid w:val="00482254"/>
    <w:rsid w:val="00482B38"/>
    <w:rsid w:val="00482FA1"/>
    <w:rsid w:val="00482FD0"/>
    <w:rsid w:val="00483305"/>
    <w:rsid w:val="00483416"/>
    <w:rsid w:val="00483ECD"/>
    <w:rsid w:val="00484643"/>
    <w:rsid w:val="004858B2"/>
    <w:rsid w:val="004863A5"/>
    <w:rsid w:val="00486F89"/>
    <w:rsid w:val="004870B1"/>
    <w:rsid w:val="00490112"/>
    <w:rsid w:val="00491344"/>
    <w:rsid w:val="00491AF5"/>
    <w:rsid w:val="00491BA0"/>
    <w:rsid w:val="00491BC3"/>
    <w:rsid w:val="004928A5"/>
    <w:rsid w:val="00492D32"/>
    <w:rsid w:val="00493105"/>
    <w:rsid w:val="00493450"/>
    <w:rsid w:val="0049470E"/>
    <w:rsid w:val="00494D08"/>
    <w:rsid w:val="00494E93"/>
    <w:rsid w:val="00495945"/>
    <w:rsid w:val="00497425"/>
    <w:rsid w:val="0049785F"/>
    <w:rsid w:val="00497A71"/>
    <w:rsid w:val="004A001D"/>
    <w:rsid w:val="004A126B"/>
    <w:rsid w:val="004A18B0"/>
    <w:rsid w:val="004A2986"/>
    <w:rsid w:val="004A3540"/>
    <w:rsid w:val="004A3DB0"/>
    <w:rsid w:val="004A447A"/>
    <w:rsid w:val="004A4B2A"/>
    <w:rsid w:val="004A5636"/>
    <w:rsid w:val="004A659A"/>
    <w:rsid w:val="004A677E"/>
    <w:rsid w:val="004A697B"/>
    <w:rsid w:val="004A6CE0"/>
    <w:rsid w:val="004A7B41"/>
    <w:rsid w:val="004A7E44"/>
    <w:rsid w:val="004B18D2"/>
    <w:rsid w:val="004B211F"/>
    <w:rsid w:val="004B2266"/>
    <w:rsid w:val="004B34AF"/>
    <w:rsid w:val="004B3E73"/>
    <w:rsid w:val="004B473D"/>
    <w:rsid w:val="004B5898"/>
    <w:rsid w:val="004B6F29"/>
    <w:rsid w:val="004C13DF"/>
    <w:rsid w:val="004C25FE"/>
    <w:rsid w:val="004C299F"/>
    <w:rsid w:val="004C3F70"/>
    <w:rsid w:val="004C4338"/>
    <w:rsid w:val="004C4598"/>
    <w:rsid w:val="004C45DF"/>
    <w:rsid w:val="004C53E0"/>
    <w:rsid w:val="004C55B1"/>
    <w:rsid w:val="004C58D4"/>
    <w:rsid w:val="004C60A7"/>
    <w:rsid w:val="004C6867"/>
    <w:rsid w:val="004C6BEA"/>
    <w:rsid w:val="004C7FD7"/>
    <w:rsid w:val="004D038D"/>
    <w:rsid w:val="004D073E"/>
    <w:rsid w:val="004D1824"/>
    <w:rsid w:val="004D1EB8"/>
    <w:rsid w:val="004D2741"/>
    <w:rsid w:val="004D374D"/>
    <w:rsid w:val="004D3B47"/>
    <w:rsid w:val="004D3BA7"/>
    <w:rsid w:val="004D4998"/>
    <w:rsid w:val="004D51CD"/>
    <w:rsid w:val="004D5C8C"/>
    <w:rsid w:val="004D5F8B"/>
    <w:rsid w:val="004D5FA2"/>
    <w:rsid w:val="004D63A0"/>
    <w:rsid w:val="004D6749"/>
    <w:rsid w:val="004D6750"/>
    <w:rsid w:val="004D6D52"/>
    <w:rsid w:val="004D759D"/>
    <w:rsid w:val="004D77C4"/>
    <w:rsid w:val="004E08F0"/>
    <w:rsid w:val="004E091E"/>
    <w:rsid w:val="004E169C"/>
    <w:rsid w:val="004E2287"/>
    <w:rsid w:val="004E343B"/>
    <w:rsid w:val="004E365A"/>
    <w:rsid w:val="004E40AE"/>
    <w:rsid w:val="004E4205"/>
    <w:rsid w:val="004E4428"/>
    <w:rsid w:val="004E46C4"/>
    <w:rsid w:val="004E58F0"/>
    <w:rsid w:val="004E6B86"/>
    <w:rsid w:val="004E7CB5"/>
    <w:rsid w:val="004F0AE2"/>
    <w:rsid w:val="004F0BEA"/>
    <w:rsid w:val="004F1071"/>
    <w:rsid w:val="004F107B"/>
    <w:rsid w:val="004F1B97"/>
    <w:rsid w:val="004F2383"/>
    <w:rsid w:val="004F2A06"/>
    <w:rsid w:val="004F3263"/>
    <w:rsid w:val="004F3320"/>
    <w:rsid w:val="004F43F4"/>
    <w:rsid w:val="004F4487"/>
    <w:rsid w:val="004F4C1C"/>
    <w:rsid w:val="004F51D3"/>
    <w:rsid w:val="004F5288"/>
    <w:rsid w:val="004F5736"/>
    <w:rsid w:val="004F5BB2"/>
    <w:rsid w:val="004F60C5"/>
    <w:rsid w:val="004F67C3"/>
    <w:rsid w:val="004F6F80"/>
    <w:rsid w:val="004F714D"/>
    <w:rsid w:val="004F7707"/>
    <w:rsid w:val="005002AA"/>
    <w:rsid w:val="00500FB2"/>
    <w:rsid w:val="00501084"/>
    <w:rsid w:val="00501A9B"/>
    <w:rsid w:val="0050203F"/>
    <w:rsid w:val="00502BDB"/>
    <w:rsid w:val="00503256"/>
    <w:rsid w:val="00503494"/>
    <w:rsid w:val="00503BF2"/>
    <w:rsid w:val="00503C1C"/>
    <w:rsid w:val="00504789"/>
    <w:rsid w:val="005057F2"/>
    <w:rsid w:val="00505937"/>
    <w:rsid w:val="0050665A"/>
    <w:rsid w:val="00507A21"/>
    <w:rsid w:val="00507AA4"/>
    <w:rsid w:val="00507C01"/>
    <w:rsid w:val="00510168"/>
    <w:rsid w:val="00510228"/>
    <w:rsid w:val="005105C3"/>
    <w:rsid w:val="0051079D"/>
    <w:rsid w:val="00510892"/>
    <w:rsid w:val="00511DA9"/>
    <w:rsid w:val="005124C8"/>
    <w:rsid w:val="005124D9"/>
    <w:rsid w:val="005125B1"/>
    <w:rsid w:val="00513C6D"/>
    <w:rsid w:val="00514418"/>
    <w:rsid w:val="00514F24"/>
    <w:rsid w:val="00515333"/>
    <w:rsid w:val="0051669A"/>
    <w:rsid w:val="005166FD"/>
    <w:rsid w:val="00516B37"/>
    <w:rsid w:val="00516CE5"/>
    <w:rsid w:val="0052086C"/>
    <w:rsid w:val="005216CA"/>
    <w:rsid w:val="00521954"/>
    <w:rsid w:val="00521DF1"/>
    <w:rsid w:val="00521E19"/>
    <w:rsid w:val="00522CC9"/>
    <w:rsid w:val="00522D16"/>
    <w:rsid w:val="00522E71"/>
    <w:rsid w:val="005231AD"/>
    <w:rsid w:val="00523C06"/>
    <w:rsid w:val="00524975"/>
    <w:rsid w:val="00525128"/>
    <w:rsid w:val="00525C25"/>
    <w:rsid w:val="005273B8"/>
    <w:rsid w:val="00530570"/>
    <w:rsid w:val="00531735"/>
    <w:rsid w:val="00531771"/>
    <w:rsid w:val="005317DD"/>
    <w:rsid w:val="00531D14"/>
    <w:rsid w:val="00532325"/>
    <w:rsid w:val="005326C6"/>
    <w:rsid w:val="00532950"/>
    <w:rsid w:val="0053321B"/>
    <w:rsid w:val="005337DF"/>
    <w:rsid w:val="005337F9"/>
    <w:rsid w:val="0053477C"/>
    <w:rsid w:val="00534E79"/>
    <w:rsid w:val="0053580D"/>
    <w:rsid w:val="00537EB4"/>
    <w:rsid w:val="005409D5"/>
    <w:rsid w:val="00540D9E"/>
    <w:rsid w:val="00540EB8"/>
    <w:rsid w:val="005412E3"/>
    <w:rsid w:val="00541C14"/>
    <w:rsid w:val="00541CB7"/>
    <w:rsid w:val="00542062"/>
    <w:rsid w:val="005422A1"/>
    <w:rsid w:val="00542C18"/>
    <w:rsid w:val="00542F5F"/>
    <w:rsid w:val="00544CA0"/>
    <w:rsid w:val="00545AC6"/>
    <w:rsid w:val="00545C16"/>
    <w:rsid w:val="005463BE"/>
    <w:rsid w:val="00546508"/>
    <w:rsid w:val="0054788D"/>
    <w:rsid w:val="00547F4D"/>
    <w:rsid w:val="005500B7"/>
    <w:rsid w:val="005502C7"/>
    <w:rsid w:val="00551846"/>
    <w:rsid w:val="00551C71"/>
    <w:rsid w:val="005520FA"/>
    <w:rsid w:val="005535F9"/>
    <w:rsid w:val="00553C91"/>
    <w:rsid w:val="00553E37"/>
    <w:rsid w:val="00554AF4"/>
    <w:rsid w:val="00554EF5"/>
    <w:rsid w:val="0055564C"/>
    <w:rsid w:val="00555733"/>
    <w:rsid w:val="00555F67"/>
    <w:rsid w:val="00556D95"/>
    <w:rsid w:val="005576DD"/>
    <w:rsid w:val="00557C88"/>
    <w:rsid w:val="00560A16"/>
    <w:rsid w:val="00561307"/>
    <w:rsid w:val="00561C49"/>
    <w:rsid w:val="00562107"/>
    <w:rsid w:val="005621B6"/>
    <w:rsid w:val="0056233C"/>
    <w:rsid w:val="00562F66"/>
    <w:rsid w:val="005642DD"/>
    <w:rsid w:val="00564657"/>
    <w:rsid w:val="0056622A"/>
    <w:rsid w:val="00566593"/>
    <w:rsid w:val="005672BE"/>
    <w:rsid w:val="00570191"/>
    <w:rsid w:val="005702F6"/>
    <w:rsid w:val="0057126E"/>
    <w:rsid w:val="0057143B"/>
    <w:rsid w:val="0057201C"/>
    <w:rsid w:val="00572132"/>
    <w:rsid w:val="00572737"/>
    <w:rsid w:val="005729F2"/>
    <w:rsid w:val="005734C3"/>
    <w:rsid w:val="00573D58"/>
    <w:rsid w:val="00573EDA"/>
    <w:rsid w:val="00574172"/>
    <w:rsid w:val="00574D3C"/>
    <w:rsid w:val="00575210"/>
    <w:rsid w:val="005754D4"/>
    <w:rsid w:val="00575D04"/>
    <w:rsid w:val="005760C2"/>
    <w:rsid w:val="0057646A"/>
    <w:rsid w:val="005768F2"/>
    <w:rsid w:val="00576E08"/>
    <w:rsid w:val="005774BA"/>
    <w:rsid w:val="005777FE"/>
    <w:rsid w:val="00577BFE"/>
    <w:rsid w:val="00580129"/>
    <w:rsid w:val="005803D5"/>
    <w:rsid w:val="005815B3"/>
    <w:rsid w:val="005816A4"/>
    <w:rsid w:val="00582C24"/>
    <w:rsid w:val="005843B0"/>
    <w:rsid w:val="0058480B"/>
    <w:rsid w:val="00584A6A"/>
    <w:rsid w:val="00584CFD"/>
    <w:rsid w:val="00584E87"/>
    <w:rsid w:val="00585E56"/>
    <w:rsid w:val="00586BFA"/>
    <w:rsid w:val="00587571"/>
    <w:rsid w:val="005877A2"/>
    <w:rsid w:val="00587D76"/>
    <w:rsid w:val="00590B69"/>
    <w:rsid w:val="00591084"/>
    <w:rsid w:val="00591C54"/>
    <w:rsid w:val="00591FD3"/>
    <w:rsid w:val="00592115"/>
    <w:rsid w:val="00592208"/>
    <w:rsid w:val="00592391"/>
    <w:rsid w:val="00592E22"/>
    <w:rsid w:val="0059393E"/>
    <w:rsid w:val="00593C1B"/>
    <w:rsid w:val="00594F1F"/>
    <w:rsid w:val="00595151"/>
    <w:rsid w:val="005951F7"/>
    <w:rsid w:val="005973EB"/>
    <w:rsid w:val="00597857"/>
    <w:rsid w:val="005A00EA"/>
    <w:rsid w:val="005A0171"/>
    <w:rsid w:val="005A058F"/>
    <w:rsid w:val="005A07DD"/>
    <w:rsid w:val="005A0D26"/>
    <w:rsid w:val="005A1955"/>
    <w:rsid w:val="005A1EE3"/>
    <w:rsid w:val="005A234F"/>
    <w:rsid w:val="005A2445"/>
    <w:rsid w:val="005A2C01"/>
    <w:rsid w:val="005A3C5D"/>
    <w:rsid w:val="005A57CD"/>
    <w:rsid w:val="005A5E8E"/>
    <w:rsid w:val="005A600E"/>
    <w:rsid w:val="005A6EFD"/>
    <w:rsid w:val="005B03CA"/>
    <w:rsid w:val="005B0FD5"/>
    <w:rsid w:val="005B116A"/>
    <w:rsid w:val="005B13C8"/>
    <w:rsid w:val="005B15CB"/>
    <w:rsid w:val="005B26CE"/>
    <w:rsid w:val="005B32A8"/>
    <w:rsid w:val="005B3BE5"/>
    <w:rsid w:val="005B53CA"/>
    <w:rsid w:val="005B6B5B"/>
    <w:rsid w:val="005B721E"/>
    <w:rsid w:val="005B77A4"/>
    <w:rsid w:val="005B77E9"/>
    <w:rsid w:val="005B7DEB"/>
    <w:rsid w:val="005C0A68"/>
    <w:rsid w:val="005C14D7"/>
    <w:rsid w:val="005C1E5F"/>
    <w:rsid w:val="005C20F9"/>
    <w:rsid w:val="005C2C56"/>
    <w:rsid w:val="005C2FC1"/>
    <w:rsid w:val="005C3873"/>
    <w:rsid w:val="005C3B17"/>
    <w:rsid w:val="005C47A7"/>
    <w:rsid w:val="005C6543"/>
    <w:rsid w:val="005C7276"/>
    <w:rsid w:val="005C72A9"/>
    <w:rsid w:val="005C736F"/>
    <w:rsid w:val="005C7383"/>
    <w:rsid w:val="005C765A"/>
    <w:rsid w:val="005D15B3"/>
    <w:rsid w:val="005D1983"/>
    <w:rsid w:val="005D2043"/>
    <w:rsid w:val="005D29F0"/>
    <w:rsid w:val="005D2CA1"/>
    <w:rsid w:val="005D350A"/>
    <w:rsid w:val="005D3B79"/>
    <w:rsid w:val="005D3CCE"/>
    <w:rsid w:val="005D3DD7"/>
    <w:rsid w:val="005D4C14"/>
    <w:rsid w:val="005D559B"/>
    <w:rsid w:val="005D56D4"/>
    <w:rsid w:val="005D59BC"/>
    <w:rsid w:val="005D624D"/>
    <w:rsid w:val="005D695F"/>
    <w:rsid w:val="005D6F29"/>
    <w:rsid w:val="005D7345"/>
    <w:rsid w:val="005E018D"/>
    <w:rsid w:val="005E11D5"/>
    <w:rsid w:val="005E28D3"/>
    <w:rsid w:val="005E2B7A"/>
    <w:rsid w:val="005E3474"/>
    <w:rsid w:val="005E36C3"/>
    <w:rsid w:val="005E544B"/>
    <w:rsid w:val="005E5A80"/>
    <w:rsid w:val="005E5E09"/>
    <w:rsid w:val="005E7462"/>
    <w:rsid w:val="005E7BBE"/>
    <w:rsid w:val="005F0C0A"/>
    <w:rsid w:val="005F1711"/>
    <w:rsid w:val="005F2090"/>
    <w:rsid w:val="005F305F"/>
    <w:rsid w:val="005F345C"/>
    <w:rsid w:val="005F38B0"/>
    <w:rsid w:val="005F3C70"/>
    <w:rsid w:val="005F4213"/>
    <w:rsid w:val="005F5A50"/>
    <w:rsid w:val="005F6334"/>
    <w:rsid w:val="005F653C"/>
    <w:rsid w:val="005F7929"/>
    <w:rsid w:val="005F7C7D"/>
    <w:rsid w:val="005F7CA2"/>
    <w:rsid w:val="005F7FF0"/>
    <w:rsid w:val="006003DF"/>
    <w:rsid w:val="00600795"/>
    <w:rsid w:val="00601459"/>
    <w:rsid w:val="006017C0"/>
    <w:rsid w:val="00601CAA"/>
    <w:rsid w:val="006020AE"/>
    <w:rsid w:val="00602398"/>
    <w:rsid w:val="00602A59"/>
    <w:rsid w:val="0060382F"/>
    <w:rsid w:val="00603CFB"/>
    <w:rsid w:val="006051DD"/>
    <w:rsid w:val="00606051"/>
    <w:rsid w:val="00606067"/>
    <w:rsid w:val="00606B56"/>
    <w:rsid w:val="00606CB2"/>
    <w:rsid w:val="00607BEA"/>
    <w:rsid w:val="00610821"/>
    <w:rsid w:val="006109F4"/>
    <w:rsid w:val="00611B0F"/>
    <w:rsid w:val="0061387F"/>
    <w:rsid w:val="00614025"/>
    <w:rsid w:val="0061478C"/>
    <w:rsid w:val="00615091"/>
    <w:rsid w:val="006162AD"/>
    <w:rsid w:val="00616682"/>
    <w:rsid w:val="006166C1"/>
    <w:rsid w:val="0062194D"/>
    <w:rsid w:val="0062285F"/>
    <w:rsid w:val="00623B4A"/>
    <w:rsid w:val="006246B3"/>
    <w:rsid w:val="00624FE0"/>
    <w:rsid w:val="00625D68"/>
    <w:rsid w:val="00625D80"/>
    <w:rsid w:val="00625DB2"/>
    <w:rsid w:val="0062637F"/>
    <w:rsid w:val="00626B37"/>
    <w:rsid w:val="00631199"/>
    <w:rsid w:val="0063135D"/>
    <w:rsid w:val="006314A1"/>
    <w:rsid w:val="006314C5"/>
    <w:rsid w:val="00631528"/>
    <w:rsid w:val="006317FA"/>
    <w:rsid w:val="00631935"/>
    <w:rsid w:val="00632575"/>
    <w:rsid w:val="00632FE2"/>
    <w:rsid w:val="00633057"/>
    <w:rsid w:val="006333C0"/>
    <w:rsid w:val="0063343A"/>
    <w:rsid w:val="00633620"/>
    <w:rsid w:val="00633A5E"/>
    <w:rsid w:val="00633BB0"/>
    <w:rsid w:val="0063479D"/>
    <w:rsid w:val="00634A23"/>
    <w:rsid w:val="006351AE"/>
    <w:rsid w:val="0063527F"/>
    <w:rsid w:val="00635534"/>
    <w:rsid w:val="00641F3E"/>
    <w:rsid w:val="006424BD"/>
    <w:rsid w:val="006427D2"/>
    <w:rsid w:val="00643434"/>
    <w:rsid w:val="00643554"/>
    <w:rsid w:val="00643BEC"/>
    <w:rsid w:val="006445AE"/>
    <w:rsid w:val="00645027"/>
    <w:rsid w:val="00646000"/>
    <w:rsid w:val="00646089"/>
    <w:rsid w:val="00646771"/>
    <w:rsid w:val="0065021E"/>
    <w:rsid w:val="00650609"/>
    <w:rsid w:val="00650BE9"/>
    <w:rsid w:val="0065116E"/>
    <w:rsid w:val="00651732"/>
    <w:rsid w:val="006518DB"/>
    <w:rsid w:val="0065232A"/>
    <w:rsid w:val="00652A3F"/>
    <w:rsid w:val="00652D24"/>
    <w:rsid w:val="00653AB1"/>
    <w:rsid w:val="00653BAB"/>
    <w:rsid w:val="00654CA6"/>
    <w:rsid w:val="00655608"/>
    <w:rsid w:val="006566CB"/>
    <w:rsid w:val="00657100"/>
    <w:rsid w:val="0065736B"/>
    <w:rsid w:val="0065786B"/>
    <w:rsid w:val="00657994"/>
    <w:rsid w:val="00660BAA"/>
    <w:rsid w:val="00660D63"/>
    <w:rsid w:val="00661320"/>
    <w:rsid w:val="006613C7"/>
    <w:rsid w:val="00661C52"/>
    <w:rsid w:val="00662090"/>
    <w:rsid w:val="00662258"/>
    <w:rsid w:val="00662E53"/>
    <w:rsid w:val="0066338F"/>
    <w:rsid w:val="0066343C"/>
    <w:rsid w:val="006639CB"/>
    <w:rsid w:val="00663B54"/>
    <w:rsid w:val="00663DAB"/>
    <w:rsid w:val="00664140"/>
    <w:rsid w:val="00665304"/>
    <w:rsid w:val="00665E7D"/>
    <w:rsid w:val="00666B11"/>
    <w:rsid w:val="00667344"/>
    <w:rsid w:val="00667C66"/>
    <w:rsid w:val="00672CBA"/>
    <w:rsid w:val="00672D0A"/>
    <w:rsid w:val="006732EE"/>
    <w:rsid w:val="006749C8"/>
    <w:rsid w:val="0067512C"/>
    <w:rsid w:val="0067587C"/>
    <w:rsid w:val="00675D07"/>
    <w:rsid w:val="006761E5"/>
    <w:rsid w:val="0067624A"/>
    <w:rsid w:val="0067713B"/>
    <w:rsid w:val="006775C9"/>
    <w:rsid w:val="006803EE"/>
    <w:rsid w:val="006804AB"/>
    <w:rsid w:val="0068054F"/>
    <w:rsid w:val="006809A1"/>
    <w:rsid w:val="006815DF"/>
    <w:rsid w:val="00681BD1"/>
    <w:rsid w:val="00681C66"/>
    <w:rsid w:val="006823E8"/>
    <w:rsid w:val="006827A0"/>
    <w:rsid w:val="006831BF"/>
    <w:rsid w:val="00683607"/>
    <w:rsid w:val="00683AAA"/>
    <w:rsid w:val="00683AF4"/>
    <w:rsid w:val="00683CF5"/>
    <w:rsid w:val="006846C5"/>
    <w:rsid w:val="00686246"/>
    <w:rsid w:val="00687112"/>
    <w:rsid w:val="006873AD"/>
    <w:rsid w:val="00687718"/>
    <w:rsid w:val="0068783C"/>
    <w:rsid w:val="00687AE3"/>
    <w:rsid w:val="00690E8C"/>
    <w:rsid w:val="0069106A"/>
    <w:rsid w:val="006911FF"/>
    <w:rsid w:val="00691B80"/>
    <w:rsid w:val="00691DD2"/>
    <w:rsid w:val="00692C6F"/>
    <w:rsid w:val="006945B5"/>
    <w:rsid w:val="0069589A"/>
    <w:rsid w:val="00695E49"/>
    <w:rsid w:val="00696410"/>
    <w:rsid w:val="006964EE"/>
    <w:rsid w:val="00696CB6"/>
    <w:rsid w:val="0069753B"/>
    <w:rsid w:val="006A020E"/>
    <w:rsid w:val="006A041A"/>
    <w:rsid w:val="006A0AEB"/>
    <w:rsid w:val="006A1080"/>
    <w:rsid w:val="006A2707"/>
    <w:rsid w:val="006A2849"/>
    <w:rsid w:val="006A2918"/>
    <w:rsid w:val="006A32E0"/>
    <w:rsid w:val="006A3534"/>
    <w:rsid w:val="006A35D9"/>
    <w:rsid w:val="006A47B1"/>
    <w:rsid w:val="006A58FF"/>
    <w:rsid w:val="006A636D"/>
    <w:rsid w:val="006A6CA5"/>
    <w:rsid w:val="006A6EA3"/>
    <w:rsid w:val="006A723E"/>
    <w:rsid w:val="006A744A"/>
    <w:rsid w:val="006A7A77"/>
    <w:rsid w:val="006A7D53"/>
    <w:rsid w:val="006B026C"/>
    <w:rsid w:val="006B1A46"/>
    <w:rsid w:val="006B22C4"/>
    <w:rsid w:val="006B22E9"/>
    <w:rsid w:val="006B3DA9"/>
    <w:rsid w:val="006B41E1"/>
    <w:rsid w:val="006B4F89"/>
    <w:rsid w:val="006B5437"/>
    <w:rsid w:val="006B568E"/>
    <w:rsid w:val="006B5788"/>
    <w:rsid w:val="006B5E6F"/>
    <w:rsid w:val="006B72B6"/>
    <w:rsid w:val="006B7383"/>
    <w:rsid w:val="006B7BEE"/>
    <w:rsid w:val="006B7D41"/>
    <w:rsid w:val="006B7DD0"/>
    <w:rsid w:val="006C015C"/>
    <w:rsid w:val="006C090D"/>
    <w:rsid w:val="006C0F54"/>
    <w:rsid w:val="006C10D7"/>
    <w:rsid w:val="006C1E54"/>
    <w:rsid w:val="006C2273"/>
    <w:rsid w:val="006C23FC"/>
    <w:rsid w:val="006C242E"/>
    <w:rsid w:val="006C2B31"/>
    <w:rsid w:val="006C37C9"/>
    <w:rsid w:val="006C3C72"/>
    <w:rsid w:val="006C3D02"/>
    <w:rsid w:val="006C3E31"/>
    <w:rsid w:val="006C3FEF"/>
    <w:rsid w:val="006C4812"/>
    <w:rsid w:val="006C4DD2"/>
    <w:rsid w:val="006C585A"/>
    <w:rsid w:val="006C6827"/>
    <w:rsid w:val="006C6ADB"/>
    <w:rsid w:val="006C6E8B"/>
    <w:rsid w:val="006D0363"/>
    <w:rsid w:val="006D04B6"/>
    <w:rsid w:val="006D0B7C"/>
    <w:rsid w:val="006D1D50"/>
    <w:rsid w:val="006D2AB7"/>
    <w:rsid w:val="006D3517"/>
    <w:rsid w:val="006D3672"/>
    <w:rsid w:val="006D39E1"/>
    <w:rsid w:val="006D4128"/>
    <w:rsid w:val="006D4843"/>
    <w:rsid w:val="006D4891"/>
    <w:rsid w:val="006D4CEA"/>
    <w:rsid w:val="006D4EAA"/>
    <w:rsid w:val="006D5F3C"/>
    <w:rsid w:val="006D63E4"/>
    <w:rsid w:val="006D70E3"/>
    <w:rsid w:val="006D71B4"/>
    <w:rsid w:val="006E0B7E"/>
    <w:rsid w:val="006E0CF6"/>
    <w:rsid w:val="006E0D1C"/>
    <w:rsid w:val="006E12CB"/>
    <w:rsid w:val="006E1C75"/>
    <w:rsid w:val="006E2278"/>
    <w:rsid w:val="006E229F"/>
    <w:rsid w:val="006E2316"/>
    <w:rsid w:val="006E24BA"/>
    <w:rsid w:val="006E2710"/>
    <w:rsid w:val="006E35B9"/>
    <w:rsid w:val="006E3969"/>
    <w:rsid w:val="006E3C09"/>
    <w:rsid w:val="006E44AF"/>
    <w:rsid w:val="006E44E6"/>
    <w:rsid w:val="006E4A33"/>
    <w:rsid w:val="006E4E13"/>
    <w:rsid w:val="006E4E85"/>
    <w:rsid w:val="006E54B1"/>
    <w:rsid w:val="006E5AE8"/>
    <w:rsid w:val="006E619E"/>
    <w:rsid w:val="006E7A32"/>
    <w:rsid w:val="006E7FF5"/>
    <w:rsid w:val="006F0421"/>
    <w:rsid w:val="006F0830"/>
    <w:rsid w:val="006F0FDB"/>
    <w:rsid w:val="006F1A53"/>
    <w:rsid w:val="006F2051"/>
    <w:rsid w:val="006F20C9"/>
    <w:rsid w:val="006F2136"/>
    <w:rsid w:val="006F3466"/>
    <w:rsid w:val="006F3C65"/>
    <w:rsid w:val="006F45F0"/>
    <w:rsid w:val="006F46A0"/>
    <w:rsid w:val="006F4860"/>
    <w:rsid w:val="006F5E01"/>
    <w:rsid w:val="006F673F"/>
    <w:rsid w:val="006F6B8C"/>
    <w:rsid w:val="006F6D8C"/>
    <w:rsid w:val="006F72CA"/>
    <w:rsid w:val="007002C0"/>
    <w:rsid w:val="00700BF1"/>
    <w:rsid w:val="00700E21"/>
    <w:rsid w:val="00701563"/>
    <w:rsid w:val="007024A8"/>
    <w:rsid w:val="00702E46"/>
    <w:rsid w:val="00704B0C"/>
    <w:rsid w:val="00704F51"/>
    <w:rsid w:val="00705A6E"/>
    <w:rsid w:val="0070614C"/>
    <w:rsid w:val="00706758"/>
    <w:rsid w:val="00706D49"/>
    <w:rsid w:val="00707105"/>
    <w:rsid w:val="0070778E"/>
    <w:rsid w:val="00707D48"/>
    <w:rsid w:val="00707ED0"/>
    <w:rsid w:val="00707F37"/>
    <w:rsid w:val="00710332"/>
    <w:rsid w:val="00710B64"/>
    <w:rsid w:val="007116F1"/>
    <w:rsid w:val="00712EB9"/>
    <w:rsid w:val="00713647"/>
    <w:rsid w:val="0071366E"/>
    <w:rsid w:val="00713CB7"/>
    <w:rsid w:val="00714430"/>
    <w:rsid w:val="00714E27"/>
    <w:rsid w:val="00715CAB"/>
    <w:rsid w:val="00716F6F"/>
    <w:rsid w:val="00717413"/>
    <w:rsid w:val="00717673"/>
    <w:rsid w:val="007205F7"/>
    <w:rsid w:val="00720624"/>
    <w:rsid w:val="00720B7F"/>
    <w:rsid w:val="00721257"/>
    <w:rsid w:val="00721C3A"/>
    <w:rsid w:val="00721FC4"/>
    <w:rsid w:val="007225DD"/>
    <w:rsid w:val="007228B8"/>
    <w:rsid w:val="007228D7"/>
    <w:rsid w:val="00723BFB"/>
    <w:rsid w:val="00724222"/>
    <w:rsid w:val="007242C1"/>
    <w:rsid w:val="007242CF"/>
    <w:rsid w:val="007243B7"/>
    <w:rsid w:val="007245E7"/>
    <w:rsid w:val="00725497"/>
    <w:rsid w:val="007255B5"/>
    <w:rsid w:val="0072589E"/>
    <w:rsid w:val="00726AC2"/>
    <w:rsid w:val="007279BD"/>
    <w:rsid w:val="00727A75"/>
    <w:rsid w:val="00727EF6"/>
    <w:rsid w:val="00730F3C"/>
    <w:rsid w:val="00731366"/>
    <w:rsid w:val="00731453"/>
    <w:rsid w:val="007317C6"/>
    <w:rsid w:val="007328C6"/>
    <w:rsid w:val="00732C6E"/>
    <w:rsid w:val="00734409"/>
    <w:rsid w:val="0073537D"/>
    <w:rsid w:val="00735972"/>
    <w:rsid w:val="007376E4"/>
    <w:rsid w:val="00737DCB"/>
    <w:rsid w:val="00737ED5"/>
    <w:rsid w:val="00740689"/>
    <w:rsid w:val="00740B2D"/>
    <w:rsid w:val="00742B7A"/>
    <w:rsid w:val="00742E7C"/>
    <w:rsid w:val="007439FE"/>
    <w:rsid w:val="007448D0"/>
    <w:rsid w:val="00744A44"/>
    <w:rsid w:val="00744FF0"/>
    <w:rsid w:val="007453F1"/>
    <w:rsid w:val="00745DCA"/>
    <w:rsid w:val="007464F2"/>
    <w:rsid w:val="00747249"/>
    <w:rsid w:val="007500C8"/>
    <w:rsid w:val="007514EC"/>
    <w:rsid w:val="0075153F"/>
    <w:rsid w:val="00751C76"/>
    <w:rsid w:val="007524C5"/>
    <w:rsid w:val="00752B5D"/>
    <w:rsid w:val="00752DF0"/>
    <w:rsid w:val="00753289"/>
    <w:rsid w:val="00754233"/>
    <w:rsid w:val="007552B7"/>
    <w:rsid w:val="00755A47"/>
    <w:rsid w:val="00756197"/>
    <w:rsid w:val="0075651C"/>
    <w:rsid w:val="0075735A"/>
    <w:rsid w:val="00757679"/>
    <w:rsid w:val="00757F77"/>
    <w:rsid w:val="00757F87"/>
    <w:rsid w:val="00760818"/>
    <w:rsid w:val="00761F15"/>
    <w:rsid w:val="0076241D"/>
    <w:rsid w:val="007632F6"/>
    <w:rsid w:val="0076481A"/>
    <w:rsid w:val="007656AA"/>
    <w:rsid w:val="00765EFC"/>
    <w:rsid w:val="0076657C"/>
    <w:rsid w:val="007670A0"/>
    <w:rsid w:val="00772825"/>
    <w:rsid w:val="007729A6"/>
    <w:rsid w:val="00772AAB"/>
    <w:rsid w:val="00772FDA"/>
    <w:rsid w:val="00773906"/>
    <w:rsid w:val="00773EF4"/>
    <w:rsid w:val="00774048"/>
    <w:rsid w:val="007751DE"/>
    <w:rsid w:val="00775445"/>
    <w:rsid w:val="007764EC"/>
    <w:rsid w:val="00777CA7"/>
    <w:rsid w:val="00777FF9"/>
    <w:rsid w:val="00780AAC"/>
    <w:rsid w:val="00781745"/>
    <w:rsid w:val="00782441"/>
    <w:rsid w:val="00783351"/>
    <w:rsid w:val="007837F8"/>
    <w:rsid w:val="007838B5"/>
    <w:rsid w:val="00784069"/>
    <w:rsid w:val="0078430E"/>
    <w:rsid w:val="00784CFD"/>
    <w:rsid w:val="00785455"/>
    <w:rsid w:val="00785C5F"/>
    <w:rsid w:val="00786694"/>
    <w:rsid w:val="0078757D"/>
    <w:rsid w:val="0078795B"/>
    <w:rsid w:val="00790F88"/>
    <w:rsid w:val="0079117E"/>
    <w:rsid w:val="00791651"/>
    <w:rsid w:val="00792959"/>
    <w:rsid w:val="0079489F"/>
    <w:rsid w:val="00794ACE"/>
    <w:rsid w:val="00794D5C"/>
    <w:rsid w:val="0079571E"/>
    <w:rsid w:val="00795DDE"/>
    <w:rsid w:val="00795DE5"/>
    <w:rsid w:val="00795FF6"/>
    <w:rsid w:val="00797443"/>
    <w:rsid w:val="00797872"/>
    <w:rsid w:val="00797908"/>
    <w:rsid w:val="007A0238"/>
    <w:rsid w:val="007A03A7"/>
    <w:rsid w:val="007A0EDF"/>
    <w:rsid w:val="007A1353"/>
    <w:rsid w:val="007A15B0"/>
    <w:rsid w:val="007A165B"/>
    <w:rsid w:val="007A25F0"/>
    <w:rsid w:val="007A2DC9"/>
    <w:rsid w:val="007A2DF4"/>
    <w:rsid w:val="007A3803"/>
    <w:rsid w:val="007A38B9"/>
    <w:rsid w:val="007A3D35"/>
    <w:rsid w:val="007A4CF0"/>
    <w:rsid w:val="007A55E8"/>
    <w:rsid w:val="007A5662"/>
    <w:rsid w:val="007A5746"/>
    <w:rsid w:val="007A6145"/>
    <w:rsid w:val="007A6461"/>
    <w:rsid w:val="007A76A9"/>
    <w:rsid w:val="007A78AE"/>
    <w:rsid w:val="007B11CF"/>
    <w:rsid w:val="007B1221"/>
    <w:rsid w:val="007B2542"/>
    <w:rsid w:val="007B28AB"/>
    <w:rsid w:val="007B2D08"/>
    <w:rsid w:val="007B3E59"/>
    <w:rsid w:val="007B48DB"/>
    <w:rsid w:val="007B52AA"/>
    <w:rsid w:val="007B577A"/>
    <w:rsid w:val="007B5E1F"/>
    <w:rsid w:val="007B5EEB"/>
    <w:rsid w:val="007B6244"/>
    <w:rsid w:val="007B6724"/>
    <w:rsid w:val="007B6B56"/>
    <w:rsid w:val="007C02A9"/>
    <w:rsid w:val="007C064D"/>
    <w:rsid w:val="007C097F"/>
    <w:rsid w:val="007C0FAF"/>
    <w:rsid w:val="007C1133"/>
    <w:rsid w:val="007C13F3"/>
    <w:rsid w:val="007C178B"/>
    <w:rsid w:val="007C1880"/>
    <w:rsid w:val="007C19EF"/>
    <w:rsid w:val="007C32A0"/>
    <w:rsid w:val="007C3476"/>
    <w:rsid w:val="007C39E1"/>
    <w:rsid w:val="007C3C2B"/>
    <w:rsid w:val="007C4160"/>
    <w:rsid w:val="007C453E"/>
    <w:rsid w:val="007C4563"/>
    <w:rsid w:val="007C4C5D"/>
    <w:rsid w:val="007C533B"/>
    <w:rsid w:val="007C537E"/>
    <w:rsid w:val="007C53ED"/>
    <w:rsid w:val="007C5500"/>
    <w:rsid w:val="007C62C0"/>
    <w:rsid w:val="007C7B99"/>
    <w:rsid w:val="007D010A"/>
    <w:rsid w:val="007D066A"/>
    <w:rsid w:val="007D10EC"/>
    <w:rsid w:val="007D11D6"/>
    <w:rsid w:val="007D2B36"/>
    <w:rsid w:val="007D31FF"/>
    <w:rsid w:val="007D4019"/>
    <w:rsid w:val="007D44A2"/>
    <w:rsid w:val="007D4E11"/>
    <w:rsid w:val="007D66A1"/>
    <w:rsid w:val="007D6E3B"/>
    <w:rsid w:val="007D72D7"/>
    <w:rsid w:val="007D76DB"/>
    <w:rsid w:val="007D7A70"/>
    <w:rsid w:val="007D7E35"/>
    <w:rsid w:val="007E0392"/>
    <w:rsid w:val="007E0882"/>
    <w:rsid w:val="007E0BA5"/>
    <w:rsid w:val="007E0FFD"/>
    <w:rsid w:val="007E23CC"/>
    <w:rsid w:val="007E50F9"/>
    <w:rsid w:val="007E5938"/>
    <w:rsid w:val="007E5D12"/>
    <w:rsid w:val="007E5EE6"/>
    <w:rsid w:val="007E6F69"/>
    <w:rsid w:val="007E780E"/>
    <w:rsid w:val="007F02EA"/>
    <w:rsid w:val="007F0997"/>
    <w:rsid w:val="007F1615"/>
    <w:rsid w:val="007F30DF"/>
    <w:rsid w:val="007F4C65"/>
    <w:rsid w:val="007F5464"/>
    <w:rsid w:val="007F55AF"/>
    <w:rsid w:val="007F58A8"/>
    <w:rsid w:val="007F70B7"/>
    <w:rsid w:val="007F7BE7"/>
    <w:rsid w:val="007F7FF8"/>
    <w:rsid w:val="00800986"/>
    <w:rsid w:val="0080268B"/>
    <w:rsid w:val="008029F0"/>
    <w:rsid w:val="00802D20"/>
    <w:rsid w:val="00803539"/>
    <w:rsid w:val="00804267"/>
    <w:rsid w:val="00804A21"/>
    <w:rsid w:val="00804C84"/>
    <w:rsid w:val="008052A4"/>
    <w:rsid w:val="008052BB"/>
    <w:rsid w:val="008053B3"/>
    <w:rsid w:val="008055EB"/>
    <w:rsid w:val="0080670F"/>
    <w:rsid w:val="008077EE"/>
    <w:rsid w:val="00810953"/>
    <w:rsid w:val="0081117B"/>
    <w:rsid w:val="00811A88"/>
    <w:rsid w:val="00812727"/>
    <w:rsid w:val="00812D26"/>
    <w:rsid w:val="00813212"/>
    <w:rsid w:val="008139C2"/>
    <w:rsid w:val="0081402D"/>
    <w:rsid w:val="00814316"/>
    <w:rsid w:val="00814FE3"/>
    <w:rsid w:val="00815392"/>
    <w:rsid w:val="00815A44"/>
    <w:rsid w:val="008162B4"/>
    <w:rsid w:val="008166DC"/>
    <w:rsid w:val="00817837"/>
    <w:rsid w:val="00820752"/>
    <w:rsid w:val="00821840"/>
    <w:rsid w:val="008227DB"/>
    <w:rsid w:val="00822891"/>
    <w:rsid w:val="00823067"/>
    <w:rsid w:val="0082331D"/>
    <w:rsid w:val="00823EC5"/>
    <w:rsid w:val="00824574"/>
    <w:rsid w:val="00824A3E"/>
    <w:rsid w:val="00824CB1"/>
    <w:rsid w:val="00824D90"/>
    <w:rsid w:val="008253F1"/>
    <w:rsid w:val="0082612D"/>
    <w:rsid w:val="0082755C"/>
    <w:rsid w:val="00830A65"/>
    <w:rsid w:val="0083110A"/>
    <w:rsid w:val="0083204C"/>
    <w:rsid w:val="00832B65"/>
    <w:rsid w:val="00832EF5"/>
    <w:rsid w:val="00833078"/>
    <w:rsid w:val="008332E3"/>
    <w:rsid w:val="00834550"/>
    <w:rsid w:val="008345E4"/>
    <w:rsid w:val="0083536A"/>
    <w:rsid w:val="008354A6"/>
    <w:rsid w:val="00835832"/>
    <w:rsid w:val="00835A66"/>
    <w:rsid w:val="00836D79"/>
    <w:rsid w:val="00837AFF"/>
    <w:rsid w:val="00837E20"/>
    <w:rsid w:val="0084081D"/>
    <w:rsid w:val="00840890"/>
    <w:rsid w:val="008414E5"/>
    <w:rsid w:val="00841E6B"/>
    <w:rsid w:val="008420C6"/>
    <w:rsid w:val="00842C9A"/>
    <w:rsid w:val="00842E55"/>
    <w:rsid w:val="008451DD"/>
    <w:rsid w:val="00845912"/>
    <w:rsid w:val="00845C39"/>
    <w:rsid w:val="00845C4C"/>
    <w:rsid w:val="008464C5"/>
    <w:rsid w:val="00846907"/>
    <w:rsid w:val="00846978"/>
    <w:rsid w:val="0085037C"/>
    <w:rsid w:val="00850D27"/>
    <w:rsid w:val="00851B4D"/>
    <w:rsid w:val="00852AF4"/>
    <w:rsid w:val="0085439B"/>
    <w:rsid w:val="00855582"/>
    <w:rsid w:val="008563FC"/>
    <w:rsid w:val="00856D44"/>
    <w:rsid w:val="00857075"/>
    <w:rsid w:val="0085741B"/>
    <w:rsid w:val="00857588"/>
    <w:rsid w:val="00857FE4"/>
    <w:rsid w:val="008623A9"/>
    <w:rsid w:val="00862C38"/>
    <w:rsid w:val="00863045"/>
    <w:rsid w:val="00863441"/>
    <w:rsid w:val="00863940"/>
    <w:rsid w:val="00863FED"/>
    <w:rsid w:val="00864970"/>
    <w:rsid w:val="00865B28"/>
    <w:rsid w:val="008664EB"/>
    <w:rsid w:val="0086742E"/>
    <w:rsid w:val="00867B31"/>
    <w:rsid w:val="00870E36"/>
    <w:rsid w:val="00871907"/>
    <w:rsid w:val="00871B71"/>
    <w:rsid w:val="00872B92"/>
    <w:rsid w:val="00872EE8"/>
    <w:rsid w:val="00872FB9"/>
    <w:rsid w:val="00873589"/>
    <w:rsid w:val="00874241"/>
    <w:rsid w:val="008742F6"/>
    <w:rsid w:val="008747F2"/>
    <w:rsid w:val="00874F9F"/>
    <w:rsid w:val="00875037"/>
    <w:rsid w:val="00875C25"/>
    <w:rsid w:val="008760F2"/>
    <w:rsid w:val="00877117"/>
    <w:rsid w:val="00880498"/>
    <w:rsid w:val="00880628"/>
    <w:rsid w:val="0088063C"/>
    <w:rsid w:val="008806CB"/>
    <w:rsid w:val="00880785"/>
    <w:rsid w:val="00880AB9"/>
    <w:rsid w:val="00880B96"/>
    <w:rsid w:val="00881037"/>
    <w:rsid w:val="0088208F"/>
    <w:rsid w:val="008824A7"/>
    <w:rsid w:val="0088268F"/>
    <w:rsid w:val="008838F6"/>
    <w:rsid w:val="008849E7"/>
    <w:rsid w:val="00884DDC"/>
    <w:rsid w:val="00885C4D"/>
    <w:rsid w:val="008869AC"/>
    <w:rsid w:val="00886A86"/>
    <w:rsid w:val="008903D7"/>
    <w:rsid w:val="00890993"/>
    <w:rsid w:val="00890DE4"/>
    <w:rsid w:val="00891DE3"/>
    <w:rsid w:val="00892AAB"/>
    <w:rsid w:val="00893CDC"/>
    <w:rsid w:val="00894749"/>
    <w:rsid w:val="0089477B"/>
    <w:rsid w:val="00894869"/>
    <w:rsid w:val="00894EE0"/>
    <w:rsid w:val="00896556"/>
    <w:rsid w:val="00897177"/>
    <w:rsid w:val="0089723A"/>
    <w:rsid w:val="00897391"/>
    <w:rsid w:val="00897CEA"/>
    <w:rsid w:val="008A0ABF"/>
    <w:rsid w:val="008A0FF6"/>
    <w:rsid w:val="008A1675"/>
    <w:rsid w:val="008A1BD1"/>
    <w:rsid w:val="008A2002"/>
    <w:rsid w:val="008A2BC9"/>
    <w:rsid w:val="008A31DA"/>
    <w:rsid w:val="008A34B6"/>
    <w:rsid w:val="008A3838"/>
    <w:rsid w:val="008A3B92"/>
    <w:rsid w:val="008A44BF"/>
    <w:rsid w:val="008A4741"/>
    <w:rsid w:val="008A4A80"/>
    <w:rsid w:val="008A53D3"/>
    <w:rsid w:val="008A5C76"/>
    <w:rsid w:val="008A5F86"/>
    <w:rsid w:val="008A64B5"/>
    <w:rsid w:val="008A67CF"/>
    <w:rsid w:val="008A6DB0"/>
    <w:rsid w:val="008A7219"/>
    <w:rsid w:val="008B02A6"/>
    <w:rsid w:val="008B0873"/>
    <w:rsid w:val="008B0CD1"/>
    <w:rsid w:val="008B11A4"/>
    <w:rsid w:val="008B17EE"/>
    <w:rsid w:val="008B3403"/>
    <w:rsid w:val="008B4683"/>
    <w:rsid w:val="008B4E8A"/>
    <w:rsid w:val="008B5878"/>
    <w:rsid w:val="008B783A"/>
    <w:rsid w:val="008B7E78"/>
    <w:rsid w:val="008B7F11"/>
    <w:rsid w:val="008C15F8"/>
    <w:rsid w:val="008C16DC"/>
    <w:rsid w:val="008C1FC3"/>
    <w:rsid w:val="008C20CC"/>
    <w:rsid w:val="008C234E"/>
    <w:rsid w:val="008C3065"/>
    <w:rsid w:val="008C4578"/>
    <w:rsid w:val="008C59D2"/>
    <w:rsid w:val="008C5D54"/>
    <w:rsid w:val="008C657B"/>
    <w:rsid w:val="008C6A0A"/>
    <w:rsid w:val="008C6AF5"/>
    <w:rsid w:val="008C6BC8"/>
    <w:rsid w:val="008D14F6"/>
    <w:rsid w:val="008D2742"/>
    <w:rsid w:val="008D300C"/>
    <w:rsid w:val="008D348E"/>
    <w:rsid w:val="008D44B0"/>
    <w:rsid w:val="008D4BCD"/>
    <w:rsid w:val="008D51EC"/>
    <w:rsid w:val="008D5CAC"/>
    <w:rsid w:val="008D5D28"/>
    <w:rsid w:val="008D6142"/>
    <w:rsid w:val="008D63E4"/>
    <w:rsid w:val="008D6449"/>
    <w:rsid w:val="008D6F98"/>
    <w:rsid w:val="008D77E9"/>
    <w:rsid w:val="008D7AE1"/>
    <w:rsid w:val="008D7C7C"/>
    <w:rsid w:val="008D7C7F"/>
    <w:rsid w:val="008D7FB8"/>
    <w:rsid w:val="008E046C"/>
    <w:rsid w:val="008E09A8"/>
    <w:rsid w:val="008E0AF6"/>
    <w:rsid w:val="008E27ED"/>
    <w:rsid w:val="008E3425"/>
    <w:rsid w:val="008E3753"/>
    <w:rsid w:val="008E499B"/>
    <w:rsid w:val="008E5771"/>
    <w:rsid w:val="008E608E"/>
    <w:rsid w:val="008E6791"/>
    <w:rsid w:val="008E71FD"/>
    <w:rsid w:val="008E7222"/>
    <w:rsid w:val="008F0955"/>
    <w:rsid w:val="008F09FC"/>
    <w:rsid w:val="008F0D71"/>
    <w:rsid w:val="008F100B"/>
    <w:rsid w:val="008F10A5"/>
    <w:rsid w:val="008F1D0A"/>
    <w:rsid w:val="008F2665"/>
    <w:rsid w:val="008F29A5"/>
    <w:rsid w:val="008F2E47"/>
    <w:rsid w:val="008F3093"/>
    <w:rsid w:val="008F38CE"/>
    <w:rsid w:val="008F3DD7"/>
    <w:rsid w:val="008F44F5"/>
    <w:rsid w:val="008F4C8B"/>
    <w:rsid w:val="008F4FC2"/>
    <w:rsid w:val="008F619A"/>
    <w:rsid w:val="008F6384"/>
    <w:rsid w:val="008F63F8"/>
    <w:rsid w:val="008F6593"/>
    <w:rsid w:val="008F6A07"/>
    <w:rsid w:val="008F7017"/>
    <w:rsid w:val="008F70B1"/>
    <w:rsid w:val="008F77FE"/>
    <w:rsid w:val="0090094E"/>
    <w:rsid w:val="00901224"/>
    <w:rsid w:val="0090162C"/>
    <w:rsid w:val="00901CF7"/>
    <w:rsid w:val="00902CEF"/>
    <w:rsid w:val="00902FB1"/>
    <w:rsid w:val="0090321B"/>
    <w:rsid w:val="00903576"/>
    <w:rsid w:val="009037D2"/>
    <w:rsid w:val="0090484B"/>
    <w:rsid w:val="009050A2"/>
    <w:rsid w:val="009074FE"/>
    <w:rsid w:val="0090755E"/>
    <w:rsid w:val="00910543"/>
    <w:rsid w:val="009109E0"/>
    <w:rsid w:val="00911776"/>
    <w:rsid w:val="00911A9A"/>
    <w:rsid w:val="00911B52"/>
    <w:rsid w:val="00912BC2"/>
    <w:rsid w:val="00912C6C"/>
    <w:rsid w:val="00913D98"/>
    <w:rsid w:val="00913D9A"/>
    <w:rsid w:val="00913E46"/>
    <w:rsid w:val="00914B46"/>
    <w:rsid w:val="00914E98"/>
    <w:rsid w:val="009165CA"/>
    <w:rsid w:val="00917A7E"/>
    <w:rsid w:val="00917CDC"/>
    <w:rsid w:val="009206AB"/>
    <w:rsid w:val="0092083B"/>
    <w:rsid w:val="009209DE"/>
    <w:rsid w:val="00921712"/>
    <w:rsid w:val="00921BBC"/>
    <w:rsid w:val="00921E70"/>
    <w:rsid w:val="00922172"/>
    <w:rsid w:val="00922A05"/>
    <w:rsid w:val="00922F3C"/>
    <w:rsid w:val="0092334B"/>
    <w:rsid w:val="00923C42"/>
    <w:rsid w:val="00924EC0"/>
    <w:rsid w:val="00925397"/>
    <w:rsid w:val="00926290"/>
    <w:rsid w:val="0092646A"/>
    <w:rsid w:val="00926C63"/>
    <w:rsid w:val="00926E28"/>
    <w:rsid w:val="009306EF"/>
    <w:rsid w:val="009308C5"/>
    <w:rsid w:val="00932D3F"/>
    <w:rsid w:val="00934F65"/>
    <w:rsid w:val="0093531D"/>
    <w:rsid w:val="009357D9"/>
    <w:rsid w:val="0093662C"/>
    <w:rsid w:val="00936904"/>
    <w:rsid w:val="00936F50"/>
    <w:rsid w:val="00941292"/>
    <w:rsid w:val="00941C94"/>
    <w:rsid w:val="00942260"/>
    <w:rsid w:val="009433D5"/>
    <w:rsid w:val="0094341C"/>
    <w:rsid w:val="00943759"/>
    <w:rsid w:val="00943F30"/>
    <w:rsid w:val="0094411D"/>
    <w:rsid w:val="00945128"/>
    <w:rsid w:val="009458DC"/>
    <w:rsid w:val="00945D25"/>
    <w:rsid w:val="00946078"/>
    <w:rsid w:val="00946A05"/>
    <w:rsid w:val="0094739A"/>
    <w:rsid w:val="00947869"/>
    <w:rsid w:val="00947CD1"/>
    <w:rsid w:val="00947D49"/>
    <w:rsid w:val="0095053B"/>
    <w:rsid w:val="00950568"/>
    <w:rsid w:val="009510FE"/>
    <w:rsid w:val="009523D9"/>
    <w:rsid w:val="00952A87"/>
    <w:rsid w:val="00952D4C"/>
    <w:rsid w:val="00954349"/>
    <w:rsid w:val="0095442D"/>
    <w:rsid w:val="009544D4"/>
    <w:rsid w:val="009548DB"/>
    <w:rsid w:val="00954C67"/>
    <w:rsid w:val="00955058"/>
    <w:rsid w:val="00955327"/>
    <w:rsid w:val="00955480"/>
    <w:rsid w:val="0095575F"/>
    <w:rsid w:val="00955B9A"/>
    <w:rsid w:val="00956AEE"/>
    <w:rsid w:val="00956BF0"/>
    <w:rsid w:val="00956C73"/>
    <w:rsid w:val="00957265"/>
    <w:rsid w:val="00957772"/>
    <w:rsid w:val="009577A4"/>
    <w:rsid w:val="00957AFE"/>
    <w:rsid w:val="00960430"/>
    <w:rsid w:val="00960DB2"/>
    <w:rsid w:val="00960F3B"/>
    <w:rsid w:val="009611FC"/>
    <w:rsid w:val="00961ACF"/>
    <w:rsid w:val="00961DE8"/>
    <w:rsid w:val="009628A4"/>
    <w:rsid w:val="0096301E"/>
    <w:rsid w:val="0096340A"/>
    <w:rsid w:val="00963BA4"/>
    <w:rsid w:val="00963D8A"/>
    <w:rsid w:val="00964041"/>
    <w:rsid w:val="00964ABE"/>
    <w:rsid w:val="00964EE3"/>
    <w:rsid w:val="0096595F"/>
    <w:rsid w:val="0096698C"/>
    <w:rsid w:val="00966F21"/>
    <w:rsid w:val="009672C8"/>
    <w:rsid w:val="00967769"/>
    <w:rsid w:val="00967E7A"/>
    <w:rsid w:val="009705AF"/>
    <w:rsid w:val="00970835"/>
    <w:rsid w:val="009710DF"/>
    <w:rsid w:val="009716AC"/>
    <w:rsid w:val="009716D7"/>
    <w:rsid w:val="00971E2C"/>
    <w:rsid w:val="00971E80"/>
    <w:rsid w:val="00972170"/>
    <w:rsid w:val="00972B52"/>
    <w:rsid w:val="00973B2F"/>
    <w:rsid w:val="00973E95"/>
    <w:rsid w:val="0097475E"/>
    <w:rsid w:val="00974E6C"/>
    <w:rsid w:val="0097529C"/>
    <w:rsid w:val="00975809"/>
    <w:rsid w:val="00976521"/>
    <w:rsid w:val="00977C67"/>
    <w:rsid w:val="00977D30"/>
    <w:rsid w:val="009803C0"/>
    <w:rsid w:val="00980E4C"/>
    <w:rsid w:val="00981472"/>
    <w:rsid w:val="0098193B"/>
    <w:rsid w:val="00981E6D"/>
    <w:rsid w:val="00981EC1"/>
    <w:rsid w:val="00983201"/>
    <w:rsid w:val="00983960"/>
    <w:rsid w:val="00984C92"/>
    <w:rsid w:val="009856ED"/>
    <w:rsid w:val="00985BF5"/>
    <w:rsid w:val="00985D08"/>
    <w:rsid w:val="00985EF2"/>
    <w:rsid w:val="009863CC"/>
    <w:rsid w:val="0098679D"/>
    <w:rsid w:val="009904AC"/>
    <w:rsid w:val="00990D5D"/>
    <w:rsid w:val="00990DE2"/>
    <w:rsid w:val="0099192E"/>
    <w:rsid w:val="00991C50"/>
    <w:rsid w:val="00992334"/>
    <w:rsid w:val="00993DC0"/>
    <w:rsid w:val="00994DAA"/>
    <w:rsid w:val="009950A8"/>
    <w:rsid w:val="0099557A"/>
    <w:rsid w:val="0099577B"/>
    <w:rsid w:val="00995A32"/>
    <w:rsid w:val="00996619"/>
    <w:rsid w:val="00996C5C"/>
    <w:rsid w:val="0099709E"/>
    <w:rsid w:val="009979E5"/>
    <w:rsid w:val="00997EC7"/>
    <w:rsid w:val="009A073C"/>
    <w:rsid w:val="009A0EEC"/>
    <w:rsid w:val="009A1127"/>
    <w:rsid w:val="009A1B95"/>
    <w:rsid w:val="009A2614"/>
    <w:rsid w:val="009A4496"/>
    <w:rsid w:val="009A588B"/>
    <w:rsid w:val="009A5CD8"/>
    <w:rsid w:val="009A5F0B"/>
    <w:rsid w:val="009A6822"/>
    <w:rsid w:val="009A694F"/>
    <w:rsid w:val="009A6CE2"/>
    <w:rsid w:val="009A712E"/>
    <w:rsid w:val="009A719D"/>
    <w:rsid w:val="009A721D"/>
    <w:rsid w:val="009A74FA"/>
    <w:rsid w:val="009A7990"/>
    <w:rsid w:val="009A7A78"/>
    <w:rsid w:val="009B0891"/>
    <w:rsid w:val="009B0A13"/>
    <w:rsid w:val="009B10B4"/>
    <w:rsid w:val="009B1463"/>
    <w:rsid w:val="009B34E0"/>
    <w:rsid w:val="009B34E5"/>
    <w:rsid w:val="009B43AB"/>
    <w:rsid w:val="009B4468"/>
    <w:rsid w:val="009B5CEE"/>
    <w:rsid w:val="009B5E9D"/>
    <w:rsid w:val="009B6027"/>
    <w:rsid w:val="009B6CBD"/>
    <w:rsid w:val="009C0291"/>
    <w:rsid w:val="009C096A"/>
    <w:rsid w:val="009C161E"/>
    <w:rsid w:val="009C192E"/>
    <w:rsid w:val="009C2DC7"/>
    <w:rsid w:val="009C4032"/>
    <w:rsid w:val="009C420D"/>
    <w:rsid w:val="009C52CF"/>
    <w:rsid w:val="009C5BC0"/>
    <w:rsid w:val="009C5BF5"/>
    <w:rsid w:val="009C73F1"/>
    <w:rsid w:val="009D03DC"/>
    <w:rsid w:val="009D0A95"/>
    <w:rsid w:val="009D0FC1"/>
    <w:rsid w:val="009D10A8"/>
    <w:rsid w:val="009D1822"/>
    <w:rsid w:val="009D1C84"/>
    <w:rsid w:val="009D1EA4"/>
    <w:rsid w:val="009D2171"/>
    <w:rsid w:val="009D37A9"/>
    <w:rsid w:val="009D3A99"/>
    <w:rsid w:val="009D52EE"/>
    <w:rsid w:val="009D5402"/>
    <w:rsid w:val="009D5667"/>
    <w:rsid w:val="009D588D"/>
    <w:rsid w:val="009D5EE8"/>
    <w:rsid w:val="009D727E"/>
    <w:rsid w:val="009E01FC"/>
    <w:rsid w:val="009E125E"/>
    <w:rsid w:val="009E137B"/>
    <w:rsid w:val="009E13BB"/>
    <w:rsid w:val="009E14DD"/>
    <w:rsid w:val="009E218F"/>
    <w:rsid w:val="009E22EE"/>
    <w:rsid w:val="009E38AC"/>
    <w:rsid w:val="009E3BBF"/>
    <w:rsid w:val="009E4F6D"/>
    <w:rsid w:val="009E5085"/>
    <w:rsid w:val="009E5515"/>
    <w:rsid w:val="009E57F9"/>
    <w:rsid w:val="009E62B9"/>
    <w:rsid w:val="009F0378"/>
    <w:rsid w:val="009F070A"/>
    <w:rsid w:val="009F09CE"/>
    <w:rsid w:val="009F148B"/>
    <w:rsid w:val="009F175C"/>
    <w:rsid w:val="009F2651"/>
    <w:rsid w:val="009F27AE"/>
    <w:rsid w:val="009F2D9A"/>
    <w:rsid w:val="009F2F0D"/>
    <w:rsid w:val="009F32B2"/>
    <w:rsid w:val="009F32D9"/>
    <w:rsid w:val="009F32FB"/>
    <w:rsid w:val="009F525E"/>
    <w:rsid w:val="009F5512"/>
    <w:rsid w:val="009F55C9"/>
    <w:rsid w:val="009F6B74"/>
    <w:rsid w:val="009F700E"/>
    <w:rsid w:val="00A0017A"/>
    <w:rsid w:val="00A00830"/>
    <w:rsid w:val="00A00A27"/>
    <w:rsid w:val="00A00B38"/>
    <w:rsid w:val="00A00E28"/>
    <w:rsid w:val="00A00F4B"/>
    <w:rsid w:val="00A01937"/>
    <w:rsid w:val="00A01958"/>
    <w:rsid w:val="00A01CC3"/>
    <w:rsid w:val="00A02C91"/>
    <w:rsid w:val="00A02CD0"/>
    <w:rsid w:val="00A0467E"/>
    <w:rsid w:val="00A05AA9"/>
    <w:rsid w:val="00A05F3B"/>
    <w:rsid w:val="00A06315"/>
    <w:rsid w:val="00A06593"/>
    <w:rsid w:val="00A0704A"/>
    <w:rsid w:val="00A073B3"/>
    <w:rsid w:val="00A077C2"/>
    <w:rsid w:val="00A079A8"/>
    <w:rsid w:val="00A100FA"/>
    <w:rsid w:val="00A10C05"/>
    <w:rsid w:val="00A10E8C"/>
    <w:rsid w:val="00A123AB"/>
    <w:rsid w:val="00A12506"/>
    <w:rsid w:val="00A13393"/>
    <w:rsid w:val="00A13728"/>
    <w:rsid w:val="00A13A15"/>
    <w:rsid w:val="00A1421C"/>
    <w:rsid w:val="00A14388"/>
    <w:rsid w:val="00A14A6B"/>
    <w:rsid w:val="00A157AC"/>
    <w:rsid w:val="00A15F66"/>
    <w:rsid w:val="00A16729"/>
    <w:rsid w:val="00A16853"/>
    <w:rsid w:val="00A16BDD"/>
    <w:rsid w:val="00A171BC"/>
    <w:rsid w:val="00A2129A"/>
    <w:rsid w:val="00A21986"/>
    <w:rsid w:val="00A22AEE"/>
    <w:rsid w:val="00A23260"/>
    <w:rsid w:val="00A23737"/>
    <w:rsid w:val="00A2484F"/>
    <w:rsid w:val="00A24E93"/>
    <w:rsid w:val="00A266C6"/>
    <w:rsid w:val="00A26AC1"/>
    <w:rsid w:val="00A270F6"/>
    <w:rsid w:val="00A2787B"/>
    <w:rsid w:val="00A3043C"/>
    <w:rsid w:val="00A30A05"/>
    <w:rsid w:val="00A30CE7"/>
    <w:rsid w:val="00A3145F"/>
    <w:rsid w:val="00A32364"/>
    <w:rsid w:val="00A323D4"/>
    <w:rsid w:val="00A33347"/>
    <w:rsid w:val="00A33ABF"/>
    <w:rsid w:val="00A33E44"/>
    <w:rsid w:val="00A34101"/>
    <w:rsid w:val="00A3475B"/>
    <w:rsid w:val="00A35C38"/>
    <w:rsid w:val="00A35EF5"/>
    <w:rsid w:val="00A360D0"/>
    <w:rsid w:val="00A361B9"/>
    <w:rsid w:val="00A36EB4"/>
    <w:rsid w:val="00A3782F"/>
    <w:rsid w:val="00A40DF8"/>
    <w:rsid w:val="00A411AD"/>
    <w:rsid w:val="00A41613"/>
    <w:rsid w:val="00A425B5"/>
    <w:rsid w:val="00A42B43"/>
    <w:rsid w:val="00A43444"/>
    <w:rsid w:val="00A43666"/>
    <w:rsid w:val="00A438A6"/>
    <w:rsid w:val="00A44C5A"/>
    <w:rsid w:val="00A45194"/>
    <w:rsid w:val="00A4572F"/>
    <w:rsid w:val="00A4573D"/>
    <w:rsid w:val="00A45D7D"/>
    <w:rsid w:val="00A461DF"/>
    <w:rsid w:val="00A467FC"/>
    <w:rsid w:val="00A47261"/>
    <w:rsid w:val="00A506CE"/>
    <w:rsid w:val="00A5070B"/>
    <w:rsid w:val="00A51AB1"/>
    <w:rsid w:val="00A51E41"/>
    <w:rsid w:val="00A52B16"/>
    <w:rsid w:val="00A53DE8"/>
    <w:rsid w:val="00A53E61"/>
    <w:rsid w:val="00A54135"/>
    <w:rsid w:val="00A54503"/>
    <w:rsid w:val="00A5525B"/>
    <w:rsid w:val="00A555F7"/>
    <w:rsid w:val="00A55EA0"/>
    <w:rsid w:val="00A60460"/>
    <w:rsid w:val="00A60875"/>
    <w:rsid w:val="00A60FF9"/>
    <w:rsid w:val="00A613B9"/>
    <w:rsid w:val="00A6168D"/>
    <w:rsid w:val="00A61DB7"/>
    <w:rsid w:val="00A6241E"/>
    <w:rsid w:val="00A624EE"/>
    <w:rsid w:val="00A63E8F"/>
    <w:rsid w:val="00A64BBE"/>
    <w:rsid w:val="00A6559A"/>
    <w:rsid w:val="00A666E4"/>
    <w:rsid w:val="00A66D35"/>
    <w:rsid w:val="00A6711F"/>
    <w:rsid w:val="00A70CBE"/>
    <w:rsid w:val="00A71497"/>
    <w:rsid w:val="00A716FE"/>
    <w:rsid w:val="00A7201F"/>
    <w:rsid w:val="00A72DCD"/>
    <w:rsid w:val="00A7313F"/>
    <w:rsid w:val="00A7368E"/>
    <w:rsid w:val="00A7496A"/>
    <w:rsid w:val="00A75090"/>
    <w:rsid w:val="00A756D3"/>
    <w:rsid w:val="00A760D1"/>
    <w:rsid w:val="00A763BE"/>
    <w:rsid w:val="00A76464"/>
    <w:rsid w:val="00A77356"/>
    <w:rsid w:val="00A77AD7"/>
    <w:rsid w:val="00A77C31"/>
    <w:rsid w:val="00A80583"/>
    <w:rsid w:val="00A80731"/>
    <w:rsid w:val="00A809F2"/>
    <w:rsid w:val="00A81297"/>
    <w:rsid w:val="00A81360"/>
    <w:rsid w:val="00A83B6C"/>
    <w:rsid w:val="00A84016"/>
    <w:rsid w:val="00A842F2"/>
    <w:rsid w:val="00A856CE"/>
    <w:rsid w:val="00A85CAB"/>
    <w:rsid w:val="00A86973"/>
    <w:rsid w:val="00A8704D"/>
    <w:rsid w:val="00A877E8"/>
    <w:rsid w:val="00A90976"/>
    <w:rsid w:val="00A91380"/>
    <w:rsid w:val="00A913F2"/>
    <w:rsid w:val="00A92990"/>
    <w:rsid w:val="00A92EF7"/>
    <w:rsid w:val="00A93062"/>
    <w:rsid w:val="00A9416D"/>
    <w:rsid w:val="00A94BA2"/>
    <w:rsid w:val="00A95C9E"/>
    <w:rsid w:val="00A96DF1"/>
    <w:rsid w:val="00A9737A"/>
    <w:rsid w:val="00A97CF2"/>
    <w:rsid w:val="00AA06D1"/>
    <w:rsid w:val="00AA1171"/>
    <w:rsid w:val="00AA11EE"/>
    <w:rsid w:val="00AA1790"/>
    <w:rsid w:val="00AA1919"/>
    <w:rsid w:val="00AA28C1"/>
    <w:rsid w:val="00AA2FB2"/>
    <w:rsid w:val="00AA39E6"/>
    <w:rsid w:val="00AA3D60"/>
    <w:rsid w:val="00AA56FC"/>
    <w:rsid w:val="00AA5A42"/>
    <w:rsid w:val="00AA5BC8"/>
    <w:rsid w:val="00AA5BC9"/>
    <w:rsid w:val="00AA5FB9"/>
    <w:rsid w:val="00AA620D"/>
    <w:rsid w:val="00AA6417"/>
    <w:rsid w:val="00AA69CF"/>
    <w:rsid w:val="00AA7063"/>
    <w:rsid w:val="00AA71A5"/>
    <w:rsid w:val="00AA7485"/>
    <w:rsid w:val="00AB074F"/>
    <w:rsid w:val="00AB13EB"/>
    <w:rsid w:val="00AB19C0"/>
    <w:rsid w:val="00AB2D36"/>
    <w:rsid w:val="00AB2EFE"/>
    <w:rsid w:val="00AB33A0"/>
    <w:rsid w:val="00AB39A6"/>
    <w:rsid w:val="00AB3CFA"/>
    <w:rsid w:val="00AB453C"/>
    <w:rsid w:val="00AB46AF"/>
    <w:rsid w:val="00AB552C"/>
    <w:rsid w:val="00AB5730"/>
    <w:rsid w:val="00AB59AB"/>
    <w:rsid w:val="00AB6A01"/>
    <w:rsid w:val="00AB6C3C"/>
    <w:rsid w:val="00AB7BB6"/>
    <w:rsid w:val="00AC0524"/>
    <w:rsid w:val="00AC098C"/>
    <w:rsid w:val="00AC1138"/>
    <w:rsid w:val="00AC138E"/>
    <w:rsid w:val="00AC178A"/>
    <w:rsid w:val="00AC2CD7"/>
    <w:rsid w:val="00AC2D32"/>
    <w:rsid w:val="00AC309E"/>
    <w:rsid w:val="00AC3BFC"/>
    <w:rsid w:val="00AC3F3D"/>
    <w:rsid w:val="00AC44ED"/>
    <w:rsid w:val="00AC5875"/>
    <w:rsid w:val="00AC6F59"/>
    <w:rsid w:val="00AC78A9"/>
    <w:rsid w:val="00AC79E4"/>
    <w:rsid w:val="00AD03FB"/>
    <w:rsid w:val="00AD0F0F"/>
    <w:rsid w:val="00AD1388"/>
    <w:rsid w:val="00AD14E9"/>
    <w:rsid w:val="00AD2627"/>
    <w:rsid w:val="00AD28A4"/>
    <w:rsid w:val="00AD2EA3"/>
    <w:rsid w:val="00AD38DA"/>
    <w:rsid w:val="00AD4047"/>
    <w:rsid w:val="00AD5617"/>
    <w:rsid w:val="00AD5C05"/>
    <w:rsid w:val="00AD5EF9"/>
    <w:rsid w:val="00AD617A"/>
    <w:rsid w:val="00AD6AF0"/>
    <w:rsid w:val="00AD6D35"/>
    <w:rsid w:val="00AD73C2"/>
    <w:rsid w:val="00AD75D8"/>
    <w:rsid w:val="00AD7866"/>
    <w:rsid w:val="00AE00E1"/>
    <w:rsid w:val="00AE03C7"/>
    <w:rsid w:val="00AE065D"/>
    <w:rsid w:val="00AE0DEA"/>
    <w:rsid w:val="00AE14B1"/>
    <w:rsid w:val="00AE167D"/>
    <w:rsid w:val="00AE1EF9"/>
    <w:rsid w:val="00AE4D2E"/>
    <w:rsid w:val="00AE4E7F"/>
    <w:rsid w:val="00AE4FE6"/>
    <w:rsid w:val="00AE5399"/>
    <w:rsid w:val="00AE57B9"/>
    <w:rsid w:val="00AE6097"/>
    <w:rsid w:val="00AE6D48"/>
    <w:rsid w:val="00AE72D0"/>
    <w:rsid w:val="00AE7353"/>
    <w:rsid w:val="00AF0389"/>
    <w:rsid w:val="00AF0691"/>
    <w:rsid w:val="00AF261D"/>
    <w:rsid w:val="00AF2A88"/>
    <w:rsid w:val="00AF3BA9"/>
    <w:rsid w:val="00AF3D6E"/>
    <w:rsid w:val="00AF42A4"/>
    <w:rsid w:val="00AF4817"/>
    <w:rsid w:val="00AF4945"/>
    <w:rsid w:val="00AF52A3"/>
    <w:rsid w:val="00AF5334"/>
    <w:rsid w:val="00AF6385"/>
    <w:rsid w:val="00AF6E2D"/>
    <w:rsid w:val="00AF6E5F"/>
    <w:rsid w:val="00B003AE"/>
    <w:rsid w:val="00B00E77"/>
    <w:rsid w:val="00B010BD"/>
    <w:rsid w:val="00B015AF"/>
    <w:rsid w:val="00B016A2"/>
    <w:rsid w:val="00B01E93"/>
    <w:rsid w:val="00B01FA7"/>
    <w:rsid w:val="00B024C7"/>
    <w:rsid w:val="00B025D1"/>
    <w:rsid w:val="00B043DB"/>
    <w:rsid w:val="00B04C3E"/>
    <w:rsid w:val="00B06906"/>
    <w:rsid w:val="00B06D04"/>
    <w:rsid w:val="00B10574"/>
    <w:rsid w:val="00B10F2C"/>
    <w:rsid w:val="00B111A3"/>
    <w:rsid w:val="00B112FE"/>
    <w:rsid w:val="00B11E23"/>
    <w:rsid w:val="00B12590"/>
    <w:rsid w:val="00B12C89"/>
    <w:rsid w:val="00B12D00"/>
    <w:rsid w:val="00B13481"/>
    <w:rsid w:val="00B150F6"/>
    <w:rsid w:val="00B16947"/>
    <w:rsid w:val="00B16958"/>
    <w:rsid w:val="00B16B6C"/>
    <w:rsid w:val="00B16B71"/>
    <w:rsid w:val="00B16C42"/>
    <w:rsid w:val="00B172DE"/>
    <w:rsid w:val="00B17365"/>
    <w:rsid w:val="00B175D2"/>
    <w:rsid w:val="00B17A2A"/>
    <w:rsid w:val="00B17D47"/>
    <w:rsid w:val="00B17EB0"/>
    <w:rsid w:val="00B20DF6"/>
    <w:rsid w:val="00B21424"/>
    <w:rsid w:val="00B21719"/>
    <w:rsid w:val="00B231CE"/>
    <w:rsid w:val="00B257BB"/>
    <w:rsid w:val="00B25979"/>
    <w:rsid w:val="00B25F03"/>
    <w:rsid w:val="00B26349"/>
    <w:rsid w:val="00B26D9B"/>
    <w:rsid w:val="00B2759B"/>
    <w:rsid w:val="00B31C5E"/>
    <w:rsid w:val="00B32841"/>
    <w:rsid w:val="00B33898"/>
    <w:rsid w:val="00B34218"/>
    <w:rsid w:val="00B35962"/>
    <w:rsid w:val="00B359C1"/>
    <w:rsid w:val="00B35FFD"/>
    <w:rsid w:val="00B364E4"/>
    <w:rsid w:val="00B37828"/>
    <w:rsid w:val="00B37C85"/>
    <w:rsid w:val="00B40302"/>
    <w:rsid w:val="00B404EC"/>
    <w:rsid w:val="00B4280D"/>
    <w:rsid w:val="00B42A66"/>
    <w:rsid w:val="00B43408"/>
    <w:rsid w:val="00B435DE"/>
    <w:rsid w:val="00B43E91"/>
    <w:rsid w:val="00B44397"/>
    <w:rsid w:val="00B44B90"/>
    <w:rsid w:val="00B44CAC"/>
    <w:rsid w:val="00B44DB0"/>
    <w:rsid w:val="00B44F2F"/>
    <w:rsid w:val="00B44F6C"/>
    <w:rsid w:val="00B458E3"/>
    <w:rsid w:val="00B46098"/>
    <w:rsid w:val="00B4648C"/>
    <w:rsid w:val="00B469D2"/>
    <w:rsid w:val="00B46D47"/>
    <w:rsid w:val="00B4708D"/>
    <w:rsid w:val="00B47564"/>
    <w:rsid w:val="00B47D62"/>
    <w:rsid w:val="00B501DA"/>
    <w:rsid w:val="00B50371"/>
    <w:rsid w:val="00B50BF2"/>
    <w:rsid w:val="00B511D2"/>
    <w:rsid w:val="00B5129B"/>
    <w:rsid w:val="00B51AB2"/>
    <w:rsid w:val="00B51B95"/>
    <w:rsid w:val="00B51D95"/>
    <w:rsid w:val="00B52913"/>
    <w:rsid w:val="00B53C5D"/>
    <w:rsid w:val="00B54A6B"/>
    <w:rsid w:val="00B54E70"/>
    <w:rsid w:val="00B54F43"/>
    <w:rsid w:val="00B550DB"/>
    <w:rsid w:val="00B55913"/>
    <w:rsid w:val="00B5596E"/>
    <w:rsid w:val="00B55EF9"/>
    <w:rsid w:val="00B569C2"/>
    <w:rsid w:val="00B57D0C"/>
    <w:rsid w:val="00B57EEF"/>
    <w:rsid w:val="00B61F08"/>
    <w:rsid w:val="00B62C8E"/>
    <w:rsid w:val="00B62D5F"/>
    <w:rsid w:val="00B64063"/>
    <w:rsid w:val="00B64112"/>
    <w:rsid w:val="00B6412E"/>
    <w:rsid w:val="00B653B0"/>
    <w:rsid w:val="00B66C47"/>
    <w:rsid w:val="00B67564"/>
    <w:rsid w:val="00B70590"/>
    <w:rsid w:val="00B70BD3"/>
    <w:rsid w:val="00B72C88"/>
    <w:rsid w:val="00B72ED0"/>
    <w:rsid w:val="00B72F6D"/>
    <w:rsid w:val="00B72FE3"/>
    <w:rsid w:val="00B7307D"/>
    <w:rsid w:val="00B73159"/>
    <w:rsid w:val="00B733A5"/>
    <w:rsid w:val="00B735FE"/>
    <w:rsid w:val="00B73875"/>
    <w:rsid w:val="00B741F2"/>
    <w:rsid w:val="00B748AA"/>
    <w:rsid w:val="00B7567C"/>
    <w:rsid w:val="00B76C24"/>
    <w:rsid w:val="00B7746E"/>
    <w:rsid w:val="00B77FD1"/>
    <w:rsid w:val="00B83070"/>
    <w:rsid w:val="00B83333"/>
    <w:rsid w:val="00B83E13"/>
    <w:rsid w:val="00B847A4"/>
    <w:rsid w:val="00B849EB"/>
    <w:rsid w:val="00B8500D"/>
    <w:rsid w:val="00B854ED"/>
    <w:rsid w:val="00B8632E"/>
    <w:rsid w:val="00B866B7"/>
    <w:rsid w:val="00B86E6D"/>
    <w:rsid w:val="00B87303"/>
    <w:rsid w:val="00B905D4"/>
    <w:rsid w:val="00B91058"/>
    <w:rsid w:val="00B9197E"/>
    <w:rsid w:val="00B919AF"/>
    <w:rsid w:val="00B91A39"/>
    <w:rsid w:val="00B933DC"/>
    <w:rsid w:val="00B94251"/>
    <w:rsid w:val="00B954A0"/>
    <w:rsid w:val="00B95906"/>
    <w:rsid w:val="00B95930"/>
    <w:rsid w:val="00B96C2F"/>
    <w:rsid w:val="00B96D3F"/>
    <w:rsid w:val="00BA04AB"/>
    <w:rsid w:val="00BA0B3D"/>
    <w:rsid w:val="00BA2024"/>
    <w:rsid w:val="00BA24E9"/>
    <w:rsid w:val="00BA263C"/>
    <w:rsid w:val="00BA2DAD"/>
    <w:rsid w:val="00BA3AEE"/>
    <w:rsid w:val="00BA3B1D"/>
    <w:rsid w:val="00BA67F1"/>
    <w:rsid w:val="00BA6E5D"/>
    <w:rsid w:val="00BA7417"/>
    <w:rsid w:val="00BA77F6"/>
    <w:rsid w:val="00BB020E"/>
    <w:rsid w:val="00BB0D9E"/>
    <w:rsid w:val="00BB18B2"/>
    <w:rsid w:val="00BB1EE0"/>
    <w:rsid w:val="00BB244A"/>
    <w:rsid w:val="00BB2803"/>
    <w:rsid w:val="00BB31AB"/>
    <w:rsid w:val="00BB52E3"/>
    <w:rsid w:val="00BB5451"/>
    <w:rsid w:val="00BB557A"/>
    <w:rsid w:val="00BB617D"/>
    <w:rsid w:val="00BB61AE"/>
    <w:rsid w:val="00BB6A0B"/>
    <w:rsid w:val="00BC0239"/>
    <w:rsid w:val="00BC1593"/>
    <w:rsid w:val="00BC1BFA"/>
    <w:rsid w:val="00BC1BFF"/>
    <w:rsid w:val="00BC200F"/>
    <w:rsid w:val="00BC2262"/>
    <w:rsid w:val="00BC26C8"/>
    <w:rsid w:val="00BC2DB7"/>
    <w:rsid w:val="00BC2E73"/>
    <w:rsid w:val="00BC4BD4"/>
    <w:rsid w:val="00BC6B15"/>
    <w:rsid w:val="00BC70BF"/>
    <w:rsid w:val="00BC7A0E"/>
    <w:rsid w:val="00BD023D"/>
    <w:rsid w:val="00BD0440"/>
    <w:rsid w:val="00BD06AD"/>
    <w:rsid w:val="00BD0782"/>
    <w:rsid w:val="00BD0C83"/>
    <w:rsid w:val="00BD1370"/>
    <w:rsid w:val="00BD1B4F"/>
    <w:rsid w:val="00BD256C"/>
    <w:rsid w:val="00BD3DBB"/>
    <w:rsid w:val="00BD3E32"/>
    <w:rsid w:val="00BD44BD"/>
    <w:rsid w:val="00BD47C0"/>
    <w:rsid w:val="00BD49CA"/>
    <w:rsid w:val="00BD4B2D"/>
    <w:rsid w:val="00BD5CA8"/>
    <w:rsid w:val="00BD621F"/>
    <w:rsid w:val="00BD6A67"/>
    <w:rsid w:val="00BD7173"/>
    <w:rsid w:val="00BD760E"/>
    <w:rsid w:val="00BE0826"/>
    <w:rsid w:val="00BE13D3"/>
    <w:rsid w:val="00BE1D0D"/>
    <w:rsid w:val="00BE21FA"/>
    <w:rsid w:val="00BE33BB"/>
    <w:rsid w:val="00BE4527"/>
    <w:rsid w:val="00BE53AF"/>
    <w:rsid w:val="00BE6E72"/>
    <w:rsid w:val="00BE77CA"/>
    <w:rsid w:val="00BF05B1"/>
    <w:rsid w:val="00BF0B55"/>
    <w:rsid w:val="00BF370B"/>
    <w:rsid w:val="00BF3F1D"/>
    <w:rsid w:val="00BF4032"/>
    <w:rsid w:val="00BF4681"/>
    <w:rsid w:val="00BF4EE4"/>
    <w:rsid w:val="00BF54F1"/>
    <w:rsid w:val="00BF670A"/>
    <w:rsid w:val="00BF7E1A"/>
    <w:rsid w:val="00C007CC"/>
    <w:rsid w:val="00C014AD"/>
    <w:rsid w:val="00C02491"/>
    <w:rsid w:val="00C02904"/>
    <w:rsid w:val="00C03AA7"/>
    <w:rsid w:val="00C03CD0"/>
    <w:rsid w:val="00C04F5B"/>
    <w:rsid w:val="00C05286"/>
    <w:rsid w:val="00C06D0D"/>
    <w:rsid w:val="00C07048"/>
    <w:rsid w:val="00C0721E"/>
    <w:rsid w:val="00C07296"/>
    <w:rsid w:val="00C07E6D"/>
    <w:rsid w:val="00C101A6"/>
    <w:rsid w:val="00C1100B"/>
    <w:rsid w:val="00C11B39"/>
    <w:rsid w:val="00C121FC"/>
    <w:rsid w:val="00C13C1B"/>
    <w:rsid w:val="00C14A46"/>
    <w:rsid w:val="00C14C6D"/>
    <w:rsid w:val="00C15052"/>
    <w:rsid w:val="00C157F2"/>
    <w:rsid w:val="00C166E6"/>
    <w:rsid w:val="00C16B2E"/>
    <w:rsid w:val="00C17976"/>
    <w:rsid w:val="00C202F2"/>
    <w:rsid w:val="00C20651"/>
    <w:rsid w:val="00C20DE5"/>
    <w:rsid w:val="00C2160A"/>
    <w:rsid w:val="00C2261F"/>
    <w:rsid w:val="00C22AB2"/>
    <w:rsid w:val="00C22E42"/>
    <w:rsid w:val="00C23230"/>
    <w:rsid w:val="00C2427B"/>
    <w:rsid w:val="00C24B0D"/>
    <w:rsid w:val="00C25998"/>
    <w:rsid w:val="00C25A96"/>
    <w:rsid w:val="00C26B36"/>
    <w:rsid w:val="00C26F3E"/>
    <w:rsid w:val="00C270A0"/>
    <w:rsid w:val="00C273B9"/>
    <w:rsid w:val="00C27847"/>
    <w:rsid w:val="00C27A1E"/>
    <w:rsid w:val="00C27E6B"/>
    <w:rsid w:val="00C31405"/>
    <w:rsid w:val="00C33B04"/>
    <w:rsid w:val="00C348BC"/>
    <w:rsid w:val="00C350D8"/>
    <w:rsid w:val="00C3575B"/>
    <w:rsid w:val="00C37ABD"/>
    <w:rsid w:val="00C37C39"/>
    <w:rsid w:val="00C37F72"/>
    <w:rsid w:val="00C40C29"/>
    <w:rsid w:val="00C4103F"/>
    <w:rsid w:val="00C41766"/>
    <w:rsid w:val="00C42966"/>
    <w:rsid w:val="00C43624"/>
    <w:rsid w:val="00C443F6"/>
    <w:rsid w:val="00C44E93"/>
    <w:rsid w:val="00C450C6"/>
    <w:rsid w:val="00C46329"/>
    <w:rsid w:val="00C47033"/>
    <w:rsid w:val="00C500CF"/>
    <w:rsid w:val="00C505BD"/>
    <w:rsid w:val="00C51F88"/>
    <w:rsid w:val="00C522F9"/>
    <w:rsid w:val="00C52531"/>
    <w:rsid w:val="00C52D41"/>
    <w:rsid w:val="00C531FF"/>
    <w:rsid w:val="00C53D39"/>
    <w:rsid w:val="00C54313"/>
    <w:rsid w:val="00C54EFA"/>
    <w:rsid w:val="00C55478"/>
    <w:rsid w:val="00C560AA"/>
    <w:rsid w:val="00C56A1D"/>
    <w:rsid w:val="00C56C63"/>
    <w:rsid w:val="00C600F4"/>
    <w:rsid w:val="00C6033F"/>
    <w:rsid w:val="00C6074A"/>
    <w:rsid w:val="00C60903"/>
    <w:rsid w:val="00C61804"/>
    <w:rsid w:val="00C62E95"/>
    <w:rsid w:val="00C63300"/>
    <w:rsid w:val="00C63397"/>
    <w:rsid w:val="00C639F5"/>
    <w:rsid w:val="00C649D9"/>
    <w:rsid w:val="00C64C8A"/>
    <w:rsid w:val="00C65032"/>
    <w:rsid w:val="00C66BCA"/>
    <w:rsid w:val="00C66DF9"/>
    <w:rsid w:val="00C67906"/>
    <w:rsid w:val="00C70A4A"/>
    <w:rsid w:val="00C71412"/>
    <w:rsid w:val="00C71464"/>
    <w:rsid w:val="00C7146B"/>
    <w:rsid w:val="00C71DA1"/>
    <w:rsid w:val="00C71DFD"/>
    <w:rsid w:val="00C73249"/>
    <w:rsid w:val="00C73589"/>
    <w:rsid w:val="00C73676"/>
    <w:rsid w:val="00C74475"/>
    <w:rsid w:val="00C74AC5"/>
    <w:rsid w:val="00C755EF"/>
    <w:rsid w:val="00C768FD"/>
    <w:rsid w:val="00C7770E"/>
    <w:rsid w:val="00C77BC6"/>
    <w:rsid w:val="00C800A3"/>
    <w:rsid w:val="00C81FA4"/>
    <w:rsid w:val="00C822C1"/>
    <w:rsid w:val="00C833A0"/>
    <w:rsid w:val="00C83540"/>
    <w:rsid w:val="00C8377C"/>
    <w:rsid w:val="00C83A36"/>
    <w:rsid w:val="00C83CAB"/>
    <w:rsid w:val="00C83F88"/>
    <w:rsid w:val="00C84380"/>
    <w:rsid w:val="00C84E51"/>
    <w:rsid w:val="00C853F1"/>
    <w:rsid w:val="00C858D6"/>
    <w:rsid w:val="00C85CE0"/>
    <w:rsid w:val="00C8657F"/>
    <w:rsid w:val="00C86B00"/>
    <w:rsid w:val="00C8703D"/>
    <w:rsid w:val="00C87C2C"/>
    <w:rsid w:val="00C87DEE"/>
    <w:rsid w:val="00C9018C"/>
    <w:rsid w:val="00C9216F"/>
    <w:rsid w:val="00C92C1B"/>
    <w:rsid w:val="00C94337"/>
    <w:rsid w:val="00C9468F"/>
    <w:rsid w:val="00C9609C"/>
    <w:rsid w:val="00C96114"/>
    <w:rsid w:val="00C9742C"/>
    <w:rsid w:val="00C97499"/>
    <w:rsid w:val="00C9799C"/>
    <w:rsid w:val="00C97BAA"/>
    <w:rsid w:val="00CA055B"/>
    <w:rsid w:val="00CA0D3B"/>
    <w:rsid w:val="00CA1787"/>
    <w:rsid w:val="00CA18ED"/>
    <w:rsid w:val="00CA2117"/>
    <w:rsid w:val="00CA26D6"/>
    <w:rsid w:val="00CA43A3"/>
    <w:rsid w:val="00CA491E"/>
    <w:rsid w:val="00CA7147"/>
    <w:rsid w:val="00CA7E9D"/>
    <w:rsid w:val="00CB095C"/>
    <w:rsid w:val="00CB0991"/>
    <w:rsid w:val="00CB1786"/>
    <w:rsid w:val="00CB20FA"/>
    <w:rsid w:val="00CB2290"/>
    <w:rsid w:val="00CB2315"/>
    <w:rsid w:val="00CB2C68"/>
    <w:rsid w:val="00CB38BF"/>
    <w:rsid w:val="00CB4920"/>
    <w:rsid w:val="00CB5315"/>
    <w:rsid w:val="00CB588D"/>
    <w:rsid w:val="00CB58CE"/>
    <w:rsid w:val="00CB59CB"/>
    <w:rsid w:val="00CB5CCC"/>
    <w:rsid w:val="00CB6252"/>
    <w:rsid w:val="00CB67D5"/>
    <w:rsid w:val="00CB755B"/>
    <w:rsid w:val="00CB7DEA"/>
    <w:rsid w:val="00CC03D5"/>
    <w:rsid w:val="00CC0E72"/>
    <w:rsid w:val="00CC1349"/>
    <w:rsid w:val="00CC3192"/>
    <w:rsid w:val="00CC33A4"/>
    <w:rsid w:val="00CC40E1"/>
    <w:rsid w:val="00CC570A"/>
    <w:rsid w:val="00CC6222"/>
    <w:rsid w:val="00CC7211"/>
    <w:rsid w:val="00CC74C3"/>
    <w:rsid w:val="00CC7DEC"/>
    <w:rsid w:val="00CD09F7"/>
    <w:rsid w:val="00CD1A0B"/>
    <w:rsid w:val="00CD1C37"/>
    <w:rsid w:val="00CD208B"/>
    <w:rsid w:val="00CD2284"/>
    <w:rsid w:val="00CD2760"/>
    <w:rsid w:val="00CD385F"/>
    <w:rsid w:val="00CD4452"/>
    <w:rsid w:val="00CD541F"/>
    <w:rsid w:val="00CD5B43"/>
    <w:rsid w:val="00CD5F9E"/>
    <w:rsid w:val="00CD626E"/>
    <w:rsid w:val="00CD642F"/>
    <w:rsid w:val="00CD64E6"/>
    <w:rsid w:val="00CD6A25"/>
    <w:rsid w:val="00CD78AE"/>
    <w:rsid w:val="00CD7A9C"/>
    <w:rsid w:val="00CD7B35"/>
    <w:rsid w:val="00CE049F"/>
    <w:rsid w:val="00CE11DD"/>
    <w:rsid w:val="00CE1432"/>
    <w:rsid w:val="00CE2439"/>
    <w:rsid w:val="00CE2D5F"/>
    <w:rsid w:val="00CE3118"/>
    <w:rsid w:val="00CE3222"/>
    <w:rsid w:val="00CE3E92"/>
    <w:rsid w:val="00CE446E"/>
    <w:rsid w:val="00CE4C67"/>
    <w:rsid w:val="00CE4F7E"/>
    <w:rsid w:val="00CE5C9D"/>
    <w:rsid w:val="00CE658B"/>
    <w:rsid w:val="00CE659B"/>
    <w:rsid w:val="00CE69F8"/>
    <w:rsid w:val="00CE7A10"/>
    <w:rsid w:val="00CE7ACA"/>
    <w:rsid w:val="00CE7B20"/>
    <w:rsid w:val="00CE7D6F"/>
    <w:rsid w:val="00CE7E65"/>
    <w:rsid w:val="00CF0270"/>
    <w:rsid w:val="00CF14DA"/>
    <w:rsid w:val="00CF1566"/>
    <w:rsid w:val="00CF18DF"/>
    <w:rsid w:val="00CF2743"/>
    <w:rsid w:val="00CF28CA"/>
    <w:rsid w:val="00CF3C57"/>
    <w:rsid w:val="00CF3F5E"/>
    <w:rsid w:val="00CF403F"/>
    <w:rsid w:val="00CF45C5"/>
    <w:rsid w:val="00CF4671"/>
    <w:rsid w:val="00CF6593"/>
    <w:rsid w:val="00CF682F"/>
    <w:rsid w:val="00CF720C"/>
    <w:rsid w:val="00CF7248"/>
    <w:rsid w:val="00CF7856"/>
    <w:rsid w:val="00D002FD"/>
    <w:rsid w:val="00D00C27"/>
    <w:rsid w:val="00D00F96"/>
    <w:rsid w:val="00D016AB"/>
    <w:rsid w:val="00D02058"/>
    <w:rsid w:val="00D024A4"/>
    <w:rsid w:val="00D02CED"/>
    <w:rsid w:val="00D0304E"/>
    <w:rsid w:val="00D03B8C"/>
    <w:rsid w:val="00D03FE7"/>
    <w:rsid w:val="00D066FE"/>
    <w:rsid w:val="00D06A6B"/>
    <w:rsid w:val="00D06BBF"/>
    <w:rsid w:val="00D0712A"/>
    <w:rsid w:val="00D07159"/>
    <w:rsid w:val="00D07A71"/>
    <w:rsid w:val="00D102A4"/>
    <w:rsid w:val="00D10314"/>
    <w:rsid w:val="00D10A60"/>
    <w:rsid w:val="00D10BA2"/>
    <w:rsid w:val="00D1134A"/>
    <w:rsid w:val="00D11F57"/>
    <w:rsid w:val="00D123FD"/>
    <w:rsid w:val="00D1286E"/>
    <w:rsid w:val="00D144CC"/>
    <w:rsid w:val="00D14A3D"/>
    <w:rsid w:val="00D15292"/>
    <w:rsid w:val="00D1558B"/>
    <w:rsid w:val="00D15A1F"/>
    <w:rsid w:val="00D15C07"/>
    <w:rsid w:val="00D15DCA"/>
    <w:rsid w:val="00D16362"/>
    <w:rsid w:val="00D16731"/>
    <w:rsid w:val="00D16888"/>
    <w:rsid w:val="00D16A93"/>
    <w:rsid w:val="00D1792A"/>
    <w:rsid w:val="00D17B0E"/>
    <w:rsid w:val="00D20180"/>
    <w:rsid w:val="00D204CD"/>
    <w:rsid w:val="00D20BE7"/>
    <w:rsid w:val="00D20CF7"/>
    <w:rsid w:val="00D20FDD"/>
    <w:rsid w:val="00D220A7"/>
    <w:rsid w:val="00D23218"/>
    <w:rsid w:val="00D233AB"/>
    <w:rsid w:val="00D24084"/>
    <w:rsid w:val="00D2471F"/>
    <w:rsid w:val="00D24A3F"/>
    <w:rsid w:val="00D24BA8"/>
    <w:rsid w:val="00D25B79"/>
    <w:rsid w:val="00D25C05"/>
    <w:rsid w:val="00D269EB"/>
    <w:rsid w:val="00D26DA5"/>
    <w:rsid w:val="00D2761B"/>
    <w:rsid w:val="00D30182"/>
    <w:rsid w:val="00D3061A"/>
    <w:rsid w:val="00D30B19"/>
    <w:rsid w:val="00D30EA3"/>
    <w:rsid w:val="00D3284A"/>
    <w:rsid w:val="00D32C12"/>
    <w:rsid w:val="00D34D84"/>
    <w:rsid w:val="00D35E54"/>
    <w:rsid w:val="00D35FB5"/>
    <w:rsid w:val="00D362C1"/>
    <w:rsid w:val="00D36DC0"/>
    <w:rsid w:val="00D3782A"/>
    <w:rsid w:val="00D37C48"/>
    <w:rsid w:val="00D37DB2"/>
    <w:rsid w:val="00D403CE"/>
    <w:rsid w:val="00D40588"/>
    <w:rsid w:val="00D417A9"/>
    <w:rsid w:val="00D41B91"/>
    <w:rsid w:val="00D428A4"/>
    <w:rsid w:val="00D4362A"/>
    <w:rsid w:val="00D43B6B"/>
    <w:rsid w:val="00D43DB7"/>
    <w:rsid w:val="00D44432"/>
    <w:rsid w:val="00D4461C"/>
    <w:rsid w:val="00D453C7"/>
    <w:rsid w:val="00D45AD8"/>
    <w:rsid w:val="00D45FF0"/>
    <w:rsid w:val="00D46B92"/>
    <w:rsid w:val="00D46CDA"/>
    <w:rsid w:val="00D47898"/>
    <w:rsid w:val="00D47A61"/>
    <w:rsid w:val="00D50D73"/>
    <w:rsid w:val="00D512EF"/>
    <w:rsid w:val="00D51AE0"/>
    <w:rsid w:val="00D51D85"/>
    <w:rsid w:val="00D526A5"/>
    <w:rsid w:val="00D54491"/>
    <w:rsid w:val="00D549FC"/>
    <w:rsid w:val="00D54D64"/>
    <w:rsid w:val="00D54D73"/>
    <w:rsid w:val="00D55092"/>
    <w:rsid w:val="00D55446"/>
    <w:rsid w:val="00D556EC"/>
    <w:rsid w:val="00D55A3C"/>
    <w:rsid w:val="00D55DEE"/>
    <w:rsid w:val="00D564BE"/>
    <w:rsid w:val="00D564D3"/>
    <w:rsid w:val="00D566D7"/>
    <w:rsid w:val="00D56942"/>
    <w:rsid w:val="00D56C8B"/>
    <w:rsid w:val="00D56D88"/>
    <w:rsid w:val="00D57EC7"/>
    <w:rsid w:val="00D57EF7"/>
    <w:rsid w:val="00D60CCE"/>
    <w:rsid w:val="00D61233"/>
    <w:rsid w:val="00D61D12"/>
    <w:rsid w:val="00D6252A"/>
    <w:rsid w:val="00D62CAA"/>
    <w:rsid w:val="00D62EB9"/>
    <w:rsid w:val="00D6393E"/>
    <w:rsid w:val="00D63DE5"/>
    <w:rsid w:val="00D65394"/>
    <w:rsid w:val="00D65F61"/>
    <w:rsid w:val="00D666B3"/>
    <w:rsid w:val="00D6685D"/>
    <w:rsid w:val="00D67699"/>
    <w:rsid w:val="00D700FB"/>
    <w:rsid w:val="00D703A2"/>
    <w:rsid w:val="00D708B0"/>
    <w:rsid w:val="00D71304"/>
    <w:rsid w:val="00D718A0"/>
    <w:rsid w:val="00D718BA"/>
    <w:rsid w:val="00D71C65"/>
    <w:rsid w:val="00D72ACD"/>
    <w:rsid w:val="00D732BD"/>
    <w:rsid w:val="00D73E33"/>
    <w:rsid w:val="00D7519D"/>
    <w:rsid w:val="00D76D2E"/>
    <w:rsid w:val="00D7704D"/>
    <w:rsid w:val="00D77051"/>
    <w:rsid w:val="00D774D6"/>
    <w:rsid w:val="00D802BB"/>
    <w:rsid w:val="00D81166"/>
    <w:rsid w:val="00D8168E"/>
    <w:rsid w:val="00D81FE0"/>
    <w:rsid w:val="00D823E2"/>
    <w:rsid w:val="00D82951"/>
    <w:rsid w:val="00D839DA"/>
    <w:rsid w:val="00D84210"/>
    <w:rsid w:val="00D8448E"/>
    <w:rsid w:val="00D84664"/>
    <w:rsid w:val="00D84BCC"/>
    <w:rsid w:val="00D84DB1"/>
    <w:rsid w:val="00D87833"/>
    <w:rsid w:val="00D87E16"/>
    <w:rsid w:val="00D900C0"/>
    <w:rsid w:val="00D90279"/>
    <w:rsid w:val="00D90528"/>
    <w:rsid w:val="00D916E3"/>
    <w:rsid w:val="00D918A6"/>
    <w:rsid w:val="00D91FCA"/>
    <w:rsid w:val="00D923EE"/>
    <w:rsid w:val="00D9503D"/>
    <w:rsid w:val="00D97369"/>
    <w:rsid w:val="00DA0414"/>
    <w:rsid w:val="00DA0576"/>
    <w:rsid w:val="00DA0E35"/>
    <w:rsid w:val="00DA112C"/>
    <w:rsid w:val="00DA14B2"/>
    <w:rsid w:val="00DA16F0"/>
    <w:rsid w:val="00DA1C03"/>
    <w:rsid w:val="00DA2107"/>
    <w:rsid w:val="00DA2174"/>
    <w:rsid w:val="00DA25BF"/>
    <w:rsid w:val="00DA25DE"/>
    <w:rsid w:val="00DA2C39"/>
    <w:rsid w:val="00DA428A"/>
    <w:rsid w:val="00DA4300"/>
    <w:rsid w:val="00DA45B3"/>
    <w:rsid w:val="00DA46A0"/>
    <w:rsid w:val="00DA4AC1"/>
    <w:rsid w:val="00DA4F0D"/>
    <w:rsid w:val="00DA50EE"/>
    <w:rsid w:val="00DA52CA"/>
    <w:rsid w:val="00DA6153"/>
    <w:rsid w:val="00DA6EB8"/>
    <w:rsid w:val="00DB03C7"/>
    <w:rsid w:val="00DB10E2"/>
    <w:rsid w:val="00DB1739"/>
    <w:rsid w:val="00DB1B39"/>
    <w:rsid w:val="00DB1BA8"/>
    <w:rsid w:val="00DB1C4E"/>
    <w:rsid w:val="00DB1E3E"/>
    <w:rsid w:val="00DB20A2"/>
    <w:rsid w:val="00DB21B1"/>
    <w:rsid w:val="00DB2222"/>
    <w:rsid w:val="00DB267A"/>
    <w:rsid w:val="00DB2695"/>
    <w:rsid w:val="00DB2914"/>
    <w:rsid w:val="00DB2C8B"/>
    <w:rsid w:val="00DB2E4C"/>
    <w:rsid w:val="00DB2EDB"/>
    <w:rsid w:val="00DB4908"/>
    <w:rsid w:val="00DB4AEE"/>
    <w:rsid w:val="00DB595B"/>
    <w:rsid w:val="00DB5979"/>
    <w:rsid w:val="00DB6BA5"/>
    <w:rsid w:val="00DB7765"/>
    <w:rsid w:val="00DB7E31"/>
    <w:rsid w:val="00DC01CE"/>
    <w:rsid w:val="00DC0B93"/>
    <w:rsid w:val="00DC1015"/>
    <w:rsid w:val="00DC1229"/>
    <w:rsid w:val="00DC1393"/>
    <w:rsid w:val="00DC1A0F"/>
    <w:rsid w:val="00DC1EC2"/>
    <w:rsid w:val="00DC2058"/>
    <w:rsid w:val="00DC2701"/>
    <w:rsid w:val="00DC2714"/>
    <w:rsid w:val="00DC29DE"/>
    <w:rsid w:val="00DC2A37"/>
    <w:rsid w:val="00DC2A64"/>
    <w:rsid w:val="00DC2E93"/>
    <w:rsid w:val="00DC3199"/>
    <w:rsid w:val="00DC41BF"/>
    <w:rsid w:val="00DC42C3"/>
    <w:rsid w:val="00DC5274"/>
    <w:rsid w:val="00DC62CB"/>
    <w:rsid w:val="00DC6E1E"/>
    <w:rsid w:val="00DC6E41"/>
    <w:rsid w:val="00DC71C9"/>
    <w:rsid w:val="00DC7592"/>
    <w:rsid w:val="00DD07FE"/>
    <w:rsid w:val="00DD092B"/>
    <w:rsid w:val="00DD156F"/>
    <w:rsid w:val="00DD224C"/>
    <w:rsid w:val="00DD2F6B"/>
    <w:rsid w:val="00DD455A"/>
    <w:rsid w:val="00DD5700"/>
    <w:rsid w:val="00DD5848"/>
    <w:rsid w:val="00DD5A0B"/>
    <w:rsid w:val="00DD5E68"/>
    <w:rsid w:val="00DD6F88"/>
    <w:rsid w:val="00DD7469"/>
    <w:rsid w:val="00DE011D"/>
    <w:rsid w:val="00DE0250"/>
    <w:rsid w:val="00DE0A5E"/>
    <w:rsid w:val="00DE0E5A"/>
    <w:rsid w:val="00DE1389"/>
    <w:rsid w:val="00DE154E"/>
    <w:rsid w:val="00DE154F"/>
    <w:rsid w:val="00DE229E"/>
    <w:rsid w:val="00DE27B1"/>
    <w:rsid w:val="00DE2A85"/>
    <w:rsid w:val="00DE2EEE"/>
    <w:rsid w:val="00DE2F52"/>
    <w:rsid w:val="00DE41BF"/>
    <w:rsid w:val="00DE4961"/>
    <w:rsid w:val="00DE4DDB"/>
    <w:rsid w:val="00DE5111"/>
    <w:rsid w:val="00DE61C1"/>
    <w:rsid w:val="00DE65AD"/>
    <w:rsid w:val="00DE679E"/>
    <w:rsid w:val="00DE6B02"/>
    <w:rsid w:val="00DE6D86"/>
    <w:rsid w:val="00DE7652"/>
    <w:rsid w:val="00DF0F22"/>
    <w:rsid w:val="00DF1421"/>
    <w:rsid w:val="00DF1B5C"/>
    <w:rsid w:val="00DF2B23"/>
    <w:rsid w:val="00DF2CCB"/>
    <w:rsid w:val="00DF3870"/>
    <w:rsid w:val="00DF3BE9"/>
    <w:rsid w:val="00DF3DD0"/>
    <w:rsid w:val="00DF5923"/>
    <w:rsid w:val="00DF66F6"/>
    <w:rsid w:val="00DF744A"/>
    <w:rsid w:val="00DF78C9"/>
    <w:rsid w:val="00DF7C05"/>
    <w:rsid w:val="00E01E76"/>
    <w:rsid w:val="00E023C3"/>
    <w:rsid w:val="00E03173"/>
    <w:rsid w:val="00E03226"/>
    <w:rsid w:val="00E0482F"/>
    <w:rsid w:val="00E0484F"/>
    <w:rsid w:val="00E05147"/>
    <w:rsid w:val="00E054B0"/>
    <w:rsid w:val="00E06616"/>
    <w:rsid w:val="00E06DC1"/>
    <w:rsid w:val="00E073DB"/>
    <w:rsid w:val="00E07D5E"/>
    <w:rsid w:val="00E103CC"/>
    <w:rsid w:val="00E106F7"/>
    <w:rsid w:val="00E10A23"/>
    <w:rsid w:val="00E11369"/>
    <w:rsid w:val="00E116D0"/>
    <w:rsid w:val="00E11946"/>
    <w:rsid w:val="00E1268D"/>
    <w:rsid w:val="00E12B01"/>
    <w:rsid w:val="00E13303"/>
    <w:rsid w:val="00E13653"/>
    <w:rsid w:val="00E1368C"/>
    <w:rsid w:val="00E13C4F"/>
    <w:rsid w:val="00E13E74"/>
    <w:rsid w:val="00E1420B"/>
    <w:rsid w:val="00E14A00"/>
    <w:rsid w:val="00E14F26"/>
    <w:rsid w:val="00E151C5"/>
    <w:rsid w:val="00E153EF"/>
    <w:rsid w:val="00E1555C"/>
    <w:rsid w:val="00E155B9"/>
    <w:rsid w:val="00E15A90"/>
    <w:rsid w:val="00E16AF6"/>
    <w:rsid w:val="00E16D51"/>
    <w:rsid w:val="00E20ECB"/>
    <w:rsid w:val="00E219E9"/>
    <w:rsid w:val="00E21BB7"/>
    <w:rsid w:val="00E22A43"/>
    <w:rsid w:val="00E22AF9"/>
    <w:rsid w:val="00E22C74"/>
    <w:rsid w:val="00E23682"/>
    <w:rsid w:val="00E23B51"/>
    <w:rsid w:val="00E2481E"/>
    <w:rsid w:val="00E253FE"/>
    <w:rsid w:val="00E26620"/>
    <w:rsid w:val="00E2665A"/>
    <w:rsid w:val="00E26B10"/>
    <w:rsid w:val="00E26E9A"/>
    <w:rsid w:val="00E2771B"/>
    <w:rsid w:val="00E27F1C"/>
    <w:rsid w:val="00E27F76"/>
    <w:rsid w:val="00E30DF9"/>
    <w:rsid w:val="00E31071"/>
    <w:rsid w:val="00E312F4"/>
    <w:rsid w:val="00E31682"/>
    <w:rsid w:val="00E318CA"/>
    <w:rsid w:val="00E31B27"/>
    <w:rsid w:val="00E32FD3"/>
    <w:rsid w:val="00E332D0"/>
    <w:rsid w:val="00E33750"/>
    <w:rsid w:val="00E3388A"/>
    <w:rsid w:val="00E33C81"/>
    <w:rsid w:val="00E33D12"/>
    <w:rsid w:val="00E34F0D"/>
    <w:rsid w:val="00E356F4"/>
    <w:rsid w:val="00E3621C"/>
    <w:rsid w:val="00E365DD"/>
    <w:rsid w:val="00E3668D"/>
    <w:rsid w:val="00E366E5"/>
    <w:rsid w:val="00E379B1"/>
    <w:rsid w:val="00E409A4"/>
    <w:rsid w:val="00E41EC4"/>
    <w:rsid w:val="00E42602"/>
    <w:rsid w:val="00E44145"/>
    <w:rsid w:val="00E4448C"/>
    <w:rsid w:val="00E4454F"/>
    <w:rsid w:val="00E44A4D"/>
    <w:rsid w:val="00E44E18"/>
    <w:rsid w:val="00E457DC"/>
    <w:rsid w:val="00E4639B"/>
    <w:rsid w:val="00E46D7E"/>
    <w:rsid w:val="00E47B82"/>
    <w:rsid w:val="00E47DAC"/>
    <w:rsid w:val="00E501DC"/>
    <w:rsid w:val="00E502A3"/>
    <w:rsid w:val="00E50708"/>
    <w:rsid w:val="00E51588"/>
    <w:rsid w:val="00E51608"/>
    <w:rsid w:val="00E51681"/>
    <w:rsid w:val="00E51CC3"/>
    <w:rsid w:val="00E52679"/>
    <w:rsid w:val="00E52F99"/>
    <w:rsid w:val="00E54532"/>
    <w:rsid w:val="00E54559"/>
    <w:rsid w:val="00E55775"/>
    <w:rsid w:val="00E5717F"/>
    <w:rsid w:val="00E5768B"/>
    <w:rsid w:val="00E60827"/>
    <w:rsid w:val="00E60AF4"/>
    <w:rsid w:val="00E60B0B"/>
    <w:rsid w:val="00E612D5"/>
    <w:rsid w:val="00E617E8"/>
    <w:rsid w:val="00E621CB"/>
    <w:rsid w:val="00E62370"/>
    <w:rsid w:val="00E64094"/>
    <w:rsid w:val="00E644DD"/>
    <w:rsid w:val="00E64999"/>
    <w:rsid w:val="00E65A90"/>
    <w:rsid w:val="00E65BB1"/>
    <w:rsid w:val="00E67E92"/>
    <w:rsid w:val="00E67ED7"/>
    <w:rsid w:val="00E716D0"/>
    <w:rsid w:val="00E71F96"/>
    <w:rsid w:val="00E727A8"/>
    <w:rsid w:val="00E72CE5"/>
    <w:rsid w:val="00E72F1B"/>
    <w:rsid w:val="00E731B6"/>
    <w:rsid w:val="00E7508F"/>
    <w:rsid w:val="00E75FEC"/>
    <w:rsid w:val="00E7634D"/>
    <w:rsid w:val="00E77E24"/>
    <w:rsid w:val="00E80841"/>
    <w:rsid w:val="00E811A7"/>
    <w:rsid w:val="00E817B1"/>
    <w:rsid w:val="00E81E18"/>
    <w:rsid w:val="00E83BDB"/>
    <w:rsid w:val="00E86BA7"/>
    <w:rsid w:val="00E86FC1"/>
    <w:rsid w:val="00E8714E"/>
    <w:rsid w:val="00E87419"/>
    <w:rsid w:val="00E90902"/>
    <w:rsid w:val="00E91056"/>
    <w:rsid w:val="00E910A2"/>
    <w:rsid w:val="00E91614"/>
    <w:rsid w:val="00E9478B"/>
    <w:rsid w:val="00E96A3D"/>
    <w:rsid w:val="00E97383"/>
    <w:rsid w:val="00E973D4"/>
    <w:rsid w:val="00EA00D2"/>
    <w:rsid w:val="00EA0AC8"/>
    <w:rsid w:val="00EA1515"/>
    <w:rsid w:val="00EA1CEE"/>
    <w:rsid w:val="00EA1F31"/>
    <w:rsid w:val="00EA2396"/>
    <w:rsid w:val="00EA37C2"/>
    <w:rsid w:val="00EA39E7"/>
    <w:rsid w:val="00EA3C36"/>
    <w:rsid w:val="00EA4170"/>
    <w:rsid w:val="00EA51A7"/>
    <w:rsid w:val="00EA643B"/>
    <w:rsid w:val="00EA673D"/>
    <w:rsid w:val="00EA6F75"/>
    <w:rsid w:val="00EA750A"/>
    <w:rsid w:val="00EA7BD7"/>
    <w:rsid w:val="00EB0CE4"/>
    <w:rsid w:val="00EB0E60"/>
    <w:rsid w:val="00EB23DC"/>
    <w:rsid w:val="00EB2BA2"/>
    <w:rsid w:val="00EB2CF6"/>
    <w:rsid w:val="00EB2E88"/>
    <w:rsid w:val="00EB35B6"/>
    <w:rsid w:val="00EB43C5"/>
    <w:rsid w:val="00EB5739"/>
    <w:rsid w:val="00EB62B6"/>
    <w:rsid w:val="00EB7419"/>
    <w:rsid w:val="00EB75B7"/>
    <w:rsid w:val="00EB7A55"/>
    <w:rsid w:val="00EC0FB6"/>
    <w:rsid w:val="00EC122F"/>
    <w:rsid w:val="00EC139B"/>
    <w:rsid w:val="00EC1718"/>
    <w:rsid w:val="00EC1872"/>
    <w:rsid w:val="00EC1898"/>
    <w:rsid w:val="00EC1DD5"/>
    <w:rsid w:val="00EC1FA8"/>
    <w:rsid w:val="00EC27E6"/>
    <w:rsid w:val="00EC2A50"/>
    <w:rsid w:val="00EC2C63"/>
    <w:rsid w:val="00EC3261"/>
    <w:rsid w:val="00EC35F4"/>
    <w:rsid w:val="00EC400E"/>
    <w:rsid w:val="00EC4C22"/>
    <w:rsid w:val="00EC5B51"/>
    <w:rsid w:val="00EC67A3"/>
    <w:rsid w:val="00EC6A2C"/>
    <w:rsid w:val="00EC6DF2"/>
    <w:rsid w:val="00EC6EC0"/>
    <w:rsid w:val="00EC6F45"/>
    <w:rsid w:val="00EC7A86"/>
    <w:rsid w:val="00EC7E5E"/>
    <w:rsid w:val="00EC7EEF"/>
    <w:rsid w:val="00ED0EBA"/>
    <w:rsid w:val="00ED1FDE"/>
    <w:rsid w:val="00ED2C6D"/>
    <w:rsid w:val="00ED38DB"/>
    <w:rsid w:val="00ED3AE2"/>
    <w:rsid w:val="00ED419E"/>
    <w:rsid w:val="00ED4215"/>
    <w:rsid w:val="00ED4720"/>
    <w:rsid w:val="00ED69D6"/>
    <w:rsid w:val="00ED7E25"/>
    <w:rsid w:val="00EE0F4F"/>
    <w:rsid w:val="00EE143B"/>
    <w:rsid w:val="00EE1C2D"/>
    <w:rsid w:val="00EE2316"/>
    <w:rsid w:val="00EE2F00"/>
    <w:rsid w:val="00EE2F79"/>
    <w:rsid w:val="00EE2FF8"/>
    <w:rsid w:val="00EE3318"/>
    <w:rsid w:val="00EE33AB"/>
    <w:rsid w:val="00EE3732"/>
    <w:rsid w:val="00EE494A"/>
    <w:rsid w:val="00EE4BAE"/>
    <w:rsid w:val="00EE54BE"/>
    <w:rsid w:val="00EE6183"/>
    <w:rsid w:val="00EE780C"/>
    <w:rsid w:val="00EF0C4D"/>
    <w:rsid w:val="00EF0E0C"/>
    <w:rsid w:val="00EF1061"/>
    <w:rsid w:val="00EF162E"/>
    <w:rsid w:val="00EF1F2F"/>
    <w:rsid w:val="00EF2081"/>
    <w:rsid w:val="00EF22E1"/>
    <w:rsid w:val="00EF2474"/>
    <w:rsid w:val="00EF2E31"/>
    <w:rsid w:val="00EF2ECE"/>
    <w:rsid w:val="00EF3760"/>
    <w:rsid w:val="00EF398A"/>
    <w:rsid w:val="00EF3A54"/>
    <w:rsid w:val="00EF3BAA"/>
    <w:rsid w:val="00EF4D97"/>
    <w:rsid w:val="00EF4E97"/>
    <w:rsid w:val="00EF5389"/>
    <w:rsid w:val="00EF54D8"/>
    <w:rsid w:val="00EF613E"/>
    <w:rsid w:val="00EF761B"/>
    <w:rsid w:val="00EF7951"/>
    <w:rsid w:val="00F0064D"/>
    <w:rsid w:val="00F00AFF"/>
    <w:rsid w:val="00F01253"/>
    <w:rsid w:val="00F01673"/>
    <w:rsid w:val="00F0179A"/>
    <w:rsid w:val="00F01BCC"/>
    <w:rsid w:val="00F029B6"/>
    <w:rsid w:val="00F0310B"/>
    <w:rsid w:val="00F04DD9"/>
    <w:rsid w:val="00F051A6"/>
    <w:rsid w:val="00F057E0"/>
    <w:rsid w:val="00F065C0"/>
    <w:rsid w:val="00F0662F"/>
    <w:rsid w:val="00F06A8C"/>
    <w:rsid w:val="00F1030E"/>
    <w:rsid w:val="00F106A3"/>
    <w:rsid w:val="00F12705"/>
    <w:rsid w:val="00F135EA"/>
    <w:rsid w:val="00F14386"/>
    <w:rsid w:val="00F15C2B"/>
    <w:rsid w:val="00F15DA5"/>
    <w:rsid w:val="00F167ED"/>
    <w:rsid w:val="00F169EA"/>
    <w:rsid w:val="00F16C02"/>
    <w:rsid w:val="00F17365"/>
    <w:rsid w:val="00F178F2"/>
    <w:rsid w:val="00F20449"/>
    <w:rsid w:val="00F20A3A"/>
    <w:rsid w:val="00F20E7C"/>
    <w:rsid w:val="00F21279"/>
    <w:rsid w:val="00F2188A"/>
    <w:rsid w:val="00F22361"/>
    <w:rsid w:val="00F223A8"/>
    <w:rsid w:val="00F225F6"/>
    <w:rsid w:val="00F22CF8"/>
    <w:rsid w:val="00F22E20"/>
    <w:rsid w:val="00F237F5"/>
    <w:rsid w:val="00F23E87"/>
    <w:rsid w:val="00F247F9"/>
    <w:rsid w:val="00F24D43"/>
    <w:rsid w:val="00F24D80"/>
    <w:rsid w:val="00F24DD7"/>
    <w:rsid w:val="00F25026"/>
    <w:rsid w:val="00F25421"/>
    <w:rsid w:val="00F2542A"/>
    <w:rsid w:val="00F2693D"/>
    <w:rsid w:val="00F301EC"/>
    <w:rsid w:val="00F3045B"/>
    <w:rsid w:val="00F31568"/>
    <w:rsid w:val="00F31DB8"/>
    <w:rsid w:val="00F32751"/>
    <w:rsid w:val="00F33CBE"/>
    <w:rsid w:val="00F33ED4"/>
    <w:rsid w:val="00F348FB"/>
    <w:rsid w:val="00F35944"/>
    <w:rsid w:val="00F365C3"/>
    <w:rsid w:val="00F3709A"/>
    <w:rsid w:val="00F37C41"/>
    <w:rsid w:val="00F40078"/>
    <w:rsid w:val="00F42894"/>
    <w:rsid w:val="00F42EB1"/>
    <w:rsid w:val="00F43F7C"/>
    <w:rsid w:val="00F44990"/>
    <w:rsid w:val="00F4500A"/>
    <w:rsid w:val="00F4580C"/>
    <w:rsid w:val="00F4599D"/>
    <w:rsid w:val="00F45F8A"/>
    <w:rsid w:val="00F46B8F"/>
    <w:rsid w:val="00F46D11"/>
    <w:rsid w:val="00F46DF2"/>
    <w:rsid w:val="00F473C0"/>
    <w:rsid w:val="00F476B5"/>
    <w:rsid w:val="00F50781"/>
    <w:rsid w:val="00F51347"/>
    <w:rsid w:val="00F519FE"/>
    <w:rsid w:val="00F526E1"/>
    <w:rsid w:val="00F52A1D"/>
    <w:rsid w:val="00F5383F"/>
    <w:rsid w:val="00F54810"/>
    <w:rsid w:val="00F54AE0"/>
    <w:rsid w:val="00F54D85"/>
    <w:rsid w:val="00F557C8"/>
    <w:rsid w:val="00F55C92"/>
    <w:rsid w:val="00F55FA3"/>
    <w:rsid w:val="00F5735B"/>
    <w:rsid w:val="00F605E7"/>
    <w:rsid w:val="00F607B3"/>
    <w:rsid w:val="00F6204A"/>
    <w:rsid w:val="00F63054"/>
    <w:rsid w:val="00F63564"/>
    <w:rsid w:val="00F64001"/>
    <w:rsid w:val="00F6552A"/>
    <w:rsid w:val="00F66229"/>
    <w:rsid w:val="00F702FE"/>
    <w:rsid w:val="00F7031D"/>
    <w:rsid w:val="00F70A65"/>
    <w:rsid w:val="00F71BDF"/>
    <w:rsid w:val="00F71DCE"/>
    <w:rsid w:val="00F721FC"/>
    <w:rsid w:val="00F72827"/>
    <w:rsid w:val="00F72B6D"/>
    <w:rsid w:val="00F73233"/>
    <w:rsid w:val="00F732D7"/>
    <w:rsid w:val="00F75813"/>
    <w:rsid w:val="00F75BBE"/>
    <w:rsid w:val="00F75D05"/>
    <w:rsid w:val="00F76379"/>
    <w:rsid w:val="00F763E1"/>
    <w:rsid w:val="00F76D2C"/>
    <w:rsid w:val="00F80F96"/>
    <w:rsid w:val="00F82247"/>
    <w:rsid w:val="00F82A66"/>
    <w:rsid w:val="00F83232"/>
    <w:rsid w:val="00F83603"/>
    <w:rsid w:val="00F83C09"/>
    <w:rsid w:val="00F847C7"/>
    <w:rsid w:val="00F852AA"/>
    <w:rsid w:val="00F85B39"/>
    <w:rsid w:val="00F85B60"/>
    <w:rsid w:val="00F85E7D"/>
    <w:rsid w:val="00F85F61"/>
    <w:rsid w:val="00F878B9"/>
    <w:rsid w:val="00F8795C"/>
    <w:rsid w:val="00F90021"/>
    <w:rsid w:val="00F901BA"/>
    <w:rsid w:val="00F9027D"/>
    <w:rsid w:val="00F916F9"/>
    <w:rsid w:val="00F918A1"/>
    <w:rsid w:val="00F922B3"/>
    <w:rsid w:val="00F92533"/>
    <w:rsid w:val="00F9284E"/>
    <w:rsid w:val="00F93FC6"/>
    <w:rsid w:val="00F94276"/>
    <w:rsid w:val="00F9439D"/>
    <w:rsid w:val="00F94E11"/>
    <w:rsid w:val="00F9533F"/>
    <w:rsid w:val="00F95343"/>
    <w:rsid w:val="00F954FF"/>
    <w:rsid w:val="00F955BF"/>
    <w:rsid w:val="00F95D57"/>
    <w:rsid w:val="00F96177"/>
    <w:rsid w:val="00F96BC3"/>
    <w:rsid w:val="00F96CAF"/>
    <w:rsid w:val="00F9709B"/>
    <w:rsid w:val="00F976B9"/>
    <w:rsid w:val="00FA03DC"/>
    <w:rsid w:val="00FA0E9D"/>
    <w:rsid w:val="00FA1490"/>
    <w:rsid w:val="00FA2162"/>
    <w:rsid w:val="00FA29A2"/>
    <w:rsid w:val="00FA2EF9"/>
    <w:rsid w:val="00FA3866"/>
    <w:rsid w:val="00FA391E"/>
    <w:rsid w:val="00FA4F95"/>
    <w:rsid w:val="00FA5281"/>
    <w:rsid w:val="00FA64DC"/>
    <w:rsid w:val="00FA6DB2"/>
    <w:rsid w:val="00FA74EE"/>
    <w:rsid w:val="00FA7825"/>
    <w:rsid w:val="00FA7AF7"/>
    <w:rsid w:val="00FB0D99"/>
    <w:rsid w:val="00FB1063"/>
    <w:rsid w:val="00FB2672"/>
    <w:rsid w:val="00FB372B"/>
    <w:rsid w:val="00FB3922"/>
    <w:rsid w:val="00FB4034"/>
    <w:rsid w:val="00FB43AF"/>
    <w:rsid w:val="00FB51A1"/>
    <w:rsid w:val="00FB658E"/>
    <w:rsid w:val="00FB740E"/>
    <w:rsid w:val="00FB7A41"/>
    <w:rsid w:val="00FC05E7"/>
    <w:rsid w:val="00FC0FBD"/>
    <w:rsid w:val="00FC12F7"/>
    <w:rsid w:val="00FC16D8"/>
    <w:rsid w:val="00FC1E0A"/>
    <w:rsid w:val="00FC1F9F"/>
    <w:rsid w:val="00FC30D3"/>
    <w:rsid w:val="00FC3579"/>
    <w:rsid w:val="00FC4064"/>
    <w:rsid w:val="00FC44EB"/>
    <w:rsid w:val="00FC6047"/>
    <w:rsid w:val="00FC672E"/>
    <w:rsid w:val="00FC67B7"/>
    <w:rsid w:val="00FC6A92"/>
    <w:rsid w:val="00FC6B9C"/>
    <w:rsid w:val="00FC6BE9"/>
    <w:rsid w:val="00FC7B06"/>
    <w:rsid w:val="00FD0CAF"/>
    <w:rsid w:val="00FD1B88"/>
    <w:rsid w:val="00FD1EDB"/>
    <w:rsid w:val="00FD283D"/>
    <w:rsid w:val="00FD2C7E"/>
    <w:rsid w:val="00FD3A3A"/>
    <w:rsid w:val="00FD5F9A"/>
    <w:rsid w:val="00FD67EF"/>
    <w:rsid w:val="00FD6EED"/>
    <w:rsid w:val="00FD7B6D"/>
    <w:rsid w:val="00FE015E"/>
    <w:rsid w:val="00FE056D"/>
    <w:rsid w:val="00FE088E"/>
    <w:rsid w:val="00FE09D5"/>
    <w:rsid w:val="00FE12D2"/>
    <w:rsid w:val="00FE26DE"/>
    <w:rsid w:val="00FE30B6"/>
    <w:rsid w:val="00FE3293"/>
    <w:rsid w:val="00FE32FB"/>
    <w:rsid w:val="00FE341F"/>
    <w:rsid w:val="00FE3723"/>
    <w:rsid w:val="00FE3B49"/>
    <w:rsid w:val="00FE4051"/>
    <w:rsid w:val="00FE4065"/>
    <w:rsid w:val="00FE40C8"/>
    <w:rsid w:val="00FE4DCF"/>
    <w:rsid w:val="00FE55E0"/>
    <w:rsid w:val="00FE63D9"/>
    <w:rsid w:val="00FE65BF"/>
    <w:rsid w:val="00FE6A3E"/>
    <w:rsid w:val="00FE73B3"/>
    <w:rsid w:val="00FE7677"/>
    <w:rsid w:val="00FF1803"/>
    <w:rsid w:val="00FF1937"/>
    <w:rsid w:val="00FF1C4F"/>
    <w:rsid w:val="00FF2175"/>
    <w:rsid w:val="00FF2240"/>
    <w:rsid w:val="00FF2813"/>
    <w:rsid w:val="00FF2C73"/>
    <w:rsid w:val="00FF2E83"/>
    <w:rsid w:val="00FF44CF"/>
    <w:rsid w:val="00FF6113"/>
    <w:rsid w:val="00FF636D"/>
    <w:rsid w:val="00FF6592"/>
    <w:rsid w:val="00FF6A5A"/>
    <w:rsid w:val="00FF791B"/>
    <w:rsid w:val="5CB523F8"/>
    <w:rsid w:val="7271824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E588ABE"/>
  <w15:chartTrackingRefBased/>
  <w15:docId w15:val="{FF08DDC3-399D-462C-8704-E29D3C4A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paragraph" w:styleId="Ttulo4">
    <w:name w:val="heading 4"/>
    <w:basedOn w:val="Normal"/>
    <w:next w:val="Normal"/>
    <w:link w:val="Ttulo4Car"/>
    <w:uiPriority w:val="9"/>
    <w:semiHidden/>
    <w:unhideWhenUsed/>
    <w:qFormat/>
    <w:rsid w:val="00B1694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037BB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Footnote,Llista Nivell1,Lista de nivel 1"/>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Footnote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basedOn w:val="Fuentedeprrafopredeter"/>
    <w:uiPriority w:val="99"/>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aliases w:val="~BaseStyle"/>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Enfasisnegrita">
    <w:name w:val="* Enfasis negrita"/>
    <w:basedOn w:val="Normal"/>
    <w:link w:val="EnfasisnegritaCar"/>
    <w:qFormat/>
    <w:rsid w:val="00037BBC"/>
    <w:pPr>
      <w:spacing w:before="120" w:after="120"/>
      <w:ind w:right="51"/>
      <w:jc w:val="both"/>
    </w:pPr>
    <w:rPr>
      <w:rFonts w:ascii="Arial" w:eastAsiaTheme="minorHAnsi" w:hAnsi="Arial" w:cs="Arial"/>
      <w:b/>
      <w:lang w:val="es-MX"/>
    </w:rPr>
  </w:style>
  <w:style w:type="character" w:customStyle="1" w:styleId="EnfasisnegritaCar">
    <w:name w:val="* Enfasis negrita Car"/>
    <w:basedOn w:val="Fuentedeprrafopredeter"/>
    <w:link w:val="Enfasisnegrita"/>
    <w:rsid w:val="00037BBC"/>
    <w:rPr>
      <w:rFonts w:ascii="Arial" w:hAnsi="Arial" w:cs="Arial"/>
      <w:b/>
    </w:rPr>
  </w:style>
  <w:style w:type="paragraph" w:customStyle="1" w:styleId="6Ttulo">
    <w:name w:val="* 6 Título"/>
    <w:basedOn w:val="Ttulo6"/>
    <w:link w:val="6TtuloCar"/>
    <w:qFormat/>
    <w:rsid w:val="00037BBC"/>
    <w:pPr>
      <w:spacing w:before="200" w:after="120"/>
      <w:ind w:right="51"/>
      <w:jc w:val="both"/>
    </w:pPr>
    <w:rPr>
      <w:rFonts w:ascii="Arial" w:hAnsi="Arial"/>
      <w:b/>
      <w:iCs/>
      <w:lang w:val="es-ES_tradnl" w:eastAsia="es-ES"/>
    </w:rPr>
  </w:style>
  <w:style w:type="character" w:customStyle="1" w:styleId="6TtuloCar">
    <w:name w:val="* 6 Título Car"/>
    <w:basedOn w:val="Ttulo6Car"/>
    <w:link w:val="6Ttulo"/>
    <w:rsid w:val="00037BBC"/>
    <w:rPr>
      <w:rFonts w:ascii="Arial" w:eastAsiaTheme="majorEastAsia" w:hAnsi="Arial" w:cstheme="majorBidi"/>
      <w:b/>
      <w:iCs/>
      <w:color w:val="1F4D78" w:themeColor="accent1" w:themeShade="7F"/>
      <w:lang w:val="es-ES_tradnl" w:eastAsia="es-ES"/>
    </w:rPr>
  </w:style>
  <w:style w:type="character" w:customStyle="1" w:styleId="Ttulo6Car">
    <w:name w:val="Título 6 Car"/>
    <w:basedOn w:val="Fuentedeprrafopredeter"/>
    <w:link w:val="Ttulo6"/>
    <w:uiPriority w:val="9"/>
    <w:semiHidden/>
    <w:rsid w:val="00037BBC"/>
    <w:rPr>
      <w:rFonts w:asciiTheme="majorHAnsi" w:eastAsiaTheme="majorEastAsia" w:hAnsiTheme="majorHAnsi" w:cstheme="majorBidi"/>
      <w:color w:val="1F4D78" w:themeColor="accent1" w:themeShade="7F"/>
      <w:lang w:val="es-ES"/>
    </w:rPr>
  </w:style>
  <w:style w:type="character" w:styleId="Refdecomentario">
    <w:name w:val="annotation reference"/>
    <w:basedOn w:val="Fuentedeprrafopredeter"/>
    <w:unhideWhenUsed/>
    <w:rsid w:val="0051079D"/>
    <w:rPr>
      <w:sz w:val="16"/>
      <w:szCs w:val="16"/>
    </w:rPr>
  </w:style>
  <w:style w:type="paragraph" w:styleId="Textocomentario">
    <w:name w:val="annotation text"/>
    <w:basedOn w:val="Normal"/>
    <w:link w:val="TextocomentarioCar"/>
    <w:unhideWhenUsed/>
    <w:qFormat/>
    <w:rsid w:val="0051079D"/>
    <w:pPr>
      <w:spacing w:line="240" w:lineRule="auto"/>
    </w:pPr>
    <w:rPr>
      <w:sz w:val="20"/>
      <w:szCs w:val="20"/>
    </w:rPr>
  </w:style>
  <w:style w:type="character" w:customStyle="1" w:styleId="TextocomentarioCar">
    <w:name w:val="Texto comentario Car"/>
    <w:basedOn w:val="Fuentedeprrafopredeter"/>
    <w:link w:val="Textocomentario"/>
    <w:qFormat/>
    <w:rsid w:val="0051079D"/>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1079D"/>
    <w:rPr>
      <w:b/>
      <w:bCs/>
    </w:rPr>
  </w:style>
  <w:style w:type="character" w:customStyle="1" w:styleId="AsuntodelcomentarioCar">
    <w:name w:val="Asunto del comentario Car"/>
    <w:basedOn w:val="TextocomentarioCar"/>
    <w:link w:val="Asuntodelcomentario"/>
    <w:uiPriority w:val="99"/>
    <w:semiHidden/>
    <w:rsid w:val="0051079D"/>
    <w:rPr>
      <w:rFonts w:ascii="Calibri" w:eastAsia="Calibri" w:hAnsi="Calibri" w:cs="Times New Roman"/>
      <w:b/>
      <w:bCs/>
      <w:sz w:val="20"/>
      <w:szCs w:val="20"/>
      <w:lang w:val="es-ES"/>
    </w:rPr>
  </w:style>
  <w:style w:type="paragraph" w:customStyle="1" w:styleId="Default">
    <w:name w:val="Default"/>
    <w:link w:val="DefaultCar"/>
    <w:rsid w:val="00071534"/>
    <w:pPr>
      <w:autoSpaceDE w:val="0"/>
      <w:autoSpaceDN w:val="0"/>
      <w:adjustRightInd w:val="0"/>
      <w:spacing w:after="0" w:line="240" w:lineRule="auto"/>
    </w:pPr>
    <w:rPr>
      <w:rFonts w:ascii="ITC Avant Garde" w:hAnsi="ITC Avant Garde" w:cs="ITC Avant Garde"/>
      <w:color w:val="000000"/>
      <w:sz w:val="24"/>
      <w:szCs w:val="24"/>
    </w:rPr>
  </w:style>
  <w:style w:type="character" w:styleId="Hipervnculovisitado">
    <w:name w:val="FollowedHyperlink"/>
    <w:basedOn w:val="Fuentedeprrafopredeter"/>
    <w:uiPriority w:val="99"/>
    <w:semiHidden/>
    <w:unhideWhenUsed/>
    <w:rsid w:val="00505937"/>
    <w:rPr>
      <w:color w:val="954F72" w:themeColor="followedHyperlink"/>
      <w:u w:val="single"/>
    </w:rPr>
  </w:style>
  <w:style w:type="paragraph" w:styleId="HTMLconformatoprevio">
    <w:name w:val="HTML Preformatted"/>
    <w:basedOn w:val="Normal"/>
    <w:link w:val="HTMLconformatoprevioCar"/>
    <w:uiPriority w:val="99"/>
    <w:semiHidden/>
    <w:unhideWhenUsed/>
    <w:rsid w:val="00EB7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EB75B7"/>
    <w:rPr>
      <w:rFonts w:ascii="Courier New" w:eastAsia="Times New Roman" w:hAnsi="Courier New" w:cs="Courier New"/>
      <w:sz w:val="20"/>
      <w:szCs w:val="20"/>
      <w:lang w:eastAsia="es-MX"/>
    </w:rPr>
  </w:style>
  <w:style w:type="character" w:customStyle="1" w:styleId="y2iqfc">
    <w:name w:val="y2iqfc"/>
    <w:basedOn w:val="Fuentedeprrafopredeter"/>
    <w:rsid w:val="00EB75B7"/>
  </w:style>
  <w:style w:type="character" w:customStyle="1" w:styleId="liststyle1196043187level1">
    <w:name w:val="liststyle_1196043187_level_1"/>
    <w:basedOn w:val="Fuentedeprrafopredeter"/>
    <w:rsid w:val="00954349"/>
  </w:style>
  <w:style w:type="character" w:styleId="Mencinsinresolver">
    <w:name w:val="Unresolved Mention"/>
    <w:basedOn w:val="Fuentedeprrafopredeter"/>
    <w:uiPriority w:val="99"/>
    <w:semiHidden/>
    <w:unhideWhenUsed/>
    <w:rsid w:val="00871907"/>
    <w:rPr>
      <w:color w:val="605E5C"/>
      <w:shd w:val="clear" w:color="auto" w:fill="E1DFDD"/>
    </w:rPr>
  </w:style>
  <w:style w:type="character" w:styleId="Textodelmarcadordeposicin">
    <w:name w:val="Placeholder Text"/>
    <w:basedOn w:val="Fuentedeprrafopredeter"/>
    <w:uiPriority w:val="99"/>
    <w:semiHidden/>
    <w:rsid w:val="003C09E1"/>
    <w:rPr>
      <w:color w:val="808080"/>
    </w:rPr>
  </w:style>
  <w:style w:type="paragraph" w:customStyle="1" w:styleId="Normal1">
    <w:name w:val="Normal1"/>
    <w:rsid w:val="00E23B51"/>
    <w:pPr>
      <w:spacing w:after="0" w:line="276" w:lineRule="auto"/>
    </w:pPr>
    <w:rPr>
      <w:rFonts w:ascii="Arial" w:eastAsia="Arial" w:hAnsi="Arial" w:cs="Arial"/>
      <w:color w:val="000000"/>
      <w:szCs w:val="24"/>
      <w:lang w:eastAsia="es-ES"/>
    </w:rPr>
  </w:style>
  <w:style w:type="paragraph" w:styleId="Revisin">
    <w:name w:val="Revision"/>
    <w:hidden/>
    <w:uiPriority w:val="99"/>
    <w:semiHidden/>
    <w:rsid w:val="00F6204A"/>
    <w:pPr>
      <w:spacing w:after="0" w:line="240" w:lineRule="auto"/>
    </w:pPr>
    <w:rPr>
      <w:rFonts w:ascii="Calibri" w:eastAsia="Calibri" w:hAnsi="Calibri" w:cs="Times New Roman"/>
      <w:lang w:val="es-ES"/>
    </w:rPr>
  </w:style>
  <w:style w:type="paragraph" w:customStyle="1" w:styleId="Texto">
    <w:name w:val="Texto"/>
    <w:basedOn w:val="Normal"/>
    <w:link w:val="TextoCar"/>
    <w:rsid w:val="003B1A3E"/>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3B1A3E"/>
    <w:rPr>
      <w:rFonts w:ascii="Arial" w:eastAsia="Times New Roman" w:hAnsi="Arial" w:cs="Arial"/>
      <w:sz w:val="18"/>
      <w:szCs w:val="20"/>
      <w:lang w:eastAsia="es-ES"/>
    </w:rPr>
  </w:style>
  <w:style w:type="character" w:customStyle="1" w:styleId="DefaultCar">
    <w:name w:val="Default Car"/>
    <w:basedOn w:val="Fuentedeprrafopredeter"/>
    <w:link w:val="Default"/>
    <w:rsid w:val="003B1A3E"/>
    <w:rPr>
      <w:rFonts w:ascii="ITC Avant Garde" w:hAnsi="ITC Avant Garde" w:cs="ITC Avant Garde"/>
      <w:color w:val="000000"/>
      <w:sz w:val="24"/>
      <w:szCs w:val="24"/>
    </w:rPr>
  </w:style>
  <w:style w:type="paragraph" w:customStyle="1" w:styleId="ROMANOS">
    <w:name w:val="ROMANOS"/>
    <w:basedOn w:val="Normal"/>
    <w:link w:val="ROMANOSCar"/>
    <w:rsid w:val="003B1A3E"/>
    <w:pPr>
      <w:tabs>
        <w:tab w:val="left" w:pos="720"/>
      </w:tabs>
      <w:spacing w:after="101" w:line="216" w:lineRule="exact"/>
      <w:ind w:left="720" w:hanging="432"/>
      <w:jc w:val="both"/>
    </w:pPr>
    <w:rPr>
      <w:rFonts w:ascii="Arial" w:eastAsia="Times New Roman" w:hAnsi="Arial" w:cs="Arial"/>
      <w:sz w:val="18"/>
      <w:szCs w:val="18"/>
      <w:lang w:val="es-MX" w:eastAsia="es-ES"/>
    </w:rPr>
  </w:style>
  <w:style w:type="character" w:customStyle="1" w:styleId="ROMANOSCar">
    <w:name w:val="ROMANOS Car"/>
    <w:link w:val="ROMANOS"/>
    <w:locked/>
    <w:rsid w:val="003B1A3E"/>
    <w:rPr>
      <w:rFonts w:ascii="Arial" w:eastAsia="Times New Roman" w:hAnsi="Arial" w:cs="Arial"/>
      <w:sz w:val="18"/>
      <w:szCs w:val="18"/>
      <w:lang w:eastAsia="es-ES"/>
    </w:rPr>
  </w:style>
  <w:style w:type="table" w:styleId="Tabladelista4-nfasis6">
    <w:name w:val="List Table 4 Accent 6"/>
    <w:basedOn w:val="Tablanormal"/>
    <w:uiPriority w:val="49"/>
    <w:rsid w:val="00AC11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4Car">
    <w:name w:val="Título 4 Car"/>
    <w:basedOn w:val="Fuentedeprrafopredeter"/>
    <w:link w:val="Ttulo4"/>
    <w:uiPriority w:val="9"/>
    <w:semiHidden/>
    <w:rsid w:val="00B16947"/>
    <w:rPr>
      <w:rFonts w:asciiTheme="majorHAnsi" w:eastAsiaTheme="majorEastAsia" w:hAnsiTheme="majorHAnsi" w:cstheme="majorBidi"/>
      <w:i/>
      <w:iCs/>
      <w:color w:val="2E74B5" w:themeColor="accent1" w:themeShade="BF"/>
      <w:lang w:val="es-ES"/>
    </w:rPr>
  </w:style>
  <w:style w:type="paragraph" w:customStyle="1" w:styleId="IFTnormal">
    <w:name w:val="IFT normal"/>
    <w:basedOn w:val="Normal"/>
    <w:link w:val="IFTnormalCar"/>
    <w:qFormat/>
    <w:rsid w:val="008D6F98"/>
    <w:pPr>
      <w:jc w:val="both"/>
    </w:pPr>
    <w:rPr>
      <w:rFonts w:ascii="ITC Avant Garde" w:hAnsi="ITC Avant Garde" w:cs="Arial"/>
      <w:color w:val="000000"/>
      <w:lang w:val="es-ES_tradnl" w:eastAsia="es-ES"/>
    </w:rPr>
  </w:style>
  <w:style w:type="character" w:customStyle="1" w:styleId="IFTnormalCar">
    <w:name w:val="IFT normal Car"/>
    <w:basedOn w:val="Fuentedeprrafopredeter"/>
    <w:link w:val="IFTnormal"/>
    <w:qFormat/>
    <w:rsid w:val="008D6F98"/>
    <w:rPr>
      <w:rFonts w:ascii="ITC Avant Garde" w:eastAsia="Calibri" w:hAnsi="ITC Avant Garde"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70650">
      <w:bodyDiv w:val="1"/>
      <w:marLeft w:val="0"/>
      <w:marRight w:val="0"/>
      <w:marTop w:val="0"/>
      <w:marBottom w:val="0"/>
      <w:divBdr>
        <w:top w:val="none" w:sz="0" w:space="0" w:color="auto"/>
        <w:left w:val="none" w:sz="0" w:space="0" w:color="auto"/>
        <w:bottom w:val="none" w:sz="0" w:space="0" w:color="auto"/>
        <w:right w:val="none" w:sz="0" w:space="0" w:color="auto"/>
      </w:divBdr>
    </w:div>
    <w:div w:id="252324180">
      <w:bodyDiv w:val="1"/>
      <w:marLeft w:val="0"/>
      <w:marRight w:val="0"/>
      <w:marTop w:val="0"/>
      <w:marBottom w:val="0"/>
      <w:divBdr>
        <w:top w:val="none" w:sz="0" w:space="0" w:color="auto"/>
        <w:left w:val="none" w:sz="0" w:space="0" w:color="auto"/>
        <w:bottom w:val="none" w:sz="0" w:space="0" w:color="auto"/>
        <w:right w:val="none" w:sz="0" w:space="0" w:color="auto"/>
      </w:divBdr>
    </w:div>
    <w:div w:id="319844371">
      <w:bodyDiv w:val="1"/>
      <w:marLeft w:val="0"/>
      <w:marRight w:val="0"/>
      <w:marTop w:val="0"/>
      <w:marBottom w:val="0"/>
      <w:divBdr>
        <w:top w:val="none" w:sz="0" w:space="0" w:color="auto"/>
        <w:left w:val="none" w:sz="0" w:space="0" w:color="auto"/>
        <w:bottom w:val="none" w:sz="0" w:space="0" w:color="auto"/>
        <w:right w:val="none" w:sz="0" w:space="0" w:color="auto"/>
      </w:divBdr>
      <w:divsChild>
        <w:div w:id="1083070209">
          <w:marLeft w:val="0"/>
          <w:marRight w:val="0"/>
          <w:marTop w:val="0"/>
          <w:marBottom w:val="20"/>
          <w:divBdr>
            <w:top w:val="none" w:sz="0" w:space="0" w:color="auto"/>
            <w:left w:val="none" w:sz="0" w:space="0" w:color="auto"/>
            <w:bottom w:val="none" w:sz="0" w:space="0" w:color="auto"/>
            <w:right w:val="none" w:sz="0" w:space="0" w:color="auto"/>
          </w:divBdr>
        </w:div>
      </w:divsChild>
    </w:div>
    <w:div w:id="335037077">
      <w:bodyDiv w:val="1"/>
      <w:marLeft w:val="0"/>
      <w:marRight w:val="0"/>
      <w:marTop w:val="0"/>
      <w:marBottom w:val="0"/>
      <w:divBdr>
        <w:top w:val="none" w:sz="0" w:space="0" w:color="auto"/>
        <w:left w:val="none" w:sz="0" w:space="0" w:color="auto"/>
        <w:bottom w:val="none" w:sz="0" w:space="0" w:color="auto"/>
        <w:right w:val="none" w:sz="0" w:space="0" w:color="auto"/>
      </w:divBdr>
      <w:divsChild>
        <w:div w:id="590743189">
          <w:marLeft w:val="0"/>
          <w:marRight w:val="0"/>
          <w:marTop w:val="0"/>
          <w:marBottom w:val="101"/>
          <w:divBdr>
            <w:top w:val="none" w:sz="0" w:space="0" w:color="auto"/>
            <w:left w:val="none" w:sz="0" w:space="0" w:color="auto"/>
            <w:bottom w:val="none" w:sz="0" w:space="0" w:color="auto"/>
            <w:right w:val="none" w:sz="0" w:space="0" w:color="auto"/>
          </w:divBdr>
        </w:div>
      </w:divsChild>
    </w:div>
    <w:div w:id="389770328">
      <w:bodyDiv w:val="1"/>
      <w:marLeft w:val="0"/>
      <w:marRight w:val="0"/>
      <w:marTop w:val="0"/>
      <w:marBottom w:val="0"/>
      <w:divBdr>
        <w:top w:val="none" w:sz="0" w:space="0" w:color="auto"/>
        <w:left w:val="none" w:sz="0" w:space="0" w:color="auto"/>
        <w:bottom w:val="none" w:sz="0" w:space="0" w:color="auto"/>
        <w:right w:val="none" w:sz="0" w:space="0" w:color="auto"/>
      </w:divBdr>
      <w:divsChild>
        <w:div w:id="840853221">
          <w:marLeft w:val="0"/>
          <w:marRight w:val="0"/>
          <w:marTop w:val="0"/>
          <w:marBottom w:val="101"/>
          <w:divBdr>
            <w:top w:val="none" w:sz="0" w:space="0" w:color="auto"/>
            <w:left w:val="none" w:sz="0" w:space="0" w:color="auto"/>
            <w:bottom w:val="none" w:sz="0" w:space="0" w:color="auto"/>
            <w:right w:val="none" w:sz="0" w:space="0" w:color="auto"/>
          </w:divBdr>
        </w:div>
      </w:divsChild>
    </w:div>
    <w:div w:id="473451421">
      <w:bodyDiv w:val="1"/>
      <w:marLeft w:val="0"/>
      <w:marRight w:val="0"/>
      <w:marTop w:val="0"/>
      <w:marBottom w:val="0"/>
      <w:divBdr>
        <w:top w:val="none" w:sz="0" w:space="0" w:color="auto"/>
        <w:left w:val="none" w:sz="0" w:space="0" w:color="auto"/>
        <w:bottom w:val="none" w:sz="0" w:space="0" w:color="auto"/>
        <w:right w:val="none" w:sz="0" w:space="0" w:color="auto"/>
      </w:divBdr>
    </w:div>
    <w:div w:id="595677587">
      <w:bodyDiv w:val="1"/>
      <w:marLeft w:val="0"/>
      <w:marRight w:val="0"/>
      <w:marTop w:val="0"/>
      <w:marBottom w:val="0"/>
      <w:divBdr>
        <w:top w:val="none" w:sz="0" w:space="0" w:color="auto"/>
        <w:left w:val="none" w:sz="0" w:space="0" w:color="auto"/>
        <w:bottom w:val="none" w:sz="0" w:space="0" w:color="auto"/>
        <w:right w:val="none" w:sz="0" w:space="0" w:color="auto"/>
      </w:divBdr>
    </w:div>
    <w:div w:id="686906375">
      <w:bodyDiv w:val="1"/>
      <w:marLeft w:val="0"/>
      <w:marRight w:val="0"/>
      <w:marTop w:val="0"/>
      <w:marBottom w:val="0"/>
      <w:divBdr>
        <w:top w:val="none" w:sz="0" w:space="0" w:color="auto"/>
        <w:left w:val="none" w:sz="0" w:space="0" w:color="auto"/>
        <w:bottom w:val="none" w:sz="0" w:space="0" w:color="auto"/>
        <w:right w:val="none" w:sz="0" w:space="0" w:color="auto"/>
      </w:divBdr>
    </w:div>
    <w:div w:id="765267858">
      <w:bodyDiv w:val="1"/>
      <w:marLeft w:val="0"/>
      <w:marRight w:val="0"/>
      <w:marTop w:val="0"/>
      <w:marBottom w:val="0"/>
      <w:divBdr>
        <w:top w:val="none" w:sz="0" w:space="0" w:color="auto"/>
        <w:left w:val="none" w:sz="0" w:space="0" w:color="auto"/>
        <w:bottom w:val="none" w:sz="0" w:space="0" w:color="auto"/>
        <w:right w:val="none" w:sz="0" w:space="0" w:color="auto"/>
      </w:divBdr>
    </w:div>
    <w:div w:id="1145121349">
      <w:bodyDiv w:val="1"/>
      <w:marLeft w:val="0"/>
      <w:marRight w:val="0"/>
      <w:marTop w:val="0"/>
      <w:marBottom w:val="0"/>
      <w:divBdr>
        <w:top w:val="none" w:sz="0" w:space="0" w:color="auto"/>
        <w:left w:val="none" w:sz="0" w:space="0" w:color="auto"/>
        <w:bottom w:val="none" w:sz="0" w:space="0" w:color="auto"/>
        <w:right w:val="none" w:sz="0" w:space="0" w:color="auto"/>
      </w:divBdr>
    </w:div>
    <w:div w:id="1158961018">
      <w:bodyDiv w:val="1"/>
      <w:marLeft w:val="0"/>
      <w:marRight w:val="0"/>
      <w:marTop w:val="0"/>
      <w:marBottom w:val="0"/>
      <w:divBdr>
        <w:top w:val="none" w:sz="0" w:space="0" w:color="auto"/>
        <w:left w:val="none" w:sz="0" w:space="0" w:color="auto"/>
        <w:bottom w:val="none" w:sz="0" w:space="0" w:color="auto"/>
        <w:right w:val="none" w:sz="0" w:space="0" w:color="auto"/>
      </w:divBdr>
    </w:div>
    <w:div w:id="1194030661">
      <w:bodyDiv w:val="1"/>
      <w:marLeft w:val="0"/>
      <w:marRight w:val="0"/>
      <w:marTop w:val="0"/>
      <w:marBottom w:val="0"/>
      <w:divBdr>
        <w:top w:val="none" w:sz="0" w:space="0" w:color="auto"/>
        <w:left w:val="none" w:sz="0" w:space="0" w:color="auto"/>
        <w:bottom w:val="none" w:sz="0" w:space="0" w:color="auto"/>
        <w:right w:val="none" w:sz="0" w:space="0" w:color="auto"/>
      </w:divBdr>
      <w:divsChild>
        <w:div w:id="1363477342">
          <w:marLeft w:val="0"/>
          <w:marRight w:val="0"/>
          <w:marTop w:val="0"/>
          <w:marBottom w:val="101"/>
          <w:divBdr>
            <w:top w:val="none" w:sz="0" w:space="0" w:color="auto"/>
            <w:left w:val="none" w:sz="0" w:space="0" w:color="auto"/>
            <w:bottom w:val="none" w:sz="0" w:space="0" w:color="auto"/>
            <w:right w:val="none" w:sz="0" w:space="0" w:color="auto"/>
          </w:divBdr>
        </w:div>
      </w:divsChild>
    </w:div>
    <w:div w:id="1200241214">
      <w:bodyDiv w:val="1"/>
      <w:marLeft w:val="0"/>
      <w:marRight w:val="0"/>
      <w:marTop w:val="0"/>
      <w:marBottom w:val="0"/>
      <w:divBdr>
        <w:top w:val="none" w:sz="0" w:space="0" w:color="auto"/>
        <w:left w:val="none" w:sz="0" w:space="0" w:color="auto"/>
        <w:bottom w:val="none" w:sz="0" w:space="0" w:color="auto"/>
        <w:right w:val="none" w:sz="0" w:space="0" w:color="auto"/>
      </w:divBdr>
      <w:divsChild>
        <w:div w:id="50157132">
          <w:marLeft w:val="1080"/>
          <w:marRight w:val="0"/>
          <w:marTop w:val="0"/>
          <w:marBottom w:val="101"/>
          <w:divBdr>
            <w:top w:val="none" w:sz="0" w:space="0" w:color="auto"/>
            <w:left w:val="none" w:sz="0" w:space="0" w:color="auto"/>
            <w:bottom w:val="none" w:sz="0" w:space="0" w:color="auto"/>
            <w:right w:val="none" w:sz="0" w:space="0" w:color="auto"/>
          </w:divBdr>
        </w:div>
        <w:div w:id="331874961">
          <w:marLeft w:val="1080"/>
          <w:marRight w:val="0"/>
          <w:marTop w:val="0"/>
          <w:marBottom w:val="101"/>
          <w:divBdr>
            <w:top w:val="none" w:sz="0" w:space="0" w:color="auto"/>
            <w:left w:val="none" w:sz="0" w:space="0" w:color="auto"/>
            <w:bottom w:val="none" w:sz="0" w:space="0" w:color="auto"/>
            <w:right w:val="none" w:sz="0" w:space="0" w:color="auto"/>
          </w:divBdr>
        </w:div>
      </w:divsChild>
    </w:div>
    <w:div w:id="1301496139">
      <w:bodyDiv w:val="1"/>
      <w:marLeft w:val="0"/>
      <w:marRight w:val="0"/>
      <w:marTop w:val="0"/>
      <w:marBottom w:val="0"/>
      <w:divBdr>
        <w:top w:val="none" w:sz="0" w:space="0" w:color="auto"/>
        <w:left w:val="none" w:sz="0" w:space="0" w:color="auto"/>
        <w:bottom w:val="none" w:sz="0" w:space="0" w:color="auto"/>
        <w:right w:val="none" w:sz="0" w:space="0" w:color="auto"/>
      </w:divBdr>
    </w:div>
    <w:div w:id="1331522755">
      <w:bodyDiv w:val="1"/>
      <w:marLeft w:val="0"/>
      <w:marRight w:val="0"/>
      <w:marTop w:val="0"/>
      <w:marBottom w:val="0"/>
      <w:divBdr>
        <w:top w:val="none" w:sz="0" w:space="0" w:color="auto"/>
        <w:left w:val="none" w:sz="0" w:space="0" w:color="auto"/>
        <w:bottom w:val="none" w:sz="0" w:space="0" w:color="auto"/>
        <w:right w:val="none" w:sz="0" w:space="0" w:color="auto"/>
      </w:divBdr>
      <w:divsChild>
        <w:div w:id="757336157">
          <w:marLeft w:val="720"/>
          <w:marRight w:val="0"/>
          <w:marTop w:val="0"/>
          <w:marBottom w:val="101"/>
          <w:divBdr>
            <w:top w:val="none" w:sz="0" w:space="0" w:color="auto"/>
            <w:left w:val="none" w:sz="0" w:space="0" w:color="auto"/>
            <w:bottom w:val="none" w:sz="0" w:space="0" w:color="auto"/>
            <w:right w:val="none" w:sz="0" w:space="0" w:color="auto"/>
          </w:divBdr>
        </w:div>
      </w:divsChild>
    </w:div>
    <w:div w:id="1353873292">
      <w:bodyDiv w:val="1"/>
      <w:marLeft w:val="0"/>
      <w:marRight w:val="0"/>
      <w:marTop w:val="0"/>
      <w:marBottom w:val="0"/>
      <w:divBdr>
        <w:top w:val="none" w:sz="0" w:space="0" w:color="auto"/>
        <w:left w:val="none" w:sz="0" w:space="0" w:color="auto"/>
        <w:bottom w:val="none" w:sz="0" w:space="0" w:color="auto"/>
        <w:right w:val="none" w:sz="0" w:space="0" w:color="auto"/>
      </w:divBdr>
    </w:div>
    <w:div w:id="1395816320">
      <w:bodyDiv w:val="1"/>
      <w:marLeft w:val="0"/>
      <w:marRight w:val="0"/>
      <w:marTop w:val="0"/>
      <w:marBottom w:val="0"/>
      <w:divBdr>
        <w:top w:val="none" w:sz="0" w:space="0" w:color="auto"/>
        <w:left w:val="none" w:sz="0" w:space="0" w:color="auto"/>
        <w:bottom w:val="none" w:sz="0" w:space="0" w:color="auto"/>
        <w:right w:val="none" w:sz="0" w:space="0" w:color="auto"/>
      </w:divBdr>
    </w:div>
    <w:div w:id="1529830980">
      <w:bodyDiv w:val="1"/>
      <w:marLeft w:val="0"/>
      <w:marRight w:val="0"/>
      <w:marTop w:val="0"/>
      <w:marBottom w:val="0"/>
      <w:divBdr>
        <w:top w:val="none" w:sz="0" w:space="0" w:color="auto"/>
        <w:left w:val="none" w:sz="0" w:space="0" w:color="auto"/>
        <w:bottom w:val="none" w:sz="0" w:space="0" w:color="auto"/>
        <w:right w:val="none" w:sz="0" w:space="0" w:color="auto"/>
      </w:divBdr>
      <w:divsChild>
        <w:div w:id="2095203879">
          <w:marLeft w:val="0"/>
          <w:marRight w:val="0"/>
          <w:marTop w:val="240"/>
          <w:marBottom w:val="0"/>
          <w:divBdr>
            <w:top w:val="none" w:sz="0" w:space="0" w:color="auto"/>
            <w:left w:val="none" w:sz="0" w:space="0" w:color="auto"/>
            <w:bottom w:val="none" w:sz="0" w:space="0" w:color="auto"/>
            <w:right w:val="none" w:sz="0" w:space="0" w:color="auto"/>
          </w:divBdr>
          <w:divsChild>
            <w:div w:id="753935121">
              <w:marLeft w:val="0"/>
              <w:marRight w:val="0"/>
              <w:marTop w:val="0"/>
              <w:marBottom w:val="0"/>
              <w:divBdr>
                <w:top w:val="none" w:sz="0" w:space="0" w:color="auto"/>
                <w:left w:val="none" w:sz="0" w:space="0" w:color="auto"/>
                <w:bottom w:val="none" w:sz="0" w:space="0" w:color="auto"/>
                <w:right w:val="none" w:sz="0" w:space="0" w:color="auto"/>
              </w:divBdr>
              <w:divsChild>
                <w:div w:id="701519275">
                  <w:marLeft w:val="0"/>
                  <w:marRight w:val="0"/>
                  <w:marTop w:val="0"/>
                  <w:marBottom w:val="0"/>
                  <w:divBdr>
                    <w:top w:val="none" w:sz="0" w:space="0" w:color="auto"/>
                    <w:left w:val="none" w:sz="0" w:space="0" w:color="auto"/>
                    <w:bottom w:val="none" w:sz="0" w:space="0" w:color="auto"/>
                    <w:right w:val="none" w:sz="0" w:space="0" w:color="auto"/>
                  </w:divBdr>
                  <w:divsChild>
                    <w:div w:id="1891071311">
                      <w:marLeft w:val="144"/>
                      <w:marRight w:val="0"/>
                      <w:marTop w:val="0"/>
                      <w:marBottom w:val="101"/>
                      <w:divBdr>
                        <w:top w:val="none" w:sz="0" w:space="0" w:color="auto"/>
                        <w:left w:val="none" w:sz="0" w:space="0" w:color="auto"/>
                        <w:bottom w:val="single" w:sz="4" w:space="0" w:color="000000"/>
                        <w:right w:val="none" w:sz="0" w:space="0" w:color="auto"/>
                      </w:divBdr>
                    </w:div>
                  </w:divsChild>
                </w:div>
                <w:div w:id="1465351641">
                  <w:marLeft w:val="0"/>
                  <w:marRight w:val="0"/>
                  <w:marTop w:val="0"/>
                  <w:marBottom w:val="0"/>
                  <w:divBdr>
                    <w:top w:val="none" w:sz="0" w:space="0" w:color="auto"/>
                    <w:left w:val="none" w:sz="0" w:space="0" w:color="auto"/>
                    <w:bottom w:val="none" w:sz="0" w:space="0" w:color="auto"/>
                    <w:right w:val="none" w:sz="0" w:space="0" w:color="auto"/>
                  </w:divBdr>
                  <w:divsChild>
                    <w:div w:id="1475681418">
                      <w:marLeft w:val="0"/>
                      <w:marRight w:val="0"/>
                      <w:marTop w:val="0"/>
                      <w:marBottom w:val="54"/>
                      <w:divBdr>
                        <w:top w:val="none" w:sz="0" w:space="0" w:color="auto"/>
                        <w:left w:val="none" w:sz="0" w:space="0" w:color="auto"/>
                        <w:bottom w:val="none" w:sz="0" w:space="0" w:color="auto"/>
                        <w:right w:val="none" w:sz="0" w:space="0" w:color="auto"/>
                      </w:divBdr>
                    </w:div>
                    <w:div w:id="1631279302">
                      <w:marLeft w:val="720"/>
                      <w:marRight w:val="0"/>
                      <w:marTop w:val="0"/>
                      <w:marBottom w:val="54"/>
                      <w:divBdr>
                        <w:top w:val="none" w:sz="0" w:space="0" w:color="auto"/>
                        <w:left w:val="none" w:sz="0" w:space="0" w:color="auto"/>
                        <w:bottom w:val="none" w:sz="0" w:space="0" w:color="auto"/>
                        <w:right w:val="none" w:sz="0" w:space="0" w:color="auto"/>
                      </w:divBdr>
                    </w:div>
                    <w:div w:id="1700424600">
                      <w:marLeft w:val="0"/>
                      <w:marRight w:val="0"/>
                      <w:marTop w:val="0"/>
                      <w:marBottom w:val="54"/>
                      <w:divBdr>
                        <w:top w:val="none" w:sz="0" w:space="0" w:color="auto"/>
                        <w:left w:val="none" w:sz="0" w:space="0" w:color="auto"/>
                        <w:bottom w:val="none" w:sz="0" w:space="0" w:color="auto"/>
                        <w:right w:val="none" w:sz="0" w:space="0" w:color="auto"/>
                      </w:divBdr>
                    </w:div>
                    <w:div w:id="1818381330">
                      <w:marLeft w:val="0"/>
                      <w:marRight w:val="0"/>
                      <w:marTop w:val="0"/>
                      <w:marBottom w:val="54"/>
                      <w:divBdr>
                        <w:top w:val="none" w:sz="0" w:space="0" w:color="auto"/>
                        <w:left w:val="none" w:sz="0" w:space="0" w:color="auto"/>
                        <w:bottom w:val="none" w:sz="0" w:space="0" w:color="auto"/>
                        <w:right w:val="none" w:sz="0" w:space="0" w:color="auto"/>
                      </w:divBdr>
                    </w:div>
                  </w:divsChild>
                </w:div>
                <w:div w:id="1888881904">
                  <w:marLeft w:val="0"/>
                  <w:marRight w:val="0"/>
                  <w:marTop w:val="0"/>
                  <w:marBottom w:val="0"/>
                  <w:divBdr>
                    <w:top w:val="none" w:sz="0" w:space="0" w:color="auto"/>
                    <w:left w:val="none" w:sz="0" w:space="0" w:color="auto"/>
                    <w:bottom w:val="none" w:sz="0" w:space="0" w:color="auto"/>
                    <w:right w:val="none" w:sz="0" w:space="0" w:color="auto"/>
                  </w:divBdr>
                  <w:divsChild>
                    <w:div w:id="1398116">
                      <w:marLeft w:val="144"/>
                      <w:marRight w:val="0"/>
                      <w:marTop w:val="0"/>
                      <w:marBottom w:val="101"/>
                      <w:divBdr>
                        <w:top w:val="none" w:sz="0" w:space="0" w:color="auto"/>
                        <w:left w:val="none" w:sz="0" w:space="0" w:color="auto"/>
                        <w:bottom w:val="single" w:sz="4" w:space="0" w:color="000000"/>
                        <w:right w:val="none" w:sz="0" w:space="0" w:color="auto"/>
                      </w:divBdr>
                    </w:div>
                    <w:div w:id="116804076">
                      <w:marLeft w:val="720"/>
                      <w:marRight w:val="0"/>
                      <w:marTop w:val="0"/>
                      <w:marBottom w:val="101"/>
                      <w:divBdr>
                        <w:top w:val="none" w:sz="0" w:space="0" w:color="auto"/>
                        <w:left w:val="none" w:sz="0" w:space="0" w:color="auto"/>
                        <w:bottom w:val="none" w:sz="0" w:space="0" w:color="auto"/>
                        <w:right w:val="none" w:sz="0" w:space="0" w:color="auto"/>
                      </w:divBdr>
                    </w:div>
                    <w:div w:id="231038904">
                      <w:marLeft w:val="720"/>
                      <w:marRight w:val="0"/>
                      <w:marTop w:val="0"/>
                      <w:marBottom w:val="54"/>
                      <w:divBdr>
                        <w:top w:val="single" w:sz="4" w:space="0" w:color="000000"/>
                        <w:left w:val="none" w:sz="0" w:space="0" w:color="auto"/>
                        <w:bottom w:val="none" w:sz="0" w:space="0" w:color="auto"/>
                        <w:right w:val="none" w:sz="0" w:space="0" w:color="auto"/>
                      </w:divBdr>
                    </w:div>
                    <w:div w:id="231161489">
                      <w:marLeft w:val="720"/>
                      <w:marRight w:val="0"/>
                      <w:marTop w:val="0"/>
                      <w:marBottom w:val="54"/>
                      <w:divBdr>
                        <w:top w:val="none" w:sz="0" w:space="0" w:color="auto"/>
                        <w:left w:val="none" w:sz="0" w:space="0" w:color="auto"/>
                        <w:bottom w:val="none" w:sz="0" w:space="0" w:color="auto"/>
                        <w:right w:val="none" w:sz="0" w:space="0" w:color="auto"/>
                      </w:divBdr>
                    </w:div>
                    <w:div w:id="267467011">
                      <w:marLeft w:val="720"/>
                      <w:marRight w:val="0"/>
                      <w:marTop w:val="0"/>
                      <w:marBottom w:val="101"/>
                      <w:divBdr>
                        <w:top w:val="single" w:sz="4" w:space="0" w:color="000000"/>
                        <w:left w:val="none" w:sz="0" w:space="0" w:color="auto"/>
                        <w:bottom w:val="none" w:sz="0" w:space="0" w:color="auto"/>
                        <w:right w:val="none" w:sz="0" w:space="0" w:color="auto"/>
                      </w:divBdr>
                    </w:div>
                    <w:div w:id="340787325">
                      <w:marLeft w:val="720"/>
                      <w:marRight w:val="0"/>
                      <w:marTop w:val="0"/>
                      <w:marBottom w:val="54"/>
                      <w:divBdr>
                        <w:top w:val="none" w:sz="0" w:space="0" w:color="auto"/>
                        <w:left w:val="none" w:sz="0" w:space="0" w:color="auto"/>
                        <w:bottom w:val="none" w:sz="0" w:space="0" w:color="auto"/>
                        <w:right w:val="none" w:sz="0" w:space="0" w:color="auto"/>
                      </w:divBdr>
                    </w:div>
                    <w:div w:id="475954046">
                      <w:marLeft w:val="720"/>
                      <w:marRight w:val="0"/>
                      <w:marTop w:val="0"/>
                      <w:marBottom w:val="54"/>
                      <w:divBdr>
                        <w:top w:val="none" w:sz="0" w:space="0" w:color="auto"/>
                        <w:left w:val="none" w:sz="0" w:space="0" w:color="auto"/>
                        <w:bottom w:val="none" w:sz="0" w:space="0" w:color="auto"/>
                        <w:right w:val="none" w:sz="0" w:space="0" w:color="auto"/>
                      </w:divBdr>
                    </w:div>
                    <w:div w:id="490605856">
                      <w:marLeft w:val="720"/>
                      <w:marRight w:val="0"/>
                      <w:marTop w:val="0"/>
                      <w:marBottom w:val="54"/>
                      <w:divBdr>
                        <w:top w:val="none" w:sz="0" w:space="0" w:color="auto"/>
                        <w:left w:val="none" w:sz="0" w:space="0" w:color="auto"/>
                        <w:bottom w:val="none" w:sz="0" w:space="0" w:color="auto"/>
                        <w:right w:val="none" w:sz="0" w:space="0" w:color="auto"/>
                      </w:divBdr>
                    </w:div>
                    <w:div w:id="495651994">
                      <w:marLeft w:val="720"/>
                      <w:marRight w:val="0"/>
                      <w:marTop w:val="0"/>
                      <w:marBottom w:val="54"/>
                      <w:divBdr>
                        <w:top w:val="none" w:sz="0" w:space="0" w:color="auto"/>
                        <w:left w:val="none" w:sz="0" w:space="0" w:color="auto"/>
                        <w:bottom w:val="none" w:sz="0" w:space="0" w:color="auto"/>
                        <w:right w:val="none" w:sz="0" w:space="0" w:color="auto"/>
                      </w:divBdr>
                    </w:div>
                    <w:div w:id="506217902">
                      <w:marLeft w:val="1152"/>
                      <w:marRight w:val="0"/>
                      <w:marTop w:val="0"/>
                      <w:marBottom w:val="54"/>
                      <w:divBdr>
                        <w:top w:val="none" w:sz="0" w:space="0" w:color="auto"/>
                        <w:left w:val="none" w:sz="0" w:space="0" w:color="auto"/>
                        <w:bottom w:val="none" w:sz="0" w:space="0" w:color="auto"/>
                        <w:right w:val="none" w:sz="0" w:space="0" w:color="auto"/>
                      </w:divBdr>
                    </w:div>
                    <w:div w:id="735322170">
                      <w:marLeft w:val="720"/>
                      <w:marRight w:val="0"/>
                      <w:marTop w:val="0"/>
                      <w:marBottom w:val="101"/>
                      <w:divBdr>
                        <w:top w:val="none" w:sz="0" w:space="0" w:color="auto"/>
                        <w:left w:val="none" w:sz="0" w:space="0" w:color="auto"/>
                        <w:bottom w:val="none" w:sz="0" w:space="0" w:color="auto"/>
                        <w:right w:val="none" w:sz="0" w:space="0" w:color="auto"/>
                      </w:divBdr>
                    </w:div>
                    <w:div w:id="810828170">
                      <w:marLeft w:val="1152"/>
                      <w:marRight w:val="0"/>
                      <w:marTop w:val="0"/>
                      <w:marBottom w:val="54"/>
                      <w:divBdr>
                        <w:top w:val="none" w:sz="0" w:space="0" w:color="auto"/>
                        <w:left w:val="none" w:sz="0" w:space="0" w:color="auto"/>
                        <w:bottom w:val="none" w:sz="0" w:space="0" w:color="auto"/>
                        <w:right w:val="none" w:sz="0" w:space="0" w:color="auto"/>
                      </w:divBdr>
                    </w:div>
                    <w:div w:id="886113963">
                      <w:marLeft w:val="720"/>
                      <w:marRight w:val="0"/>
                      <w:marTop w:val="0"/>
                      <w:marBottom w:val="101"/>
                      <w:divBdr>
                        <w:top w:val="single" w:sz="4" w:space="0" w:color="000000"/>
                        <w:left w:val="none" w:sz="0" w:space="0" w:color="auto"/>
                        <w:bottom w:val="none" w:sz="0" w:space="0" w:color="auto"/>
                        <w:right w:val="none" w:sz="0" w:space="0" w:color="auto"/>
                      </w:divBdr>
                    </w:div>
                    <w:div w:id="1017273382">
                      <w:marLeft w:val="1152"/>
                      <w:marRight w:val="0"/>
                      <w:marTop w:val="0"/>
                      <w:marBottom w:val="54"/>
                      <w:divBdr>
                        <w:top w:val="none" w:sz="0" w:space="0" w:color="auto"/>
                        <w:left w:val="none" w:sz="0" w:space="0" w:color="auto"/>
                        <w:bottom w:val="none" w:sz="0" w:space="0" w:color="auto"/>
                        <w:right w:val="none" w:sz="0" w:space="0" w:color="auto"/>
                      </w:divBdr>
                    </w:div>
                    <w:div w:id="1019090707">
                      <w:marLeft w:val="720"/>
                      <w:marRight w:val="0"/>
                      <w:marTop w:val="0"/>
                      <w:marBottom w:val="101"/>
                      <w:divBdr>
                        <w:top w:val="none" w:sz="0" w:space="0" w:color="auto"/>
                        <w:left w:val="none" w:sz="0" w:space="0" w:color="auto"/>
                        <w:bottom w:val="none" w:sz="0" w:space="0" w:color="auto"/>
                        <w:right w:val="none" w:sz="0" w:space="0" w:color="auto"/>
                      </w:divBdr>
                    </w:div>
                    <w:div w:id="1035618419">
                      <w:marLeft w:val="720"/>
                      <w:marRight w:val="0"/>
                      <w:marTop w:val="0"/>
                      <w:marBottom w:val="54"/>
                      <w:divBdr>
                        <w:top w:val="none" w:sz="0" w:space="0" w:color="auto"/>
                        <w:left w:val="none" w:sz="0" w:space="0" w:color="auto"/>
                        <w:bottom w:val="none" w:sz="0" w:space="0" w:color="auto"/>
                        <w:right w:val="none" w:sz="0" w:space="0" w:color="auto"/>
                      </w:divBdr>
                    </w:div>
                    <w:div w:id="1082682814">
                      <w:marLeft w:val="1152"/>
                      <w:marRight w:val="0"/>
                      <w:marTop w:val="0"/>
                      <w:marBottom w:val="54"/>
                      <w:divBdr>
                        <w:top w:val="none" w:sz="0" w:space="0" w:color="auto"/>
                        <w:left w:val="none" w:sz="0" w:space="0" w:color="auto"/>
                        <w:bottom w:val="none" w:sz="0" w:space="0" w:color="auto"/>
                        <w:right w:val="none" w:sz="0" w:space="0" w:color="auto"/>
                      </w:divBdr>
                    </w:div>
                    <w:div w:id="1106995953">
                      <w:marLeft w:val="720"/>
                      <w:marRight w:val="0"/>
                      <w:marTop w:val="0"/>
                      <w:marBottom w:val="54"/>
                      <w:divBdr>
                        <w:top w:val="none" w:sz="0" w:space="0" w:color="auto"/>
                        <w:left w:val="none" w:sz="0" w:space="0" w:color="auto"/>
                        <w:bottom w:val="none" w:sz="0" w:space="0" w:color="auto"/>
                        <w:right w:val="none" w:sz="0" w:space="0" w:color="auto"/>
                      </w:divBdr>
                    </w:div>
                    <w:div w:id="1148322993">
                      <w:marLeft w:val="720"/>
                      <w:marRight w:val="0"/>
                      <w:marTop w:val="0"/>
                      <w:marBottom w:val="54"/>
                      <w:divBdr>
                        <w:top w:val="none" w:sz="0" w:space="0" w:color="auto"/>
                        <w:left w:val="none" w:sz="0" w:space="0" w:color="auto"/>
                        <w:bottom w:val="none" w:sz="0" w:space="0" w:color="auto"/>
                        <w:right w:val="none" w:sz="0" w:space="0" w:color="auto"/>
                      </w:divBdr>
                    </w:div>
                    <w:div w:id="1180658166">
                      <w:marLeft w:val="720"/>
                      <w:marRight w:val="0"/>
                      <w:marTop w:val="0"/>
                      <w:marBottom w:val="54"/>
                      <w:divBdr>
                        <w:top w:val="single" w:sz="4" w:space="0" w:color="000000"/>
                        <w:left w:val="none" w:sz="0" w:space="0" w:color="auto"/>
                        <w:bottom w:val="none" w:sz="0" w:space="0" w:color="auto"/>
                        <w:right w:val="none" w:sz="0" w:space="0" w:color="auto"/>
                      </w:divBdr>
                    </w:div>
                    <w:div w:id="1208571355">
                      <w:marLeft w:val="720"/>
                      <w:marRight w:val="0"/>
                      <w:marTop w:val="0"/>
                      <w:marBottom w:val="54"/>
                      <w:divBdr>
                        <w:top w:val="none" w:sz="0" w:space="0" w:color="auto"/>
                        <w:left w:val="none" w:sz="0" w:space="0" w:color="auto"/>
                        <w:bottom w:val="none" w:sz="0" w:space="0" w:color="auto"/>
                        <w:right w:val="none" w:sz="0" w:space="0" w:color="auto"/>
                      </w:divBdr>
                    </w:div>
                    <w:div w:id="1255240475">
                      <w:marLeft w:val="720"/>
                      <w:marRight w:val="0"/>
                      <w:marTop w:val="0"/>
                      <w:marBottom w:val="54"/>
                      <w:divBdr>
                        <w:top w:val="none" w:sz="0" w:space="0" w:color="auto"/>
                        <w:left w:val="none" w:sz="0" w:space="0" w:color="auto"/>
                        <w:bottom w:val="none" w:sz="0" w:space="0" w:color="auto"/>
                        <w:right w:val="none" w:sz="0" w:space="0" w:color="auto"/>
                      </w:divBdr>
                    </w:div>
                    <w:div w:id="1306549653">
                      <w:marLeft w:val="720"/>
                      <w:marRight w:val="0"/>
                      <w:marTop w:val="0"/>
                      <w:marBottom w:val="54"/>
                      <w:divBdr>
                        <w:top w:val="none" w:sz="0" w:space="0" w:color="auto"/>
                        <w:left w:val="none" w:sz="0" w:space="0" w:color="auto"/>
                        <w:bottom w:val="none" w:sz="0" w:space="0" w:color="auto"/>
                        <w:right w:val="none" w:sz="0" w:space="0" w:color="auto"/>
                      </w:divBdr>
                    </w:div>
                    <w:div w:id="1403065882">
                      <w:marLeft w:val="720"/>
                      <w:marRight w:val="0"/>
                      <w:marTop w:val="0"/>
                      <w:marBottom w:val="54"/>
                      <w:divBdr>
                        <w:top w:val="none" w:sz="0" w:space="0" w:color="auto"/>
                        <w:left w:val="none" w:sz="0" w:space="0" w:color="auto"/>
                        <w:bottom w:val="none" w:sz="0" w:space="0" w:color="auto"/>
                        <w:right w:val="none" w:sz="0" w:space="0" w:color="auto"/>
                      </w:divBdr>
                    </w:div>
                    <w:div w:id="1459491742">
                      <w:marLeft w:val="1152"/>
                      <w:marRight w:val="0"/>
                      <w:marTop w:val="0"/>
                      <w:marBottom w:val="54"/>
                      <w:divBdr>
                        <w:top w:val="none" w:sz="0" w:space="0" w:color="auto"/>
                        <w:left w:val="none" w:sz="0" w:space="0" w:color="auto"/>
                        <w:bottom w:val="none" w:sz="0" w:space="0" w:color="auto"/>
                        <w:right w:val="none" w:sz="0" w:space="0" w:color="auto"/>
                      </w:divBdr>
                    </w:div>
                    <w:div w:id="1495411475">
                      <w:marLeft w:val="720"/>
                      <w:marRight w:val="0"/>
                      <w:marTop w:val="0"/>
                      <w:marBottom w:val="101"/>
                      <w:divBdr>
                        <w:top w:val="none" w:sz="0" w:space="0" w:color="auto"/>
                        <w:left w:val="none" w:sz="0" w:space="0" w:color="auto"/>
                        <w:bottom w:val="none" w:sz="0" w:space="0" w:color="auto"/>
                        <w:right w:val="none" w:sz="0" w:space="0" w:color="auto"/>
                      </w:divBdr>
                    </w:div>
                    <w:div w:id="1547059645">
                      <w:marLeft w:val="1152"/>
                      <w:marRight w:val="0"/>
                      <w:marTop w:val="0"/>
                      <w:marBottom w:val="54"/>
                      <w:divBdr>
                        <w:top w:val="none" w:sz="0" w:space="0" w:color="auto"/>
                        <w:left w:val="none" w:sz="0" w:space="0" w:color="auto"/>
                        <w:bottom w:val="none" w:sz="0" w:space="0" w:color="auto"/>
                        <w:right w:val="none" w:sz="0" w:space="0" w:color="auto"/>
                      </w:divBdr>
                    </w:div>
                    <w:div w:id="1815637929">
                      <w:marLeft w:val="720"/>
                      <w:marRight w:val="0"/>
                      <w:marTop w:val="0"/>
                      <w:marBottom w:val="54"/>
                      <w:divBdr>
                        <w:top w:val="none" w:sz="0" w:space="0" w:color="auto"/>
                        <w:left w:val="none" w:sz="0" w:space="0" w:color="auto"/>
                        <w:bottom w:val="none" w:sz="0" w:space="0" w:color="auto"/>
                        <w:right w:val="none" w:sz="0" w:space="0" w:color="auto"/>
                      </w:divBdr>
                    </w:div>
                    <w:div w:id="1890259916">
                      <w:marLeft w:val="720"/>
                      <w:marRight w:val="0"/>
                      <w:marTop w:val="0"/>
                      <w:marBottom w:val="101"/>
                      <w:divBdr>
                        <w:top w:val="single" w:sz="4" w:space="0" w:color="000000"/>
                        <w:left w:val="none" w:sz="0" w:space="0" w:color="auto"/>
                        <w:bottom w:val="none" w:sz="0" w:space="0" w:color="auto"/>
                        <w:right w:val="none" w:sz="0" w:space="0" w:color="auto"/>
                      </w:divBdr>
                    </w:div>
                    <w:div w:id="1904296750">
                      <w:marLeft w:val="1152"/>
                      <w:marRight w:val="0"/>
                      <w:marTop w:val="0"/>
                      <w:marBottom w:val="54"/>
                      <w:divBdr>
                        <w:top w:val="none" w:sz="0" w:space="0" w:color="auto"/>
                        <w:left w:val="none" w:sz="0" w:space="0" w:color="auto"/>
                        <w:bottom w:val="none" w:sz="0" w:space="0" w:color="auto"/>
                        <w:right w:val="none" w:sz="0" w:space="0" w:color="auto"/>
                      </w:divBdr>
                    </w:div>
                    <w:div w:id="1944534127">
                      <w:marLeft w:val="720"/>
                      <w:marRight w:val="0"/>
                      <w:marTop w:val="0"/>
                      <w:marBottom w:val="54"/>
                      <w:divBdr>
                        <w:top w:val="none" w:sz="0" w:space="0" w:color="auto"/>
                        <w:left w:val="none" w:sz="0" w:space="0" w:color="auto"/>
                        <w:bottom w:val="none" w:sz="0" w:space="0" w:color="auto"/>
                        <w:right w:val="none" w:sz="0" w:space="0" w:color="auto"/>
                      </w:divBdr>
                    </w:div>
                    <w:div w:id="2009862720">
                      <w:marLeft w:val="720"/>
                      <w:marRight w:val="0"/>
                      <w:marTop w:val="0"/>
                      <w:marBottom w:val="54"/>
                      <w:divBdr>
                        <w:top w:val="single" w:sz="4" w:space="0" w:color="000000"/>
                        <w:left w:val="none" w:sz="0" w:space="0" w:color="auto"/>
                        <w:bottom w:val="none" w:sz="0" w:space="0" w:color="auto"/>
                        <w:right w:val="none" w:sz="0" w:space="0" w:color="auto"/>
                      </w:divBdr>
                    </w:div>
                    <w:div w:id="2019232010">
                      <w:marLeft w:val="1152"/>
                      <w:marRight w:val="0"/>
                      <w:marTop w:val="0"/>
                      <w:marBottom w:val="54"/>
                      <w:divBdr>
                        <w:top w:val="none" w:sz="0" w:space="0" w:color="auto"/>
                        <w:left w:val="none" w:sz="0" w:space="0" w:color="auto"/>
                        <w:bottom w:val="none" w:sz="0" w:space="0" w:color="auto"/>
                        <w:right w:val="none" w:sz="0" w:space="0" w:color="auto"/>
                      </w:divBdr>
                    </w:div>
                    <w:div w:id="2105298923">
                      <w:marLeft w:val="720"/>
                      <w:marRight w:val="0"/>
                      <w:marTop w:val="0"/>
                      <w:marBottom w:val="54"/>
                      <w:divBdr>
                        <w:top w:val="none" w:sz="0" w:space="0" w:color="auto"/>
                        <w:left w:val="none" w:sz="0" w:space="0" w:color="auto"/>
                        <w:bottom w:val="none" w:sz="0" w:space="0" w:color="auto"/>
                        <w:right w:val="none" w:sz="0" w:space="0" w:color="auto"/>
                      </w:divBdr>
                    </w:div>
                    <w:div w:id="2137022855">
                      <w:marLeft w:val="720"/>
                      <w:marRight w:val="0"/>
                      <w:marTop w:val="0"/>
                      <w:marBottom w:val="101"/>
                      <w:divBdr>
                        <w:top w:val="single" w:sz="4" w:space="0" w:color="000000"/>
                        <w:left w:val="none" w:sz="0" w:space="0" w:color="auto"/>
                        <w:bottom w:val="none" w:sz="0" w:space="0" w:color="auto"/>
                        <w:right w:val="none" w:sz="0" w:space="0" w:color="auto"/>
                      </w:divBdr>
                    </w:div>
                  </w:divsChild>
                </w:div>
              </w:divsChild>
            </w:div>
          </w:divsChild>
        </w:div>
      </w:divsChild>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660186163">
      <w:bodyDiv w:val="1"/>
      <w:marLeft w:val="0"/>
      <w:marRight w:val="0"/>
      <w:marTop w:val="0"/>
      <w:marBottom w:val="0"/>
      <w:divBdr>
        <w:top w:val="none" w:sz="0" w:space="0" w:color="auto"/>
        <w:left w:val="none" w:sz="0" w:space="0" w:color="auto"/>
        <w:bottom w:val="none" w:sz="0" w:space="0" w:color="auto"/>
        <w:right w:val="none" w:sz="0" w:space="0" w:color="auto"/>
      </w:divBdr>
      <w:divsChild>
        <w:div w:id="903680593">
          <w:marLeft w:val="0"/>
          <w:marRight w:val="0"/>
          <w:marTop w:val="0"/>
          <w:marBottom w:val="20"/>
          <w:divBdr>
            <w:top w:val="none" w:sz="0" w:space="0" w:color="auto"/>
            <w:left w:val="none" w:sz="0" w:space="0" w:color="auto"/>
            <w:bottom w:val="none" w:sz="0" w:space="0" w:color="auto"/>
            <w:right w:val="none" w:sz="0" w:space="0" w:color="auto"/>
          </w:divBdr>
        </w:div>
      </w:divsChild>
    </w:div>
    <w:div w:id="1689986475">
      <w:bodyDiv w:val="1"/>
      <w:marLeft w:val="0"/>
      <w:marRight w:val="0"/>
      <w:marTop w:val="0"/>
      <w:marBottom w:val="0"/>
      <w:divBdr>
        <w:top w:val="none" w:sz="0" w:space="0" w:color="auto"/>
        <w:left w:val="none" w:sz="0" w:space="0" w:color="auto"/>
        <w:bottom w:val="none" w:sz="0" w:space="0" w:color="auto"/>
        <w:right w:val="none" w:sz="0" w:space="0" w:color="auto"/>
      </w:divBdr>
    </w:div>
    <w:div w:id="1716470053">
      <w:bodyDiv w:val="1"/>
      <w:marLeft w:val="0"/>
      <w:marRight w:val="0"/>
      <w:marTop w:val="0"/>
      <w:marBottom w:val="0"/>
      <w:divBdr>
        <w:top w:val="none" w:sz="0" w:space="0" w:color="auto"/>
        <w:left w:val="none" w:sz="0" w:space="0" w:color="auto"/>
        <w:bottom w:val="none" w:sz="0" w:space="0" w:color="auto"/>
        <w:right w:val="none" w:sz="0" w:space="0" w:color="auto"/>
      </w:divBdr>
    </w:div>
    <w:div w:id="1819806485">
      <w:bodyDiv w:val="1"/>
      <w:marLeft w:val="0"/>
      <w:marRight w:val="0"/>
      <w:marTop w:val="0"/>
      <w:marBottom w:val="0"/>
      <w:divBdr>
        <w:top w:val="none" w:sz="0" w:space="0" w:color="auto"/>
        <w:left w:val="none" w:sz="0" w:space="0" w:color="auto"/>
        <w:bottom w:val="none" w:sz="0" w:space="0" w:color="auto"/>
        <w:right w:val="none" w:sz="0" w:space="0" w:color="auto"/>
      </w:divBdr>
      <w:divsChild>
        <w:div w:id="34504541">
          <w:marLeft w:val="1080"/>
          <w:marRight w:val="0"/>
          <w:marTop w:val="0"/>
          <w:marBottom w:val="86"/>
          <w:divBdr>
            <w:top w:val="none" w:sz="0" w:space="0" w:color="auto"/>
            <w:left w:val="none" w:sz="0" w:space="0" w:color="auto"/>
            <w:bottom w:val="none" w:sz="0" w:space="0" w:color="auto"/>
            <w:right w:val="none" w:sz="0" w:space="0" w:color="auto"/>
          </w:divBdr>
        </w:div>
        <w:div w:id="55011390">
          <w:marLeft w:val="648"/>
          <w:marRight w:val="0"/>
          <w:marTop w:val="0"/>
          <w:marBottom w:val="86"/>
          <w:divBdr>
            <w:top w:val="none" w:sz="0" w:space="0" w:color="auto"/>
            <w:left w:val="none" w:sz="0" w:space="0" w:color="auto"/>
            <w:bottom w:val="none" w:sz="0" w:space="0" w:color="auto"/>
            <w:right w:val="none" w:sz="0" w:space="0" w:color="auto"/>
          </w:divBdr>
        </w:div>
        <w:div w:id="150028697">
          <w:marLeft w:val="576"/>
          <w:marRight w:val="0"/>
          <w:marTop w:val="0"/>
          <w:marBottom w:val="86"/>
          <w:divBdr>
            <w:top w:val="none" w:sz="0" w:space="0" w:color="auto"/>
            <w:left w:val="none" w:sz="0" w:space="0" w:color="auto"/>
            <w:bottom w:val="none" w:sz="0" w:space="0" w:color="auto"/>
            <w:right w:val="none" w:sz="0" w:space="0" w:color="auto"/>
          </w:divBdr>
        </w:div>
        <w:div w:id="216741841">
          <w:marLeft w:val="1080"/>
          <w:marRight w:val="0"/>
          <w:marTop w:val="0"/>
          <w:marBottom w:val="86"/>
          <w:divBdr>
            <w:top w:val="none" w:sz="0" w:space="0" w:color="auto"/>
            <w:left w:val="none" w:sz="0" w:space="0" w:color="auto"/>
            <w:bottom w:val="none" w:sz="0" w:space="0" w:color="auto"/>
            <w:right w:val="none" w:sz="0" w:space="0" w:color="auto"/>
          </w:divBdr>
        </w:div>
        <w:div w:id="279648813">
          <w:marLeft w:val="0"/>
          <w:marRight w:val="0"/>
          <w:marTop w:val="0"/>
          <w:marBottom w:val="86"/>
          <w:divBdr>
            <w:top w:val="none" w:sz="0" w:space="0" w:color="auto"/>
            <w:left w:val="none" w:sz="0" w:space="0" w:color="auto"/>
            <w:bottom w:val="none" w:sz="0" w:space="0" w:color="auto"/>
            <w:right w:val="none" w:sz="0" w:space="0" w:color="auto"/>
          </w:divBdr>
        </w:div>
        <w:div w:id="495807383">
          <w:marLeft w:val="576"/>
          <w:marRight w:val="0"/>
          <w:marTop w:val="0"/>
          <w:marBottom w:val="86"/>
          <w:divBdr>
            <w:top w:val="none" w:sz="0" w:space="0" w:color="auto"/>
            <w:left w:val="none" w:sz="0" w:space="0" w:color="auto"/>
            <w:bottom w:val="none" w:sz="0" w:space="0" w:color="auto"/>
            <w:right w:val="none" w:sz="0" w:space="0" w:color="auto"/>
          </w:divBdr>
        </w:div>
        <w:div w:id="500507015">
          <w:marLeft w:val="0"/>
          <w:marRight w:val="0"/>
          <w:marTop w:val="0"/>
          <w:marBottom w:val="86"/>
          <w:divBdr>
            <w:top w:val="none" w:sz="0" w:space="0" w:color="auto"/>
            <w:left w:val="none" w:sz="0" w:space="0" w:color="auto"/>
            <w:bottom w:val="none" w:sz="0" w:space="0" w:color="auto"/>
            <w:right w:val="none" w:sz="0" w:space="0" w:color="auto"/>
          </w:divBdr>
        </w:div>
        <w:div w:id="546645491">
          <w:marLeft w:val="648"/>
          <w:marRight w:val="0"/>
          <w:marTop w:val="0"/>
          <w:marBottom w:val="86"/>
          <w:divBdr>
            <w:top w:val="none" w:sz="0" w:space="0" w:color="auto"/>
            <w:left w:val="none" w:sz="0" w:space="0" w:color="auto"/>
            <w:bottom w:val="none" w:sz="0" w:space="0" w:color="auto"/>
            <w:right w:val="none" w:sz="0" w:space="0" w:color="auto"/>
          </w:divBdr>
        </w:div>
        <w:div w:id="553808073">
          <w:marLeft w:val="1080"/>
          <w:marRight w:val="0"/>
          <w:marTop w:val="0"/>
          <w:marBottom w:val="86"/>
          <w:divBdr>
            <w:top w:val="none" w:sz="0" w:space="0" w:color="auto"/>
            <w:left w:val="none" w:sz="0" w:space="0" w:color="auto"/>
            <w:bottom w:val="none" w:sz="0" w:space="0" w:color="auto"/>
            <w:right w:val="none" w:sz="0" w:space="0" w:color="auto"/>
          </w:divBdr>
        </w:div>
        <w:div w:id="583612462">
          <w:marLeft w:val="648"/>
          <w:marRight w:val="0"/>
          <w:marTop w:val="0"/>
          <w:marBottom w:val="86"/>
          <w:divBdr>
            <w:top w:val="none" w:sz="0" w:space="0" w:color="auto"/>
            <w:left w:val="none" w:sz="0" w:space="0" w:color="auto"/>
            <w:bottom w:val="none" w:sz="0" w:space="0" w:color="auto"/>
            <w:right w:val="none" w:sz="0" w:space="0" w:color="auto"/>
          </w:divBdr>
        </w:div>
        <w:div w:id="612596004">
          <w:marLeft w:val="576"/>
          <w:marRight w:val="0"/>
          <w:marTop w:val="0"/>
          <w:marBottom w:val="86"/>
          <w:divBdr>
            <w:top w:val="none" w:sz="0" w:space="0" w:color="auto"/>
            <w:left w:val="none" w:sz="0" w:space="0" w:color="auto"/>
            <w:bottom w:val="none" w:sz="0" w:space="0" w:color="auto"/>
            <w:right w:val="none" w:sz="0" w:space="0" w:color="auto"/>
          </w:divBdr>
        </w:div>
        <w:div w:id="694159908">
          <w:marLeft w:val="648"/>
          <w:marRight w:val="0"/>
          <w:marTop w:val="0"/>
          <w:marBottom w:val="86"/>
          <w:divBdr>
            <w:top w:val="none" w:sz="0" w:space="0" w:color="auto"/>
            <w:left w:val="none" w:sz="0" w:space="0" w:color="auto"/>
            <w:bottom w:val="none" w:sz="0" w:space="0" w:color="auto"/>
            <w:right w:val="none" w:sz="0" w:space="0" w:color="auto"/>
          </w:divBdr>
        </w:div>
        <w:div w:id="774247544">
          <w:marLeft w:val="576"/>
          <w:marRight w:val="0"/>
          <w:marTop w:val="0"/>
          <w:marBottom w:val="86"/>
          <w:divBdr>
            <w:top w:val="none" w:sz="0" w:space="0" w:color="auto"/>
            <w:left w:val="none" w:sz="0" w:space="0" w:color="auto"/>
            <w:bottom w:val="none" w:sz="0" w:space="0" w:color="auto"/>
            <w:right w:val="none" w:sz="0" w:space="0" w:color="auto"/>
          </w:divBdr>
        </w:div>
        <w:div w:id="796682243">
          <w:marLeft w:val="648"/>
          <w:marRight w:val="0"/>
          <w:marTop w:val="0"/>
          <w:marBottom w:val="86"/>
          <w:divBdr>
            <w:top w:val="none" w:sz="0" w:space="0" w:color="auto"/>
            <w:left w:val="none" w:sz="0" w:space="0" w:color="auto"/>
            <w:bottom w:val="none" w:sz="0" w:space="0" w:color="auto"/>
            <w:right w:val="none" w:sz="0" w:space="0" w:color="auto"/>
          </w:divBdr>
        </w:div>
        <w:div w:id="1002858451">
          <w:marLeft w:val="1080"/>
          <w:marRight w:val="0"/>
          <w:marTop w:val="0"/>
          <w:marBottom w:val="86"/>
          <w:divBdr>
            <w:top w:val="none" w:sz="0" w:space="0" w:color="auto"/>
            <w:left w:val="none" w:sz="0" w:space="0" w:color="auto"/>
            <w:bottom w:val="none" w:sz="0" w:space="0" w:color="auto"/>
            <w:right w:val="none" w:sz="0" w:space="0" w:color="auto"/>
          </w:divBdr>
        </w:div>
        <w:div w:id="1037776793">
          <w:marLeft w:val="0"/>
          <w:marRight w:val="0"/>
          <w:marTop w:val="0"/>
          <w:marBottom w:val="86"/>
          <w:divBdr>
            <w:top w:val="none" w:sz="0" w:space="0" w:color="auto"/>
            <w:left w:val="none" w:sz="0" w:space="0" w:color="auto"/>
            <w:bottom w:val="none" w:sz="0" w:space="0" w:color="auto"/>
            <w:right w:val="none" w:sz="0" w:space="0" w:color="auto"/>
          </w:divBdr>
        </w:div>
        <w:div w:id="1200623924">
          <w:marLeft w:val="648"/>
          <w:marRight w:val="0"/>
          <w:marTop w:val="0"/>
          <w:marBottom w:val="86"/>
          <w:divBdr>
            <w:top w:val="none" w:sz="0" w:space="0" w:color="auto"/>
            <w:left w:val="none" w:sz="0" w:space="0" w:color="auto"/>
            <w:bottom w:val="none" w:sz="0" w:space="0" w:color="auto"/>
            <w:right w:val="none" w:sz="0" w:space="0" w:color="auto"/>
          </w:divBdr>
        </w:div>
        <w:div w:id="1276211306">
          <w:marLeft w:val="648"/>
          <w:marRight w:val="0"/>
          <w:marTop w:val="0"/>
          <w:marBottom w:val="86"/>
          <w:divBdr>
            <w:top w:val="none" w:sz="0" w:space="0" w:color="auto"/>
            <w:left w:val="none" w:sz="0" w:space="0" w:color="auto"/>
            <w:bottom w:val="none" w:sz="0" w:space="0" w:color="auto"/>
            <w:right w:val="none" w:sz="0" w:space="0" w:color="auto"/>
          </w:divBdr>
        </w:div>
        <w:div w:id="1325013264">
          <w:marLeft w:val="576"/>
          <w:marRight w:val="0"/>
          <w:marTop w:val="0"/>
          <w:marBottom w:val="86"/>
          <w:divBdr>
            <w:top w:val="none" w:sz="0" w:space="0" w:color="auto"/>
            <w:left w:val="none" w:sz="0" w:space="0" w:color="auto"/>
            <w:bottom w:val="none" w:sz="0" w:space="0" w:color="auto"/>
            <w:right w:val="none" w:sz="0" w:space="0" w:color="auto"/>
          </w:divBdr>
        </w:div>
        <w:div w:id="1372069514">
          <w:marLeft w:val="0"/>
          <w:marRight w:val="0"/>
          <w:marTop w:val="0"/>
          <w:marBottom w:val="86"/>
          <w:divBdr>
            <w:top w:val="none" w:sz="0" w:space="0" w:color="auto"/>
            <w:left w:val="none" w:sz="0" w:space="0" w:color="auto"/>
            <w:bottom w:val="none" w:sz="0" w:space="0" w:color="auto"/>
            <w:right w:val="none" w:sz="0" w:space="0" w:color="auto"/>
          </w:divBdr>
        </w:div>
        <w:div w:id="1397556996">
          <w:marLeft w:val="1080"/>
          <w:marRight w:val="0"/>
          <w:marTop w:val="0"/>
          <w:marBottom w:val="86"/>
          <w:divBdr>
            <w:top w:val="none" w:sz="0" w:space="0" w:color="auto"/>
            <w:left w:val="none" w:sz="0" w:space="0" w:color="auto"/>
            <w:bottom w:val="none" w:sz="0" w:space="0" w:color="auto"/>
            <w:right w:val="none" w:sz="0" w:space="0" w:color="auto"/>
          </w:divBdr>
        </w:div>
        <w:div w:id="1436484410">
          <w:marLeft w:val="576"/>
          <w:marRight w:val="0"/>
          <w:marTop w:val="0"/>
          <w:marBottom w:val="86"/>
          <w:divBdr>
            <w:top w:val="none" w:sz="0" w:space="0" w:color="auto"/>
            <w:left w:val="none" w:sz="0" w:space="0" w:color="auto"/>
            <w:bottom w:val="none" w:sz="0" w:space="0" w:color="auto"/>
            <w:right w:val="none" w:sz="0" w:space="0" w:color="auto"/>
          </w:divBdr>
        </w:div>
        <w:div w:id="1526286081">
          <w:marLeft w:val="1080"/>
          <w:marRight w:val="0"/>
          <w:marTop w:val="0"/>
          <w:marBottom w:val="86"/>
          <w:divBdr>
            <w:top w:val="none" w:sz="0" w:space="0" w:color="auto"/>
            <w:left w:val="none" w:sz="0" w:space="0" w:color="auto"/>
            <w:bottom w:val="none" w:sz="0" w:space="0" w:color="auto"/>
            <w:right w:val="none" w:sz="0" w:space="0" w:color="auto"/>
          </w:divBdr>
        </w:div>
        <w:div w:id="1609005225">
          <w:marLeft w:val="576"/>
          <w:marRight w:val="0"/>
          <w:marTop w:val="0"/>
          <w:marBottom w:val="86"/>
          <w:divBdr>
            <w:top w:val="none" w:sz="0" w:space="0" w:color="auto"/>
            <w:left w:val="none" w:sz="0" w:space="0" w:color="auto"/>
            <w:bottom w:val="none" w:sz="0" w:space="0" w:color="auto"/>
            <w:right w:val="none" w:sz="0" w:space="0" w:color="auto"/>
          </w:divBdr>
        </w:div>
        <w:div w:id="1709842454">
          <w:marLeft w:val="1080"/>
          <w:marRight w:val="0"/>
          <w:marTop w:val="0"/>
          <w:marBottom w:val="86"/>
          <w:divBdr>
            <w:top w:val="none" w:sz="0" w:space="0" w:color="auto"/>
            <w:left w:val="none" w:sz="0" w:space="0" w:color="auto"/>
            <w:bottom w:val="none" w:sz="0" w:space="0" w:color="auto"/>
            <w:right w:val="none" w:sz="0" w:space="0" w:color="auto"/>
          </w:divBdr>
        </w:div>
        <w:div w:id="1813911784">
          <w:marLeft w:val="648"/>
          <w:marRight w:val="0"/>
          <w:marTop w:val="0"/>
          <w:marBottom w:val="86"/>
          <w:divBdr>
            <w:top w:val="none" w:sz="0" w:space="0" w:color="auto"/>
            <w:left w:val="none" w:sz="0" w:space="0" w:color="auto"/>
            <w:bottom w:val="none" w:sz="0" w:space="0" w:color="auto"/>
            <w:right w:val="none" w:sz="0" w:space="0" w:color="auto"/>
          </w:divBdr>
        </w:div>
        <w:div w:id="1852643499">
          <w:marLeft w:val="1080"/>
          <w:marRight w:val="0"/>
          <w:marTop w:val="0"/>
          <w:marBottom w:val="86"/>
          <w:divBdr>
            <w:top w:val="none" w:sz="0" w:space="0" w:color="auto"/>
            <w:left w:val="none" w:sz="0" w:space="0" w:color="auto"/>
            <w:bottom w:val="none" w:sz="0" w:space="0" w:color="auto"/>
            <w:right w:val="none" w:sz="0" w:space="0" w:color="auto"/>
          </w:divBdr>
        </w:div>
        <w:div w:id="2045907216">
          <w:marLeft w:val="648"/>
          <w:marRight w:val="0"/>
          <w:marTop w:val="0"/>
          <w:marBottom w:val="86"/>
          <w:divBdr>
            <w:top w:val="none" w:sz="0" w:space="0" w:color="auto"/>
            <w:left w:val="none" w:sz="0" w:space="0" w:color="auto"/>
            <w:bottom w:val="none" w:sz="0" w:space="0" w:color="auto"/>
            <w:right w:val="none" w:sz="0" w:space="0" w:color="auto"/>
          </w:divBdr>
        </w:div>
        <w:div w:id="2062442178">
          <w:marLeft w:val="576"/>
          <w:marRight w:val="0"/>
          <w:marTop w:val="0"/>
          <w:marBottom w:val="86"/>
          <w:divBdr>
            <w:top w:val="none" w:sz="0" w:space="0" w:color="auto"/>
            <w:left w:val="none" w:sz="0" w:space="0" w:color="auto"/>
            <w:bottom w:val="none" w:sz="0" w:space="0" w:color="auto"/>
            <w:right w:val="none" w:sz="0" w:space="0" w:color="auto"/>
          </w:divBdr>
        </w:div>
      </w:divsChild>
    </w:div>
    <w:div w:id="1907689077">
      <w:bodyDiv w:val="1"/>
      <w:marLeft w:val="0"/>
      <w:marRight w:val="0"/>
      <w:marTop w:val="0"/>
      <w:marBottom w:val="0"/>
      <w:divBdr>
        <w:top w:val="none" w:sz="0" w:space="0" w:color="auto"/>
        <w:left w:val="none" w:sz="0" w:space="0" w:color="auto"/>
        <w:bottom w:val="none" w:sz="0" w:space="0" w:color="auto"/>
        <w:right w:val="none" w:sz="0" w:space="0" w:color="auto"/>
      </w:divBdr>
    </w:div>
    <w:div w:id="1958750700">
      <w:bodyDiv w:val="1"/>
      <w:marLeft w:val="0"/>
      <w:marRight w:val="0"/>
      <w:marTop w:val="0"/>
      <w:marBottom w:val="0"/>
      <w:divBdr>
        <w:top w:val="none" w:sz="0" w:space="0" w:color="auto"/>
        <w:left w:val="none" w:sz="0" w:space="0" w:color="auto"/>
        <w:bottom w:val="none" w:sz="0" w:space="0" w:color="auto"/>
        <w:right w:val="none" w:sz="0" w:space="0" w:color="auto"/>
      </w:divBdr>
    </w:div>
    <w:div w:id="2043095898">
      <w:bodyDiv w:val="1"/>
      <w:marLeft w:val="0"/>
      <w:marRight w:val="0"/>
      <w:marTop w:val="0"/>
      <w:marBottom w:val="0"/>
      <w:divBdr>
        <w:top w:val="none" w:sz="0" w:space="0" w:color="auto"/>
        <w:left w:val="none" w:sz="0" w:space="0" w:color="auto"/>
        <w:bottom w:val="none" w:sz="0" w:space="0" w:color="auto"/>
        <w:right w:val="none" w:sz="0" w:space="0" w:color="auto"/>
      </w:divBdr>
      <w:divsChild>
        <w:div w:id="497775090">
          <w:marLeft w:val="0"/>
          <w:marRight w:val="0"/>
          <w:marTop w:val="240"/>
          <w:marBottom w:val="0"/>
          <w:divBdr>
            <w:top w:val="none" w:sz="0" w:space="0" w:color="auto"/>
            <w:left w:val="none" w:sz="0" w:space="0" w:color="auto"/>
            <w:bottom w:val="none" w:sz="0" w:space="0" w:color="auto"/>
            <w:right w:val="none" w:sz="0" w:space="0" w:color="auto"/>
          </w:divBdr>
          <w:divsChild>
            <w:div w:id="229779561">
              <w:marLeft w:val="0"/>
              <w:marRight w:val="0"/>
              <w:marTop w:val="0"/>
              <w:marBottom w:val="0"/>
              <w:divBdr>
                <w:top w:val="none" w:sz="0" w:space="0" w:color="auto"/>
                <w:left w:val="none" w:sz="0" w:space="0" w:color="auto"/>
                <w:bottom w:val="none" w:sz="0" w:space="0" w:color="auto"/>
                <w:right w:val="none" w:sz="0" w:space="0" w:color="auto"/>
              </w:divBdr>
              <w:divsChild>
                <w:div w:id="16159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9744">
      <w:bodyDiv w:val="1"/>
      <w:marLeft w:val="0"/>
      <w:marRight w:val="0"/>
      <w:marTop w:val="0"/>
      <w:marBottom w:val="0"/>
      <w:divBdr>
        <w:top w:val="none" w:sz="0" w:space="0" w:color="auto"/>
        <w:left w:val="none" w:sz="0" w:space="0" w:color="auto"/>
        <w:bottom w:val="none" w:sz="0" w:space="0" w:color="auto"/>
        <w:right w:val="none" w:sz="0" w:space="0" w:color="auto"/>
      </w:divBdr>
    </w:div>
    <w:div w:id="2080592156">
      <w:bodyDiv w:val="1"/>
      <w:marLeft w:val="0"/>
      <w:marRight w:val="0"/>
      <w:marTop w:val="0"/>
      <w:marBottom w:val="0"/>
      <w:divBdr>
        <w:top w:val="none" w:sz="0" w:space="0" w:color="auto"/>
        <w:left w:val="none" w:sz="0" w:space="0" w:color="auto"/>
        <w:bottom w:val="none" w:sz="0" w:space="0" w:color="auto"/>
        <w:right w:val="none" w:sz="0" w:space="0" w:color="auto"/>
      </w:divBdr>
    </w:div>
    <w:div w:id="2116319795">
      <w:bodyDiv w:val="1"/>
      <w:marLeft w:val="0"/>
      <w:marRight w:val="0"/>
      <w:marTop w:val="0"/>
      <w:marBottom w:val="0"/>
      <w:divBdr>
        <w:top w:val="none" w:sz="0" w:space="0" w:color="auto"/>
        <w:left w:val="none" w:sz="0" w:space="0" w:color="auto"/>
        <w:bottom w:val="none" w:sz="0" w:space="0" w:color="auto"/>
        <w:right w:val="none" w:sz="0" w:space="0" w:color="auto"/>
      </w:divBdr>
      <w:divsChild>
        <w:div w:id="1507288992">
          <w:marLeft w:val="0"/>
          <w:marRight w:val="0"/>
          <w:marTop w:val="240"/>
          <w:marBottom w:val="0"/>
          <w:divBdr>
            <w:top w:val="none" w:sz="0" w:space="0" w:color="auto"/>
            <w:left w:val="none" w:sz="0" w:space="0" w:color="auto"/>
            <w:bottom w:val="none" w:sz="0" w:space="0" w:color="auto"/>
            <w:right w:val="none" w:sz="0" w:space="0" w:color="auto"/>
          </w:divBdr>
          <w:divsChild>
            <w:div w:id="647973788">
              <w:marLeft w:val="0"/>
              <w:marRight w:val="0"/>
              <w:marTop w:val="0"/>
              <w:marBottom w:val="0"/>
              <w:divBdr>
                <w:top w:val="none" w:sz="0" w:space="0" w:color="auto"/>
                <w:left w:val="none" w:sz="0" w:space="0" w:color="auto"/>
                <w:bottom w:val="none" w:sz="0" w:space="0" w:color="auto"/>
                <w:right w:val="none" w:sz="0" w:space="0" w:color="auto"/>
              </w:divBdr>
              <w:divsChild>
                <w:div w:id="596642627">
                  <w:marLeft w:val="0"/>
                  <w:marRight w:val="0"/>
                  <w:marTop w:val="0"/>
                  <w:marBottom w:val="0"/>
                  <w:divBdr>
                    <w:top w:val="none" w:sz="0" w:space="0" w:color="auto"/>
                    <w:left w:val="none" w:sz="0" w:space="0" w:color="auto"/>
                    <w:bottom w:val="none" w:sz="0" w:space="0" w:color="auto"/>
                    <w:right w:val="none" w:sz="0" w:space="0" w:color="auto"/>
                  </w:divBdr>
                  <w:divsChild>
                    <w:div w:id="196962505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sert.ift.org.mx/tarifasVE/publish/pdfs/informes/71086_4106_230626200547.pdf" TargetMode="External"/><Relationship Id="rId2" Type="http://schemas.openxmlformats.org/officeDocument/2006/relationships/hyperlink" Target="https://sert.ift.org.mx/tarifasVE/publish/pdfs/informes/71636_6518_230711192018.pdf" TargetMode="External"/><Relationship Id="rId1" Type="http://schemas.openxmlformats.org/officeDocument/2006/relationships/hyperlink" Target="https://www.ift.org.mx/sites/default/files/contenidogeneral/estadisticas/omvs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5AAE-9C0B-454D-8FD5-042E4325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9</Pages>
  <Words>4856</Words>
  <Characters>26709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31502</CharactersWithSpaces>
  <SharedDoc>false</SharedDoc>
  <HLinks>
    <vt:vector size="18" baseType="variant">
      <vt:variant>
        <vt:i4>2031707</vt:i4>
      </vt:variant>
      <vt:variant>
        <vt:i4>6</vt:i4>
      </vt:variant>
      <vt:variant>
        <vt:i4>0</vt:i4>
      </vt:variant>
      <vt:variant>
        <vt:i4>5</vt:i4>
      </vt:variant>
      <vt:variant>
        <vt:lpwstr>https://sert.ift.org.mx/tarifasVE/publish/pdfs/informes/71086_4106_230626200547.pdf</vt:lpwstr>
      </vt:variant>
      <vt:variant>
        <vt:lpwstr/>
      </vt:variant>
      <vt:variant>
        <vt:i4>1638491</vt:i4>
      </vt:variant>
      <vt:variant>
        <vt:i4>3</vt:i4>
      </vt:variant>
      <vt:variant>
        <vt:i4>0</vt:i4>
      </vt:variant>
      <vt:variant>
        <vt:i4>5</vt:i4>
      </vt:variant>
      <vt:variant>
        <vt:lpwstr>https://sert.ift.org.mx/tarifasVE/publish/pdfs/informes/71636_6518_230711192018.pdf</vt:lpwstr>
      </vt:variant>
      <vt:variant>
        <vt:lpwstr/>
      </vt:variant>
      <vt:variant>
        <vt:i4>4587546</vt:i4>
      </vt:variant>
      <vt:variant>
        <vt:i4>0</vt:i4>
      </vt:variant>
      <vt:variant>
        <vt:i4>0</vt:i4>
      </vt:variant>
      <vt:variant>
        <vt:i4>5</vt:i4>
      </vt:variant>
      <vt:variant>
        <vt:lpwstr>https://www.ift.org.mx/sites/default/files/contenidogeneral/estadisticas/omvs2023.pdf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549</cp:revision>
  <cp:lastPrinted>2024-08-08T02:33:00Z</cp:lastPrinted>
  <dcterms:created xsi:type="dcterms:W3CDTF">2024-08-08T02:32:00Z</dcterms:created>
  <dcterms:modified xsi:type="dcterms:W3CDTF">2025-01-15T16:22:00Z</dcterms:modified>
</cp:coreProperties>
</file>