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EF45" w14:textId="66A71092" w:rsidR="008A5A92" w:rsidRDefault="00BC09A3" w:rsidP="00650F7D">
      <w:pPr>
        <w:spacing w:after="0" w:line="276" w:lineRule="auto"/>
        <w:ind w:right="0"/>
        <w:rPr>
          <w:rFonts w:ascii="ITC Avant Garde" w:hAnsi="ITC Avant Garde" w:cs="Arial"/>
          <w:b/>
        </w:rPr>
      </w:pPr>
      <w:r w:rsidRPr="005B36F9">
        <w:rPr>
          <w:rFonts w:ascii="ITC Avant Garde" w:hAnsi="ITC Avant Garde"/>
          <w:b/>
        </w:rPr>
        <w:t>RESPUESTAS GENERALES QUE BRINDA EL INSTITUTO FEDERAL DE TELECOMUNICACIONES A LAS MANIFESTACIONES, OPINIONES, COMENTARIOS Y PROPUESTAS CONCRETAS, PRESENTADAS DURANTE LA CONSULTA PÚBLICA DE</w:t>
      </w:r>
      <w:r w:rsidR="008A5A92">
        <w:rPr>
          <w:rFonts w:ascii="ITC Avant Garde" w:hAnsi="ITC Avant Garde"/>
          <w:b/>
        </w:rPr>
        <w:t>L</w:t>
      </w:r>
      <w:r w:rsidR="00FF0299" w:rsidRPr="005E5201">
        <w:rPr>
          <w:rFonts w:ascii="ITC Avant Garde" w:hAnsi="ITC Avant Garde"/>
        </w:rPr>
        <w:t xml:space="preserve"> “</w:t>
      </w:r>
      <w:r w:rsidR="00676118" w:rsidRPr="00676118">
        <w:rPr>
          <w:rFonts w:ascii="ITC Avant Garde" w:hAnsi="ITC Avant Garde" w:cs="Arial"/>
          <w:b/>
        </w:rPr>
        <w:t>ANTEPROYECTO QUE MODIFICA LOS LINEAMIENTOS PARA LA COMERCIALIZACIÓN DE SERVICIOS MÓVILES POR PARTE DE OPERADORES MÓVILES VIRTUALES</w:t>
      </w:r>
      <w:r w:rsidR="008A5A92">
        <w:rPr>
          <w:rFonts w:ascii="ITC Avant Garde" w:hAnsi="ITC Avant Garde" w:cs="Arial"/>
          <w:b/>
        </w:rPr>
        <w:t>”</w:t>
      </w:r>
      <w:r w:rsidR="008A5A92" w:rsidRPr="00443C3D">
        <w:rPr>
          <w:rFonts w:ascii="ITC Avant Garde" w:hAnsi="ITC Avant Garde" w:cs="Arial"/>
          <w:b/>
        </w:rPr>
        <w:t>.</w:t>
      </w:r>
    </w:p>
    <w:p w14:paraId="55B93D76" w14:textId="77777777" w:rsidR="00650F7D" w:rsidRDefault="00650F7D" w:rsidP="00650F7D">
      <w:pPr>
        <w:spacing w:after="0" w:line="276" w:lineRule="auto"/>
        <w:ind w:left="-6" w:hanging="11"/>
        <w:rPr>
          <w:rFonts w:ascii="ITC Avant Garde" w:hAnsi="ITC Avant Garde" w:cs="ITC Avant Garde"/>
          <w:b/>
        </w:rPr>
      </w:pPr>
    </w:p>
    <w:p w14:paraId="00690CFA" w14:textId="3FFA7CEA" w:rsidR="004D77CC" w:rsidRPr="008911C9" w:rsidRDefault="004D77CC" w:rsidP="00650F7D">
      <w:pPr>
        <w:spacing w:after="0" w:line="276" w:lineRule="auto"/>
        <w:ind w:left="-6" w:hanging="11"/>
        <w:rPr>
          <w:rFonts w:ascii="ITC Avant Garde" w:hAnsi="ITC Avant Garde" w:cs="ITC Avant Garde"/>
          <w:bCs/>
        </w:rPr>
      </w:pPr>
      <w:r w:rsidRPr="00136D09">
        <w:rPr>
          <w:rFonts w:ascii="ITC Avant Garde" w:hAnsi="ITC Avant Garde" w:cs="ITC Avant Garde"/>
          <w:b/>
        </w:rPr>
        <w:t xml:space="preserve">Fecha de Elaboración del Informe de Consideraciones sobre los comentarios, opiniones y aportaciones recibidos </w:t>
      </w:r>
      <w:r w:rsidR="00261B06" w:rsidRPr="00136D09">
        <w:rPr>
          <w:rFonts w:ascii="ITC Avant Garde" w:hAnsi="ITC Avant Garde" w:cs="ITC Avant Garde"/>
          <w:b/>
        </w:rPr>
        <w:t>con relación a</w:t>
      </w:r>
      <w:r w:rsidRPr="00136D09">
        <w:rPr>
          <w:rFonts w:ascii="ITC Avant Garde" w:hAnsi="ITC Avant Garde" w:cs="ITC Avant Garde"/>
          <w:b/>
        </w:rPr>
        <w:t xml:space="preserve"> la presente Consulta Pública: </w:t>
      </w:r>
      <w:r w:rsidR="009C7C48" w:rsidRPr="00136D09">
        <w:rPr>
          <w:rFonts w:ascii="ITC Avant Garde" w:hAnsi="ITC Avant Garde" w:cs="ITC Avant Garde"/>
          <w:bCs/>
        </w:rPr>
        <w:t xml:space="preserve">6 </w:t>
      </w:r>
      <w:r w:rsidR="00C84306" w:rsidRPr="00136D09">
        <w:rPr>
          <w:rFonts w:ascii="ITC Avant Garde" w:hAnsi="ITC Avant Garde" w:cs="ITC Avant Garde"/>
          <w:bCs/>
        </w:rPr>
        <w:t xml:space="preserve">de </w:t>
      </w:r>
      <w:r w:rsidR="009C7C48" w:rsidRPr="00136D09">
        <w:rPr>
          <w:rFonts w:ascii="ITC Avant Garde" w:hAnsi="ITC Avant Garde" w:cs="ITC Avant Garde"/>
          <w:bCs/>
        </w:rPr>
        <w:t xml:space="preserve">enero </w:t>
      </w:r>
      <w:r w:rsidR="00C84306" w:rsidRPr="00136D09">
        <w:rPr>
          <w:rFonts w:ascii="ITC Avant Garde" w:hAnsi="ITC Avant Garde" w:cs="ITC Avant Garde"/>
          <w:bCs/>
        </w:rPr>
        <w:t xml:space="preserve">de </w:t>
      </w:r>
      <w:r w:rsidR="003D268F" w:rsidRPr="00136D09">
        <w:rPr>
          <w:rFonts w:ascii="ITC Avant Garde" w:hAnsi="ITC Avant Garde" w:cs="ITC Avant Garde"/>
          <w:bCs/>
        </w:rPr>
        <w:t>20</w:t>
      </w:r>
      <w:r w:rsidR="009C7C48" w:rsidRPr="00136D09">
        <w:rPr>
          <w:rFonts w:ascii="ITC Avant Garde" w:hAnsi="ITC Avant Garde" w:cs="ITC Avant Garde"/>
          <w:bCs/>
        </w:rPr>
        <w:t>24</w:t>
      </w:r>
      <w:r w:rsidRPr="00136D09">
        <w:rPr>
          <w:rFonts w:ascii="ITC Avant Garde" w:hAnsi="ITC Avant Garde" w:cs="ITC Avant Garde"/>
          <w:bCs/>
        </w:rPr>
        <w:t>.</w:t>
      </w:r>
    </w:p>
    <w:p w14:paraId="6F16A288" w14:textId="0104178E" w:rsidR="007E5187" w:rsidRDefault="007E5187" w:rsidP="00650F7D">
      <w:pPr>
        <w:spacing w:after="0" w:line="276" w:lineRule="auto"/>
        <w:ind w:left="-6" w:hanging="11"/>
        <w:rPr>
          <w:rFonts w:ascii="ITC Avant Garde" w:hAnsi="ITC Avant Garde" w:cs="ITC Avant Garde"/>
        </w:rPr>
      </w:pPr>
    </w:p>
    <w:p w14:paraId="2DB7021D" w14:textId="77777777" w:rsidR="007E5187" w:rsidRDefault="007E5187" w:rsidP="00650F7D">
      <w:pPr>
        <w:spacing w:after="0" w:line="276" w:lineRule="auto"/>
        <w:ind w:left="-6" w:hanging="11"/>
        <w:rPr>
          <w:rFonts w:ascii="ITC Avant Garde" w:hAnsi="ITC Avant Garde" w:cs="ITC Avant Garde"/>
          <w:b/>
        </w:rPr>
      </w:pPr>
      <w:r>
        <w:rPr>
          <w:rFonts w:ascii="ITC Avant Garde" w:hAnsi="ITC Avant Garde" w:cs="ITC Avant Garde"/>
          <w:b/>
        </w:rPr>
        <w:t>Descripción de la Consulta Pública:</w:t>
      </w:r>
    </w:p>
    <w:p w14:paraId="60D8DBBD" w14:textId="1BFE26CD" w:rsidR="007E5187" w:rsidRDefault="007E5187" w:rsidP="00650F7D">
      <w:pPr>
        <w:spacing w:after="0" w:line="276" w:lineRule="auto"/>
        <w:ind w:left="-6" w:right="0" w:hanging="11"/>
        <w:rPr>
          <w:rFonts w:ascii="ITC Avant Garde" w:eastAsiaTheme="minorHAnsi" w:hAnsi="ITC Avant Garde" w:cs="ITC Avant Garde"/>
          <w:lang w:eastAsia="en-US"/>
        </w:rPr>
      </w:pPr>
      <w:r w:rsidRPr="002A50FC">
        <w:rPr>
          <w:rFonts w:ascii="ITC Avant Garde" w:hAnsi="ITC Avant Garde"/>
        </w:rPr>
        <w:t xml:space="preserve">El Instituto Federal de Telecomunicaciones (en lo sucesivo, “Instituto”) </w:t>
      </w:r>
      <w:r w:rsidRPr="00665D70">
        <w:rPr>
          <w:rFonts w:ascii="ITC Avant Garde" w:eastAsiaTheme="minorHAnsi" w:hAnsi="ITC Avant Garde" w:cs="ITC Avant Garde"/>
          <w:lang w:eastAsia="en-US"/>
        </w:rPr>
        <w:t>recibió los comentarios, opiniones y aportaciones que se tuvieron c</w:t>
      </w:r>
      <w:r>
        <w:rPr>
          <w:rFonts w:ascii="ITC Avant Garde" w:eastAsiaTheme="minorHAnsi" w:hAnsi="ITC Avant Garde" w:cs="ITC Avant Garde"/>
          <w:lang w:eastAsia="en-US"/>
        </w:rPr>
        <w:t xml:space="preserve">on relación al contenido del </w:t>
      </w:r>
      <w:r w:rsidRPr="007E5187">
        <w:rPr>
          <w:rFonts w:ascii="ITC Avant Garde" w:eastAsiaTheme="minorHAnsi" w:hAnsi="ITC Avant Garde" w:cs="ITC Avant Garde"/>
          <w:b/>
          <w:lang w:eastAsia="en-US"/>
        </w:rPr>
        <w:t>“</w:t>
      </w:r>
      <w:r w:rsidR="001A0C2E" w:rsidRPr="001A0C2E">
        <w:rPr>
          <w:rFonts w:ascii="ITC Avant Garde" w:eastAsiaTheme="minorHAnsi" w:hAnsi="ITC Avant Garde" w:cs="ITC Avant Garde"/>
          <w:b/>
          <w:bCs/>
          <w:i/>
          <w:lang w:eastAsia="en-US"/>
        </w:rPr>
        <w:t>Anteproyecto que modifica los Lineamientos para la comercialización de servicios móviles por parte de operadores móviles virtuales</w:t>
      </w:r>
      <w:r w:rsidRPr="007E5187">
        <w:rPr>
          <w:rFonts w:ascii="ITC Avant Garde" w:eastAsiaTheme="minorHAnsi" w:hAnsi="ITC Avant Garde" w:cs="ITC Avant Garde"/>
          <w:b/>
          <w:bCs/>
          <w:i/>
          <w:lang w:eastAsia="en-US"/>
        </w:rPr>
        <w:t>”</w:t>
      </w:r>
      <w:r w:rsidR="006C1398">
        <w:rPr>
          <w:rFonts w:ascii="ITC Avant Garde" w:eastAsiaTheme="minorHAnsi" w:hAnsi="ITC Avant Garde" w:cs="ITC Avant Garde"/>
          <w:lang w:eastAsia="en-US"/>
        </w:rPr>
        <w:t xml:space="preserve"> (en lo sucesivo, </w:t>
      </w:r>
      <w:r w:rsidR="004A44D3">
        <w:rPr>
          <w:rFonts w:ascii="ITC Avant Garde" w:eastAsiaTheme="minorHAnsi" w:hAnsi="ITC Avant Garde" w:cs="ITC Avant Garde"/>
          <w:lang w:eastAsia="en-US"/>
        </w:rPr>
        <w:t>los</w:t>
      </w:r>
      <w:r w:rsidR="006C1398">
        <w:rPr>
          <w:rFonts w:ascii="ITC Avant Garde" w:eastAsiaTheme="minorHAnsi" w:hAnsi="ITC Avant Garde" w:cs="ITC Avant Garde"/>
          <w:lang w:eastAsia="en-US"/>
        </w:rPr>
        <w:t xml:space="preserve"> “</w:t>
      </w:r>
      <w:r w:rsidR="007D1D13">
        <w:rPr>
          <w:rFonts w:ascii="ITC Avant Garde" w:eastAsiaTheme="minorHAnsi" w:hAnsi="ITC Avant Garde" w:cs="ITC Avant Garde"/>
          <w:lang w:eastAsia="en-US"/>
        </w:rPr>
        <w:t xml:space="preserve">Modificación de Lineamientos </w:t>
      </w:r>
      <w:r w:rsidR="008F7700">
        <w:rPr>
          <w:rFonts w:ascii="ITC Avant Garde" w:eastAsiaTheme="minorHAnsi" w:hAnsi="ITC Avant Garde" w:cs="ITC Avant Garde"/>
          <w:lang w:eastAsia="en-US"/>
        </w:rPr>
        <w:t>OMV</w:t>
      </w:r>
      <w:r w:rsidRPr="00665D70">
        <w:rPr>
          <w:rFonts w:ascii="ITC Avant Garde" w:eastAsiaTheme="minorHAnsi" w:hAnsi="ITC Avant Garde" w:cs="ITC Avant Garde"/>
          <w:lang w:eastAsia="en-US"/>
        </w:rPr>
        <w:t xml:space="preserve">”) materia de la consulta pública de mérito, recibidas durante el periodo comprendido </w:t>
      </w:r>
      <w:r w:rsidRPr="00BB5136">
        <w:rPr>
          <w:rFonts w:ascii="ITC Avant Garde" w:eastAsiaTheme="minorHAnsi" w:hAnsi="ITC Avant Garde" w:cs="ITC Avant Garde"/>
          <w:lang w:eastAsia="en-US"/>
        </w:rPr>
        <w:t xml:space="preserve">del </w:t>
      </w:r>
      <w:r w:rsidR="00FA32FE">
        <w:rPr>
          <w:rFonts w:ascii="ITC Avant Garde" w:eastAsiaTheme="minorHAnsi" w:hAnsi="ITC Avant Garde" w:cs="ITC Avant Garde"/>
          <w:lang w:eastAsia="en-US"/>
        </w:rPr>
        <w:t>9 de agosto de 2024 al 20 de septiembre de 2024</w:t>
      </w:r>
      <w:r w:rsidRPr="00BB5136">
        <w:rPr>
          <w:rFonts w:ascii="ITC Avant Garde" w:eastAsiaTheme="minorHAnsi" w:hAnsi="ITC Avant Garde" w:cs="ITC Avant Garde"/>
          <w:lang w:eastAsia="en-US"/>
        </w:rPr>
        <w:t xml:space="preserve"> a</w:t>
      </w:r>
      <w:r w:rsidRPr="00665D70">
        <w:rPr>
          <w:rFonts w:ascii="ITC Avant Garde" w:eastAsiaTheme="minorHAnsi" w:hAnsi="ITC Avant Garde" w:cs="ITC Avant Garde"/>
          <w:lang w:eastAsia="en-US"/>
        </w:rPr>
        <w:t xml:space="preserve"> través de la dirección de correo electrónico </w:t>
      </w:r>
      <w:hyperlink r:id="rId8" w:history="1">
        <w:r w:rsidR="00F32507" w:rsidRPr="008817F5">
          <w:rPr>
            <w:rStyle w:val="Hipervnculo"/>
            <w:rFonts w:ascii="ITC Avant Garde" w:hAnsi="ITC Avant Garde"/>
          </w:rPr>
          <w:t>lineamientos.omv@ift.org.mx</w:t>
        </w:r>
      </w:hyperlink>
      <w:r w:rsidRPr="00665D70">
        <w:rPr>
          <w:rFonts w:ascii="ITC Avant Garde" w:eastAsiaTheme="minorHAnsi" w:hAnsi="ITC Avant Garde" w:cs="ITC Avant Garde"/>
          <w:lang w:eastAsia="en-US"/>
        </w:rPr>
        <w:t>,</w:t>
      </w:r>
      <w:r>
        <w:rPr>
          <w:rFonts w:ascii="ITC Avant Garde" w:eastAsiaTheme="minorHAnsi" w:hAnsi="ITC Avant Garde" w:cs="ITC Avant Garde"/>
          <w:lang w:eastAsia="en-US"/>
        </w:rPr>
        <w:t xml:space="preserve"> o </w:t>
      </w:r>
      <w:r w:rsidRPr="00665D70">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w:t>
      </w:r>
      <w:r>
        <w:rPr>
          <w:rFonts w:ascii="ITC Avant Garde" w:eastAsiaTheme="minorHAnsi" w:hAnsi="ITC Avant Garde" w:cs="ITC Avant Garde"/>
          <w:lang w:eastAsia="en-US"/>
        </w:rPr>
        <w:t>z, C.P. 03720, Ciudad de México.</w:t>
      </w:r>
    </w:p>
    <w:p w14:paraId="4F093382" w14:textId="59B99B55" w:rsidR="009704D0" w:rsidRDefault="009704D0" w:rsidP="00650F7D">
      <w:pPr>
        <w:spacing w:after="0" w:line="276" w:lineRule="auto"/>
        <w:ind w:left="-6" w:right="0" w:hanging="11"/>
        <w:rPr>
          <w:rFonts w:ascii="ITC Avant Garde" w:eastAsiaTheme="minorHAnsi" w:hAnsi="ITC Avant Garde" w:cs="ITC Avant Garde"/>
          <w:lang w:eastAsia="en-US"/>
        </w:rPr>
      </w:pPr>
    </w:p>
    <w:p w14:paraId="4DF2462A" w14:textId="77777777" w:rsidR="009704D0" w:rsidRDefault="009704D0" w:rsidP="00650F7D">
      <w:pPr>
        <w:spacing w:after="0" w:line="276" w:lineRule="auto"/>
        <w:ind w:left="-5"/>
        <w:rPr>
          <w:rFonts w:ascii="ITC Avant Garde" w:hAnsi="ITC Avant Garde" w:cs="ITC Avant Garde"/>
          <w:b/>
        </w:rPr>
      </w:pPr>
      <w:r w:rsidRPr="003B63F4">
        <w:rPr>
          <w:rFonts w:ascii="ITC Avant Garde" w:hAnsi="ITC Avant Garde" w:cs="ITC Avant Garde"/>
          <w:b/>
        </w:rPr>
        <w:t>Objetivo</w:t>
      </w:r>
      <w:r>
        <w:rPr>
          <w:rFonts w:ascii="ITC Avant Garde" w:hAnsi="ITC Avant Garde" w:cs="ITC Avant Garde"/>
          <w:b/>
        </w:rPr>
        <w:t xml:space="preserve"> de la Consulta Pública:</w:t>
      </w:r>
    </w:p>
    <w:p w14:paraId="14F0E62B" w14:textId="45C601F5" w:rsidR="009704D0" w:rsidRDefault="009704D0" w:rsidP="00650F7D">
      <w:pPr>
        <w:spacing w:after="0" w:line="276" w:lineRule="auto"/>
        <w:ind w:left="-5" w:right="0"/>
      </w:pPr>
      <w:r w:rsidRPr="002A50FC">
        <w:rPr>
          <w:rFonts w:ascii="ITC Avant Garde" w:hAnsi="ITC Avant Garde"/>
        </w:rPr>
        <w:t>El Insti</w:t>
      </w:r>
      <w:r>
        <w:rPr>
          <w:rFonts w:ascii="ITC Avant Garde" w:hAnsi="ITC Avant Garde"/>
        </w:rPr>
        <w:t>tuto</w:t>
      </w:r>
      <w:r w:rsidRPr="002A50FC">
        <w:rPr>
          <w:rFonts w:ascii="ITC Avant Garde" w:hAnsi="ITC Avant Garde"/>
        </w:rPr>
        <w:t xml:space="preserve"> convencido de la importancia y relevancia de transparentar su proceso de elaboración de nuevas regulaciones, a través</w:t>
      </w:r>
      <w:r>
        <w:rPr>
          <w:rFonts w:ascii="ITC Avant Garde" w:hAnsi="ITC Avant Garde"/>
        </w:rPr>
        <w:t xml:space="preserve"> de la consulta pública recibió</w:t>
      </w:r>
      <w:r w:rsidRPr="002A50FC">
        <w:rPr>
          <w:rFonts w:ascii="ITC Avant Garde" w:hAnsi="ITC Avant Garde"/>
        </w:rPr>
        <w:t xml:space="preserve"> </w:t>
      </w:r>
      <w:r>
        <w:rPr>
          <w:rFonts w:ascii="ITC Avant Garde" w:hAnsi="ITC Avant Garde"/>
        </w:rPr>
        <w:t xml:space="preserve">los </w:t>
      </w:r>
      <w:r w:rsidRPr="002A50FC">
        <w:rPr>
          <w:rFonts w:ascii="ITC Avant Garde" w:hAnsi="ITC Avant Garde"/>
        </w:rPr>
        <w:t>comentarios, opiniones y aportaciones de cualquie</w:t>
      </w:r>
      <w:r w:rsidR="001071AD">
        <w:rPr>
          <w:rFonts w:ascii="ITC Avant Garde" w:hAnsi="ITC Avant Garde"/>
        </w:rPr>
        <w:t xml:space="preserve">r interesado a propósito </w:t>
      </w:r>
      <w:r w:rsidR="001B74DF" w:rsidRPr="001B74DF">
        <w:rPr>
          <w:rFonts w:ascii="ITC Avant Garde" w:hAnsi="ITC Avant Garde"/>
        </w:rPr>
        <w:t>Anteproyecto que modifica los Lineamientos para la comercialización de servicios móviles por parte de operadores móviles virtuales</w:t>
      </w:r>
      <w:r w:rsidRPr="002A50FC">
        <w:rPr>
          <w:rFonts w:ascii="ITC Avant Garde" w:hAnsi="ITC Avant Garde"/>
        </w:rPr>
        <w:t xml:space="preserve">, las cuales se proponen con base en lo establecido en los artículos 1, 2, 7, 15, </w:t>
      </w:r>
      <w:r w:rsidR="00262C84">
        <w:rPr>
          <w:rFonts w:ascii="ITC Avant Garde" w:hAnsi="ITC Avant Garde"/>
        </w:rPr>
        <w:t>fracciones I,</w:t>
      </w:r>
      <w:r w:rsidRPr="002A50FC">
        <w:rPr>
          <w:rFonts w:ascii="ITC Avant Garde" w:hAnsi="ITC Avant Garde"/>
        </w:rPr>
        <w:t xml:space="preserve"> X</w:t>
      </w:r>
      <w:r w:rsidR="00BF5428">
        <w:rPr>
          <w:rFonts w:ascii="ITC Avant Garde" w:hAnsi="ITC Avant Garde"/>
        </w:rPr>
        <w:t>L</w:t>
      </w:r>
      <w:r w:rsidR="00A356FC">
        <w:rPr>
          <w:rFonts w:ascii="ITC Avant Garde" w:hAnsi="ITC Avant Garde"/>
        </w:rPr>
        <w:t>, LVI</w:t>
      </w:r>
      <w:r w:rsidR="00BF5428">
        <w:rPr>
          <w:rFonts w:ascii="ITC Avant Garde" w:hAnsi="ITC Avant Garde"/>
        </w:rPr>
        <w:t xml:space="preserve"> y LXIII, 51 y </w:t>
      </w:r>
      <w:r w:rsidR="00A356FC" w:rsidRPr="00A356FC">
        <w:rPr>
          <w:rFonts w:ascii="ITC Avant Garde" w:hAnsi="ITC Avant Garde"/>
        </w:rPr>
        <w:t>191, fracciones XI y XII, 298, inciso C), fracción IV</w:t>
      </w:r>
      <w:r w:rsidR="001144BF">
        <w:rPr>
          <w:rFonts w:ascii="ITC Avant Garde" w:hAnsi="ITC Avant Garde"/>
        </w:rPr>
        <w:t xml:space="preserve"> </w:t>
      </w:r>
      <w:r w:rsidRPr="002A50FC">
        <w:rPr>
          <w:rFonts w:ascii="ITC Avant Garde" w:hAnsi="ITC Avant Garde"/>
        </w:rPr>
        <w:t>de la Ley Federal de Telecomunicaciones y Radiodifusión</w:t>
      </w:r>
      <w:r w:rsidR="00BF5428">
        <w:rPr>
          <w:rFonts w:ascii="ITC Avant Garde" w:hAnsi="ITC Avant Garde"/>
        </w:rPr>
        <w:t xml:space="preserve"> (en lo sucesivo, la “LFTR”)</w:t>
      </w:r>
      <w:r w:rsidRPr="002A50FC">
        <w:rPr>
          <w:rFonts w:ascii="ITC Avant Garde" w:hAnsi="ITC Avant Garde"/>
        </w:rPr>
        <w:t xml:space="preserve">, </w:t>
      </w:r>
      <w:r w:rsidR="00A356FC" w:rsidRPr="00A356FC">
        <w:rPr>
          <w:rFonts w:ascii="ITC Avant Garde" w:hAnsi="ITC Avant Garde"/>
        </w:rPr>
        <w:t>1, 4, fracción I, 6, fracciones XXV y XXXVIII, del Estatuto Orgánico del Instituto Federal de Telecomunicaciones; así como en los Lineamientos Tercero, fracción II, Cuarto, Quinto, Séptimo, Octavo, Noveno, Décimo Primero y Vigésimo Primero de los Lineamientos de Consulta Pública y Análisis de Impacto Regulatorio del Instituto Federal de Telecomunicaciones</w:t>
      </w:r>
      <w:r w:rsidR="00A356FC">
        <w:t>.</w:t>
      </w:r>
    </w:p>
    <w:p w14:paraId="474AB179" w14:textId="77777777" w:rsidR="00A356FC" w:rsidRPr="002A50FC" w:rsidRDefault="00A356FC" w:rsidP="00650F7D">
      <w:pPr>
        <w:spacing w:after="0" w:line="276" w:lineRule="auto"/>
        <w:ind w:left="-5" w:right="0"/>
        <w:rPr>
          <w:rFonts w:ascii="ITC Avant Garde" w:hAnsi="ITC Avant Garde"/>
        </w:rPr>
      </w:pPr>
    </w:p>
    <w:p w14:paraId="2C15EB3F" w14:textId="2A6CBDC1" w:rsidR="00262C84" w:rsidRDefault="009704D0" w:rsidP="00650F7D">
      <w:pPr>
        <w:spacing w:after="0" w:line="276" w:lineRule="auto"/>
        <w:ind w:left="-5" w:right="0"/>
        <w:rPr>
          <w:rFonts w:ascii="ITC Avant Garde" w:hAnsi="ITC Avant Garde"/>
        </w:rPr>
      </w:pPr>
      <w:r w:rsidRPr="002A50FC">
        <w:rPr>
          <w:rFonts w:ascii="ITC Avant Garde" w:hAnsi="ITC Avant Garde"/>
        </w:rPr>
        <w:t xml:space="preserve">Los objetivos principales de la </w:t>
      </w:r>
      <w:r>
        <w:rPr>
          <w:rFonts w:ascii="ITC Avant Garde" w:hAnsi="ITC Avant Garde"/>
        </w:rPr>
        <w:t>consulta pública consistieron</w:t>
      </w:r>
      <w:r w:rsidRPr="002A50FC">
        <w:rPr>
          <w:rFonts w:ascii="ITC Avant Garde" w:hAnsi="ITC Avant Garde"/>
        </w:rPr>
        <w:t xml:space="preserve"> en: </w:t>
      </w:r>
      <w:r w:rsidR="00FF7644">
        <w:rPr>
          <w:rFonts w:ascii="ITC Avant Garde" w:hAnsi="ITC Avant Garde"/>
        </w:rPr>
        <w:t xml:space="preserve">i) </w:t>
      </w:r>
      <w:r w:rsidR="00C51400" w:rsidRPr="00C51400">
        <w:rPr>
          <w:rFonts w:ascii="ITC Avant Garde" w:hAnsi="ITC Avant Garde"/>
        </w:rPr>
        <w:t xml:space="preserve">establecer el mecanismo aplicable en caso de que un Operador Móvil Virtual suspenda definitivamente la prestación de servicios de telecomunicaciones que ofrezca a sus usuarios finales y no exista, o no se haya llevado a cabo, una migración de usuarios </w:t>
      </w:r>
      <w:r w:rsidR="00C51400" w:rsidRPr="00C51400">
        <w:rPr>
          <w:rFonts w:ascii="ITC Avant Garde" w:hAnsi="ITC Avant Garde"/>
        </w:rPr>
        <w:lastRenderedPageBreak/>
        <w:t>hacia otro concesionario u Operador Móvil Virtual, protegiendo así el ejercicio de los derechos de los usuarios finales, como la portabilidad numérica.</w:t>
      </w:r>
    </w:p>
    <w:p w14:paraId="62371323" w14:textId="77777777" w:rsidR="00262C84" w:rsidRDefault="00262C84" w:rsidP="00650F7D">
      <w:pPr>
        <w:spacing w:after="0" w:line="276" w:lineRule="auto"/>
        <w:ind w:left="-5" w:right="0"/>
        <w:rPr>
          <w:rFonts w:ascii="ITC Avant Garde" w:hAnsi="ITC Avant Garde"/>
        </w:rPr>
      </w:pPr>
    </w:p>
    <w:p w14:paraId="17952040" w14:textId="77777777" w:rsidR="006D7DB3" w:rsidRDefault="006D7DB3" w:rsidP="00650F7D">
      <w:pPr>
        <w:spacing w:after="0" w:line="276" w:lineRule="auto"/>
        <w:ind w:left="-5"/>
        <w:rPr>
          <w:rFonts w:ascii="ITC Avant Garde" w:hAnsi="ITC Avant Garde" w:cs="ITC Avant Garde"/>
          <w:b/>
        </w:rPr>
      </w:pPr>
      <w:r>
        <w:rPr>
          <w:rFonts w:ascii="ITC Avant Garde" w:hAnsi="ITC Avant Garde" w:cs="ITC Avant Garde"/>
          <w:b/>
        </w:rPr>
        <w:t xml:space="preserve">Unidad Administrativa que promueve el proyecto: </w:t>
      </w:r>
      <w:r w:rsidRPr="00F7338C">
        <w:rPr>
          <w:rFonts w:ascii="ITC Avant Garde" w:hAnsi="ITC Avant Garde" w:cs="ITC Avant Garde"/>
        </w:rPr>
        <w:t>Unidad de Política Regulatoria.</w:t>
      </w:r>
    </w:p>
    <w:p w14:paraId="4F02E674" w14:textId="77777777" w:rsidR="006D7DB3" w:rsidRPr="005B36F9" w:rsidRDefault="006D7DB3" w:rsidP="00650F7D">
      <w:pPr>
        <w:spacing w:after="0" w:line="276" w:lineRule="auto"/>
        <w:ind w:left="0" w:right="0" w:firstLine="0"/>
        <w:jc w:val="left"/>
        <w:rPr>
          <w:rFonts w:ascii="ITC Avant Garde" w:hAnsi="ITC Avant Garde"/>
        </w:rPr>
      </w:pPr>
    </w:p>
    <w:p w14:paraId="3D4FDA9D" w14:textId="77777777" w:rsidR="006D7DB3" w:rsidRPr="0053503B" w:rsidRDefault="006D7DB3" w:rsidP="00650F7D">
      <w:pPr>
        <w:spacing w:after="0" w:line="276" w:lineRule="auto"/>
        <w:ind w:left="-6" w:hanging="11"/>
        <w:rPr>
          <w:rFonts w:ascii="ITC Avant Garde" w:hAnsi="ITC Avant Garde" w:cs="ITC Avant Garde"/>
        </w:rPr>
      </w:pPr>
      <w:r>
        <w:rPr>
          <w:rFonts w:ascii="ITC Avant Garde" w:hAnsi="ITC Avant Garde" w:cs="ITC Avant Garde"/>
          <w:b/>
        </w:rPr>
        <w:t>Participantes de la Consulta Pública:</w:t>
      </w:r>
    </w:p>
    <w:p w14:paraId="3B829725" w14:textId="5142A2BC" w:rsidR="006D7DB3" w:rsidRPr="005B36F9" w:rsidRDefault="006D7DB3" w:rsidP="00650F7D">
      <w:pPr>
        <w:spacing w:after="0" w:line="276" w:lineRule="auto"/>
        <w:ind w:left="-5" w:right="0"/>
        <w:rPr>
          <w:rFonts w:ascii="ITC Avant Garde" w:hAnsi="ITC Avant Garde"/>
        </w:rPr>
      </w:pPr>
      <w:r w:rsidRPr="005B36F9">
        <w:rPr>
          <w:rFonts w:ascii="ITC Avant Garde" w:hAnsi="ITC Avant Garde"/>
        </w:rPr>
        <w:t xml:space="preserve">Durante el periodo de la consulta pública de mérito, se recibieron </w:t>
      </w:r>
      <w:r w:rsidR="00A356FC">
        <w:rPr>
          <w:rFonts w:ascii="ITC Avant Garde" w:hAnsi="ITC Avant Garde"/>
        </w:rPr>
        <w:t>9</w:t>
      </w:r>
      <w:r w:rsidRPr="005B36F9">
        <w:rPr>
          <w:rFonts w:ascii="ITC Avant Garde" w:hAnsi="ITC Avant Garde"/>
        </w:rPr>
        <w:t xml:space="preserve"> participaciones por parte de las siguientes personas </w:t>
      </w:r>
      <w:r w:rsidR="00A356FC">
        <w:rPr>
          <w:rFonts w:ascii="ITC Avant Garde" w:hAnsi="ITC Avant Garde"/>
        </w:rPr>
        <w:t xml:space="preserve">físicas y </w:t>
      </w:r>
      <w:r w:rsidRPr="005B36F9">
        <w:rPr>
          <w:rFonts w:ascii="ITC Avant Garde" w:hAnsi="ITC Avant Garde"/>
        </w:rPr>
        <w:t>morales:</w:t>
      </w:r>
    </w:p>
    <w:p w14:paraId="30D7AFD0" w14:textId="77777777" w:rsidR="00442091" w:rsidRPr="00B25894" w:rsidRDefault="00442091" w:rsidP="00650F7D">
      <w:pPr>
        <w:spacing w:after="0" w:line="276" w:lineRule="auto"/>
        <w:ind w:left="-5" w:right="0"/>
        <w:rPr>
          <w:rFonts w:ascii="ITC Avant Garde" w:eastAsiaTheme="minorHAnsi" w:hAnsi="ITC Avant Garde" w:cs="ITC Avant Garde"/>
          <w:lang w:eastAsia="en-US"/>
        </w:rPr>
      </w:pPr>
    </w:p>
    <w:p w14:paraId="340E7C9F" w14:textId="1D9A9DB7" w:rsidR="00FF7644" w:rsidRPr="00A356FC" w:rsidRDefault="00D67D1F"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Altán Redes, S.A.P.I. de C.V. (</w:t>
      </w:r>
      <w:r w:rsidR="00630877">
        <w:rPr>
          <w:rFonts w:ascii="ITC Avant Garde" w:eastAsiaTheme="minorHAnsi" w:hAnsi="ITC Avant Garde" w:cs="ITC Avant Garde"/>
          <w:lang w:eastAsia="en-US"/>
        </w:rPr>
        <w:t>en lo sucesivo, “Altán”</w:t>
      </w:r>
      <w:r>
        <w:rPr>
          <w:rFonts w:ascii="ITC Avant Garde" w:eastAsiaTheme="minorHAnsi" w:hAnsi="ITC Avant Garde" w:cs="ITC Avant Garde"/>
          <w:lang w:eastAsia="en-US"/>
        </w:rPr>
        <w:t>)</w:t>
      </w:r>
      <w:r w:rsidR="00064D64">
        <w:rPr>
          <w:rFonts w:ascii="ITC Avant Garde" w:eastAsiaTheme="minorHAnsi" w:hAnsi="ITC Avant Garde" w:cs="ITC Avant Garde"/>
          <w:lang w:eastAsia="en-US"/>
        </w:rPr>
        <w:t>;</w:t>
      </w:r>
    </w:p>
    <w:p w14:paraId="4588C62B" w14:textId="4FA139D0" w:rsidR="00FF7644" w:rsidRPr="00FF7644" w:rsidRDefault="00630877"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30877">
        <w:rPr>
          <w:rFonts w:ascii="ITC Avant Garde" w:hAnsi="ITC Avant Garde"/>
        </w:rPr>
        <w:t>Asociación Interamericana de Empresas de Telecomunicaciones</w:t>
      </w:r>
      <w:r>
        <w:rPr>
          <w:rFonts w:ascii="ITC Avant Garde" w:hAnsi="ITC Avant Garde"/>
        </w:rPr>
        <w:t xml:space="preserve"> (en lo sucesivo, “ASIET”)</w:t>
      </w:r>
      <w:r w:rsidR="00064D64">
        <w:rPr>
          <w:rFonts w:ascii="ITC Avant Garde" w:hAnsi="ITC Avant Garde"/>
        </w:rPr>
        <w:t>;</w:t>
      </w:r>
    </w:p>
    <w:p w14:paraId="7502DA6A" w14:textId="1AFB5B13" w:rsidR="00FF7644" w:rsidRPr="00FF7644" w:rsidRDefault="00D67D1F"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AT&amp;T Comunicaciones Digitales, S. de R.L. de C.V., Grupo AT&amp;T Celullar, S. de R.L. de C.V. Y AT&amp;T Comercialización Móvil, S. de R.L. de C.V. (en lo sucesivo y en conjunto, “AT&amp;T”)</w:t>
      </w:r>
      <w:r w:rsidR="00064D64">
        <w:rPr>
          <w:rFonts w:ascii="ITC Avant Garde" w:hAnsi="ITC Avant Garde"/>
        </w:rPr>
        <w:t>;</w:t>
      </w:r>
    </w:p>
    <w:p w14:paraId="5E65BF47" w14:textId="0C01525D" w:rsidR="00FF7644" w:rsidRPr="00FF7644" w:rsidRDefault="00C26A91"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Dirección de Atención al Usuario del Instituto Federal de Telecomunicaciones (en lo sucesivo, la “Dirección de Atención al Usuario”)</w:t>
      </w:r>
    </w:p>
    <w:p w14:paraId="3C21DD16" w14:textId="2A1450BE" w:rsidR="00BD2DAC" w:rsidRPr="00BD2DAC" w:rsidRDefault="00CA56DE"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CA56DE">
        <w:rPr>
          <w:rFonts w:ascii="ITC Avant Garde" w:hAnsi="ITC Avant Garde"/>
        </w:rPr>
        <w:t>Operbes, S.A. de C.V. y Televisión Internacional, S.A. de C.V.</w:t>
      </w:r>
      <w:r>
        <w:rPr>
          <w:rFonts w:ascii="ITC Avant Garde" w:hAnsi="ITC Avant Garde"/>
        </w:rPr>
        <w:t xml:space="preserve"> (en lo sucesivo, “Grupo Televisa”)</w:t>
      </w:r>
      <w:r w:rsidR="00187EFD">
        <w:rPr>
          <w:rFonts w:ascii="ITC Avant Garde" w:hAnsi="ITC Avant Garde"/>
        </w:rPr>
        <w:t>;</w:t>
      </w:r>
    </w:p>
    <w:p w14:paraId="5725B9E6" w14:textId="0335E24A" w:rsidR="00BD2DAC" w:rsidRPr="00BD2DAC" w:rsidRDefault="009743A3"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9743A3">
        <w:rPr>
          <w:rFonts w:ascii="ITC Avant Garde" w:hAnsi="ITC Avant Garde"/>
        </w:rPr>
        <w:t>Oriónidas, S.A. de C.V.</w:t>
      </w:r>
      <w:r>
        <w:rPr>
          <w:rFonts w:ascii="ITC Avant Garde" w:hAnsi="ITC Avant Garde"/>
        </w:rPr>
        <w:t xml:space="preserve"> (en lo sucesivo, “Oriónidas”)</w:t>
      </w:r>
      <w:r w:rsidR="00187EFD">
        <w:rPr>
          <w:rFonts w:ascii="ITC Avant Garde" w:hAnsi="ITC Avant Garde"/>
        </w:rPr>
        <w:t xml:space="preserve">; </w:t>
      </w:r>
    </w:p>
    <w:p w14:paraId="48531AEE" w14:textId="537C4858" w:rsidR="00BD2DAC" w:rsidRPr="00BD2DAC" w:rsidRDefault="00BD2DAC"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Pegaso PCS, S.A. de C.V. (en lo sucesivo, “Telefónica”)</w:t>
      </w:r>
      <w:r w:rsidR="00187EFD">
        <w:rPr>
          <w:rFonts w:ascii="ITC Avant Garde" w:hAnsi="ITC Avant Garde"/>
        </w:rPr>
        <w:t>; y</w:t>
      </w:r>
    </w:p>
    <w:p w14:paraId="13A26126" w14:textId="60DA1FB9" w:rsidR="00BD2DAC" w:rsidRPr="00BD2DAC" w:rsidRDefault="00FF11F7" w:rsidP="00650F7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FF11F7">
        <w:rPr>
          <w:rFonts w:ascii="ITC Avant Garde" w:hAnsi="ITC Avant Garde"/>
        </w:rPr>
        <w:t>Radiomóvil Dipsa, S.A. de C.V.</w:t>
      </w:r>
      <w:r>
        <w:rPr>
          <w:rFonts w:ascii="ITC Avant Garde" w:hAnsi="ITC Avant Garde"/>
        </w:rPr>
        <w:t xml:space="preserve"> (en lo sucesivo, “Telcel”)</w:t>
      </w:r>
      <w:r w:rsidR="00E00F9E">
        <w:rPr>
          <w:rFonts w:ascii="ITC Avant Garde" w:hAnsi="ITC Avant Garde"/>
        </w:rPr>
        <w:t>.</w:t>
      </w:r>
    </w:p>
    <w:p w14:paraId="4D75981A" w14:textId="713ED571" w:rsidR="000B5810" w:rsidRPr="00BD2DAC" w:rsidRDefault="000B5810" w:rsidP="00650F7D">
      <w:pPr>
        <w:autoSpaceDE w:val="0"/>
        <w:autoSpaceDN w:val="0"/>
        <w:adjustRightInd w:val="0"/>
        <w:spacing w:after="0" w:line="276" w:lineRule="auto"/>
        <w:ind w:right="0"/>
        <w:rPr>
          <w:rFonts w:ascii="ITC Avant Garde" w:eastAsiaTheme="minorHAnsi" w:hAnsi="ITC Avant Garde" w:cs="ITC Avant Garde"/>
          <w:lang w:eastAsia="en-US"/>
        </w:rPr>
      </w:pPr>
    </w:p>
    <w:p w14:paraId="02A781AE" w14:textId="66277A15" w:rsidR="00BC09A3" w:rsidRDefault="001A1169" w:rsidP="00650F7D">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w:t>
      </w:r>
      <w:r w:rsidR="005C2139" w:rsidRPr="00EA0B08">
        <w:rPr>
          <w:rFonts w:ascii="ITC Avant Garde" w:eastAsia="Calibri" w:hAnsi="ITC Avant Garde" w:cs="Arial"/>
          <w:color w:val="auto"/>
          <w:lang w:eastAsia="en-US"/>
        </w:rPr>
        <w:t xml:space="preserve">l orden en </w:t>
      </w:r>
      <w:r w:rsidR="005E75EF" w:rsidRPr="00EA0B08">
        <w:rPr>
          <w:rFonts w:ascii="ITC Avant Garde" w:eastAsia="Calibri" w:hAnsi="ITC Avant Garde" w:cs="Arial"/>
          <w:color w:val="auto"/>
          <w:lang w:eastAsia="en-US"/>
        </w:rPr>
        <w:t xml:space="preserve">el </w:t>
      </w:r>
      <w:r w:rsidR="005C2139" w:rsidRPr="00EA0B08">
        <w:rPr>
          <w:rFonts w:ascii="ITC Avant Garde" w:eastAsia="Calibri" w:hAnsi="ITC Avant Garde" w:cs="Arial"/>
          <w:color w:val="auto"/>
          <w:lang w:eastAsia="en-US"/>
        </w:rPr>
        <w:t xml:space="preserve">que son abordados los </w:t>
      </w:r>
      <w:r w:rsidR="00725476" w:rsidRPr="00EA0B08">
        <w:rPr>
          <w:rFonts w:ascii="ITC Avant Garde" w:eastAsia="Calibri" w:hAnsi="ITC Avant Garde" w:cs="Arial"/>
          <w:color w:val="auto"/>
          <w:lang w:eastAsia="en-US"/>
        </w:rPr>
        <w:t>temas</w:t>
      </w:r>
      <w:r w:rsidR="005C2139" w:rsidRPr="00EA0B08">
        <w:rPr>
          <w:rFonts w:ascii="ITC Avant Garde" w:eastAsia="Calibri" w:hAnsi="ITC Avant Garde" w:cs="Arial"/>
          <w:color w:val="auto"/>
          <w:lang w:eastAsia="en-US"/>
        </w:rPr>
        <w:t xml:space="preserve"> obedece primordialmente al orden en que cada uno de éstos aparece</w:t>
      </w:r>
      <w:r w:rsidR="001368EC" w:rsidRPr="00EA0B08">
        <w:rPr>
          <w:rFonts w:ascii="ITC Avant Garde" w:eastAsia="Calibri" w:hAnsi="ITC Avant Garde" w:cs="Arial"/>
          <w:color w:val="auto"/>
          <w:lang w:eastAsia="en-US"/>
        </w:rPr>
        <w:t>n</w:t>
      </w:r>
      <w:r w:rsidR="005C2139" w:rsidRPr="00EA0B08">
        <w:rPr>
          <w:rFonts w:ascii="ITC Avant Garde" w:eastAsia="Calibri" w:hAnsi="ITC Avant Garde" w:cs="Arial"/>
          <w:color w:val="auto"/>
          <w:lang w:eastAsia="en-US"/>
        </w:rPr>
        <w:t xml:space="preserve"> en</w:t>
      </w:r>
      <w:r>
        <w:rPr>
          <w:rFonts w:ascii="ITC Avant Garde" w:eastAsia="Calibri" w:hAnsi="ITC Avant Garde" w:cs="Arial"/>
          <w:color w:val="auto"/>
          <w:lang w:eastAsia="en-US"/>
        </w:rPr>
        <w:t xml:space="preserve"> </w:t>
      </w:r>
      <w:r w:rsidR="00BD2DAC">
        <w:rPr>
          <w:rFonts w:ascii="ITC Avant Garde" w:hAnsi="ITC Avant Garde"/>
        </w:rPr>
        <w:t xml:space="preserve">los </w:t>
      </w:r>
      <w:r w:rsidR="0049062E" w:rsidRPr="0049062E">
        <w:rPr>
          <w:rFonts w:ascii="ITC Avant Garde" w:eastAsiaTheme="minorHAnsi" w:hAnsi="ITC Avant Garde" w:cs="ITC Avant Garde"/>
          <w:lang w:eastAsia="en-US"/>
        </w:rPr>
        <w:t>Lineamientos para la comercialización de servicios móviles por parte de operadores móviles virtuales</w:t>
      </w:r>
      <w:r>
        <w:rPr>
          <w:rFonts w:ascii="ITC Avant Garde" w:eastAsia="Calibri" w:hAnsi="ITC Avant Garde" w:cs="Arial"/>
          <w:color w:val="auto"/>
          <w:lang w:eastAsia="en-US"/>
        </w:rPr>
        <w:t xml:space="preserve">. </w:t>
      </w:r>
      <w:r w:rsidR="00BC09A3" w:rsidRPr="00EA0B08">
        <w:rPr>
          <w:rFonts w:ascii="ITC Avant Garde" w:eastAsia="Calibri" w:hAnsi="ITC Avant Garde" w:cs="Arial"/>
          <w:color w:val="auto"/>
          <w:lang w:eastAsia="en-US"/>
        </w:rPr>
        <w:t>Por lo anterior, el Instituto emite las siguientes respuestas y con</w:t>
      </w:r>
      <w:r w:rsidR="007B0E47" w:rsidRPr="00EA0B08">
        <w:rPr>
          <w:rFonts w:ascii="ITC Avant Garde" w:eastAsia="Calibri" w:hAnsi="ITC Avant Garde" w:cs="Arial"/>
          <w:color w:val="auto"/>
          <w:lang w:eastAsia="en-US"/>
        </w:rPr>
        <w:t>sideraciones para cada una de la</w:t>
      </w:r>
      <w:r w:rsidR="00BC09A3" w:rsidRPr="00EA0B08">
        <w:rPr>
          <w:rFonts w:ascii="ITC Avant Garde" w:eastAsia="Calibri" w:hAnsi="ITC Avant Garde" w:cs="Arial"/>
          <w:color w:val="auto"/>
          <w:lang w:eastAsia="en-US"/>
        </w:rPr>
        <w:t>s</w:t>
      </w:r>
      <w:r w:rsidR="007B0E47" w:rsidRPr="00EA0B08">
        <w:rPr>
          <w:rFonts w:ascii="ITC Avant Garde" w:eastAsia="Calibri" w:hAnsi="ITC Avant Garde" w:cs="Arial"/>
          <w:color w:val="auto"/>
          <w:lang w:eastAsia="en-US"/>
        </w:rPr>
        <w:t xml:space="preserve"> participaciones</w:t>
      </w:r>
      <w:r w:rsidR="004B5491" w:rsidRPr="00EA0B08">
        <w:rPr>
          <w:rFonts w:ascii="ITC Avant Garde" w:eastAsia="Calibri" w:hAnsi="ITC Avant Garde" w:cs="Arial"/>
          <w:color w:val="auto"/>
          <w:lang w:eastAsia="en-US"/>
        </w:rPr>
        <w:t xml:space="preserve"> recibidas</w:t>
      </w:r>
      <w:r w:rsidR="00BC09A3" w:rsidRPr="00EA0B08">
        <w:rPr>
          <w:rFonts w:ascii="ITC Avant Garde" w:eastAsia="Calibri" w:hAnsi="ITC Avant Garde" w:cs="Arial"/>
          <w:color w:val="auto"/>
          <w:lang w:eastAsia="en-US"/>
        </w:rPr>
        <w:t xml:space="preserve">:  </w:t>
      </w:r>
    </w:p>
    <w:p w14:paraId="338FECF7" w14:textId="0DAF27F9" w:rsidR="00E66FFE" w:rsidRDefault="00E66FFE" w:rsidP="00650F7D">
      <w:pPr>
        <w:spacing w:after="0" w:line="276" w:lineRule="auto"/>
        <w:ind w:right="615"/>
        <w:rPr>
          <w:rFonts w:ascii="ITC Avant Garde" w:hAnsi="ITC Avant Garde"/>
          <w:color w:val="auto"/>
        </w:rPr>
      </w:pPr>
    </w:p>
    <w:p w14:paraId="3C42FD6C" w14:textId="56091371" w:rsidR="000314FF" w:rsidRPr="009C4398" w:rsidRDefault="000314FF" w:rsidP="00E55D5E">
      <w:pPr>
        <w:spacing w:after="0" w:line="276" w:lineRule="auto"/>
        <w:ind w:right="49"/>
        <w:rPr>
          <w:rFonts w:ascii="ITC Avant Garde" w:hAnsi="ITC Avant Garde"/>
          <w:b/>
          <w:bCs/>
          <w:color w:val="auto"/>
          <w:u w:val="single"/>
        </w:rPr>
      </w:pPr>
      <w:r w:rsidRPr="009C4398">
        <w:rPr>
          <w:rFonts w:ascii="ITC Avant Garde" w:hAnsi="ITC Avant Garde"/>
          <w:b/>
          <w:bCs/>
          <w:color w:val="auto"/>
          <w:u w:val="single"/>
        </w:rPr>
        <w:t>ARTÍCULO 8</w:t>
      </w:r>
      <w:r w:rsidR="006F72F7">
        <w:rPr>
          <w:rFonts w:ascii="ITC Avant Garde" w:hAnsi="ITC Avant Garde"/>
          <w:b/>
          <w:bCs/>
          <w:color w:val="auto"/>
          <w:u w:val="single"/>
        </w:rPr>
        <w:t>, FRACCIÓN XIII</w:t>
      </w:r>
    </w:p>
    <w:p w14:paraId="7100DE24" w14:textId="77777777" w:rsidR="000314FF" w:rsidRDefault="000314FF" w:rsidP="00E55D5E">
      <w:pPr>
        <w:spacing w:after="0" w:line="276" w:lineRule="auto"/>
        <w:ind w:right="49"/>
        <w:rPr>
          <w:rFonts w:ascii="ITC Avant Garde" w:hAnsi="ITC Avant Garde"/>
          <w:color w:val="auto"/>
        </w:rPr>
      </w:pPr>
    </w:p>
    <w:p w14:paraId="4956F6FA" w14:textId="265BD92C" w:rsidR="000314FF" w:rsidRPr="009C4398" w:rsidRDefault="000314FF" w:rsidP="00E55D5E">
      <w:pPr>
        <w:spacing w:after="0" w:line="276" w:lineRule="auto"/>
        <w:ind w:right="49"/>
        <w:rPr>
          <w:rFonts w:ascii="ITC Avant Garde" w:hAnsi="ITC Avant Garde"/>
          <w:b/>
          <w:bCs/>
          <w:color w:val="auto"/>
        </w:rPr>
      </w:pPr>
      <w:r>
        <w:rPr>
          <w:rFonts w:ascii="ITC Avant Garde" w:hAnsi="ITC Avant Garde"/>
          <w:b/>
          <w:bCs/>
          <w:color w:val="auto"/>
        </w:rPr>
        <w:t>Oriónidas</w:t>
      </w:r>
    </w:p>
    <w:p w14:paraId="324B7E2E" w14:textId="7F1E661C" w:rsidR="00414568" w:rsidRPr="00414568" w:rsidRDefault="00414568" w:rsidP="00E55D5E">
      <w:pPr>
        <w:spacing w:after="0" w:line="276" w:lineRule="auto"/>
        <w:ind w:right="49"/>
        <w:rPr>
          <w:rFonts w:ascii="ITC Avant Garde" w:eastAsiaTheme="minorHAnsi" w:hAnsi="ITC Avant Garde" w:cs="ITC Avant Garde"/>
          <w:lang w:eastAsia="en-US"/>
        </w:rPr>
      </w:pPr>
      <w:r w:rsidRPr="00414568">
        <w:rPr>
          <w:rFonts w:ascii="ITC Avant Garde" w:eastAsiaTheme="minorHAnsi" w:hAnsi="ITC Avant Garde" w:cs="ITC Avant Garde"/>
          <w:lang w:eastAsia="en-US"/>
        </w:rPr>
        <w:t xml:space="preserve">Señala que </w:t>
      </w:r>
      <w:r w:rsidR="00193464">
        <w:rPr>
          <w:rFonts w:ascii="ITC Avant Garde" w:eastAsiaTheme="minorHAnsi" w:hAnsi="ITC Avant Garde" w:cs="ITC Avant Garde"/>
          <w:lang w:eastAsia="en-US"/>
        </w:rPr>
        <w:t xml:space="preserve">la fracción XIII </w:t>
      </w:r>
      <w:r w:rsidR="00461E3A">
        <w:rPr>
          <w:rFonts w:ascii="ITC Avant Garde" w:eastAsiaTheme="minorHAnsi" w:hAnsi="ITC Avant Garde" w:cs="ITC Avant Garde"/>
          <w:lang w:eastAsia="en-US"/>
        </w:rPr>
        <w:t>del artículo 8</w:t>
      </w:r>
      <w:r w:rsidR="00C31276">
        <w:rPr>
          <w:rFonts w:ascii="ITC Avant Garde" w:eastAsiaTheme="minorHAnsi" w:hAnsi="ITC Avant Garde" w:cs="ITC Avant Garde"/>
          <w:lang w:eastAsia="en-US"/>
        </w:rPr>
        <w:t xml:space="preserve"> debe ser redactado como se presenta a continuación</w:t>
      </w:r>
      <w:r w:rsidRPr="00414568">
        <w:rPr>
          <w:rFonts w:ascii="ITC Avant Garde" w:eastAsiaTheme="minorHAnsi" w:hAnsi="ITC Avant Garde" w:cs="ITC Avant Garde"/>
          <w:lang w:eastAsia="en-US"/>
        </w:rPr>
        <w:t>:</w:t>
      </w:r>
    </w:p>
    <w:p w14:paraId="15347485" w14:textId="77777777" w:rsidR="00414568" w:rsidRPr="00414568" w:rsidRDefault="00414568" w:rsidP="00E55D5E">
      <w:pPr>
        <w:spacing w:after="0" w:line="276" w:lineRule="auto"/>
        <w:ind w:right="49"/>
        <w:rPr>
          <w:rFonts w:ascii="ITC Avant Garde" w:eastAsiaTheme="minorHAnsi" w:hAnsi="ITC Avant Garde" w:cs="ITC Avant Garde"/>
          <w:lang w:eastAsia="en-US"/>
        </w:rPr>
      </w:pPr>
    </w:p>
    <w:p w14:paraId="284D9DE1" w14:textId="7E66E917" w:rsidR="000314FF" w:rsidRDefault="00414568" w:rsidP="00193464">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"XIII. Realizar las acciones necesarias para ejecutar el mecanismo establecido en el Capítulo VI de los presentes Lineamientos con la finalidad de mantener provisionalmente la conectividad de los usuarios en las redes públicas de telecomunicaciones, </w:t>
      </w:r>
      <w:r w:rsidRPr="00E55D5E">
        <w:rPr>
          <w:rFonts w:ascii="ITC Avant Garde" w:eastAsiaTheme="minorHAnsi" w:hAnsi="ITC Avant Garde" w:cs="ITC Avant Garde"/>
          <w:i/>
          <w:iCs/>
          <w:sz w:val="18"/>
          <w:szCs w:val="18"/>
          <w:u w:val="single"/>
          <w:lang w:eastAsia="en-US"/>
        </w:rPr>
        <w:t>informar, en su caso, sobre las opciones para preservar dicha conectividad,</w:t>
      </w:r>
      <w:r w:rsidRPr="00E55D5E">
        <w:rPr>
          <w:rFonts w:ascii="ITC Avant Garde" w:eastAsiaTheme="minorHAnsi" w:hAnsi="ITC Avant Garde" w:cs="ITC Avant Garde"/>
          <w:i/>
          <w:iCs/>
          <w:sz w:val="18"/>
          <w:szCs w:val="18"/>
          <w:lang w:eastAsia="en-US"/>
        </w:rPr>
        <w:t xml:space="preserve"> así como proteger y salvaguardar sus derechos."</w:t>
      </w:r>
    </w:p>
    <w:p w14:paraId="4E894244" w14:textId="69A2D478" w:rsidR="00B820C5" w:rsidRPr="00E55D5E" w:rsidRDefault="00B820C5" w:rsidP="00E55D5E">
      <w:pPr>
        <w:spacing w:after="0" w:line="276" w:lineRule="auto"/>
        <w:ind w:left="567" w:right="616"/>
        <w:jc w:val="right"/>
        <w:rPr>
          <w:rFonts w:ascii="ITC Avant Garde" w:eastAsiaTheme="minorHAnsi" w:hAnsi="ITC Avant Garde" w:cs="ITC Avant Garde"/>
          <w:sz w:val="18"/>
          <w:szCs w:val="18"/>
          <w:lang w:eastAsia="en-US"/>
        </w:rPr>
      </w:pPr>
      <w:r>
        <w:rPr>
          <w:rFonts w:ascii="ITC Avant Garde" w:eastAsiaTheme="minorHAnsi" w:hAnsi="ITC Avant Garde" w:cs="ITC Avant Garde"/>
          <w:sz w:val="18"/>
          <w:szCs w:val="18"/>
          <w:lang w:eastAsia="en-US"/>
        </w:rPr>
        <w:t>Énfasis añadido</w:t>
      </w:r>
    </w:p>
    <w:p w14:paraId="44AE7809" w14:textId="77777777" w:rsidR="000314FF" w:rsidRDefault="000314FF" w:rsidP="00E55D5E">
      <w:pPr>
        <w:spacing w:after="0" w:line="276" w:lineRule="auto"/>
        <w:ind w:right="49"/>
        <w:rPr>
          <w:rFonts w:ascii="ITC Avant Garde" w:eastAsiaTheme="minorHAnsi" w:hAnsi="ITC Avant Garde" w:cs="ITC Avant Garde"/>
          <w:lang w:eastAsia="en-US"/>
        </w:rPr>
      </w:pPr>
    </w:p>
    <w:p w14:paraId="43F6B20B" w14:textId="77777777" w:rsidR="00621640" w:rsidRPr="003419F5" w:rsidRDefault="00621640" w:rsidP="00621640">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lastRenderedPageBreak/>
        <w:t>Consideraciones del Instituto</w:t>
      </w:r>
    </w:p>
    <w:p w14:paraId="3F753B3A" w14:textId="77777777" w:rsidR="001E3546" w:rsidRDefault="001E3546" w:rsidP="00621640">
      <w:pPr>
        <w:spacing w:after="0" w:line="276" w:lineRule="auto"/>
        <w:ind w:right="49"/>
        <w:rPr>
          <w:rFonts w:ascii="ITC Avant Garde" w:hAnsi="ITC Avant Garde"/>
          <w:color w:val="auto"/>
        </w:rPr>
      </w:pPr>
    </w:p>
    <w:p w14:paraId="6A1915E7" w14:textId="7025F08F" w:rsidR="00621640" w:rsidRDefault="00621640" w:rsidP="00621640">
      <w:pPr>
        <w:spacing w:after="0" w:line="276" w:lineRule="auto"/>
        <w:ind w:right="49"/>
        <w:rPr>
          <w:rFonts w:ascii="ITC Avant Garde" w:hAnsi="ITC Avant Garde"/>
          <w:color w:val="auto"/>
        </w:rPr>
      </w:pPr>
      <w:r>
        <w:rPr>
          <w:rFonts w:ascii="ITC Avant Garde" w:hAnsi="ITC Avant Garde"/>
          <w:color w:val="auto"/>
        </w:rPr>
        <w:t xml:space="preserve">No se considera adecuada la </w:t>
      </w:r>
      <w:r w:rsidR="003C2A68">
        <w:rPr>
          <w:rFonts w:ascii="ITC Avant Garde" w:hAnsi="ITC Avant Garde"/>
          <w:color w:val="auto"/>
        </w:rPr>
        <w:t>propuesta de modificación</w:t>
      </w:r>
      <w:r>
        <w:rPr>
          <w:rFonts w:ascii="ITC Avant Garde" w:hAnsi="ITC Avant Garde"/>
          <w:color w:val="auto"/>
        </w:rPr>
        <w:t xml:space="preserve">, pues la información presentada a los usuarios sobre las opciones para preservar </w:t>
      </w:r>
      <w:r w:rsidR="002103A8">
        <w:rPr>
          <w:rFonts w:ascii="ITC Avant Garde" w:hAnsi="ITC Avant Garde"/>
          <w:color w:val="auto"/>
        </w:rPr>
        <w:t>la</w:t>
      </w:r>
      <w:r>
        <w:rPr>
          <w:rFonts w:ascii="ITC Avant Garde" w:hAnsi="ITC Avant Garde"/>
          <w:color w:val="auto"/>
        </w:rPr>
        <w:t xml:space="preserve"> conectividad podría suponer información sesgada, </w:t>
      </w:r>
      <w:r w:rsidR="00813C60">
        <w:rPr>
          <w:rFonts w:ascii="ITC Avant Garde" w:hAnsi="ITC Avant Garde"/>
          <w:color w:val="auto"/>
        </w:rPr>
        <w:t xml:space="preserve">que podría interferir en </w:t>
      </w:r>
      <w:r>
        <w:rPr>
          <w:rFonts w:ascii="ITC Avant Garde" w:hAnsi="ITC Avant Garde"/>
          <w:color w:val="auto"/>
        </w:rPr>
        <w:t>la libre decisión del usuario a elegir a un nuevo proveedor de servicios de telecomunicaciones móviles.</w:t>
      </w:r>
    </w:p>
    <w:p w14:paraId="52FDB76B" w14:textId="77777777" w:rsidR="002F79A9" w:rsidRDefault="002F79A9" w:rsidP="00621640">
      <w:pPr>
        <w:spacing w:after="0" w:line="276" w:lineRule="auto"/>
        <w:ind w:right="49"/>
        <w:rPr>
          <w:rFonts w:ascii="ITC Avant Garde" w:hAnsi="ITC Avant Garde"/>
          <w:color w:val="auto"/>
        </w:rPr>
      </w:pPr>
    </w:p>
    <w:p w14:paraId="1690B148" w14:textId="77777777" w:rsidR="00591372" w:rsidRPr="00555311" w:rsidRDefault="00591372" w:rsidP="00591372">
      <w:pPr>
        <w:spacing w:after="0" w:line="276" w:lineRule="auto"/>
        <w:ind w:right="49"/>
        <w:rPr>
          <w:rFonts w:ascii="ITC Avant Garde" w:hAnsi="ITC Avant Garde"/>
          <w:color w:val="auto"/>
        </w:rPr>
      </w:pPr>
      <w:r>
        <w:rPr>
          <w:rFonts w:ascii="ITC Avant Garde" w:hAnsi="ITC Avant Garde"/>
          <w:color w:val="auto"/>
        </w:rPr>
        <w:t>Asimismo, uno de los objetivos de la modificación a los Lineamientos es contar con un mecanismo para que los usuarios de aquellos OMV que cesan de manera abrupta sus operaciones puedan ejercer su derecho a la portabilidad de manera libre, y no es el objetivo establecer un medio para la comercialización de servicios de telecomunicaciones.</w:t>
      </w:r>
    </w:p>
    <w:p w14:paraId="503CD64D" w14:textId="77777777" w:rsidR="00B03CAD" w:rsidRDefault="00B03CAD" w:rsidP="00E55D5E">
      <w:pPr>
        <w:spacing w:after="0" w:line="276" w:lineRule="auto"/>
        <w:ind w:right="49"/>
        <w:rPr>
          <w:rFonts w:ascii="ITC Avant Garde" w:hAnsi="ITC Avant Garde"/>
          <w:b/>
          <w:bCs/>
          <w:color w:val="auto"/>
        </w:rPr>
      </w:pPr>
    </w:p>
    <w:p w14:paraId="1D774F04" w14:textId="0FE7F208" w:rsidR="00E31D6C" w:rsidRPr="009C4398" w:rsidRDefault="00E31D6C" w:rsidP="00E55D5E">
      <w:pPr>
        <w:spacing w:after="0" w:line="276" w:lineRule="auto"/>
        <w:ind w:right="49"/>
        <w:rPr>
          <w:rFonts w:ascii="ITC Avant Garde" w:hAnsi="ITC Avant Garde"/>
          <w:b/>
          <w:bCs/>
          <w:color w:val="auto"/>
        </w:rPr>
      </w:pPr>
      <w:r>
        <w:rPr>
          <w:rFonts w:ascii="ITC Avant Garde" w:hAnsi="ITC Avant Garde"/>
          <w:b/>
          <w:bCs/>
          <w:color w:val="auto"/>
        </w:rPr>
        <w:t>Grupo Televisa</w:t>
      </w:r>
    </w:p>
    <w:p w14:paraId="2F608C36" w14:textId="4341CC5C" w:rsidR="003075C0" w:rsidRPr="003075C0" w:rsidRDefault="003075C0" w:rsidP="00E55D5E">
      <w:pPr>
        <w:spacing w:after="0" w:line="276" w:lineRule="auto"/>
        <w:ind w:right="49"/>
        <w:rPr>
          <w:rFonts w:ascii="ITC Avant Garde" w:eastAsiaTheme="minorHAnsi" w:hAnsi="ITC Avant Garde" w:cs="ITC Avant Garde"/>
          <w:lang w:eastAsia="en-US"/>
        </w:rPr>
      </w:pPr>
      <w:r w:rsidRPr="003075C0">
        <w:rPr>
          <w:rFonts w:ascii="ITC Avant Garde" w:eastAsiaTheme="minorHAnsi" w:hAnsi="ITC Avant Garde" w:cs="ITC Avant Garde"/>
          <w:lang w:eastAsia="en-US"/>
        </w:rPr>
        <w:t xml:space="preserve">Señalan </w:t>
      </w:r>
      <w:r w:rsidR="00A7485C" w:rsidRPr="003075C0">
        <w:rPr>
          <w:rFonts w:ascii="ITC Avant Garde" w:eastAsiaTheme="minorHAnsi" w:hAnsi="ITC Avant Garde" w:cs="ITC Avant Garde"/>
          <w:lang w:eastAsia="en-US"/>
        </w:rPr>
        <w:t>que,</w:t>
      </w:r>
      <w:r w:rsidRPr="003075C0">
        <w:rPr>
          <w:rFonts w:ascii="ITC Avant Garde" w:eastAsiaTheme="minorHAnsi" w:hAnsi="ITC Avant Garde" w:cs="ITC Avant Garde"/>
          <w:lang w:eastAsia="en-US"/>
        </w:rPr>
        <w:t xml:space="preserve"> si bien la intención del Instituto es proteger los derechos de los usuarios finales, no queda claro que el Concesionario Mayorista Móvil debe continuar con la prestación del servicio de telecomunicaciones móviles, garantizando así los derechos de los usuarios establecidos en el artículo 191 de la LFTR, por lo que proponen la siguiente redacción</w:t>
      </w:r>
      <w:r>
        <w:rPr>
          <w:rFonts w:ascii="ITC Avant Garde" w:eastAsiaTheme="minorHAnsi" w:hAnsi="ITC Avant Garde" w:cs="ITC Avant Garde"/>
          <w:lang w:eastAsia="en-US"/>
        </w:rPr>
        <w:t xml:space="preserve"> para </w:t>
      </w:r>
      <w:r w:rsidR="00454EDE">
        <w:rPr>
          <w:rFonts w:ascii="ITC Avant Garde" w:eastAsiaTheme="minorHAnsi" w:hAnsi="ITC Avant Garde" w:cs="ITC Avant Garde"/>
          <w:lang w:eastAsia="en-US"/>
        </w:rPr>
        <w:t xml:space="preserve">la fracción XIII </w:t>
      </w:r>
      <w:r w:rsidR="006F72F7">
        <w:rPr>
          <w:rFonts w:ascii="ITC Avant Garde" w:eastAsiaTheme="minorHAnsi" w:hAnsi="ITC Avant Garde" w:cs="ITC Avant Garde"/>
          <w:lang w:eastAsia="en-US"/>
        </w:rPr>
        <w:t>propuesta</w:t>
      </w:r>
      <w:r w:rsidRPr="003075C0">
        <w:rPr>
          <w:rFonts w:ascii="ITC Avant Garde" w:eastAsiaTheme="minorHAnsi" w:hAnsi="ITC Avant Garde" w:cs="ITC Avant Garde"/>
          <w:lang w:eastAsia="en-US"/>
        </w:rPr>
        <w:t>:</w:t>
      </w:r>
    </w:p>
    <w:p w14:paraId="25EFB269" w14:textId="77777777" w:rsidR="003075C0" w:rsidRPr="003075C0" w:rsidRDefault="003075C0" w:rsidP="00E55D5E">
      <w:pPr>
        <w:spacing w:after="0" w:line="276" w:lineRule="auto"/>
        <w:ind w:right="49"/>
        <w:rPr>
          <w:rFonts w:ascii="ITC Avant Garde" w:eastAsiaTheme="minorHAnsi" w:hAnsi="ITC Avant Garde" w:cs="ITC Avant Garde"/>
          <w:lang w:eastAsia="en-US"/>
        </w:rPr>
      </w:pPr>
    </w:p>
    <w:p w14:paraId="4DB56862" w14:textId="779C21DC" w:rsidR="00E31D6C" w:rsidRDefault="003075C0"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"XIII. Realizar las acciones necesarias para ejecutar el mecanismo establecido en el capítulo VI de los presentes Lineamientos con la finalidad de mantener provisionalmente la </w:t>
      </w:r>
      <w:r w:rsidRPr="00AA158A">
        <w:rPr>
          <w:rFonts w:ascii="ITC Avant Garde" w:eastAsiaTheme="minorHAnsi" w:hAnsi="ITC Avant Garde" w:cs="ITC Avant Garde"/>
          <w:i/>
          <w:iCs/>
          <w:strike/>
          <w:sz w:val="18"/>
          <w:szCs w:val="18"/>
          <w:lang w:eastAsia="en-US"/>
        </w:rPr>
        <w:t>conectividad</w:t>
      </w:r>
      <w:r w:rsidRPr="00E55D5E">
        <w:rPr>
          <w:rFonts w:ascii="ITC Avant Garde" w:eastAsiaTheme="minorHAnsi" w:hAnsi="ITC Avant Garde" w:cs="ITC Avant Garde"/>
          <w:i/>
          <w:iCs/>
          <w:sz w:val="18"/>
          <w:szCs w:val="18"/>
          <w:lang w:eastAsia="en-US"/>
        </w:rPr>
        <w:t xml:space="preserve"> </w:t>
      </w:r>
      <w:r w:rsidRPr="00AA158A">
        <w:rPr>
          <w:rFonts w:ascii="ITC Avant Garde" w:eastAsiaTheme="minorHAnsi" w:hAnsi="ITC Avant Garde" w:cs="ITC Avant Garde"/>
          <w:i/>
          <w:iCs/>
          <w:sz w:val="18"/>
          <w:szCs w:val="18"/>
          <w:u w:val="single"/>
          <w:lang w:eastAsia="en-US"/>
        </w:rPr>
        <w:t>prestación del Servicio Móvil</w:t>
      </w:r>
      <w:r w:rsidRPr="00E55D5E">
        <w:rPr>
          <w:rFonts w:ascii="ITC Avant Garde" w:eastAsiaTheme="minorHAnsi" w:hAnsi="ITC Avant Garde" w:cs="ITC Avant Garde"/>
          <w:i/>
          <w:iCs/>
          <w:sz w:val="18"/>
          <w:szCs w:val="18"/>
          <w:lang w:eastAsia="en-US"/>
        </w:rPr>
        <w:t xml:space="preserve"> de los usuarios en las redes públicas de telecomunicaciones, asó como proteger y salvaguardar sus derechos."</w:t>
      </w:r>
    </w:p>
    <w:p w14:paraId="00ED8DBD" w14:textId="77777777" w:rsidR="008C7F4E" w:rsidRPr="00AF7440" w:rsidRDefault="008C7F4E" w:rsidP="008C7F4E">
      <w:pPr>
        <w:spacing w:after="0" w:line="276" w:lineRule="auto"/>
        <w:ind w:left="567" w:right="616"/>
        <w:jc w:val="right"/>
        <w:rPr>
          <w:rFonts w:ascii="ITC Avant Garde" w:eastAsiaTheme="minorHAnsi" w:hAnsi="ITC Avant Garde" w:cs="ITC Avant Garde"/>
          <w:sz w:val="18"/>
          <w:szCs w:val="18"/>
          <w:lang w:eastAsia="en-US"/>
        </w:rPr>
      </w:pPr>
      <w:r>
        <w:rPr>
          <w:rFonts w:ascii="ITC Avant Garde" w:eastAsiaTheme="minorHAnsi" w:hAnsi="ITC Avant Garde" w:cs="ITC Avant Garde"/>
          <w:sz w:val="18"/>
          <w:szCs w:val="18"/>
          <w:lang w:eastAsia="en-US"/>
        </w:rPr>
        <w:t>Énfasis añadido</w:t>
      </w:r>
    </w:p>
    <w:p w14:paraId="0F4D04AF" w14:textId="77777777" w:rsidR="003075C0" w:rsidRPr="00414568" w:rsidRDefault="003075C0" w:rsidP="00E55D5E">
      <w:pPr>
        <w:spacing w:after="0" w:line="276" w:lineRule="auto"/>
        <w:ind w:right="49"/>
        <w:rPr>
          <w:rFonts w:ascii="ITC Avant Garde" w:eastAsiaTheme="minorHAnsi" w:hAnsi="ITC Avant Garde" w:cs="ITC Avant Garde"/>
          <w:lang w:eastAsia="en-US"/>
        </w:rPr>
      </w:pPr>
    </w:p>
    <w:p w14:paraId="7C018893" w14:textId="77777777" w:rsidR="00E05AF9" w:rsidRPr="003419F5" w:rsidRDefault="00E05AF9" w:rsidP="00E05AF9">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39133908" w14:textId="77777777" w:rsidR="001E3546" w:rsidRDefault="001E3546" w:rsidP="00E05AF9">
      <w:pPr>
        <w:spacing w:after="0" w:line="276" w:lineRule="auto"/>
        <w:ind w:right="49"/>
        <w:rPr>
          <w:rFonts w:ascii="ITC Avant Garde" w:hAnsi="ITC Avant Garde"/>
          <w:color w:val="auto"/>
        </w:rPr>
      </w:pPr>
    </w:p>
    <w:p w14:paraId="61E17C6A" w14:textId="18914418" w:rsidR="00E05AF9" w:rsidRPr="00555311" w:rsidRDefault="00E05AF9" w:rsidP="00E05AF9">
      <w:pPr>
        <w:spacing w:after="0" w:line="276" w:lineRule="auto"/>
        <w:ind w:right="49"/>
        <w:rPr>
          <w:rFonts w:ascii="ITC Avant Garde" w:hAnsi="ITC Avant Garde"/>
          <w:color w:val="auto"/>
        </w:rPr>
      </w:pPr>
      <w:r>
        <w:rPr>
          <w:rFonts w:ascii="ITC Avant Garde" w:hAnsi="ITC Avant Garde"/>
          <w:color w:val="auto"/>
        </w:rPr>
        <w:t>El propósito de la</w:t>
      </w:r>
      <w:r w:rsidR="00875F8A">
        <w:rPr>
          <w:rFonts w:ascii="ITC Avant Garde" w:hAnsi="ITC Avant Garde"/>
          <w:color w:val="auto"/>
        </w:rPr>
        <w:t xml:space="preserve"> Modificación de Lineamientos OMV no es </w:t>
      </w:r>
      <w:r w:rsidR="009F39CD">
        <w:rPr>
          <w:rFonts w:ascii="ITC Avant Garde" w:hAnsi="ITC Avant Garde"/>
          <w:color w:val="auto"/>
        </w:rPr>
        <w:t>que el Concesionario Mayorista Móvil</w:t>
      </w:r>
      <w:r w:rsidR="00F4405A">
        <w:rPr>
          <w:rFonts w:ascii="ITC Avant Garde" w:hAnsi="ITC Avant Garde"/>
          <w:color w:val="auto"/>
        </w:rPr>
        <w:t xml:space="preserve"> </w:t>
      </w:r>
      <w:r w:rsidR="006B42E0">
        <w:rPr>
          <w:rFonts w:ascii="ITC Avant Garde" w:hAnsi="ITC Avant Garde"/>
          <w:color w:val="auto"/>
        </w:rPr>
        <w:t xml:space="preserve">sea quien </w:t>
      </w:r>
      <w:r w:rsidR="00253DDF">
        <w:rPr>
          <w:rFonts w:ascii="ITC Avant Garde" w:hAnsi="ITC Avant Garde"/>
          <w:color w:val="auto"/>
        </w:rPr>
        <w:t>d</w:t>
      </w:r>
      <w:r w:rsidR="000D2E54">
        <w:rPr>
          <w:rFonts w:ascii="ITC Avant Garde" w:hAnsi="ITC Avant Garde"/>
          <w:color w:val="auto"/>
        </w:rPr>
        <w:t>é</w:t>
      </w:r>
      <w:r w:rsidR="00253DDF">
        <w:rPr>
          <w:rFonts w:ascii="ITC Avant Garde" w:hAnsi="ITC Avant Garde"/>
          <w:color w:val="auto"/>
        </w:rPr>
        <w:t xml:space="preserve"> continuidad a la prestación de los servicios de telecomunicaciones móviles a los usuarios de aquellos OMV que </w:t>
      </w:r>
      <w:r w:rsidR="001649AC">
        <w:rPr>
          <w:rFonts w:ascii="ITC Avant Garde" w:hAnsi="ITC Avant Garde"/>
          <w:color w:val="auto"/>
        </w:rPr>
        <w:t xml:space="preserve">cesan de manera abrupta sus operaciones, sino que se busca ofrecer </w:t>
      </w:r>
      <w:r w:rsidR="00D57898">
        <w:rPr>
          <w:rFonts w:ascii="ITC Avant Garde" w:hAnsi="ITC Avant Garde"/>
          <w:color w:val="auto"/>
        </w:rPr>
        <w:t>un mecanismo que</w:t>
      </w:r>
      <w:r w:rsidR="005C2EEF">
        <w:rPr>
          <w:rFonts w:ascii="ITC Avant Garde" w:hAnsi="ITC Avant Garde"/>
          <w:color w:val="auto"/>
        </w:rPr>
        <w:t>, mediante el apoyo temporal de</w:t>
      </w:r>
      <w:r w:rsidR="00FD54B5">
        <w:rPr>
          <w:rFonts w:ascii="ITC Avant Garde" w:hAnsi="ITC Avant Garde"/>
          <w:color w:val="auto"/>
        </w:rPr>
        <w:t xml:space="preserve"> funcionalidades y</w:t>
      </w:r>
      <w:r w:rsidR="005C2EEF">
        <w:rPr>
          <w:rFonts w:ascii="ITC Avant Garde" w:hAnsi="ITC Avant Garde"/>
          <w:color w:val="auto"/>
        </w:rPr>
        <w:t xml:space="preserve"> los recursos de red del Concesionario Mayorista Móvil, </w:t>
      </w:r>
      <w:r w:rsidR="0062651D">
        <w:rPr>
          <w:rFonts w:ascii="ITC Avant Garde" w:hAnsi="ITC Avant Garde"/>
          <w:color w:val="auto"/>
        </w:rPr>
        <w:t>dichos usuarios puedan ejercer su derecho a la portabilidad</w:t>
      </w:r>
      <w:r w:rsidR="0032255A">
        <w:rPr>
          <w:rFonts w:ascii="ITC Avant Garde" w:hAnsi="ITC Avant Garde"/>
          <w:color w:val="auto"/>
        </w:rPr>
        <w:t xml:space="preserve">, eligiendo </w:t>
      </w:r>
      <w:r w:rsidR="00C3517A">
        <w:rPr>
          <w:rFonts w:ascii="ITC Avant Garde" w:hAnsi="ITC Avant Garde"/>
          <w:color w:val="auto"/>
        </w:rPr>
        <w:t xml:space="preserve">libremente </w:t>
      </w:r>
      <w:r w:rsidR="0032255A">
        <w:rPr>
          <w:rFonts w:ascii="ITC Avant Garde" w:hAnsi="ITC Avant Garde"/>
          <w:color w:val="auto"/>
        </w:rPr>
        <w:t xml:space="preserve">así algún otro proveedor de servicios de telecomunicaciones móviles de su preferencia. Por lo anterior, no se considera adecuada la </w:t>
      </w:r>
      <w:r w:rsidR="003517C1">
        <w:rPr>
          <w:rFonts w:ascii="ITC Avant Garde" w:hAnsi="ITC Avant Garde"/>
          <w:color w:val="auto"/>
        </w:rPr>
        <w:t>modificación solicitada.</w:t>
      </w:r>
    </w:p>
    <w:p w14:paraId="09C3EC0A" w14:textId="77777777" w:rsidR="000314FF" w:rsidRDefault="000314FF" w:rsidP="00E55D5E">
      <w:pPr>
        <w:spacing w:after="0" w:line="276" w:lineRule="auto"/>
        <w:ind w:right="49"/>
        <w:rPr>
          <w:rFonts w:ascii="ITC Avant Garde" w:hAnsi="ITC Avant Garde"/>
          <w:color w:val="auto"/>
        </w:rPr>
      </w:pPr>
    </w:p>
    <w:p w14:paraId="17CFDD02" w14:textId="014CB7C0" w:rsidR="00E85903" w:rsidRPr="009C4398" w:rsidRDefault="00E85903" w:rsidP="00E55D5E">
      <w:pPr>
        <w:spacing w:after="0" w:line="276" w:lineRule="auto"/>
        <w:ind w:right="49"/>
        <w:rPr>
          <w:rFonts w:ascii="ITC Avant Garde" w:hAnsi="ITC Avant Garde"/>
          <w:b/>
          <w:bCs/>
          <w:color w:val="auto"/>
          <w:u w:val="single"/>
        </w:rPr>
      </w:pPr>
      <w:r w:rsidRPr="009C4398">
        <w:rPr>
          <w:rFonts w:ascii="ITC Avant Garde" w:hAnsi="ITC Avant Garde"/>
          <w:b/>
          <w:bCs/>
          <w:color w:val="auto"/>
          <w:u w:val="single"/>
        </w:rPr>
        <w:t xml:space="preserve">ARTÍCULO </w:t>
      </w:r>
      <w:r>
        <w:rPr>
          <w:rFonts w:ascii="ITC Avant Garde" w:hAnsi="ITC Avant Garde"/>
          <w:b/>
          <w:bCs/>
          <w:color w:val="auto"/>
          <w:u w:val="single"/>
        </w:rPr>
        <w:t>1</w:t>
      </w:r>
      <w:r w:rsidRPr="009C4398">
        <w:rPr>
          <w:rFonts w:ascii="ITC Avant Garde" w:hAnsi="ITC Avant Garde"/>
          <w:b/>
          <w:bCs/>
          <w:color w:val="auto"/>
          <w:u w:val="single"/>
        </w:rPr>
        <w:t>8</w:t>
      </w:r>
      <w:r>
        <w:rPr>
          <w:rFonts w:ascii="ITC Avant Garde" w:hAnsi="ITC Avant Garde"/>
          <w:b/>
          <w:bCs/>
          <w:color w:val="auto"/>
          <w:u w:val="single"/>
        </w:rPr>
        <w:t>, FRACCIÓN VIII</w:t>
      </w:r>
    </w:p>
    <w:p w14:paraId="1C5E4310" w14:textId="77777777" w:rsidR="00E85903" w:rsidRDefault="00E85903" w:rsidP="00E55D5E">
      <w:pPr>
        <w:spacing w:after="0" w:line="276" w:lineRule="auto"/>
        <w:ind w:right="49"/>
        <w:rPr>
          <w:rFonts w:ascii="ITC Avant Garde" w:hAnsi="ITC Avant Garde"/>
          <w:color w:val="auto"/>
        </w:rPr>
      </w:pPr>
    </w:p>
    <w:p w14:paraId="673F6C2A" w14:textId="77777777" w:rsidR="00E85903" w:rsidRPr="009C4398" w:rsidRDefault="00E85903" w:rsidP="00E55D5E">
      <w:pPr>
        <w:spacing w:after="0" w:line="276" w:lineRule="auto"/>
        <w:ind w:right="49"/>
        <w:rPr>
          <w:rFonts w:ascii="ITC Avant Garde" w:hAnsi="ITC Avant Garde"/>
          <w:b/>
          <w:bCs/>
          <w:color w:val="auto"/>
        </w:rPr>
      </w:pPr>
      <w:r>
        <w:rPr>
          <w:rFonts w:ascii="ITC Avant Garde" w:hAnsi="ITC Avant Garde"/>
          <w:b/>
          <w:bCs/>
          <w:color w:val="auto"/>
        </w:rPr>
        <w:t>Oriónidas</w:t>
      </w:r>
    </w:p>
    <w:p w14:paraId="5C1F6AF3" w14:textId="61B67F89" w:rsidR="001C6AD5" w:rsidRPr="001C6AD5" w:rsidRDefault="001C6AD5" w:rsidP="00E55D5E">
      <w:pPr>
        <w:spacing w:after="0" w:line="276" w:lineRule="auto"/>
        <w:ind w:right="49"/>
        <w:rPr>
          <w:rFonts w:ascii="ITC Avant Garde" w:eastAsiaTheme="minorHAnsi" w:hAnsi="ITC Avant Garde" w:cs="ITC Avant Garde"/>
          <w:lang w:eastAsia="en-US"/>
        </w:rPr>
      </w:pPr>
      <w:r w:rsidRPr="001C6AD5">
        <w:rPr>
          <w:rFonts w:ascii="ITC Avant Garde" w:eastAsiaTheme="minorHAnsi" w:hAnsi="ITC Avant Garde" w:cs="ITC Avant Garde"/>
          <w:lang w:eastAsia="en-US"/>
        </w:rPr>
        <w:lastRenderedPageBreak/>
        <w:t xml:space="preserve">Señala que </w:t>
      </w:r>
      <w:r>
        <w:rPr>
          <w:rFonts w:ascii="ITC Avant Garde" w:eastAsiaTheme="minorHAnsi" w:hAnsi="ITC Avant Garde" w:cs="ITC Avant Garde"/>
          <w:lang w:eastAsia="en-US"/>
        </w:rPr>
        <w:t>la modificación a la fracción VIII del artículo 18 debe quedar como se presenta a continuación</w:t>
      </w:r>
      <w:r w:rsidRPr="001C6AD5">
        <w:rPr>
          <w:rFonts w:ascii="ITC Avant Garde" w:eastAsiaTheme="minorHAnsi" w:hAnsi="ITC Avant Garde" w:cs="ITC Avant Garde"/>
          <w:lang w:eastAsia="en-US"/>
        </w:rPr>
        <w:t>:</w:t>
      </w:r>
    </w:p>
    <w:p w14:paraId="3C56D39B" w14:textId="77777777" w:rsidR="001C6AD5" w:rsidRPr="001C6AD5" w:rsidRDefault="001C6AD5" w:rsidP="00E55D5E">
      <w:pPr>
        <w:spacing w:after="0" w:line="276" w:lineRule="auto"/>
        <w:ind w:right="49"/>
        <w:rPr>
          <w:rFonts w:ascii="ITC Avant Garde" w:eastAsiaTheme="minorHAnsi" w:hAnsi="ITC Avant Garde" w:cs="ITC Avant Garde"/>
          <w:lang w:eastAsia="en-US"/>
        </w:rPr>
      </w:pPr>
    </w:p>
    <w:p w14:paraId="3432476F" w14:textId="6A00A74A" w:rsidR="00E85903" w:rsidRDefault="001C6AD5" w:rsidP="001C6AD5">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"VIII. Cláusula(s) en la(s) cuale(s) el Concesionario Mayorista Móvil por un lado señale expresamente que dará cumplimiento a la obligación consistente en garantizar la continuidad de funcionalidades </w:t>
      </w:r>
      <w:r w:rsidRPr="00E55D5E">
        <w:rPr>
          <w:rFonts w:ascii="ITC Avant Garde" w:eastAsiaTheme="minorHAnsi" w:hAnsi="ITC Avant Garde" w:cs="ITC Avant Garde"/>
          <w:i/>
          <w:iCs/>
          <w:sz w:val="18"/>
          <w:szCs w:val="18"/>
          <w:u w:val="single"/>
          <w:lang w:eastAsia="en-US"/>
        </w:rPr>
        <w:t>y, en caso de que el usuario así lo consienta, la provisión de información,</w:t>
      </w:r>
      <w:r w:rsidRPr="00E55D5E">
        <w:rPr>
          <w:rFonts w:ascii="ITC Avant Garde" w:eastAsiaTheme="minorHAnsi" w:hAnsi="ITC Avant Garde" w:cs="ITC Avant Garde"/>
          <w:i/>
          <w:iCs/>
          <w:sz w:val="18"/>
          <w:szCs w:val="18"/>
          <w:lang w:eastAsia="en-US"/>
        </w:rPr>
        <w:t xml:space="preserve"> de conformidad con lo establecido en el Capítulo VI de los presentes Lineamientos y, por otro lado, indique los sistemas y procedimientos que se seguirán para la atención de fallas e incidencias, trabajos de emergencia, programación de los mantenimientos respectivos y cualquier otra que asegure la continuidad en la prestación de los Servicios Mayoristas de Telecomunicaciones Móviles y de los Servicios Móviles al usuario final;"</w:t>
      </w:r>
    </w:p>
    <w:p w14:paraId="0C8F61DF" w14:textId="77777777" w:rsidR="00B820C5" w:rsidRPr="00AF7440" w:rsidRDefault="00B820C5" w:rsidP="00B820C5">
      <w:pPr>
        <w:spacing w:after="0" w:line="276" w:lineRule="auto"/>
        <w:ind w:left="567" w:right="616"/>
        <w:jc w:val="right"/>
        <w:rPr>
          <w:rFonts w:ascii="ITC Avant Garde" w:eastAsiaTheme="minorHAnsi" w:hAnsi="ITC Avant Garde" w:cs="ITC Avant Garde"/>
          <w:sz w:val="18"/>
          <w:szCs w:val="18"/>
          <w:lang w:eastAsia="en-US"/>
        </w:rPr>
      </w:pPr>
      <w:r>
        <w:rPr>
          <w:rFonts w:ascii="ITC Avant Garde" w:eastAsiaTheme="minorHAnsi" w:hAnsi="ITC Avant Garde" w:cs="ITC Avant Garde"/>
          <w:sz w:val="18"/>
          <w:szCs w:val="18"/>
          <w:lang w:eastAsia="en-US"/>
        </w:rPr>
        <w:t>Énfasis añadido</w:t>
      </w:r>
    </w:p>
    <w:p w14:paraId="5A03AF17" w14:textId="77777777" w:rsidR="00B820C5" w:rsidRDefault="00B820C5" w:rsidP="00E55D5E">
      <w:pPr>
        <w:spacing w:after="0" w:line="276" w:lineRule="auto"/>
        <w:ind w:right="49"/>
        <w:rPr>
          <w:rFonts w:ascii="ITC Avant Garde" w:eastAsiaTheme="minorHAnsi" w:hAnsi="ITC Avant Garde" w:cs="ITC Avant Garde"/>
          <w:lang w:eastAsia="en-US"/>
        </w:rPr>
      </w:pPr>
    </w:p>
    <w:p w14:paraId="329E0C8B" w14:textId="77777777" w:rsidR="00F61F71" w:rsidRPr="003419F5" w:rsidRDefault="00F61F71" w:rsidP="00F61F71">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60A279AD" w14:textId="77777777" w:rsidR="001E3546" w:rsidRDefault="001E3546" w:rsidP="00F61F71">
      <w:pPr>
        <w:spacing w:after="0" w:line="276" w:lineRule="auto"/>
        <w:ind w:right="49"/>
        <w:rPr>
          <w:rFonts w:ascii="ITC Avant Garde" w:hAnsi="ITC Avant Garde"/>
          <w:color w:val="auto"/>
        </w:rPr>
      </w:pPr>
    </w:p>
    <w:p w14:paraId="2796BD92" w14:textId="77777777" w:rsidR="006A3D09" w:rsidRDefault="006A3D09" w:rsidP="006A3D09">
      <w:pPr>
        <w:spacing w:after="0" w:line="276" w:lineRule="auto"/>
        <w:ind w:right="49"/>
        <w:rPr>
          <w:rFonts w:ascii="ITC Avant Garde" w:hAnsi="ITC Avant Garde"/>
          <w:color w:val="auto"/>
        </w:rPr>
      </w:pPr>
      <w:r>
        <w:rPr>
          <w:rFonts w:ascii="ITC Avant Garde" w:hAnsi="ITC Avant Garde"/>
          <w:color w:val="auto"/>
        </w:rPr>
        <w:t>No se considera adecuada la propuesta de modificación, pues la información presentada a los usuarios sobre las opciones para preservar la conectividad podría suponer información sesgada, que podría interferir en la libre decisión del usuario a elegir a un nuevo proveedor de servicios de telecomunicaciones móviles.</w:t>
      </w:r>
    </w:p>
    <w:p w14:paraId="5CF352DE" w14:textId="77777777" w:rsidR="006A3D09" w:rsidRDefault="006A3D09" w:rsidP="006A3D09">
      <w:pPr>
        <w:spacing w:after="0" w:line="276" w:lineRule="auto"/>
        <w:ind w:right="49"/>
        <w:rPr>
          <w:rFonts w:ascii="ITC Avant Garde" w:hAnsi="ITC Avant Garde"/>
          <w:color w:val="auto"/>
        </w:rPr>
      </w:pPr>
    </w:p>
    <w:p w14:paraId="7DBEFDC3" w14:textId="77777777" w:rsidR="006A3D09" w:rsidRPr="00555311" w:rsidRDefault="006A3D09" w:rsidP="006A3D09">
      <w:pPr>
        <w:spacing w:after="0" w:line="276" w:lineRule="auto"/>
        <w:ind w:right="49"/>
        <w:rPr>
          <w:rFonts w:ascii="ITC Avant Garde" w:hAnsi="ITC Avant Garde"/>
          <w:color w:val="auto"/>
        </w:rPr>
      </w:pPr>
      <w:r>
        <w:rPr>
          <w:rFonts w:ascii="ITC Avant Garde" w:hAnsi="ITC Avant Garde"/>
          <w:color w:val="auto"/>
        </w:rPr>
        <w:t>Asimismo, uno de los objetivos de la modificación a los Lineamientos es contar con un mecanismo para que los usuarios de aquellos OMV que cesan de manera abrupta sus operaciones puedan ejercer su derecho a la portabilidad de manera libre, y no es el objetivo establecer un medio para la comercialización de servicios de telecomunicaciones.</w:t>
      </w:r>
    </w:p>
    <w:p w14:paraId="04FAF552" w14:textId="77777777" w:rsidR="00F61F71" w:rsidRPr="00E55D5E" w:rsidRDefault="00F61F71" w:rsidP="00F61F71">
      <w:pPr>
        <w:spacing w:after="0" w:line="276" w:lineRule="auto"/>
        <w:ind w:right="49"/>
        <w:rPr>
          <w:rFonts w:ascii="ITC Avant Garde" w:eastAsiaTheme="minorHAnsi" w:hAnsi="ITC Avant Garde" w:cs="ITC Avant Garde"/>
          <w:lang w:eastAsia="en-US"/>
        </w:rPr>
      </w:pPr>
    </w:p>
    <w:p w14:paraId="1F8E95E4" w14:textId="77777777" w:rsidR="00E379A1" w:rsidRPr="009C4398" w:rsidRDefault="00E379A1" w:rsidP="00E379A1">
      <w:pPr>
        <w:spacing w:after="0" w:line="276" w:lineRule="auto"/>
        <w:ind w:right="49"/>
        <w:rPr>
          <w:rFonts w:ascii="ITC Avant Garde" w:hAnsi="ITC Avant Garde"/>
          <w:b/>
          <w:bCs/>
          <w:color w:val="auto"/>
        </w:rPr>
      </w:pPr>
      <w:r>
        <w:rPr>
          <w:rFonts w:ascii="ITC Avant Garde" w:hAnsi="ITC Avant Garde"/>
          <w:b/>
          <w:bCs/>
          <w:color w:val="auto"/>
        </w:rPr>
        <w:t>Grupo Televisa</w:t>
      </w:r>
    </w:p>
    <w:p w14:paraId="5F439B70" w14:textId="22CE3174" w:rsidR="00E379A1" w:rsidRPr="00E379A1" w:rsidRDefault="00E379A1" w:rsidP="00E379A1">
      <w:pPr>
        <w:spacing w:after="0" w:line="276" w:lineRule="auto"/>
        <w:ind w:right="49"/>
        <w:rPr>
          <w:rFonts w:ascii="ITC Avant Garde" w:eastAsiaTheme="minorHAnsi" w:hAnsi="ITC Avant Garde" w:cs="ITC Avant Garde"/>
          <w:lang w:eastAsia="en-US"/>
        </w:rPr>
      </w:pPr>
      <w:r w:rsidRPr="00E379A1">
        <w:rPr>
          <w:rFonts w:ascii="ITC Avant Garde" w:eastAsiaTheme="minorHAnsi" w:hAnsi="ITC Avant Garde" w:cs="ITC Avant Garde"/>
          <w:lang w:eastAsia="en-US"/>
        </w:rPr>
        <w:t>Señalan que</w:t>
      </w:r>
      <w:r w:rsidR="00C5163C">
        <w:rPr>
          <w:rFonts w:ascii="ITC Avant Garde" w:eastAsiaTheme="minorHAnsi" w:hAnsi="ITC Avant Garde" w:cs="ITC Avant Garde"/>
          <w:lang w:eastAsia="en-US"/>
        </w:rPr>
        <w:t>,</w:t>
      </w:r>
      <w:r w:rsidRPr="00E379A1">
        <w:rPr>
          <w:rFonts w:ascii="ITC Avant Garde" w:eastAsiaTheme="minorHAnsi" w:hAnsi="ITC Avant Garde" w:cs="ITC Avant Garde"/>
          <w:lang w:eastAsia="en-US"/>
        </w:rPr>
        <w:t xml:space="preserve"> considerando que la modificación de los Lineamientos tiene como objetivo el salvaguardar los derechos de los usuarios finales, es importante que queden estipulados y garantizados como mínimo lo derechos establecidos en el artículo 191 de la LFTR; i) derecho a la portabilidad, ii) a elegir libremente su proveedor de servicios, iii) a contratar y conocer las condiciones comerciales establecidas en los modelos de contrato de adhesión, registradas ante la PROFECO y que le provean los servicios de telecomunicaciones conforme a los parámetros de calidad contratados.</w:t>
      </w:r>
    </w:p>
    <w:p w14:paraId="3FAF0C47" w14:textId="77777777" w:rsidR="00E379A1" w:rsidRPr="00E379A1" w:rsidRDefault="00E379A1" w:rsidP="00E379A1">
      <w:pPr>
        <w:spacing w:after="0" w:line="276" w:lineRule="auto"/>
        <w:ind w:right="49"/>
        <w:rPr>
          <w:rFonts w:ascii="ITC Avant Garde" w:eastAsiaTheme="minorHAnsi" w:hAnsi="ITC Avant Garde" w:cs="ITC Avant Garde"/>
          <w:lang w:eastAsia="en-US"/>
        </w:rPr>
      </w:pPr>
    </w:p>
    <w:p w14:paraId="3976CB8C" w14:textId="77777777" w:rsidR="00E379A1" w:rsidRPr="00E379A1" w:rsidRDefault="00E379A1" w:rsidP="00E379A1">
      <w:pPr>
        <w:spacing w:after="0" w:line="276" w:lineRule="auto"/>
        <w:ind w:right="49"/>
        <w:rPr>
          <w:rFonts w:ascii="ITC Avant Garde" w:eastAsiaTheme="minorHAnsi" w:hAnsi="ITC Avant Garde" w:cs="ITC Avant Garde"/>
          <w:lang w:eastAsia="en-US"/>
        </w:rPr>
      </w:pPr>
      <w:r w:rsidRPr="00E379A1">
        <w:rPr>
          <w:rFonts w:ascii="ITC Avant Garde" w:eastAsiaTheme="minorHAnsi" w:hAnsi="ITC Avant Garde" w:cs="ITC Avant Garde"/>
          <w:lang w:eastAsia="en-US"/>
        </w:rPr>
        <w:t>En virtud de lo anterior, sugieren la siguiente redacción:</w:t>
      </w:r>
    </w:p>
    <w:p w14:paraId="1D6B85D7" w14:textId="77777777" w:rsidR="00E379A1" w:rsidRPr="00E379A1" w:rsidRDefault="00E379A1" w:rsidP="00E379A1">
      <w:pPr>
        <w:spacing w:after="0" w:line="276" w:lineRule="auto"/>
        <w:ind w:right="49"/>
        <w:rPr>
          <w:rFonts w:ascii="ITC Avant Garde" w:eastAsiaTheme="minorHAnsi" w:hAnsi="ITC Avant Garde" w:cs="ITC Avant Garde"/>
          <w:lang w:eastAsia="en-US"/>
        </w:rPr>
      </w:pPr>
    </w:p>
    <w:p w14:paraId="41CA2BB2" w14:textId="40FA43A0" w:rsidR="00B820C5" w:rsidRDefault="00E379A1"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""VIII. Cláusula(s) en la(s) cual(es) el Concesionario Mayorista por un lado señale expresamente que dará cumplimiento a la obligación consistente en garantizar la continuidad de </w:t>
      </w:r>
      <w:r w:rsidRPr="008B1904">
        <w:rPr>
          <w:rFonts w:ascii="ITC Avant Garde" w:eastAsiaTheme="minorHAnsi" w:hAnsi="ITC Avant Garde" w:cs="ITC Avant Garde"/>
          <w:i/>
          <w:iCs/>
          <w:strike/>
          <w:sz w:val="18"/>
          <w:szCs w:val="18"/>
          <w:lang w:eastAsia="en-US"/>
        </w:rPr>
        <w:t>funcionalidades</w:t>
      </w:r>
      <w:r w:rsidRPr="00E55D5E">
        <w:rPr>
          <w:rFonts w:ascii="ITC Avant Garde" w:eastAsiaTheme="minorHAnsi" w:hAnsi="ITC Avant Garde" w:cs="ITC Avant Garde"/>
          <w:i/>
          <w:iCs/>
          <w:sz w:val="18"/>
          <w:szCs w:val="18"/>
          <w:lang w:eastAsia="en-US"/>
        </w:rPr>
        <w:t xml:space="preserve"> </w:t>
      </w:r>
      <w:r w:rsidRPr="008B1904">
        <w:rPr>
          <w:rFonts w:ascii="ITC Avant Garde" w:eastAsiaTheme="minorHAnsi" w:hAnsi="ITC Avant Garde" w:cs="ITC Avant Garde"/>
          <w:i/>
          <w:iCs/>
          <w:sz w:val="18"/>
          <w:szCs w:val="18"/>
          <w:u w:val="single"/>
          <w:lang w:eastAsia="en-US"/>
        </w:rPr>
        <w:t>prestación del Servicio Móvil</w:t>
      </w:r>
      <w:r w:rsidRPr="00E55D5E">
        <w:rPr>
          <w:rFonts w:ascii="ITC Avant Garde" w:eastAsiaTheme="minorHAnsi" w:hAnsi="ITC Avant Garde" w:cs="ITC Avant Garde"/>
          <w:i/>
          <w:iCs/>
          <w:sz w:val="18"/>
          <w:szCs w:val="18"/>
          <w:lang w:eastAsia="en-US"/>
        </w:rPr>
        <w:t xml:space="preserve"> al usuario, </w:t>
      </w:r>
      <w:r w:rsidRPr="008B1904">
        <w:rPr>
          <w:rFonts w:ascii="ITC Avant Garde" w:eastAsiaTheme="minorHAnsi" w:hAnsi="ITC Avant Garde" w:cs="ITC Avant Garde"/>
          <w:i/>
          <w:iCs/>
          <w:sz w:val="18"/>
          <w:szCs w:val="18"/>
          <w:u w:val="single"/>
          <w:lang w:eastAsia="en-US"/>
        </w:rPr>
        <w:t xml:space="preserve">y garantizar los derechos de los usuarios finales establecidos en la Ley, </w:t>
      </w:r>
      <w:r w:rsidRPr="00E55D5E">
        <w:rPr>
          <w:rFonts w:ascii="ITC Avant Garde" w:eastAsiaTheme="minorHAnsi" w:hAnsi="ITC Avant Garde" w:cs="ITC Avant Garde"/>
          <w:i/>
          <w:iCs/>
          <w:sz w:val="18"/>
          <w:szCs w:val="18"/>
          <w:lang w:eastAsia="en-US"/>
        </w:rPr>
        <w:t xml:space="preserve">de conformidad con lo establecido en el Capítulo VI de los presentes Lineamientos y, por otro lado, indique los </w:t>
      </w:r>
      <w:r w:rsidRPr="00E55D5E">
        <w:rPr>
          <w:rFonts w:ascii="ITC Avant Garde" w:eastAsiaTheme="minorHAnsi" w:hAnsi="ITC Avant Garde" w:cs="ITC Avant Garde"/>
          <w:i/>
          <w:iCs/>
          <w:sz w:val="18"/>
          <w:szCs w:val="18"/>
          <w:lang w:eastAsia="en-US"/>
        </w:rPr>
        <w:lastRenderedPageBreak/>
        <w:t>sistemas y procedimientos que se seguirán para la atención de fallas e incidencias, trabajos de emergencia, programación de los mantenimientos respectivos y cualquier otra que asegure la continuidad en la prestación de los Servicios Mayoristas de Telecomunicaciones Móviles y de los Servicio Móviles al usuario final;"</w:t>
      </w:r>
    </w:p>
    <w:p w14:paraId="79FA0D07" w14:textId="77777777" w:rsidR="008C7F4E" w:rsidRPr="00AF7440" w:rsidRDefault="008C7F4E" w:rsidP="008C7F4E">
      <w:pPr>
        <w:spacing w:after="0" w:line="276" w:lineRule="auto"/>
        <w:ind w:left="567" w:right="616"/>
        <w:jc w:val="right"/>
        <w:rPr>
          <w:rFonts w:ascii="ITC Avant Garde" w:eastAsiaTheme="minorHAnsi" w:hAnsi="ITC Avant Garde" w:cs="ITC Avant Garde"/>
          <w:sz w:val="18"/>
          <w:szCs w:val="18"/>
          <w:lang w:eastAsia="en-US"/>
        </w:rPr>
      </w:pPr>
      <w:r>
        <w:rPr>
          <w:rFonts w:ascii="ITC Avant Garde" w:eastAsiaTheme="minorHAnsi" w:hAnsi="ITC Avant Garde" w:cs="ITC Avant Garde"/>
          <w:sz w:val="18"/>
          <w:szCs w:val="18"/>
          <w:lang w:eastAsia="en-US"/>
        </w:rPr>
        <w:t>Énfasis añadido</w:t>
      </w:r>
    </w:p>
    <w:p w14:paraId="33B06E3A" w14:textId="77777777" w:rsidR="000E71E7" w:rsidRDefault="000E71E7" w:rsidP="00E55D5E">
      <w:pPr>
        <w:spacing w:after="0" w:line="276" w:lineRule="auto"/>
        <w:ind w:right="49"/>
        <w:rPr>
          <w:rFonts w:ascii="ITC Avant Garde" w:eastAsiaTheme="minorHAnsi" w:hAnsi="ITC Avant Garde" w:cs="ITC Avant Garde"/>
          <w:lang w:eastAsia="en-US"/>
        </w:rPr>
      </w:pPr>
    </w:p>
    <w:p w14:paraId="706F3A5B" w14:textId="73B22E8A" w:rsidR="000E71E7" w:rsidRPr="009C4398" w:rsidRDefault="000E71E7" w:rsidP="000E71E7">
      <w:pPr>
        <w:spacing w:after="0" w:line="276" w:lineRule="auto"/>
        <w:ind w:right="49"/>
        <w:rPr>
          <w:rFonts w:ascii="ITC Avant Garde" w:hAnsi="ITC Avant Garde"/>
          <w:b/>
          <w:bCs/>
          <w:color w:val="auto"/>
          <w:u w:val="single"/>
        </w:rPr>
      </w:pPr>
      <w:r>
        <w:rPr>
          <w:rFonts w:ascii="ITC Avant Garde" w:hAnsi="ITC Avant Garde"/>
          <w:b/>
          <w:bCs/>
          <w:color w:val="auto"/>
          <w:u w:val="single"/>
        </w:rPr>
        <w:t>CAPITULO VI</w:t>
      </w:r>
    </w:p>
    <w:p w14:paraId="761EA200" w14:textId="77777777" w:rsidR="000E71E7" w:rsidRDefault="000E71E7" w:rsidP="000E71E7">
      <w:pPr>
        <w:spacing w:after="0" w:line="276" w:lineRule="auto"/>
        <w:ind w:right="49"/>
        <w:rPr>
          <w:rFonts w:ascii="ITC Avant Garde" w:hAnsi="ITC Avant Garde"/>
          <w:color w:val="auto"/>
        </w:rPr>
      </w:pPr>
    </w:p>
    <w:p w14:paraId="1039DE67" w14:textId="69F1592E" w:rsidR="000E71E7" w:rsidRPr="009C4398" w:rsidRDefault="000E71E7" w:rsidP="000E71E7">
      <w:pPr>
        <w:spacing w:after="0" w:line="276" w:lineRule="auto"/>
        <w:ind w:right="49"/>
        <w:rPr>
          <w:rFonts w:ascii="ITC Avant Garde" w:hAnsi="ITC Avant Garde"/>
          <w:b/>
          <w:bCs/>
          <w:color w:val="auto"/>
        </w:rPr>
      </w:pPr>
      <w:r>
        <w:rPr>
          <w:rFonts w:ascii="ITC Avant Garde" w:hAnsi="ITC Avant Garde"/>
          <w:b/>
          <w:bCs/>
          <w:color w:val="auto"/>
        </w:rPr>
        <w:t>Grupo Televisa</w:t>
      </w:r>
    </w:p>
    <w:p w14:paraId="55996EA5" w14:textId="77777777" w:rsidR="00B31E1D" w:rsidRPr="00B31E1D" w:rsidRDefault="00B31E1D" w:rsidP="00B31E1D">
      <w:pPr>
        <w:spacing w:after="0" w:line="276" w:lineRule="auto"/>
        <w:ind w:right="49"/>
        <w:rPr>
          <w:rFonts w:ascii="ITC Avant Garde" w:eastAsiaTheme="minorHAnsi" w:hAnsi="ITC Avant Garde" w:cs="ITC Avant Garde"/>
          <w:lang w:eastAsia="en-US"/>
        </w:rPr>
      </w:pPr>
      <w:r w:rsidRPr="00B31E1D">
        <w:rPr>
          <w:rFonts w:ascii="ITC Avant Garde" w:eastAsiaTheme="minorHAnsi" w:hAnsi="ITC Avant Garde" w:cs="ITC Avant Garde"/>
          <w:lang w:eastAsia="en-US"/>
        </w:rPr>
        <w:t>Consideran que debe quedar claro que el Concesionario Mayorista Móvil debe garantizar la continuidad de la prestación del Servicio Móvil, por lo que, sugieren la siguiente redacción:</w:t>
      </w:r>
    </w:p>
    <w:p w14:paraId="7A368432" w14:textId="77777777" w:rsidR="00B31E1D" w:rsidRPr="00B31E1D" w:rsidRDefault="00B31E1D" w:rsidP="00B31E1D">
      <w:pPr>
        <w:spacing w:after="0" w:line="276" w:lineRule="auto"/>
        <w:ind w:right="49"/>
        <w:rPr>
          <w:rFonts w:ascii="ITC Avant Garde" w:eastAsiaTheme="minorHAnsi" w:hAnsi="ITC Avant Garde" w:cs="ITC Avant Garde"/>
          <w:lang w:eastAsia="en-US"/>
        </w:rPr>
      </w:pPr>
    </w:p>
    <w:p w14:paraId="01FD9E09" w14:textId="187A6901" w:rsidR="000E71E7" w:rsidRDefault="00B31E1D" w:rsidP="00E55D5E">
      <w:pPr>
        <w:spacing w:after="0" w:line="276" w:lineRule="auto"/>
        <w:ind w:left="567" w:right="616"/>
        <w:jc w:val="center"/>
        <w:rPr>
          <w:rFonts w:ascii="ITC Avant Garde" w:eastAsiaTheme="minorHAnsi" w:hAnsi="ITC Avant Garde" w:cs="ITC Avant Garde"/>
          <w:sz w:val="18"/>
          <w:szCs w:val="18"/>
          <w:lang w:eastAsia="en-US"/>
        </w:rPr>
      </w:pPr>
      <w:r w:rsidRPr="00E55D5E">
        <w:rPr>
          <w:rFonts w:ascii="ITC Avant Garde" w:eastAsiaTheme="minorHAnsi" w:hAnsi="ITC Avant Garde" w:cs="ITC Avant Garde"/>
          <w:sz w:val="18"/>
          <w:szCs w:val="18"/>
          <w:lang w:eastAsia="en-US"/>
        </w:rPr>
        <w:t xml:space="preserve">"CONTINUIDAD DE </w:t>
      </w:r>
      <w:r w:rsidRPr="00E55D5E">
        <w:rPr>
          <w:rFonts w:ascii="ITC Avant Garde" w:eastAsiaTheme="minorHAnsi" w:hAnsi="ITC Avant Garde" w:cs="ITC Avant Garde"/>
          <w:strike/>
          <w:sz w:val="18"/>
          <w:szCs w:val="18"/>
          <w:lang w:eastAsia="en-US"/>
        </w:rPr>
        <w:t>FUNCIONALIDADES</w:t>
      </w:r>
      <w:r w:rsidRPr="00E55D5E">
        <w:rPr>
          <w:rFonts w:ascii="ITC Avant Garde" w:eastAsiaTheme="minorHAnsi" w:hAnsi="ITC Avant Garde" w:cs="ITC Avant Garde"/>
          <w:sz w:val="18"/>
          <w:szCs w:val="18"/>
          <w:lang w:eastAsia="en-US"/>
        </w:rPr>
        <w:t xml:space="preserve"> </w:t>
      </w:r>
      <w:r w:rsidRPr="00E55D5E">
        <w:rPr>
          <w:rFonts w:ascii="ITC Avant Garde" w:eastAsiaTheme="minorHAnsi" w:hAnsi="ITC Avant Garde" w:cs="ITC Avant Garde"/>
          <w:sz w:val="18"/>
          <w:szCs w:val="18"/>
          <w:u w:val="single"/>
          <w:lang w:eastAsia="en-US"/>
        </w:rPr>
        <w:t>PRESTACIÓN DE SERVICIOS</w:t>
      </w:r>
      <w:r w:rsidRPr="00E55D5E">
        <w:rPr>
          <w:rFonts w:ascii="ITC Avant Garde" w:eastAsiaTheme="minorHAnsi" w:hAnsi="ITC Avant Garde" w:cs="ITC Avant Garde"/>
          <w:sz w:val="18"/>
          <w:szCs w:val="18"/>
          <w:lang w:eastAsia="en-US"/>
        </w:rPr>
        <w:t>"</w:t>
      </w:r>
    </w:p>
    <w:p w14:paraId="5A0BA0A9" w14:textId="77777777" w:rsidR="00AB782E" w:rsidRDefault="00AB782E" w:rsidP="00B31E1D">
      <w:pPr>
        <w:spacing w:after="0" w:line="276" w:lineRule="auto"/>
        <w:ind w:left="567" w:right="616"/>
        <w:jc w:val="right"/>
        <w:rPr>
          <w:rFonts w:ascii="ITC Avant Garde" w:eastAsiaTheme="minorHAnsi" w:hAnsi="ITC Avant Garde" w:cs="ITC Avant Garde"/>
          <w:sz w:val="18"/>
          <w:szCs w:val="18"/>
          <w:lang w:eastAsia="en-US"/>
        </w:rPr>
      </w:pPr>
    </w:p>
    <w:p w14:paraId="08A43021" w14:textId="424B33B6" w:rsidR="00B31E1D" w:rsidRPr="00AF7440" w:rsidRDefault="00B31E1D" w:rsidP="00B31E1D">
      <w:pPr>
        <w:spacing w:after="0" w:line="276" w:lineRule="auto"/>
        <w:ind w:left="567" w:right="616"/>
        <w:jc w:val="right"/>
        <w:rPr>
          <w:rFonts w:ascii="ITC Avant Garde" w:eastAsiaTheme="minorHAnsi" w:hAnsi="ITC Avant Garde" w:cs="ITC Avant Garde"/>
          <w:sz w:val="18"/>
          <w:szCs w:val="18"/>
          <w:lang w:eastAsia="en-US"/>
        </w:rPr>
      </w:pPr>
      <w:r>
        <w:rPr>
          <w:rFonts w:ascii="ITC Avant Garde" w:eastAsiaTheme="minorHAnsi" w:hAnsi="ITC Avant Garde" w:cs="ITC Avant Garde"/>
          <w:sz w:val="18"/>
          <w:szCs w:val="18"/>
          <w:lang w:eastAsia="en-US"/>
        </w:rPr>
        <w:t>Énfasis añadido</w:t>
      </w:r>
    </w:p>
    <w:p w14:paraId="2FAC76B0" w14:textId="77777777" w:rsidR="00B31E1D" w:rsidRDefault="00B31E1D" w:rsidP="00FA34E8">
      <w:pPr>
        <w:spacing w:after="0" w:line="276" w:lineRule="auto"/>
        <w:ind w:right="49"/>
        <w:rPr>
          <w:rFonts w:ascii="ITC Avant Garde" w:eastAsiaTheme="minorHAnsi" w:hAnsi="ITC Avant Garde" w:cs="ITC Avant Garde"/>
          <w:lang w:eastAsia="en-US"/>
        </w:rPr>
      </w:pPr>
    </w:p>
    <w:p w14:paraId="6A9E5E86" w14:textId="77777777" w:rsidR="001D0FC7" w:rsidRPr="003419F5" w:rsidRDefault="001D0FC7" w:rsidP="001D0FC7">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589D2F58" w14:textId="77777777" w:rsidR="001D0FC7" w:rsidRDefault="001D0FC7" w:rsidP="001D0FC7">
      <w:pPr>
        <w:spacing w:after="0" w:line="276" w:lineRule="auto"/>
        <w:ind w:right="49"/>
        <w:rPr>
          <w:rFonts w:ascii="ITC Avant Garde" w:hAnsi="ITC Avant Garde"/>
          <w:color w:val="auto"/>
        </w:rPr>
      </w:pPr>
    </w:p>
    <w:p w14:paraId="144CEA7D" w14:textId="7E2E57C0" w:rsidR="00E55D5E" w:rsidRPr="00555311" w:rsidRDefault="001D0FC7" w:rsidP="00E55D5E">
      <w:pPr>
        <w:spacing w:after="0" w:line="276" w:lineRule="auto"/>
        <w:ind w:right="49"/>
        <w:rPr>
          <w:rFonts w:ascii="ITC Avant Garde" w:hAnsi="ITC Avant Garde"/>
          <w:color w:val="auto"/>
        </w:rPr>
      </w:pPr>
      <w:r>
        <w:rPr>
          <w:rFonts w:ascii="ITC Avant Garde" w:hAnsi="ITC Avant Garde"/>
          <w:color w:val="auto"/>
        </w:rPr>
        <w:t xml:space="preserve">El propósito principal de la Modificación de Lineamientos OMV no es que el Concesionario Mayorista Móvil sea quien dé continuidad a la prestación de los servicios de telecomunicaciones móviles a los usuarios de aquellos OMV que cesan de manera abrupta sus operaciones, sino que se busca ofrecer un mecanismo que, mediante el apoyo temporal de </w:t>
      </w:r>
      <w:r w:rsidR="009B5E8B">
        <w:rPr>
          <w:rFonts w:ascii="ITC Avant Garde" w:hAnsi="ITC Avant Garde"/>
          <w:color w:val="auto"/>
        </w:rPr>
        <w:t xml:space="preserve">funcionalidades y </w:t>
      </w:r>
      <w:r>
        <w:rPr>
          <w:rFonts w:ascii="ITC Avant Garde" w:hAnsi="ITC Avant Garde"/>
          <w:color w:val="auto"/>
        </w:rPr>
        <w:t>los recursos de red del Concesionario Mayorista Móvil, dichos usuarios puedan ejercer su derecho a la portabilidad, eligiendo así algún otro proveedor de servicios de telecomunicaciones móviles de su preferencia. Por lo anterior, no se considera adecuada la modificación solicitada.</w:t>
      </w:r>
    </w:p>
    <w:p w14:paraId="1DB1C076" w14:textId="77777777" w:rsidR="00E55D5E" w:rsidRPr="00FA34E8" w:rsidRDefault="00E55D5E" w:rsidP="00FA34E8">
      <w:pPr>
        <w:spacing w:after="0" w:line="276" w:lineRule="auto"/>
        <w:ind w:right="49"/>
        <w:rPr>
          <w:rFonts w:ascii="ITC Avant Garde" w:eastAsiaTheme="minorHAnsi" w:hAnsi="ITC Avant Garde" w:cs="ITC Avant Garde"/>
          <w:lang w:eastAsia="en-US"/>
        </w:rPr>
      </w:pPr>
    </w:p>
    <w:p w14:paraId="7BEE1D03" w14:textId="3EBDCC78" w:rsidR="009E0738" w:rsidRPr="009C4398" w:rsidRDefault="009E0738" w:rsidP="009E0738">
      <w:pPr>
        <w:spacing w:after="0" w:line="276" w:lineRule="auto"/>
        <w:ind w:right="49"/>
        <w:rPr>
          <w:rFonts w:ascii="ITC Avant Garde" w:hAnsi="ITC Avant Garde"/>
          <w:b/>
          <w:bCs/>
          <w:color w:val="auto"/>
          <w:u w:val="single"/>
        </w:rPr>
      </w:pPr>
      <w:r w:rsidRPr="009C4398">
        <w:rPr>
          <w:rFonts w:ascii="ITC Avant Garde" w:hAnsi="ITC Avant Garde"/>
          <w:b/>
          <w:bCs/>
          <w:color w:val="auto"/>
          <w:u w:val="single"/>
        </w:rPr>
        <w:t xml:space="preserve">ARTÍCULO </w:t>
      </w:r>
      <w:r>
        <w:rPr>
          <w:rFonts w:ascii="ITC Avant Garde" w:hAnsi="ITC Avant Garde"/>
          <w:b/>
          <w:bCs/>
          <w:color w:val="auto"/>
          <w:u w:val="single"/>
        </w:rPr>
        <w:t>22</w:t>
      </w:r>
    </w:p>
    <w:p w14:paraId="78DBE8E2" w14:textId="77777777" w:rsidR="009E0738" w:rsidRDefault="009E0738" w:rsidP="009E0738">
      <w:pPr>
        <w:spacing w:after="0" w:line="276" w:lineRule="auto"/>
        <w:ind w:right="49"/>
        <w:rPr>
          <w:rFonts w:ascii="ITC Avant Garde" w:hAnsi="ITC Avant Garde"/>
          <w:color w:val="auto"/>
        </w:rPr>
      </w:pPr>
    </w:p>
    <w:p w14:paraId="27821C6A" w14:textId="77777777" w:rsidR="009E0738" w:rsidRPr="009C4398" w:rsidRDefault="009E0738" w:rsidP="009E0738">
      <w:pPr>
        <w:spacing w:after="0" w:line="276" w:lineRule="auto"/>
        <w:ind w:right="49"/>
        <w:rPr>
          <w:rFonts w:ascii="ITC Avant Garde" w:hAnsi="ITC Avant Garde"/>
          <w:b/>
          <w:bCs/>
          <w:color w:val="auto"/>
        </w:rPr>
      </w:pPr>
      <w:r>
        <w:rPr>
          <w:rFonts w:ascii="ITC Avant Garde" w:hAnsi="ITC Avant Garde"/>
          <w:b/>
          <w:bCs/>
          <w:color w:val="auto"/>
        </w:rPr>
        <w:t>Oriónidas</w:t>
      </w:r>
    </w:p>
    <w:p w14:paraId="2987356A" w14:textId="77777777" w:rsidR="00953F81" w:rsidRPr="00953F81" w:rsidRDefault="00953F81" w:rsidP="00953F81">
      <w:pPr>
        <w:spacing w:after="0" w:line="276" w:lineRule="auto"/>
        <w:ind w:right="49"/>
        <w:rPr>
          <w:rFonts w:ascii="ITC Avant Garde" w:eastAsiaTheme="minorHAnsi" w:hAnsi="ITC Avant Garde" w:cs="ITC Avant Garde"/>
          <w:lang w:eastAsia="en-US"/>
        </w:rPr>
      </w:pPr>
      <w:r w:rsidRPr="00953F81">
        <w:rPr>
          <w:rFonts w:ascii="ITC Avant Garde" w:eastAsiaTheme="minorHAnsi" w:hAnsi="ITC Avant Garde" w:cs="ITC Avant Garde"/>
          <w:lang w:eastAsia="en-US"/>
        </w:rPr>
        <w:t>Señala que debe decir:</w:t>
      </w:r>
    </w:p>
    <w:p w14:paraId="4318E346" w14:textId="77777777" w:rsidR="00953F81" w:rsidRPr="00953F81" w:rsidRDefault="00953F81" w:rsidP="00953F81">
      <w:pPr>
        <w:spacing w:after="0" w:line="276" w:lineRule="auto"/>
        <w:ind w:right="49"/>
        <w:rPr>
          <w:rFonts w:ascii="ITC Avant Garde" w:eastAsiaTheme="minorHAnsi" w:hAnsi="ITC Avant Garde" w:cs="ITC Avant Garde"/>
          <w:lang w:eastAsia="en-US"/>
        </w:rPr>
      </w:pPr>
    </w:p>
    <w:p w14:paraId="2CD3BE03" w14:textId="77777777" w:rsidR="00953F81" w:rsidRPr="00E55D5E" w:rsidRDefault="00953F81"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"Artículo 22. Cuando un Operador Móvil Virtual suspenda definitivamente la prestación de servicios de telecomunicaciones a sus usuarios finales y no exista o no se haya llevado a cabo una migración total hacia otros concesionarios u operadores Móviles Virtuales, el Concesionario Mayorista Móvil con quien celebró un Contrato de Servicios Mayoristas de Telecomunicaciones Móviles deberá brindar a aquellos usuarios las funcionalidades que permitan llevar a cabo la portabilidad numérica, </w:t>
      </w:r>
      <w:r w:rsidRPr="00E55D5E">
        <w:rPr>
          <w:rFonts w:ascii="ITC Avant Garde" w:eastAsiaTheme="minorHAnsi" w:hAnsi="ITC Avant Garde" w:cs="ITC Avant Garde"/>
          <w:i/>
          <w:iCs/>
          <w:sz w:val="18"/>
          <w:szCs w:val="18"/>
          <w:u w:val="single"/>
          <w:lang w:eastAsia="en-US"/>
        </w:rPr>
        <w:t>conocer sus opciones de portación solo en caso que el usuario así lo consienta,</w:t>
      </w:r>
      <w:r w:rsidRPr="00E55D5E">
        <w:rPr>
          <w:rFonts w:ascii="ITC Avant Garde" w:eastAsiaTheme="minorHAnsi" w:hAnsi="ITC Avant Garde" w:cs="ITC Avant Garde"/>
          <w:i/>
          <w:iCs/>
          <w:sz w:val="18"/>
          <w:szCs w:val="18"/>
          <w:lang w:eastAsia="en-US"/>
        </w:rPr>
        <w:t xml:space="preserve"> así como realizar llamadas a números de emergencia, durante un periodo de </w:t>
      </w:r>
      <w:r w:rsidRPr="00E55D5E">
        <w:rPr>
          <w:rFonts w:ascii="ITC Avant Garde" w:eastAsiaTheme="minorHAnsi" w:hAnsi="ITC Avant Garde" w:cs="ITC Avant Garde"/>
          <w:i/>
          <w:iCs/>
          <w:strike/>
          <w:sz w:val="18"/>
          <w:szCs w:val="18"/>
          <w:lang w:eastAsia="en-US"/>
        </w:rPr>
        <w:t>40</w:t>
      </w:r>
      <w:r w:rsidRPr="00E55D5E">
        <w:rPr>
          <w:rFonts w:ascii="ITC Avant Garde" w:eastAsiaTheme="minorHAnsi" w:hAnsi="ITC Avant Garde" w:cs="ITC Avant Garde"/>
          <w:i/>
          <w:iCs/>
          <w:sz w:val="18"/>
          <w:szCs w:val="18"/>
          <w:lang w:eastAsia="en-US"/>
        </w:rPr>
        <w:t xml:space="preserve"> </w:t>
      </w:r>
      <w:r w:rsidRPr="00E55D5E">
        <w:rPr>
          <w:rFonts w:ascii="ITC Avant Garde" w:eastAsiaTheme="minorHAnsi" w:hAnsi="ITC Avant Garde" w:cs="ITC Avant Garde"/>
          <w:i/>
          <w:iCs/>
          <w:sz w:val="18"/>
          <w:szCs w:val="18"/>
          <w:u w:val="single"/>
          <w:lang w:eastAsia="en-US"/>
        </w:rPr>
        <w:t>60</w:t>
      </w:r>
      <w:r w:rsidRPr="00E55D5E">
        <w:rPr>
          <w:rFonts w:ascii="ITC Avant Garde" w:eastAsiaTheme="minorHAnsi" w:hAnsi="ITC Avant Garde" w:cs="ITC Avant Garde"/>
          <w:i/>
          <w:iCs/>
          <w:sz w:val="18"/>
          <w:szCs w:val="18"/>
          <w:lang w:eastAsia="en-US"/>
        </w:rPr>
        <w:t xml:space="preserve"> días naturales, contados a partir de la re</w:t>
      </w:r>
      <w:r w:rsidRPr="00E55D5E">
        <w:rPr>
          <w:rFonts w:ascii="ITC Avant Garde" w:eastAsiaTheme="minorHAnsi" w:hAnsi="ITC Avant Garde" w:cs="ITC Avant Garde"/>
          <w:i/>
          <w:iCs/>
          <w:sz w:val="18"/>
          <w:szCs w:val="18"/>
          <w:u w:val="single"/>
          <w:lang w:eastAsia="en-US"/>
        </w:rPr>
        <w:t>s</w:t>
      </w:r>
      <w:r w:rsidRPr="00E55D5E">
        <w:rPr>
          <w:rFonts w:ascii="ITC Avant Garde" w:eastAsiaTheme="minorHAnsi" w:hAnsi="ITC Avant Garde" w:cs="ITC Avant Garde"/>
          <w:i/>
          <w:iCs/>
          <w:sz w:val="18"/>
          <w:szCs w:val="18"/>
          <w:lang w:eastAsia="en-US"/>
        </w:rPr>
        <w:t>cisión o terminación del contrato por la prestación de servicios mayoristas móviles con el Operador Móvil Virtual.</w:t>
      </w:r>
    </w:p>
    <w:p w14:paraId="522D3ACD" w14:textId="77777777" w:rsidR="00953F81" w:rsidRPr="00E55D5E" w:rsidRDefault="00953F81" w:rsidP="00E55D5E">
      <w:pPr>
        <w:spacing w:after="0" w:line="276" w:lineRule="auto"/>
        <w:ind w:left="567" w:right="616"/>
        <w:rPr>
          <w:rFonts w:ascii="ITC Avant Garde" w:eastAsiaTheme="minorHAnsi" w:hAnsi="ITC Avant Garde" w:cs="ITC Avant Garde"/>
          <w:i/>
          <w:iCs/>
          <w:sz w:val="18"/>
          <w:szCs w:val="18"/>
          <w:lang w:eastAsia="en-US"/>
        </w:rPr>
      </w:pPr>
    </w:p>
    <w:p w14:paraId="2C35AFC7" w14:textId="77777777" w:rsidR="00953F81" w:rsidRPr="00E55D5E" w:rsidRDefault="00953F81"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lastRenderedPageBreak/>
        <w:t>Las funcionalidades temporales que deberá brindar el Concesionario Mayorista Móvil se limitarán a la conexión en su red del equipo terminal del usuario con los siguientes propósitos:</w:t>
      </w:r>
    </w:p>
    <w:p w14:paraId="22A52EF3" w14:textId="77777777" w:rsidR="00953F81" w:rsidRPr="00E55D5E" w:rsidRDefault="00953F81" w:rsidP="00E55D5E">
      <w:pPr>
        <w:spacing w:after="0" w:line="276" w:lineRule="auto"/>
        <w:ind w:left="567" w:right="616"/>
        <w:rPr>
          <w:rFonts w:ascii="ITC Avant Garde" w:eastAsiaTheme="minorHAnsi" w:hAnsi="ITC Avant Garde" w:cs="ITC Avant Garde"/>
          <w:i/>
          <w:iCs/>
          <w:sz w:val="18"/>
          <w:szCs w:val="18"/>
          <w:lang w:eastAsia="en-US"/>
        </w:rPr>
      </w:pPr>
    </w:p>
    <w:p w14:paraId="3606E8F5" w14:textId="77777777" w:rsidR="00953F81" w:rsidRPr="00E55D5E" w:rsidRDefault="00953F81"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i. Originación y terminación de las llamadas y/o mensajes cortos previstos en las Reglas de Portabilidad;</w:t>
      </w:r>
    </w:p>
    <w:p w14:paraId="4223E030" w14:textId="77777777" w:rsidR="00953F81" w:rsidRPr="00E55D5E" w:rsidRDefault="00953F81"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II. Originación de llamadas con destino a los números de emergencia establecidos en los Lineamientos de Colaboración en Materia de Seguridad y Justicia y</w:t>
      </w:r>
    </w:p>
    <w:p w14:paraId="755C5B77" w14:textId="77777777" w:rsidR="00953F81" w:rsidRPr="00E55D5E" w:rsidRDefault="00953F81" w:rsidP="00E55D5E">
      <w:pPr>
        <w:spacing w:after="0" w:line="276" w:lineRule="auto"/>
        <w:ind w:left="567" w:right="616"/>
        <w:rPr>
          <w:rFonts w:ascii="ITC Avant Garde" w:eastAsiaTheme="minorHAnsi" w:hAnsi="ITC Avant Garde" w:cs="ITC Avant Garde"/>
          <w:i/>
          <w:iCs/>
          <w:sz w:val="18"/>
          <w:szCs w:val="18"/>
          <w:u w:val="single"/>
          <w:lang w:eastAsia="en-US"/>
        </w:rPr>
      </w:pPr>
      <w:r w:rsidRPr="00E55D5E">
        <w:rPr>
          <w:rFonts w:ascii="ITC Avant Garde" w:eastAsiaTheme="minorHAnsi" w:hAnsi="ITC Avant Garde" w:cs="ITC Avant Garde"/>
          <w:i/>
          <w:iCs/>
          <w:sz w:val="18"/>
          <w:szCs w:val="18"/>
          <w:u w:val="single"/>
          <w:lang w:eastAsia="en-US"/>
        </w:rPr>
        <w:t>III: Terminación de mensajes cortos conteniendo las ofertas comerciales de otros proveedores de servicios, sujeto a que el usuario así lo haya consentido y,</w:t>
      </w:r>
    </w:p>
    <w:p w14:paraId="42C19665" w14:textId="732DCFC0" w:rsidR="00B31E1D" w:rsidRPr="00E55D5E" w:rsidRDefault="00953F81"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IV. Cualquier comunicación con el usuario para brindar información relacionada con el trámite de portabilidad numérica y/o para la atención de cualquier tipo de consulta de los usuarios relacionadas con su número."</w:t>
      </w:r>
    </w:p>
    <w:p w14:paraId="124A3001" w14:textId="77777777" w:rsidR="002D0763" w:rsidRPr="00AF7440" w:rsidRDefault="002D0763" w:rsidP="002D0763">
      <w:pPr>
        <w:spacing w:after="0" w:line="276" w:lineRule="auto"/>
        <w:ind w:left="567" w:right="616"/>
        <w:jc w:val="right"/>
        <w:rPr>
          <w:rFonts w:ascii="ITC Avant Garde" w:eastAsiaTheme="minorHAnsi" w:hAnsi="ITC Avant Garde" w:cs="ITC Avant Garde"/>
          <w:sz w:val="18"/>
          <w:szCs w:val="18"/>
          <w:lang w:eastAsia="en-US"/>
        </w:rPr>
      </w:pPr>
      <w:r>
        <w:rPr>
          <w:rFonts w:ascii="ITC Avant Garde" w:eastAsiaTheme="minorHAnsi" w:hAnsi="ITC Avant Garde" w:cs="ITC Avant Garde"/>
          <w:sz w:val="18"/>
          <w:szCs w:val="18"/>
          <w:lang w:eastAsia="en-US"/>
        </w:rPr>
        <w:t>Énfasis añadido</w:t>
      </w:r>
    </w:p>
    <w:p w14:paraId="5C23E6C1" w14:textId="77777777" w:rsidR="00B31E1D" w:rsidRDefault="00B31E1D" w:rsidP="00B31E1D">
      <w:pPr>
        <w:spacing w:after="0" w:line="276" w:lineRule="auto"/>
        <w:ind w:right="49"/>
        <w:rPr>
          <w:rFonts w:ascii="ITC Avant Garde" w:eastAsiaTheme="minorHAnsi" w:hAnsi="ITC Avant Garde" w:cs="ITC Avant Garde"/>
          <w:lang w:eastAsia="en-US"/>
        </w:rPr>
      </w:pPr>
    </w:p>
    <w:p w14:paraId="28B4D352" w14:textId="77777777" w:rsidR="00024471" w:rsidRPr="003419F5" w:rsidRDefault="00024471" w:rsidP="00024471">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3C1BBE1E" w14:textId="77777777" w:rsidR="00024471" w:rsidRDefault="00024471" w:rsidP="00024471">
      <w:pPr>
        <w:spacing w:after="0" w:line="276" w:lineRule="auto"/>
        <w:ind w:right="49"/>
        <w:rPr>
          <w:rFonts w:ascii="ITC Avant Garde" w:hAnsi="ITC Avant Garde"/>
          <w:color w:val="auto"/>
        </w:rPr>
      </w:pPr>
    </w:p>
    <w:p w14:paraId="08EE50B3" w14:textId="77777777" w:rsidR="003B553D" w:rsidRDefault="003B553D" w:rsidP="003B553D">
      <w:pPr>
        <w:spacing w:after="0" w:line="276" w:lineRule="auto"/>
        <w:ind w:right="49"/>
        <w:rPr>
          <w:rFonts w:ascii="ITC Avant Garde" w:hAnsi="ITC Avant Garde"/>
          <w:color w:val="auto"/>
        </w:rPr>
      </w:pPr>
      <w:r>
        <w:rPr>
          <w:rFonts w:ascii="ITC Avant Garde" w:hAnsi="ITC Avant Garde"/>
          <w:color w:val="auto"/>
        </w:rPr>
        <w:t>No se considera adecuada la propuesta de modificación, pues la información presentada a los usuarios sobre las opciones para preservar la conectividad podría suponer información sesgada, que podría interferir en la libre decisión del usuario a elegir a un nuevo proveedor de servicios de telecomunicaciones móviles.</w:t>
      </w:r>
    </w:p>
    <w:p w14:paraId="399AA0B2" w14:textId="77777777" w:rsidR="003B553D" w:rsidRDefault="003B553D" w:rsidP="003B553D">
      <w:pPr>
        <w:spacing w:after="0" w:line="276" w:lineRule="auto"/>
        <w:ind w:right="49"/>
        <w:rPr>
          <w:rFonts w:ascii="ITC Avant Garde" w:hAnsi="ITC Avant Garde"/>
          <w:color w:val="auto"/>
        </w:rPr>
      </w:pPr>
    </w:p>
    <w:p w14:paraId="7C1392F2" w14:textId="77777777" w:rsidR="003B553D" w:rsidRPr="00555311" w:rsidRDefault="003B553D" w:rsidP="003B553D">
      <w:pPr>
        <w:spacing w:after="0" w:line="276" w:lineRule="auto"/>
        <w:ind w:right="49"/>
        <w:rPr>
          <w:rFonts w:ascii="ITC Avant Garde" w:hAnsi="ITC Avant Garde"/>
          <w:color w:val="auto"/>
        </w:rPr>
      </w:pPr>
      <w:r>
        <w:rPr>
          <w:rFonts w:ascii="ITC Avant Garde" w:hAnsi="ITC Avant Garde"/>
          <w:color w:val="auto"/>
        </w:rPr>
        <w:t>Asimismo, uno de los objetivos de la modificación a los Lineamientos es contar con un mecanismo para que los usuarios de aquellos OMV que cesan de manera abrupta sus operaciones puedan ejercer su derecho a la portabilidad de manera libre, y no es el objetivo establecer un medio para la comercialización de servicios de telecomunicaciones.</w:t>
      </w:r>
    </w:p>
    <w:p w14:paraId="21C10FC4" w14:textId="77777777" w:rsidR="00024471" w:rsidRDefault="00024471" w:rsidP="00B31E1D">
      <w:pPr>
        <w:spacing w:after="0" w:line="276" w:lineRule="auto"/>
        <w:ind w:right="49"/>
        <w:rPr>
          <w:rFonts w:ascii="ITC Avant Garde" w:eastAsiaTheme="minorHAnsi" w:hAnsi="ITC Avant Garde" w:cs="ITC Avant Garde"/>
          <w:lang w:eastAsia="en-US"/>
        </w:rPr>
      </w:pPr>
    </w:p>
    <w:p w14:paraId="1D590EFE" w14:textId="77777777" w:rsidR="00301FBE" w:rsidRPr="009C4398" w:rsidRDefault="00301FBE" w:rsidP="00301FBE">
      <w:pPr>
        <w:spacing w:after="0" w:line="276" w:lineRule="auto"/>
        <w:ind w:right="49"/>
        <w:rPr>
          <w:rFonts w:ascii="ITC Avant Garde" w:hAnsi="ITC Avant Garde"/>
          <w:b/>
          <w:bCs/>
          <w:color w:val="auto"/>
        </w:rPr>
      </w:pPr>
      <w:r>
        <w:rPr>
          <w:rFonts w:ascii="ITC Avant Garde" w:hAnsi="ITC Avant Garde"/>
          <w:b/>
          <w:bCs/>
          <w:color w:val="auto"/>
        </w:rPr>
        <w:t>Grupo Televisa</w:t>
      </w:r>
    </w:p>
    <w:p w14:paraId="785F1545" w14:textId="7C44AEA6" w:rsidR="00301FBE" w:rsidRPr="00301FBE" w:rsidRDefault="00301FBE" w:rsidP="00301FBE">
      <w:pPr>
        <w:spacing w:after="0" w:line="276" w:lineRule="auto"/>
        <w:ind w:right="49"/>
        <w:rPr>
          <w:rFonts w:ascii="ITC Avant Garde" w:eastAsiaTheme="minorHAnsi" w:hAnsi="ITC Avant Garde" w:cs="ITC Avant Garde"/>
          <w:lang w:eastAsia="en-US"/>
        </w:rPr>
      </w:pPr>
      <w:r w:rsidRPr="00301FBE">
        <w:rPr>
          <w:rFonts w:ascii="ITC Avant Garde" w:eastAsiaTheme="minorHAnsi" w:hAnsi="ITC Avant Garde" w:cs="ITC Avant Garde"/>
          <w:lang w:eastAsia="en-US"/>
        </w:rPr>
        <w:t xml:space="preserve">Señalan importante recordar que de conformidad con el artículo 1 de los Lineamientos la finalidad de éstos es regular la prestación, comercialización y reventa de Servicios Móviles, en virtud de lo anterior, </w:t>
      </w:r>
      <w:r w:rsidR="00BE5BFD">
        <w:rPr>
          <w:rFonts w:ascii="ITC Avant Garde" w:eastAsiaTheme="minorHAnsi" w:hAnsi="ITC Avant Garde" w:cs="ITC Avant Garde"/>
          <w:lang w:eastAsia="en-US"/>
        </w:rPr>
        <w:t>consideran</w:t>
      </w:r>
      <w:r w:rsidR="00BE5BFD" w:rsidRPr="00301FBE">
        <w:rPr>
          <w:rFonts w:ascii="ITC Avant Garde" w:eastAsiaTheme="minorHAnsi" w:hAnsi="ITC Avant Garde" w:cs="ITC Avant Garde"/>
          <w:lang w:eastAsia="en-US"/>
        </w:rPr>
        <w:t xml:space="preserve"> </w:t>
      </w:r>
      <w:r w:rsidRPr="00301FBE">
        <w:rPr>
          <w:rFonts w:ascii="ITC Avant Garde" w:eastAsiaTheme="minorHAnsi" w:hAnsi="ITC Avant Garde" w:cs="ITC Avant Garde"/>
          <w:lang w:eastAsia="en-US"/>
        </w:rPr>
        <w:t>que la referencia "funcionalidad" en diversos numerales es incorrecta.</w:t>
      </w:r>
    </w:p>
    <w:p w14:paraId="72BFF3B2" w14:textId="77777777" w:rsidR="00301FBE" w:rsidRPr="00301FBE" w:rsidRDefault="00301FBE" w:rsidP="00301FBE">
      <w:pPr>
        <w:spacing w:after="0" w:line="276" w:lineRule="auto"/>
        <w:ind w:right="49"/>
        <w:rPr>
          <w:rFonts w:ascii="ITC Avant Garde" w:eastAsiaTheme="minorHAnsi" w:hAnsi="ITC Avant Garde" w:cs="ITC Avant Garde"/>
          <w:lang w:eastAsia="en-US"/>
        </w:rPr>
      </w:pPr>
    </w:p>
    <w:p w14:paraId="48F4E8C7" w14:textId="77777777" w:rsidR="00301FBE" w:rsidRPr="00301FBE" w:rsidRDefault="00301FBE" w:rsidP="00301FBE">
      <w:pPr>
        <w:spacing w:after="0" w:line="276" w:lineRule="auto"/>
        <w:ind w:right="49"/>
        <w:rPr>
          <w:rFonts w:ascii="ITC Avant Garde" w:eastAsiaTheme="minorHAnsi" w:hAnsi="ITC Avant Garde" w:cs="ITC Avant Garde"/>
          <w:lang w:eastAsia="en-US"/>
        </w:rPr>
      </w:pPr>
      <w:r w:rsidRPr="00301FBE">
        <w:rPr>
          <w:rFonts w:ascii="ITC Avant Garde" w:eastAsiaTheme="minorHAnsi" w:hAnsi="ITC Avant Garde" w:cs="ITC Avant Garde"/>
          <w:lang w:eastAsia="en-US"/>
        </w:rPr>
        <w:t>Por lo anterior, y debido a que consideran que debe quedar claro que lo regulado no es una funcionalidad, sino la prestación del "Servicio Móvil", sugieren la siguiente redacción:</w:t>
      </w:r>
    </w:p>
    <w:p w14:paraId="7692F088" w14:textId="77777777" w:rsidR="00301FBE" w:rsidRPr="00301FBE" w:rsidRDefault="00301FBE" w:rsidP="00301FBE">
      <w:pPr>
        <w:spacing w:after="0" w:line="276" w:lineRule="auto"/>
        <w:ind w:right="49"/>
        <w:rPr>
          <w:rFonts w:ascii="ITC Avant Garde" w:eastAsiaTheme="minorHAnsi" w:hAnsi="ITC Avant Garde" w:cs="ITC Avant Garde"/>
          <w:lang w:eastAsia="en-US"/>
        </w:rPr>
      </w:pPr>
    </w:p>
    <w:p w14:paraId="7E22943A" w14:textId="77777777" w:rsidR="00301FBE" w:rsidRPr="00E55D5E" w:rsidRDefault="00301FBE"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"Artículo 22. Cuando un Operador Móvil Virtual suspenda definitivamente la prestación de servicios de telecomunicaciones a sus usuarios finales y no exista o no se haya llevado a cabo una migración total hacia otros concesionarios u Operadores Móviles Virtuales, el Concesionario Mayorista Móvil con quien celebró un Contrato de Servicios Mayoristas de Telecomunicaciones Móviles deberá brindar a aquellos usuarios </w:t>
      </w:r>
      <w:r w:rsidRPr="00E55D5E">
        <w:rPr>
          <w:rFonts w:ascii="ITC Avant Garde" w:eastAsiaTheme="minorHAnsi" w:hAnsi="ITC Avant Garde" w:cs="ITC Avant Garde"/>
          <w:i/>
          <w:iCs/>
          <w:strike/>
          <w:sz w:val="18"/>
          <w:szCs w:val="18"/>
          <w:lang w:eastAsia="en-US"/>
        </w:rPr>
        <w:t>las funcionalidades</w:t>
      </w:r>
      <w:r w:rsidRPr="00E55D5E">
        <w:rPr>
          <w:rFonts w:ascii="ITC Avant Garde" w:eastAsiaTheme="minorHAnsi" w:hAnsi="ITC Avant Garde" w:cs="ITC Avant Garde"/>
          <w:i/>
          <w:iCs/>
          <w:sz w:val="18"/>
          <w:szCs w:val="18"/>
          <w:lang w:eastAsia="en-US"/>
        </w:rPr>
        <w:t xml:space="preserve"> </w:t>
      </w:r>
      <w:r w:rsidRPr="00E55D5E">
        <w:rPr>
          <w:rFonts w:ascii="ITC Avant Garde" w:eastAsiaTheme="minorHAnsi" w:hAnsi="ITC Avant Garde" w:cs="ITC Avant Garde"/>
          <w:i/>
          <w:iCs/>
          <w:sz w:val="18"/>
          <w:szCs w:val="18"/>
          <w:u w:val="single"/>
          <w:lang w:eastAsia="en-US"/>
        </w:rPr>
        <w:t>el Servicio Móvil</w:t>
      </w:r>
      <w:r w:rsidRPr="00E55D5E">
        <w:rPr>
          <w:rFonts w:ascii="ITC Avant Garde" w:eastAsiaTheme="minorHAnsi" w:hAnsi="ITC Avant Garde" w:cs="ITC Avant Garde"/>
          <w:i/>
          <w:iCs/>
          <w:sz w:val="18"/>
          <w:szCs w:val="18"/>
          <w:lang w:eastAsia="en-US"/>
        </w:rPr>
        <w:t xml:space="preserve"> que permita</w:t>
      </w:r>
      <w:r w:rsidRPr="00E55D5E">
        <w:rPr>
          <w:rFonts w:ascii="ITC Avant Garde" w:eastAsiaTheme="minorHAnsi" w:hAnsi="ITC Avant Garde" w:cs="ITC Avant Garde"/>
          <w:i/>
          <w:iCs/>
          <w:strike/>
          <w:sz w:val="18"/>
          <w:szCs w:val="18"/>
          <w:lang w:eastAsia="en-US"/>
        </w:rPr>
        <w:t>n</w:t>
      </w:r>
      <w:r w:rsidRPr="00E55D5E">
        <w:rPr>
          <w:rFonts w:ascii="ITC Avant Garde" w:eastAsiaTheme="minorHAnsi" w:hAnsi="ITC Avant Garde" w:cs="ITC Avant Garde"/>
          <w:i/>
          <w:iCs/>
          <w:sz w:val="18"/>
          <w:szCs w:val="18"/>
          <w:lang w:eastAsia="en-US"/>
        </w:rPr>
        <w:t xml:space="preserve"> llevar a cabo la portabilidad numérica, así como realizar llamadas a números de emergencia, durante un periodo de 40 días naturales, contados </w:t>
      </w:r>
      <w:r w:rsidRPr="00E55D5E">
        <w:rPr>
          <w:rFonts w:ascii="ITC Avant Garde" w:eastAsiaTheme="minorHAnsi" w:hAnsi="ITC Avant Garde" w:cs="ITC Avant Garde"/>
          <w:i/>
          <w:iCs/>
          <w:sz w:val="18"/>
          <w:szCs w:val="18"/>
          <w:lang w:eastAsia="en-US"/>
        </w:rPr>
        <w:lastRenderedPageBreak/>
        <w:t xml:space="preserve">a partir de la rescisión o terminación del </w:t>
      </w:r>
      <w:r w:rsidRPr="00E55D5E">
        <w:rPr>
          <w:rFonts w:ascii="ITC Avant Garde" w:eastAsiaTheme="minorHAnsi" w:hAnsi="ITC Avant Garde" w:cs="ITC Avant Garde"/>
          <w:i/>
          <w:iCs/>
          <w:strike/>
          <w:sz w:val="18"/>
          <w:szCs w:val="18"/>
          <w:lang w:eastAsia="en-US"/>
        </w:rPr>
        <w:t>c</w:t>
      </w:r>
      <w:r w:rsidRPr="00E55D5E">
        <w:rPr>
          <w:rFonts w:ascii="ITC Avant Garde" w:eastAsiaTheme="minorHAnsi" w:hAnsi="ITC Avant Garde" w:cs="ITC Avant Garde"/>
          <w:i/>
          <w:iCs/>
          <w:sz w:val="18"/>
          <w:szCs w:val="18"/>
          <w:u w:val="single"/>
          <w:lang w:eastAsia="en-US"/>
        </w:rPr>
        <w:t>C</w:t>
      </w:r>
      <w:r w:rsidRPr="00E55D5E">
        <w:rPr>
          <w:rFonts w:ascii="ITC Avant Garde" w:eastAsiaTheme="minorHAnsi" w:hAnsi="ITC Avant Garde" w:cs="ITC Avant Garde"/>
          <w:i/>
          <w:iCs/>
          <w:sz w:val="18"/>
          <w:szCs w:val="18"/>
          <w:lang w:eastAsia="en-US"/>
        </w:rPr>
        <w:t xml:space="preserve">ontrato </w:t>
      </w:r>
      <w:r w:rsidRPr="00E55D5E">
        <w:rPr>
          <w:rFonts w:ascii="ITC Avant Garde" w:eastAsiaTheme="minorHAnsi" w:hAnsi="ITC Avant Garde" w:cs="ITC Avant Garde"/>
          <w:i/>
          <w:iCs/>
          <w:strike/>
          <w:sz w:val="18"/>
          <w:szCs w:val="18"/>
          <w:lang w:eastAsia="en-US"/>
        </w:rPr>
        <w:t>por la prestación</w:t>
      </w:r>
      <w:r w:rsidRPr="00E55D5E">
        <w:rPr>
          <w:rFonts w:ascii="ITC Avant Garde" w:eastAsiaTheme="minorHAnsi" w:hAnsi="ITC Avant Garde" w:cs="ITC Avant Garde"/>
          <w:i/>
          <w:iCs/>
          <w:sz w:val="18"/>
          <w:szCs w:val="18"/>
          <w:lang w:eastAsia="en-US"/>
        </w:rPr>
        <w:t xml:space="preserve"> de </w:t>
      </w:r>
      <w:r w:rsidRPr="00E55D5E">
        <w:rPr>
          <w:rFonts w:ascii="ITC Avant Garde" w:eastAsiaTheme="minorHAnsi" w:hAnsi="ITC Avant Garde" w:cs="ITC Avant Garde"/>
          <w:i/>
          <w:iCs/>
          <w:strike/>
          <w:sz w:val="18"/>
          <w:szCs w:val="18"/>
          <w:lang w:eastAsia="en-US"/>
        </w:rPr>
        <w:t>s</w:t>
      </w:r>
      <w:r w:rsidRPr="00E55D5E">
        <w:rPr>
          <w:rFonts w:ascii="ITC Avant Garde" w:eastAsiaTheme="minorHAnsi" w:hAnsi="ITC Avant Garde" w:cs="ITC Avant Garde"/>
          <w:i/>
          <w:iCs/>
          <w:sz w:val="18"/>
          <w:szCs w:val="18"/>
          <w:u w:val="single"/>
          <w:lang w:eastAsia="en-US"/>
        </w:rPr>
        <w:t>S</w:t>
      </w:r>
      <w:r w:rsidRPr="00E55D5E">
        <w:rPr>
          <w:rFonts w:ascii="ITC Avant Garde" w:eastAsiaTheme="minorHAnsi" w:hAnsi="ITC Avant Garde" w:cs="ITC Avant Garde"/>
          <w:i/>
          <w:iCs/>
          <w:sz w:val="18"/>
          <w:szCs w:val="18"/>
          <w:lang w:eastAsia="en-US"/>
        </w:rPr>
        <w:t xml:space="preserve">ervicios </w:t>
      </w:r>
      <w:r w:rsidRPr="00E55D5E">
        <w:rPr>
          <w:rFonts w:ascii="ITC Avant Garde" w:eastAsiaTheme="minorHAnsi" w:hAnsi="ITC Avant Garde" w:cs="ITC Avant Garde"/>
          <w:i/>
          <w:iCs/>
          <w:strike/>
          <w:sz w:val="18"/>
          <w:szCs w:val="18"/>
          <w:lang w:eastAsia="en-US"/>
        </w:rPr>
        <w:t>m</w:t>
      </w:r>
      <w:r w:rsidRPr="00E55D5E">
        <w:rPr>
          <w:rFonts w:ascii="ITC Avant Garde" w:eastAsiaTheme="minorHAnsi" w:hAnsi="ITC Avant Garde" w:cs="ITC Avant Garde"/>
          <w:i/>
          <w:iCs/>
          <w:sz w:val="18"/>
          <w:szCs w:val="18"/>
          <w:u w:val="single"/>
          <w:lang w:eastAsia="en-US"/>
        </w:rPr>
        <w:t>M</w:t>
      </w:r>
      <w:r w:rsidRPr="00E55D5E">
        <w:rPr>
          <w:rFonts w:ascii="ITC Avant Garde" w:eastAsiaTheme="minorHAnsi" w:hAnsi="ITC Avant Garde" w:cs="ITC Avant Garde"/>
          <w:i/>
          <w:iCs/>
          <w:sz w:val="18"/>
          <w:szCs w:val="18"/>
          <w:lang w:eastAsia="en-US"/>
        </w:rPr>
        <w:t xml:space="preserve">ayoristas </w:t>
      </w:r>
      <w:r w:rsidRPr="00E55D5E">
        <w:rPr>
          <w:rFonts w:ascii="ITC Avant Garde" w:eastAsiaTheme="minorHAnsi" w:hAnsi="ITC Avant Garde" w:cs="ITC Avant Garde"/>
          <w:i/>
          <w:iCs/>
          <w:sz w:val="18"/>
          <w:szCs w:val="18"/>
          <w:u w:val="single"/>
          <w:lang w:eastAsia="en-US"/>
        </w:rPr>
        <w:t>de Telecomunicaciones</w:t>
      </w:r>
      <w:r w:rsidRPr="00E55D5E">
        <w:rPr>
          <w:rFonts w:ascii="ITC Avant Garde" w:eastAsiaTheme="minorHAnsi" w:hAnsi="ITC Avant Garde" w:cs="ITC Avant Garde"/>
          <w:i/>
          <w:iCs/>
          <w:sz w:val="18"/>
          <w:szCs w:val="18"/>
          <w:lang w:eastAsia="en-US"/>
        </w:rPr>
        <w:t xml:space="preserve"> </w:t>
      </w:r>
      <w:r w:rsidRPr="00E55D5E">
        <w:rPr>
          <w:rFonts w:ascii="ITC Avant Garde" w:eastAsiaTheme="minorHAnsi" w:hAnsi="ITC Avant Garde" w:cs="ITC Avant Garde"/>
          <w:i/>
          <w:iCs/>
          <w:strike/>
          <w:sz w:val="18"/>
          <w:szCs w:val="18"/>
          <w:lang w:eastAsia="en-US"/>
        </w:rPr>
        <w:t>m</w:t>
      </w:r>
      <w:r w:rsidRPr="00E55D5E">
        <w:rPr>
          <w:rFonts w:ascii="ITC Avant Garde" w:eastAsiaTheme="minorHAnsi" w:hAnsi="ITC Avant Garde" w:cs="ITC Avant Garde"/>
          <w:i/>
          <w:iCs/>
          <w:sz w:val="18"/>
          <w:szCs w:val="18"/>
          <w:u w:val="single"/>
          <w:lang w:eastAsia="en-US"/>
        </w:rPr>
        <w:t>M</w:t>
      </w:r>
      <w:r w:rsidRPr="00E55D5E">
        <w:rPr>
          <w:rFonts w:ascii="ITC Avant Garde" w:eastAsiaTheme="minorHAnsi" w:hAnsi="ITC Avant Garde" w:cs="ITC Avant Garde"/>
          <w:i/>
          <w:iCs/>
          <w:sz w:val="18"/>
          <w:szCs w:val="18"/>
          <w:lang w:eastAsia="en-US"/>
        </w:rPr>
        <w:t>óviles con el Operador Móvil Virtual.</w:t>
      </w:r>
    </w:p>
    <w:p w14:paraId="0F9D7AF8" w14:textId="77777777" w:rsidR="00301FBE" w:rsidRPr="00E55D5E" w:rsidRDefault="00301FBE" w:rsidP="00E55D5E">
      <w:pPr>
        <w:spacing w:after="0" w:line="276" w:lineRule="auto"/>
        <w:ind w:left="567" w:right="616"/>
        <w:rPr>
          <w:rFonts w:ascii="ITC Avant Garde" w:eastAsiaTheme="minorHAnsi" w:hAnsi="ITC Avant Garde" w:cs="ITC Avant Garde"/>
          <w:i/>
          <w:iCs/>
          <w:sz w:val="18"/>
          <w:szCs w:val="18"/>
          <w:lang w:eastAsia="en-US"/>
        </w:rPr>
      </w:pPr>
    </w:p>
    <w:p w14:paraId="27834659" w14:textId="77777777" w:rsidR="00301FBE" w:rsidRPr="00E55D5E" w:rsidRDefault="00301FBE"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trike/>
          <w:sz w:val="18"/>
          <w:szCs w:val="18"/>
          <w:lang w:eastAsia="en-US"/>
        </w:rPr>
        <w:t>Las funcionalidades</w:t>
      </w:r>
      <w:r w:rsidRPr="00E55D5E">
        <w:rPr>
          <w:rFonts w:ascii="ITC Avant Garde" w:eastAsiaTheme="minorHAnsi" w:hAnsi="ITC Avant Garde" w:cs="ITC Avant Garde"/>
          <w:i/>
          <w:iCs/>
          <w:sz w:val="18"/>
          <w:szCs w:val="18"/>
          <w:lang w:eastAsia="en-US"/>
        </w:rPr>
        <w:t xml:space="preserve"> </w:t>
      </w:r>
      <w:r w:rsidRPr="00E55D5E">
        <w:rPr>
          <w:rFonts w:ascii="ITC Avant Garde" w:eastAsiaTheme="minorHAnsi" w:hAnsi="ITC Avant Garde" w:cs="ITC Avant Garde"/>
          <w:i/>
          <w:iCs/>
          <w:sz w:val="18"/>
          <w:szCs w:val="18"/>
          <w:u w:val="single"/>
          <w:lang w:eastAsia="en-US"/>
        </w:rPr>
        <w:t>Los Servicios Móviles</w:t>
      </w:r>
      <w:r w:rsidRPr="00E55D5E">
        <w:rPr>
          <w:rFonts w:ascii="ITC Avant Garde" w:eastAsiaTheme="minorHAnsi" w:hAnsi="ITC Avant Garde" w:cs="ITC Avant Garde"/>
          <w:i/>
          <w:iCs/>
          <w:sz w:val="18"/>
          <w:szCs w:val="18"/>
          <w:lang w:eastAsia="en-US"/>
        </w:rPr>
        <w:t xml:space="preserve"> temporales que deberá brindar el Concesionario Mayorista Móvil se limitarán a la conexión en su red del equipo terminal del usuario con los siguientes propósitos:</w:t>
      </w:r>
    </w:p>
    <w:p w14:paraId="722E9E65" w14:textId="77777777" w:rsidR="00301FBE" w:rsidRPr="00E55D5E" w:rsidRDefault="00301FBE"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I. Originación y terminación de las llamadas y/o mensajes cortos previstos en las Reglas de Portabilidad </w:t>
      </w:r>
      <w:r w:rsidRPr="00E55D5E">
        <w:rPr>
          <w:rFonts w:ascii="ITC Avant Garde" w:eastAsiaTheme="minorHAnsi" w:hAnsi="ITC Avant Garde" w:cs="ITC Avant Garde"/>
          <w:i/>
          <w:iCs/>
          <w:sz w:val="18"/>
          <w:szCs w:val="18"/>
          <w:u w:val="single"/>
          <w:lang w:eastAsia="en-US"/>
        </w:rPr>
        <w:t>Numérica</w:t>
      </w:r>
      <w:r w:rsidRPr="00E55D5E">
        <w:rPr>
          <w:rFonts w:ascii="ITC Avant Garde" w:eastAsiaTheme="minorHAnsi" w:hAnsi="ITC Avant Garde" w:cs="ITC Avant Garde"/>
          <w:i/>
          <w:iCs/>
          <w:sz w:val="18"/>
          <w:szCs w:val="18"/>
          <w:lang w:eastAsia="en-US"/>
        </w:rPr>
        <w:t>;</w:t>
      </w:r>
    </w:p>
    <w:p w14:paraId="017F6F46" w14:textId="77777777" w:rsidR="00301FBE" w:rsidRPr="00E55D5E" w:rsidRDefault="00301FBE" w:rsidP="00E55D5E">
      <w:pPr>
        <w:spacing w:after="0" w:line="276" w:lineRule="auto"/>
        <w:ind w:left="567" w:right="616"/>
        <w:rPr>
          <w:rFonts w:ascii="ITC Avant Garde" w:eastAsiaTheme="minorHAnsi" w:hAnsi="ITC Avant Garde" w:cs="ITC Avant Garde"/>
          <w:i/>
          <w:iCs/>
          <w:sz w:val="18"/>
          <w:szCs w:val="18"/>
          <w:lang w:eastAsia="en-US"/>
        </w:rPr>
      </w:pPr>
    </w:p>
    <w:p w14:paraId="10DC772C" w14:textId="77777777" w:rsidR="00301FBE" w:rsidRPr="00E55D5E" w:rsidRDefault="00301FBE"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II. Originación de llamadas con destino a los números de emergencia establecidos en los Lineamientos de Colaboración en Materia de Seguridad y Justicia y</w:t>
      </w:r>
    </w:p>
    <w:p w14:paraId="74D482F0" w14:textId="77777777" w:rsidR="00301FBE" w:rsidRPr="00E55D5E" w:rsidRDefault="00301FBE" w:rsidP="00E55D5E">
      <w:pPr>
        <w:spacing w:after="0" w:line="276" w:lineRule="auto"/>
        <w:ind w:left="567" w:right="616"/>
        <w:rPr>
          <w:rFonts w:ascii="ITC Avant Garde" w:eastAsiaTheme="minorHAnsi" w:hAnsi="ITC Avant Garde" w:cs="ITC Avant Garde"/>
          <w:i/>
          <w:iCs/>
          <w:sz w:val="18"/>
          <w:szCs w:val="18"/>
          <w:lang w:eastAsia="en-US"/>
        </w:rPr>
      </w:pPr>
    </w:p>
    <w:p w14:paraId="7534BBDF" w14:textId="17B0201F" w:rsidR="00F71C70" w:rsidRDefault="00301FBE" w:rsidP="00EC332B">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III. Cualquier comunicación con el usuario para brindar información relacionada con el trámite de portabilidad numérica y/o para la atención de cualquier tipo de consulta de los usuarios relacionada con su número."</w:t>
      </w:r>
    </w:p>
    <w:p w14:paraId="2F50A6D8" w14:textId="77777777" w:rsidR="00EC332B" w:rsidRPr="00AF7440" w:rsidRDefault="00EC332B" w:rsidP="00EC332B">
      <w:pPr>
        <w:spacing w:after="0" w:line="276" w:lineRule="auto"/>
        <w:ind w:left="567" w:right="616"/>
        <w:jc w:val="right"/>
        <w:rPr>
          <w:rFonts w:ascii="ITC Avant Garde" w:eastAsiaTheme="minorHAnsi" w:hAnsi="ITC Avant Garde" w:cs="ITC Avant Garde"/>
          <w:sz w:val="18"/>
          <w:szCs w:val="18"/>
          <w:lang w:eastAsia="en-US"/>
        </w:rPr>
      </w:pPr>
      <w:r>
        <w:rPr>
          <w:rFonts w:ascii="ITC Avant Garde" w:eastAsiaTheme="minorHAnsi" w:hAnsi="ITC Avant Garde" w:cs="ITC Avant Garde"/>
          <w:sz w:val="18"/>
          <w:szCs w:val="18"/>
          <w:lang w:eastAsia="en-US"/>
        </w:rPr>
        <w:t>Énfasis añadido</w:t>
      </w:r>
    </w:p>
    <w:p w14:paraId="676B957F" w14:textId="77777777" w:rsidR="00FE6471" w:rsidRDefault="00FE6471" w:rsidP="00FE6471">
      <w:pPr>
        <w:spacing w:after="0" w:line="276" w:lineRule="auto"/>
        <w:ind w:right="49"/>
        <w:rPr>
          <w:rFonts w:ascii="ITC Avant Garde" w:eastAsiaTheme="minorHAnsi" w:hAnsi="ITC Avant Garde" w:cs="ITC Avant Garde"/>
          <w:lang w:eastAsia="en-US"/>
        </w:rPr>
      </w:pPr>
    </w:p>
    <w:p w14:paraId="6E544F56" w14:textId="77777777" w:rsidR="00AD3FB4" w:rsidRPr="003419F5" w:rsidRDefault="00AD3FB4" w:rsidP="00AD3FB4">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33749925" w14:textId="77777777" w:rsidR="00AD3FB4" w:rsidRDefault="00AD3FB4" w:rsidP="00AD3FB4">
      <w:pPr>
        <w:spacing w:after="0" w:line="276" w:lineRule="auto"/>
        <w:ind w:right="49"/>
        <w:rPr>
          <w:rFonts w:ascii="ITC Avant Garde" w:hAnsi="ITC Avant Garde"/>
          <w:color w:val="auto"/>
        </w:rPr>
      </w:pPr>
    </w:p>
    <w:p w14:paraId="740529EE" w14:textId="51B3B439" w:rsidR="00AD3FB4" w:rsidRDefault="00AD3FB4" w:rsidP="00AD3FB4">
      <w:pPr>
        <w:spacing w:after="0" w:line="276" w:lineRule="auto"/>
        <w:ind w:right="49"/>
        <w:rPr>
          <w:rFonts w:ascii="ITC Avant Garde" w:hAnsi="ITC Avant Garde"/>
          <w:color w:val="auto"/>
        </w:rPr>
      </w:pPr>
      <w:r>
        <w:rPr>
          <w:rFonts w:ascii="ITC Avant Garde" w:hAnsi="ITC Avant Garde"/>
          <w:color w:val="auto"/>
        </w:rPr>
        <w:t xml:space="preserve">El propósito principal de la Modificación de Lineamientos OMV no es que el Concesionario Mayorista Móvil sea quien dé continuidad a la prestación de los servicios de telecomunicaciones móviles a los usuarios de aquellos OMV que cesan de manera abrupta sus operaciones, sino que se busca ofrecer un mecanismo que, mediante el apoyo temporal de </w:t>
      </w:r>
      <w:r w:rsidR="00664AE3">
        <w:rPr>
          <w:rFonts w:ascii="ITC Avant Garde" w:hAnsi="ITC Avant Garde"/>
          <w:color w:val="auto"/>
        </w:rPr>
        <w:t xml:space="preserve">funcionalidades y </w:t>
      </w:r>
      <w:r>
        <w:rPr>
          <w:rFonts w:ascii="ITC Avant Garde" w:hAnsi="ITC Avant Garde"/>
          <w:color w:val="auto"/>
        </w:rPr>
        <w:t>los recursos de red del Concesionario Mayorista Móvil, dichos usuarios puedan ejercer su derecho a la portabilidad, eligiendo así algún otro proveedor de servicios de telecomunicaciones móviles de su preferencia. Por lo anterior, no se considera adecuada la modificación solicitada.</w:t>
      </w:r>
    </w:p>
    <w:p w14:paraId="48199C39" w14:textId="77777777" w:rsidR="00AD3FB4" w:rsidRPr="003E3EA9" w:rsidRDefault="00AD3FB4" w:rsidP="00AD3FB4">
      <w:pPr>
        <w:spacing w:after="0" w:line="276" w:lineRule="auto"/>
        <w:ind w:right="49"/>
        <w:rPr>
          <w:rFonts w:ascii="ITC Avant Garde" w:eastAsiaTheme="minorHAnsi" w:hAnsi="ITC Avant Garde" w:cs="ITC Avant Garde"/>
          <w:lang w:eastAsia="en-US"/>
        </w:rPr>
      </w:pPr>
    </w:p>
    <w:p w14:paraId="24654C2F" w14:textId="7B8F80A2" w:rsidR="003E3EA9" w:rsidRPr="009C4398" w:rsidRDefault="00FA09A5" w:rsidP="003E3EA9">
      <w:pPr>
        <w:spacing w:after="0" w:line="276" w:lineRule="auto"/>
        <w:ind w:right="49"/>
        <w:rPr>
          <w:rFonts w:ascii="ITC Avant Garde" w:hAnsi="ITC Avant Garde"/>
          <w:b/>
          <w:bCs/>
          <w:color w:val="auto"/>
        </w:rPr>
      </w:pPr>
      <w:r w:rsidRPr="00FA09A5">
        <w:rPr>
          <w:rFonts w:ascii="ITC Avant Garde" w:hAnsi="ITC Avant Garde"/>
          <w:b/>
          <w:bCs/>
          <w:color w:val="auto"/>
        </w:rPr>
        <w:t>Dirección de Atención al Usuario</w:t>
      </w:r>
    </w:p>
    <w:p w14:paraId="1763AF33" w14:textId="0E3D3DBD" w:rsidR="00F71C70" w:rsidRDefault="00FA09A5" w:rsidP="00B31E1D">
      <w:pPr>
        <w:spacing w:after="0" w:line="276" w:lineRule="auto"/>
        <w:ind w:right="49"/>
        <w:rPr>
          <w:rFonts w:ascii="ITC Avant Garde" w:eastAsiaTheme="minorHAnsi" w:hAnsi="ITC Avant Garde" w:cs="ITC Avant Garde"/>
          <w:lang w:eastAsia="en-US"/>
        </w:rPr>
      </w:pPr>
      <w:r w:rsidRPr="00FA09A5">
        <w:rPr>
          <w:rFonts w:ascii="ITC Avant Garde" w:eastAsiaTheme="minorHAnsi" w:hAnsi="ITC Avant Garde" w:cs="ITC Avant Garde"/>
          <w:lang w:eastAsia="en-US"/>
        </w:rPr>
        <w:t>Preguntan que, en el caso de OMVs que utilizan la red de Altán, ¿quién será considerado Concesionario Mayorista Móvil para brindar las funcionalidades temporales? Lo anterior, debido a que Altán no da servicios a los usuarios finales.</w:t>
      </w:r>
    </w:p>
    <w:p w14:paraId="206FDF88" w14:textId="77777777" w:rsidR="00FA09A5" w:rsidRDefault="00FA09A5" w:rsidP="00E55D5E">
      <w:pPr>
        <w:spacing w:after="0" w:line="276" w:lineRule="auto"/>
        <w:ind w:right="49"/>
        <w:rPr>
          <w:rFonts w:ascii="ITC Avant Garde" w:eastAsiaTheme="minorHAnsi" w:hAnsi="ITC Avant Garde" w:cs="ITC Avant Garde"/>
          <w:lang w:eastAsia="en-US"/>
        </w:rPr>
      </w:pPr>
    </w:p>
    <w:p w14:paraId="22E6EAC9" w14:textId="77777777" w:rsidR="00AD3FB4" w:rsidRPr="003419F5" w:rsidRDefault="00AD3FB4" w:rsidP="00AD3FB4">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0FC9DBFE" w14:textId="77777777" w:rsidR="00AD3FB4" w:rsidRDefault="00AD3FB4" w:rsidP="00AD3FB4">
      <w:pPr>
        <w:spacing w:after="0" w:line="276" w:lineRule="auto"/>
        <w:ind w:right="49"/>
        <w:rPr>
          <w:rFonts w:ascii="ITC Avant Garde" w:hAnsi="ITC Avant Garde"/>
          <w:color w:val="auto"/>
        </w:rPr>
      </w:pPr>
    </w:p>
    <w:p w14:paraId="29452DAC" w14:textId="77777777" w:rsidR="00D51C59" w:rsidRDefault="00AD3FB4" w:rsidP="00AD3FB4">
      <w:pPr>
        <w:spacing w:after="0" w:line="276" w:lineRule="auto"/>
        <w:ind w:right="49"/>
        <w:rPr>
          <w:rFonts w:ascii="ITC Avant Garde" w:hAnsi="ITC Avant Garde"/>
          <w:color w:val="auto"/>
        </w:rPr>
      </w:pPr>
      <w:r>
        <w:rPr>
          <w:rFonts w:ascii="ITC Avant Garde" w:hAnsi="ITC Avant Garde"/>
          <w:color w:val="auto"/>
        </w:rPr>
        <w:t>El propósito principal de la Modificación de Lineamientos OMV no es que el Concesionario Mayorista Móvil sea quien dé continuidad a la prestación de los servicios de telecomunicaciones móviles a los usuarios de aquellos OMV que cesan de manera abrupta sus operaciones, sino que se busca ofrecer un mecanismo que, mediante el apoyo temporal de</w:t>
      </w:r>
      <w:r w:rsidR="0081472D">
        <w:rPr>
          <w:rFonts w:ascii="ITC Avant Garde" w:hAnsi="ITC Avant Garde"/>
          <w:color w:val="auto"/>
        </w:rPr>
        <w:t xml:space="preserve"> funcionalidades y</w:t>
      </w:r>
      <w:r>
        <w:rPr>
          <w:rFonts w:ascii="ITC Avant Garde" w:hAnsi="ITC Avant Garde"/>
          <w:color w:val="auto"/>
        </w:rPr>
        <w:t xml:space="preserve"> los recursos de red del Concesionario Mayorista Móvil, dichos usuarios puedan ejercer su derecho a la portabilidad, eligiendo así algún otro proveedor de servicios de telecomunicaciones móviles de su preferencia.</w:t>
      </w:r>
    </w:p>
    <w:p w14:paraId="76E115B9" w14:textId="4B1092A4" w:rsidR="00E55D5E" w:rsidRPr="00555311" w:rsidRDefault="00D14DB7" w:rsidP="00AD3FB4">
      <w:pPr>
        <w:spacing w:after="0" w:line="276" w:lineRule="auto"/>
        <w:ind w:right="49"/>
        <w:rPr>
          <w:rFonts w:ascii="ITC Avant Garde" w:hAnsi="ITC Avant Garde"/>
          <w:color w:val="auto"/>
        </w:rPr>
      </w:pPr>
      <w:r>
        <w:rPr>
          <w:rFonts w:ascii="ITC Avant Garde" w:hAnsi="ITC Avant Garde"/>
          <w:color w:val="auto"/>
        </w:rPr>
        <w:lastRenderedPageBreak/>
        <w:t xml:space="preserve">Por lo anterior, en el caso </w:t>
      </w:r>
      <w:r w:rsidR="007D2E33">
        <w:rPr>
          <w:rFonts w:ascii="ITC Avant Garde" w:hAnsi="ITC Avant Garde"/>
          <w:color w:val="auto"/>
        </w:rPr>
        <w:t>específico</w:t>
      </w:r>
      <w:r>
        <w:rPr>
          <w:rFonts w:ascii="ITC Avant Garde" w:hAnsi="ITC Avant Garde"/>
          <w:color w:val="auto"/>
        </w:rPr>
        <w:t xml:space="preserve"> de Altán, este no prestaría servicios </w:t>
      </w:r>
      <w:r w:rsidR="008E7289">
        <w:rPr>
          <w:rFonts w:ascii="ITC Avant Garde" w:hAnsi="ITC Avant Garde"/>
          <w:color w:val="auto"/>
        </w:rPr>
        <w:t xml:space="preserve">de telecomunicaciones </w:t>
      </w:r>
      <w:r w:rsidR="00D7152B">
        <w:rPr>
          <w:rFonts w:ascii="ITC Avant Garde" w:hAnsi="ITC Avant Garde"/>
          <w:color w:val="auto"/>
        </w:rPr>
        <w:t>móviles a</w:t>
      </w:r>
      <w:r w:rsidR="008E7289">
        <w:rPr>
          <w:rFonts w:ascii="ITC Avant Garde" w:hAnsi="ITC Avant Garde"/>
          <w:color w:val="auto"/>
        </w:rPr>
        <w:t xml:space="preserve"> lo</w:t>
      </w:r>
      <w:r w:rsidR="00FA786E">
        <w:rPr>
          <w:rFonts w:ascii="ITC Avant Garde" w:hAnsi="ITC Avant Garde"/>
          <w:color w:val="auto"/>
        </w:rPr>
        <w:t>s</w:t>
      </w:r>
      <w:r w:rsidR="008E7289">
        <w:rPr>
          <w:rFonts w:ascii="ITC Avant Garde" w:hAnsi="ITC Avant Garde"/>
          <w:color w:val="auto"/>
        </w:rPr>
        <w:t xml:space="preserve"> usuarios finales, sino que únicamente </w:t>
      </w:r>
      <w:r w:rsidR="0067151E">
        <w:rPr>
          <w:rFonts w:ascii="ITC Avant Garde" w:hAnsi="ITC Avant Garde"/>
          <w:color w:val="auto"/>
        </w:rPr>
        <w:t>permitiría</w:t>
      </w:r>
      <w:r w:rsidR="008E7289">
        <w:rPr>
          <w:rFonts w:ascii="ITC Avant Garde" w:hAnsi="ITC Avant Garde"/>
          <w:color w:val="auto"/>
        </w:rPr>
        <w:t xml:space="preserve"> acceder </w:t>
      </w:r>
      <w:r w:rsidR="007E06B5">
        <w:rPr>
          <w:rFonts w:ascii="ITC Avant Garde" w:hAnsi="ITC Avant Garde"/>
          <w:color w:val="auto"/>
        </w:rPr>
        <w:t xml:space="preserve">temporalmente </w:t>
      </w:r>
      <w:r w:rsidR="008E7289">
        <w:rPr>
          <w:rFonts w:ascii="ITC Avant Garde" w:hAnsi="ITC Avant Garde"/>
          <w:color w:val="auto"/>
        </w:rPr>
        <w:t xml:space="preserve">a las funcionalidades necesarias </w:t>
      </w:r>
      <w:r w:rsidR="0093199C">
        <w:rPr>
          <w:rFonts w:ascii="ITC Avant Garde" w:hAnsi="ITC Avant Garde"/>
          <w:color w:val="auto"/>
        </w:rPr>
        <w:t>para que los usuarios puedan ejecutar la portabilidad numérica</w:t>
      </w:r>
      <w:r w:rsidR="007E06B5">
        <w:rPr>
          <w:rFonts w:ascii="ITC Avant Garde" w:hAnsi="ITC Avant Garde"/>
          <w:color w:val="auto"/>
        </w:rPr>
        <w:t>, así como realizar llamadas de emergencia.</w:t>
      </w:r>
    </w:p>
    <w:p w14:paraId="6801F36B" w14:textId="77777777" w:rsidR="00E55D5E" w:rsidRDefault="00E55D5E" w:rsidP="00B31E1D">
      <w:pPr>
        <w:spacing w:after="0" w:line="276" w:lineRule="auto"/>
        <w:ind w:right="49"/>
        <w:rPr>
          <w:rFonts w:ascii="ITC Avant Garde" w:eastAsiaTheme="minorHAnsi" w:hAnsi="ITC Avant Garde" w:cs="ITC Avant Garde"/>
          <w:lang w:eastAsia="en-US"/>
        </w:rPr>
      </w:pPr>
    </w:p>
    <w:p w14:paraId="322CB30A" w14:textId="33D4337A" w:rsidR="002A451B" w:rsidRPr="009C4398" w:rsidRDefault="002A451B" w:rsidP="002A451B">
      <w:pPr>
        <w:spacing w:after="0" w:line="276" w:lineRule="auto"/>
        <w:ind w:right="49"/>
        <w:rPr>
          <w:rFonts w:ascii="ITC Avant Garde" w:hAnsi="ITC Avant Garde"/>
          <w:b/>
          <w:bCs/>
          <w:color w:val="auto"/>
          <w:u w:val="single"/>
        </w:rPr>
      </w:pPr>
      <w:r w:rsidRPr="009C4398">
        <w:rPr>
          <w:rFonts w:ascii="ITC Avant Garde" w:hAnsi="ITC Avant Garde"/>
          <w:b/>
          <w:bCs/>
          <w:color w:val="auto"/>
          <w:u w:val="single"/>
        </w:rPr>
        <w:t xml:space="preserve">ARTÍCULO </w:t>
      </w:r>
      <w:r>
        <w:rPr>
          <w:rFonts w:ascii="ITC Avant Garde" w:hAnsi="ITC Avant Garde"/>
          <w:b/>
          <w:bCs/>
          <w:color w:val="auto"/>
          <w:u w:val="single"/>
        </w:rPr>
        <w:t>23</w:t>
      </w:r>
    </w:p>
    <w:p w14:paraId="77DD5B00" w14:textId="77777777" w:rsidR="002A451B" w:rsidRDefault="002A451B" w:rsidP="002A451B">
      <w:pPr>
        <w:spacing w:after="0" w:line="276" w:lineRule="auto"/>
        <w:ind w:right="49"/>
        <w:rPr>
          <w:rFonts w:ascii="ITC Avant Garde" w:hAnsi="ITC Avant Garde"/>
          <w:color w:val="auto"/>
        </w:rPr>
      </w:pPr>
    </w:p>
    <w:p w14:paraId="01F90893" w14:textId="77777777" w:rsidR="002A451B" w:rsidRPr="009C4398" w:rsidRDefault="002A451B" w:rsidP="002A451B">
      <w:pPr>
        <w:spacing w:after="0" w:line="276" w:lineRule="auto"/>
        <w:ind w:right="49"/>
        <w:rPr>
          <w:rFonts w:ascii="ITC Avant Garde" w:hAnsi="ITC Avant Garde"/>
          <w:b/>
          <w:bCs/>
          <w:color w:val="auto"/>
        </w:rPr>
      </w:pPr>
      <w:r>
        <w:rPr>
          <w:rFonts w:ascii="ITC Avant Garde" w:hAnsi="ITC Avant Garde"/>
          <w:b/>
          <w:bCs/>
          <w:color w:val="auto"/>
        </w:rPr>
        <w:t>Oriónidas</w:t>
      </w:r>
    </w:p>
    <w:p w14:paraId="19F25854" w14:textId="77777777" w:rsidR="008E1E39" w:rsidRPr="008E1E39" w:rsidRDefault="008E1E39" w:rsidP="008E1E39">
      <w:pPr>
        <w:spacing w:after="0" w:line="276" w:lineRule="auto"/>
        <w:ind w:right="49"/>
        <w:rPr>
          <w:rFonts w:ascii="ITC Avant Garde" w:eastAsiaTheme="minorHAnsi" w:hAnsi="ITC Avant Garde" w:cs="ITC Avant Garde"/>
          <w:lang w:eastAsia="en-US"/>
        </w:rPr>
      </w:pPr>
      <w:r w:rsidRPr="008E1E39">
        <w:rPr>
          <w:rFonts w:ascii="ITC Avant Garde" w:eastAsiaTheme="minorHAnsi" w:hAnsi="ITC Avant Garde" w:cs="ITC Avant Garde"/>
          <w:lang w:eastAsia="en-US"/>
        </w:rPr>
        <w:t>Señala que debe decir:</w:t>
      </w:r>
    </w:p>
    <w:p w14:paraId="013342D2" w14:textId="77777777" w:rsidR="008E1E39" w:rsidRPr="008E1E39" w:rsidRDefault="008E1E39" w:rsidP="008E1E39">
      <w:pPr>
        <w:spacing w:after="0" w:line="276" w:lineRule="auto"/>
        <w:ind w:right="49"/>
        <w:rPr>
          <w:rFonts w:ascii="ITC Avant Garde" w:eastAsiaTheme="minorHAnsi" w:hAnsi="ITC Avant Garde" w:cs="ITC Avant Garde"/>
          <w:lang w:eastAsia="en-US"/>
        </w:rPr>
      </w:pPr>
    </w:p>
    <w:p w14:paraId="26971D86" w14:textId="1B40E676" w:rsidR="008E1E39" w:rsidRPr="00E55D5E" w:rsidRDefault="008E1E39"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"Artículo 23. A partir de la rescisión o terminación del contrato por la prestación de servicio mayoristas móviles con el Operador Móvil Virtual, el Concesionario Mayorista Móvil deberá informar dicha circunstancia al Instituto e </w:t>
      </w:r>
      <w:r w:rsidR="005A40DD" w:rsidRPr="005A40DD">
        <w:rPr>
          <w:rFonts w:ascii="ITC Avant Garde" w:eastAsiaTheme="minorHAnsi" w:hAnsi="ITC Avant Garde" w:cs="ITC Avant Garde"/>
          <w:i/>
          <w:iCs/>
          <w:sz w:val="18"/>
          <w:szCs w:val="18"/>
          <w:lang w:eastAsia="en-US"/>
        </w:rPr>
        <w:t>iniciar</w:t>
      </w:r>
      <w:r w:rsidRPr="00E55D5E">
        <w:rPr>
          <w:rFonts w:ascii="ITC Avant Garde" w:eastAsiaTheme="minorHAnsi" w:hAnsi="ITC Avant Garde" w:cs="ITC Avant Garde"/>
          <w:i/>
          <w:iCs/>
          <w:sz w:val="18"/>
          <w:szCs w:val="18"/>
          <w:lang w:eastAsia="en-US"/>
        </w:rPr>
        <w:t xml:space="preserve"> con la prestación de las funcionalidades </w:t>
      </w:r>
      <w:r w:rsidRPr="00E55D5E">
        <w:rPr>
          <w:rFonts w:ascii="ITC Avant Garde" w:eastAsiaTheme="minorHAnsi" w:hAnsi="ITC Avant Garde" w:cs="ITC Avant Garde"/>
          <w:i/>
          <w:iCs/>
          <w:sz w:val="18"/>
          <w:szCs w:val="18"/>
          <w:u w:val="single"/>
          <w:lang w:eastAsia="en-US"/>
        </w:rPr>
        <w:t>y, en su caso, la provisión de información</w:t>
      </w:r>
      <w:r w:rsidRPr="00E55D5E">
        <w:rPr>
          <w:rFonts w:ascii="ITC Avant Garde" w:eastAsiaTheme="minorHAnsi" w:hAnsi="ITC Avant Garde" w:cs="ITC Avant Garde"/>
          <w:i/>
          <w:iCs/>
          <w:sz w:val="18"/>
          <w:szCs w:val="18"/>
          <w:lang w:eastAsia="en-US"/>
        </w:rPr>
        <w:t xml:space="preserve"> de las que se refiere el artículo anterior, a más tardar al día hábil siguiente.</w:t>
      </w:r>
    </w:p>
    <w:p w14:paraId="0E54701B" w14:textId="77777777" w:rsidR="008E1E39" w:rsidRPr="00E55D5E" w:rsidRDefault="008E1E39" w:rsidP="00E55D5E">
      <w:pPr>
        <w:spacing w:after="0" w:line="276" w:lineRule="auto"/>
        <w:ind w:left="567" w:right="616"/>
        <w:rPr>
          <w:rFonts w:ascii="ITC Avant Garde" w:eastAsiaTheme="minorHAnsi" w:hAnsi="ITC Avant Garde" w:cs="ITC Avant Garde"/>
          <w:i/>
          <w:iCs/>
          <w:sz w:val="18"/>
          <w:szCs w:val="18"/>
          <w:lang w:eastAsia="en-US"/>
        </w:rPr>
      </w:pPr>
    </w:p>
    <w:p w14:paraId="585D734B" w14:textId="77777777" w:rsidR="008E1E39" w:rsidRPr="00E55D5E" w:rsidRDefault="008E1E39"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El aviso se realizará mediante escrito libre y deberá contener el nombre del Concesionario Mayorista Móvil, así como del Operador Móvil Virtual y la cantidad de usuarios finales a los que se les brindarán las funcionalidades </w:t>
      </w:r>
      <w:r w:rsidRPr="00E55D5E">
        <w:rPr>
          <w:rFonts w:ascii="ITC Avant Garde" w:eastAsiaTheme="minorHAnsi" w:hAnsi="ITC Avant Garde" w:cs="ITC Avant Garde"/>
          <w:i/>
          <w:iCs/>
          <w:sz w:val="18"/>
          <w:szCs w:val="18"/>
          <w:u w:val="single"/>
          <w:lang w:eastAsia="en-US"/>
        </w:rPr>
        <w:t>y, en su caso, información</w:t>
      </w:r>
      <w:r w:rsidRPr="00E55D5E">
        <w:rPr>
          <w:rFonts w:ascii="ITC Avant Garde" w:eastAsiaTheme="minorHAnsi" w:hAnsi="ITC Avant Garde" w:cs="ITC Avant Garde"/>
          <w:i/>
          <w:iCs/>
          <w:sz w:val="18"/>
          <w:szCs w:val="18"/>
          <w:lang w:eastAsia="en-US"/>
        </w:rPr>
        <w:t xml:space="preserve"> a las que se refiere el artículo anterior, así como la descripción de los hechos que motivan la continuidad de tales funcionalidades.</w:t>
      </w:r>
    </w:p>
    <w:p w14:paraId="141CDE47" w14:textId="77777777" w:rsidR="008E1E39" w:rsidRPr="00E55D5E" w:rsidRDefault="008E1E39" w:rsidP="00E55D5E">
      <w:pPr>
        <w:spacing w:after="0" w:line="276" w:lineRule="auto"/>
        <w:ind w:left="567" w:right="616"/>
        <w:rPr>
          <w:rFonts w:ascii="ITC Avant Garde" w:eastAsiaTheme="minorHAnsi" w:hAnsi="ITC Avant Garde" w:cs="ITC Avant Garde"/>
          <w:i/>
          <w:iCs/>
          <w:sz w:val="18"/>
          <w:szCs w:val="18"/>
          <w:lang w:eastAsia="en-US"/>
        </w:rPr>
      </w:pPr>
    </w:p>
    <w:p w14:paraId="64985F63" w14:textId="7A3AD6FD" w:rsidR="00FA09A5" w:rsidRDefault="008E1E39" w:rsidP="008E1E39">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El Concesionario Mayorista Móvil deberá informar a los usuarios correspondientes, a través del envío de mensajes cortos, sobre el estado que guarda la continuidad en su red</w:t>
      </w:r>
      <w:r w:rsidRPr="00E55D5E">
        <w:rPr>
          <w:rFonts w:ascii="ITC Avant Garde" w:eastAsiaTheme="minorHAnsi" w:hAnsi="ITC Avant Garde" w:cs="ITC Avant Garde"/>
          <w:i/>
          <w:iCs/>
          <w:sz w:val="18"/>
          <w:szCs w:val="18"/>
          <w:u w:val="single"/>
          <w:lang w:eastAsia="en-US"/>
        </w:rPr>
        <w:t xml:space="preserve">, las ofertas comerciales de posibles proveedores del servicio </w:t>
      </w:r>
      <w:r w:rsidR="0009648D" w:rsidRPr="00E55D5E">
        <w:rPr>
          <w:rFonts w:ascii="ITC Avant Garde" w:eastAsiaTheme="minorHAnsi" w:hAnsi="ITC Avant Garde" w:cs="ITC Avant Garde"/>
          <w:i/>
          <w:iCs/>
          <w:sz w:val="18"/>
          <w:szCs w:val="18"/>
          <w:u w:val="single"/>
          <w:lang w:eastAsia="en-US"/>
        </w:rPr>
        <w:t>sujeto</w:t>
      </w:r>
      <w:r w:rsidRPr="00E55D5E">
        <w:rPr>
          <w:rFonts w:ascii="ITC Avant Garde" w:eastAsiaTheme="minorHAnsi" w:hAnsi="ITC Avant Garde" w:cs="ITC Avant Garde"/>
          <w:i/>
          <w:iCs/>
          <w:sz w:val="18"/>
          <w:szCs w:val="18"/>
          <w:u w:val="single"/>
          <w:lang w:eastAsia="en-US"/>
        </w:rPr>
        <w:t xml:space="preserve"> a que el usuario asó lo haya consentido </w:t>
      </w:r>
      <w:r w:rsidRPr="00E55D5E">
        <w:rPr>
          <w:rFonts w:ascii="ITC Avant Garde" w:eastAsiaTheme="minorHAnsi" w:hAnsi="ITC Avant Garde" w:cs="ITC Avant Garde"/>
          <w:i/>
          <w:iCs/>
          <w:sz w:val="18"/>
          <w:szCs w:val="18"/>
          <w:lang w:eastAsia="en-US"/>
        </w:rPr>
        <w:t>y el plazo durante el cual estarán disponibles las funcionalidades que le permitan ejercer su derecho de portabilidad hacia otro Operador Móvil Virtual o Concesionario, además de señalar que posterior a dicho plazo su línea telefónica será desactivada y no podrá ejercer la portabilidad del número."</w:t>
      </w:r>
    </w:p>
    <w:p w14:paraId="6D12A7F8" w14:textId="6119DF05" w:rsidR="005D2E0A" w:rsidRPr="00E55D5E" w:rsidRDefault="005D2E0A" w:rsidP="00E55D5E">
      <w:pPr>
        <w:spacing w:after="0" w:line="276" w:lineRule="auto"/>
        <w:ind w:left="567" w:right="616"/>
        <w:jc w:val="right"/>
        <w:rPr>
          <w:rFonts w:ascii="ITC Avant Garde" w:eastAsiaTheme="minorHAnsi" w:hAnsi="ITC Avant Garde" w:cs="ITC Avant Garde"/>
          <w:i/>
          <w:iCs/>
          <w:sz w:val="18"/>
          <w:szCs w:val="18"/>
          <w:lang w:eastAsia="en-US"/>
        </w:rPr>
      </w:pPr>
      <w:r>
        <w:rPr>
          <w:rFonts w:ascii="ITC Avant Garde" w:eastAsiaTheme="minorHAnsi" w:hAnsi="ITC Avant Garde" w:cs="ITC Avant Garde"/>
          <w:sz w:val="18"/>
          <w:szCs w:val="18"/>
          <w:lang w:eastAsia="en-US"/>
        </w:rPr>
        <w:t>Énfasis añadido</w:t>
      </w:r>
    </w:p>
    <w:p w14:paraId="740998FB" w14:textId="77777777" w:rsidR="00FA09A5" w:rsidRDefault="00FA09A5" w:rsidP="00B31E1D">
      <w:pPr>
        <w:spacing w:after="0" w:line="276" w:lineRule="auto"/>
        <w:ind w:right="49"/>
        <w:rPr>
          <w:rFonts w:ascii="ITC Avant Garde" w:eastAsiaTheme="minorHAnsi" w:hAnsi="ITC Avant Garde" w:cs="ITC Avant Garde"/>
          <w:lang w:eastAsia="en-US"/>
        </w:rPr>
      </w:pPr>
    </w:p>
    <w:p w14:paraId="6A4FC612" w14:textId="77777777" w:rsidR="0009648D" w:rsidRPr="003419F5" w:rsidRDefault="0009648D" w:rsidP="0009648D">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116E9AC0" w14:textId="77777777" w:rsidR="0009648D" w:rsidRDefault="0009648D" w:rsidP="0009648D">
      <w:pPr>
        <w:spacing w:after="0" w:line="276" w:lineRule="auto"/>
        <w:ind w:right="49"/>
        <w:rPr>
          <w:rFonts w:ascii="ITC Avant Garde" w:hAnsi="ITC Avant Garde"/>
          <w:color w:val="auto"/>
        </w:rPr>
      </w:pPr>
    </w:p>
    <w:p w14:paraId="0BF0DD3E" w14:textId="77777777" w:rsidR="00C71528" w:rsidRDefault="00C71528" w:rsidP="00C71528">
      <w:pPr>
        <w:spacing w:after="0" w:line="276" w:lineRule="auto"/>
        <w:ind w:right="49"/>
        <w:rPr>
          <w:rFonts w:ascii="ITC Avant Garde" w:hAnsi="ITC Avant Garde"/>
          <w:color w:val="auto"/>
        </w:rPr>
      </w:pPr>
      <w:r>
        <w:rPr>
          <w:rFonts w:ascii="ITC Avant Garde" w:hAnsi="ITC Avant Garde"/>
          <w:color w:val="auto"/>
        </w:rPr>
        <w:t>No se considera adecuada la propuesta de modificación, pues la información presentada a los usuarios sobre las opciones para preservar la conectividad podría suponer información sesgada, que podría interferir en la libre decisión del usuario a elegir a un nuevo proveedor de servicios de telecomunicaciones móviles.</w:t>
      </w:r>
    </w:p>
    <w:p w14:paraId="3264523E" w14:textId="77777777" w:rsidR="00C71528" w:rsidRDefault="00C71528" w:rsidP="00C71528">
      <w:pPr>
        <w:spacing w:after="0" w:line="276" w:lineRule="auto"/>
        <w:ind w:right="49"/>
        <w:rPr>
          <w:rFonts w:ascii="ITC Avant Garde" w:hAnsi="ITC Avant Garde"/>
          <w:color w:val="auto"/>
        </w:rPr>
      </w:pPr>
    </w:p>
    <w:p w14:paraId="4DB3E044" w14:textId="77777777" w:rsidR="00C71528" w:rsidRPr="00555311" w:rsidRDefault="00C71528" w:rsidP="00C71528">
      <w:pPr>
        <w:spacing w:after="0" w:line="276" w:lineRule="auto"/>
        <w:ind w:right="49"/>
        <w:rPr>
          <w:rFonts w:ascii="ITC Avant Garde" w:hAnsi="ITC Avant Garde"/>
          <w:color w:val="auto"/>
        </w:rPr>
      </w:pPr>
      <w:r>
        <w:rPr>
          <w:rFonts w:ascii="ITC Avant Garde" w:hAnsi="ITC Avant Garde"/>
          <w:color w:val="auto"/>
        </w:rPr>
        <w:t>Asimismo, uno de los objetivos de la modificación a los Lineamientos es contar con un mecanismo para que los usuarios de aquellos OMV que cesan de manera abrupta sus operaciones puedan ejercer su derecho a la portabilidad de manera libre, y no es el objetivo establecer un medio para la comercialización de servicios de telecomunicaciones.</w:t>
      </w:r>
    </w:p>
    <w:p w14:paraId="3A3DF384" w14:textId="77777777" w:rsidR="0009648D" w:rsidRDefault="0009648D" w:rsidP="0009648D">
      <w:pPr>
        <w:spacing w:after="0" w:line="276" w:lineRule="auto"/>
        <w:ind w:right="49"/>
        <w:rPr>
          <w:rFonts w:ascii="ITC Avant Garde" w:eastAsiaTheme="minorHAnsi" w:hAnsi="ITC Avant Garde" w:cs="ITC Avant Garde"/>
          <w:lang w:eastAsia="en-US"/>
        </w:rPr>
      </w:pPr>
    </w:p>
    <w:p w14:paraId="7E18B3DC" w14:textId="77777777" w:rsidR="00B071D0" w:rsidRPr="009C4398" w:rsidRDefault="00B071D0" w:rsidP="00B071D0">
      <w:pPr>
        <w:spacing w:after="0" w:line="276" w:lineRule="auto"/>
        <w:ind w:right="49"/>
        <w:rPr>
          <w:rFonts w:ascii="ITC Avant Garde" w:hAnsi="ITC Avant Garde"/>
          <w:b/>
          <w:bCs/>
          <w:color w:val="auto"/>
        </w:rPr>
      </w:pPr>
      <w:r>
        <w:rPr>
          <w:rFonts w:ascii="ITC Avant Garde" w:hAnsi="ITC Avant Garde"/>
          <w:b/>
          <w:bCs/>
          <w:color w:val="auto"/>
        </w:rPr>
        <w:lastRenderedPageBreak/>
        <w:t>Grupo Televisa</w:t>
      </w:r>
    </w:p>
    <w:p w14:paraId="63A0C108" w14:textId="12A1C3EB" w:rsidR="00B071D0" w:rsidRPr="00B071D0" w:rsidRDefault="00D31FA9" w:rsidP="00B071D0">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t xml:space="preserve">Señalan </w:t>
      </w:r>
      <w:r w:rsidR="00B071D0" w:rsidRPr="00B071D0">
        <w:rPr>
          <w:rFonts w:ascii="ITC Avant Garde" w:eastAsiaTheme="minorHAnsi" w:hAnsi="ITC Avant Garde" w:cs="ITC Avant Garde"/>
          <w:lang w:eastAsia="en-US"/>
        </w:rPr>
        <w:t>que debe quedar claro que lo regulado no es una funcionalidad, sino es la prestación del Servicio Móvil, por lo que sugieren la siguiente redacción:</w:t>
      </w:r>
    </w:p>
    <w:p w14:paraId="291A3BF4" w14:textId="77777777" w:rsidR="00B071D0" w:rsidRPr="00B071D0" w:rsidRDefault="00B071D0" w:rsidP="00B071D0">
      <w:pPr>
        <w:spacing w:after="0" w:line="276" w:lineRule="auto"/>
        <w:ind w:right="49"/>
        <w:rPr>
          <w:rFonts w:ascii="ITC Avant Garde" w:eastAsiaTheme="minorHAnsi" w:hAnsi="ITC Avant Garde" w:cs="ITC Avant Garde"/>
          <w:lang w:eastAsia="en-US"/>
        </w:rPr>
      </w:pPr>
    </w:p>
    <w:p w14:paraId="6E7AD6A1" w14:textId="77777777" w:rsidR="00B071D0" w:rsidRPr="00E55D5E" w:rsidRDefault="00B071D0"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"Artículo 23. A partir de la rescisión o terminación del </w:t>
      </w:r>
      <w:r w:rsidRPr="00E55D5E">
        <w:rPr>
          <w:rFonts w:ascii="ITC Avant Garde" w:eastAsiaTheme="minorHAnsi" w:hAnsi="ITC Avant Garde" w:cs="ITC Avant Garde"/>
          <w:i/>
          <w:iCs/>
          <w:strike/>
          <w:sz w:val="18"/>
          <w:szCs w:val="18"/>
          <w:lang w:eastAsia="en-US"/>
        </w:rPr>
        <w:t>c</w:t>
      </w:r>
      <w:r w:rsidRPr="00E55D5E">
        <w:rPr>
          <w:rFonts w:ascii="ITC Avant Garde" w:eastAsiaTheme="minorHAnsi" w:hAnsi="ITC Avant Garde" w:cs="ITC Avant Garde"/>
          <w:i/>
          <w:iCs/>
          <w:sz w:val="18"/>
          <w:szCs w:val="18"/>
          <w:u w:val="single"/>
          <w:lang w:eastAsia="en-US"/>
        </w:rPr>
        <w:t>C</w:t>
      </w:r>
      <w:r w:rsidRPr="00E55D5E">
        <w:rPr>
          <w:rFonts w:ascii="ITC Avant Garde" w:eastAsiaTheme="minorHAnsi" w:hAnsi="ITC Avant Garde" w:cs="ITC Avant Garde"/>
          <w:i/>
          <w:iCs/>
          <w:sz w:val="18"/>
          <w:szCs w:val="18"/>
          <w:lang w:eastAsia="en-US"/>
        </w:rPr>
        <w:t xml:space="preserve">ontrato </w:t>
      </w:r>
      <w:r w:rsidRPr="00E55D5E">
        <w:rPr>
          <w:rFonts w:ascii="ITC Avant Garde" w:eastAsiaTheme="minorHAnsi" w:hAnsi="ITC Avant Garde" w:cs="ITC Avant Garde"/>
          <w:i/>
          <w:iCs/>
          <w:strike/>
          <w:sz w:val="18"/>
          <w:szCs w:val="18"/>
          <w:lang w:eastAsia="en-US"/>
        </w:rPr>
        <w:t>por la prestación</w:t>
      </w:r>
      <w:r w:rsidRPr="00E55D5E">
        <w:rPr>
          <w:rFonts w:ascii="ITC Avant Garde" w:eastAsiaTheme="minorHAnsi" w:hAnsi="ITC Avant Garde" w:cs="ITC Avant Garde"/>
          <w:i/>
          <w:iCs/>
          <w:sz w:val="18"/>
          <w:szCs w:val="18"/>
          <w:lang w:eastAsia="en-US"/>
        </w:rPr>
        <w:t xml:space="preserve"> de </w:t>
      </w:r>
      <w:r w:rsidRPr="00E55D5E">
        <w:rPr>
          <w:rFonts w:ascii="ITC Avant Garde" w:eastAsiaTheme="minorHAnsi" w:hAnsi="ITC Avant Garde" w:cs="ITC Avant Garde"/>
          <w:i/>
          <w:iCs/>
          <w:strike/>
          <w:sz w:val="18"/>
          <w:szCs w:val="18"/>
          <w:lang w:eastAsia="en-US"/>
        </w:rPr>
        <w:t>s</w:t>
      </w:r>
      <w:r w:rsidRPr="00E55D5E">
        <w:rPr>
          <w:rFonts w:ascii="ITC Avant Garde" w:eastAsiaTheme="minorHAnsi" w:hAnsi="ITC Avant Garde" w:cs="ITC Avant Garde"/>
          <w:i/>
          <w:iCs/>
          <w:sz w:val="18"/>
          <w:szCs w:val="18"/>
          <w:u w:val="single"/>
          <w:lang w:eastAsia="en-US"/>
        </w:rPr>
        <w:t>S</w:t>
      </w:r>
      <w:r w:rsidRPr="00E55D5E">
        <w:rPr>
          <w:rFonts w:ascii="ITC Avant Garde" w:eastAsiaTheme="minorHAnsi" w:hAnsi="ITC Avant Garde" w:cs="ITC Avant Garde"/>
          <w:i/>
          <w:iCs/>
          <w:sz w:val="18"/>
          <w:szCs w:val="18"/>
          <w:lang w:eastAsia="en-US"/>
        </w:rPr>
        <w:t xml:space="preserve">ervicios </w:t>
      </w:r>
      <w:r w:rsidRPr="00E55D5E">
        <w:rPr>
          <w:rFonts w:ascii="ITC Avant Garde" w:eastAsiaTheme="minorHAnsi" w:hAnsi="ITC Avant Garde" w:cs="ITC Avant Garde"/>
          <w:i/>
          <w:iCs/>
          <w:strike/>
          <w:sz w:val="18"/>
          <w:szCs w:val="18"/>
          <w:lang w:eastAsia="en-US"/>
        </w:rPr>
        <w:t>m</w:t>
      </w:r>
      <w:r w:rsidRPr="00E55D5E">
        <w:rPr>
          <w:rFonts w:ascii="ITC Avant Garde" w:eastAsiaTheme="minorHAnsi" w:hAnsi="ITC Avant Garde" w:cs="ITC Avant Garde"/>
          <w:i/>
          <w:iCs/>
          <w:sz w:val="18"/>
          <w:szCs w:val="18"/>
          <w:u w:val="single"/>
          <w:lang w:eastAsia="en-US"/>
        </w:rPr>
        <w:t>M</w:t>
      </w:r>
      <w:r w:rsidRPr="00E55D5E">
        <w:rPr>
          <w:rFonts w:ascii="ITC Avant Garde" w:eastAsiaTheme="minorHAnsi" w:hAnsi="ITC Avant Garde" w:cs="ITC Avant Garde"/>
          <w:i/>
          <w:iCs/>
          <w:sz w:val="18"/>
          <w:szCs w:val="18"/>
          <w:lang w:eastAsia="en-US"/>
        </w:rPr>
        <w:t xml:space="preserve">ayoristas </w:t>
      </w:r>
      <w:r w:rsidRPr="00E55D5E">
        <w:rPr>
          <w:rFonts w:ascii="ITC Avant Garde" w:eastAsiaTheme="minorHAnsi" w:hAnsi="ITC Avant Garde" w:cs="ITC Avant Garde"/>
          <w:i/>
          <w:iCs/>
          <w:sz w:val="18"/>
          <w:szCs w:val="18"/>
          <w:u w:val="single"/>
          <w:lang w:eastAsia="en-US"/>
        </w:rPr>
        <w:t>de Telecomunicaciones</w:t>
      </w:r>
      <w:r w:rsidRPr="00E55D5E">
        <w:rPr>
          <w:rFonts w:ascii="ITC Avant Garde" w:eastAsiaTheme="minorHAnsi" w:hAnsi="ITC Avant Garde" w:cs="ITC Avant Garde"/>
          <w:i/>
          <w:iCs/>
          <w:sz w:val="18"/>
          <w:szCs w:val="18"/>
          <w:lang w:eastAsia="en-US"/>
        </w:rPr>
        <w:t xml:space="preserve"> </w:t>
      </w:r>
      <w:r w:rsidRPr="00E55D5E">
        <w:rPr>
          <w:rFonts w:ascii="ITC Avant Garde" w:eastAsiaTheme="minorHAnsi" w:hAnsi="ITC Avant Garde" w:cs="ITC Avant Garde"/>
          <w:i/>
          <w:iCs/>
          <w:strike/>
          <w:sz w:val="18"/>
          <w:szCs w:val="18"/>
          <w:lang w:eastAsia="en-US"/>
        </w:rPr>
        <w:t>m</w:t>
      </w:r>
      <w:r w:rsidRPr="00E55D5E">
        <w:rPr>
          <w:rFonts w:ascii="ITC Avant Garde" w:eastAsiaTheme="minorHAnsi" w:hAnsi="ITC Avant Garde" w:cs="ITC Avant Garde"/>
          <w:i/>
          <w:iCs/>
          <w:sz w:val="18"/>
          <w:szCs w:val="18"/>
          <w:u w:val="single"/>
          <w:lang w:eastAsia="en-US"/>
        </w:rPr>
        <w:t>M</w:t>
      </w:r>
      <w:r w:rsidRPr="00E55D5E">
        <w:rPr>
          <w:rFonts w:ascii="ITC Avant Garde" w:eastAsiaTheme="minorHAnsi" w:hAnsi="ITC Avant Garde" w:cs="ITC Avant Garde"/>
          <w:i/>
          <w:iCs/>
          <w:sz w:val="18"/>
          <w:szCs w:val="18"/>
          <w:lang w:eastAsia="en-US"/>
        </w:rPr>
        <w:t xml:space="preserve">óviles con el Operador Móvil Virtual, el Concesionario Mayorista Móvil deberá informar dicha circunstancia al Instituto e iniciar con la prestación de </w:t>
      </w:r>
      <w:r w:rsidRPr="00E55D5E">
        <w:rPr>
          <w:rFonts w:ascii="ITC Avant Garde" w:eastAsiaTheme="minorHAnsi" w:hAnsi="ITC Avant Garde" w:cs="ITC Avant Garde"/>
          <w:i/>
          <w:iCs/>
          <w:strike/>
          <w:sz w:val="18"/>
          <w:szCs w:val="18"/>
          <w:lang w:eastAsia="en-US"/>
        </w:rPr>
        <w:t>las funcionalidades</w:t>
      </w:r>
      <w:r w:rsidRPr="00E55D5E">
        <w:rPr>
          <w:rFonts w:ascii="ITC Avant Garde" w:eastAsiaTheme="minorHAnsi" w:hAnsi="ITC Avant Garde" w:cs="ITC Avant Garde"/>
          <w:i/>
          <w:iCs/>
          <w:sz w:val="18"/>
          <w:szCs w:val="18"/>
          <w:lang w:eastAsia="en-US"/>
        </w:rPr>
        <w:t xml:space="preserve"> </w:t>
      </w:r>
      <w:r w:rsidRPr="00E55D5E">
        <w:rPr>
          <w:rFonts w:ascii="ITC Avant Garde" w:eastAsiaTheme="minorHAnsi" w:hAnsi="ITC Avant Garde" w:cs="ITC Avant Garde"/>
          <w:i/>
          <w:iCs/>
          <w:sz w:val="18"/>
          <w:szCs w:val="18"/>
          <w:u w:val="single"/>
          <w:lang w:eastAsia="en-US"/>
        </w:rPr>
        <w:t>los Servicios Móviles</w:t>
      </w:r>
      <w:r w:rsidRPr="00E55D5E">
        <w:rPr>
          <w:rFonts w:ascii="ITC Avant Garde" w:eastAsiaTheme="minorHAnsi" w:hAnsi="ITC Avant Garde" w:cs="ITC Avant Garde"/>
          <w:i/>
          <w:iCs/>
          <w:sz w:val="18"/>
          <w:szCs w:val="18"/>
          <w:lang w:eastAsia="en-US"/>
        </w:rPr>
        <w:t xml:space="preserve"> a </w:t>
      </w:r>
      <w:r w:rsidRPr="00E55D5E">
        <w:rPr>
          <w:rFonts w:ascii="ITC Avant Garde" w:eastAsiaTheme="minorHAnsi" w:hAnsi="ITC Avant Garde" w:cs="ITC Avant Garde"/>
          <w:i/>
          <w:iCs/>
          <w:strike/>
          <w:sz w:val="18"/>
          <w:szCs w:val="18"/>
          <w:lang w:eastAsia="en-US"/>
        </w:rPr>
        <w:t xml:space="preserve">las </w:t>
      </w:r>
      <w:r w:rsidRPr="00E55D5E">
        <w:rPr>
          <w:rFonts w:ascii="ITC Avant Garde" w:eastAsiaTheme="minorHAnsi" w:hAnsi="ITC Avant Garde" w:cs="ITC Avant Garde"/>
          <w:i/>
          <w:iCs/>
          <w:sz w:val="18"/>
          <w:szCs w:val="18"/>
          <w:u w:val="single"/>
          <w:lang w:eastAsia="en-US"/>
        </w:rPr>
        <w:t xml:space="preserve">los </w:t>
      </w:r>
      <w:r w:rsidRPr="00E55D5E">
        <w:rPr>
          <w:rFonts w:ascii="ITC Avant Garde" w:eastAsiaTheme="minorHAnsi" w:hAnsi="ITC Avant Garde" w:cs="ITC Avant Garde"/>
          <w:i/>
          <w:iCs/>
          <w:sz w:val="18"/>
          <w:szCs w:val="18"/>
          <w:lang w:eastAsia="en-US"/>
        </w:rPr>
        <w:t>que se refiere el artículo anterior, a más tardar al día hábil siguiente.</w:t>
      </w:r>
    </w:p>
    <w:p w14:paraId="7988DA44" w14:textId="77777777" w:rsidR="00B071D0" w:rsidRPr="00E55D5E" w:rsidRDefault="00B071D0" w:rsidP="00E55D5E">
      <w:pPr>
        <w:spacing w:after="0" w:line="276" w:lineRule="auto"/>
        <w:ind w:left="567" w:right="616"/>
        <w:rPr>
          <w:rFonts w:ascii="ITC Avant Garde" w:eastAsiaTheme="minorHAnsi" w:hAnsi="ITC Avant Garde" w:cs="ITC Avant Garde"/>
          <w:i/>
          <w:iCs/>
          <w:sz w:val="18"/>
          <w:szCs w:val="18"/>
          <w:lang w:eastAsia="en-US"/>
        </w:rPr>
      </w:pPr>
    </w:p>
    <w:p w14:paraId="122A659B" w14:textId="77777777" w:rsidR="00B071D0" w:rsidRPr="00E55D5E" w:rsidRDefault="00B071D0" w:rsidP="00E55D5E">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El aviso se realizará mediante escrito libre y deberá contener el nombre del Concesionario Mayorista Móvil, así como del Operador Móvil Virtual y la cantidad de usuarios finales a los que se les brindarán las funcionalidades a las que se refiere el artículo anterior, así como la descripción de los hechos que motivan la continuidad de tales </w:t>
      </w:r>
      <w:r w:rsidRPr="00E55D5E">
        <w:rPr>
          <w:rFonts w:ascii="ITC Avant Garde" w:eastAsiaTheme="minorHAnsi" w:hAnsi="ITC Avant Garde" w:cs="ITC Avant Garde"/>
          <w:i/>
          <w:iCs/>
          <w:strike/>
          <w:sz w:val="18"/>
          <w:szCs w:val="18"/>
          <w:lang w:eastAsia="en-US"/>
        </w:rPr>
        <w:t>funcionalidades</w:t>
      </w:r>
      <w:r w:rsidRPr="00E55D5E">
        <w:rPr>
          <w:rFonts w:ascii="ITC Avant Garde" w:eastAsiaTheme="minorHAnsi" w:hAnsi="ITC Avant Garde" w:cs="ITC Avant Garde"/>
          <w:i/>
          <w:iCs/>
          <w:sz w:val="18"/>
          <w:szCs w:val="18"/>
          <w:lang w:eastAsia="en-US"/>
        </w:rPr>
        <w:t xml:space="preserve"> </w:t>
      </w:r>
      <w:r w:rsidRPr="00E55D5E">
        <w:rPr>
          <w:rFonts w:ascii="ITC Avant Garde" w:eastAsiaTheme="minorHAnsi" w:hAnsi="ITC Avant Garde" w:cs="ITC Avant Garde"/>
          <w:i/>
          <w:iCs/>
          <w:sz w:val="18"/>
          <w:szCs w:val="18"/>
          <w:u w:val="single"/>
          <w:lang w:eastAsia="en-US"/>
        </w:rPr>
        <w:t>Servicios Móviles</w:t>
      </w:r>
      <w:r w:rsidRPr="00E55D5E">
        <w:rPr>
          <w:rFonts w:ascii="ITC Avant Garde" w:eastAsiaTheme="minorHAnsi" w:hAnsi="ITC Avant Garde" w:cs="ITC Avant Garde"/>
          <w:i/>
          <w:iCs/>
          <w:sz w:val="18"/>
          <w:szCs w:val="18"/>
          <w:lang w:eastAsia="en-US"/>
        </w:rPr>
        <w:t>.</w:t>
      </w:r>
    </w:p>
    <w:p w14:paraId="7F88AB5E" w14:textId="77777777" w:rsidR="00B071D0" w:rsidRPr="00E55D5E" w:rsidRDefault="00B071D0" w:rsidP="00E55D5E">
      <w:pPr>
        <w:spacing w:after="0" w:line="276" w:lineRule="auto"/>
        <w:ind w:left="567" w:right="616"/>
        <w:rPr>
          <w:rFonts w:ascii="ITC Avant Garde" w:eastAsiaTheme="minorHAnsi" w:hAnsi="ITC Avant Garde" w:cs="ITC Avant Garde"/>
          <w:i/>
          <w:iCs/>
          <w:sz w:val="18"/>
          <w:szCs w:val="18"/>
          <w:lang w:eastAsia="en-US"/>
        </w:rPr>
      </w:pPr>
    </w:p>
    <w:p w14:paraId="2B6B9964" w14:textId="392340F7" w:rsidR="00FA09A5" w:rsidRDefault="00B071D0" w:rsidP="00B071D0">
      <w:pPr>
        <w:spacing w:after="0" w:line="276" w:lineRule="auto"/>
        <w:ind w:left="567" w:right="616"/>
        <w:rPr>
          <w:rFonts w:ascii="ITC Avant Garde" w:eastAsiaTheme="minorHAnsi" w:hAnsi="ITC Avant Garde" w:cs="ITC Avant Garde"/>
          <w:i/>
          <w:iCs/>
          <w:sz w:val="18"/>
          <w:szCs w:val="18"/>
          <w:lang w:eastAsia="en-US"/>
        </w:rPr>
      </w:pPr>
      <w:r w:rsidRPr="00E55D5E">
        <w:rPr>
          <w:rFonts w:ascii="ITC Avant Garde" w:eastAsiaTheme="minorHAnsi" w:hAnsi="ITC Avant Garde" w:cs="ITC Avant Garde"/>
          <w:i/>
          <w:iCs/>
          <w:sz w:val="18"/>
          <w:szCs w:val="18"/>
          <w:lang w:eastAsia="en-US"/>
        </w:rPr>
        <w:t xml:space="preserve">El Concesionario Mayorista Móvil deberá informar a los usuarios correspondientes, a través del envío de mensajes cortos, sobre el estado que guarda la continuidad </w:t>
      </w:r>
      <w:r w:rsidRPr="00E55D5E">
        <w:rPr>
          <w:rFonts w:ascii="ITC Avant Garde" w:eastAsiaTheme="minorHAnsi" w:hAnsi="ITC Avant Garde" w:cs="ITC Avant Garde"/>
          <w:i/>
          <w:iCs/>
          <w:strike/>
          <w:sz w:val="18"/>
          <w:szCs w:val="18"/>
          <w:lang w:eastAsia="en-US"/>
        </w:rPr>
        <w:t>en su red</w:t>
      </w:r>
      <w:r w:rsidRPr="00E55D5E">
        <w:rPr>
          <w:rFonts w:ascii="ITC Avant Garde" w:eastAsiaTheme="minorHAnsi" w:hAnsi="ITC Avant Garde" w:cs="ITC Avant Garde"/>
          <w:i/>
          <w:iCs/>
          <w:sz w:val="18"/>
          <w:szCs w:val="18"/>
          <w:lang w:eastAsia="en-US"/>
        </w:rPr>
        <w:t xml:space="preserve"> </w:t>
      </w:r>
      <w:r w:rsidRPr="00E55D5E">
        <w:rPr>
          <w:rFonts w:ascii="ITC Avant Garde" w:eastAsiaTheme="minorHAnsi" w:hAnsi="ITC Avant Garde" w:cs="ITC Avant Garde"/>
          <w:i/>
          <w:iCs/>
          <w:sz w:val="18"/>
          <w:szCs w:val="18"/>
          <w:u w:val="single"/>
          <w:lang w:eastAsia="en-US"/>
        </w:rPr>
        <w:t>de la prestación de sus Servicios Móviles</w:t>
      </w:r>
      <w:r w:rsidRPr="00E55D5E">
        <w:rPr>
          <w:rFonts w:ascii="ITC Avant Garde" w:eastAsiaTheme="minorHAnsi" w:hAnsi="ITC Avant Garde" w:cs="ITC Avant Garde"/>
          <w:i/>
          <w:iCs/>
          <w:sz w:val="18"/>
          <w:szCs w:val="18"/>
          <w:lang w:eastAsia="en-US"/>
        </w:rPr>
        <w:t xml:space="preserve"> y el plazo durante el cual estarán disponibles </w:t>
      </w:r>
      <w:r w:rsidRPr="00E55D5E">
        <w:rPr>
          <w:rFonts w:ascii="ITC Avant Garde" w:eastAsiaTheme="minorHAnsi" w:hAnsi="ITC Avant Garde" w:cs="ITC Avant Garde"/>
          <w:i/>
          <w:iCs/>
          <w:strike/>
          <w:sz w:val="18"/>
          <w:szCs w:val="18"/>
          <w:lang w:eastAsia="en-US"/>
        </w:rPr>
        <w:t>las funcionalidades</w:t>
      </w:r>
      <w:r w:rsidRPr="00E55D5E">
        <w:rPr>
          <w:rFonts w:ascii="ITC Avant Garde" w:eastAsiaTheme="minorHAnsi" w:hAnsi="ITC Avant Garde" w:cs="ITC Avant Garde"/>
          <w:i/>
          <w:iCs/>
          <w:sz w:val="18"/>
          <w:szCs w:val="18"/>
          <w:lang w:eastAsia="en-US"/>
        </w:rPr>
        <w:t xml:space="preserve"> </w:t>
      </w:r>
      <w:r w:rsidRPr="00E55D5E">
        <w:rPr>
          <w:rFonts w:ascii="ITC Avant Garde" w:eastAsiaTheme="minorHAnsi" w:hAnsi="ITC Avant Garde" w:cs="ITC Avant Garde"/>
          <w:i/>
          <w:iCs/>
          <w:sz w:val="18"/>
          <w:szCs w:val="18"/>
          <w:u w:val="single"/>
          <w:lang w:eastAsia="en-US"/>
        </w:rPr>
        <w:t>los Servicios Móviles</w:t>
      </w:r>
      <w:r w:rsidRPr="00E55D5E">
        <w:rPr>
          <w:rFonts w:ascii="ITC Avant Garde" w:eastAsiaTheme="minorHAnsi" w:hAnsi="ITC Avant Garde" w:cs="ITC Avant Garde"/>
          <w:i/>
          <w:iCs/>
          <w:sz w:val="18"/>
          <w:szCs w:val="18"/>
          <w:lang w:eastAsia="en-US"/>
        </w:rPr>
        <w:t xml:space="preserve"> que le permitan ejercer su derecho de portabilidad hacia otro Operador Móvil Virtual o Concesionario, además de señalar que posterior a dicho plazo su </w:t>
      </w:r>
      <w:r w:rsidRPr="00E55D5E">
        <w:rPr>
          <w:rFonts w:ascii="ITC Avant Garde" w:eastAsiaTheme="minorHAnsi" w:hAnsi="ITC Avant Garde" w:cs="ITC Avant Garde"/>
          <w:i/>
          <w:iCs/>
          <w:strike/>
          <w:sz w:val="18"/>
          <w:szCs w:val="18"/>
          <w:lang w:eastAsia="en-US"/>
        </w:rPr>
        <w:t>línea telefónica</w:t>
      </w:r>
      <w:r w:rsidRPr="00E55D5E">
        <w:rPr>
          <w:rFonts w:ascii="ITC Avant Garde" w:eastAsiaTheme="minorHAnsi" w:hAnsi="ITC Avant Garde" w:cs="ITC Avant Garde"/>
          <w:i/>
          <w:iCs/>
          <w:sz w:val="18"/>
          <w:szCs w:val="18"/>
          <w:lang w:eastAsia="en-US"/>
        </w:rPr>
        <w:t xml:space="preserve"> </w:t>
      </w:r>
      <w:r w:rsidRPr="00E55D5E">
        <w:rPr>
          <w:rFonts w:ascii="ITC Avant Garde" w:eastAsiaTheme="minorHAnsi" w:hAnsi="ITC Avant Garde" w:cs="ITC Avant Garde"/>
          <w:i/>
          <w:iCs/>
          <w:sz w:val="18"/>
          <w:szCs w:val="18"/>
          <w:u w:val="single"/>
          <w:lang w:eastAsia="en-US"/>
        </w:rPr>
        <w:t>número</w:t>
      </w:r>
      <w:r w:rsidRPr="00E55D5E">
        <w:rPr>
          <w:rFonts w:ascii="ITC Avant Garde" w:eastAsiaTheme="minorHAnsi" w:hAnsi="ITC Avant Garde" w:cs="ITC Avant Garde"/>
          <w:i/>
          <w:iCs/>
          <w:sz w:val="18"/>
          <w:szCs w:val="18"/>
          <w:lang w:eastAsia="en-US"/>
        </w:rPr>
        <w:t xml:space="preserve"> será desactivad</w:t>
      </w:r>
      <w:r w:rsidRPr="00E55D5E">
        <w:rPr>
          <w:rFonts w:ascii="ITC Avant Garde" w:eastAsiaTheme="minorHAnsi" w:hAnsi="ITC Avant Garde" w:cs="ITC Avant Garde"/>
          <w:i/>
          <w:iCs/>
          <w:strike/>
          <w:sz w:val="18"/>
          <w:szCs w:val="18"/>
          <w:lang w:eastAsia="en-US"/>
        </w:rPr>
        <w:t>a</w:t>
      </w:r>
      <w:r w:rsidRPr="00E55D5E">
        <w:rPr>
          <w:rFonts w:ascii="ITC Avant Garde" w:eastAsiaTheme="minorHAnsi" w:hAnsi="ITC Avant Garde" w:cs="ITC Avant Garde"/>
          <w:i/>
          <w:iCs/>
          <w:sz w:val="18"/>
          <w:szCs w:val="18"/>
          <w:u w:val="single"/>
          <w:lang w:eastAsia="en-US"/>
        </w:rPr>
        <w:t>o</w:t>
      </w:r>
      <w:r w:rsidRPr="00E55D5E">
        <w:rPr>
          <w:rFonts w:ascii="ITC Avant Garde" w:eastAsiaTheme="minorHAnsi" w:hAnsi="ITC Avant Garde" w:cs="ITC Avant Garde"/>
          <w:i/>
          <w:iCs/>
          <w:sz w:val="18"/>
          <w:szCs w:val="18"/>
          <w:lang w:eastAsia="en-US"/>
        </w:rPr>
        <w:t xml:space="preserve"> y no podrá ejercer </w:t>
      </w:r>
      <w:r w:rsidRPr="00E55D5E">
        <w:rPr>
          <w:rFonts w:ascii="ITC Avant Garde" w:eastAsiaTheme="minorHAnsi" w:hAnsi="ITC Avant Garde" w:cs="ITC Avant Garde"/>
          <w:i/>
          <w:iCs/>
          <w:strike/>
          <w:sz w:val="18"/>
          <w:szCs w:val="18"/>
          <w:lang w:eastAsia="en-US"/>
        </w:rPr>
        <w:t>la</w:t>
      </w:r>
      <w:r w:rsidRPr="00E55D5E">
        <w:rPr>
          <w:rFonts w:ascii="ITC Avant Garde" w:eastAsiaTheme="minorHAnsi" w:hAnsi="ITC Avant Garde" w:cs="ITC Avant Garde"/>
          <w:i/>
          <w:iCs/>
          <w:sz w:val="18"/>
          <w:szCs w:val="18"/>
          <w:lang w:eastAsia="en-US"/>
        </w:rPr>
        <w:t xml:space="preserve"> </w:t>
      </w:r>
      <w:r w:rsidRPr="00E55D5E">
        <w:rPr>
          <w:rFonts w:ascii="ITC Avant Garde" w:eastAsiaTheme="minorHAnsi" w:hAnsi="ITC Avant Garde" w:cs="ITC Avant Garde"/>
          <w:i/>
          <w:iCs/>
          <w:sz w:val="18"/>
          <w:szCs w:val="18"/>
          <w:u w:val="single"/>
          <w:lang w:eastAsia="en-US"/>
        </w:rPr>
        <w:t>su derecho de</w:t>
      </w:r>
      <w:r w:rsidRPr="00E55D5E">
        <w:rPr>
          <w:rFonts w:ascii="ITC Avant Garde" w:eastAsiaTheme="minorHAnsi" w:hAnsi="ITC Avant Garde" w:cs="ITC Avant Garde"/>
          <w:i/>
          <w:iCs/>
          <w:sz w:val="18"/>
          <w:szCs w:val="18"/>
          <w:lang w:eastAsia="en-US"/>
        </w:rPr>
        <w:t xml:space="preserve"> portabilidad del número."</w:t>
      </w:r>
    </w:p>
    <w:p w14:paraId="51C09A49" w14:textId="00FC23CF" w:rsidR="00E55D5E" w:rsidRDefault="00E55D5E" w:rsidP="00E55D5E">
      <w:pPr>
        <w:spacing w:after="0" w:line="276" w:lineRule="auto"/>
        <w:ind w:left="567" w:right="616"/>
        <w:jc w:val="right"/>
        <w:rPr>
          <w:rFonts w:ascii="ITC Avant Garde" w:eastAsiaTheme="minorHAnsi" w:hAnsi="ITC Avant Garde" w:cs="ITC Avant Garde"/>
          <w:i/>
          <w:iCs/>
          <w:sz w:val="18"/>
          <w:szCs w:val="18"/>
          <w:lang w:eastAsia="en-US"/>
        </w:rPr>
      </w:pPr>
      <w:r>
        <w:rPr>
          <w:rFonts w:ascii="ITC Avant Garde" w:eastAsiaTheme="minorHAnsi" w:hAnsi="ITC Avant Garde" w:cs="ITC Avant Garde"/>
          <w:sz w:val="18"/>
          <w:szCs w:val="18"/>
          <w:lang w:eastAsia="en-US"/>
        </w:rPr>
        <w:t>Énfasis añadido</w:t>
      </w:r>
    </w:p>
    <w:p w14:paraId="072DF0A2" w14:textId="77777777" w:rsidR="00A77A06" w:rsidRDefault="00A77A06" w:rsidP="00FB0017">
      <w:pPr>
        <w:spacing w:after="0" w:line="276" w:lineRule="auto"/>
        <w:ind w:right="49"/>
        <w:rPr>
          <w:rFonts w:ascii="ITC Avant Garde" w:eastAsiaTheme="minorHAnsi" w:hAnsi="ITC Avant Garde" w:cs="ITC Avant Garde"/>
          <w:lang w:eastAsia="en-US"/>
        </w:rPr>
      </w:pPr>
    </w:p>
    <w:p w14:paraId="7808E1B2" w14:textId="77777777" w:rsidR="00ED2183" w:rsidRPr="003419F5" w:rsidRDefault="00ED2183" w:rsidP="00ED2183">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07C7550A" w14:textId="77777777" w:rsidR="00ED2183" w:rsidRDefault="00ED2183" w:rsidP="00ED2183">
      <w:pPr>
        <w:spacing w:after="0" w:line="276" w:lineRule="auto"/>
        <w:ind w:right="49"/>
        <w:rPr>
          <w:rFonts w:ascii="ITC Avant Garde" w:hAnsi="ITC Avant Garde"/>
          <w:color w:val="auto"/>
        </w:rPr>
      </w:pPr>
    </w:p>
    <w:p w14:paraId="121A6AA4" w14:textId="7EA814FC" w:rsidR="00ED2183" w:rsidRDefault="00ED2183" w:rsidP="00ED2183">
      <w:pPr>
        <w:spacing w:after="0" w:line="276" w:lineRule="auto"/>
        <w:ind w:right="49"/>
        <w:rPr>
          <w:rFonts w:ascii="ITC Avant Garde" w:hAnsi="ITC Avant Garde"/>
          <w:color w:val="auto"/>
        </w:rPr>
      </w:pPr>
      <w:r>
        <w:rPr>
          <w:rFonts w:ascii="ITC Avant Garde" w:hAnsi="ITC Avant Garde"/>
          <w:color w:val="auto"/>
        </w:rPr>
        <w:t xml:space="preserve">El propósito principal de la Modificación de Lineamientos OMV no es que el Concesionario Mayorista Móvil sea quien dé continuidad a la prestación de los servicios de telecomunicaciones móviles a los usuarios de aquellos OMV que cesan de manera abrupta sus operaciones, sino que se busca ofrecer un mecanismo que, mediante el apoyo temporal de </w:t>
      </w:r>
      <w:r w:rsidR="00296B77">
        <w:rPr>
          <w:rFonts w:ascii="ITC Avant Garde" w:hAnsi="ITC Avant Garde"/>
          <w:color w:val="auto"/>
        </w:rPr>
        <w:t xml:space="preserve">funcionalidades y </w:t>
      </w:r>
      <w:r>
        <w:rPr>
          <w:rFonts w:ascii="ITC Avant Garde" w:hAnsi="ITC Avant Garde"/>
          <w:color w:val="auto"/>
        </w:rPr>
        <w:t>los recursos de red del Concesionario Mayorista Móvil, dichos usuarios puedan ejercer su derecho a la portabilidad, eligiendo así algún otro proveedor de servicios de telecomunicaciones móviles de su preferencia. Por lo anterior, no se considera adecuada la modificación solicitada.</w:t>
      </w:r>
    </w:p>
    <w:p w14:paraId="10A4CEF6" w14:textId="77777777" w:rsidR="00ED2183" w:rsidRPr="00FB0017" w:rsidRDefault="00ED2183" w:rsidP="00ED2183">
      <w:pPr>
        <w:spacing w:after="0" w:line="276" w:lineRule="auto"/>
        <w:ind w:right="49"/>
        <w:rPr>
          <w:rFonts w:ascii="ITC Avant Garde" w:eastAsiaTheme="minorHAnsi" w:hAnsi="ITC Avant Garde" w:cs="ITC Avant Garde"/>
          <w:lang w:eastAsia="en-US"/>
        </w:rPr>
      </w:pPr>
    </w:p>
    <w:p w14:paraId="77A2C2D7" w14:textId="04730D7B" w:rsidR="00FB0017" w:rsidRPr="009C4398" w:rsidRDefault="00FB0017" w:rsidP="00FB0017">
      <w:pPr>
        <w:spacing w:after="0" w:line="276" w:lineRule="auto"/>
        <w:ind w:right="49"/>
        <w:rPr>
          <w:rFonts w:ascii="ITC Avant Garde" w:hAnsi="ITC Avant Garde"/>
          <w:b/>
          <w:bCs/>
          <w:color w:val="auto"/>
        </w:rPr>
      </w:pPr>
      <w:r w:rsidRPr="00FA09A5">
        <w:rPr>
          <w:rFonts w:ascii="ITC Avant Garde" w:hAnsi="ITC Avant Garde"/>
          <w:b/>
          <w:bCs/>
          <w:color w:val="auto"/>
        </w:rPr>
        <w:t>Dirección de Atención al Usuario</w:t>
      </w:r>
    </w:p>
    <w:p w14:paraId="3A19A9D7" w14:textId="61617DDF" w:rsidR="00FB0017" w:rsidRPr="008E1E39" w:rsidRDefault="00290EA1" w:rsidP="00FB0017">
      <w:pPr>
        <w:spacing w:after="0" w:line="276" w:lineRule="auto"/>
        <w:ind w:right="49"/>
        <w:rPr>
          <w:rFonts w:ascii="ITC Avant Garde" w:eastAsiaTheme="minorHAnsi" w:hAnsi="ITC Avant Garde" w:cs="ITC Avant Garde"/>
          <w:lang w:eastAsia="en-US"/>
        </w:rPr>
      </w:pPr>
      <w:r w:rsidRPr="00290EA1">
        <w:rPr>
          <w:rFonts w:ascii="ITC Avant Garde" w:eastAsiaTheme="minorHAnsi" w:hAnsi="ITC Avant Garde" w:cs="ITC Avant Garde"/>
          <w:lang w:eastAsia="en-US"/>
        </w:rPr>
        <w:t>Sugieren agregar</w:t>
      </w:r>
      <w:r>
        <w:rPr>
          <w:rFonts w:ascii="ITC Avant Garde" w:eastAsiaTheme="minorHAnsi" w:hAnsi="ITC Avant Garde" w:cs="ITC Avant Garde"/>
          <w:lang w:eastAsia="en-US"/>
        </w:rPr>
        <w:t>, en el párrafo tercero del artículo 23,</w:t>
      </w:r>
      <w:r w:rsidRPr="00290EA1">
        <w:rPr>
          <w:rFonts w:ascii="ITC Avant Garde" w:eastAsiaTheme="minorHAnsi" w:hAnsi="ITC Avant Garde" w:cs="ITC Avant Garde"/>
          <w:lang w:eastAsia="en-US"/>
        </w:rPr>
        <w:t xml:space="preserve"> que también se dé información a las personas usuarias en medios digitales, como son las redes sociales y páginas de internet oficiales.</w:t>
      </w:r>
    </w:p>
    <w:p w14:paraId="70619CD4" w14:textId="77777777" w:rsidR="00BC5BB8" w:rsidRDefault="00BC5BB8" w:rsidP="00BC5BB8">
      <w:pPr>
        <w:spacing w:after="0" w:line="276" w:lineRule="auto"/>
        <w:ind w:right="49"/>
        <w:rPr>
          <w:rFonts w:ascii="ITC Avant Garde" w:eastAsiaTheme="minorHAnsi" w:hAnsi="ITC Avant Garde" w:cs="ITC Avant Garde"/>
          <w:lang w:eastAsia="en-US"/>
        </w:rPr>
      </w:pPr>
    </w:p>
    <w:p w14:paraId="7C6832D5" w14:textId="3569605F" w:rsidR="009A7B10" w:rsidRPr="009C4398" w:rsidRDefault="009A7B10" w:rsidP="009A7B10">
      <w:pPr>
        <w:spacing w:after="0" w:line="276" w:lineRule="auto"/>
        <w:ind w:right="49"/>
        <w:rPr>
          <w:rFonts w:ascii="ITC Avant Garde" w:hAnsi="ITC Avant Garde"/>
          <w:b/>
          <w:bCs/>
          <w:color w:val="auto"/>
        </w:rPr>
      </w:pPr>
      <w:r>
        <w:rPr>
          <w:rFonts w:ascii="ITC Avant Garde" w:hAnsi="ITC Avant Garde"/>
          <w:b/>
          <w:bCs/>
          <w:color w:val="auto"/>
        </w:rPr>
        <w:t>Altán</w:t>
      </w:r>
    </w:p>
    <w:p w14:paraId="65EA82C6" w14:textId="77777777" w:rsidR="00891BE6" w:rsidRPr="00891BE6" w:rsidRDefault="00891BE6" w:rsidP="00891BE6">
      <w:pPr>
        <w:spacing w:after="0" w:line="276" w:lineRule="auto"/>
        <w:ind w:right="49"/>
        <w:rPr>
          <w:rFonts w:ascii="ITC Avant Garde" w:eastAsiaTheme="minorHAnsi" w:hAnsi="ITC Avant Garde" w:cs="ITC Avant Garde"/>
          <w:lang w:eastAsia="en-US"/>
        </w:rPr>
      </w:pPr>
      <w:r w:rsidRPr="00891BE6">
        <w:rPr>
          <w:rFonts w:ascii="ITC Avant Garde" w:eastAsiaTheme="minorHAnsi" w:hAnsi="ITC Avant Garde" w:cs="ITC Avant Garde"/>
          <w:lang w:eastAsia="en-US"/>
        </w:rPr>
        <w:t>Sugiere modificar el artículo como se muestra continuación:</w:t>
      </w:r>
    </w:p>
    <w:p w14:paraId="70A7D3C6" w14:textId="77777777" w:rsidR="00891BE6" w:rsidRPr="00891BE6" w:rsidRDefault="00891BE6" w:rsidP="00891BE6">
      <w:pPr>
        <w:spacing w:after="0" w:line="276" w:lineRule="auto"/>
        <w:ind w:right="49"/>
        <w:rPr>
          <w:rFonts w:ascii="ITC Avant Garde" w:eastAsiaTheme="minorHAnsi" w:hAnsi="ITC Avant Garde" w:cs="ITC Avant Garde"/>
          <w:lang w:eastAsia="en-US"/>
        </w:rPr>
      </w:pPr>
    </w:p>
    <w:p w14:paraId="717437B5" w14:textId="77777777" w:rsidR="00891BE6" w:rsidRPr="00891BE6" w:rsidRDefault="00891BE6" w:rsidP="00891BE6">
      <w:pPr>
        <w:spacing w:after="0" w:line="276" w:lineRule="auto"/>
        <w:ind w:left="567" w:right="616"/>
        <w:rPr>
          <w:rFonts w:ascii="ITC Avant Garde" w:eastAsiaTheme="minorHAnsi" w:hAnsi="ITC Avant Garde" w:cs="ITC Avant Garde"/>
          <w:i/>
          <w:iCs/>
          <w:sz w:val="18"/>
          <w:szCs w:val="18"/>
          <w:lang w:eastAsia="en-US"/>
        </w:rPr>
      </w:pPr>
      <w:r w:rsidRPr="00891BE6">
        <w:rPr>
          <w:rFonts w:ascii="ITC Avant Garde" w:eastAsiaTheme="minorHAnsi" w:hAnsi="ITC Avant Garde" w:cs="ITC Avant Garde"/>
          <w:i/>
          <w:iCs/>
          <w:sz w:val="18"/>
          <w:szCs w:val="18"/>
          <w:lang w:eastAsia="en-US"/>
        </w:rPr>
        <w:lastRenderedPageBreak/>
        <w:t xml:space="preserve">"Artículo 23. </w:t>
      </w:r>
    </w:p>
    <w:p w14:paraId="128A006F" w14:textId="77777777" w:rsidR="00891BE6" w:rsidRPr="00891BE6" w:rsidRDefault="00891BE6" w:rsidP="00891BE6">
      <w:pPr>
        <w:spacing w:after="0" w:line="276" w:lineRule="auto"/>
        <w:ind w:left="567" w:right="616"/>
        <w:rPr>
          <w:rFonts w:ascii="ITC Avant Garde" w:eastAsiaTheme="minorHAnsi" w:hAnsi="ITC Avant Garde" w:cs="ITC Avant Garde"/>
          <w:i/>
          <w:iCs/>
          <w:sz w:val="18"/>
          <w:szCs w:val="18"/>
          <w:lang w:eastAsia="en-US"/>
        </w:rPr>
      </w:pPr>
      <w:r w:rsidRPr="00891BE6">
        <w:rPr>
          <w:rFonts w:ascii="ITC Avant Garde" w:eastAsiaTheme="minorHAnsi" w:hAnsi="ITC Avant Garde" w:cs="ITC Avant Garde"/>
          <w:i/>
          <w:iCs/>
          <w:sz w:val="18"/>
          <w:szCs w:val="18"/>
          <w:lang w:eastAsia="en-US"/>
        </w:rPr>
        <w:t>(…)</w:t>
      </w:r>
    </w:p>
    <w:p w14:paraId="6BFEA656" w14:textId="533F6888" w:rsidR="00A77A06" w:rsidRDefault="00891BE6" w:rsidP="00891BE6">
      <w:pPr>
        <w:spacing w:after="0" w:line="276" w:lineRule="auto"/>
        <w:ind w:left="567" w:right="616"/>
        <w:rPr>
          <w:rFonts w:ascii="ITC Avant Garde" w:eastAsiaTheme="minorHAnsi" w:hAnsi="ITC Avant Garde" w:cs="ITC Avant Garde"/>
          <w:i/>
          <w:iCs/>
          <w:sz w:val="18"/>
          <w:szCs w:val="18"/>
          <w:lang w:eastAsia="en-US"/>
        </w:rPr>
      </w:pPr>
      <w:r w:rsidRPr="00891BE6">
        <w:rPr>
          <w:rFonts w:ascii="ITC Avant Garde" w:eastAsiaTheme="minorHAnsi" w:hAnsi="ITC Avant Garde" w:cs="ITC Avant Garde"/>
          <w:i/>
          <w:iCs/>
          <w:sz w:val="18"/>
          <w:szCs w:val="18"/>
          <w:lang w:eastAsia="en-US"/>
        </w:rPr>
        <w:t xml:space="preserve">El Concesionario Mayorista Móvil deberá informar a los usuarios correspondientes, </w:t>
      </w:r>
      <w:r w:rsidRPr="00891BE6">
        <w:rPr>
          <w:rFonts w:ascii="ITC Avant Garde" w:eastAsiaTheme="minorHAnsi" w:hAnsi="ITC Avant Garde" w:cs="ITC Avant Garde"/>
          <w:i/>
          <w:iCs/>
          <w:sz w:val="18"/>
          <w:szCs w:val="18"/>
          <w:u w:val="single"/>
          <w:lang w:eastAsia="en-US"/>
        </w:rPr>
        <w:t>a través de medio electrónicos o digitales o de cualquier otra nueva tecnología que lo permita</w:t>
      </w:r>
      <w:r w:rsidRPr="00891BE6">
        <w:rPr>
          <w:rFonts w:ascii="ITC Avant Garde" w:eastAsiaTheme="minorHAnsi" w:hAnsi="ITC Avant Garde" w:cs="ITC Avant Garde"/>
          <w:i/>
          <w:iCs/>
          <w:sz w:val="18"/>
          <w:szCs w:val="18"/>
          <w:lang w:eastAsia="en-US"/>
        </w:rPr>
        <w:t xml:space="preserve"> </w:t>
      </w:r>
      <w:r w:rsidRPr="00891BE6">
        <w:rPr>
          <w:rFonts w:ascii="ITC Avant Garde" w:eastAsiaTheme="minorHAnsi" w:hAnsi="ITC Avant Garde" w:cs="ITC Avant Garde"/>
          <w:i/>
          <w:iCs/>
          <w:strike/>
          <w:sz w:val="18"/>
          <w:szCs w:val="18"/>
          <w:lang w:eastAsia="en-US"/>
        </w:rPr>
        <w:t>a través del envío de mensajes cortos</w:t>
      </w:r>
      <w:r w:rsidRPr="00891BE6">
        <w:rPr>
          <w:rFonts w:ascii="ITC Avant Garde" w:eastAsiaTheme="minorHAnsi" w:hAnsi="ITC Avant Garde" w:cs="ITC Avant Garde"/>
          <w:i/>
          <w:iCs/>
          <w:sz w:val="18"/>
          <w:szCs w:val="18"/>
          <w:lang w:eastAsia="en-US"/>
        </w:rPr>
        <w:t>, sobre el estado que guarda la continuidad en su red y el plazo durante el cual estarán disponibles las funcionalidades que le permitan ejercer su derecho de portabilidad hacia otro Operador Móvil Virtual o Concesionario, además de señalar que posterior a dicho plazo su línea telefónica será desactivada y no podrá ejercer la portabilidad del número."</w:t>
      </w:r>
    </w:p>
    <w:p w14:paraId="3F134987" w14:textId="77777777" w:rsidR="00891BE6" w:rsidRDefault="00891BE6" w:rsidP="00891BE6">
      <w:pPr>
        <w:spacing w:after="0" w:line="276" w:lineRule="auto"/>
        <w:ind w:left="567" w:right="616"/>
        <w:jc w:val="right"/>
        <w:rPr>
          <w:rFonts w:ascii="ITC Avant Garde" w:eastAsiaTheme="minorHAnsi" w:hAnsi="ITC Avant Garde" w:cs="ITC Avant Garde"/>
          <w:i/>
          <w:iCs/>
          <w:sz w:val="18"/>
          <w:szCs w:val="18"/>
          <w:lang w:eastAsia="en-US"/>
        </w:rPr>
      </w:pPr>
      <w:r>
        <w:rPr>
          <w:rFonts w:ascii="ITC Avant Garde" w:eastAsiaTheme="minorHAnsi" w:hAnsi="ITC Avant Garde" w:cs="ITC Avant Garde"/>
          <w:sz w:val="18"/>
          <w:szCs w:val="18"/>
          <w:lang w:eastAsia="en-US"/>
        </w:rPr>
        <w:t>Énfasis añadido</w:t>
      </w:r>
    </w:p>
    <w:p w14:paraId="1467F701" w14:textId="77777777" w:rsidR="00A77A06" w:rsidRDefault="00A77A06" w:rsidP="00A77A06">
      <w:pPr>
        <w:spacing w:after="0" w:line="276" w:lineRule="auto"/>
        <w:ind w:right="49"/>
        <w:rPr>
          <w:rFonts w:ascii="ITC Avant Garde" w:eastAsiaTheme="minorHAnsi" w:hAnsi="ITC Avant Garde" w:cs="ITC Avant Garde"/>
          <w:lang w:eastAsia="en-US"/>
        </w:rPr>
      </w:pPr>
    </w:p>
    <w:p w14:paraId="0C80959A" w14:textId="77777777" w:rsidR="00330C95" w:rsidRPr="003419F5" w:rsidRDefault="00330C95" w:rsidP="00330C95">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3BF7EC9E" w14:textId="77777777" w:rsidR="00330C95" w:rsidRDefault="00330C95" w:rsidP="00330C95">
      <w:pPr>
        <w:spacing w:after="0" w:line="276" w:lineRule="auto"/>
        <w:ind w:right="49"/>
        <w:rPr>
          <w:rFonts w:ascii="ITC Avant Garde" w:hAnsi="ITC Avant Garde"/>
          <w:color w:val="auto"/>
        </w:rPr>
      </w:pPr>
    </w:p>
    <w:p w14:paraId="32D1B320" w14:textId="5FB3304A" w:rsidR="00384806" w:rsidRDefault="00330C95" w:rsidP="00961BA4">
      <w:pPr>
        <w:spacing w:after="0" w:line="276" w:lineRule="auto"/>
        <w:ind w:right="49"/>
        <w:rPr>
          <w:rFonts w:ascii="ITC Avant Garde" w:hAnsi="ITC Avant Garde"/>
          <w:color w:val="auto"/>
        </w:rPr>
      </w:pPr>
      <w:r>
        <w:rPr>
          <w:rFonts w:ascii="ITC Avant Garde" w:hAnsi="ITC Avant Garde"/>
          <w:color w:val="auto"/>
        </w:rPr>
        <w:t xml:space="preserve">La Modificación de Lineamientos OMV busca integrar una alternativa que permita mantener la conectividad de las líneas de los usuarios de aquellos OMV que cesan de manera abrupta sus operaciones, por lo que deberán considerarse acciones dirigidas específicamente a este sector de usuarios, </w:t>
      </w:r>
      <w:r w:rsidR="00384806">
        <w:rPr>
          <w:rFonts w:ascii="ITC Avant Garde" w:hAnsi="ITC Avant Garde"/>
          <w:color w:val="auto"/>
        </w:rPr>
        <w:t>así</w:t>
      </w:r>
      <w:r>
        <w:rPr>
          <w:rFonts w:ascii="ITC Avant Garde" w:hAnsi="ITC Avant Garde"/>
          <w:color w:val="auto"/>
        </w:rPr>
        <w:t xml:space="preserve"> que la información que el Concesionario Mayorista Móvil provea deberá dirigirse particularmente a estos</w:t>
      </w:r>
      <w:r w:rsidR="00E8590C">
        <w:rPr>
          <w:rFonts w:ascii="ITC Avant Garde" w:hAnsi="ITC Avant Garde"/>
          <w:color w:val="auto"/>
        </w:rPr>
        <w:t xml:space="preserve"> y</w:t>
      </w:r>
      <w:r w:rsidR="00E812E6">
        <w:rPr>
          <w:rFonts w:ascii="ITC Avant Garde" w:hAnsi="ITC Avant Garde"/>
          <w:color w:val="auto"/>
        </w:rPr>
        <w:t xml:space="preserve"> a través de un medio que permita el contacto directo con el usuario final, como lo son los mensajes cortos</w:t>
      </w:r>
      <w:r>
        <w:rPr>
          <w:rFonts w:ascii="ITC Avant Garde" w:hAnsi="ITC Avant Garde"/>
          <w:color w:val="auto"/>
        </w:rPr>
        <w:t xml:space="preserve">. </w:t>
      </w:r>
    </w:p>
    <w:p w14:paraId="3C98FE41" w14:textId="77777777" w:rsidR="008C0861" w:rsidRDefault="008C0861" w:rsidP="00961BA4">
      <w:pPr>
        <w:spacing w:after="0" w:line="276" w:lineRule="auto"/>
        <w:ind w:right="49"/>
        <w:rPr>
          <w:rFonts w:ascii="ITC Avant Garde" w:hAnsi="ITC Avant Garde"/>
          <w:color w:val="auto"/>
        </w:rPr>
      </w:pPr>
    </w:p>
    <w:p w14:paraId="583427DC" w14:textId="22F9EAA3" w:rsidR="008C0861" w:rsidRDefault="008C0861" w:rsidP="00961BA4">
      <w:pPr>
        <w:spacing w:after="0" w:line="276" w:lineRule="auto"/>
        <w:ind w:right="49"/>
        <w:rPr>
          <w:rFonts w:ascii="ITC Avant Garde" w:hAnsi="ITC Avant Garde"/>
          <w:color w:val="auto"/>
        </w:rPr>
      </w:pPr>
      <w:r>
        <w:rPr>
          <w:rFonts w:ascii="ITC Avant Garde" w:hAnsi="ITC Avant Garde"/>
          <w:color w:val="auto"/>
        </w:rPr>
        <w:t xml:space="preserve">No obstante, </w:t>
      </w:r>
      <w:r w:rsidR="00884536">
        <w:rPr>
          <w:rFonts w:ascii="ITC Avant Garde" w:hAnsi="ITC Avant Garde"/>
          <w:color w:val="auto"/>
        </w:rPr>
        <w:t xml:space="preserve">modifica el artículo 25 de los lineamientos para </w:t>
      </w:r>
      <w:r w:rsidR="00156088">
        <w:rPr>
          <w:rFonts w:ascii="ITC Avant Garde" w:hAnsi="ITC Avant Garde"/>
          <w:color w:val="auto"/>
        </w:rPr>
        <w:t xml:space="preserve">agregar la posibilidad de que el Concesionario Mayorista Móvil </w:t>
      </w:r>
      <w:r w:rsidR="00216F81">
        <w:rPr>
          <w:rFonts w:ascii="ITC Avant Garde" w:hAnsi="ITC Avant Garde"/>
          <w:color w:val="auto"/>
        </w:rPr>
        <w:t>brinde información de portabilidad por cualquier otro medio.</w:t>
      </w:r>
    </w:p>
    <w:p w14:paraId="1B7D80ED" w14:textId="77777777" w:rsidR="001D4376" w:rsidRDefault="001D4376" w:rsidP="001D4376">
      <w:pPr>
        <w:pStyle w:val="ROMANOS"/>
        <w:tabs>
          <w:tab w:val="clear" w:pos="720"/>
          <w:tab w:val="left" w:pos="288"/>
          <w:tab w:val="left" w:pos="426"/>
        </w:tabs>
        <w:spacing w:after="0" w:line="276" w:lineRule="auto"/>
        <w:ind w:left="567" w:right="615" w:firstLine="0"/>
        <w:rPr>
          <w:shd w:val="clear" w:color="auto" w:fill="FFFFFF"/>
        </w:rPr>
      </w:pPr>
    </w:p>
    <w:p w14:paraId="6CAB6DC7" w14:textId="2609A396" w:rsidR="004A5591" w:rsidRPr="001D4376" w:rsidRDefault="001D4376" w:rsidP="001D4376">
      <w:pPr>
        <w:pStyle w:val="ROMANOS"/>
        <w:tabs>
          <w:tab w:val="clear" w:pos="720"/>
          <w:tab w:val="left" w:pos="288"/>
          <w:tab w:val="left" w:pos="426"/>
        </w:tabs>
        <w:spacing w:after="0" w:line="276" w:lineRule="auto"/>
        <w:ind w:left="567" w:right="615" w:firstLine="0"/>
        <w:rPr>
          <w:rFonts w:ascii="ITC Avant Garde" w:eastAsiaTheme="minorHAnsi" w:hAnsi="ITC Avant Garde" w:cs="ITC Avant Garde"/>
          <w:i/>
          <w:iCs/>
          <w:color w:val="000000"/>
          <w:lang w:eastAsia="en-US"/>
        </w:rPr>
      </w:pPr>
      <w:r w:rsidRPr="001D4376">
        <w:rPr>
          <w:rFonts w:ascii="ITC Avant Garde" w:eastAsiaTheme="minorHAnsi" w:hAnsi="ITC Avant Garde" w:cs="ITC Avant Garde"/>
          <w:i/>
          <w:iCs/>
          <w:color w:val="000000"/>
          <w:lang w:eastAsia="en-US"/>
        </w:rPr>
        <w:t>“Artículo 25. …</w:t>
      </w:r>
    </w:p>
    <w:p w14:paraId="717449EC" w14:textId="77777777" w:rsidR="001D4376" w:rsidRPr="001D4376" w:rsidRDefault="001D4376" w:rsidP="001D4376">
      <w:pPr>
        <w:pStyle w:val="ROMANOS"/>
        <w:tabs>
          <w:tab w:val="clear" w:pos="720"/>
          <w:tab w:val="left" w:pos="288"/>
          <w:tab w:val="left" w:pos="426"/>
        </w:tabs>
        <w:spacing w:after="0" w:line="276" w:lineRule="auto"/>
        <w:ind w:left="567" w:right="615" w:firstLine="0"/>
        <w:rPr>
          <w:rFonts w:ascii="ITC Avant Garde" w:eastAsiaTheme="minorHAnsi" w:hAnsi="ITC Avant Garde" w:cs="ITC Avant Garde"/>
          <w:i/>
          <w:iCs/>
          <w:color w:val="000000"/>
          <w:lang w:eastAsia="en-US"/>
        </w:rPr>
      </w:pPr>
    </w:p>
    <w:p w14:paraId="0CDA38EC" w14:textId="00A710BC" w:rsidR="001D4376" w:rsidRPr="001D4376" w:rsidRDefault="001D4376" w:rsidP="001D4376">
      <w:pPr>
        <w:pStyle w:val="ROMANOS"/>
        <w:tabs>
          <w:tab w:val="clear" w:pos="720"/>
          <w:tab w:val="left" w:pos="288"/>
          <w:tab w:val="left" w:pos="426"/>
        </w:tabs>
        <w:spacing w:after="0" w:line="276" w:lineRule="auto"/>
        <w:ind w:left="567" w:right="615" w:firstLine="0"/>
        <w:rPr>
          <w:rFonts w:ascii="ITC Avant Garde" w:eastAsiaTheme="minorHAnsi" w:hAnsi="ITC Avant Garde" w:cs="ITC Avant Garde"/>
          <w:i/>
          <w:iCs/>
          <w:color w:val="000000"/>
          <w:lang w:eastAsia="en-US"/>
        </w:rPr>
      </w:pPr>
      <w:r w:rsidRPr="001D4376">
        <w:rPr>
          <w:rFonts w:ascii="ITC Avant Garde" w:eastAsiaTheme="minorHAnsi" w:hAnsi="ITC Avant Garde" w:cs="ITC Avant Garde"/>
          <w:i/>
          <w:iCs/>
          <w:color w:val="000000"/>
          <w:lang w:eastAsia="en-US"/>
        </w:rPr>
        <w:t>(…)</w:t>
      </w:r>
    </w:p>
    <w:p w14:paraId="7610786B" w14:textId="77777777" w:rsidR="001D4376" w:rsidRPr="001D4376" w:rsidRDefault="001D4376" w:rsidP="00EF717E">
      <w:pPr>
        <w:pStyle w:val="ROMANOS"/>
        <w:tabs>
          <w:tab w:val="clear" w:pos="720"/>
          <w:tab w:val="left" w:pos="288"/>
          <w:tab w:val="left" w:pos="426"/>
        </w:tabs>
        <w:spacing w:after="0" w:line="276" w:lineRule="auto"/>
        <w:ind w:left="567" w:right="615" w:firstLine="0"/>
        <w:rPr>
          <w:rFonts w:ascii="ITC Avant Garde" w:eastAsiaTheme="minorHAnsi" w:hAnsi="ITC Avant Garde" w:cs="ITC Avant Garde"/>
          <w:i/>
          <w:iCs/>
          <w:color w:val="000000"/>
          <w:lang w:eastAsia="en-US"/>
        </w:rPr>
      </w:pPr>
    </w:p>
    <w:p w14:paraId="71538BC5" w14:textId="52081D9C" w:rsidR="00EF717E" w:rsidRPr="001D4376" w:rsidRDefault="00EF717E" w:rsidP="00EF717E">
      <w:pPr>
        <w:pStyle w:val="ROMANOS"/>
        <w:tabs>
          <w:tab w:val="clear" w:pos="720"/>
          <w:tab w:val="left" w:pos="288"/>
          <w:tab w:val="left" w:pos="426"/>
        </w:tabs>
        <w:spacing w:after="0" w:line="276" w:lineRule="auto"/>
        <w:ind w:left="567" w:right="615" w:firstLine="0"/>
        <w:rPr>
          <w:rFonts w:ascii="ITC Avant Garde" w:eastAsiaTheme="minorHAnsi" w:hAnsi="ITC Avant Garde" w:cs="ITC Avant Garde"/>
          <w:i/>
          <w:iCs/>
          <w:color w:val="000000"/>
          <w:lang w:eastAsia="en-US"/>
        </w:rPr>
      </w:pPr>
      <w:r w:rsidRPr="001D4376">
        <w:rPr>
          <w:rFonts w:ascii="ITC Avant Garde" w:eastAsiaTheme="minorHAnsi" w:hAnsi="ITC Avant Garde" w:cs="ITC Avant Garde"/>
          <w:i/>
          <w:iCs/>
          <w:color w:val="000000"/>
          <w:lang w:eastAsia="en-US"/>
        </w:rPr>
        <w:t xml:space="preserve">Adicionalmente, el Concesionario Mayorista Móvil deberá habilitar, durante el plazo establecido para la portabilidad de los usuarios del Operador Móvil Virtual, un sistema de atención gratuita de consultas de los usuarios afectados </w:t>
      </w:r>
      <w:r w:rsidRPr="001D4376">
        <w:rPr>
          <w:rFonts w:ascii="ITC Avant Garde" w:eastAsiaTheme="minorHAnsi" w:hAnsi="ITC Avant Garde" w:cs="ITC Avant Garde"/>
          <w:i/>
          <w:iCs/>
          <w:color w:val="000000"/>
          <w:u w:val="single"/>
          <w:lang w:eastAsia="en-US"/>
        </w:rPr>
        <w:t>y podrá brindar información de portabilidad por cualquier otro medio</w:t>
      </w:r>
      <w:r w:rsidRPr="001D4376">
        <w:rPr>
          <w:rFonts w:ascii="ITC Avant Garde" w:eastAsiaTheme="minorHAnsi" w:hAnsi="ITC Avant Garde" w:cs="ITC Avant Garde"/>
          <w:i/>
          <w:iCs/>
          <w:color w:val="000000"/>
          <w:lang w:eastAsia="en-US"/>
        </w:rPr>
        <w:t>.</w:t>
      </w:r>
      <w:r w:rsidR="001D4376" w:rsidRPr="001D4376">
        <w:rPr>
          <w:rFonts w:ascii="ITC Avant Garde" w:eastAsiaTheme="minorHAnsi" w:hAnsi="ITC Avant Garde" w:cs="ITC Avant Garde"/>
          <w:i/>
          <w:iCs/>
          <w:color w:val="000000"/>
          <w:lang w:eastAsia="en-US"/>
        </w:rPr>
        <w:t>”</w:t>
      </w:r>
    </w:p>
    <w:p w14:paraId="50BCAD5C" w14:textId="77777777" w:rsidR="00EF717E" w:rsidRDefault="00EF717E" w:rsidP="00ED431B">
      <w:pPr>
        <w:spacing w:after="0" w:line="276" w:lineRule="auto"/>
        <w:ind w:right="49"/>
        <w:rPr>
          <w:rFonts w:ascii="ITC Avant Garde" w:hAnsi="ITC Avant Garde"/>
          <w:b/>
          <w:bCs/>
          <w:color w:val="auto"/>
          <w:u w:val="single"/>
        </w:rPr>
      </w:pPr>
    </w:p>
    <w:p w14:paraId="66CC0640" w14:textId="7411DF2B" w:rsidR="00ED431B" w:rsidRPr="009C4398" w:rsidRDefault="00ED431B" w:rsidP="00ED431B">
      <w:pPr>
        <w:spacing w:after="0" w:line="276" w:lineRule="auto"/>
        <w:ind w:right="49"/>
        <w:rPr>
          <w:rFonts w:ascii="ITC Avant Garde" w:hAnsi="ITC Avant Garde"/>
          <w:b/>
          <w:bCs/>
          <w:color w:val="auto"/>
          <w:u w:val="single"/>
        </w:rPr>
      </w:pPr>
      <w:r w:rsidRPr="009C4398">
        <w:rPr>
          <w:rFonts w:ascii="ITC Avant Garde" w:hAnsi="ITC Avant Garde"/>
          <w:b/>
          <w:bCs/>
          <w:color w:val="auto"/>
          <w:u w:val="single"/>
        </w:rPr>
        <w:t xml:space="preserve">ARTÍCULO </w:t>
      </w:r>
      <w:r>
        <w:rPr>
          <w:rFonts w:ascii="ITC Avant Garde" w:hAnsi="ITC Avant Garde"/>
          <w:b/>
          <w:bCs/>
          <w:color w:val="auto"/>
          <w:u w:val="single"/>
        </w:rPr>
        <w:t>2</w:t>
      </w:r>
      <w:r w:rsidR="00A90C18">
        <w:rPr>
          <w:rFonts w:ascii="ITC Avant Garde" w:hAnsi="ITC Avant Garde"/>
          <w:b/>
          <w:bCs/>
          <w:color w:val="auto"/>
          <w:u w:val="single"/>
        </w:rPr>
        <w:t>4</w:t>
      </w:r>
    </w:p>
    <w:p w14:paraId="3C18B545" w14:textId="77777777" w:rsidR="00ED431B" w:rsidRDefault="00ED431B" w:rsidP="00ED431B">
      <w:pPr>
        <w:spacing w:after="0" w:line="276" w:lineRule="auto"/>
        <w:ind w:right="49"/>
        <w:rPr>
          <w:rFonts w:ascii="ITC Avant Garde" w:hAnsi="ITC Avant Garde"/>
          <w:color w:val="auto"/>
        </w:rPr>
      </w:pPr>
    </w:p>
    <w:p w14:paraId="1AEEE0C0" w14:textId="77777777" w:rsidR="00ED431B" w:rsidRPr="009C4398" w:rsidRDefault="00ED431B" w:rsidP="00ED431B">
      <w:pPr>
        <w:spacing w:after="0" w:line="276" w:lineRule="auto"/>
        <w:ind w:right="49"/>
        <w:rPr>
          <w:rFonts w:ascii="ITC Avant Garde" w:hAnsi="ITC Avant Garde"/>
          <w:b/>
          <w:bCs/>
          <w:color w:val="auto"/>
        </w:rPr>
      </w:pPr>
      <w:r>
        <w:rPr>
          <w:rFonts w:ascii="ITC Avant Garde" w:hAnsi="ITC Avant Garde"/>
          <w:b/>
          <w:bCs/>
          <w:color w:val="auto"/>
        </w:rPr>
        <w:t>Oriónidas</w:t>
      </w:r>
    </w:p>
    <w:p w14:paraId="14977C36" w14:textId="77777777" w:rsidR="00A90C18" w:rsidRPr="00A90C18" w:rsidRDefault="00A90C18" w:rsidP="00A90C18">
      <w:pPr>
        <w:spacing w:after="0" w:line="276" w:lineRule="auto"/>
        <w:ind w:right="49"/>
        <w:rPr>
          <w:rFonts w:ascii="ITC Avant Garde" w:eastAsiaTheme="minorHAnsi" w:hAnsi="ITC Avant Garde" w:cs="ITC Avant Garde"/>
          <w:lang w:eastAsia="en-US"/>
        </w:rPr>
      </w:pPr>
      <w:r w:rsidRPr="00A90C18">
        <w:rPr>
          <w:rFonts w:ascii="ITC Avant Garde" w:eastAsiaTheme="minorHAnsi" w:hAnsi="ITC Avant Garde" w:cs="ITC Avant Garde"/>
          <w:lang w:eastAsia="en-US"/>
        </w:rPr>
        <w:t>Señala que debe decir:</w:t>
      </w:r>
    </w:p>
    <w:p w14:paraId="1284E5C8" w14:textId="77777777" w:rsidR="00A90C18" w:rsidRPr="00A90C18" w:rsidRDefault="00A90C18" w:rsidP="00A90C18">
      <w:pPr>
        <w:spacing w:after="0" w:line="276" w:lineRule="auto"/>
        <w:ind w:right="49"/>
        <w:rPr>
          <w:rFonts w:ascii="ITC Avant Garde" w:eastAsiaTheme="minorHAnsi" w:hAnsi="ITC Avant Garde" w:cs="ITC Avant Garde"/>
          <w:lang w:eastAsia="en-US"/>
        </w:rPr>
      </w:pPr>
    </w:p>
    <w:p w14:paraId="0F6FEC0C"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r w:rsidRPr="00A90C18">
        <w:rPr>
          <w:rFonts w:ascii="ITC Avant Garde" w:eastAsiaTheme="minorHAnsi" w:hAnsi="ITC Avant Garde" w:cs="ITC Avant Garde"/>
          <w:i/>
          <w:iCs/>
          <w:sz w:val="18"/>
          <w:szCs w:val="18"/>
          <w:lang w:eastAsia="en-US"/>
        </w:rPr>
        <w:t xml:space="preserve">"Artículo 24. Durante el plazo establecido en el artículo 22, el Concesionario Mayorista Móvil deberá poner a disposición de los usuarios, a través de mensajes cortos, toda la información necesaria para ejercer el derecho a la portabilidad de manera informada, así como la información referida en el último párrafo del artículo 23, a través del siguiente procedimiento: </w:t>
      </w:r>
    </w:p>
    <w:p w14:paraId="53BF3949"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p>
    <w:p w14:paraId="6A0596CF"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r w:rsidRPr="00A90C18">
        <w:rPr>
          <w:rFonts w:ascii="ITC Avant Garde" w:eastAsiaTheme="minorHAnsi" w:hAnsi="ITC Avant Garde" w:cs="ITC Avant Garde"/>
          <w:i/>
          <w:iCs/>
          <w:sz w:val="18"/>
          <w:szCs w:val="18"/>
          <w:lang w:eastAsia="en-US"/>
        </w:rPr>
        <w:lastRenderedPageBreak/>
        <w:t>I. El Concesionario Mayorista Móvil deberá enviar al menos un mensaje corto a los usuarios del Operador Móvil Virtual dentro de los primeros 10 (diez) días hábiles contados a partir de la suspensión definitiva de los servicios de telecomunicaciones por parte del Operador Móvil Virtual;</w:t>
      </w:r>
    </w:p>
    <w:p w14:paraId="7377759D"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p>
    <w:p w14:paraId="48E7EFE3" w14:textId="77777777" w:rsidR="00A90C18" w:rsidRPr="009A5017" w:rsidRDefault="00A90C18" w:rsidP="00A90C18">
      <w:pPr>
        <w:spacing w:after="0" w:line="276" w:lineRule="auto"/>
        <w:ind w:left="567" w:right="616"/>
        <w:rPr>
          <w:rFonts w:ascii="ITC Avant Garde" w:eastAsiaTheme="minorHAnsi" w:hAnsi="ITC Avant Garde" w:cs="ITC Avant Garde"/>
          <w:i/>
          <w:iCs/>
          <w:sz w:val="18"/>
          <w:szCs w:val="18"/>
          <w:u w:val="single"/>
          <w:lang w:eastAsia="en-US"/>
        </w:rPr>
      </w:pPr>
      <w:r w:rsidRPr="009A5017">
        <w:rPr>
          <w:rFonts w:ascii="ITC Avant Garde" w:eastAsiaTheme="minorHAnsi" w:hAnsi="ITC Avant Garde" w:cs="ITC Avant Garde"/>
          <w:i/>
          <w:iCs/>
          <w:sz w:val="18"/>
          <w:szCs w:val="18"/>
          <w:u w:val="single"/>
          <w:lang w:eastAsia="en-US"/>
        </w:rPr>
        <w:t>II. Una vez enviado el primer mensaje corto al que se refiere la fracción anterior, y en un periodo no mayor a 24 horas posteriores a este primer envío, el Concesionario Móvil Mayorista deberá enviar un mensaje corto al usuario solicitando su autorización expresa para recibir, vía SMS, información sobre las ofertas comerciales de otros proveedores de servicio. Solo en caso de que el usuario haya consentido estos envíos, el Concesionario Móvil Mayorista deberá enviar, dentro de los subsecuentes 10 (diez) días hábiles, un mensaje corto por cada proveedor de servicios que haya manifestado interés por dar a conocer sus ofertas comerciales a estos usuarios;</w:t>
      </w:r>
    </w:p>
    <w:p w14:paraId="04EAA804"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p>
    <w:p w14:paraId="393C5F0C" w14:textId="50303FF5" w:rsidR="00A90C18" w:rsidRPr="00A90C18" w:rsidRDefault="000812AF" w:rsidP="00A90C18">
      <w:pPr>
        <w:spacing w:after="0" w:line="276" w:lineRule="auto"/>
        <w:ind w:left="567" w:right="616"/>
        <w:rPr>
          <w:rFonts w:ascii="ITC Avant Garde" w:eastAsiaTheme="minorHAnsi" w:hAnsi="ITC Avant Garde" w:cs="ITC Avant Garde"/>
          <w:i/>
          <w:iCs/>
          <w:sz w:val="18"/>
          <w:szCs w:val="18"/>
          <w:lang w:eastAsia="en-US"/>
        </w:rPr>
      </w:pPr>
      <w:r w:rsidRPr="000812AF">
        <w:rPr>
          <w:rFonts w:ascii="ITC Avant Garde" w:eastAsiaTheme="minorHAnsi" w:hAnsi="ITC Avant Garde" w:cs="ITC Avant Garde"/>
          <w:i/>
          <w:iCs/>
          <w:sz w:val="18"/>
          <w:szCs w:val="18"/>
          <w:lang w:eastAsia="en-US"/>
        </w:rPr>
        <w:t xml:space="preserve">III. Si aún existieran usuarios no portados en el día 20 (veinte) del plazo mencionado en el artículo 22, el Concesionario Mayorista Móvil deberá enviar al menos otro mensaje corto con la información </w:t>
      </w:r>
      <w:r w:rsidRPr="000812AF">
        <w:rPr>
          <w:rFonts w:ascii="ITC Avant Garde" w:eastAsiaTheme="minorHAnsi" w:hAnsi="ITC Avant Garde" w:cs="ITC Avant Garde"/>
          <w:i/>
          <w:iCs/>
          <w:sz w:val="18"/>
          <w:szCs w:val="18"/>
          <w:u w:val="single"/>
          <w:lang w:eastAsia="en-US"/>
        </w:rPr>
        <w:t>y, además, deberá enviar otro mensaje corto por cada proveedor de servicios que haya manifestado interés por continuar dando a conocer sus ofertas comerciales a estos usuarios, sujeto a que el usuario asó lo haya consentido;</w:t>
      </w:r>
    </w:p>
    <w:p w14:paraId="5C170EAC"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p>
    <w:p w14:paraId="7B9AC8FA"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r w:rsidRPr="00A90C18">
        <w:rPr>
          <w:rFonts w:ascii="ITC Avant Garde" w:eastAsiaTheme="minorHAnsi" w:hAnsi="ITC Avant Garde" w:cs="ITC Avant Garde"/>
          <w:i/>
          <w:iCs/>
          <w:sz w:val="18"/>
          <w:szCs w:val="18"/>
          <w:lang w:eastAsia="en-US"/>
        </w:rPr>
        <w:t>IV. Se deberá mandar al menos un mensaje corto a los usuarios no portados 72 horas antes de que se desactive la línea, indicando, además de la información relativa a la portabilidad numérica, la próxima desactivación de la línea y la pérdida de número.</w:t>
      </w:r>
    </w:p>
    <w:p w14:paraId="7C1D1F9E"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p>
    <w:p w14:paraId="0452F9E5"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r w:rsidRPr="00A90C18">
        <w:rPr>
          <w:rFonts w:ascii="ITC Avant Garde" w:eastAsiaTheme="minorHAnsi" w:hAnsi="ITC Avant Garde" w:cs="ITC Avant Garde"/>
          <w:i/>
          <w:iCs/>
          <w:sz w:val="18"/>
          <w:szCs w:val="18"/>
          <w:lang w:eastAsia="en-US"/>
        </w:rPr>
        <w:t>Adicionalmente, el Concesionario Mayorista Móvil deberá habilitar, durante el plazo establecido para la portabilidad de los usuarios del Operador Móvil Virtual, un sistema de atención gratuita de consultas de los usuarios afectados.</w:t>
      </w:r>
    </w:p>
    <w:p w14:paraId="7E4985A7"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p>
    <w:p w14:paraId="65995219"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r w:rsidRPr="00A90C18">
        <w:rPr>
          <w:rFonts w:ascii="ITC Avant Garde" w:eastAsiaTheme="minorHAnsi" w:hAnsi="ITC Avant Garde" w:cs="ITC Avant Garde"/>
          <w:i/>
          <w:iCs/>
          <w:sz w:val="18"/>
          <w:szCs w:val="18"/>
          <w:lang w:eastAsia="en-US"/>
        </w:rPr>
        <w:t>Una vez concluido el periodo de funcionalidades temporales, el Concesionario Mayorista Móvil deberá desactivar las líneas de aquellos usuarios que no ejercieron su derecho de portabilidad y deberá informar al Instituto el número de usuarios no portados a más tardar 15 (quince) días hábiles posteriores a la terminación del periodo establecido.</w:t>
      </w:r>
    </w:p>
    <w:p w14:paraId="45EF81CB" w14:textId="77777777" w:rsidR="00A90C18" w:rsidRPr="00A90C18" w:rsidRDefault="00A90C18" w:rsidP="00A90C18">
      <w:pPr>
        <w:spacing w:after="0" w:line="276" w:lineRule="auto"/>
        <w:ind w:left="567" w:right="616"/>
        <w:rPr>
          <w:rFonts w:ascii="ITC Avant Garde" w:eastAsiaTheme="minorHAnsi" w:hAnsi="ITC Avant Garde" w:cs="ITC Avant Garde"/>
          <w:i/>
          <w:iCs/>
          <w:sz w:val="18"/>
          <w:szCs w:val="18"/>
          <w:lang w:eastAsia="en-US"/>
        </w:rPr>
      </w:pPr>
    </w:p>
    <w:p w14:paraId="095F90AE" w14:textId="10531421" w:rsidR="00A77A06" w:rsidRDefault="00A90C18" w:rsidP="00A90C18">
      <w:pPr>
        <w:spacing w:after="0" w:line="276" w:lineRule="auto"/>
        <w:ind w:left="567" w:right="616"/>
        <w:rPr>
          <w:rFonts w:ascii="ITC Avant Garde" w:eastAsiaTheme="minorHAnsi" w:hAnsi="ITC Avant Garde" w:cs="ITC Avant Garde"/>
          <w:i/>
          <w:iCs/>
          <w:sz w:val="18"/>
          <w:szCs w:val="18"/>
          <w:lang w:eastAsia="en-US"/>
        </w:rPr>
      </w:pPr>
      <w:r w:rsidRPr="00E6051B">
        <w:rPr>
          <w:rFonts w:ascii="ITC Avant Garde" w:eastAsiaTheme="minorHAnsi" w:hAnsi="ITC Avant Garde" w:cs="ITC Avant Garde"/>
          <w:i/>
          <w:iCs/>
          <w:strike/>
          <w:sz w:val="18"/>
          <w:szCs w:val="18"/>
          <w:lang w:eastAsia="en-US"/>
        </w:rPr>
        <w:t>Los mensajes y comunicaciones a que se refiere este artículo 24 deberán limitarse exclusivamente a información sobre portabilidad, por lo que el Concesionario Mayorista Móvil no podrá ofrecer ni comercializar servicios propios o de terceros.</w:t>
      </w:r>
      <w:r w:rsidRPr="00A90C18">
        <w:rPr>
          <w:rFonts w:ascii="ITC Avant Garde" w:eastAsiaTheme="minorHAnsi" w:hAnsi="ITC Avant Garde" w:cs="ITC Avant Garde"/>
          <w:i/>
          <w:iCs/>
          <w:sz w:val="18"/>
          <w:szCs w:val="18"/>
          <w:lang w:eastAsia="en-US"/>
        </w:rPr>
        <w:t>"</w:t>
      </w:r>
    </w:p>
    <w:p w14:paraId="76FE426C" w14:textId="77777777" w:rsidR="00E6051B" w:rsidRDefault="00E6051B" w:rsidP="00E6051B">
      <w:pPr>
        <w:spacing w:after="0" w:line="276" w:lineRule="auto"/>
        <w:ind w:left="567" w:right="616"/>
        <w:jc w:val="right"/>
        <w:rPr>
          <w:rFonts w:ascii="ITC Avant Garde" w:eastAsiaTheme="minorHAnsi" w:hAnsi="ITC Avant Garde" w:cs="ITC Avant Garde"/>
          <w:i/>
          <w:iCs/>
          <w:sz w:val="18"/>
          <w:szCs w:val="18"/>
          <w:lang w:eastAsia="en-US"/>
        </w:rPr>
      </w:pPr>
      <w:r>
        <w:rPr>
          <w:rFonts w:ascii="ITC Avant Garde" w:eastAsiaTheme="minorHAnsi" w:hAnsi="ITC Avant Garde" w:cs="ITC Avant Garde"/>
          <w:sz w:val="18"/>
          <w:szCs w:val="18"/>
          <w:lang w:eastAsia="en-US"/>
        </w:rPr>
        <w:t>Énfasis añadido</w:t>
      </w:r>
    </w:p>
    <w:p w14:paraId="225EC790" w14:textId="77777777" w:rsidR="00A77A06" w:rsidRDefault="00A77A06" w:rsidP="00A77A06">
      <w:pPr>
        <w:spacing w:after="0" w:line="276" w:lineRule="auto"/>
        <w:ind w:right="49"/>
        <w:rPr>
          <w:rFonts w:ascii="ITC Avant Garde" w:eastAsiaTheme="minorHAnsi" w:hAnsi="ITC Avant Garde" w:cs="ITC Avant Garde"/>
          <w:lang w:eastAsia="en-US"/>
        </w:rPr>
      </w:pPr>
    </w:p>
    <w:p w14:paraId="0AFCD33F" w14:textId="77777777" w:rsidR="00EE5934" w:rsidRPr="003419F5" w:rsidRDefault="00EE5934" w:rsidP="00EE5934">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2040C00D" w14:textId="77777777" w:rsidR="00EE5934" w:rsidRDefault="00EE5934" w:rsidP="00EE5934">
      <w:pPr>
        <w:spacing w:after="0" w:line="276" w:lineRule="auto"/>
        <w:ind w:right="49"/>
        <w:rPr>
          <w:rFonts w:ascii="ITC Avant Garde" w:hAnsi="ITC Avant Garde"/>
          <w:color w:val="auto"/>
        </w:rPr>
      </w:pPr>
    </w:p>
    <w:p w14:paraId="51B5A44E" w14:textId="77777777" w:rsidR="009B0E40" w:rsidRDefault="009B0E40" w:rsidP="009B0E40">
      <w:pPr>
        <w:spacing w:after="0" w:line="276" w:lineRule="auto"/>
        <w:ind w:right="49"/>
        <w:rPr>
          <w:rFonts w:ascii="ITC Avant Garde" w:hAnsi="ITC Avant Garde"/>
          <w:color w:val="auto"/>
        </w:rPr>
      </w:pPr>
      <w:r>
        <w:rPr>
          <w:rFonts w:ascii="ITC Avant Garde" w:hAnsi="ITC Avant Garde"/>
          <w:color w:val="auto"/>
        </w:rPr>
        <w:t>No se considera adecuada la propuesta de modificación, pues la información presentada a los usuarios sobre las opciones para preservar la conectividad podría suponer información sesgada, que podría interferir en la libre decisión del usuario a elegir a un nuevo proveedor de servicios de telecomunicaciones móviles.</w:t>
      </w:r>
    </w:p>
    <w:p w14:paraId="406D3002" w14:textId="77777777" w:rsidR="009B0E40" w:rsidRDefault="009B0E40" w:rsidP="009B0E40">
      <w:pPr>
        <w:spacing w:after="0" w:line="276" w:lineRule="auto"/>
        <w:ind w:right="49"/>
        <w:rPr>
          <w:rFonts w:ascii="ITC Avant Garde" w:hAnsi="ITC Avant Garde"/>
          <w:color w:val="auto"/>
        </w:rPr>
      </w:pPr>
    </w:p>
    <w:p w14:paraId="37D7973E" w14:textId="77777777" w:rsidR="009B0E40" w:rsidRPr="00555311" w:rsidRDefault="009B0E40" w:rsidP="009B0E40">
      <w:pPr>
        <w:spacing w:after="0" w:line="276" w:lineRule="auto"/>
        <w:ind w:right="49"/>
        <w:rPr>
          <w:rFonts w:ascii="ITC Avant Garde" w:hAnsi="ITC Avant Garde"/>
          <w:color w:val="auto"/>
        </w:rPr>
      </w:pPr>
      <w:r>
        <w:rPr>
          <w:rFonts w:ascii="ITC Avant Garde" w:hAnsi="ITC Avant Garde"/>
          <w:color w:val="auto"/>
        </w:rPr>
        <w:t xml:space="preserve">Asimismo, uno de los objetivos de la modificación a los Lineamientos es contar con un mecanismo para que los usuarios de aquellos OMV que cesan de manera </w:t>
      </w:r>
      <w:r>
        <w:rPr>
          <w:rFonts w:ascii="ITC Avant Garde" w:hAnsi="ITC Avant Garde"/>
          <w:color w:val="auto"/>
        </w:rPr>
        <w:lastRenderedPageBreak/>
        <w:t>abrupta sus operaciones puedan ejercer su derecho a la portabilidad de manera libre, y no es el objetivo establecer un medio para la comercialización de servicios de telecomunicaciones.</w:t>
      </w:r>
    </w:p>
    <w:p w14:paraId="1E9D135F" w14:textId="77777777" w:rsidR="00EE5934" w:rsidRDefault="00EE5934" w:rsidP="00A77A06">
      <w:pPr>
        <w:spacing w:after="0" w:line="276" w:lineRule="auto"/>
        <w:ind w:right="49"/>
        <w:rPr>
          <w:rFonts w:ascii="ITC Avant Garde" w:eastAsiaTheme="minorHAnsi" w:hAnsi="ITC Avant Garde" w:cs="ITC Avant Garde"/>
          <w:lang w:eastAsia="en-US"/>
        </w:rPr>
      </w:pPr>
    </w:p>
    <w:p w14:paraId="2F0FA6FC" w14:textId="02F42748" w:rsidR="00D3672F" w:rsidRPr="00591372" w:rsidRDefault="00D3672F" w:rsidP="00D3672F">
      <w:pPr>
        <w:spacing w:after="0" w:line="276" w:lineRule="auto"/>
        <w:ind w:right="49"/>
        <w:rPr>
          <w:rFonts w:ascii="ITC Avant Garde" w:hAnsi="ITC Avant Garde"/>
          <w:b/>
          <w:bCs/>
          <w:color w:val="auto"/>
        </w:rPr>
      </w:pPr>
      <w:r w:rsidRPr="00591372">
        <w:rPr>
          <w:rFonts w:ascii="ITC Avant Garde" w:hAnsi="ITC Avant Garde"/>
          <w:b/>
          <w:bCs/>
          <w:color w:val="auto"/>
        </w:rPr>
        <w:t>Grupo Televisa</w:t>
      </w:r>
    </w:p>
    <w:p w14:paraId="2C1F29AA" w14:textId="19714F01" w:rsidR="00C64DF3" w:rsidRPr="00C64DF3" w:rsidRDefault="00C64DF3" w:rsidP="00C64DF3">
      <w:pPr>
        <w:spacing w:after="0" w:line="276" w:lineRule="auto"/>
        <w:ind w:right="49"/>
        <w:rPr>
          <w:rFonts w:ascii="ITC Avant Garde" w:eastAsiaTheme="minorHAnsi" w:hAnsi="ITC Avant Garde" w:cs="ITC Avant Garde"/>
          <w:lang w:eastAsia="en-US"/>
        </w:rPr>
      </w:pPr>
      <w:r w:rsidRPr="00591372">
        <w:rPr>
          <w:rFonts w:ascii="ITC Avant Garde" w:eastAsiaTheme="minorHAnsi" w:hAnsi="ITC Avant Garde" w:cs="ITC Avant Garde"/>
          <w:lang w:eastAsia="en-US"/>
        </w:rPr>
        <w:t>Señalan que, considerando que las modificaciones a los Lineamientos se encuentran enfocadas principalmente al derecho de portabilidad, solicitan homologar los términos de conformidad con las Reglas de Portabilidad Numérica</w:t>
      </w:r>
      <w:r w:rsidR="00EE1CBE" w:rsidRPr="00591372">
        <w:rPr>
          <w:rStyle w:val="Refdenotaalpie"/>
          <w:rFonts w:ascii="ITC Avant Garde" w:eastAsiaTheme="minorHAnsi" w:hAnsi="ITC Avant Garde" w:cs="ITC Avant Garde"/>
          <w:lang w:eastAsia="en-US"/>
        </w:rPr>
        <w:footnoteReference w:id="2"/>
      </w:r>
      <w:r w:rsidRPr="00591372">
        <w:rPr>
          <w:rFonts w:ascii="ITC Avant Garde" w:eastAsiaTheme="minorHAnsi" w:hAnsi="ITC Avant Garde" w:cs="ITC Avant Garde"/>
          <w:lang w:eastAsia="en-US"/>
        </w:rPr>
        <w:t>, pues en las mismas no se hace referencia a "Líneas" sino a números o numeración.</w:t>
      </w:r>
    </w:p>
    <w:p w14:paraId="428E3500" w14:textId="77777777" w:rsidR="00C64DF3" w:rsidRPr="00C64DF3" w:rsidRDefault="00C64DF3" w:rsidP="00C64DF3">
      <w:pPr>
        <w:spacing w:after="0" w:line="276" w:lineRule="auto"/>
        <w:ind w:right="49"/>
        <w:rPr>
          <w:rFonts w:ascii="ITC Avant Garde" w:eastAsiaTheme="minorHAnsi" w:hAnsi="ITC Avant Garde" w:cs="ITC Avant Garde"/>
          <w:lang w:eastAsia="en-US"/>
        </w:rPr>
      </w:pPr>
    </w:p>
    <w:p w14:paraId="64941D76" w14:textId="77777777" w:rsidR="00C64DF3" w:rsidRPr="00C64DF3" w:rsidRDefault="00C64DF3" w:rsidP="00C64DF3">
      <w:pPr>
        <w:spacing w:after="0" w:line="276" w:lineRule="auto"/>
        <w:ind w:right="49"/>
        <w:rPr>
          <w:rFonts w:ascii="ITC Avant Garde" w:eastAsiaTheme="minorHAnsi" w:hAnsi="ITC Avant Garde" w:cs="ITC Avant Garde"/>
          <w:lang w:eastAsia="en-US"/>
        </w:rPr>
      </w:pPr>
      <w:r w:rsidRPr="00C64DF3">
        <w:rPr>
          <w:rFonts w:ascii="ITC Avant Garde" w:eastAsiaTheme="minorHAnsi" w:hAnsi="ITC Avant Garde" w:cs="ITC Avant Garde"/>
          <w:lang w:eastAsia="en-US"/>
        </w:rPr>
        <w:t>Por lo anterior, sugieren la siguiente redacción:</w:t>
      </w:r>
    </w:p>
    <w:p w14:paraId="213B1741" w14:textId="77777777" w:rsidR="00C64DF3" w:rsidRPr="00C64DF3" w:rsidRDefault="00C64DF3" w:rsidP="00C64DF3">
      <w:pPr>
        <w:spacing w:after="0" w:line="276" w:lineRule="auto"/>
        <w:ind w:right="49"/>
        <w:rPr>
          <w:rFonts w:ascii="ITC Avant Garde" w:eastAsiaTheme="minorHAnsi" w:hAnsi="ITC Avant Garde" w:cs="ITC Avant Garde"/>
          <w:lang w:eastAsia="en-US"/>
        </w:rPr>
      </w:pPr>
    </w:p>
    <w:p w14:paraId="72F7D4DA" w14:textId="77777777" w:rsidR="00C64DF3" w:rsidRPr="00C64DF3" w:rsidRDefault="00C64DF3" w:rsidP="00C64DF3">
      <w:pPr>
        <w:spacing w:after="0" w:line="276" w:lineRule="auto"/>
        <w:ind w:left="567" w:right="616"/>
        <w:rPr>
          <w:rFonts w:ascii="ITC Avant Garde" w:eastAsiaTheme="minorHAnsi" w:hAnsi="ITC Avant Garde" w:cs="ITC Avant Garde"/>
          <w:i/>
          <w:iCs/>
          <w:sz w:val="18"/>
          <w:szCs w:val="18"/>
          <w:lang w:eastAsia="en-US"/>
        </w:rPr>
      </w:pPr>
      <w:r w:rsidRPr="00C64DF3">
        <w:rPr>
          <w:rFonts w:ascii="ITC Avant Garde" w:eastAsiaTheme="minorHAnsi" w:hAnsi="ITC Avant Garde" w:cs="ITC Avant Garde"/>
          <w:i/>
          <w:iCs/>
          <w:sz w:val="18"/>
          <w:szCs w:val="18"/>
          <w:lang w:eastAsia="en-US"/>
        </w:rPr>
        <w:t xml:space="preserve">"Artículo 24. Durante el plazo establecido en el artículo 22, el Concesionario Mayorista Móvil deberá poner a disposición de los usuarios, a través de mensajes cortos, toda la información necesaria para ejercer el derecho a la portabilidad de manera informada, así como la información referida en el último párrafo del artículo 23, a través del siguiente procedimiento: </w:t>
      </w:r>
    </w:p>
    <w:p w14:paraId="28ADB0E6" w14:textId="77777777" w:rsidR="00C64DF3" w:rsidRPr="00C64DF3" w:rsidRDefault="00C64DF3" w:rsidP="00C64DF3">
      <w:pPr>
        <w:spacing w:after="0" w:line="276" w:lineRule="auto"/>
        <w:ind w:left="567" w:right="616"/>
        <w:rPr>
          <w:rFonts w:ascii="ITC Avant Garde" w:eastAsiaTheme="minorHAnsi" w:hAnsi="ITC Avant Garde" w:cs="ITC Avant Garde"/>
          <w:i/>
          <w:iCs/>
          <w:sz w:val="18"/>
          <w:szCs w:val="18"/>
          <w:lang w:eastAsia="en-US"/>
        </w:rPr>
      </w:pPr>
      <w:r w:rsidRPr="00C64DF3">
        <w:rPr>
          <w:rFonts w:ascii="ITC Avant Garde" w:eastAsiaTheme="minorHAnsi" w:hAnsi="ITC Avant Garde" w:cs="ITC Avant Garde"/>
          <w:i/>
          <w:iCs/>
          <w:sz w:val="18"/>
          <w:szCs w:val="18"/>
          <w:lang w:eastAsia="en-US"/>
        </w:rPr>
        <w:t>(...)</w:t>
      </w:r>
    </w:p>
    <w:p w14:paraId="2A682B37" w14:textId="77777777" w:rsidR="00C64DF3" w:rsidRPr="00C64DF3" w:rsidRDefault="00C64DF3" w:rsidP="00C64DF3">
      <w:pPr>
        <w:spacing w:after="0" w:line="276" w:lineRule="auto"/>
        <w:ind w:left="567" w:right="616"/>
        <w:rPr>
          <w:rFonts w:ascii="ITC Avant Garde" w:eastAsiaTheme="minorHAnsi" w:hAnsi="ITC Avant Garde" w:cs="ITC Avant Garde"/>
          <w:i/>
          <w:iCs/>
          <w:sz w:val="18"/>
          <w:szCs w:val="18"/>
          <w:lang w:eastAsia="en-US"/>
        </w:rPr>
      </w:pPr>
      <w:r w:rsidRPr="00C64DF3">
        <w:rPr>
          <w:rFonts w:ascii="ITC Avant Garde" w:eastAsiaTheme="minorHAnsi" w:hAnsi="ITC Avant Garde" w:cs="ITC Avant Garde"/>
          <w:i/>
          <w:iCs/>
          <w:sz w:val="18"/>
          <w:szCs w:val="18"/>
          <w:lang w:eastAsia="en-US"/>
        </w:rPr>
        <w:t xml:space="preserve">III. Se deberá mandar al menos un mensaje corto a los usuarios no portados 72 horas antes de que se desactive </w:t>
      </w:r>
      <w:r w:rsidRPr="00A43528">
        <w:rPr>
          <w:rFonts w:ascii="ITC Avant Garde" w:eastAsiaTheme="minorHAnsi" w:hAnsi="ITC Avant Garde" w:cs="ITC Avant Garde"/>
          <w:i/>
          <w:iCs/>
          <w:strike/>
          <w:sz w:val="18"/>
          <w:szCs w:val="18"/>
          <w:lang w:eastAsia="en-US"/>
        </w:rPr>
        <w:t>la línea</w:t>
      </w:r>
      <w:r w:rsidRPr="00C64DF3">
        <w:rPr>
          <w:rFonts w:ascii="ITC Avant Garde" w:eastAsiaTheme="minorHAnsi" w:hAnsi="ITC Avant Garde" w:cs="ITC Avant Garde"/>
          <w:i/>
          <w:iCs/>
          <w:sz w:val="18"/>
          <w:szCs w:val="18"/>
          <w:lang w:eastAsia="en-US"/>
        </w:rPr>
        <w:t xml:space="preserve"> </w:t>
      </w:r>
      <w:r w:rsidRPr="00A43528">
        <w:rPr>
          <w:rFonts w:ascii="ITC Avant Garde" w:eastAsiaTheme="minorHAnsi" w:hAnsi="ITC Avant Garde" w:cs="ITC Avant Garde"/>
          <w:i/>
          <w:iCs/>
          <w:sz w:val="18"/>
          <w:szCs w:val="18"/>
          <w:u w:val="single"/>
          <w:lang w:eastAsia="en-US"/>
        </w:rPr>
        <w:t>el número</w:t>
      </w:r>
      <w:r w:rsidRPr="00C64DF3">
        <w:rPr>
          <w:rFonts w:ascii="ITC Avant Garde" w:eastAsiaTheme="minorHAnsi" w:hAnsi="ITC Avant Garde" w:cs="ITC Avant Garde"/>
          <w:i/>
          <w:iCs/>
          <w:sz w:val="18"/>
          <w:szCs w:val="18"/>
          <w:lang w:eastAsia="en-US"/>
        </w:rPr>
        <w:t>, indicando, además de la información relativa a la portabilidad numérica, la próxima desactivación de la línea y la pérdida de número.</w:t>
      </w:r>
    </w:p>
    <w:p w14:paraId="794EB7A4" w14:textId="77777777" w:rsidR="00C64DF3" w:rsidRPr="00C64DF3" w:rsidRDefault="00C64DF3" w:rsidP="00C64DF3">
      <w:pPr>
        <w:spacing w:after="0" w:line="276" w:lineRule="auto"/>
        <w:ind w:left="567" w:right="616"/>
        <w:rPr>
          <w:rFonts w:ascii="ITC Avant Garde" w:eastAsiaTheme="minorHAnsi" w:hAnsi="ITC Avant Garde" w:cs="ITC Avant Garde"/>
          <w:i/>
          <w:iCs/>
          <w:sz w:val="18"/>
          <w:szCs w:val="18"/>
          <w:lang w:eastAsia="en-US"/>
        </w:rPr>
      </w:pPr>
    </w:p>
    <w:p w14:paraId="5BE80689" w14:textId="77777777" w:rsidR="00C64DF3" w:rsidRPr="00C64DF3" w:rsidRDefault="00C64DF3" w:rsidP="00C64DF3">
      <w:pPr>
        <w:spacing w:after="0" w:line="276" w:lineRule="auto"/>
        <w:ind w:left="567" w:right="616"/>
        <w:rPr>
          <w:rFonts w:ascii="ITC Avant Garde" w:eastAsiaTheme="minorHAnsi" w:hAnsi="ITC Avant Garde" w:cs="ITC Avant Garde"/>
          <w:i/>
          <w:iCs/>
          <w:sz w:val="18"/>
          <w:szCs w:val="18"/>
          <w:lang w:eastAsia="en-US"/>
        </w:rPr>
      </w:pPr>
      <w:r w:rsidRPr="00C64DF3">
        <w:rPr>
          <w:rFonts w:ascii="ITC Avant Garde" w:eastAsiaTheme="minorHAnsi" w:hAnsi="ITC Avant Garde" w:cs="ITC Avant Garde"/>
          <w:i/>
          <w:iCs/>
          <w:sz w:val="18"/>
          <w:szCs w:val="18"/>
          <w:lang w:eastAsia="en-US"/>
        </w:rPr>
        <w:t>Adicionalmente, el Concesionario Mayorista Móvil deberá habilitar, durante el plazo establecido para la portabilidad de los usuarios del Operador Móvil Virtual, un sistema de atención gratuita de consultas de los usuarios afectados.</w:t>
      </w:r>
    </w:p>
    <w:p w14:paraId="6F4FAEA0" w14:textId="77777777" w:rsidR="00C64DF3" w:rsidRPr="00C64DF3" w:rsidRDefault="00C64DF3" w:rsidP="00C64DF3">
      <w:pPr>
        <w:spacing w:after="0" w:line="276" w:lineRule="auto"/>
        <w:ind w:left="567" w:right="616"/>
        <w:rPr>
          <w:rFonts w:ascii="ITC Avant Garde" w:eastAsiaTheme="minorHAnsi" w:hAnsi="ITC Avant Garde" w:cs="ITC Avant Garde"/>
          <w:i/>
          <w:iCs/>
          <w:sz w:val="18"/>
          <w:szCs w:val="18"/>
          <w:lang w:eastAsia="en-US"/>
        </w:rPr>
      </w:pPr>
    </w:p>
    <w:p w14:paraId="6D304AC5" w14:textId="5EEB2FCD" w:rsidR="00A77A06" w:rsidRDefault="00C64DF3" w:rsidP="00C64DF3">
      <w:pPr>
        <w:spacing w:after="0" w:line="276" w:lineRule="auto"/>
        <w:ind w:left="567" w:right="616"/>
        <w:rPr>
          <w:rFonts w:ascii="ITC Avant Garde" w:eastAsiaTheme="minorHAnsi" w:hAnsi="ITC Avant Garde" w:cs="ITC Avant Garde"/>
          <w:i/>
          <w:iCs/>
          <w:sz w:val="18"/>
          <w:szCs w:val="18"/>
          <w:lang w:eastAsia="en-US"/>
        </w:rPr>
      </w:pPr>
      <w:r w:rsidRPr="00C64DF3">
        <w:rPr>
          <w:rFonts w:ascii="ITC Avant Garde" w:eastAsiaTheme="minorHAnsi" w:hAnsi="ITC Avant Garde" w:cs="ITC Avant Garde"/>
          <w:i/>
          <w:iCs/>
          <w:sz w:val="18"/>
          <w:szCs w:val="18"/>
          <w:lang w:eastAsia="en-US"/>
        </w:rPr>
        <w:t xml:space="preserve">Una vez concluido el periodo de </w:t>
      </w:r>
      <w:r w:rsidRPr="00A43528">
        <w:rPr>
          <w:rFonts w:ascii="ITC Avant Garde" w:eastAsiaTheme="minorHAnsi" w:hAnsi="ITC Avant Garde" w:cs="ITC Avant Garde"/>
          <w:i/>
          <w:iCs/>
          <w:strike/>
          <w:sz w:val="18"/>
          <w:szCs w:val="18"/>
          <w:lang w:eastAsia="en-US"/>
        </w:rPr>
        <w:t>funcionalidades</w:t>
      </w:r>
      <w:r w:rsidRPr="00C64DF3">
        <w:rPr>
          <w:rFonts w:ascii="ITC Avant Garde" w:eastAsiaTheme="minorHAnsi" w:hAnsi="ITC Avant Garde" w:cs="ITC Avant Garde"/>
          <w:i/>
          <w:iCs/>
          <w:sz w:val="18"/>
          <w:szCs w:val="18"/>
          <w:lang w:eastAsia="en-US"/>
        </w:rPr>
        <w:t xml:space="preserve"> </w:t>
      </w:r>
      <w:r w:rsidRPr="00A43528">
        <w:rPr>
          <w:rFonts w:ascii="ITC Avant Garde" w:eastAsiaTheme="minorHAnsi" w:hAnsi="ITC Avant Garde" w:cs="ITC Avant Garde"/>
          <w:i/>
          <w:iCs/>
          <w:sz w:val="18"/>
          <w:szCs w:val="18"/>
          <w:u w:val="single"/>
          <w:lang w:eastAsia="en-US"/>
        </w:rPr>
        <w:t>Servicios Móviles</w:t>
      </w:r>
      <w:r w:rsidRPr="00C64DF3">
        <w:rPr>
          <w:rFonts w:ascii="ITC Avant Garde" w:eastAsiaTheme="minorHAnsi" w:hAnsi="ITC Avant Garde" w:cs="ITC Avant Garde"/>
          <w:i/>
          <w:iCs/>
          <w:sz w:val="18"/>
          <w:szCs w:val="18"/>
          <w:lang w:eastAsia="en-US"/>
        </w:rPr>
        <w:t xml:space="preserve"> temporales, el Concesionario Mayorista Móvil deberá desactivar </w:t>
      </w:r>
      <w:r w:rsidRPr="00C93134">
        <w:rPr>
          <w:rFonts w:ascii="ITC Avant Garde" w:eastAsiaTheme="minorHAnsi" w:hAnsi="ITC Avant Garde" w:cs="ITC Avant Garde"/>
          <w:i/>
          <w:iCs/>
          <w:strike/>
          <w:sz w:val="18"/>
          <w:szCs w:val="18"/>
          <w:lang w:eastAsia="en-US"/>
        </w:rPr>
        <w:t>las líneas</w:t>
      </w:r>
      <w:r w:rsidRPr="00C64DF3">
        <w:rPr>
          <w:rFonts w:ascii="ITC Avant Garde" w:eastAsiaTheme="minorHAnsi" w:hAnsi="ITC Avant Garde" w:cs="ITC Avant Garde"/>
          <w:i/>
          <w:iCs/>
          <w:sz w:val="18"/>
          <w:szCs w:val="18"/>
          <w:lang w:eastAsia="en-US"/>
        </w:rPr>
        <w:t xml:space="preserve"> </w:t>
      </w:r>
      <w:r w:rsidRPr="00C93134">
        <w:rPr>
          <w:rFonts w:ascii="ITC Avant Garde" w:eastAsiaTheme="minorHAnsi" w:hAnsi="ITC Avant Garde" w:cs="ITC Avant Garde"/>
          <w:i/>
          <w:iCs/>
          <w:sz w:val="18"/>
          <w:szCs w:val="18"/>
          <w:u w:val="single"/>
          <w:lang w:eastAsia="en-US"/>
        </w:rPr>
        <w:t>los números</w:t>
      </w:r>
      <w:r w:rsidRPr="00C64DF3">
        <w:rPr>
          <w:rFonts w:ascii="ITC Avant Garde" w:eastAsiaTheme="minorHAnsi" w:hAnsi="ITC Avant Garde" w:cs="ITC Avant Garde"/>
          <w:i/>
          <w:iCs/>
          <w:sz w:val="18"/>
          <w:szCs w:val="18"/>
          <w:lang w:eastAsia="en-US"/>
        </w:rPr>
        <w:t xml:space="preserve"> de aquellos usuarios que no ejercieron su derecho de portabilidad y deberá informar al Instituto el número de usuarios no portados a más tardar 15 (quince) días hábiles posteriores a la terminación del periodo establecido."</w:t>
      </w:r>
    </w:p>
    <w:p w14:paraId="461BC8E2" w14:textId="77777777" w:rsidR="00C93134" w:rsidRDefault="00C93134" w:rsidP="00C93134">
      <w:pPr>
        <w:spacing w:after="0" w:line="276" w:lineRule="auto"/>
        <w:ind w:left="567" w:right="616"/>
        <w:jc w:val="right"/>
        <w:rPr>
          <w:rFonts w:ascii="ITC Avant Garde" w:eastAsiaTheme="minorHAnsi" w:hAnsi="ITC Avant Garde" w:cs="ITC Avant Garde"/>
          <w:i/>
          <w:iCs/>
          <w:sz w:val="18"/>
          <w:szCs w:val="18"/>
          <w:lang w:eastAsia="en-US"/>
        </w:rPr>
      </w:pPr>
      <w:r>
        <w:rPr>
          <w:rFonts w:ascii="ITC Avant Garde" w:eastAsiaTheme="minorHAnsi" w:hAnsi="ITC Avant Garde" w:cs="ITC Avant Garde"/>
          <w:sz w:val="18"/>
          <w:szCs w:val="18"/>
          <w:lang w:eastAsia="en-US"/>
        </w:rPr>
        <w:t>Énfasis añadido</w:t>
      </w:r>
    </w:p>
    <w:p w14:paraId="33D5EF11" w14:textId="77777777" w:rsidR="00A77A06" w:rsidRDefault="00A77A06" w:rsidP="00A77A06">
      <w:pPr>
        <w:spacing w:after="0" w:line="276" w:lineRule="auto"/>
        <w:ind w:right="49"/>
        <w:rPr>
          <w:rFonts w:ascii="ITC Avant Garde" w:eastAsiaTheme="minorHAnsi" w:hAnsi="ITC Avant Garde" w:cs="ITC Avant Garde"/>
          <w:lang w:eastAsia="en-US"/>
        </w:rPr>
      </w:pPr>
    </w:p>
    <w:p w14:paraId="025DE931" w14:textId="77777777" w:rsidR="00FC659C" w:rsidRPr="003419F5" w:rsidRDefault="00FC659C" w:rsidP="00FC659C">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67C7BFC9" w14:textId="77777777" w:rsidR="00FC659C" w:rsidRDefault="00FC659C" w:rsidP="00FC659C">
      <w:pPr>
        <w:spacing w:after="0" w:line="276" w:lineRule="auto"/>
        <w:ind w:right="49"/>
        <w:rPr>
          <w:rFonts w:ascii="ITC Avant Garde" w:hAnsi="ITC Avant Garde"/>
          <w:color w:val="auto"/>
        </w:rPr>
      </w:pPr>
    </w:p>
    <w:p w14:paraId="4513F1C4" w14:textId="13DDD8EE" w:rsidR="00A67F97" w:rsidRPr="00C5387F" w:rsidRDefault="00294287" w:rsidP="00FC659C">
      <w:pPr>
        <w:spacing w:after="0" w:line="276" w:lineRule="auto"/>
        <w:ind w:right="49"/>
        <w:rPr>
          <w:rFonts w:ascii="ITC Avant Garde" w:eastAsiaTheme="minorHAnsi" w:hAnsi="ITC Avant Garde" w:cs="ITC Avant Garde"/>
          <w:lang w:eastAsia="en-US"/>
        </w:rPr>
      </w:pPr>
      <w:r>
        <w:rPr>
          <w:rFonts w:ascii="ITC Avant Garde" w:hAnsi="ITC Avant Garde"/>
          <w:color w:val="auto"/>
        </w:rPr>
        <w:t>Respecto</w:t>
      </w:r>
      <w:r w:rsidR="00A67F97" w:rsidRPr="00C5387F">
        <w:rPr>
          <w:rFonts w:ascii="ITC Avant Garde" w:hAnsi="ITC Avant Garde"/>
          <w:color w:val="auto"/>
        </w:rPr>
        <w:t xml:space="preserve"> a</w:t>
      </w:r>
      <w:r w:rsidR="00164C2A" w:rsidRPr="00C5387F">
        <w:rPr>
          <w:rFonts w:ascii="ITC Avant Garde" w:hAnsi="ITC Avant Garde"/>
          <w:color w:val="auto"/>
        </w:rPr>
        <w:t>l término “</w:t>
      </w:r>
      <w:r w:rsidR="00975BC9" w:rsidRPr="00C5387F">
        <w:rPr>
          <w:rFonts w:ascii="ITC Avant Garde" w:hAnsi="ITC Avant Garde"/>
          <w:color w:val="auto"/>
        </w:rPr>
        <w:t>línea”</w:t>
      </w:r>
      <w:r w:rsidR="0036276C" w:rsidRPr="00C5387F">
        <w:rPr>
          <w:rFonts w:ascii="ITC Avant Garde" w:hAnsi="ITC Avant Garde"/>
          <w:color w:val="auto"/>
        </w:rPr>
        <w:t xml:space="preserve"> y/o “líneas</w:t>
      </w:r>
      <w:r w:rsidR="00975BC9" w:rsidRPr="00C5387F">
        <w:rPr>
          <w:rFonts w:ascii="ITC Avant Garde" w:hAnsi="ITC Avant Garde"/>
          <w:color w:val="auto"/>
        </w:rPr>
        <w:t xml:space="preserve">”, inicialmente resulta necesario </w:t>
      </w:r>
      <w:r w:rsidR="00392FE3" w:rsidRPr="00C5387F">
        <w:rPr>
          <w:rFonts w:ascii="ITC Avant Garde" w:hAnsi="ITC Avant Garde"/>
          <w:color w:val="auto"/>
        </w:rPr>
        <w:t xml:space="preserve">observar la definición de </w:t>
      </w:r>
      <w:r w:rsidR="00CC3F78" w:rsidRPr="00C5387F">
        <w:rPr>
          <w:rFonts w:ascii="ITC Avant Garde" w:hAnsi="ITC Avant Garde"/>
          <w:color w:val="auto"/>
        </w:rPr>
        <w:t xml:space="preserve">“Numeración” contenida en el </w:t>
      </w:r>
      <w:r w:rsidR="00CC3F78" w:rsidRPr="00C5387F">
        <w:rPr>
          <w:rFonts w:ascii="ITC Avant Garde" w:eastAsiaTheme="minorHAnsi" w:hAnsi="ITC Avant Garde" w:cs="ITC Avant Garde"/>
          <w:lang w:eastAsia="en-US"/>
        </w:rPr>
        <w:t>Plan Técnico Fundamental de Numeración</w:t>
      </w:r>
      <w:r w:rsidR="00CC3F78" w:rsidRPr="00C5387F">
        <w:rPr>
          <w:rStyle w:val="Refdenotaalpie"/>
          <w:rFonts w:ascii="ITC Avant Garde" w:eastAsiaTheme="minorHAnsi" w:hAnsi="ITC Avant Garde" w:cs="ITC Avant Garde"/>
          <w:lang w:eastAsia="en-US"/>
        </w:rPr>
        <w:footnoteReference w:id="3"/>
      </w:r>
      <w:r w:rsidR="00AA68F6" w:rsidRPr="00C5387F">
        <w:rPr>
          <w:rFonts w:ascii="ITC Avant Garde" w:eastAsiaTheme="minorHAnsi" w:hAnsi="ITC Avant Garde" w:cs="ITC Avant Garde"/>
          <w:lang w:eastAsia="en-US"/>
        </w:rPr>
        <w:t>:</w:t>
      </w:r>
    </w:p>
    <w:p w14:paraId="2D4A29E7" w14:textId="77777777" w:rsidR="00AA68F6" w:rsidRPr="00C5387F" w:rsidRDefault="00AA68F6" w:rsidP="00FC659C">
      <w:pPr>
        <w:spacing w:after="0" w:line="276" w:lineRule="auto"/>
        <w:ind w:right="49"/>
        <w:rPr>
          <w:rFonts w:ascii="ITC Avant Garde" w:hAnsi="ITC Avant Garde"/>
          <w:color w:val="auto"/>
        </w:rPr>
      </w:pPr>
    </w:p>
    <w:p w14:paraId="1BE7AE1D" w14:textId="397ACF2A" w:rsidR="00AA68F6" w:rsidRPr="00C5387F" w:rsidRDefault="006E02CB" w:rsidP="0020677C">
      <w:pPr>
        <w:spacing w:after="0" w:line="276" w:lineRule="auto"/>
        <w:ind w:left="567" w:right="616"/>
        <w:rPr>
          <w:rFonts w:ascii="ITC Avant Garde" w:hAnsi="ITC Avant Garde"/>
          <w:i/>
          <w:color w:val="auto"/>
          <w:sz w:val="18"/>
          <w:szCs w:val="18"/>
        </w:rPr>
      </w:pPr>
      <w:r w:rsidRPr="00C5387F">
        <w:rPr>
          <w:rFonts w:ascii="ITC Avant Garde" w:hAnsi="ITC Avant Garde"/>
          <w:i/>
          <w:color w:val="auto"/>
          <w:sz w:val="18"/>
          <w:szCs w:val="18"/>
        </w:rPr>
        <w:t>“</w:t>
      </w:r>
      <w:r w:rsidRPr="00C5387F">
        <w:rPr>
          <w:rFonts w:ascii="ITC Avant Garde" w:hAnsi="ITC Avant Garde"/>
          <w:b/>
          <w:i/>
          <w:color w:val="auto"/>
          <w:sz w:val="18"/>
          <w:szCs w:val="18"/>
        </w:rPr>
        <w:t>2.23. Numeración:</w:t>
      </w:r>
      <w:r w:rsidRPr="00C5387F">
        <w:rPr>
          <w:rFonts w:ascii="ITC Avant Garde" w:hAnsi="ITC Avant Garde"/>
          <w:i/>
          <w:color w:val="auto"/>
          <w:sz w:val="18"/>
          <w:szCs w:val="18"/>
        </w:rPr>
        <w:t xml:space="preserve"> conjunto estructurado de combinaciones de dígitos decimales que permiten identificar unívocamente a cada línea telefónica, Servicio Especial o destino en una red o conjunto de redes públicas de telecomunicaciones;”</w:t>
      </w:r>
    </w:p>
    <w:p w14:paraId="4A527537" w14:textId="77777777" w:rsidR="006E02CB" w:rsidRPr="00C5387F" w:rsidRDefault="006E02CB" w:rsidP="00FC659C">
      <w:pPr>
        <w:spacing w:after="0" w:line="276" w:lineRule="auto"/>
        <w:ind w:right="49"/>
        <w:rPr>
          <w:rFonts w:ascii="ITC Avant Garde" w:hAnsi="ITC Avant Garde"/>
          <w:color w:val="auto"/>
        </w:rPr>
      </w:pPr>
    </w:p>
    <w:p w14:paraId="5D5E3E32" w14:textId="53D54913" w:rsidR="006E02CB" w:rsidRPr="00C5387F" w:rsidRDefault="004805E7" w:rsidP="00FC659C">
      <w:pPr>
        <w:spacing w:after="0" w:line="276" w:lineRule="auto"/>
        <w:ind w:right="49"/>
        <w:rPr>
          <w:rFonts w:ascii="ITC Avant Garde" w:hAnsi="ITC Avant Garde"/>
          <w:color w:val="auto"/>
        </w:rPr>
      </w:pPr>
      <w:r w:rsidRPr="00C5387F">
        <w:rPr>
          <w:rFonts w:ascii="ITC Avant Garde" w:hAnsi="ITC Avant Garde"/>
          <w:color w:val="auto"/>
        </w:rPr>
        <w:t xml:space="preserve">De dicha definición se puede observar que </w:t>
      </w:r>
      <w:r w:rsidR="00802401" w:rsidRPr="00C5387F">
        <w:rPr>
          <w:rFonts w:ascii="ITC Avant Garde" w:hAnsi="ITC Avant Garde"/>
          <w:color w:val="auto"/>
        </w:rPr>
        <w:t xml:space="preserve">los términos “línea” y “número” guardan estrecha relación, considerando </w:t>
      </w:r>
      <w:r w:rsidR="00C15766" w:rsidRPr="00C5387F">
        <w:rPr>
          <w:rFonts w:ascii="ITC Avant Garde" w:hAnsi="ITC Avant Garde"/>
          <w:color w:val="auto"/>
        </w:rPr>
        <w:t xml:space="preserve">este </w:t>
      </w:r>
      <w:r w:rsidR="00D20668" w:rsidRPr="00C5387F">
        <w:rPr>
          <w:rFonts w:ascii="ITC Avant Garde" w:hAnsi="ITC Avant Garde"/>
          <w:color w:val="auto"/>
        </w:rPr>
        <w:t>último</w:t>
      </w:r>
      <w:r w:rsidR="00C15766" w:rsidRPr="00C5387F">
        <w:rPr>
          <w:rFonts w:ascii="ITC Avant Garde" w:hAnsi="ITC Avant Garde"/>
          <w:color w:val="auto"/>
        </w:rPr>
        <w:t xml:space="preserve"> como el identificador de</w:t>
      </w:r>
      <w:r w:rsidR="005715DF" w:rsidRPr="00C5387F">
        <w:rPr>
          <w:rFonts w:ascii="ITC Avant Garde" w:hAnsi="ITC Avant Garde"/>
          <w:color w:val="auto"/>
        </w:rPr>
        <w:t>l</w:t>
      </w:r>
      <w:r w:rsidR="009223CF" w:rsidRPr="00C5387F">
        <w:rPr>
          <w:rFonts w:ascii="ITC Avant Garde" w:hAnsi="ITC Avant Garde"/>
          <w:color w:val="auto"/>
        </w:rPr>
        <w:t xml:space="preserve"> medio por el cual el usuario recibe servicios de telecomunicaciones</w:t>
      </w:r>
      <w:r w:rsidR="00B70387" w:rsidRPr="00C5387F">
        <w:rPr>
          <w:rFonts w:ascii="ITC Avant Garde" w:hAnsi="ITC Avant Garde"/>
          <w:color w:val="auto"/>
        </w:rPr>
        <w:t>, es decir, de la línea</w:t>
      </w:r>
      <w:r w:rsidR="009223CF" w:rsidRPr="00C5387F">
        <w:rPr>
          <w:rFonts w:ascii="ITC Avant Garde" w:hAnsi="ITC Avant Garde"/>
          <w:color w:val="auto"/>
        </w:rPr>
        <w:t xml:space="preserve">. </w:t>
      </w:r>
    </w:p>
    <w:p w14:paraId="29B71921" w14:textId="77777777" w:rsidR="009223CF" w:rsidRPr="00C5387F" w:rsidRDefault="009223CF" w:rsidP="00FC659C">
      <w:pPr>
        <w:spacing w:after="0" w:line="276" w:lineRule="auto"/>
        <w:ind w:right="49"/>
        <w:rPr>
          <w:rFonts w:ascii="ITC Avant Garde" w:hAnsi="ITC Avant Garde"/>
          <w:color w:val="auto"/>
        </w:rPr>
      </w:pPr>
    </w:p>
    <w:p w14:paraId="56A719FA" w14:textId="62B8D1A6" w:rsidR="009223CF" w:rsidRDefault="009223CF" w:rsidP="00FC659C">
      <w:pPr>
        <w:spacing w:after="0" w:line="276" w:lineRule="auto"/>
        <w:ind w:right="49"/>
        <w:rPr>
          <w:rFonts w:ascii="ITC Avant Garde" w:hAnsi="ITC Avant Garde"/>
          <w:color w:val="auto"/>
        </w:rPr>
      </w:pPr>
      <w:r w:rsidRPr="00C5387F">
        <w:rPr>
          <w:rFonts w:ascii="ITC Avant Garde" w:hAnsi="ITC Avant Garde"/>
          <w:color w:val="auto"/>
        </w:rPr>
        <w:t xml:space="preserve">En este sentido, </w:t>
      </w:r>
      <w:r w:rsidR="00441B20" w:rsidRPr="00C5387F">
        <w:rPr>
          <w:rFonts w:ascii="ITC Avant Garde" w:hAnsi="ITC Avant Garde"/>
          <w:color w:val="auto"/>
        </w:rPr>
        <w:t xml:space="preserve">la utilización del término “línea” en </w:t>
      </w:r>
      <w:r w:rsidR="00A457BF" w:rsidRPr="00C5387F">
        <w:rPr>
          <w:rFonts w:ascii="ITC Avant Garde" w:hAnsi="ITC Avant Garde"/>
          <w:color w:val="auto"/>
        </w:rPr>
        <w:t>la</w:t>
      </w:r>
      <w:r w:rsidR="00CB4935" w:rsidRPr="00C5387F">
        <w:rPr>
          <w:rFonts w:ascii="ITC Avant Garde" w:hAnsi="ITC Avant Garde"/>
          <w:color w:val="auto"/>
        </w:rPr>
        <w:t xml:space="preserve"> Modificación de Lineamientos OMV</w:t>
      </w:r>
      <w:r w:rsidR="00A457BF" w:rsidRPr="00C5387F">
        <w:rPr>
          <w:rFonts w:ascii="ITC Avant Garde" w:hAnsi="ITC Avant Garde"/>
          <w:color w:val="auto"/>
        </w:rPr>
        <w:t xml:space="preserve"> </w:t>
      </w:r>
      <w:r w:rsidR="00B10169" w:rsidRPr="00C5387F">
        <w:rPr>
          <w:rFonts w:ascii="ITC Avant Garde" w:hAnsi="ITC Avant Garde"/>
          <w:color w:val="auto"/>
        </w:rPr>
        <w:t xml:space="preserve">permite comprender que la desactivación de </w:t>
      </w:r>
      <w:r w:rsidR="007D288F" w:rsidRPr="00C5387F">
        <w:rPr>
          <w:rFonts w:ascii="ITC Avant Garde" w:hAnsi="ITC Avant Garde"/>
          <w:color w:val="auto"/>
        </w:rPr>
        <w:t>esta</w:t>
      </w:r>
      <w:r w:rsidR="00B10169" w:rsidRPr="00C5387F">
        <w:rPr>
          <w:rFonts w:ascii="ITC Avant Garde" w:hAnsi="ITC Avant Garde"/>
          <w:color w:val="auto"/>
        </w:rPr>
        <w:t xml:space="preserve"> </w:t>
      </w:r>
      <w:r w:rsidR="0071273F" w:rsidRPr="00C5387F">
        <w:rPr>
          <w:rFonts w:ascii="ITC Avant Garde" w:hAnsi="ITC Avant Garde"/>
          <w:color w:val="auto"/>
        </w:rPr>
        <w:t xml:space="preserve">contempla </w:t>
      </w:r>
      <w:r w:rsidR="00951866" w:rsidRPr="00C5387F">
        <w:rPr>
          <w:rFonts w:ascii="ITC Avant Garde" w:hAnsi="ITC Avant Garde"/>
          <w:color w:val="auto"/>
        </w:rPr>
        <w:t>su inhabilitación para que el usuario</w:t>
      </w:r>
      <w:r w:rsidR="00F463C7" w:rsidRPr="00C5387F">
        <w:rPr>
          <w:rFonts w:ascii="ITC Avant Garde" w:hAnsi="ITC Avant Garde"/>
          <w:color w:val="auto"/>
        </w:rPr>
        <w:t xml:space="preserve"> deje de recibir servicios de telecomunicaciones y que a su vez </w:t>
      </w:r>
      <w:r w:rsidR="0055006E" w:rsidRPr="00C5387F">
        <w:rPr>
          <w:rFonts w:ascii="ITC Avant Garde" w:hAnsi="ITC Avant Garde"/>
          <w:color w:val="auto"/>
        </w:rPr>
        <w:t>dicho usuario</w:t>
      </w:r>
      <w:r w:rsidR="00B65CDC" w:rsidRPr="00C5387F">
        <w:rPr>
          <w:rFonts w:ascii="ITC Avant Garde" w:hAnsi="ITC Avant Garde"/>
          <w:color w:val="auto"/>
        </w:rPr>
        <w:t xml:space="preserve"> </w:t>
      </w:r>
      <w:r w:rsidR="00D06AF4" w:rsidRPr="00C5387F">
        <w:rPr>
          <w:rFonts w:ascii="ITC Avant Garde" w:hAnsi="ITC Avant Garde"/>
          <w:color w:val="auto"/>
        </w:rPr>
        <w:t xml:space="preserve">deja </w:t>
      </w:r>
      <w:r w:rsidR="007C55C8" w:rsidRPr="00C5387F">
        <w:rPr>
          <w:rFonts w:ascii="ITC Avant Garde" w:hAnsi="ITC Avant Garde"/>
          <w:color w:val="auto"/>
        </w:rPr>
        <w:t>de asociarse</w:t>
      </w:r>
      <w:r w:rsidR="00D06AF4" w:rsidRPr="00C5387F">
        <w:rPr>
          <w:rFonts w:ascii="ITC Avant Garde" w:hAnsi="ITC Avant Garde"/>
          <w:color w:val="auto"/>
        </w:rPr>
        <w:t xml:space="preserve"> al número que identifica su línea</w:t>
      </w:r>
      <w:r w:rsidR="0082001F" w:rsidRPr="00C5387F">
        <w:rPr>
          <w:rFonts w:ascii="ITC Avant Garde" w:hAnsi="ITC Avant Garde"/>
          <w:color w:val="auto"/>
        </w:rPr>
        <w:t>, por lo que no se considera adecuada la modificación solicitada</w:t>
      </w:r>
      <w:r w:rsidR="00D06AF4" w:rsidRPr="00C5387F">
        <w:rPr>
          <w:rFonts w:ascii="ITC Avant Garde" w:hAnsi="ITC Avant Garde"/>
          <w:color w:val="auto"/>
        </w:rPr>
        <w:t>.</w:t>
      </w:r>
    </w:p>
    <w:p w14:paraId="1AD1EC2B" w14:textId="77777777" w:rsidR="00FC659C" w:rsidRDefault="00FC659C" w:rsidP="00A77A06">
      <w:pPr>
        <w:spacing w:after="0" w:line="276" w:lineRule="auto"/>
        <w:ind w:right="49"/>
        <w:rPr>
          <w:rFonts w:ascii="ITC Avant Garde" w:eastAsiaTheme="minorHAnsi" w:hAnsi="ITC Avant Garde" w:cs="ITC Avant Garde"/>
          <w:lang w:eastAsia="en-US"/>
        </w:rPr>
      </w:pPr>
    </w:p>
    <w:p w14:paraId="4C4AD94B" w14:textId="77777777" w:rsidR="00C93134" w:rsidRPr="009C4398" w:rsidRDefault="00C93134" w:rsidP="00C93134">
      <w:pPr>
        <w:spacing w:after="0" w:line="276" w:lineRule="auto"/>
        <w:ind w:right="49"/>
        <w:rPr>
          <w:rFonts w:ascii="ITC Avant Garde" w:hAnsi="ITC Avant Garde"/>
          <w:b/>
          <w:bCs/>
          <w:color w:val="auto"/>
        </w:rPr>
      </w:pPr>
      <w:r w:rsidRPr="00FA09A5">
        <w:rPr>
          <w:rFonts w:ascii="ITC Avant Garde" w:hAnsi="ITC Avant Garde"/>
          <w:b/>
          <w:bCs/>
          <w:color w:val="auto"/>
        </w:rPr>
        <w:t>Dirección de Atención al Usuario</w:t>
      </w:r>
    </w:p>
    <w:p w14:paraId="0386D20F" w14:textId="386143A8" w:rsidR="003209B9" w:rsidRPr="003209B9" w:rsidRDefault="0083164A" w:rsidP="003209B9">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t>Consideran</w:t>
      </w:r>
      <w:r w:rsidR="003209B9" w:rsidRPr="003209B9">
        <w:rPr>
          <w:rFonts w:ascii="ITC Avant Garde" w:eastAsiaTheme="minorHAnsi" w:hAnsi="ITC Avant Garde" w:cs="ITC Avant Garde"/>
          <w:lang w:eastAsia="en-US"/>
        </w:rPr>
        <w:t xml:space="preserve"> que hace falta establecer qué pasará después de </w:t>
      </w:r>
      <w:r w:rsidR="00224B96">
        <w:rPr>
          <w:rFonts w:ascii="ITC Avant Garde" w:eastAsiaTheme="minorHAnsi" w:hAnsi="ITC Avant Garde" w:cs="ITC Avant Garde"/>
          <w:lang w:eastAsia="en-US"/>
        </w:rPr>
        <w:t>los</w:t>
      </w:r>
      <w:r w:rsidR="003209B9" w:rsidRPr="003209B9">
        <w:rPr>
          <w:rFonts w:ascii="ITC Avant Garde" w:eastAsiaTheme="minorHAnsi" w:hAnsi="ITC Avant Garde" w:cs="ITC Avant Garde"/>
          <w:lang w:eastAsia="en-US"/>
        </w:rPr>
        <w:t xml:space="preserve"> 40 días naturales</w:t>
      </w:r>
      <w:r w:rsidR="00224B96">
        <w:rPr>
          <w:rFonts w:ascii="ITC Avant Garde" w:eastAsiaTheme="minorHAnsi" w:hAnsi="ITC Avant Garde" w:cs="ITC Avant Garde"/>
          <w:lang w:eastAsia="en-US"/>
        </w:rPr>
        <w:t xml:space="preserve"> mencionado</w:t>
      </w:r>
      <w:r>
        <w:rPr>
          <w:rFonts w:ascii="ITC Avant Garde" w:eastAsiaTheme="minorHAnsi" w:hAnsi="ITC Avant Garde" w:cs="ITC Avant Garde"/>
          <w:lang w:eastAsia="en-US"/>
        </w:rPr>
        <w:t>s</w:t>
      </w:r>
      <w:r w:rsidR="00224B96">
        <w:rPr>
          <w:rFonts w:ascii="ITC Avant Garde" w:eastAsiaTheme="minorHAnsi" w:hAnsi="ITC Avant Garde" w:cs="ITC Avant Garde"/>
          <w:lang w:eastAsia="en-US"/>
        </w:rPr>
        <w:t xml:space="preserve"> en el artículo 22</w:t>
      </w:r>
      <w:r w:rsidR="003209B9" w:rsidRPr="003209B9">
        <w:rPr>
          <w:rFonts w:ascii="ITC Avant Garde" w:eastAsiaTheme="minorHAnsi" w:hAnsi="ITC Avant Garde" w:cs="ITC Avant Garde"/>
          <w:lang w:eastAsia="en-US"/>
        </w:rPr>
        <w:t xml:space="preserve">, si la </w:t>
      </w:r>
      <w:r w:rsidR="00754CAE" w:rsidRPr="003209B9">
        <w:rPr>
          <w:rFonts w:ascii="ITC Avant Garde" w:eastAsiaTheme="minorHAnsi" w:hAnsi="ITC Avant Garde" w:cs="ITC Avant Garde"/>
          <w:lang w:eastAsia="en-US"/>
        </w:rPr>
        <w:t>persona usuaria</w:t>
      </w:r>
      <w:r w:rsidR="003209B9" w:rsidRPr="003209B9">
        <w:rPr>
          <w:rFonts w:ascii="ITC Avant Garde" w:eastAsiaTheme="minorHAnsi" w:hAnsi="ITC Avant Garde" w:cs="ITC Avant Garde"/>
          <w:lang w:eastAsia="en-US"/>
        </w:rPr>
        <w:t xml:space="preserve"> no hace la portabilidad.</w:t>
      </w:r>
    </w:p>
    <w:p w14:paraId="663547DD" w14:textId="77777777" w:rsidR="003209B9" w:rsidRPr="003209B9" w:rsidRDefault="003209B9" w:rsidP="003209B9">
      <w:pPr>
        <w:spacing w:after="0" w:line="276" w:lineRule="auto"/>
        <w:ind w:right="49"/>
        <w:rPr>
          <w:rFonts w:ascii="ITC Avant Garde" w:eastAsiaTheme="minorHAnsi" w:hAnsi="ITC Avant Garde" w:cs="ITC Avant Garde"/>
          <w:lang w:eastAsia="en-US"/>
        </w:rPr>
      </w:pPr>
    </w:p>
    <w:p w14:paraId="66A2722B" w14:textId="2512CEE4" w:rsidR="00A77A06" w:rsidRDefault="003209B9" w:rsidP="003209B9">
      <w:pPr>
        <w:spacing w:after="0" w:line="276" w:lineRule="auto"/>
        <w:ind w:right="49"/>
        <w:rPr>
          <w:rFonts w:ascii="ITC Avant Garde" w:eastAsiaTheme="minorHAnsi" w:hAnsi="ITC Avant Garde" w:cs="ITC Avant Garde"/>
          <w:lang w:eastAsia="en-US"/>
        </w:rPr>
      </w:pPr>
      <w:r w:rsidRPr="003209B9">
        <w:rPr>
          <w:rFonts w:ascii="ITC Avant Garde" w:eastAsiaTheme="minorHAnsi" w:hAnsi="ITC Avant Garde" w:cs="ITC Avant Garde"/>
          <w:lang w:eastAsia="en-US"/>
        </w:rPr>
        <w:t>Preguntan si ¿el número se quedará operando con el Concesionario Mayorista Móvil? Y en su caso, ¿este Concesionario Mayorista Móvil puede reactivar o reasignar el número a un nuevo o el mismo usuario?</w:t>
      </w:r>
    </w:p>
    <w:p w14:paraId="689C9E47" w14:textId="77777777" w:rsidR="00A77A06" w:rsidRDefault="00A77A06" w:rsidP="00A77A06">
      <w:pPr>
        <w:spacing w:after="0" w:line="276" w:lineRule="auto"/>
        <w:ind w:right="49"/>
        <w:rPr>
          <w:rFonts w:ascii="ITC Avant Garde" w:eastAsiaTheme="minorHAnsi" w:hAnsi="ITC Avant Garde" w:cs="ITC Avant Garde"/>
          <w:lang w:eastAsia="en-US"/>
        </w:rPr>
      </w:pPr>
    </w:p>
    <w:p w14:paraId="711EB8B2" w14:textId="77777777" w:rsidR="00922F89" w:rsidRPr="00EC2D21" w:rsidRDefault="00922F89" w:rsidP="00922F89">
      <w:pPr>
        <w:spacing w:after="0" w:line="276" w:lineRule="auto"/>
        <w:ind w:right="49"/>
        <w:rPr>
          <w:rFonts w:ascii="ITC Avant Garde" w:hAnsi="ITC Avant Garde"/>
          <w:b/>
          <w:bCs/>
          <w:color w:val="auto"/>
          <w:u w:val="single"/>
        </w:rPr>
      </w:pPr>
      <w:r w:rsidRPr="00EC2D21">
        <w:rPr>
          <w:rFonts w:ascii="ITC Avant Garde" w:hAnsi="ITC Avant Garde"/>
          <w:b/>
          <w:bCs/>
          <w:color w:val="auto"/>
          <w:u w:val="single"/>
        </w:rPr>
        <w:t>Consideraciones del Instituto</w:t>
      </w:r>
    </w:p>
    <w:p w14:paraId="42A0816B" w14:textId="77777777" w:rsidR="00922F89" w:rsidRPr="00922F89" w:rsidRDefault="00922F89" w:rsidP="00922F89">
      <w:pPr>
        <w:spacing w:after="0" w:line="276" w:lineRule="auto"/>
        <w:ind w:right="49"/>
        <w:rPr>
          <w:rFonts w:ascii="ITC Avant Garde" w:hAnsi="ITC Avant Garde"/>
          <w:color w:val="auto"/>
          <w:highlight w:val="yellow"/>
        </w:rPr>
      </w:pPr>
    </w:p>
    <w:p w14:paraId="4CE878E1" w14:textId="1EA0821F" w:rsidR="00922F89" w:rsidRDefault="00CA7862" w:rsidP="00922F89">
      <w:pPr>
        <w:spacing w:after="0" w:line="276" w:lineRule="auto"/>
        <w:ind w:right="49"/>
        <w:rPr>
          <w:rFonts w:ascii="ITC Avant Garde" w:eastAsiaTheme="minorHAnsi" w:hAnsi="ITC Avant Garde" w:cs="ITC Avant Garde"/>
          <w:lang w:eastAsia="en-US"/>
        </w:rPr>
      </w:pPr>
      <w:r>
        <w:rPr>
          <w:rFonts w:ascii="ITC Avant Garde" w:hAnsi="ITC Avant Garde"/>
          <w:color w:val="auto"/>
        </w:rPr>
        <w:t xml:space="preserve">El plazo de 40 días </w:t>
      </w:r>
      <w:r w:rsidR="00EC2D21">
        <w:rPr>
          <w:rFonts w:ascii="ITC Avant Garde" w:hAnsi="ITC Avant Garde"/>
          <w:color w:val="auto"/>
        </w:rPr>
        <w:t>contemplado</w:t>
      </w:r>
      <w:r>
        <w:rPr>
          <w:rFonts w:ascii="ITC Avant Garde" w:hAnsi="ITC Avant Garde"/>
          <w:color w:val="auto"/>
        </w:rPr>
        <w:t xml:space="preserve"> en </w:t>
      </w:r>
      <w:r w:rsidR="00492421">
        <w:rPr>
          <w:rFonts w:ascii="ITC Avant Garde" w:hAnsi="ITC Avant Garde"/>
          <w:color w:val="auto"/>
        </w:rPr>
        <w:t xml:space="preserve">la Modificación de Lineamientos OMV guarda relación con </w:t>
      </w:r>
      <w:r w:rsidR="003709B7">
        <w:rPr>
          <w:rFonts w:ascii="ITC Avant Garde" w:hAnsi="ITC Avant Garde"/>
          <w:color w:val="auto"/>
        </w:rPr>
        <w:t>el plazo máximo de recuperación de un número, contados a partir de la cancelación del servicio que utiliza</w:t>
      </w:r>
      <w:r w:rsidR="001905EA">
        <w:rPr>
          <w:rFonts w:ascii="ITC Avant Garde" w:hAnsi="ITC Avant Garde"/>
          <w:color w:val="auto"/>
        </w:rPr>
        <w:t xml:space="preserve">, establecido en las </w:t>
      </w:r>
      <w:r w:rsidR="005B335D" w:rsidRPr="00BD064E">
        <w:rPr>
          <w:rFonts w:ascii="ITC Avant Garde" w:eastAsiaTheme="minorHAnsi" w:hAnsi="ITC Avant Garde" w:cs="ITC Avant Garde"/>
          <w:lang w:eastAsia="en-US"/>
        </w:rPr>
        <w:t>Reglas de Portabilidad</w:t>
      </w:r>
      <w:r w:rsidR="005B335D">
        <w:rPr>
          <w:rFonts w:ascii="ITC Avant Garde" w:eastAsiaTheme="minorHAnsi" w:hAnsi="ITC Avant Garde" w:cs="ITC Avant Garde"/>
          <w:lang w:eastAsia="en-US"/>
        </w:rPr>
        <w:t xml:space="preserve"> Numérica</w:t>
      </w:r>
      <w:r w:rsidR="00963920">
        <w:rPr>
          <w:rFonts w:ascii="ITC Avant Garde" w:eastAsiaTheme="minorHAnsi" w:hAnsi="ITC Avant Garde" w:cs="ITC Avant Garde"/>
          <w:lang w:eastAsia="en-US"/>
        </w:rPr>
        <w:t xml:space="preserve">. En este sentido, </w:t>
      </w:r>
      <w:r w:rsidR="00C33887">
        <w:rPr>
          <w:rFonts w:ascii="ITC Avant Garde" w:eastAsiaTheme="minorHAnsi" w:hAnsi="ITC Avant Garde" w:cs="ITC Avant Garde"/>
          <w:lang w:eastAsia="en-US"/>
        </w:rPr>
        <w:t xml:space="preserve">una vez transcurrido el plazo de 40 días, en los que se </w:t>
      </w:r>
      <w:r w:rsidR="00834590">
        <w:rPr>
          <w:rFonts w:ascii="ITC Avant Garde" w:eastAsiaTheme="minorHAnsi" w:hAnsi="ITC Avant Garde" w:cs="ITC Avant Garde"/>
          <w:lang w:eastAsia="en-US"/>
        </w:rPr>
        <w:t xml:space="preserve">facilitaran las funcionalidades para que el usuario pueda realizar la portabilidad de su número, y </w:t>
      </w:r>
      <w:r w:rsidR="004C7C30">
        <w:rPr>
          <w:rFonts w:ascii="ITC Avant Garde" w:eastAsiaTheme="minorHAnsi" w:hAnsi="ITC Avant Garde" w:cs="ITC Avant Garde"/>
          <w:lang w:eastAsia="en-US"/>
        </w:rPr>
        <w:t xml:space="preserve">cuando el usuario no realice tal acción, </w:t>
      </w:r>
      <w:r w:rsidR="00A661F5">
        <w:rPr>
          <w:rFonts w:ascii="ITC Avant Garde" w:eastAsiaTheme="minorHAnsi" w:hAnsi="ITC Avant Garde" w:cs="ITC Avant Garde"/>
          <w:lang w:eastAsia="en-US"/>
        </w:rPr>
        <w:t xml:space="preserve">la línea y la numeración asociada se desactivaría en términos del </w:t>
      </w:r>
      <w:r w:rsidR="00D6525D">
        <w:rPr>
          <w:rFonts w:ascii="ITC Avant Garde" w:eastAsiaTheme="minorHAnsi" w:hAnsi="ITC Avant Garde" w:cs="ITC Avant Garde"/>
          <w:lang w:eastAsia="en-US"/>
        </w:rPr>
        <w:t>artículo 25 de la Modificación a los Lineamientos.</w:t>
      </w:r>
    </w:p>
    <w:p w14:paraId="5C4A683A" w14:textId="77777777" w:rsidR="00804FED" w:rsidRDefault="00804FED" w:rsidP="00922F89">
      <w:pPr>
        <w:spacing w:after="0" w:line="276" w:lineRule="auto"/>
        <w:ind w:right="49"/>
        <w:rPr>
          <w:rFonts w:ascii="ITC Avant Garde" w:hAnsi="ITC Avant Garde"/>
          <w:color w:val="auto"/>
        </w:rPr>
      </w:pPr>
    </w:p>
    <w:p w14:paraId="181A3213" w14:textId="6BCB7CB4" w:rsidR="00804FED" w:rsidRDefault="00D6525D" w:rsidP="00922F89">
      <w:pPr>
        <w:spacing w:after="0" w:line="276" w:lineRule="auto"/>
        <w:ind w:right="49"/>
        <w:rPr>
          <w:rFonts w:ascii="ITC Avant Garde" w:hAnsi="ITC Avant Garde"/>
          <w:color w:val="auto"/>
        </w:rPr>
      </w:pPr>
      <w:r>
        <w:rPr>
          <w:rFonts w:ascii="ITC Avant Garde" w:hAnsi="ITC Avant Garde"/>
          <w:color w:val="auto"/>
        </w:rPr>
        <w:t>Asimismo</w:t>
      </w:r>
      <w:r w:rsidR="00641368" w:rsidRPr="00DB7531">
        <w:rPr>
          <w:rFonts w:ascii="ITC Avant Garde" w:hAnsi="ITC Avant Garde"/>
          <w:color w:val="auto"/>
        </w:rPr>
        <w:t xml:space="preserve">, resulta necesario señalar que </w:t>
      </w:r>
      <w:r w:rsidR="000F6518" w:rsidRPr="00DB7531">
        <w:rPr>
          <w:rFonts w:ascii="ITC Avant Garde" w:hAnsi="ITC Avant Garde"/>
          <w:color w:val="auto"/>
        </w:rPr>
        <w:t>la recuperación y acciones llevadas a cabo con los números</w:t>
      </w:r>
      <w:r w:rsidR="0019300E" w:rsidRPr="00DB7531">
        <w:rPr>
          <w:rFonts w:ascii="ITC Avant Garde" w:hAnsi="ITC Avant Garde"/>
          <w:color w:val="auto"/>
        </w:rPr>
        <w:t>,</w:t>
      </w:r>
      <w:r w:rsidR="000F6518" w:rsidRPr="00DB7531">
        <w:rPr>
          <w:rFonts w:ascii="ITC Avant Garde" w:hAnsi="ITC Avant Garde"/>
          <w:color w:val="auto"/>
        </w:rPr>
        <w:t xml:space="preserve"> </w:t>
      </w:r>
      <w:r w:rsidR="008E3CA9" w:rsidRPr="00DB7531">
        <w:rPr>
          <w:rFonts w:ascii="ITC Avant Garde" w:hAnsi="ITC Avant Garde"/>
          <w:color w:val="auto"/>
        </w:rPr>
        <w:t xml:space="preserve">serán realizadas </w:t>
      </w:r>
      <w:r w:rsidR="009A32DB" w:rsidRPr="00DB7531">
        <w:rPr>
          <w:rFonts w:ascii="ITC Avant Garde" w:hAnsi="ITC Avant Garde"/>
          <w:color w:val="auto"/>
        </w:rPr>
        <w:t xml:space="preserve">por el Concesionario Mayorista Móvil </w:t>
      </w:r>
      <w:r w:rsidR="00EC1B92">
        <w:rPr>
          <w:rFonts w:ascii="ITC Avant Garde" w:hAnsi="ITC Avant Garde"/>
          <w:color w:val="auto"/>
        </w:rPr>
        <w:t xml:space="preserve">sólo en el caso de que este sea el titular de la numeración y </w:t>
      </w:r>
      <w:r w:rsidR="009A32DB" w:rsidRPr="00DB7531">
        <w:rPr>
          <w:rFonts w:ascii="ITC Avant Garde" w:hAnsi="ITC Avant Garde"/>
          <w:color w:val="auto"/>
        </w:rPr>
        <w:t xml:space="preserve">que </w:t>
      </w:r>
      <w:r w:rsidR="005C36B9">
        <w:rPr>
          <w:rFonts w:ascii="ITC Avant Garde" w:hAnsi="ITC Avant Garde"/>
          <w:color w:val="auto"/>
        </w:rPr>
        <w:t>é</w:t>
      </w:r>
      <w:r w:rsidR="009A32DB" w:rsidRPr="00DB7531">
        <w:rPr>
          <w:rFonts w:ascii="ITC Avant Garde" w:hAnsi="ITC Avant Garde"/>
          <w:color w:val="auto"/>
        </w:rPr>
        <w:t xml:space="preserve">ste </w:t>
      </w:r>
      <w:r w:rsidR="009C621C" w:rsidRPr="00DB7531">
        <w:rPr>
          <w:rFonts w:ascii="ITC Avant Garde" w:hAnsi="ITC Avant Garde"/>
          <w:color w:val="auto"/>
        </w:rPr>
        <w:t>haya provisto la numeración al OMV</w:t>
      </w:r>
      <w:r w:rsidR="00BD37FD">
        <w:rPr>
          <w:rFonts w:ascii="ITC Avant Garde" w:hAnsi="ITC Avant Garde"/>
          <w:color w:val="auto"/>
        </w:rPr>
        <w:t>.</w:t>
      </w:r>
    </w:p>
    <w:p w14:paraId="4A7B2219" w14:textId="77777777" w:rsidR="00922F89" w:rsidRDefault="00922F89" w:rsidP="00922F89">
      <w:pPr>
        <w:spacing w:after="0" w:line="276" w:lineRule="auto"/>
        <w:ind w:right="49"/>
        <w:rPr>
          <w:rFonts w:ascii="ITC Avant Garde" w:eastAsiaTheme="minorHAnsi" w:hAnsi="ITC Avant Garde" w:cs="ITC Avant Garde"/>
          <w:lang w:eastAsia="en-US"/>
        </w:rPr>
      </w:pPr>
    </w:p>
    <w:p w14:paraId="648BEEB1" w14:textId="77777777" w:rsidR="003209B9" w:rsidRPr="009C4398" w:rsidRDefault="003209B9" w:rsidP="003209B9">
      <w:pPr>
        <w:spacing w:after="0" w:line="276" w:lineRule="auto"/>
        <w:ind w:right="49"/>
        <w:rPr>
          <w:rFonts w:ascii="ITC Avant Garde" w:hAnsi="ITC Avant Garde"/>
          <w:b/>
          <w:bCs/>
          <w:color w:val="auto"/>
        </w:rPr>
      </w:pPr>
      <w:r>
        <w:rPr>
          <w:rFonts w:ascii="ITC Avant Garde" w:hAnsi="ITC Avant Garde"/>
          <w:b/>
          <w:bCs/>
          <w:color w:val="auto"/>
        </w:rPr>
        <w:t>Altán</w:t>
      </w:r>
    </w:p>
    <w:p w14:paraId="4455411E" w14:textId="293FE1DE" w:rsidR="00A77A06" w:rsidRDefault="00A823EE" w:rsidP="00E825C1">
      <w:pPr>
        <w:spacing w:after="0" w:line="276" w:lineRule="auto"/>
        <w:ind w:right="49"/>
        <w:rPr>
          <w:rFonts w:ascii="ITC Avant Garde" w:eastAsiaTheme="minorHAnsi" w:hAnsi="ITC Avant Garde" w:cs="ITC Avant Garde"/>
          <w:lang w:eastAsia="en-US"/>
        </w:rPr>
      </w:pPr>
      <w:r w:rsidRPr="00A823EE">
        <w:rPr>
          <w:rFonts w:ascii="ITC Avant Garde" w:eastAsiaTheme="minorHAnsi" w:hAnsi="ITC Avant Garde" w:cs="ITC Avant Garde"/>
          <w:lang w:eastAsia="en-US"/>
        </w:rPr>
        <w:t xml:space="preserve">Sugiere la eliminación del último párrafo del artículo 24, que indica que el Concesionario Mayorista Móvil no podrá ofrecer ni comercializar servicios propios o de terceros, señalando que la prohibición de comercializar ya se encuentra contemplada en el artículo 25 del Anteproyecto, por lo que es repetitivo; además </w:t>
      </w:r>
      <w:r w:rsidRPr="00A823EE">
        <w:rPr>
          <w:rFonts w:ascii="ITC Avant Garde" w:eastAsiaTheme="minorHAnsi" w:hAnsi="ITC Avant Garde" w:cs="ITC Avant Garde"/>
          <w:lang w:eastAsia="en-US"/>
        </w:rPr>
        <w:lastRenderedPageBreak/>
        <w:t>de indicar que la prohibición de ofrecer servicio de terceros, ésta no tiene sustento jurídico, más aún que la única prohibición legal que tienen los Concesionarios Mayoristas Móviles le corresponde a aquellos que tienen el carácter de red compartida mayorista, en el sentido de no poder prestar servicios a usuarios finales. Indica que el mecanismo previsto en el Anteproyecto no tiene por objeto regular la prestación o comercialización de servicios, únicamente garantiza el acceso a funcionalidades para que el usuario final puede ejercer sus derechos. Por lo anterior, el usuario debe tener acceso a información que le permita conocer a los proveedores de servicios para elegirlos libremente y decidir sobre la contratación de servicio que mejor satisfaga sus necesidades, y de ninguna manera esto constituiría una violación a la normatividad vigente, por el contrario, dar información incompleta o trunca sí atenta contra el derecho de los usuarios.</w:t>
      </w:r>
    </w:p>
    <w:p w14:paraId="3DEF83B6" w14:textId="77777777" w:rsidR="00E825C1" w:rsidRDefault="00E825C1" w:rsidP="00E825C1">
      <w:pPr>
        <w:spacing w:after="0" w:line="276" w:lineRule="auto"/>
        <w:ind w:right="49"/>
        <w:rPr>
          <w:rFonts w:ascii="ITC Avant Garde" w:eastAsiaTheme="minorHAnsi" w:hAnsi="ITC Avant Garde" w:cs="ITC Avant Garde"/>
          <w:lang w:eastAsia="en-US"/>
        </w:rPr>
      </w:pPr>
    </w:p>
    <w:p w14:paraId="2103B115" w14:textId="075D72D0" w:rsidR="00E825C1" w:rsidRDefault="00E825C1" w:rsidP="00E825C1">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t xml:space="preserve">Por lo anterior, y adicionalmente, Altán sugiere que el artículo 24 </w:t>
      </w:r>
      <w:r w:rsidR="00F50BF0">
        <w:rPr>
          <w:rFonts w:ascii="ITC Avant Garde" w:eastAsiaTheme="minorHAnsi" w:hAnsi="ITC Avant Garde" w:cs="ITC Avant Garde"/>
          <w:lang w:eastAsia="en-US"/>
        </w:rPr>
        <w:t>se modifique como se muestra a continuación:</w:t>
      </w:r>
    </w:p>
    <w:p w14:paraId="4E760F44" w14:textId="77777777" w:rsidR="00F50BF0" w:rsidRDefault="00F50BF0" w:rsidP="00E825C1">
      <w:pPr>
        <w:spacing w:after="0" w:line="276" w:lineRule="auto"/>
        <w:ind w:right="49"/>
        <w:rPr>
          <w:rFonts w:ascii="ITC Avant Garde" w:eastAsiaTheme="minorHAnsi" w:hAnsi="ITC Avant Garde" w:cs="ITC Avant Garde"/>
          <w:lang w:eastAsia="en-US"/>
        </w:rPr>
      </w:pPr>
    </w:p>
    <w:p w14:paraId="758F42BF"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r w:rsidRPr="00F50BF0">
        <w:rPr>
          <w:rFonts w:ascii="ITC Avant Garde" w:eastAsiaTheme="minorHAnsi" w:hAnsi="ITC Avant Garde" w:cs="ITC Avant Garde"/>
          <w:i/>
          <w:iCs/>
          <w:sz w:val="18"/>
          <w:szCs w:val="18"/>
          <w:lang w:eastAsia="en-US"/>
        </w:rPr>
        <w:t xml:space="preserve">"Artículo 24. Durante el plazo establecido en el artículo 22, el Concesionario Mayorista Móvil deberá poner a disposición de los usuarios, </w:t>
      </w:r>
      <w:r w:rsidRPr="004A76B0">
        <w:rPr>
          <w:rFonts w:ascii="ITC Avant Garde" w:eastAsiaTheme="minorHAnsi" w:hAnsi="ITC Avant Garde" w:cs="ITC Avant Garde"/>
          <w:i/>
          <w:iCs/>
          <w:sz w:val="18"/>
          <w:szCs w:val="18"/>
          <w:u w:val="single"/>
          <w:lang w:eastAsia="en-US"/>
        </w:rPr>
        <w:t>a través de medios electrónicos o digitales o de cualquier otra nueva tecnología existente</w:t>
      </w:r>
      <w:r w:rsidRPr="00F50BF0">
        <w:rPr>
          <w:rFonts w:ascii="ITC Avant Garde" w:eastAsiaTheme="minorHAnsi" w:hAnsi="ITC Avant Garde" w:cs="ITC Avant Garde"/>
          <w:i/>
          <w:iCs/>
          <w:sz w:val="18"/>
          <w:szCs w:val="18"/>
          <w:lang w:eastAsia="en-US"/>
        </w:rPr>
        <w:t xml:space="preserve"> </w:t>
      </w:r>
      <w:r w:rsidRPr="004A76B0">
        <w:rPr>
          <w:rFonts w:ascii="ITC Avant Garde" w:eastAsiaTheme="minorHAnsi" w:hAnsi="ITC Avant Garde" w:cs="ITC Avant Garde"/>
          <w:i/>
          <w:iCs/>
          <w:strike/>
          <w:sz w:val="18"/>
          <w:szCs w:val="18"/>
          <w:lang w:eastAsia="en-US"/>
        </w:rPr>
        <w:t>a través de mensajes cortos</w:t>
      </w:r>
      <w:r w:rsidRPr="00F50BF0">
        <w:rPr>
          <w:rFonts w:ascii="ITC Avant Garde" w:eastAsiaTheme="minorHAnsi" w:hAnsi="ITC Avant Garde" w:cs="ITC Avant Garde"/>
          <w:i/>
          <w:iCs/>
          <w:sz w:val="18"/>
          <w:szCs w:val="18"/>
          <w:lang w:eastAsia="en-US"/>
        </w:rPr>
        <w:t xml:space="preserve">, toda la información necesaria para ejercer el derecho a la portabilidad de manera informada, así como la información referida en el último párrafo del artículo 23, a través del siguiente procedimiento: </w:t>
      </w:r>
    </w:p>
    <w:p w14:paraId="14008104"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p>
    <w:p w14:paraId="72623205"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r w:rsidRPr="00F50BF0">
        <w:rPr>
          <w:rFonts w:ascii="ITC Avant Garde" w:eastAsiaTheme="minorHAnsi" w:hAnsi="ITC Avant Garde" w:cs="ITC Avant Garde"/>
          <w:i/>
          <w:iCs/>
          <w:sz w:val="18"/>
          <w:szCs w:val="18"/>
          <w:lang w:eastAsia="en-US"/>
        </w:rPr>
        <w:t xml:space="preserve">I. El Concesionario Mayorista Móvil deberá </w:t>
      </w:r>
      <w:r w:rsidRPr="004A76B0">
        <w:rPr>
          <w:rFonts w:ascii="ITC Avant Garde" w:eastAsiaTheme="minorHAnsi" w:hAnsi="ITC Avant Garde" w:cs="ITC Avant Garde"/>
          <w:i/>
          <w:iCs/>
          <w:sz w:val="18"/>
          <w:szCs w:val="18"/>
          <w:u w:val="single"/>
          <w:lang w:eastAsia="en-US"/>
        </w:rPr>
        <w:t>informar</w:t>
      </w:r>
      <w:r w:rsidRPr="00F50BF0">
        <w:rPr>
          <w:rFonts w:ascii="ITC Avant Garde" w:eastAsiaTheme="minorHAnsi" w:hAnsi="ITC Avant Garde" w:cs="ITC Avant Garde"/>
          <w:i/>
          <w:iCs/>
          <w:sz w:val="18"/>
          <w:szCs w:val="18"/>
          <w:lang w:eastAsia="en-US"/>
        </w:rPr>
        <w:t xml:space="preserve"> </w:t>
      </w:r>
      <w:r w:rsidRPr="004A76B0">
        <w:rPr>
          <w:rFonts w:ascii="ITC Avant Garde" w:eastAsiaTheme="minorHAnsi" w:hAnsi="ITC Avant Garde" w:cs="ITC Avant Garde"/>
          <w:i/>
          <w:iCs/>
          <w:strike/>
          <w:sz w:val="18"/>
          <w:szCs w:val="18"/>
          <w:lang w:eastAsia="en-US"/>
        </w:rPr>
        <w:t>enviar al menos un mensaje corto</w:t>
      </w:r>
      <w:r w:rsidRPr="00F50BF0">
        <w:rPr>
          <w:rFonts w:ascii="ITC Avant Garde" w:eastAsiaTheme="minorHAnsi" w:hAnsi="ITC Avant Garde" w:cs="ITC Avant Garde"/>
          <w:i/>
          <w:iCs/>
          <w:sz w:val="18"/>
          <w:szCs w:val="18"/>
          <w:lang w:eastAsia="en-US"/>
        </w:rPr>
        <w:t xml:space="preserve"> a los usuarios del Operador Móvil Virtual dentro de los primeros 10 (diez) días hábiles contados a partir de la suspensión definitiva de los servicios de telecomunicaciones por parte del Operador Móvil Virtual;</w:t>
      </w:r>
    </w:p>
    <w:p w14:paraId="3C25D32B"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p>
    <w:p w14:paraId="1222DB16"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r w:rsidRPr="00F50BF0">
        <w:rPr>
          <w:rFonts w:ascii="ITC Avant Garde" w:eastAsiaTheme="minorHAnsi" w:hAnsi="ITC Avant Garde" w:cs="ITC Avant Garde"/>
          <w:i/>
          <w:iCs/>
          <w:sz w:val="18"/>
          <w:szCs w:val="18"/>
          <w:lang w:eastAsia="en-US"/>
        </w:rPr>
        <w:t xml:space="preserve">II. </w:t>
      </w:r>
      <w:r w:rsidRPr="003A44E8">
        <w:rPr>
          <w:rFonts w:ascii="ITC Avant Garde" w:eastAsiaTheme="minorHAnsi" w:hAnsi="ITC Avant Garde" w:cs="ITC Avant Garde"/>
          <w:i/>
          <w:iCs/>
          <w:sz w:val="18"/>
          <w:szCs w:val="18"/>
          <w:u w:val="single"/>
          <w:lang w:eastAsia="en-US"/>
        </w:rPr>
        <w:t>Durante el plazo mencionado en el artículo 22, el Concesionario Mayorista Móvil deberá poner a disposición de los usuarios finales, a través de medios electrónicos o digitales o de cualquier otra nueva tecnología existente, toda la información necesaria que permita a los usuarios finales ejercer sus derechos de manera informada</w:t>
      </w:r>
      <w:r w:rsidRPr="00F50BF0">
        <w:rPr>
          <w:rFonts w:ascii="ITC Avant Garde" w:eastAsiaTheme="minorHAnsi" w:hAnsi="ITC Avant Garde" w:cs="ITC Avant Garde"/>
          <w:i/>
          <w:iCs/>
          <w:sz w:val="18"/>
          <w:szCs w:val="18"/>
          <w:lang w:eastAsia="en-US"/>
        </w:rPr>
        <w:t xml:space="preserve"> </w:t>
      </w:r>
      <w:r w:rsidRPr="003A44E8">
        <w:rPr>
          <w:rFonts w:ascii="ITC Avant Garde" w:eastAsiaTheme="minorHAnsi" w:hAnsi="ITC Avant Garde" w:cs="ITC Avant Garde"/>
          <w:i/>
          <w:iCs/>
          <w:strike/>
          <w:sz w:val="18"/>
          <w:szCs w:val="18"/>
          <w:lang w:eastAsia="en-US"/>
        </w:rPr>
        <w:t>Si aún existieran usuarios no portados en el día 20 (veinte) del plazo mencionado en el artículo 22, el Concesionario Mayorista Móvil deberá enviar al menos otro mensaje corto con la información,</w:t>
      </w:r>
      <w:r w:rsidRPr="00F50BF0">
        <w:rPr>
          <w:rFonts w:ascii="ITC Avant Garde" w:eastAsiaTheme="minorHAnsi" w:hAnsi="ITC Avant Garde" w:cs="ITC Avant Garde"/>
          <w:i/>
          <w:iCs/>
          <w:sz w:val="18"/>
          <w:szCs w:val="18"/>
          <w:lang w:eastAsia="en-US"/>
        </w:rPr>
        <w:t xml:space="preserve"> y</w:t>
      </w:r>
    </w:p>
    <w:p w14:paraId="5E3B92E3"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p>
    <w:p w14:paraId="2E7EFBA3"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r w:rsidRPr="00F50BF0">
        <w:rPr>
          <w:rFonts w:ascii="ITC Avant Garde" w:eastAsiaTheme="minorHAnsi" w:hAnsi="ITC Avant Garde" w:cs="ITC Avant Garde"/>
          <w:i/>
          <w:iCs/>
          <w:sz w:val="18"/>
          <w:szCs w:val="18"/>
          <w:lang w:eastAsia="en-US"/>
        </w:rPr>
        <w:t xml:space="preserve">III. Se deberá </w:t>
      </w:r>
      <w:r w:rsidRPr="00367893">
        <w:rPr>
          <w:rFonts w:ascii="ITC Avant Garde" w:eastAsiaTheme="minorHAnsi" w:hAnsi="ITC Avant Garde" w:cs="ITC Avant Garde"/>
          <w:i/>
          <w:iCs/>
          <w:sz w:val="18"/>
          <w:szCs w:val="18"/>
          <w:u w:val="single"/>
          <w:lang w:eastAsia="en-US"/>
        </w:rPr>
        <w:t xml:space="preserve">contactar </w:t>
      </w:r>
      <w:r w:rsidRPr="00B16C71">
        <w:rPr>
          <w:rFonts w:ascii="ITC Avant Garde" w:eastAsiaTheme="minorHAnsi" w:hAnsi="ITC Avant Garde" w:cs="ITC Avant Garde"/>
          <w:i/>
          <w:iCs/>
          <w:strike/>
          <w:sz w:val="18"/>
          <w:szCs w:val="18"/>
          <w:lang w:eastAsia="en-US"/>
        </w:rPr>
        <w:t>mandar al menos un mensaje corto</w:t>
      </w:r>
      <w:r w:rsidRPr="00F50BF0">
        <w:rPr>
          <w:rFonts w:ascii="ITC Avant Garde" w:eastAsiaTheme="minorHAnsi" w:hAnsi="ITC Avant Garde" w:cs="ITC Avant Garde"/>
          <w:i/>
          <w:iCs/>
          <w:sz w:val="18"/>
          <w:szCs w:val="18"/>
          <w:lang w:eastAsia="en-US"/>
        </w:rPr>
        <w:t xml:space="preserve"> a los usuarios no portados 72 horas antes de que se desactive la línea, indicando, además de la información relativa a la portabilidad numérica, la próxima desactivación de la línea y la pérdida de número.</w:t>
      </w:r>
    </w:p>
    <w:p w14:paraId="588868A4"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p>
    <w:p w14:paraId="04233FE9"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r w:rsidRPr="00F50BF0">
        <w:rPr>
          <w:rFonts w:ascii="ITC Avant Garde" w:eastAsiaTheme="minorHAnsi" w:hAnsi="ITC Avant Garde" w:cs="ITC Avant Garde"/>
          <w:i/>
          <w:iCs/>
          <w:sz w:val="18"/>
          <w:szCs w:val="18"/>
          <w:lang w:eastAsia="en-US"/>
        </w:rPr>
        <w:t>Adicionalmente, el Concesionario Mayorista Móvil deberá habilitar, durante el plazo establecido para la portabilidad de los usuarios del Operador Móvil Virtual, un sistema de atención gratuita de consultas de los usuarios afectados.</w:t>
      </w:r>
    </w:p>
    <w:p w14:paraId="57578970"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p>
    <w:p w14:paraId="54406594"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r w:rsidRPr="00F50BF0">
        <w:rPr>
          <w:rFonts w:ascii="ITC Avant Garde" w:eastAsiaTheme="minorHAnsi" w:hAnsi="ITC Avant Garde" w:cs="ITC Avant Garde"/>
          <w:i/>
          <w:iCs/>
          <w:sz w:val="18"/>
          <w:szCs w:val="18"/>
          <w:lang w:eastAsia="en-US"/>
        </w:rPr>
        <w:t xml:space="preserve">Una vez concluido el periodo de funcionalidades temporales, el Concesionario Mayorista Móvil deberá desactivar las líneas de aquellos usuarios que no ejercieron su </w:t>
      </w:r>
      <w:r w:rsidRPr="00F50BF0">
        <w:rPr>
          <w:rFonts w:ascii="ITC Avant Garde" w:eastAsiaTheme="minorHAnsi" w:hAnsi="ITC Avant Garde" w:cs="ITC Avant Garde"/>
          <w:i/>
          <w:iCs/>
          <w:sz w:val="18"/>
          <w:szCs w:val="18"/>
          <w:lang w:eastAsia="en-US"/>
        </w:rPr>
        <w:lastRenderedPageBreak/>
        <w:t>derecho de portabilidad y deberá informar al Instituto el número de usuarios no portados a más tardar 15 (quince) días hábiles posteriores a la terminación del periodo establecido.</w:t>
      </w:r>
    </w:p>
    <w:p w14:paraId="4585BB14" w14:textId="77777777" w:rsidR="00F50BF0" w:rsidRP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p>
    <w:p w14:paraId="512601A9" w14:textId="3666BFB7" w:rsidR="00F50BF0" w:rsidRDefault="00F50BF0" w:rsidP="00F50BF0">
      <w:pPr>
        <w:spacing w:after="0" w:line="276" w:lineRule="auto"/>
        <w:ind w:left="567" w:right="616"/>
        <w:rPr>
          <w:rFonts w:ascii="ITC Avant Garde" w:eastAsiaTheme="minorHAnsi" w:hAnsi="ITC Avant Garde" w:cs="ITC Avant Garde"/>
          <w:i/>
          <w:iCs/>
          <w:sz w:val="18"/>
          <w:szCs w:val="18"/>
          <w:lang w:eastAsia="en-US"/>
        </w:rPr>
      </w:pPr>
      <w:r w:rsidRPr="007123D3">
        <w:rPr>
          <w:rFonts w:ascii="ITC Avant Garde" w:eastAsiaTheme="minorHAnsi" w:hAnsi="ITC Avant Garde" w:cs="ITC Avant Garde"/>
          <w:i/>
          <w:iCs/>
          <w:strike/>
          <w:sz w:val="18"/>
          <w:szCs w:val="18"/>
          <w:lang w:eastAsia="en-US"/>
        </w:rPr>
        <w:t>Los mensajes y comunicaciones a que se refiere este artículo 24 deberán limitarse exclusivamente a información sobre portabilidad, por lo que el Concesionario Mayorista Móvil no podrá ofrecer ni comercializar servicios propios o de terceros.</w:t>
      </w:r>
      <w:r w:rsidRPr="00F50BF0">
        <w:rPr>
          <w:rFonts w:ascii="ITC Avant Garde" w:eastAsiaTheme="minorHAnsi" w:hAnsi="ITC Avant Garde" w:cs="ITC Avant Garde"/>
          <w:i/>
          <w:iCs/>
          <w:sz w:val="18"/>
          <w:szCs w:val="18"/>
          <w:lang w:eastAsia="en-US"/>
        </w:rPr>
        <w:t>"</w:t>
      </w:r>
    </w:p>
    <w:p w14:paraId="374CC4EC" w14:textId="77777777" w:rsidR="00F50BF0" w:rsidRDefault="00F50BF0" w:rsidP="00F50BF0">
      <w:pPr>
        <w:spacing w:after="0" w:line="276" w:lineRule="auto"/>
        <w:ind w:left="567" w:right="616"/>
        <w:jc w:val="right"/>
        <w:rPr>
          <w:rFonts w:ascii="ITC Avant Garde" w:eastAsiaTheme="minorHAnsi" w:hAnsi="ITC Avant Garde" w:cs="ITC Avant Garde"/>
          <w:i/>
          <w:iCs/>
          <w:sz w:val="18"/>
          <w:szCs w:val="18"/>
          <w:lang w:eastAsia="en-US"/>
        </w:rPr>
      </w:pPr>
      <w:r>
        <w:rPr>
          <w:rFonts w:ascii="ITC Avant Garde" w:eastAsiaTheme="minorHAnsi" w:hAnsi="ITC Avant Garde" w:cs="ITC Avant Garde"/>
          <w:sz w:val="18"/>
          <w:szCs w:val="18"/>
          <w:lang w:eastAsia="en-US"/>
        </w:rPr>
        <w:t>Énfasis añadido</w:t>
      </w:r>
    </w:p>
    <w:p w14:paraId="7EE3883E" w14:textId="77777777" w:rsidR="00E825C1" w:rsidRDefault="00E825C1" w:rsidP="00E825C1">
      <w:pPr>
        <w:spacing w:after="0" w:line="276" w:lineRule="auto"/>
        <w:ind w:right="49"/>
        <w:rPr>
          <w:rFonts w:ascii="ITC Avant Garde" w:eastAsiaTheme="minorHAnsi" w:hAnsi="ITC Avant Garde" w:cs="ITC Avant Garde"/>
          <w:lang w:eastAsia="en-US"/>
        </w:rPr>
      </w:pPr>
    </w:p>
    <w:p w14:paraId="09188075" w14:textId="77777777" w:rsidR="001209AD" w:rsidRPr="003419F5" w:rsidRDefault="001209AD" w:rsidP="001209AD">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0C04BEAE" w14:textId="77777777" w:rsidR="001209AD" w:rsidRDefault="001209AD" w:rsidP="001209AD">
      <w:pPr>
        <w:spacing w:after="0" w:line="276" w:lineRule="auto"/>
        <w:ind w:right="49"/>
        <w:rPr>
          <w:rFonts w:ascii="ITC Avant Garde" w:hAnsi="ITC Avant Garde"/>
          <w:color w:val="auto"/>
        </w:rPr>
      </w:pPr>
    </w:p>
    <w:p w14:paraId="422160BE" w14:textId="1B1575C6" w:rsidR="00E96087" w:rsidRDefault="00E96087" w:rsidP="001209AD">
      <w:pPr>
        <w:spacing w:after="0" w:line="276" w:lineRule="auto"/>
        <w:ind w:right="49"/>
        <w:rPr>
          <w:rFonts w:ascii="ITC Avant Garde" w:hAnsi="ITC Avant Garde"/>
          <w:color w:val="auto"/>
        </w:rPr>
      </w:pPr>
      <w:r>
        <w:rPr>
          <w:rFonts w:ascii="ITC Avant Garde" w:hAnsi="ITC Avant Garde"/>
          <w:color w:val="auto"/>
        </w:rPr>
        <w:t xml:space="preserve">El </w:t>
      </w:r>
      <w:r w:rsidR="00C209CF">
        <w:rPr>
          <w:rFonts w:ascii="ITC Avant Garde" w:hAnsi="ITC Avant Garde"/>
          <w:color w:val="auto"/>
        </w:rPr>
        <w:t>objetivo que se busca con la Modificación de Lineamientos OMV,</w:t>
      </w:r>
      <w:r w:rsidR="00F67733">
        <w:rPr>
          <w:rFonts w:ascii="ITC Avant Garde" w:hAnsi="ITC Avant Garde"/>
          <w:color w:val="auto"/>
        </w:rPr>
        <w:t xml:space="preserve"> es ofrecer un mecanismo </w:t>
      </w:r>
      <w:r w:rsidR="00520947">
        <w:rPr>
          <w:rFonts w:ascii="ITC Avant Garde" w:hAnsi="ITC Avant Garde"/>
          <w:color w:val="auto"/>
        </w:rPr>
        <w:t>para que los usuario de aquellos OMV que cesan de manera abrupta sus operaciones puedan ejercer su derecho a la portabilidad</w:t>
      </w:r>
      <w:r w:rsidR="00CE0681">
        <w:rPr>
          <w:rFonts w:ascii="ITC Avant Garde" w:hAnsi="ITC Avant Garde"/>
          <w:color w:val="auto"/>
        </w:rPr>
        <w:t xml:space="preserve"> </w:t>
      </w:r>
      <w:r w:rsidR="006731A9">
        <w:rPr>
          <w:rFonts w:ascii="ITC Avant Garde" w:hAnsi="ITC Avant Garde"/>
          <w:color w:val="auto"/>
        </w:rPr>
        <w:t>salv</w:t>
      </w:r>
      <w:r w:rsidR="00CF612C">
        <w:rPr>
          <w:rFonts w:ascii="ITC Avant Garde" w:hAnsi="ITC Avant Garde"/>
          <w:color w:val="auto"/>
        </w:rPr>
        <w:t xml:space="preserve">aguardando el derecho del usuario a </w:t>
      </w:r>
      <w:r w:rsidR="008B3A4B">
        <w:rPr>
          <w:rFonts w:ascii="ITC Avant Garde" w:hAnsi="ITC Avant Garde"/>
          <w:color w:val="auto"/>
        </w:rPr>
        <w:t xml:space="preserve">elegir </w:t>
      </w:r>
      <w:r w:rsidR="00D6677D">
        <w:rPr>
          <w:rFonts w:ascii="ITC Avant Garde" w:hAnsi="ITC Avant Garde"/>
          <w:color w:val="auto"/>
        </w:rPr>
        <w:t xml:space="preserve">libremente </w:t>
      </w:r>
      <w:r w:rsidR="008B3A4B">
        <w:rPr>
          <w:rFonts w:ascii="ITC Avant Garde" w:hAnsi="ITC Avant Garde"/>
          <w:color w:val="auto"/>
        </w:rPr>
        <w:t>un nuevo proveedor de servicios</w:t>
      </w:r>
      <w:r w:rsidR="00CF612C">
        <w:rPr>
          <w:rFonts w:ascii="ITC Avant Garde" w:hAnsi="ITC Avant Garde"/>
          <w:color w:val="auto"/>
        </w:rPr>
        <w:t xml:space="preserve"> sin </w:t>
      </w:r>
      <w:r w:rsidR="00F5367D">
        <w:rPr>
          <w:rFonts w:ascii="ITC Avant Garde" w:hAnsi="ITC Avant Garde"/>
          <w:color w:val="auto"/>
        </w:rPr>
        <w:t>injerencias indebidas</w:t>
      </w:r>
      <w:r w:rsidR="001F35D8">
        <w:rPr>
          <w:rFonts w:ascii="ITC Avant Garde" w:hAnsi="ITC Avant Garde"/>
          <w:color w:val="auto"/>
        </w:rPr>
        <w:t>.</w:t>
      </w:r>
    </w:p>
    <w:p w14:paraId="69C52D09" w14:textId="77777777" w:rsidR="00E96087" w:rsidRDefault="00E96087" w:rsidP="001209AD">
      <w:pPr>
        <w:spacing w:after="0" w:line="276" w:lineRule="auto"/>
        <w:ind w:right="49"/>
        <w:rPr>
          <w:rFonts w:ascii="ITC Avant Garde" w:hAnsi="ITC Avant Garde"/>
          <w:color w:val="auto"/>
        </w:rPr>
      </w:pPr>
    </w:p>
    <w:p w14:paraId="48048699" w14:textId="3585933A" w:rsidR="000862B8" w:rsidRDefault="000862B8" w:rsidP="001209AD">
      <w:pPr>
        <w:spacing w:after="0" w:line="276" w:lineRule="auto"/>
        <w:ind w:right="49"/>
        <w:rPr>
          <w:rFonts w:ascii="ITC Avant Garde" w:hAnsi="ITC Avant Garde"/>
          <w:color w:val="auto"/>
        </w:rPr>
      </w:pPr>
      <w:r>
        <w:rPr>
          <w:rFonts w:ascii="ITC Avant Garde" w:hAnsi="ITC Avant Garde"/>
          <w:color w:val="auto"/>
        </w:rPr>
        <w:t xml:space="preserve">De otra forma, </w:t>
      </w:r>
      <w:r w:rsidR="00297AD0">
        <w:rPr>
          <w:rFonts w:ascii="ITC Avant Garde" w:hAnsi="ITC Avant Garde"/>
          <w:color w:val="auto"/>
        </w:rPr>
        <w:t xml:space="preserve">el contacto con el usuario </w:t>
      </w:r>
      <w:r w:rsidR="005B4B85">
        <w:rPr>
          <w:rFonts w:ascii="ITC Avant Garde" w:hAnsi="ITC Avant Garde"/>
          <w:color w:val="auto"/>
        </w:rPr>
        <w:t xml:space="preserve">permitiendo la comercialización de servicios propios o de terceros </w:t>
      </w:r>
      <w:r w:rsidR="00297AD0">
        <w:rPr>
          <w:rFonts w:ascii="ITC Avant Garde" w:hAnsi="ITC Avant Garde"/>
          <w:color w:val="auto"/>
        </w:rPr>
        <w:t xml:space="preserve">podría dar lugar a prácticas </w:t>
      </w:r>
      <w:r w:rsidR="0074732C">
        <w:rPr>
          <w:rFonts w:ascii="ITC Avant Garde" w:hAnsi="ITC Avant Garde"/>
          <w:color w:val="auto"/>
        </w:rPr>
        <w:t>anticompetitivas</w:t>
      </w:r>
      <w:r w:rsidR="00365290">
        <w:rPr>
          <w:rFonts w:ascii="ITC Avant Garde" w:hAnsi="ITC Avant Garde"/>
          <w:color w:val="auto"/>
        </w:rPr>
        <w:t xml:space="preserve">. </w:t>
      </w:r>
      <w:r w:rsidR="0077717A" w:rsidRPr="0077717A">
        <w:rPr>
          <w:rFonts w:ascii="ITC Avant Garde" w:hAnsi="ITC Avant Garde"/>
          <w:color w:val="auto"/>
        </w:rPr>
        <w:t>Estas prácticas podrían traducirse en una explotación indebida de la situación de vulnerabilidad en la que se encuentran los usuarios tras el cese de operaciones del OMV, afectando su capacidad de elección</w:t>
      </w:r>
      <w:r w:rsidR="0077717A">
        <w:rPr>
          <w:rFonts w:ascii="ITC Avant Garde" w:hAnsi="ITC Avant Garde"/>
          <w:color w:val="auto"/>
        </w:rPr>
        <w:t xml:space="preserve">. </w:t>
      </w:r>
      <w:r w:rsidR="00365290" w:rsidRPr="00365290">
        <w:rPr>
          <w:rFonts w:ascii="ITC Avant Garde" w:hAnsi="ITC Avant Garde"/>
          <w:color w:val="auto"/>
        </w:rPr>
        <w:t>Además, este tipo de acciones podría derivar en una ventaja desleal para el Concesionario Mayorista frente a otros actores del mercado, al contar con acceso privilegiado a los usuarios en un momento crítico</w:t>
      </w:r>
      <w:r w:rsidR="00FA128D">
        <w:rPr>
          <w:rFonts w:ascii="ITC Avant Garde" w:hAnsi="ITC Avant Garde"/>
          <w:color w:val="auto"/>
        </w:rPr>
        <w:t xml:space="preserve"> en la que el usuario debe </w:t>
      </w:r>
      <w:r w:rsidR="005B3584">
        <w:rPr>
          <w:rFonts w:ascii="ITC Avant Garde" w:hAnsi="ITC Avant Garde"/>
          <w:color w:val="auto"/>
        </w:rPr>
        <w:t>realizar una elección de un nuevo proveedor de servicios</w:t>
      </w:r>
      <w:r w:rsidR="00365290" w:rsidRPr="00365290">
        <w:rPr>
          <w:rFonts w:ascii="ITC Avant Garde" w:hAnsi="ITC Avant Garde"/>
          <w:color w:val="auto"/>
        </w:rPr>
        <w:t>.</w:t>
      </w:r>
    </w:p>
    <w:p w14:paraId="67C8E49C" w14:textId="77777777" w:rsidR="00E005CA" w:rsidRDefault="00E005CA" w:rsidP="001209AD">
      <w:pPr>
        <w:spacing w:after="0" w:line="276" w:lineRule="auto"/>
        <w:ind w:right="49"/>
        <w:rPr>
          <w:rFonts w:ascii="ITC Avant Garde" w:hAnsi="ITC Avant Garde"/>
          <w:color w:val="auto"/>
        </w:rPr>
      </w:pPr>
    </w:p>
    <w:p w14:paraId="2E1596DE" w14:textId="0B66BD5C" w:rsidR="00E005CA" w:rsidRDefault="00E005CA" w:rsidP="001209AD">
      <w:pPr>
        <w:spacing w:after="0" w:line="276" w:lineRule="auto"/>
        <w:ind w:right="49"/>
        <w:rPr>
          <w:rFonts w:ascii="ITC Avant Garde" w:hAnsi="ITC Avant Garde"/>
          <w:color w:val="auto"/>
        </w:rPr>
      </w:pPr>
      <w:r w:rsidRPr="00E005CA">
        <w:rPr>
          <w:rFonts w:ascii="ITC Avant Garde" w:hAnsi="ITC Avant Garde"/>
          <w:color w:val="auto"/>
        </w:rPr>
        <w:t xml:space="preserve">En este </w:t>
      </w:r>
      <w:r>
        <w:rPr>
          <w:rFonts w:ascii="ITC Avant Garde" w:hAnsi="ITC Avant Garde"/>
          <w:color w:val="auto"/>
        </w:rPr>
        <w:t>sentido</w:t>
      </w:r>
      <w:r w:rsidRPr="00E005CA">
        <w:rPr>
          <w:rFonts w:ascii="ITC Avant Garde" w:hAnsi="ITC Avant Garde"/>
          <w:color w:val="auto"/>
        </w:rPr>
        <w:t xml:space="preserve">, la medida propuesta fomenta un entorno competitivo saludable, </w:t>
      </w:r>
      <w:r w:rsidR="009E2C65">
        <w:rPr>
          <w:rFonts w:ascii="ITC Avant Garde" w:hAnsi="ITC Avant Garde"/>
          <w:color w:val="auto"/>
        </w:rPr>
        <w:t>y permite e</w:t>
      </w:r>
      <w:r w:rsidRPr="00E005CA">
        <w:rPr>
          <w:rFonts w:ascii="ITC Avant Garde" w:hAnsi="ITC Avant Garde"/>
          <w:color w:val="auto"/>
        </w:rPr>
        <w:t xml:space="preserve">l ejercicio pleno de </w:t>
      </w:r>
      <w:r w:rsidR="009E2C65">
        <w:rPr>
          <w:rFonts w:ascii="ITC Avant Garde" w:hAnsi="ITC Avant Garde"/>
          <w:color w:val="auto"/>
        </w:rPr>
        <w:t>los</w:t>
      </w:r>
      <w:r w:rsidRPr="00E005CA">
        <w:rPr>
          <w:rFonts w:ascii="ITC Avant Garde" w:hAnsi="ITC Avant Garde"/>
          <w:color w:val="auto"/>
        </w:rPr>
        <w:t xml:space="preserve"> derechos </w:t>
      </w:r>
      <w:r w:rsidR="009E2C65">
        <w:rPr>
          <w:rFonts w:ascii="ITC Avant Garde" w:hAnsi="ITC Avant Garde"/>
          <w:color w:val="auto"/>
        </w:rPr>
        <w:t>de los usuarios</w:t>
      </w:r>
      <w:r w:rsidR="00BA60E4">
        <w:rPr>
          <w:rFonts w:ascii="ITC Avant Garde" w:hAnsi="ITC Avant Garde"/>
          <w:color w:val="auto"/>
        </w:rPr>
        <w:t xml:space="preserve"> como es el derecho a l</w:t>
      </w:r>
      <w:r w:rsidR="00581807">
        <w:rPr>
          <w:rFonts w:ascii="ITC Avant Garde" w:hAnsi="ITC Avant Garde"/>
          <w:color w:val="auto"/>
        </w:rPr>
        <w:t xml:space="preserve">a </w:t>
      </w:r>
      <w:r w:rsidRPr="00E005CA">
        <w:rPr>
          <w:rFonts w:ascii="ITC Avant Garde" w:hAnsi="ITC Avant Garde"/>
          <w:color w:val="auto"/>
        </w:rPr>
        <w:t>portabilidad en beneficio del mercado y de los usuarios</w:t>
      </w:r>
      <w:r w:rsidR="000C2B65">
        <w:rPr>
          <w:rFonts w:ascii="ITC Avant Garde" w:hAnsi="ITC Avant Garde"/>
          <w:color w:val="auto"/>
        </w:rPr>
        <w:t xml:space="preserve"> de servicios de telecomunicaciones</w:t>
      </w:r>
      <w:r w:rsidRPr="00E005CA">
        <w:rPr>
          <w:rFonts w:ascii="ITC Avant Garde" w:hAnsi="ITC Avant Garde"/>
          <w:color w:val="auto"/>
        </w:rPr>
        <w:t>.</w:t>
      </w:r>
    </w:p>
    <w:p w14:paraId="6BE31834" w14:textId="77777777" w:rsidR="009D795D" w:rsidRDefault="009D795D" w:rsidP="001209AD">
      <w:pPr>
        <w:spacing w:after="0" w:line="276" w:lineRule="auto"/>
        <w:ind w:right="49"/>
        <w:rPr>
          <w:rFonts w:ascii="ITC Avant Garde" w:hAnsi="ITC Avant Garde"/>
          <w:color w:val="auto"/>
        </w:rPr>
      </w:pPr>
    </w:p>
    <w:p w14:paraId="6F2FAE2A" w14:textId="1ADA6B58" w:rsidR="001209AD" w:rsidRDefault="001209AD" w:rsidP="001209AD">
      <w:pPr>
        <w:spacing w:after="0" w:line="276" w:lineRule="auto"/>
        <w:ind w:right="49"/>
        <w:rPr>
          <w:rFonts w:ascii="ITC Avant Garde" w:hAnsi="ITC Avant Garde"/>
          <w:color w:val="auto"/>
        </w:rPr>
      </w:pPr>
      <w:r>
        <w:rPr>
          <w:rFonts w:ascii="ITC Avant Garde" w:hAnsi="ITC Avant Garde"/>
          <w:color w:val="auto"/>
        </w:rPr>
        <w:t>Por lo anterior, no se considera adecuada la modificación solicitada.</w:t>
      </w:r>
    </w:p>
    <w:p w14:paraId="549F9128" w14:textId="77777777" w:rsidR="001209AD" w:rsidRDefault="001209AD" w:rsidP="001209AD">
      <w:pPr>
        <w:spacing w:after="0" w:line="276" w:lineRule="auto"/>
        <w:ind w:right="49"/>
        <w:rPr>
          <w:rFonts w:ascii="ITC Avant Garde" w:eastAsiaTheme="minorHAnsi" w:hAnsi="ITC Avant Garde" w:cs="ITC Avant Garde"/>
          <w:lang w:eastAsia="en-US"/>
        </w:rPr>
      </w:pPr>
    </w:p>
    <w:p w14:paraId="7E9146AB" w14:textId="5B5B4C52" w:rsidR="007123D3" w:rsidRPr="009C4398" w:rsidRDefault="007123D3" w:rsidP="007123D3">
      <w:pPr>
        <w:spacing w:after="0" w:line="276" w:lineRule="auto"/>
        <w:ind w:right="49"/>
        <w:rPr>
          <w:rFonts w:ascii="ITC Avant Garde" w:hAnsi="ITC Avant Garde"/>
          <w:b/>
          <w:bCs/>
          <w:color w:val="auto"/>
          <w:u w:val="single"/>
        </w:rPr>
      </w:pPr>
      <w:r w:rsidRPr="009C4398">
        <w:rPr>
          <w:rFonts w:ascii="ITC Avant Garde" w:hAnsi="ITC Avant Garde"/>
          <w:b/>
          <w:bCs/>
          <w:color w:val="auto"/>
          <w:u w:val="single"/>
        </w:rPr>
        <w:t xml:space="preserve">ARTÍCULO </w:t>
      </w:r>
      <w:r>
        <w:rPr>
          <w:rFonts w:ascii="ITC Avant Garde" w:hAnsi="ITC Avant Garde"/>
          <w:b/>
          <w:bCs/>
          <w:color w:val="auto"/>
          <w:u w:val="single"/>
        </w:rPr>
        <w:t>25</w:t>
      </w:r>
    </w:p>
    <w:p w14:paraId="26510B1A" w14:textId="77777777" w:rsidR="007123D3" w:rsidRDefault="007123D3" w:rsidP="007123D3">
      <w:pPr>
        <w:spacing w:after="0" w:line="276" w:lineRule="auto"/>
        <w:ind w:right="49"/>
        <w:rPr>
          <w:rFonts w:ascii="ITC Avant Garde" w:hAnsi="ITC Avant Garde"/>
          <w:color w:val="auto"/>
        </w:rPr>
      </w:pPr>
    </w:p>
    <w:p w14:paraId="0E23BD63" w14:textId="77777777" w:rsidR="007123D3" w:rsidRPr="009C4398" w:rsidRDefault="007123D3" w:rsidP="007123D3">
      <w:pPr>
        <w:spacing w:after="0" w:line="276" w:lineRule="auto"/>
        <w:ind w:right="49"/>
        <w:rPr>
          <w:rFonts w:ascii="ITC Avant Garde" w:hAnsi="ITC Avant Garde"/>
          <w:b/>
          <w:bCs/>
          <w:color w:val="auto"/>
        </w:rPr>
      </w:pPr>
      <w:r>
        <w:rPr>
          <w:rFonts w:ascii="ITC Avant Garde" w:hAnsi="ITC Avant Garde"/>
          <w:b/>
          <w:bCs/>
          <w:color w:val="auto"/>
        </w:rPr>
        <w:t>Oriónidas</w:t>
      </w:r>
    </w:p>
    <w:p w14:paraId="6883439A" w14:textId="77777777" w:rsidR="001D59D2" w:rsidRPr="001D59D2" w:rsidRDefault="001D59D2" w:rsidP="001D59D2">
      <w:pPr>
        <w:spacing w:after="0" w:line="276" w:lineRule="auto"/>
        <w:ind w:right="49"/>
        <w:rPr>
          <w:rFonts w:ascii="ITC Avant Garde" w:eastAsiaTheme="minorHAnsi" w:hAnsi="ITC Avant Garde" w:cs="ITC Avant Garde"/>
          <w:lang w:eastAsia="en-US"/>
        </w:rPr>
      </w:pPr>
      <w:r w:rsidRPr="001D59D2">
        <w:rPr>
          <w:rFonts w:ascii="ITC Avant Garde" w:eastAsiaTheme="minorHAnsi" w:hAnsi="ITC Avant Garde" w:cs="ITC Avant Garde"/>
          <w:lang w:eastAsia="en-US"/>
        </w:rPr>
        <w:t>Señala que debe decir:</w:t>
      </w:r>
    </w:p>
    <w:p w14:paraId="0EC54C6E" w14:textId="77777777" w:rsidR="001D59D2" w:rsidRPr="001D59D2" w:rsidRDefault="001D59D2" w:rsidP="001D59D2">
      <w:pPr>
        <w:spacing w:after="0" w:line="276" w:lineRule="auto"/>
        <w:ind w:right="49"/>
        <w:rPr>
          <w:rFonts w:ascii="ITC Avant Garde" w:eastAsiaTheme="minorHAnsi" w:hAnsi="ITC Avant Garde" w:cs="ITC Avant Garde"/>
          <w:lang w:eastAsia="en-US"/>
        </w:rPr>
      </w:pPr>
    </w:p>
    <w:p w14:paraId="5708E758" w14:textId="4BDCB21F" w:rsidR="00E825C1" w:rsidRDefault="001D59D2" w:rsidP="001D59D2">
      <w:pPr>
        <w:spacing w:after="0" w:line="276" w:lineRule="auto"/>
        <w:ind w:left="567" w:right="616"/>
        <w:rPr>
          <w:rFonts w:ascii="ITC Avant Garde" w:eastAsiaTheme="minorHAnsi" w:hAnsi="ITC Avant Garde" w:cs="ITC Avant Garde"/>
          <w:i/>
          <w:iCs/>
          <w:sz w:val="18"/>
          <w:szCs w:val="18"/>
          <w:lang w:eastAsia="en-US"/>
        </w:rPr>
      </w:pPr>
      <w:r w:rsidRPr="001D59D2">
        <w:rPr>
          <w:rFonts w:ascii="ITC Avant Garde" w:eastAsiaTheme="minorHAnsi" w:hAnsi="ITC Avant Garde" w:cs="ITC Avant Garde"/>
          <w:i/>
          <w:iCs/>
          <w:sz w:val="18"/>
          <w:szCs w:val="18"/>
          <w:lang w:eastAsia="en-US"/>
        </w:rPr>
        <w:t xml:space="preserve">"Artículo 25. En ningún caso, la continuidad de funcionalidades habilitará al Concesionario Mayorista Móvil a ofrecer servicios de telecomunicaciones a los usuarios finales del Operador Móvil Virtual o Concesionario </w:t>
      </w:r>
      <w:r w:rsidRPr="00986E9C">
        <w:rPr>
          <w:rFonts w:ascii="ITC Avant Garde" w:eastAsiaTheme="minorHAnsi" w:hAnsi="ITC Avant Garde" w:cs="ITC Avant Garde"/>
          <w:i/>
          <w:iCs/>
          <w:sz w:val="18"/>
          <w:szCs w:val="18"/>
          <w:u w:val="single"/>
          <w:lang w:eastAsia="en-US"/>
        </w:rPr>
        <w:t>sin el consentimiento expreso de éstos.;</w:t>
      </w:r>
      <w:r w:rsidRPr="001D59D2">
        <w:rPr>
          <w:rFonts w:ascii="ITC Avant Garde" w:eastAsiaTheme="minorHAnsi" w:hAnsi="ITC Avant Garde" w:cs="ITC Avant Garde"/>
          <w:i/>
          <w:iCs/>
          <w:sz w:val="18"/>
          <w:szCs w:val="18"/>
          <w:lang w:eastAsia="en-US"/>
        </w:rPr>
        <w:t xml:space="preserve"> </w:t>
      </w:r>
      <w:r w:rsidRPr="00986E9C">
        <w:rPr>
          <w:rFonts w:ascii="ITC Avant Garde" w:eastAsiaTheme="minorHAnsi" w:hAnsi="ITC Avant Garde" w:cs="ITC Avant Garde"/>
          <w:i/>
          <w:iCs/>
          <w:strike/>
          <w:sz w:val="18"/>
          <w:szCs w:val="18"/>
          <w:lang w:eastAsia="en-US"/>
        </w:rPr>
        <w:t xml:space="preserve">el mecanismo propuesto únicamente se limita al ejercicio de los derechos </w:t>
      </w:r>
      <w:r w:rsidRPr="00986E9C">
        <w:rPr>
          <w:rFonts w:ascii="ITC Avant Garde" w:eastAsiaTheme="minorHAnsi" w:hAnsi="ITC Avant Garde" w:cs="ITC Avant Garde"/>
          <w:i/>
          <w:iCs/>
          <w:strike/>
          <w:sz w:val="18"/>
          <w:szCs w:val="18"/>
          <w:lang w:eastAsia="en-US"/>
        </w:rPr>
        <w:lastRenderedPageBreak/>
        <w:t>mínimos de los usuarios y no a la comercialización de los servicios de telecomunicaciones.</w:t>
      </w:r>
      <w:r w:rsidRPr="001D59D2">
        <w:rPr>
          <w:rFonts w:ascii="ITC Avant Garde" w:eastAsiaTheme="minorHAnsi" w:hAnsi="ITC Avant Garde" w:cs="ITC Avant Garde"/>
          <w:i/>
          <w:iCs/>
          <w:sz w:val="18"/>
          <w:szCs w:val="18"/>
          <w:lang w:eastAsia="en-US"/>
        </w:rPr>
        <w:t>"</w:t>
      </w:r>
    </w:p>
    <w:p w14:paraId="03C17C33" w14:textId="77777777" w:rsidR="00986E9C" w:rsidRDefault="00986E9C" w:rsidP="00986E9C">
      <w:pPr>
        <w:spacing w:after="0" w:line="276" w:lineRule="auto"/>
        <w:ind w:left="567" w:right="616"/>
        <w:jc w:val="right"/>
        <w:rPr>
          <w:rFonts w:ascii="ITC Avant Garde" w:eastAsiaTheme="minorHAnsi" w:hAnsi="ITC Avant Garde" w:cs="ITC Avant Garde"/>
          <w:i/>
          <w:iCs/>
          <w:sz w:val="18"/>
          <w:szCs w:val="18"/>
          <w:lang w:eastAsia="en-US"/>
        </w:rPr>
      </w:pPr>
      <w:r>
        <w:rPr>
          <w:rFonts w:ascii="ITC Avant Garde" w:eastAsiaTheme="minorHAnsi" w:hAnsi="ITC Avant Garde" w:cs="ITC Avant Garde"/>
          <w:sz w:val="18"/>
          <w:szCs w:val="18"/>
          <w:lang w:eastAsia="en-US"/>
        </w:rPr>
        <w:t>Énfasis añadido</w:t>
      </w:r>
    </w:p>
    <w:p w14:paraId="6A3E008C" w14:textId="77777777" w:rsidR="007123D3" w:rsidRDefault="007123D3" w:rsidP="00E825C1">
      <w:pPr>
        <w:spacing w:after="0" w:line="276" w:lineRule="auto"/>
        <w:ind w:right="49"/>
        <w:rPr>
          <w:rFonts w:ascii="ITC Avant Garde" w:eastAsiaTheme="minorHAnsi" w:hAnsi="ITC Avant Garde" w:cs="ITC Avant Garde"/>
          <w:lang w:eastAsia="en-US"/>
        </w:rPr>
      </w:pPr>
    </w:p>
    <w:p w14:paraId="1C3ECEE4" w14:textId="77777777" w:rsidR="00E257E7" w:rsidRPr="003419F5" w:rsidRDefault="00E257E7" w:rsidP="00E257E7">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3093C5C4" w14:textId="77777777" w:rsidR="00E257E7" w:rsidRDefault="00E257E7" w:rsidP="00E257E7">
      <w:pPr>
        <w:spacing w:after="0" w:line="276" w:lineRule="auto"/>
        <w:ind w:right="49"/>
        <w:rPr>
          <w:rFonts w:ascii="ITC Avant Garde" w:hAnsi="ITC Avant Garde"/>
          <w:color w:val="auto"/>
        </w:rPr>
      </w:pPr>
    </w:p>
    <w:p w14:paraId="004E3A7A" w14:textId="6959E195" w:rsidR="00E257E7" w:rsidRDefault="00E257E7" w:rsidP="00E257E7">
      <w:pPr>
        <w:spacing w:after="0" w:line="276" w:lineRule="auto"/>
        <w:ind w:right="49"/>
        <w:rPr>
          <w:rFonts w:ascii="ITC Avant Garde" w:hAnsi="ITC Avant Garde"/>
          <w:color w:val="auto"/>
        </w:rPr>
      </w:pPr>
      <w:r>
        <w:rPr>
          <w:rFonts w:ascii="ITC Avant Garde" w:hAnsi="ITC Avant Garde"/>
          <w:color w:val="auto"/>
        </w:rPr>
        <w:t>El propósito principal de la Modificación de Lineamientos OMV no es que el Concesionario Mayorista Móvil sea quien dé continuidad a la prestación de los servicios de telecomunicaciones móviles a los usuarios de aquellos OMV que cesan de manera abrupta sus operaciones, sino que se busca ofrecer un mecanismo que, mediante el apoyo temporal de</w:t>
      </w:r>
      <w:r w:rsidR="00776292">
        <w:rPr>
          <w:rFonts w:ascii="ITC Avant Garde" w:hAnsi="ITC Avant Garde"/>
          <w:color w:val="auto"/>
        </w:rPr>
        <w:t xml:space="preserve"> funcionalidades y</w:t>
      </w:r>
      <w:r>
        <w:rPr>
          <w:rFonts w:ascii="ITC Avant Garde" w:hAnsi="ITC Avant Garde"/>
          <w:color w:val="auto"/>
        </w:rPr>
        <w:t xml:space="preserve"> los recursos de red del Concesionario Mayorista Móvil, dichos usuarios puedan ejercer su derecho a la portabilidad, eligiendo así algún otro proveedor de servicios de telecomunicaciones móviles de su preferencia. Por lo anterior, no se considera adecuada la modificación solicitada.</w:t>
      </w:r>
    </w:p>
    <w:p w14:paraId="520DE239" w14:textId="77777777" w:rsidR="00E257E7" w:rsidRDefault="00E257E7" w:rsidP="00E257E7">
      <w:pPr>
        <w:spacing w:after="0" w:line="276" w:lineRule="auto"/>
        <w:ind w:right="49"/>
        <w:rPr>
          <w:rFonts w:ascii="ITC Avant Garde" w:eastAsiaTheme="minorHAnsi" w:hAnsi="ITC Avant Garde" w:cs="ITC Avant Garde"/>
          <w:lang w:eastAsia="en-US"/>
        </w:rPr>
      </w:pPr>
    </w:p>
    <w:p w14:paraId="21661724" w14:textId="77777777" w:rsidR="00CF68A5" w:rsidRPr="009C4398" w:rsidRDefault="00CF68A5" w:rsidP="00CF68A5">
      <w:pPr>
        <w:spacing w:after="0" w:line="276" w:lineRule="auto"/>
        <w:ind w:right="49"/>
        <w:rPr>
          <w:rFonts w:ascii="ITC Avant Garde" w:hAnsi="ITC Avant Garde"/>
          <w:b/>
          <w:bCs/>
          <w:color w:val="auto"/>
        </w:rPr>
      </w:pPr>
      <w:r w:rsidRPr="00FA09A5">
        <w:rPr>
          <w:rFonts w:ascii="ITC Avant Garde" w:hAnsi="ITC Avant Garde"/>
          <w:b/>
          <w:bCs/>
          <w:color w:val="auto"/>
        </w:rPr>
        <w:t>Dirección de Atención al Usuario</w:t>
      </w:r>
    </w:p>
    <w:p w14:paraId="3A34FC40" w14:textId="7568F928" w:rsidR="00CF68A5" w:rsidRPr="00CF68A5" w:rsidRDefault="00CF68A5" w:rsidP="00CF68A5">
      <w:pPr>
        <w:spacing w:after="0" w:line="276" w:lineRule="auto"/>
        <w:ind w:right="49"/>
        <w:rPr>
          <w:rFonts w:ascii="ITC Avant Garde" w:eastAsiaTheme="minorHAnsi" w:hAnsi="ITC Avant Garde" w:cs="ITC Avant Garde"/>
          <w:lang w:eastAsia="en-US"/>
        </w:rPr>
      </w:pPr>
      <w:r w:rsidRPr="00CF68A5">
        <w:rPr>
          <w:rFonts w:ascii="ITC Avant Garde" w:eastAsiaTheme="minorHAnsi" w:hAnsi="ITC Avant Garde" w:cs="ITC Avant Garde"/>
          <w:lang w:eastAsia="en-US"/>
        </w:rPr>
        <w:t>Preguntan ¿cómo se atenderán los casos en que los usuarios finales sí deseen permanecer con el Concesionario Mayorista Móvil, después de las funcionalidades temporales (</w:t>
      </w:r>
      <w:r w:rsidR="00F05472" w:rsidRPr="00CF68A5">
        <w:rPr>
          <w:rFonts w:ascii="ITC Avant Garde" w:eastAsiaTheme="minorHAnsi" w:hAnsi="ITC Avant Garde" w:cs="ITC Avant Garde"/>
          <w:lang w:eastAsia="en-US"/>
        </w:rPr>
        <w:t>aun</w:t>
      </w:r>
      <w:r w:rsidRPr="00CF68A5">
        <w:rPr>
          <w:rFonts w:ascii="ITC Avant Garde" w:eastAsiaTheme="minorHAnsi" w:hAnsi="ITC Avant Garde" w:cs="ITC Avant Garde"/>
          <w:lang w:eastAsia="en-US"/>
        </w:rPr>
        <w:t xml:space="preserve"> cuando este no les haya ofrecido sus servicios)? Es decir, que los usuarios no deseen realizar portabilidad hacia otra compañía distinta al Concesionario Mayorista Móvil.</w:t>
      </w:r>
    </w:p>
    <w:p w14:paraId="1DBDFB85" w14:textId="77777777" w:rsidR="00CF68A5" w:rsidRPr="00CF68A5" w:rsidRDefault="00CF68A5" w:rsidP="00CF68A5">
      <w:pPr>
        <w:spacing w:after="0" w:line="276" w:lineRule="auto"/>
        <w:ind w:right="49"/>
        <w:rPr>
          <w:rFonts w:ascii="ITC Avant Garde" w:eastAsiaTheme="minorHAnsi" w:hAnsi="ITC Avant Garde" w:cs="ITC Avant Garde"/>
          <w:lang w:eastAsia="en-US"/>
        </w:rPr>
      </w:pPr>
    </w:p>
    <w:p w14:paraId="316E90F6" w14:textId="50FF10AE" w:rsidR="007123D3" w:rsidRDefault="00CF68A5" w:rsidP="00CF68A5">
      <w:pPr>
        <w:spacing w:after="0" w:line="276" w:lineRule="auto"/>
        <w:ind w:right="49"/>
        <w:rPr>
          <w:rFonts w:ascii="ITC Avant Garde" w:eastAsiaTheme="minorHAnsi" w:hAnsi="ITC Avant Garde" w:cs="ITC Avant Garde"/>
          <w:lang w:eastAsia="en-US"/>
        </w:rPr>
      </w:pPr>
      <w:r w:rsidRPr="00CF68A5">
        <w:rPr>
          <w:rFonts w:ascii="ITC Avant Garde" w:eastAsiaTheme="minorHAnsi" w:hAnsi="ITC Avant Garde" w:cs="ITC Avant Garde"/>
          <w:lang w:eastAsia="en-US"/>
        </w:rPr>
        <w:t>Señala que se debe recordar que el cambio de compañía puede implicar un gasto extra de la persona usuaria, como lo es la compra del chip y su activación</w:t>
      </w:r>
      <w:r w:rsidR="00B8458C">
        <w:rPr>
          <w:rFonts w:ascii="ITC Avant Garde" w:eastAsiaTheme="minorHAnsi" w:hAnsi="ITC Avant Garde" w:cs="ITC Avant Garde"/>
          <w:lang w:eastAsia="en-US"/>
        </w:rPr>
        <w:t>, a</w:t>
      </w:r>
      <w:r w:rsidRPr="00CF68A5">
        <w:rPr>
          <w:rFonts w:ascii="ITC Avant Garde" w:eastAsiaTheme="minorHAnsi" w:hAnsi="ITC Avant Garde" w:cs="ITC Avant Garde"/>
          <w:lang w:eastAsia="en-US"/>
        </w:rPr>
        <w:t>sí como el traslado a algún Centro de Atención.</w:t>
      </w:r>
    </w:p>
    <w:p w14:paraId="3BA4427D" w14:textId="77777777" w:rsidR="007123D3" w:rsidRDefault="007123D3" w:rsidP="00E825C1">
      <w:pPr>
        <w:spacing w:after="0" w:line="276" w:lineRule="auto"/>
        <w:ind w:right="49"/>
        <w:rPr>
          <w:rFonts w:ascii="ITC Avant Garde" w:eastAsiaTheme="minorHAnsi" w:hAnsi="ITC Avant Garde" w:cs="ITC Avant Garde"/>
          <w:lang w:eastAsia="en-US"/>
        </w:rPr>
      </w:pPr>
    </w:p>
    <w:p w14:paraId="65455ED8" w14:textId="77777777" w:rsidR="006B7D1C" w:rsidRPr="003419F5" w:rsidRDefault="006B7D1C" w:rsidP="006B7D1C">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315471DE" w14:textId="77777777" w:rsidR="006B7D1C" w:rsidRDefault="006B7D1C" w:rsidP="006B7D1C">
      <w:pPr>
        <w:spacing w:after="0" w:line="276" w:lineRule="auto"/>
        <w:ind w:right="49"/>
        <w:rPr>
          <w:rFonts w:ascii="ITC Avant Garde" w:hAnsi="ITC Avant Garde"/>
          <w:color w:val="auto"/>
        </w:rPr>
      </w:pPr>
    </w:p>
    <w:p w14:paraId="60DCF909" w14:textId="58876BEC" w:rsidR="006B7D1C" w:rsidRDefault="006B7D1C" w:rsidP="006B7D1C">
      <w:pPr>
        <w:spacing w:after="0" w:line="276" w:lineRule="auto"/>
        <w:ind w:right="49"/>
        <w:rPr>
          <w:rFonts w:ascii="ITC Avant Garde" w:eastAsiaTheme="minorHAnsi" w:hAnsi="ITC Avant Garde" w:cs="ITC Avant Garde"/>
          <w:lang w:eastAsia="en-US"/>
        </w:rPr>
      </w:pPr>
      <w:r>
        <w:rPr>
          <w:rFonts w:ascii="ITC Avant Garde" w:hAnsi="ITC Avant Garde"/>
          <w:color w:val="auto"/>
        </w:rPr>
        <w:t xml:space="preserve">En caso de que el usuario decida </w:t>
      </w:r>
      <w:r w:rsidR="0058678E">
        <w:rPr>
          <w:rFonts w:ascii="ITC Avant Garde" w:hAnsi="ITC Avant Garde"/>
          <w:color w:val="auto"/>
        </w:rPr>
        <w:t xml:space="preserve">permanecer en la red del Concesionario Mayorista Móvil, es decir, que sea este </w:t>
      </w:r>
      <w:r w:rsidR="00CE4BA4">
        <w:rPr>
          <w:rFonts w:ascii="ITC Avant Garde" w:hAnsi="ITC Avant Garde"/>
          <w:color w:val="auto"/>
        </w:rPr>
        <w:t>último</w:t>
      </w:r>
      <w:r w:rsidR="0058678E">
        <w:rPr>
          <w:rFonts w:ascii="ITC Avant Garde" w:hAnsi="ITC Avant Garde"/>
          <w:color w:val="auto"/>
        </w:rPr>
        <w:t xml:space="preserve"> quien le provea servicios de telecomunicaciones móviles</w:t>
      </w:r>
      <w:r w:rsidR="00CE4BA4">
        <w:rPr>
          <w:rFonts w:ascii="ITC Avant Garde" w:hAnsi="ITC Avant Garde"/>
          <w:color w:val="auto"/>
        </w:rPr>
        <w:t xml:space="preserve"> en caso de que su </w:t>
      </w:r>
      <w:r w:rsidR="000E5619">
        <w:rPr>
          <w:rFonts w:ascii="ITC Avant Garde" w:hAnsi="ITC Avant Garde"/>
          <w:color w:val="auto"/>
        </w:rPr>
        <w:t>título</w:t>
      </w:r>
      <w:r w:rsidR="00CE4BA4">
        <w:rPr>
          <w:rFonts w:ascii="ITC Avant Garde" w:hAnsi="ITC Avant Garde"/>
          <w:color w:val="auto"/>
        </w:rPr>
        <w:t xml:space="preserve"> de concesión se lo permita, el usuario deberá realizar </w:t>
      </w:r>
      <w:r w:rsidR="00412B09">
        <w:rPr>
          <w:rFonts w:ascii="ITC Avant Garde" w:hAnsi="ITC Avant Garde"/>
          <w:color w:val="auto"/>
        </w:rPr>
        <w:t xml:space="preserve">los </w:t>
      </w:r>
      <w:r w:rsidR="00F47849">
        <w:rPr>
          <w:rFonts w:ascii="ITC Avant Garde" w:hAnsi="ITC Avant Garde"/>
          <w:color w:val="auto"/>
        </w:rPr>
        <w:t>trámites</w:t>
      </w:r>
      <w:r w:rsidR="00412B09">
        <w:rPr>
          <w:rFonts w:ascii="ITC Avant Garde" w:hAnsi="ITC Avant Garde"/>
          <w:color w:val="auto"/>
        </w:rPr>
        <w:t xml:space="preserve"> necesarios para la portabilidad a la red del Concesionario Mayorista Móvil, </w:t>
      </w:r>
      <w:r w:rsidR="00BF38DB">
        <w:rPr>
          <w:rFonts w:ascii="ITC Avant Garde" w:hAnsi="ITC Avant Garde"/>
          <w:color w:val="auto"/>
        </w:rPr>
        <w:t>lo que será considerado como un tr</w:t>
      </w:r>
      <w:r w:rsidR="000A5784">
        <w:rPr>
          <w:rFonts w:ascii="ITC Avant Garde" w:hAnsi="ITC Avant Garde"/>
          <w:color w:val="auto"/>
        </w:rPr>
        <w:t>á</w:t>
      </w:r>
      <w:r w:rsidR="00BF38DB">
        <w:rPr>
          <w:rFonts w:ascii="ITC Avant Garde" w:hAnsi="ITC Avant Garde"/>
          <w:color w:val="auto"/>
        </w:rPr>
        <w:t xml:space="preserve">mite independiente de las </w:t>
      </w:r>
      <w:r w:rsidR="00F40A95">
        <w:rPr>
          <w:rFonts w:ascii="ITC Avant Garde" w:hAnsi="ITC Avant Garde"/>
          <w:color w:val="auto"/>
        </w:rPr>
        <w:t xml:space="preserve">acciones que el Concesionario Mayorista Móvil lleva a cabo durante el tiempo establecido </w:t>
      </w:r>
      <w:r w:rsidR="0049324F">
        <w:rPr>
          <w:rFonts w:ascii="ITC Avant Garde" w:hAnsi="ITC Avant Garde"/>
          <w:color w:val="auto"/>
        </w:rPr>
        <w:t>para brindar las funcionalidades establecidas en los artículos que se pretenden adicionar con la</w:t>
      </w:r>
      <w:r w:rsidR="001124ED">
        <w:rPr>
          <w:rFonts w:ascii="ITC Avant Garde" w:hAnsi="ITC Avant Garde"/>
          <w:color w:val="auto"/>
        </w:rPr>
        <w:t xml:space="preserve"> Modificación de Lineamientos OMV. </w:t>
      </w:r>
      <w:r w:rsidR="00412B09">
        <w:rPr>
          <w:rFonts w:ascii="ITC Avant Garde" w:hAnsi="ITC Avant Garde"/>
          <w:color w:val="auto"/>
        </w:rPr>
        <w:t xml:space="preserve"> </w:t>
      </w:r>
    </w:p>
    <w:p w14:paraId="23E63BD6" w14:textId="77777777" w:rsidR="006B7D1C" w:rsidRDefault="006B7D1C" w:rsidP="00E825C1">
      <w:pPr>
        <w:spacing w:after="0" w:line="276" w:lineRule="auto"/>
        <w:ind w:right="49"/>
        <w:rPr>
          <w:rFonts w:ascii="ITC Avant Garde" w:eastAsiaTheme="minorHAnsi" w:hAnsi="ITC Avant Garde" w:cs="ITC Avant Garde"/>
          <w:lang w:eastAsia="en-US"/>
        </w:rPr>
      </w:pPr>
    </w:p>
    <w:p w14:paraId="7F76B676" w14:textId="5374757E" w:rsidR="008E3893" w:rsidRPr="009C4398" w:rsidRDefault="008E3893" w:rsidP="008E3893">
      <w:pPr>
        <w:spacing w:after="0" w:line="276" w:lineRule="auto"/>
        <w:ind w:right="49"/>
        <w:rPr>
          <w:rFonts w:ascii="ITC Avant Garde" w:hAnsi="ITC Avant Garde"/>
          <w:b/>
          <w:bCs/>
          <w:color w:val="auto"/>
          <w:u w:val="single"/>
        </w:rPr>
      </w:pPr>
      <w:r>
        <w:rPr>
          <w:rFonts w:ascii="ITC Avant Garde" w:hAnsi="ITC Avant Garde"/>
          <w:b/>
          <w:bCs/>
          <w:color w:val="auto"/>
          <w:u w:val="single"/>
        </w:rPr>
        <w:t>Comentarios Generales</w:t>
      </w:r>
    </w:p>
    <w:p w14:paraId="0842D757" w14:textId="77777777" w:rsidR="008E3893" w:rsidRDefault="008E3893" w:rsidP="008E3893">
      <w:pPr>
        <w:spacing w:after="0" w:line="276" w:lineRule="auto"/>
        <w:ind w:right="49"/>
        <w:rPr>
          <w:rFonts w:ascii="ITC Avant Garde" w:hAnsi="ITC Avant Garde"/>
          <w:color w:val="auto"/>
        </w:rPr>
      </w:pPr>
    </w:p>
    <w:p w14:paraId="074BCB7F" w14:textId="5620C147" w:rsidR="008E3893" w:rsidRPr="009C4398" w:rsidRDefault="00524C8D" w:rsidP="008E3893">
      <w:pPr>
        <w:spacing w:after="0" w:line="276" w:lineRule="auto"/>
        <w:ind w:right="49"/>
        <w:rPr>
          <w:rFonts w:ascii="ITC Avant Garde" w:hAnsi="ITC Avant Garde"/>
          <w:b/>
          <w:bCs/>
          <w:color w:val="auto"/>
        </w:rPr>
      </w:pPr>
      <w:r>
        <w:rPr>
          <w:rFonts w:ascii="ITC Avant Garde" w:hAnsi="ITC Avant Garde"/>
          <w:b/>
          <w:bCs/>
          <w:color w:val="auto"/>
        </w:rPr>
        <w:t>Telcel</w:t>
      </w:r>
    </w:p>
    <w:p w14:paraId="7CC6D743" w14:textId="1C3508D0" w:rsidR="007123D3" w:rsidRDefault="00524C8D" w:rsidP="008E3893">
      <w:pPr>
        <w:spacing w:after="0" w:line="276" w:lineRule="auto"/>
        <w:ind w:right="49"/>
        <w:rPr>
          <w:rFonts w:ascii="ITC Avant Garde" w:eastAsiaTheme="minorHAnsi" w:hAnsi="ITC Avant Garde" w:cs="ITC Avant Garde"/>
          <w:lang w:eastAsia="en-US"/>
        </w:rPr>
      </w:pPr>
      <w:r w:rsidRPr="00524C8D">
        <w:rPr>
          <w:rFonts w:ascii="ITC Avant Garde" w:eastAsiaTheme="minorHAnsi" w:hAnsi="ITC Avant Garde" w:cs="ITC Avant Garde"/>
          <w:lang w:eastAsia="en-US"/>
        </w:rPr>
        <w:lastRenderedPageBreak/>
        <w:t>Las obligaciones propuestas en los artículos 8 y 18 exceden de las que la ley y la regulación vigentes imponen a los Concesionarios Mayoristas Móviles y no sólo constituyen cargas en perjuicio de estos, sino que además se traducen en incentivos para que los OM</w:t>
      </w:r>
      <w:r w:rsidR="003866DB">
        <w:rPr>
          <w:rFonts w:ascii="ITC Avant Garde" w:eastAsiaTheme="minorHAnsi" w:hAnsi="ITC Avant Garde" w:cs="ITC Avant Garde"/>
          <w:lang w:eastAsia="en-US"/>
        </w:rPr>
        <w:t>V</w:t>
      </w:r>
      <w:r w:rsidRPr="00524C8D">
        <w:rPr>
          <w:rFonts w:ascii="ITC Avant Garde" w:eastAsiaTheme="minorHAnsi" w:hAnsi="ITC Avant Garde" w:cs="ITC Avant Garde"/>
          <w:lang w:eastAsia="en-US"/>
        </w:rPr>
        <w:t xml:space="preserve"> incumplan deliberadamente con las obligaciones a su cargo.</w:t>
      </w:r>
    </w:p>
    <w:p w14:paraId="0C884F3A" w14:textId="77777777" w:rsidR="007123D3" w:rsidRDefault="007123D3" w:rsidP="00E825C1">
      <w:pPr>
        <w:spacing w:after="0" w:line="276" w:lineRule="auto"/>
        <w:ind w:right="49"/>
        <w:rPr>
          <w:rFonts w:ascii="ITC Avant Garde" w:eastAsiaTheme="minorHAnsi" w:hAnsi="ITC Avant Garde" w:cs="ITC Avant Garde"/>
          <w:lang w:eastAsia="en-US"/>
        </w:rPr>
      </w:pPr>
    </w:p>
    <w:p w14:paraId="4AD81954" w14:textId="77777777" w:rsidR="00C4427B" w:rsidRPr="003419F5" w:rsidRDefault="00C4427B" w:rsidP="00C4427B">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5F509936" w14:textId="77777777" w:rsidR="00C4427B" w:rsidRDefault="00C4427B" w:rsidP="00C4427B">
      <w:pPr>
        <w:spacing w:after="0" w:line="276" w:lineRule="auto"/>
        <w:ind w:right="49"/>
        <w:rPr>
          <w:rFonts w:ascii="ITC Avant Garde" w:hAnsi="ITC Avant Garde"/>
          <w:color w:val="auto"/>
        </w:rPr>
      </w:pPr>
    </w:p>
    <w:p w14:paraId="41071375" w14:textId="624CFCF7" w:rsidR="00C4427B" w:rsidRDefault="00654B7D" w:rsidP="00701C7B">
      <w:pPr>
        <w:spacing w:after="0" w:line="276" w:lineRule="auto"/>
        <w:ind w:right="49"/>
        <w:rPr>
          <w:rFonts w:ascii="ITC Avant Garde" w:hAnsi="ITC Avant Garde"/>
          <w:color w:val="auto"/>
        </w:rPr>
      </w:pPr>
      <w:r>
        <w:rPr>
          <w:rFonts w:ascii="ITC Avant Garde" w:hAnsi="ITC Avant Garde"/>
          <w:color w:val="auto"/>
        </w:rPr>
        <w:t xml:space="preserve">Las modificaciones </w:t>
      </w:r>
      <w:r w:rsidR="00D31753">
        <w:rPr>
          <w:rFonts w:ascii="ITC Avant Garde" w:hAnsi="ITC Avant Garde"/>
          <w:color w:val="auto"/>
        </w:rPr>
        <w:t>a los artículos</w:t>
      </w:r>
      <w:r>
        <w:rPr>
          <w:rFonts w:ascii="ITC Avant Garde" w:hAnsi="ITC Avant Garde"/>
          <w:color w:val="auto"/>
        </w:rPr>
        <w:t xml:space="preserve"> 8 y 18 buscan </w:t>
      </w:r>
      <w:r w:rsidR="002135C8">
        <w:rPr>
          <w:rFonts w:ascii="ITC Avant Garde" w:hAnsi="ITC Avant Garde"/>
          <w:color w:val="auto"/>
        </w:rPr>
        <w:t>ofrecer un mecanismo que, mediante el apoyo temporal de los recursos de red del Concesionario Mayorista Móvil, dichos usuarios puedan ejercer su derecho a la portabilidad, eligiendo así algún otro proveedor de servicios de telecomunicaciones móviles de su preferencia.</w:t>
      </w:r>
      <w:r w:rsidR="00031A86">
        <w:rPr>
          <w:rFonts w:ascii="ITC Avant Garde" w:hAnsi="ITC Avant Garde"/>
          <w:color w:val="auto"/>
        </w:rPr>
        <w:t xml:space="preserve"> Dicho mecanismo se considera adicional a la</w:t>
      </w:r>
      <w:r w:rsidR="00A26A02">
        <w:rPr>
          <w:rFonts w:ascii="ITC Avant Garde" w:hAnsi="ITC Avant Garde"/>
          <w:color w:val="auto"/>
        </w:rPr>
        <w:t xml:space="preserve"> obligación que tienen los OMV de dar aviso a los usuarios finales, con al menos 30 días de anticipación, en caso del cese de prestación de los servicios</w:t>
      </w:r>
      <w:r w:rsidR="003D60C4">
        <w:rPr>
          <w:rFonts w:ascii="ITC Avant Garde" w:hAnsi="ITC Avant Garde"/>
          <w:color w:val="auto"/>
        </w:rPr>
        <w:t>.</w:t>
      </w:r>
      <w:r w:rsidR="00FE5B3A">
        <w:rPr>
          <w:rFonts w:ascii="ITC Avant Garde" w:hAnsi="ITC Avant Garde"/>
          <w:color w:val="auto"/>
        </w:rPr>
        <w:t xml:space="preserve"> Dichas modificaciones </w:t>
      </w:r>
      <w:r w:rsidR="000C4298">
        <w:rPr>
          <w:rFonts w:ascii="ITC Avant Garde" w:hAnsi="ITC Avant Garde"/>
          <w:color w:val="auto"/>
        </w:rPr>
        <w:t xml:space="preserve">constituyen un beneficio para los </w:t>
      </w:r>
      <w:r w:rsidR="00D77FE0">
        <w:rPr>
          <w:rFonts w:ascii="ITC Avant Garde" w:hAnsi="ITC Avant Garde"/>
          <w:color w:val="auto"/>
        </w:rPr>
        <w:t xml:space="preserve">usuarios finales, </w:t>
      </w:r>
      <w:r w:rsidR="00632CE1">
        <w:rPr>
          <w:rFonts w:ascii="ITC Avant Garde" w:hAnsi="ITC Avant Garde"/>
          <w:color w:val="auto"/>
        </w:rPr>
        <w:t xml:space="preserve">garantizando el derecho de acceso a las tecnologías de la información y comunicación, así como a los servicios de telecomunicaciones, </w:t>
      </w:r>
      <w:r w:rsidR="00EA2178">
        <w:rPr>
          <w:rFonts w:ascii="ITC Avant Garde" w:hAnsi="ITC Avant Garde"/>
          <w:color w:val="auto"/>
        </w:rPr>
        <w:t xml:space="preserve">como </w:t>
      </w:r>
      <w:r w:rsidR="00C54017">
        <w:rPr>
          <w:rFonts w:ascii="ITC Avant Garde" w:hAnsi="ITC Avant Garde"/>
          <w:color w:val="auto"/>
        </w:rPr>
        <w:t xml:space="preserve">se prevé en </w:t>
      </w:r>
      <w:r w:rsidR="00DB200B">
        <w:rPr>
          <w:rFonts w:ascii="ITC Avant Garde" w:hAnsi="ITC Avant Garde"/>
          <w:color w:val="auto"/>
        </w:rPr>
        <w:t xml:space="preserve">el artículo </w:t>
      </w:r>
      <w:r w:rsidR="00C54017">
        <w:rPr>
          <w:rFonts w:ascii="ITC Avant Garde" w:hAnsi="ITC Avant Garde"/>
          <w:color w:val="auto"/>
        </w:rPr>
        <w:t>6</w:t>
      </w:r>
      <w:r w:rsidR="00DB200B">
        <w:rPr>
          <w:rFonts w:ascii="ITC Avant Garde" w:hAnsi="ITC Avant Garde"/>
          <w:color w:val="auto"/>
        </w:rPr>
        <w:t xml:space="preserve"> </w:t>
      </w:r>
      <w:r w:rsidR="00C54017">
        <w:rPr>
          <w:rFonts w:ascii="ITC Avant Garde" w:hAnsi="ITC Avant Garde"/>
          <w:color w:val="auto"/>
        </w:rPr>
        <w:t xml:space="preserve">de la </w:t>
      </w:r>
      <w:r w:rsidR="00701C7B" w:rsidRPr="00701C7B">
        <w:rPr>
          <w:rFonts w:ascii="ITC Avant Garde" w:hAnsi="ITC Avant Garde"/>
          <w:color w:val="auto"/>
        </w:rPr>
        <w:t>Constitución</w:t>
      </w:r>
      <w:r w:rsidR="00701C7B">
        <w:rPr>
          <w:rFonts w:ascii="ITC Avant Garde" w:hAnsi="ITC Avant Garde"/>
          <w:color w:val="auto"/>
        </w:rPr>
        <w:t xml:space="preserve"> </w:t>
      </w:r>
      <w:r w:rsidR="00701C7B" w:rsidRPr="00701C7B">
        <w:rPr>
          <w:rFonts w:ascii="ITC Avant Garde" w:hAnsi="ITC Avant Garde"/>
          <w:color w:val="auto"/>
        </w:rPr>
        <w:t>Política de los Estados Unidos Mexicanos (en lo sucesivo, la “Constitución”)</w:t>
      </w:r>
      <w:r w:rsidR="00701C7B">
        <w:rPr>
          <w:rFonts w:ascii="ITC Avant Garde" w:hAnsi="ITC Avant Garde"/>
          <w:color w:val="auto"/>
        </w:rPr>
        <w:t>.</w:t>
      </w:r>
    </w:p>
    <w:p w14:paraId="6E9ECAB0" w14:textId="77777777" w:rsidR="00C4427B" w:rsidRDefault="00C4427B" w:rsidP="00C4427B">
      <w:pPr>
        <w:spacing w:after="0" w:line="276" w:lineRule="auto"/>
        <w:ind w:right="49"/>
        <w:rPr>
          <w:rFonts w:ascii="ITC Avant Garde" w:eastAsiaTheme="minorHAnsi" w:hAnsi="ITC Avant Garde" w:cs="ITC Avant Garde"/>
          <w:lang w:eastAsia="en-US"/>
        </w:rPr>
      </w:pPr>
    </w:p>
    <w:p w14:paraId="2001EC8F" w14:textId="77777777" w:rsidR="00524C8D" w:rsidRPr="009C4398" w:rsidRDefault="00524C8D" w:rsidP="00524C8D">
      <w:pPr>
        <w:spacing w:after="0" w:line="276" w:lineRule="auto"/>
        <w:ind w:right="49"/>
        <w:rPr>
          <w:rFonts w:ascii="ITC Avant Garde" w:hAnsi="ITC Avant Garde"/>
          <w:b/>
          <w:bCs/>
          <w:color w:val="auto"/>
        </w:rPr>
      </w:pPr>
      <w:r>
        <w:rPr>
          <w:rFonts w:ascii="ITC Avant Garde" w:hAnsi="ITC Avant Garde"/>
          <w:b/>
          <w:bCs/>
          <w:color w:val="auto"/>
        </w:rPr>
        <w:t>Telcel</w:t>
      </w:r>
    </w:p>
    <w:p w14:paraId="27E1984D" w14:textId="77777777" w:rsidR="00BD064E" w:rsidRPr="00BD064E" w:rsidRDefault="00BD064E" w:rsidP="00BD064E">
      <w:pPr>
        <w:spacing w:after="0" w:line="276" w:lineRule="auto"/>
        <w:ind w:right="49"/>
        <w:rPr>
          <w:rFonts w:ascii="ITC Avant Garde" w:eastAsiaTheme="minorHAnsi" w:hAnsi="ITC Avant Garde" w:cs="ITC Avant Garde"/>
          <w:lang w:eastAsia="en-US"/>
        </w:rPr>
      </w:pPr>
      <w:r w:rsidRPr="00BD064E">
        <w:rPr>
          <w:rFonts w:ascii="ITC Avant Garde" w:eastAsiaTheme="minorHAnsi" w:hAnsi="ITC Avant Garde" w:cs="ITC Avant Garde"/>
          <w:lang w:eastAsia="en-US"/>
        </w:rPr>
        <w:t>Señala que los OMV que suspendan en definitiva la prestación de sus servicios, por cualquier causa, deben ser los únicos responsables frente a sus usuarios finales, lo que incluye la obligación de notificarles oportunamente sobre el cese de sus operaciones comerciales, a fin de que dichos usuarios se encuentren en posibilidad de elegir con suficiente tiempo al proveedor de servicios de su elección.</w:t>
      </w:r>
    </w:p>
    <w:p w14:paraId="149C8004" w14:textId="77777777" w:rsidR="00BD064E" w:rsidRPr="00BD064E" w:rsidRDefault="00BD064E" w:rsidP="00BD064E">
      <w:pPr>
        <w:spacing w:after="0" w:line="276" w:lineRule="auto"/>
        <w:ind w:right="49"/>
        <w:rPr>
          <w:rFonts w:ascii="ITC Avant Garde" w:eastAsiaTheme="minorHAnsi" w:hAnsi="ITC Avant Garde" w:cs="ITC Avant Garde"/>
          <w:lang w:eastAsia="en-US"/>
        </w:rPr>
      </w:pPr>
    </w:p>
    <w:p w14:paraId="52E7DC37" w14:textId="04568B04" w:rsidR="00BD064E" w:rsidRPr="00BD064E" w:rsidRDefault="00BD064E" w:rsidP="00BD064E">
      <w:pPr>
        <w:spacing w:after="0" w:line="276" w:lineRule="auto"/>
        <w:ind w:right="49"/>
        <w:rPr>
          <w:rFonts w:ascii="ITC Avant Garde" w:eastAsiaTheme="minorHAnsi" w:hAnsi="ITC Avant Garde" w:cs="ITC Avant Garde"/>
          <w:lang w:eastAsia="en-US"/>
        </w:rPr>
      </w:pPr>
      <w:r w:rsidRPr="00BD064E">
        <w:rPr>
          <w:rFonts w:ascii="ITC Avant Garde" w:eastAsiaTheme="minorHAnsi" w:hAnsi="ITC Avant Garde" w:cs="ITC Avant Garde"/>
          <w:lang w:eastAsia="en-US"/>
        </w:rPr>
        <w:t>Destaca que el artículo 13 de los Lineamientos determinó que los OMV deberán permitir la portabilidad de lo</w:t>
      </w:r>
      <w:r w:rsidR="00923232">
        <w:rPr>
          <w:rFonts w:ascii="ITC Avant Garde" w:eastAsiaTheme="minorHAnsi" w:hAnsi="ITC Avant Garde" w:cs="ITC Avant Garde"/>
          <w:lang w:eastAsia="en-US"/>
        </w:rPr>
        <w:t>s</w:t>
      </w:r>
      <w:r w:rsidRPr="00BD064E">
        <w:rPr>
          <w:rFonts w:ascii="ITC Avant Garde" w:eastAsiaTheme="minorHAnsi" w:hAnsi="ITC Avant Garde" w:cs="ITC Avant Garde"/>
          <w:lang w:eastAsia="en-US"/>
        </w:rPr>
        <w:t xml:space="preserve"> usuarios finales, ser responsables ante el usuario final por la prestación de los servicios ofertados y cumplir con las obligaciones en materia de los derechos de los usuarios y sus mecanismos de protección establecidos en la Ley, y dar aviso al usuario final con al menos 30 días de anticipación en caso del cese de prestación de los servicios.</w:t>
      </w:r>
    </w:p>
    <w:p w14:paraId="23F7FDC1" w14:textId="77777777" w:rsidR="00BD064E" w:rsidRPr="00BD064E" w:rsidRDefault="00BD064E" w:rsidP="00BD064E">
      <w:pPr>
        <w:spacing w:after="0" w:line="276" w:lineRule="auto"/>
        <w:ind w:right="49"/>
        <w:rPr>
          <w:rFonts w:ascii="ITC Avant Garde" w:eastAsiaTheme="minorHAnsi" w:hAnsi="ITC Avant Garde" w:cs="ITC Avant Garde"/>
          <w:lang w:eastAsia="en-US"/>
        </w:rPr>
      </w:pPr>
    </w:p>
    <w:p w14:paraId="7BCE8B6F" w14:textId="75223C17" w:rsidR="00BD064E" w:rsidRPr="00BD064E" w:rsidRDefault="00BD064E" w:rsidP="00BD064E">
      <w:pPr>
        <w:spacing w:after="0" w:line="276" w:lineRule="auto"/>
        <w:ind w:right="49"/>
        <w:rPr>
          <w:rFonts w:ascii="ITC Avant Garde" w:eastAsiaTheme="minorHAnsi" w:hAnsi="ITC Avant Garde" w:cs="ITC Avant Garde"/>
          <w:lang w:eastAsia="en-US"/>
        </w:rPr>
      </w:pPr>
      <w:r w:rsidRPr="00BD064E">
        <w:rPr>
          <w:rFonts w:ascii="ITC Avant Garde" w:eastAsiaTheme="minorHAnsi" w:hAnsi="ITC Avant Garde" w:cs="ITC Avant Garde"/>
          <w:lang w:eastAsia="en-US"/>
        </w:rPr>
        <w:t>Por lo anterior, indica que son los OMV los únicos responsables ante sus respectivos usuarios finales de la debida prestación de los servicios ofertados, lo que incluye permitirles la portabilidad en los términos de las Reglas de Portabilidad</w:t>
      </w:r>
      <w:r w:rsidR="008B540D">
        <w:rPr>
          <w:rFonts w:ascii="ITC Avant Garde" w:eastAsiaTheme="minorHAnsi" w:hAnsi="ITC Avant Garde" w:cs="ITC Avant Garde"/>
          <w:lang w:eastAsia="en-US"/>
        </w:rPr>
        <w:t xml:space="preserve"> Numérica</w:t>
      </w:r>
      <w:r w:rsidRPr="00BD064E">
        <w:rPr>
          <w:rFonts w:ascii="ITC Avant Garde" w:eastAsiaTheme="minorHAnsi" w:hAnsi="ITC Avant Garde" w:cs="ITC Avant Garde"/>
          <w:lang w:eastAsia="en-US"/>
        </w:rPr>
        <w:t xml:space="preserve"> y, notificarles con cuando menos 30 días de anticipación en caso del cese de prestación de los servicios contratados por estos.</w:t>
      </w:r>
    </w:p>
    <w:p w14:paraId="3DC8159D" w14:textId="77777777" w:rsidR="00BD064E" w:rsidRPr="00BD064E" w:rsidRDefault="00BD064E" w:rsidP="00BD064E">
      <w:pPr>
        <w:spacing w:after="0" w:line="276" w:lineRule="auto"/>
        <w:ind w:right="49"/>
        <w:rPr>
          <w:rFonts w:ascii="ITC Avant Garde" w:eastAsiaTheme="minorHAnsi" w:hAnsi="ITC Avant Garde" w:cs="ITC Avant Garde"/>
          <w:lang w:eastAsia="en-US"/>
        </w:rPr>
      </w:pPr>
    </w:p>
    <w:p w14:paraId="4F268AFF" w14:textId="2B47A465" w:rsidR="00BD064E" w:rsidRPr="00BD064E" w:rsidRDefault="00BD064E" w:rsidP="00BD064E">
      <w:pPr>
        <w:spacing w:after="0" w:line="276" w:lineRule="auto"/>
        <w:ind w:right="49"/>
        <w:rPr>
          <w:rFonts w:ascii="ITC Avant Garde" w:eastAsiaTheme="minorHAnsi" w:hAnsi="ITC Avant Garde" w:cs="ITC Avant Garde"/>
          <w:lang w:eastAsia="en-US"/>
        </w:rPr>
      </w:pPr>
      <w:r w:rsidRPr="00BD064E">
        <w:rPr>
          <w:rFonts w:ascii="ITC Avant Garde" w:eastAsiaTheme="minorHAnsi" w:hAnsi="ITC Avant Garde" w:cs="ITC Avant Garde"/>
          <w:lang w:eastAsia="en-US"/>
        </w:rPr>
        <w:lastRenderedPageBreak/>
        <w:t xml:space="preserve">Indica que </w:t>
      </w:r>
      <w:r w:rsidR="00967227">
        <w:rPr>
          <w:rFonts w:ascii="ITC Avant Garde" w:eastAsiaTheme="minorHAnsi" w:hAnsi="ITC Avant Garde" w:cs="ITC Avant Garde"/>
          <w:lang w:eastAsia="en-US"/>
        </w:rPr>
        <w:t xml:space="preserve">las modificaciones a los Lineamientos de OMV </w:t>
      </w:r>
      <w:r w:rsidRPr="00BD064E">
        <w:rPr>
          <w:rFonts w:ascii="ITC Avant Garde" w:eastAsiaTheme="minorHAnsi" w:hAnsi="ITC Avant Garde" w:cs="ITC Avant Garde"/>
          <w:lang w:eastAsia="en-US"/>
        </w:rPr>
        <w:t>constituye</w:t>
      </w:r>
      <w:r w:rsidR="00967227">
        <w:rPr>
          <w:rFonts w:ascii="ITC Avant Garde" w:eastAsiaTheme="minorHAnsi" w:hAnsi="ITC Avant Garde" w:cs="ITC Avant Garde"/>
          <w:lang w:eastAsia="en-US"/>
        </w:rPr>
        <w:t>n</w:t>
      </w:r>
      <w:r w:rsidRPr="00BD064E">
        <w:rPr>
          <w:rFonts w:ascii="ITC Avant Garde" w:eastAsiaTheme="minorHAnsi" w:hAnsi="ITC Avant Garde" w:cs="ITC Avant Garde"/>
          <w:lang w:eastAsia="en-US"/>
        </w:rPr>
        <w:t xml:space="preserve"> incentivos para que los propios OMV renuncien al cumplimiento de las obligaciones a su cargo, pues terceros ajenos a sus operaciones serán responsables de brindar servicios, temporales y gratuitos, a todos aquellos usuarios que por alguna razón en su momento eligieron a esos OMV como sus proveedores de servicios.</w:t>
      </w:r>
    </w:p>
    <w:p w14:paraId="14AF3B3F" w14:textId="77777777" w:rsidR="00BD064E" w:rsidRPr="00BD064E" w:rsidRDefault="00BD064E" w:rsidP="00BD064E">
      <w:pPr>
        <w:spacing w:after="0" w:line="276" w:lineRule="auto"/>
        <w:ind w:right="49"/>
        <w:rPr>
          <w:rFonts w:ascii="ITC Avant Garde" w:eastAsiaTheme="minorHAnsi" w:hAnsi="ITC Avant Garde" w:cs="ITC Avant Garde"/>
          <w:lang w:eastAsia="en-US"/>
        </w:rPr>
      </w:pPr>
    </w:p>
    <w:p w14:paraId="218094DD" w14:textId="77777777" w:rsidR="00BD064E" w:rsidRPr="0054191A" w:rsidRDefault="00BD064E" w:rsidP="00BD064E">
      <w:pPr>
        <w:spacing w:after="0" w:line="276" w:lineRule="auto"/>
        <w:ind w:right="49"/>
        <w:rPr>
          <w:rFonts w:ascii="ITC Avant Garde" w:eastAsiaTheme="minorHAnsi" w:hAnsi="ITC Avant Garde" w:cs="ITC Avant Garde"/>
          <w:lang w:eastAsia="en-US"/>
        </w:rPr>
      </w:pPr>
      <w:r w:rsidRPr="0054191A">
        <w:rPr>
          <w:rFonts w:ascii="ITC Avant Garde" w:eastAsiaTheme="minorHAnsi" w:hAnsi="ITC Avant Garde" w:cs="ITC Avant Garde"/>
          <w:lang w:eastAsia="en-US"/>
        </w:rPr>
        <w:t>Señalan que lo conducente es que la modificación a los Lineamientos sea para robustecer el alcance de las obligaciones a cargo de los propios OMV, es decir, que se hagan responsables de notificar a sus usuarios con suficiente antelación (40 días naturales) en caso de que suspendan en definitiva la prestación de sus servicios, para que en dicho plazo se permita a los usuarios ejercer su derecho a la portabilidad y realizar llamadas de emergencia. Además de indicar que se deben imponer sanciones, a los OMV, que efectivamente desincentiven cualquier incumplimiento.</w:t>
      </w:r>
    </w:p>
    <w:p w14:paraId="5CDBA5DE" w14:textId="77777777" w:rsidR="00BD064E" w:rsidRPr="0054191A" w:rsidRDefault="00BD064E" w:rsidP="00BD064E">
      <w:pPr>
        <w:spacing w:after="0" w:line="276" w:lineRule="auto"/>
        <w:ind w:right="49"/>
        <w:rPr>
          <w:rFonts w:ascii="ITC Avant Garde" w:eastAsiaTheme="minorHAnsi" w:hAnsi="ITC Avant Garde" w:cs="ITC Avant Garde"/>
          <w:lang w:eastAsia="en-US"/>
        </w:rPr>
      </w:pPr>
    </w:p>
    <w:p w14:paraId="320CFF6B" w14:textId="3B4D7086" w:rsidR="00BD064E" w:rsidRPr="00BD064E" w:rsidRDefault="00BD064E" w:rsidP="00BD064E">
      <w:pPr>
        <w:spacing w:after="0" w:line="276" w:lineRule="auto"/>
        <w:ind w:right="49"/>
        <w:rPr>
          <w:rFonts w:ascii="ITC Avant Garde" w:eastAsiaTheme="minorHAnsi" w:hAnsi="ITC Avant Garde" w:cs="ITC Avant Garde"/>
          <w:lang w:eastAsia="en-US"/>
        </w:rPr>
      </w:pPr>
      <w:r w:rsidRPr="00BD064E">
        <w:rPr>
          <w:rFonts w:ascii="ITC Avant Garde" w:eastAsiaTheme="minorHAnsi" w:hAnsi="ITC Avant Garde" w:cs="ITC Avant Garde"/>
          <w:lang w:eastAsia="en-US"/>
        </w:rPr>
        <w:t xml:space="preserve">Por otro lado, Telcel indica que la obligación pretendida por el </w:t>
      </w:r>
      <w:r w:rsidR="0012483C" w:rsidRPr="00BD064E">
        <w:rPr>
          <w:rFonts w:ascii="ITC Avant Garde" w:eastAsiaTheme="minorHAnsi" w:hAnsi="ITC Avant Garde" w:cs="ITC Avant Garde"/>
          <w:lang w:eastAsia="en-US"/>
        </w:rPr>
        <w:t>Instituto</w:t>
      </w:r>
      <w:r w:rsidRPr="00BD064E">
        <w:rPr>
          <w:rFonts w:ascii="ITC Avant Garde" w:eastAsiaTheme="minorHAnsi" w:hAnsi="ITC Avant Garde" w:cs="ITC Avant Garde"/>
          <w:lang w:eastAsia="en-US"/>
        </w:rPr>
        <w:t xml:space="preserve"> en la modificación a los lineamientos, </w:t>
      </w:r>
      <w:r w:rsidR="0012483C" w:rsidRPr="00BD064E">
        <w:rPr>
          <w:rFonts w:ascii="ITC Avant Garde" w:eastAsiaTheme="minorHAnsi" w:hAnsi="ITC Avant Garde" w:cs="ITC Avant Garde"/>
          <w:lang w:eastAsia="en-US"/>
        </w:rPr>
        <w:t>además</w:t>
      </w:r>
      <w:r w:rsidRPr="00BD064E">
        <w:rPr>
          <w:rFonts w:ascii="ITC Avant Garde" w:eastAsiaTheme="minorHAnsi" w:hAnsi="ITC Avant Garde" w:cs="ITC Avant Garde"/>
          <w:lang w:eastAsia="en-US"/>
        </w:rPr>
        <w:t xml:space="preserve"> de no tener fundamento o justificación, tampoco existe un </w:t>
      </w:r>
      <w:r w:rsidR="0012483C" w:rsidRPr="00BD064E">
        <w:rPr>
          <w:rFonts w:ascii="ITC Avant Garde" w:eastAsiaTheme="minorHAnsi" w:hAnsi="ITC Avant Garde" w:cs="ITC Avant Garde"/>
          <w:lang w:eastAsia="en-US"/>
        </w:rPr>
        <w:t>vínculo</w:t>
      </w:r>
      <w:r w:rsidRPr="00BD064E">
        <w:rPr>
          <w:rFonts w:ascii="ITC Avant Garde" w:eastAsiaTheme="minorHAnsi" w:hAnsi="ITC Avant Garde" w:cs="ITC Avant Garde"/>
          <w:lang w:eastAsia="en-US"/>
        </w:rPr>
        <w:t xml:space="preserve"> </w:t>
      </w:r>
      <w:r w:rsidR="0012483C" w:rsidRPr="00BD064E">
        <w:rPr>
          <w:rFonts w:ascii="ITC Avant Garde" w:eastAsiaTheme="minorHAnsi" w:hAnsi="ITC Avant Garde" w:cs="ITC Avant Garde"/>
          <w:lang w:eastAsia="en-US"/>
        </w:rPr>
        <w:t>jurídico</w:t>
      </w:r>
      <w:r w:rsidRPr="00BD064E">
        <w:rPr>
          <w:rFonts w:ascii="ITC Avant Garde" w:eastAsiaTheme="minorHAnsi" w:hAnsi="ITC Avant Garde" w:cs="ITC Avant Garde"/>
          <w:lang w:eastAsia="en-US"/>
        </w:rPr>
        <w:t xml:space="preserve"> entre los Concesionarios Mayoristas Móviles y los usuarios de los OMV. </w:t>
      </w:r>
    </w:p>
    <w:p w14:paraId="37AF797F" w14:textId="77777777" w:rsidR="00BD064E" w:rsidRPr="00BD064E" w:rsidRDefault="00BD064E" w:rsidP="00BD064E">
      <w:pPr>
        <w:spacing w:after="0" w:line="276" w:lineRule="auto"/>
        <w:ind w:right="49"/>
        <w:rPr>
          <w:rFonts w:ascii="ITC Avant Garde" w:eastAsiaTheme="minorHAnsi" w:hAnsi="ITC Avant Garde" w:cs="ITC Avant Garde"/>
          <w:lang w:eastAsia="en-US"/>
        </w:rPr>
      </w:pPr>
    </w:p>
    <w:p w14:paraId="307BF71B" w14:textId="4BF8513F" w:rsidR="00BD064E" w:rsidRPr="00BD064E" w:rsidRDefault="00BD064E" w:rsidP="00BD064E">
      <w:pPr>
        <w:spacing w:after="0" w:line="276" w:lineRule="auto"/>
        <w:ind w:right="49"/>
        <w:rPr>
          <w:rFonts w:ascii="ITC Avant Garde" w:eastAsiaTheme="minorHAnsi" w:hAnsi="ITC Avant Garde" w:cs="ITC Avant Garde"/>
          <w:lang w:eastAsia="en-US"/>
        </w:rPr>
      </w:pPr>
      <w:r w:rsidRPr="00BD064E">
        <w:rPr>
          <w:rFonts w:ascii="ITC Avant Garde" w:eastAsiaTheme="minorHAnsi" w:hAnsi="ITC Avant Garde" w:cs="ITC Avant Garde"/>
          <w:lang w:eastAsia="en-US"/>
        </w:rPr>
        <w:t xml:space="preserve">Respecto a la funcionalidad para atender (via call center) cualquier duda del usuario del OMV sobre su número y el trámite de portabilidad, Telcel indica que es necesario que sea el propio OMV quien realice esta acción ya que es el único que tiene </w:t>
      </w:r>
      <w:r w:rsidR="0012483C" w:rsidRPr="00BD064E">
        <w:rPr>
          <w:rFonts w:ascii="ITC Avant Garde" w:eastAsiaTheme="minorHAnsi" w:hAnsi="ITC Avant Garde" w:cs="ITC Avant Garde"/>
          <w:lang w:eastAsia="en-US"/>
        </w:rPr>
        <w:t>visibilidad</w:t>
      </w:r>
      <w:r w:rsidRPr="00BD064E">
        <w:rPr>
          <w:rFonts w:ascii="ITC Avant Garde" w:eastAsiaTheme="minorHAnsi" w:hAnsi="ITC Avant Garde" w:cs="ITC Avant Garde"/>
          <w:lang w:eastAsia="en-US"/>
        </w:rPr>
        <w:t xml:space="preserve"> sobre el estado del número del usuario, pues los Concesionarios Mayoristas Móviles desconocen dicha </w:t>
      </w:r>
      <w:r w:rsidR="0012483C" w:rsidRPr="00BD064E">
        <w:rPr>
          <w:rFonts w:ascii="ITC Avant Garde" w:eastAsiaTheme="minorHAnsi" w:hAnsi="ITC Avant Garde" w:cs="ITC Avant Garde"/>
          <w:lang w:eastAsia="en-US"/>
        </w:rPr>
        <w:t>información</w:t>
      </w:r>
      <w:r w:rsidRPr="00BD064E">
        <w:rPr>
          <w:rFonts w:ascii="ITC Avant Garde" w:eastAsiaTheme="minorHAnsi" w:hAnsi="ITC Avant Garde" w:cs="ITC Avant Garde"/>
          <w:lang w:eastAsia="en-US"/>
        </w:rPr>
        <w:t xml:space="preserve"> por no tratarse de su propia operación.</w:t>
      </w:r>
    </w:p>
    <w:p w14:paraId="1EC39124" w14:textId="77777777" w:rsidR="00BD064E" w:rsidRPr="00BD064E" w:rsidRDefault="00BD064E" w:rsidP="00BD064E">
      <w:pPr>
        <w:spacing w:after="0" w:line="276" w:lineRule="auto"/>
        <w:ind w:right="49"/>
        <w:rPr>
          <w:rFonts w:ascii="ITC Avant Garde" w:eastAsiaTheme="minorHAnsi" w:hAnsi="ITC Avant Garde" w:cs="ITC Avant Garde"/>
          <w:lang w:eastAsia="en-US"/>
        </w:rPr>
      </w:pPr>
    </w:p>
    <w:p w14:paraId="4FA3CCBF" w14:textId="16796BA0" w:rsidR="00BD064E" w:rsidRPr="00BD064E" w:rsidRDefault="00BD064E" w:rsidP="00BD064E">
      <w:pPr>
        <w:spacing w:after="0" w:line="276" w:lineRule="auto"/>
        <w:ind w:right="49"/>
        <w:rPr>
          <w:rFonts w:ascii="ITC Avant Garde" w:eastAsiaTheme="minorHAnsi" w:hAnsi="ITC Avant Garde" w:cs="ITC Avant Garde"/>
          <w:lang w:eastAsia="en-US"/>
        </w:rPr>
      </w:pPr>
      <w:r w:rsidRPr="00BD064E">
        <w:rPr>
          <w:rFonts w:ascii="ITC Avant Garde" w:eastAsiaTheme="minorHAnsi" w:hAnsi="ITC Avant Garde" w:cs="ITC Avant Garde"/>
          <w:lang w:eastAsia="en-US"/>
        </w:rPr>
        <w:t xml:space="preserve">Indica </w:t>
      </w:r>
      <w:r w:rsidR="0012483C" w:rsidRPr="00BD064E">
        <w:rPr>
          <w:rFonts w:ascii="ITC Avant Garde" w:eastAsiaTheme="minorHAnsi" w:hAnsi="ITC Avant Garde" w:cs="ITC Avant Garde"/>
          <w:lang w:eastAsia="en-US"/>
        </w:rPr>
        <w:t>además</w:t>
      </w:r>
      <w:r w:rsidRPr="00BD064E">
        <w:rPr>
          <w:rFonts w:ascii="ITC Avant Garde" w:eastAsiaTheme="minorHAnsi" w:hAnsi="ITC Avant Garde" w:cs="ITC Avant Garde"/>
          <w:lang w:eastAsia="en-US"/>
        </w:rPr>
        <w:t xml:space="preserve"> que, previo a cualquier modificación, debe ser analizado el tratamiento de los datos </w:t>
      </w:r>
      <w:r w:rsidR="0012483C" w:rsidRPr="00BD064E">
        <w:rPr>
          <w:rFonts w:ascii="ITC Avant Garde" w:eastAsiaTheme="minorHAnsi" w:hAnsi="ITC Avant Garde" w:cs="ITC Avant Garde"/>
          <w:lang w:eastAsia="en-US"/>
        </w:rPr>
        <w:t>personales</w:t>
      </w:r>
      <w:r w:rsidRPr="00BD064E">
        <w:rPr>
          <w:rFonts w:ascii="ITC Avant Garde" w:eastAsiaTheme="minorHAnsi" w:hAnsi="ITC Avant Garde" w:cs="ITC Avant Garde"/>
          <w:lang w:eastAsia="en-US"/>
        </w:rPr>
        <w:t xml:space="preserve"> de los usuarios del </w:t>
      </w:r>
      <w:r w:rsidR="00193146">
        <w:rPr>
          <w:rFonts w:ascii="ITC Avant Garde" w:eastAsiaTheme="minorHAnsi" w:hAnsi="ITC Avant Garde" w:cs="ITC Avant Garde"/>
          <w:lang w:eastAsia="en-US"/>
        </w:rPr>
        <w:t>OMV</w:t>
      </w:r>
      <w:r w:rsidRPr="00BD064E">
        <w:rPr>
          <w:rFonts w:ascii="ITC Avant Garde" w:eastAsiaTheme="minorHAnsi" w:hAnsi="ITC Avant Garde" w:cs="ITC Avant Garde"/>
          <w:lang w:eastAsia="en-US"/>
        </w:rPr>
        <w:t xml:space="preserve"> que serían puestos a disposición de l</w:t>
      </w:r>
      <w:r w:rsidR="0012483C">
        <w:rPr>
          <w:rFonts w:ascii="ITC Avant Garde" w:eastAsiaTheme="minorHAnsi" w:hAnsi="ITC Avant Garde" w:cs="ITC Avant Garde"/>
          <w:lang w:eastAsia="en-US"/>
        </w:rPr>
        <w:t>o</w:t>
      </w:r>
      <w:r w:rsidRPr="00BD064E">
        <w:rPr>
          <w:rFonts w:ascii="ITC Avant Garde" w:eastAsiaTheme="minorHAnsi" w:hAnsi="ITC Avant Garde" w:cs="ITC Avant Garde"/>
          <w:lang w:eastAsia="en-US"/>
        </w:rPr>
        <w:t xml:space="preserve">s Concesionarios Mayoristas Móviles, ya que, los Concesionarios Mayoristas Móviles no mantienen una relación </w:t>
      </w:r>
      <w:r w:rsidR="0012483C" w:rsidRPr="00BD064E">
        <w:rPr>
          <w:rFonts w:ascii="ITC Avant Garde" w:eastAsiaTheme="minorHAnsi" w:hAnsi="ITC Avant Garde" w:cs="ITC Avant Garde"/>
          <w:lang w:eastAsia="en-US"/>
        </w:rPr>
        <w:t>jurídica</w:t>
      </w:r>
      <w:r w:rsidRPr="00BD064E">
        <w:rPr>
          <w:rFonts w:ascii="ITC Avant Garde" w:eastAsiaTheme="minorHAnsi" w:hAnsi="ITC Avant Garde" w:cs="ITC Avant Garde"/>
          <w:lang w:eastAsia="en-US"/>
        </w:rPr>
        <w:t xml:space="preserve"> con aquellos. Señalando </w:t>
      </w:r>
      <w:r w:rsidR="0012483C" w:rsidRPr="00BD064E">
        <w:rPr>
          <w:rFonts w:ascii="ITC Avant Garde" w:eastAsiaTheme="minorHAnsi" w:hAnsi="ITC Avant Garde" w:cs="ITC Avant Garde"/>
          <w:lang w:eastAsia="en-US"/>
        </w:rPr>
        <w:t>además</w:t>
      </w:r>
      <w:r w:rsidRPr="00BD064E">
        <w:rPr>
          <w:rFonts w:ascii="ITC Avant Garde" w:eastAsiaTheme="minorHAnsi" w:hAnsi="ITC Avant Garde" w:cs="ITC Avant Garde"/>
          <w:lang w:eastAsia="en-US"/>
        </w:rPr>
        <w:t xml:space="preserve"> que los Concesionarios Mayoristas Móviles tendrían que allegarse de la </w:t>
      </w:r>
      <w:r w:rsidR="0012483C" w:rsidRPr="00BD064E">
        <w:rPr>
          <w:rFonts w:ascii="ITC Avant Garde" w:eastAsiaTheme="minorHAnsi" w:hAnsi="ITC Avant Garde" w:cs="ITC Avant Garde"/>
          <w:lang w:eastAsia="en-US"/>
        </w:rPr>
        <w:t>información</w:t>
      </w:r>
      <w:r w:rsidRPr="00BD064E">
        <w:rPr>
          <w:rFonts w:ascii="ITC Avant Garde" w:eastAsiaTheme="minorHAnsi" w:hAnsi="ITC Avant Garde" w:cs="ITC Avant Garde"/>
          <w:lang w:eastAsia="en-US"/>
        </w:rPr>
        <w:t xml:space="preserve"> de los usuarios del OMV (alojados en los sistemas de este) para un correcto aprovisionamiento de los servicios, l</w:t>
      </w:r>
      <w:r w:rsidR="00631C2F">
        <w:rPr>
          <w:rFonts w:ascii="ITC Avant Garde" w:eastAsiaTheme="minorHAnsi" w:hAnsi="ITC Avant Garde" w:cs="ITC Avant Garde"/>
          <w:lang w:eastAsia="en-US"/>
        </w:rPr>
        <w:t>o</w:t>
      </w:r>
      <w:r w:rsidRPr="00BD064E">
        <w:rPr>
          <w:rFonts w:ascii="ITC Avant Garde" w:eastAsiaTheme="minorHAnsi" w:hAnsi="ITC Avant Garde" w:cs="ITC Avant Garde"/>
          <w:lang w:eastAsia="en-US"/>
        </w:rPr>
        <w:t xml:space="preserve"> que incluye datos personales de los usuarios que se encuentran protegidos por la ley de la materia.</w:t>
      </w:r>
    </w:p>
    <w:p w14:paraId="59F29DD7" w14:textId="77777777" w:rsidR="00BD064E" w:rsidRPr="00BD064E" w:rsidRDefault="00BD064E" w:rsidP="00BD064E">
      <w:pPr>
        <w:spacing w:after="0" w:line="276" w:lineRule="auto"/>
        <w:ind w:right="49"/>
        <w:rPr>
          <w:rFonts w:ascii="ITC Avant Garde" w:eastAsiaTheme="minorHAnsi" w:hAnsi="ITC Avant Garde" w:cs="ITC Avant Garde"/>
          <w:lang w:eastAsia="en-US"/>
        </w:rPr>
      </w:pPr>
    </w:p>
    <w:p w14:paraId="4B9E34DF" w14:textId="2C6A1748" w:rsidR="00BD064E" w:rsidRPr="00BD064E" w:rsidRDefault="00BD064E" w:rsidP="00BD064E">
      <w:pPr>
        <w:spacing w:after="0" w:line="276" w:lineRule="auto"/>
        <w:ind w:right="49"/>
        <w:rPr>
          <w:rFonts w:ascii="ITC Avant Garde" w:eastAsiaTheme="minorHAnsi" w:hAnsi="ITC Avant Garde" w:cs="ITC Avant Garde"/>
          <w:lang w:eastAsia="en-US"/>
        </w:rPr>
      </w:pPr>
      <w:r w:rsidRPr="00BD064E">
        <w:rPr>
          <w:rFonts w:ascii="ITC Avant Garde" w:eastAsiaTheme="minorHAnsi" w:hAnsi="ITC Avant Garde" w:cs="ITC Avant Garde"/>
          <w:lang w:eastAsia="en-US"/>
        </w:rPr>
        <w:t xml:space="preserve">Sobre el envío de mensajes cortos no </w:t>
      </w:r>
      <w:r w:rsidR="0012483C" w:rsidRPr="00BD064E">
        <w:rPr>
          <w:rFonts w:ascii="ITC Avant Garde" w:eastAsiaTheme="minorHAnsi" w:hAnsi="ITC Avant Garde" w:cs="ITC Avant Garde"/>
          <w:lang w:eastAsia="en-US"/>
        </w:rPr>
        <w:t>solicitados</w:t>
      </w:r>
      <w:r w:rsidRPr="00BD064E">
        <w:rPr>
          <w:rFonts w:ascii="ITC Avant Garde" w:eastAsiaTheme="minorHAnsi" w:hAnsi="ITC Avant Garde" w:cs="ITC Avant Garde"/>
          <w:lang w:eastAsia="en-US"/>
        </w:rPr>
        <w:t xml:space="preserve">, Telcel señala que los usuarios del OMV </w:t>
      </w:r>
      <w:r w:rsidR="0012483C" w:rsidRPr="00BD064E">
        <w:rPr>
          <w:rFonts w:ascii="ITC Avant Garde" w:eastAsiaTheme="minorHAnsi" w:hAnsi="ITC Avant Garde" w:cs="ITC Avant Garde"/>
          <w:lang w:eastAsia="en-US"/>
        </w:rPr>
        <w:t>podrían</w:t>
      </w:r>
      <w:r w:rsidRPr="00BD064E">
        <w:rPr>
          <w:rFonts w:ascii="ITC Avant Garde" w:eastAsiaTheme="minorHAnsi" w:hAnsi="ITC Avant Garde" w:cs="ITC Avant Garde"/>
          <w:lang w:eastAsia="en-US"/>
        </w:rPr>
        <w:t xml:space="preserve"> </w:t>
      </w:r>
      <w:r w:rsidR="0012483C" w:rsidRPr="00BD064E">
        <w:rPr>
          <w:rFonts w:ascii="ITC Avant Garde" w:eastAsiaTheme="minorHAnsi" w:hAnsi="ITC Avant Garde" w:cs="ITC Avant Garde"/>
          <w:lang w:eastAsia="en-US"/>
        </w:rPr>
        <w:t>presentar</w:t>
      </w:r>
      <w:r w:rsidRPr="00BD064E">
        <w:rPr>
          <w:rFonts w:ascii="ITC Avant Garde" w:eastAsiaTheme="minorHAnsi" w:hAnsi="ITC Avant Garde" w:cs="ITC Avant Garde"/>
          <w:lang w:eastAsia="en-US"/>
        </w:rPr>
        <w:t xml:space="preserve"> quejas ante Profeco o Soy Usuario </w:t>
      </w:r>
      <w:r w:rsidR="0012483C" w:rsidRPr="00BD064E">
        <w:rPr>
          <w:rFonts w:ascii="ITC Avant Garde" w:eastAsiaTheme="minorHAnsi" w:hAnsi="ITC Avant Garde" w:cs="ITC Avant Garde"/>
          <w:lang w:eastAsia="en-US"/>
        </w:rPr>
        <w:t>en</w:t>
      </w:r>
      <w:r w:rsidRPr="00BD064E">
        <w:rPr>
          <w:rFonts w:ascii="ITC Avant Garde" w:eastAsiaTheme="minorHAnsi" w:hAnsi="ITC Avant Garde" w:cs="ITC Avant Garde"/>
          <w:lang w:eastAsia="en-US"/>
        </w:rPr>
        <w:t xml:space="preserve"> contra de los Concesionarios Mayoristas Móviles, por lo que deben ser los OMV los que provean a sus propios usuarios, con la debida anticipación, toda la información que estos requieran para ejercer su derecho a la portabilidad, o en su defecto, podría ser el </w:t>
      </w:r>
      <w:r w:rsidRPr="00BD064E">
        <w:rPr>
          <w:rFonts w:ascii="ITC Avant Garde" w:eastAsiaTheme="minorHAnsi" w:hAnsi="ITC Avant Garde" w:cs="ITC Avant Garde"/>
          <w:lang w:eastAsia="en-US"/>
        </w:rPr>
        <w:lastRenderedPageBreak/>
        <w:t>propio Instituto el que la proporcione, a través de un número telefónico o de su página web.</w:t>
      </w:r>
    </w:p>
    <w:p w14:paraId="0F5F1AD8" w14:textId="77777777" w:rsidR="00BD064E" w:rsidRPr="00BD064E" w:rsidRDefault="00BD064E" w:rsidP="00BD064E">
      <w:pPr>
        <w:spacing w:after="0" w:line="276" w:lineRule="auto"/>
        <w:ind w:right="49"/>
        <w:rPr>
          <w:rFonts w:ascii="ITC Avant Garde" w:eastAsiaTheme="minorHAnsi" w:hAnsi="ITC Avant Garde" w:cs="ITC Avant Garde"/>
          <w:lang w:eastAsia="en-US"/>
        </w:rPr>
      </w:pPr>
    </w:p>
    <w:p w14:paraId="4E957D0D" w14:textId="4E9321B5" w:rsidR="00BD064E" w:rsidRPr="00BD064E" w:rsidRDefault="00BD064E" w:rsidP="00BD064E">
      <w:pPr>
        <w:spacing w:after="0" w:line="276" w:lineRule="auto"/>
        <w:ind w:right="49"/>
        <w:rPr>
          <w:rFonts w:ascii="ITC Avant Garde" w:eastAsiaTheme="minorHAnsi" w:hAnsi="ITC Avant Garde" w:cs="ITC Avant Garde"/>
          <w:lang w:eastAsia="en-US"/>
        </w:rPr>
      </w:pPr>
      <w:r w:rsidRPr="00114237">
        <w:rPr>
          <w:rFonts w:ascii="ITC Avant Garde" w:eastAsiaTheme="minorHAnsi" w:hAnsi="ITC Avant Garde" w:cs="ITC Avant Garde"/>
          <w:lang w:eastAsia="en-US"/>
        </w:rPr>
        <w:t xml:space="preserve">Sobre la obligación de notificar al Instituto la rescisión o terminación de contrato con cualquier OMV, se observa que el periodo de 40 días naturales para brindar la continuidad de funcionalidades comenzaría a correr a partir de la rescisión o terminación del contrato mayorista de prestación de servicios con el OMV, sin que se considere qué sucedería si ello no acontece, es decir, si no se verifica una formal rescisión o terminación de contrato, pero el OMV de facto cesa sus operaciones. En tal caso no comenzaría a correr el plazo de </w:t>
      </w:r>
      <w:r w:rsidR="0012483C" w:rsidRPr="00114237">
        <w:rPr>
          <w:rFonts w:ascii="ITC Avant Garde" w:eastAsiaTheme="minorHAnsi" w:hAnsi="ITC Avant Garde" w:cs="ITC Avant Garde"/>
          <w:lang w:eastAsia="en-US"/>
        </w:rPr>
        <w:t>mérito</w:t>
      </w:r>
      <w:r w:rsidRPr="00114237">
        <w:rPr>
          <w:rFonts w:ascii="ITC Avant Garde" w:eastAsiaTheme="minorHAnsi" w:hAnsi="ITC Avant Garde" w:cs="ITC Avant Garde"/>
          <w:lang w:eastAsia="en-US"/>
        </w:rPr>
        <w:t>.</w:t>
      </w:r>
    </w:p>
    <w:p w14:paraId="57EB387C" w14:textId="77777777" w:rsidR="00BD064E" w:rsidRPr="00BD064E" w:rsidRDefault="00BD064E" w:rsidP="00BD064E">
      <w:pPr>
        <w:spacing w:after="0" w:line="276" w:lineRule="auto"/>
        <w:ind w:right="49"/>
        <w:rPr>
          <w:rFonts w:ascii="ITC Avant Garde" w:eastAsiaTheme="minorHAnsi" w:hAnsi="ITC Avant Garde" w:cs="ITC Avant Garde"/>
          <w:lang w:eastAsia="en-US"/>
        </w:rPr>
      </w:pPr>
    </w:p>
    <w:p w14:paraId="75E2C1F0" w14:textId="08419AF6" w:rsidR="00BD064E" w:rsidRPr="00114237" w:rsidRDefault="00BD064E" w:rsidP="00BD064E">
      <w:pPr>
        <w:spacing w:after="0" w:line="276" w:lineRule="auto"/>
        <w:ind w:right="49"/>
        <w:rPr>
          <w:rFonts w:ascii="ITC Avant Garde" w:eastAsiaTheme="minorHAnsi" w:hAnsi="ITC Avant Garde" w:cs="ITC Avant Garde"/>
          <w:lang w:eastAsia="en-US"/>
        </w:rPr>
      </w:pPr>
      <w:r w:rsidRPr="00114237">
        <w:rPr>
          <w:rFonts w:ascii="ITC Avant Garde" w:eastAsiaTheme="minorHAnsi" w:hAnsi="ITC Avant Garde" w:cs="ITC Avant Garde"/>
          <w:lang w:eastAsia="en-US"/>
        </w:rPr>
        <w:t xml:space="preserve">Señala que en el indebido caso en que el Instituto determine continuar con la imposición de obligaciones a cargo de los Concesionarios Mayoristas Móviles, el </w:t>
      </w:r>
      <w:r w:rsidR="0012483C" w:rsidRPr="00114237">
        <w:rPr>
          <w:rFonts w:ascii="ITC Avant Garde" w:eastAsiaTheme="minorHAnsi" w:hAnsi="ITC Avant Garde" w:cs="ITC Avant Garde"/>
          <w:lang w:eastAsia="en-US"/>
        </w:rPr>
        <w:t>Instituto</w:t>
      </w:r>
      <w:r w:rsidRPr="00114237">
        <w:rPr>
          <w:rFonts w:ascii="ITC Avant Garde" w:eastAsiaTheme="minorHAnsi" w:hAnsi="ITC Avant Garde" w:cs="ITC Avant Garde"/>
          <w:lang w:eastAsia="en-US"/>
        </w:rPr>
        <w:t xml:space="preserve"> deberá considerar e </w:t>
      </w:r>
      <w:r w:rsidR="0012483C" w:rsidRPr="00114237">
        <w:rPr>
          <w:rFonts w:ascii="ITC Avant Garde" w:eastAsiaTheme="minorHAnsi" w:hAnsi="ITC Avant Garde" w:cs="ITC Avant Garde"/>
          <w:lang w:eastAsia="en-US"/>
        </w:rPr>
        <w:t>incorporar</w:t>
      </w:r>
      <w:r w:rsidRPr="00114237">
        <w:rPr>
          <w:rFonts w:ascii="ITC Avant Garde" w:eastAsiaTheme="minorHAnsi" w:hAnsi="ITC Avant Garde" w:cs="ITC Avant Garde"/>
          <w:lang w:eastAsia="en-US"/>
        </w:rPr>
        <w:t xml:space="preserve"> en los Lineamientos: (i) que el OMV de que se trate será responsable de reembolsar al Concesionario Mayorista Móvil host todas aquellas cantidades que resulten del tráfico de voz y/o SMS y/o del servicio de atención que se proporcionen a los usuarios del OMV, o bien (ii) que en el contrato de prestación de servicios mayoristas, el OMV se obligue a </w:t>
      </w:r>
      <w:r w:rsidR="0094007B" w:rsidRPr="00114237">
        <w:rPr>
          <w:rFonts w:ascii="ITC Avant Garde" w:eastAsiaTheme="minorHAnsi" w:hAnsi="ITC Avant Garde" w:cs="ITC Avant Garde"/>
          <w:lang w:eastAsia="en-US"/>
        </w:rPr>
        <w:t>construir</w:t>
      </w:r>
      <w:r w:rsidRPr="00114237">
        <w:rPr>
          <w:rFonts w:ascii="ITC Avant Garde" w:eastAsiaTheme="minorHAnsi" w:hAnsi="ITC Avant Garde" w:cs="ITC Avant Garde"/>
          <w:lang w:eastAsia="en-US"/>
        </w:rPr>
        <w:t xml:space="preserve"> una garantía en favor del Concesionario Mayorista Móvil, median</w:t>
      </w:r>
      <w:r w:rsidR="0094007B" w:rsidRPr="00114237">
        <w:rPr>
          <w:rFonts w:ascii="ITC Avant Garde" w:eastAsiaTheme="minorHAnsi" w:hAnsi="ITC Avant Garde" w:cs="ITC Avant Garde"/>
          <w:lang w:eastAsia="en-US"/>
        </w:rPr>
        <w:t>te</w:t>
      </w:r>
      <w:r w:rsidRPr="00114237">
        <w:rPr>
          <w:rFonts w:ascii="ITC Avant Garde" w:eastAsiaTheme="minorHAnsi" w:hAnsi="ITC Avant Garde" w:cs="ITC Avant Garde"/>
          <w:lang w:eastAsia="en-US"/>
        </w:rPr>
        <w:t xml:space="preserve"> la cual se garantice el pago de cualesquiera cantidades que resulten por los conceptos antes señalados. </w:t>
      </w:r>
    </w:p>
    <w:p w14:paraId="17370CAD" w14:textId="77777777" w:rsidR="00BD064E" w:rsidRPr="00114237" w:rsidRDefault="00BD064E" w:rsidP="00BD064E">
      <w:pPr>
        <w:spacing w:after="0" w:line="276" w:lineRule="auto"/>
        <w:ind w:right="49"/>
        <w:rPr>
          <w:rFonts w:ascii="ITC Avant Garde" w:eastAsiaTheme="minorHAnsi" w:hAnsi="ITC Avant Garde" w:cs="ITC Avant Garde"/>
          <w:lang w:eastAsia="en-US"/>
        </w:rPr>
      </w:pPr>
    </w:p>
    <w:p w14:paraId="35EDFF52" w14:textId="39980E8F" w:rsidR="00BD064E" w:rsidRPr="00BD064E" w:rsidRDefault="00BD064E" w:rsidP="00BD064E">
      <w:pPr>
        <w:spacing w:after="0" w:line="276" w:lineRule="auto"/>
        <w:ind w:right="49"/>
        <w:rPr>
          <w:rFonts w:ascii="ITC Avant Garde" w:eastAsiaTheme="minorHAnsi" w:hAnsi="ITC Avant Garde" w:cs="ITC Avant Garde"/>
          <w:lang w:eastAsia="en-US"/>
        </w:rPr>
      </w:pPr>
      <w:r w:rsidRPr="00114237">
        <w:rPr>
          <w:rFonts w:ascii="ITC Avant Garde" w:eastAsiaTheme="minorHAnsi" w:hAnsi="ITC Avant Garde" w:cs="ITC Avant Garde"/>
          <w:lang w:eastAsia="en-US"/>
        </w:rPr>
        <w:t xml:space="preserve">Como alternativa, Telcel sugiere autorizar al Concesionario Mayorista Móvil a cobrar una cuota adicional a las tarifas del contrato de servicios mayoristas, destinada a cubrir los gastos asociados al incumplimiento de dicha obligación, la cual sería devuelta al OMV al término de la relación </w:t>
      </w:r>
      <w:r w:rsidR="0094007B" w:rsidRPr="00114237">
        <w:rPr>
          <w:rFonts w:ascii="ITC Avant Garde" w:eastAsiaTheme="minorHAnsi" w:hAnsi="ITC Avant Garde" w:cs="ITC Avant Garde"/>
          <w:lang w:eastAsia="en-US"/>
        </w:rPr>
        <w:t>contractual</w:t>
      </w:r>
      <w:r w:rsidRPr="00114237">
        <w:rPr>
          <w:rFonts w:ascii="ITC Avant Garde" w:eastAsiaTheme="minorHAnsi" w:hAnsi="ITC Avant Garde" w:cs="ITC Avant Garde"/>
          <w:lang w:eastAsia="en-US"/>
        </w:rPr>
        <w:t xml:space="preserve"> con el Concesionario Mayorista Móvil en caso de no requerirse.</w:t>
      </w:r>
    </w:p>
    <w:p w14:paraId="0668C8A8" w14:textId="77777777" w:rsidR="00BD064E" w:rsidRPr="00BD064E" w:rsidRDefault="00BD064E" w:rsidP="00BD064E">
      <w:pPr>
        <w:spacing w:after="0" w:line="276" w:lineRule="auto"/>
        <w:ind w:right="49"/>
        <w:rPr>
          <w:rFonts w:ascii="ITC Avant Garde" w:eastAsiaTheme="minorHAnsi" w:hAnsi="ITC Avant Garde" w:cs="ITC Avant Garde"/>
          <w:lang w:eastAsia="en-US"/>
        </w:rPr>
      </w:pPr>
    </w:p>
    <w:p w14:paraId="7CE67CAA" w14:textId="5EC08D43" w:rsidR="00BD064E" w:rsidRPr="00BD064E" w:rsidRDefault="00BD064E" w:rsidP="00BD064E">
      <w:pPr>
        <w:spacing w:after="0" w:line="276" w:lineRule="auto"/>
        <w:ind w:right="49"/>
        <w:rPr>
          <w:rFonts w:ascii="ITC Avant Garde" w:eastAsiaTheme="minorHAnsi" w:hAnsi="ITC Avant Garde" w:cs="ITC Avant Garde"/>
          <w:lang w:eastAsia="en-US"/>
        </w:rPr>
      </w:pPr>
      <w:r w:rsidRPr="00BD064E">
        <w:rPr>
          <w:rFonts w:ascii="ITC Avant Garde" w:eastAsiaTheme="minorHAnsi" w:hAnsi="ITC Avant Garde" w:cs="ITC Avant Garde"/>
          <w:lang w:eastAsia="en-US"/>
        </w:rPr>
        <w:t>Finalmente, en aras de que el usuario del OMV sea el menor afectado por el cese de operaciones del OMV y toda vez que no existe prohibición alguna para que los usuarios de un OMV elijan como su proveedor de servicios a cualquier Concesionario Mayorista Móvil u OMV, Telcel solicita al Instituto establecer que el Concesionario Mayorista Móvil (red host) podrá ofrecer sus servicios a los usuario</w:t>
      </w:r>
      <w:r w:rsidR="00ED25F0">
        <w:rPr>
          <w:rFonts w:ascii="ITC Avant Garde" w:eastAsiaTheme="minorHAnsi" w:hAnsi="ITC Avant Garde" w:cs="ITC Avant Garde"/>
          <w:lang w:eastAsia="en-US"/>
        </w:rPr>
        <w:t>s</w:t>
      </w:r>
      <w:r w:rsidRPr="00BD064E">
        <w:rPr>
          <w:rFonts w:ascii="ITC Avant Garde" w:eastAsiaTheme="minorHAnsi" w:hAnsi="ITC Avant Garde" w:cs="ITC Avant Garde"/>
          <w:lang w:eastAsia="en-US"/>
        </w:rPr>
        <w:t xml:space="preserve"> afectados por el cese de operaciones de su OMV, en el entendido de que son dichos usuarios los que decidirán con cuál proveedor contratarán los servicios de telecomunicaciones que requieran.</w:t>
      </w:r>
    </w:p>
    <w:p w14:paraId="31498955" w14:textId="77777777" w:rsidR="00BD064E" w:rsidRPr="00BD064E" w:rsidRDefault="00BD064E" w:rsidP="00BD064E">
      <w:pPr>
        <w:spacing w:after="0" w:line="276" w:lineRule="auto"/>
        <w:ind w:right="49"/>
        <w:rPr>
          <w:rFonts w:ascii="ITC Avant Garde" w:eastAsiaTheme="minorHAnsi" w:hAnsi="ITC Avant Garde" w:cs="ITC Avant Garde"/>
          <w:lang w:eastAsia="en-US"/>
        </w:rPr>
      </w:pPr>
    </w:p>
    <w:p w14:paraId="78C852B8" w14:textId="77777777" w:rsidR="00143B42" w:rsidRPr="003419F5" w:rsidRDefault="00143B42" w:rsidP="00143B42">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381A4FC9" w14:textId="77777777" w:rsidR="00143B42" w:rsidRDefault="00143B42" w:rsidP="00143B42">
      <w:pPr>
        <w:spacing w:after="0" w:line="276" w:lineRule="auto"/>
        <w:ind w:right="49"/>
        <w:rPr>
          <w:rFonts w:ascii="ITC Avant Garde" w:hAnsi="ITC Avant Garde"/>
          <w:color w:val="auto"/>
        </w:rPr>
      </w:pPr>
    </w:p>
    <w:p w14:paraId="2A14D43A" w14:textId="1AADE1A1" w:rsidR="008F3242" w:rsidRDefault="003D2BF4" w:rsidP="008F3242">
      <w:pPr>
        <w:spacing w:after="0" w:line="276" w:lineRule="auto"/>
        <w:ind w:right="49"/>
        <w:rPr>
          <w:rFonts w:ascii="ITC Avant Garde" w:hAnsi="ITC Avant Garde"/>
          <w:color w:val="auto"/>
        </w:rPr>
      </w:pPr>
      <w:r>
        <w:rPr>
          <w:rFonts w:ascii="ITC Avant Garde" w:hAnsi="ITC Avant Garde"/>
          <w:color w:val="auto"/>
        </w:rPr>
        <w:t xml:space="preserve">La Modificación de Lineamientos OMV no </w:t>
      </w:r>
      <w:r w:rsidR="00544397">
        <w:rPr>
          <w:rFonts w:ascii="ITC Avant Garde" w:hAnsi="ITC Avant Garde"/>
          <w:color w:val="auto"/>
        </w:rPr>
        <w:t xml:space="preserve">elimina la obligación que tienen los OMV de dar aviso a los usuarios finales, con al menos 30 días de anticipación, en caso </w:t>
      </w:r>
      <w:r w:rsidR="00544397">
        <w:rPr>
          <w:rFonts w:ascii="ITC Avant Garde" w:hAnsi="ITC Avant Garde"/>
          <w:color w:val="auto"/>
        </w:rPr>
        <w:lastRenderedPageBreak/>
        <w:t>del cese de prestación de los servicios</w:t>
      </w:r>
      <w:r w:rsidR="00333731">
        <w:rPr>
          <w:rFonts w:ascii="ITC Avant Garde" w:hAnsi="ITC Avant Garde"/>
          <w:color w:val="auto"/>
        </w:rPr>
        <w:t>, ni con las demás obligaciones que los OMV tienen respecto a la portabilidad de sus usuarios</w:t>
      </w:r>
      <w:r w:rsidR="00CA33B4">
        <w:rPr>
          <w:rFonts w:ascii="ITC Avant Garde" w:hAnsi="ITC Avant Garde"/>
          <w:color w:val="auto"/>
        </w:rPr>
        <w:t xml:space="preserve"> y la prestación responsable de los servicios ofertados a los usuarios finales</w:t>
      </w:r>
      <w:r w:rsidR="008F3242">
        <w:rPr>
          <w:rFonts w:ascii="ITC Avant Garde" w:hAnsi="ITC Avant Garde"/>
          <w:color w:val="auto"/>
        </w:rPr>
        <w:t>.</w:t>
      </w:r>
      <w:r w:rsidR="00C9628C">
        <w:rPr>
          <w:rFonts w:ascii="ITC Avant Garde" w:hAnsi="ITC Avant Garde"/>
          <w:color w:val="auto"/>
        </w:rPr>
        <w:t xml:space="preserve"> </w:t>
      </w:r>
      <w:r w:rsidR="00925E40">
        <w:rPr>
          <w:rFonts w:ascii="ITC Avant Garde" w:hAnsi="ITC Avant Garde"/>
          <w:color w:val="auto"/>
        </w:rPr>
        <w:t>Asimismo,</w:t>
      </w:r>
      <w:r w:rsidR="008F3242">
        <w:rPr>
          <w:rFonts w:ascii="ITC Avant Garde" w:hAnsi="ITC Avant Garde"/>
          <w:color w:val="auto"/>
        </w:rPr>
        <w:t xml:space="preserve"> </w:t>
      </w:r>
      <w:r w:rsidR="00C9628C">
        <w:rPr>
          <w:rFonts w:ascii="ITC Avant Garde" w:hAnsi="ITC Avant Garde"/>
          <w:color w:val="auto"/>
        </w:rPr>
        <w:t>se busca</w:t>
      </w:r>
      <w:r w:rsidR="008F3242">
        <w:rPr>
          <w:rFonts w:ascii="ITC Avant Garde" w:hAnsi="ITC Avant Garde"/>
          <w:color w:val="auto"/>
        </w:rPr>
        <w:t xml:space="preserve"> ofrecer un mecanismo que, mediante el apoyo temporal de los recursos de red del Concesionario Mayorista Móvil, dichos usuarios puedan ejercer su derecho a la portabilidad, eligiendo así algún otro proveedor de servicios de telecomunicaciones móviles de su preferencia.</w:t>
      </w:r>
    </w:p>
    <w:p w14:paraId="06DC53BA" w14:textId="77777777" w:rsidR="00143B42" w:rsidRDefault="00143B42" w:rsidP="00143B42">
      <w:pPr>
        <w:spacing w:after="0" w:line="276" w:lineRule="auto"/>
        <w:ind w:right="49"/>
        <w:rPr>
          <w:rFonts w:ascii="ITC Avant Garde" w:eastAsiaTheme="minorHAnsi" w:hAnsi="ITC Avant Garde" w:cs="ITC Avant Garde"/>
          <w:lang w:eastAsia="en-US"/>
        </w:rPr>
      </w:pPr>
    </w:p>
    <w:p w14:paraId="3F545F6D" w14:textId="45A1A3E0" w:rsidR="005D1FC3" w:rsidRDefault="006A47B7" w:rsidP="00143B42">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t xml:space="preserve">Asimismo, </w:t>
      </w:r>
      <w:r w:rsidR="00CB04C9">
        <w:rPr>
          <w:rFonts w:ascii="ITC Avant Garde" w:eastAsiaTheme="minorHAnsi" w:hAnsi="ITC Avant Garde" w:cs="ITC Avant Garde"/>
          <w:lang w:eastAsia="en-US"/>
        </w:rPr>
        <w:t xml:space="preserve">respecto a robustecer </w:t>
      </w:r>
      <w:r w:rsidR="0018320A">
        <w:rPr>
          <w:rFonts w:ascii="ITC Avant Garde" w:eastAsiaTheme="minorHAnsi" w:hAnsi="ITC Avant Garde" w:cs="ITC Avant Garde"/>
          <w:lang w:eastAsia="en-US"/>
        </w:rPr>
        <w:t xml:space="preserve">el alcance de las obligaciones de los OMV para con sus usuarios y la </w:t>
      </w:r>
      <w:r w:rsidR="00492098">
        <w:rPr>
          <w:rFonts w:ascii="ITC Avant Garde" w:eastAsiaTheme="minorHAnsi" w:hAnsi="ITC Avant Garde" w:cs="ITC Avant Garde"/>
          <w:lang w:eastAsia="en-US"/>
        </w:rPr>
        <w:t>imposición</w:t>
      </w:r>
      <w:r w:rsidR="0018320A">
        <w:rPr>
          <w:rFonts w:ascii="ITC Avant Garde" w:eastAsiaTheme="minorHAnsi" w:hAnsi="ITC Avant Garde" w:cs="ITC Avant Garde"/>
          <w:lang w:eastAsia="en-US"/>
        </w:rPr>
        <w:t xml:space="preserve"> de sanciones, se señala que</w:t>
      </w:r>
      <w:r w:rsidR="00492098">
        <w:rPr>
          <w:rFonts w:ascii="ITC Avant Garde" w:eastAsiaTheme="minorHAnsi" w:hAnsi="ITC Avant Garde" w:cs="ITC Avant Garde"/>
          <w:lang w:eastAsia="en-US"/>
        </w:rPr>
        <w:t xml:space="preserve"> los Lineamientos ya considera como </w:t>
      </w:r>
      <w:r w:rsidR="008D190D">
        <w:rPr>
          <w:rFonts w:ascii="ITC Avant Garde" w:eastAsiaTheme="minorHAnsi" w:hAnsi="ITC Avant Garde" w:cs="ITC Avant Garde"/>
          <w:lang w:eastAsia="en-US"/>
        </w:rPr>
        <w:t xml:space="preserve">obligación </w:t>
      </w:r>
      <w:r w:rsidR="001B59A6">
        <w:rPr>
          <w:rFonts w:ascii="ITC Avant Garde" w:eastAsiaTheme="minorHAnsi" w:hAnsi="ITC Avant Garde" w:cs="ITC Avant Garde"/>
          <w:lang w:eastAsia="en-US"/>
        </w:rPr>
        <w:t xml:space="preserve">la responsabilidad ante el usuario final por la prestación de los servicios y cumplir con las obligaciones en materia de los derechos de los usuarios, </w:t>
      </w:r>
      <w:r w:rsidR="00CB6AFF">
        <w:rPr>
          <w:rFonts w:ascii="ITC Avant Garde" w:eastAsiaTheme="minorHAnsi" w:hAnsi="ITC Avant Garde" w:cs="ITC Avant Garde"/>
          <w:lang w:eastAsia="en-US"/>
        </w:rPr>
        <w:t>así como el dar aviso con al menos 30 días de anticipación en caso del cese de prestación de los servicios</w:t>
      </w:r>
      <w:r w:rsidR="00C41384">
        <w:rPr>
          <w:rFonts w:ascii="ITC Avant Garde" w:eastAsiaTheme="minorHAnsi" w:hAnsi="ITC Avant Garde" w:cs="ITC Avant Garde"/>
          <w:lang w:eastAsia="en-US"/>
        </w:rPr>
        <w:t xml:space="preserve">. En este sentido, el incumplimiento de dichas acciones </w:t>
      </w:r>
      <w:r w:rsidR="003D7222">
        <w:rPr>
          <w:rFonts w:ascii="ITC Avant Garde" w:eastAsiaTheme="minorHAnsi" w:hAnsi="ITC Avant Garde" w:cs="ITC Avant Garde"/>
          <w:lang w:eastAsia="en-US"/>
        </w:rPr>
        <w:t>podrá ser objeto de sanciones por parte de la autoridad</w:t>
      </w:r>
      <w:r w:rsidR="00A75720">
        <w:rPr>
          <w:rFonts w:ascii="ITC Avant Garde" w:eastAsiaTheme="minorHAnsi" w:hAnsi="ITC Avant Garde" w:cs="ITC Avant Garde"/>
          <w:lang w:eastAsia="en-US"/>
        </w:rPr>
        <w:t>.</w:t>
      </w:r>
    </w:p>
    <w:p w14:paraId="3001AE1E" w14:textId="77777777" w:rsidR="005D1FC3" w:rsidRDefault="005D1FC3" w:rsidP="00143B42">
      <w:pPr>
        <w:spacing w:after="0" w:line="276" w:lineRule="auto"/>
        <w:ind w:right="49"/>
        <w:rPr>
          <w:rFonts w:ascii="ITC Avant Garde" w:eastAsiaTheme="minorHAnsi" w:hAnsi="ITC Avant Garde" w:cs="ITC Avant Garde"/>
          <w:lang w:eastAsia="en-US"/>
        </w:rPr>
      </w:pPr>
    </w:p>
    <w:p w14:paraId="3CA0178F" w14:textId="23BF60F2" w:rsidR="00AC7FB0" w:rsidRPr="009F53BF" w:rsidRDefault="00930D6E" w:rsidP="00AC7FB0">
      <w:pPr>
        <w:spacing w:after="0" w:line="276" w:lineRule="auto"/>
        <w:ind w:right="49"/>
        <w:rPr>
          <w:rFonts w:ascii="ITC Avant Garde" w:hAnsi="ITC Avant Garde"/>
          <w:color w:val="auto"/>
        </w:rPr>
      </w:pPr>
      <w:r>
        <w:rPr>
          <w:rFonts w:ascii="ITC Avant Garde" w:hAnsi="ITC Avant Garde"/>
          <w:color w:val="auto"/>
        </w:rPr>
        <w:t>No obstante</w:t>
      </w:r>
      <w:r w:rsidR="00AC7FB0">
        <w:rPr>
          <w:rFonts w:ascii="ITC Avant Garde" w:hAnsi="ITC Avant Garde"/>
          <w:color w:val="auto"/>
        </w:rPr>
        <w:t xml:space="preserve">, se ha modificado el artículo 13, fracción VI de los Lineamientos, para </w:t>
      </w:r>
      <w:r w:rsidR="00AC7FB0" w:rsidRPr="009F53BF">
        <w:rPr>
          <w:rFonts w:ascii="ITC Avant Garde" w:hAnsi="ITC Avant Garde"/>
          <w:color w:val="auto"/>
        </w:rPr>
        <w:t>establecer obligaciones adicionales para los Operadores Móviles Virtuales, con el fin de garantizar que, en caso de cesar la prestación de servicios de telecomunicaciones, sus usuarios dispongan de toda la información necesaria para ejercer su derecho a la portabilidad numérica oportunamente</w:t>
      </w:r>
      <w:r w:rsidR="00AC7FB0">
        <w:rPr>
          <w:rFonts w:ascii="ITC Avant Garde" w:hAnsi="ITC Avant Garde"/>
          <w:color w:val="auto"/>
        </w:rPr>
        <w:t>, para quedar en los términos siguientes:</w:t>
      </w:r>
    </w:p>
    <w:p w14:paraId="64B4A27D" w14:textId="77777777" w:rsidR="00AC7FB0" w:rsidRPr="00DC42C3" w:rsidRDefault="00AC7FB0" w:rsidP="00AC7FB0">
      <w:pPr>
        <w:pStyle w:val="Texto"/>
        <w:tabs>
          <w:tab w:val="left" w:pos="426"/>
        </w:tabs>
        <w:ind w:left="567" w:right="615"/>
        <w:rPr>
          <w:bCs/>
          <w:szCs w:val="18"/>
        </w:rPr>
      </w:pPr>
    </w:p>
    <w:p w14:paraId="00CA7193" w14:textId="77777777" w:rsidR="00AC7FB0" w:rsidRPr="008B748C" w:rsidRDefault="00AC7FB0" w:rsidP="00AC7FB0">
      <w:pPr>
        <w:spacing w:after="0" w:line="276" w:lineRule="auto"/>
        <w:ind w:left="567" w:right="616"/>
        <w:rPr>
          <w:rFonts w:ascii="ITC Avant Garde" w:eastAsiaTheme="minorHAnsi" w:hAnsi="ITC Avant Garde" w:cs="ITC Avant Garde"/>
          <w:i/>
          <w:iCs/>
          <w:sz w:val="18"/>
          <w:szCs w:val="18"/>
          <w:lang w:eastAsia="en-US"/>
        </w:rPr>
      </w:pPr>
      <w:r>
        <w:rPr>
          <w:rFonts w:ascii="ITC Avant Garde" w:eastAsiaTheme="minorHAnsi" w:hAnsi="ITC Avant Garde" w:cs="ITC Avant Garde"/>
          <w:i/>
          <w:iCs/>
          <w:sz w:val="18"/>
          <w:szCs w:val="18"/>
          <w:lang w:eastAsia="en-US"/>
        </w:rPr>
        <w:t>“</w:t>
      </w:r>
      <w:r w:rsidRPr="008B748C">
        <w:rPr>
          <w:rFonts w:ascii="ITC Avant Garde" w:eastAsiaTheme="minorHAnsi" w:hAnsi="ITC Avant Garde" w:cs="ITC Avant Garde"/>
          <w:i/>
          <w:iCs/>
          <w:sz w:val="18"/>
          <w:szCs w:val="18"/>
          <w:lang w:eastAsia="en-US"/>
        </w:rPr>
        <w:t xml:space="preserve">Artículo 13. … </w:t>
      </w:r>
    </w:p>
    <w:p w14:paraId="7173D7E9" w14:textId="77777777" w:rsidR="00AC7FB0" w:rsidRPr="008B748C" w:rsidRDefault="00AC7FB0" w:rsidP="00AC7FB0">
      <w:pPr>
        <w:spacing w:after="0" w:line="276" w:lineRule="auto"/>
        <w:ind w:left="567" w:right="616"/>
        <w:rPr>
          <w:rFonts w:ascii="ITC Avant Garde" w:eastAsiaTheme="minorHAnsi" w:hAnsi="ITC Avant Garde" w:cs="ITC Avant Garde"/>
          <w:i/>
          <w:iCs/>
          <w:sz w:val="18"/>
          <w:szCs w:val="18"/>
          <w:lang w:eastAsia="en-US"/>
        </w:rPr>
      </w:pPr>
    </w:p>
    <w:p w14:paraId="042EF8BD" w14:textId="77777777" w:rsidR="00AC7FB0" w:rsidRPr="008B748C" w:rsidRDefault="00AC7FB0" w:rsidP="00AC7FB0">
      <w:pPr>
        <w:spacing w:after="0" w:line="276" w:lineRule="auto"/>
        <w:ind w:left="567" w:right="616"/>
        <w:rPr>
          <w:rFonts w:ascii="ITC Avant Garde" w:eastAsiaTheme="minorHAnsi" w:hAnsi="ITC Avant Garde" w:cs="ITC Avant Garde"/>
          <w:i/>
          <w:iCs/>
          <w:sz w:val="18"/>
          <w:szCs w:val="18"/>
          <w:lang w:eastAsia="en-US"/>
        </w:rPr>
      </w:pPr>
      <w:r w:rsidRPr="008B748C">
        <w:rPr>
          <w:rFonts w:ascii="ITC Avant Garde" w:eastAsiaTheme="minorHAnsi" w:hAnsi="ITC Avant Garde" w:cs="ITC Avant Garde"/>
          <w:i/>
          <w:iCs/>
          <w:sz w:val="18"/>
          <w:szCs w:val="18"/>
          <w:lang w:eastAsia="en-US"/>
        </w:rPr>
        <w:t>I a V. …</w:t>
      </w:r>
    </w:p>
    <w:p w14:paraId="190929AD" w14:textId="77777777" w:rsidR="00AC7FB0" w:rsidRPr="008B748C" w:rsidRDefault="00AC7FB0" w:rsidP="00AC7FB0">
      <w:pPr>
        <w:spacing w:after="0" w:line="276" w:lineRule="auto"/>
        <w:ind w:left="567" w:right="616"/>
        <w:rPr>
          <w:rFonts w:ascii="ITC Avant Garde" w:eastAsiaTheme="minorHAnsi" w:hAnsi="ITC Avant Garde" w:cs="ITC Avant Garde"/>
          <w:i/>
          <w:iCs/>
          <w:sz w:val="18"/>
          <w:szCs w:val="18"/>
          <w:lang w:eastAsia="en-US"/>
        </w:rPr>
      </w:pPr>
    </w:p>
    <w:p w14:paraId="0F90A279" w14:textId="77777777" w:rsidR="00AC7FB0" w:rsidRPr="008B748C" w:rsidRDefault="00AC7FB0" w:rsidP="00AC7FB0">
      <w:pPr>
        <w:spacing w:after="0" w:line="276" w:lineRule="auto"/>
        <w:ind w:left="567" w:right="616"/>
        <w:rPr>
          <w:rFonts w:ascii="ITC Avant Garde" w:eastAsiaTheme="minorHAnsi" w:hAnsi="ITC Avant Garde" w:cs="ITC Avant Garde"/>
          <w:i/>
          <w:iCs/>
          <w:sz w:val="18"/>
          <w:szCs w:val="18"/>
          <w:lang w:eastAsia="en-US"/>
        </w:rPr>
      </w:pPr>
      <w:r w:rsidRPr="008B748C">
        <w:rPr>
          <w:rFonts w:ascii="ITC Avant Garde" w:eastAsiaTheme="minorHAnsi" w:hAnsi="ITC Avant Garde" w:cs="ITC Avant Garde"/>
          <w:i/>
          <w:iCs/>
          <w:sz w:val="18"/>
          <w:szCs w:val="18"/>
          <w:lang w:eastAsia="en-US"/>
        </w:rPr>
        <w:t>VI. Dar aviso al usuario final con al menos 30, 15 y 5 días de anticipación en caso del cese de prestación de los servicios contratados por éste, informándole la fecha de conclusión de su servicio, sobre su derecho a la portabilidad numérica, y en su caso, las alternativas de concesionarios y/o autorizados que puedan ofrecer la continuidad en la prestación de los servicios. Asimismo, deberá notificar al Concesionario Mayorista Móvil respecto de la fecha de suspensión definitiva de los servicios de telecomunicaciones en los términos y plazos establecidos en el contrato entre las partes; y</w:t>
      </w:r>
      <w:r>
        <w:rPr>
          <w:rFonts w:ascii="ITC Avant Garde" w:eastAsiaTheme="minorHAnsi" w:hAnsi="ITC Avant Garde" w:cs="ITC Avant Garde"/>
          <w:i/>
          <w:iCs/>
          <w:sz w:val="18"/>
          <w:szCs w:val="18"/>
          <w:lang w:eastAsia="en-US"/>
        </w:rPr>
        <w:t>”</w:t>
      </w:r>
      <w:r w:rsidRPr="008B748C" w:rsidDel="00F70A65">
        <w:rPr>
          <w:rFonts w:ascii="ITC Avant Garde" w:eastAsiaTheme="minorHAnsi" w:hAnsi="ITC Avant Garde" w:cs="ITC Avant Garde"/>
          <w:i/>
          <w:iCs/>
          <w:sz w:val="18"/>
          <w:szCs w:val="18"/>
          <w:lang w:eastAsia="en-US"/>
        </w:rPr>
        <w:t xml:space="preserve"> </w:t>
      </w:r>
    </w:p>
    <w:p w14:paraId="527EBA4F" w14:textId="77777777" w:rsidR="00AC7FB0" w:rsidRDefault="00AC7FB0" w:rsidP="00143B42">
      <w:pPr>
        <w:spacing w:after="0" w:line="276" w:lineRule="auto"/>
        <w:ind w:right="49"/>
        <w:rPr>
          <w:rFonts w:ascii="ITC Avant Garde" w:eastAsiaTheme="minorHAnsi" w:hAnsi="ITC Avant Garde" w:cs="ITC Avant Garde"/>
          <w:lang w:eastAsia="en-US"/>
        </w:rPr>
      </w:pPr>
    </w:p>
    <w:p w14:paraId="14F1FD0A" w14:textId="62BE59EA" w:rsidR="00367096" w:rsidRDefault="005D1FC3" w:rsidP="00143B42">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t xml:space="preserve">En el mismo contexto, </w:t>
      </w:r>
      <w:r w:rsidR="008366EB">
        <w:rPr>
          <w:rFonts w:ascii="ITC Avant Garde" w:eastAsiaTheme="minorHAnsi" w:hAnsi="ITC Avant Garde" w:cs="ITC Avant Garde"/>
          <w:lang w:eastAsia="en-US"/>
        </w:rPr>
        <w:t xml:space="preserve">se informa que se ha considerado señalar, en el contenido del artículo 22, que aquellos </w:t>
      </w:r>
      <w:r w:rsidR="008366EB" w:rsidRPr="00864874">
        <w:rPr>
          <w:rFonts w:ascii="ITC Avant Garde" w:eastAsiaTheme="minorHAnsi" w:hAnsi="ITC Avant Garde" w:cs="ITC Avant Garde"/>
          <w:lang w:eastAsia="en-US"/>
        </w:rPr>
        <w:t xml:space="preserve">Operadores Móviles Virtuales </w:t>
      </w:r>
      <w:r w:rsidR="008366EB" w:rsidRPr="00B3769C">
        <w:rPr>
          <w:rFonts w:ascii="ITC Avant Garde" w:eastAsiaTheme="minorHAnsi" w:hAnsi="ITC Avant Garde" w:cs="ITC Avant Garde"/>
          <w:lang w:eastAsia="en-US"/>
        </w:rPr>
        <w:t>que cuenten con infraestructura para la gestión de los servicios provistos a los usuarios finales</w:t>
      </w:r>
      <w:r w:rsidR="008366EB">
        <w:rPr>
          <w:rFonts w:ascii="ITC Avant Garde" w:eastAsiaTheme="minorHAnsi" w:hAnsi="ITC Avant Garde" w:cs="ITC Avant Garde"/>
          <w:lang w:eastAsia="en-US"/>
        </w:rPr>
        <w:t xml:space="preserve"> deberán entregar al Concesionario Mayorista Móvil </w:t>
      </w:r>
      <w:r w:rsidR="008366EB" w:rsidRPr="008E70C1">
        <w:rPr>
          <w:rFonts w:ascii="ITC Avant Garde" w:eastAsiaTheme="minorHAnsi" w:hAnsi="ITC Avant Garde" w:cs="ITC Avant Garde"/>
          <w:lang w:eastAsia="en-US"/>
        </w:rPr>
        <w:t>toda información técnica necesaria para la identificación de los usuarios activos en su red</w:t>
      </w:r>
      <w:r w:rsidR="008366EB">
        <w:rPr>
          <w:rFonts w:ascii="ITC Avant Garde" w:eastAsiaTheme="minorHAnsi" w:hAnsi="ITC Avant Garde" w:cs="ITC Avant Garde"/>
          <w:lang w:eastAsia="en-US"/>
        </w:rPr>
        <w:t xml:space="preserve"> previo al cese de prestación de servicios, lo cual podrá ser objeto de sanciones si no se cumple con dicha obligación.</w:t>
      </w:r>
    </w:p>
    <w:p w14:paraId="6FB5274E" w14:textId="77777777" w:rsidR="00F812DA" w:rsidRDefault="00F812DA" w:rsidP="00143B42">
      <w:pPr>
        <w:spacing w:after="0" w:line="276" w:lineRule="auto"/>
        <w:ind w:right="49"/>
        <w:rPr>
          <w:rFonts w:ascii="ITC Avant Garde" w:eastAsiaTheme="minorHAnsi" w:hAnsi="ITC Avant Garde" w:cs="ITC Avant Garde"/>
          <w:lang w:eastAsia="en-US"/>
        </w:rPr>
      </w:pPr>
    </w:p>
    <w:p w14:paraId="7C666257" w14:textId="54794A28" w:rsidR="00F20E83" w:rsidRPr="0020677C" w:rsidRDefault="002E771B" w:rsidP="0020677C">
      <w:pPr>
        <w:spacing w:after="0" w:line="276" w:lineRule="auto"/>
        <w:ind w:right="49"/>
        <w:rPr>
          <w:rFonts w:ascii="ITC Avant Garde" w:eastAsiaTheme="minorHAnsi" w:hAnsi="ITC Avant Garde" w:cs="ITC Avant Garde"/>
          <w:sz w:val="18"/>
          <w:szCs w:val="18"/>
          <w:lang w:eastAsia="en-US"/>
        </w:rPr>
      </w:pPr>
      <w:r>
        <w:rPr>
          <w:rFonts w:ascii="ITC Avant Garde" w:eastAsiaTheme="minorHAnsi" w:hAnsi="ITC Avant Garde" w:cs="ITC Avant Garde"/>
          <w:lang w:eastAsia="en-US"/>
        </w:rPr>
        <w:t xml:space="preserve">Respecto a que </w:t>
      </w:r>
      <w:r w:rsidRPr="00BD064E">
        <w:rPr>
          <w:rFonts w:ascii="ITC Avant Garde" w:eastAsiaTheme="minorHAnsi" w:hAnsi="ITC Avant Garde" w:cs="ITC Avant Garde"/>
          <w:lang w:eastAsia="en-US"/>
        </w:rPr>
        <w:t xml:space="preserve">los Concesionarios Mayoristas Móviles tendrían que allegarse de la información de los usuarios del OMV (alojados en los sistemas de este) para un correcto aprovisionamiento de los servicios, </w:t>
      </w:r>
      <w:r w:rsidR="00687EBE">
        <w:rPr>
          <w:rFonts w:ascii="ITC Avant Garde" w:eastAsiaTheme="minorHAnsi" w:hAnsi="ITC Avant Garde" w:cs="ITC Avant Garde"/>
          <w:lang w:eastAsia="en-US"/>
        </w:rPr>
        <w:t xml:space="preserve"> </w:t>
      </w:r>
      <w:r w:rsidR="00C12424">
        <w:rPr>
          <w:rFonts w:ascii="ITC Avant Garde" w:hAnsi="ITC Avant Garde"/>
          <w:color w:val="auto"/>
        </w:rPr>
        <w:t xml:space="preserve">en el caso de los OMV Completos, es decir aquellos que cuentan con infraestructura de conmutación y transmisión </w:t>
      </w:r>
      <w:r w:rsidR="00944171" w:rsidRPr="00944171">
        <w:rPr>
          <w:rFonts w:ascii="ITC Avant Garde" w:hAnsi="ITC Avant Garde"/>
          <w:color w:val="auto"/>
        </w:rPr>
        <w:t>que</w:t>
      </w:r>
      <w:r w:rsidR="00944171">
        <w:rPr>
          <w:rFonts w:ascii="ITC Avant Garde" w:hAnsi="ITC Avant Garde"/>
          <w:color w:val="auto"/>
        </w:rPr>
        <w:t xml:space="preserve"> les</w:t>
      </w:r>
      <w:r w:rsidR="00944171" w:rsidRPr="00944171">
        <w:rPr>
          <w:rFonts w:ascii="ITC Avant Garde" w:hAnsi="ITC Avant Garde"/>
          <w:color w:val="auto"/>
        </w:rPr>
        <w:t xml:space="preserve"> permite la gestión de su tráfico y que pueden administrar recursos de numeración</w:t>
      </w:r>
      <w:r w:rsidR="00DA6765">
        <w:rPr>
          <w:rFonts w:ascii="ITC Avant Garde" w:hAnsi="ITC Avant Garde"/>
          <w:color w:val="auto"/>
        </w:rPr>
        <w:t>, son este tipo de OMV quienes cuentan con la información necesaria para la identificación de los usuario</w:t>
      </w:r>
      <w:r w:rsidR="00D57024">
        <w:rPr>
          <w:rFonts w:ascii="ITC Avant Garde" w:hAnsi="ITC Avant Garde"/>
          <w:color w:val="auto"/>
        </w:rPr>
        <w:t xml:space="preserve">s, y que será necesaria para que los Concesionarios Mayoristas Móviles puedan ubicar </w:t>
      </w:r>
      <w:r w:rsidR="00093664">
        <w:rPr>
          <w:rFonts w:ascii="ITC Avant Garde" w:hAnsi="ITC Avant Garde"/>
          <w:color w:val="auto"/>
        </w:rPr>
        <w:t xml:space="preserve">y acceder </w:t>
      </w:r>
      <w:r w:rsidR="00D57024">
        <w:rPr>
          <w:rFonts w:ascii="ITC Avant Garde" w:hAnsi="ITC Avant Garde"/>
          <w:color w:val="auto"/>
        </w:rPr>
        <w:t xml:space="preserve">a aquellos </w:t>
      </w:r>
      <w:r w:rsidR="00664DFB">
        <w:rPr>
          <w:rFonts w:ascii="ITC Avant Garde" w:hAnsi="ITC Avant Garde"/>
          <w:color w:val="auto"/>
        </w:rPr>
        <w:t>usuarios que requieran las funcionalidades establecidas en la Modificación de Lineamientos OMV</w:t>
      </w:r>
      <w:r w:rsidR="00093664">
        <w:rPr>
          <w:rFonts w:ascii="ITC Avant Garde" w:hAnsi="ITC Avant Garde"/>
          <w:color w:val="auto"/>
        </w:rPr>
        <w:t xml:space="preserve">. En este sentido, </w:t>
      </w:r>
      <w:r w:rsidR="0048566B">
        <w:rPr>
          <w:rFonts w:ascii="ITC Avant Garde" w:eastAsiaTheme="minorHAnsi" w:hAnsi="ITC Avant Garde" w:cs="ITC Avant Garde"/>
          <w:lang w:eastAsia="en-US"/>
        </w:rPr>
        <w:t xml:space="preserve">se ha considerado señalar, en el contenido del artículo 22, que aquellos </w:t>
      </w:r>
      <w:r w:rsidR="0048566B" w:rsidRPr="00864874">
        <w:rPr>
          <w:rFonts w:ascii="ITC Avant Garde" w:eastAsiaTheme="minorHAnsi" w:hAnsi="ITC Avant Garde" w:cs="ITC Avant Garde"/>
          <w:lang w:eastAsia="en-US"/>
        </w:rPr>
        <w:t xml:space="preserve">Operadores Móviles Virtuales </w:t>
      </w:r>
      <w:r w:rsidR="0048566B" w:rsidRPr="00B3769C">
        <w:rPr>
          <w:rFonts w:ascii="ITC Avant Garde" w:eastAsiaTheme="minorHAnsi" w:hAnsi="ITC Avant Garde" w:cs="ITC Avant Garde"/>
          <w:lang w:eastAsia="en-US"/>
        </w:rPr>
        <w:t>que cuenten con infraestructura para la gestión de los servicios provistos a los usuarios finales</w:t>
      </w:r>
      <w:r w:rsidR="0048566B">
        <w:rPr>
          <w:rFonts w:ascii="ITC Avant Garde" w:eastAsiaTheme="minorHAnsi" w:hAnsi="ITC Avant Garde" w:cs="ITC Avant Garde"/>
          <w:lang w:eastAsia="en-US"/>
        </w:rPr>
        <w:t xml:space="preserve"> deberán entregar al </w:t>
      </w:r>
      <w:r w:rsidR="0070172C">
        <w:rPr>
          <w:rFonts w:ascii="ITC Avant Garde" w:hAnsi="ITC Avant Garde"/>
          <w:color w:val="auto"/>
        </w:rPr>
        <w:t xml:space="preserve">Concesionario Mayorista Móvil </w:t>
      </w:r>
      <w:r w:rsidR="00CE512E" w:rsidRPr="00CE512E">
        <w:rPr>
          <w:rFonts w:ascii="ITC Avant Garde" w:hAnsi="ITC Avant Garde"/>
          <w:color w:val="auto"/>
        </w:rPr>
        <w:t>toda información técnica necesaria para la identificación de los usuarios activos en su red</w:t>
      </w:r>
      <w:r w:rsidR="00CE512E">
        <w:rPr>
          <w:rFonts w:ascii="ITC Avant Garde" w:hAnsi="ITC Avant Garde"/>
          <w:color w:val="auto"/>
        </w:rPr>
        <w:t xml:space="preserve">, </w:t>
      </w:r>
      <w:r w:rsidR="00CA61A8" w:rsidRPr="00CA61A8">
        <w:rPr>
          <w:rFonts w:ascii="ITC Avant Garde" w:hAnsi="ITC Avant Garde"/>
          <w:color w:val="auto"/>
        </w:rPr>
        <w:t>previo a la suspensión definitiva de la prestación de servicios de telecomunicaciones a sus usuarios finales</w:t>
      </w:r>
      <w:r w:rsidR="00CA61A8">
        <w:rPr>
          <w:rFonts w:ascii="ITC Avant Garde" w:hAnsi="ITC Avant Garde"/>
          <w:color w:val="auto"/>
        </w:rPr>
        <w:t xml:space="preserve">. </w:t>
      </w:r>
      <w:r>
        <w:rPr>
          <w:rFonts w:ascii="ITC Avant Garde" w:hAnsi="ITC Avant Garde"/>
          <w:color w:val="auto"/>
        </w:rPr>
        <w:t>De no entregarse dicha información, el Concesionario Mayorista Móvil no estará obligado a prestar las funcionalidades temporales al estar impedido técnicamente.</w:t>
      </w:r>
    </w:p>
    <w:p w14:paraId="4BA35587" w14:textId="77777777" w:rsidR="00C94E51" w:rsidRDefault="00C94E51" w:rsidP="00143B42">
      <w:pPr>
        <w:spacing w:after="0" w:line="276" w:lineRule="auto"/>
        <w:ind w:right="49"/>
        <w:rPr>
          <w:rFonts w:ascii="ITC Avant Garde" w:eastAsiaTheme="minorHAnsi" w:hAnsi="ITC Avant Garde" w:cs="ITC Avant Garde"/>
          <w:lang w:eastAsia="en-US"/>
        </w:rPr>
      </w:pPr>
    </w:p>
    <w:p w14:paraId="3DC2406E" w14:textId="77777777" w:rsidR="00B26FC6" w:rsidRDefault="00D4078E" w:rsidP="00143B42">
      <w:pPr>
        <w:spacing w:after="0" w:line="276" w:lineRule="auto"/>
        <w:ind w:right="49"/>
        <w:rPr>
          <w:rFonts w:ascii="ITC Avant Garde" w:hAnsi="ITC Avant Garde"/>
          <w:color w:val="auto"/>
        </w:rPr>
      </w:pPr>
      <w:r>
        <w:rPr>
          <w:rFonts w:ascii="ITC Avant Garde" w:eastAsiaTheme="minorHAnsi" w:hAnsi="ITC Avant Garde" w:cs="ITC Avant Garde"/>
          <w:lang w:eastAsia="en-US"/>
        </w:rPr>
        <w:t xml:space="preserve">Respecto a </w:t>
      </w:r>
      <w:r w:rsidR="001D0EC7">
        <w:rPr>
          <w:rFonts w:ascii="ITC Avant Garde" w:eastAsiaTheme="minorHAnsi" w:hAnsi="ITC Avant Garde" w:cs="ITC Avant Garde"/>
          <w:lang w:eastAsia="en-US"/>
        </w:rPr>
        <w:t>la funcionalidad</w:t>
      </w:r>
      <w:r w:rsidR="005F769C">
        <w:rPr>
          <w:rFonts w:ascii="ITC Avant Garde" w:eastAsiaTheme="minorHAnsi" w:hAnsi="ITC Avant Garde" w:cs="ITC Avant Garde"/>
          <w:lang w:eastAsia="en-US"/>
        </w:rPr>
        <w:t xml:space="preserve"> de atención, vía call center, de cualquier duda del usuario </w:t>
      </w:r>
      <w:r w:rsidR="00261877">
        <w:rPr>
          <w:rFonts w:ascii="ITC Avant Garde" w:eastAsiaTheme="minorHAnsi" w:hAnsi="ITC Avant Garde" w:cs="ITC Avant Garde"/>
          <w:lang w:eastAsia="en-US"/>
        </w:rPr>
        <w:t xml:space="preserve">sobre su número y el trámite de portabilidad, </w:t>
      </w:r>
      <w:r w:rsidR="00397E91">
        <w:rPr>
          <w:rFonts w:ascii="ITC Avant Garde" w:eastAsiaTheme="minorHAnsi" w:hAnsi="ITC Avant Garde" w:cs="ITC Avant Garde"/>
          <w:lang w:eastAsia="en-US"/>
        </w:rPr>
        <w:t>su establecimiento en la Modificación de Lineamientos OMV no se contrapone con la obligación que tienen los OMV, previo a</w:t>
      </w:r>
      <w:r w:rsidR="00925E40">
        <w:rPr>
          <w:rFonts w:ascii="ITC Avant Garde" w:eastAsiaTheme="minorHAnsi" w:hAnsi="ITC Avant Garde" w:cs="ITC Avant Garde"/>
          <w:lang w:eastAsia="en-US"/>
        </w:rPr>
        <w:t xml:space="preserve">l </w:t>
      </w:r>
      <w:r w:rsidR="00925E40">
        <w:rPr>
          <w:rFonts w:ascii="ITC Avant Garde" w:hAnsi="ITC Avant Garde"/>
          <w:color w:val="auto"/>
        </w:rPr>
        <w:t>cese de prestación de los servicios</w:t>
      </w:r>
      <w:r w:rsidR="00B26FC6">
        <w:rPr>
          <w:rFonts w:ascii="ITC Avant Garde" w:hAnsi="ITC Avant Garde"/>
          <w:color w:val="auto"/>
        </w:rPr>
        <w:t>, para brindar la información necesaria a sus usuarios y atender cualquier duda al respecto.</w:t>
      </w:r>
    </w:p>
    <w:p w14:paraId="71F3C57C" w14:textId="77777777" w:rsidR="00B26FC6" w:rsidRDefault="00B26FC6" w:rsidP="00143B42">
      <w:pPr>
        <w:spacing w:after="0" w:line="276" w:lineRule="auto"/>
        <w:ind w:right="49"/>
        <w:rPr>
          <w:rFonts w:ascii="ITC Avant Garde" w:eastAsiaTheme="minorHAnsi" w:hAnsi="ITC Avant Garde" w:cs="ITC Avant Garde"/>
          <w:lang w:eastAsia="en-US"/>
        </w:rPr>
      </w:pPr>
    </w:p>
    <w:p w14:paraId="349BE993" w14:textId="0EF8F9F8" w:rsidR="00977C2B" w:rsidRDefault="0098298B" w:rsidP="00143B42">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t xml:space="preserve">Por otra parte, respecto a que el envío de mensajes cortos </w:t>
      </w:r>
      <w:r w:rsidR="00ED5110">
        <w:rPr>
          <w:rFonts w:ascii="ITC Avant Garde" w:eastAsiaTheme="minorHAnsi" w:hAnsi="ITC Avant Garde" w:cs="ITC Avant Garde"/>
          <w:lang w:eastAsia="en-US"/>
        </w:rPr>
        <w:t xml:space="preserve">no solicitados podrían derivan en quejas ante las autoridades correspondientes en contra de los Concesionarios Mayoristas Móviles, </w:t>
      </w:r>
      <w:r w:rsidR="00EA680B">
        <w:rPr>
          <w:rFonts w:ascii="ITC Avant Garde" w:eastAsiaTheme="minorHAnsi" w:hAnsi="ITC Avant Garde" w:cs="ITC Avant Garde"/>
          <w:lang w:eastAsia="en-US"/>
        </w:rPr>
        <w:t xml:space="preserve">se señala que la Modificación de Lineamientos OMV </w:t>
      </w:r>
      <w:r w:rsidR="00834F09">
        <w:rPr>
          <w:rFonts w:ascii="ITC Avant Garde" w:eastAsiaTheme="minorHAnsi" w:hAnsi="ITC Avant Garde" w:cs="ITC Avant Garde"/>
          <w:lang w:eastAsia="en-US"/>
        </w:rPr>
        <w:t>considera únicamente el envío de mensajes relacionados con el derecho de los usuarios a realiz</w:t>
      </w:r>
      <w:r w:rsidR="00985DDC">
        <w:rPr>
          <w:rFonts w:ascii="ITC Avant Garde" w:eastAsiaTheme="minorHAnsi" w:hAnsi="ITC Avant Garde" w:cs="ITC Avant Garde"/>
          <w:lang w:eastAsia="en-US"/>
        </w:rPr>
        <w:t>ar</w:t>
      </w:r>
      <w:r w:rsidR="00834F09">
        <w:rPr>
          <w:rFonts w:ascii="ITC Avant Garde" w:eastAsiaTheme="minorHAnsi" w:hAnsi="ITC Avant Garde" w:cs="ITC Avant Garde"/>
          <w:lang w:eastAsia="en-US"/>
        </w:rPr>
        <w:t xml:space="preserve"> la portabilidad </w:t>
      </w:r>
      <w:r w:rsidR="00985DDC">
        <w:rPr>
          <w:rFonts w:ascii="ITC Avant Garde" w:eastAsiaTheme="minorHAnsi" w:hAnsi="ITC Avant Garde" w:cs="ITC Avant Garde"/>
          <w:lang w:eastAsia="en-US"/>
        </w:rPr>
        <w:t xml:space="preserve">numérica, y </w:t>
      </w:r>
      <w:r w:rsidR="007E5E4F">
        <w:rPr>
          <w:rFonts w:ascii="ITC Avant Garde" w:eastAsiaTheme="minorHAnsi" w:hAnsi="ITC Avant Garde" w:cs="ITC Avant Garde"/>
          <w:lang w:eastAsia="en-US"/>
        </w:rPr>
        <w:t xml:space="preserve">se </w:t>
      </w:r>
      <w:r w:rsidR="00985DDC">
        <w:rPr>
          <w:rFonts w:ascii="ITC Avant Garde" w:eastAsiaTheme="minorHAnsi" w:hAnsi="ITC Avant Garde" w:cs="ITC Avant Garde"/>
          <w:lang w:eastAsia="en-US"/>
        </w:rPr>
        <w:t xml:space="preserve">restringe el </w:t>
      </w:r>
      <w:r w:rsidR="007E5E4F">
        <w:rPr>
          <w:rFonts w:ascii="ITC Avant Garde" w:eastAsiaTheme="minorHAnsi" w:hAnsi="ITC Avant Garde" w:cs="ITC Avant Garde"/>
          <w:lang w:eastAsia="en-US"/>
        </w:rPr>
        <w:t xml:space="preserve">uso de este mecanismo </w:t>
      </w:r>
      <w:r w:rsidR="0033239F">
        <w:rPr>
          <w:rFonts w:ascii="ITC Avant Garde" w:eastAsiaTheme="minorHAnsi" w:hAnsi="ITC Avant Garde" w:cs="ITC Avant Garde"/>
          <w:lang w:eastAsia="en-US"/>
        </w:rPr>
        <w:t xml:space="preserve">de contacto </w:t>
      </w:r>
      <w:r w:rsidR="00985DDC">
        <w:rPr>
          <w:rFonts w:ascii="ITC Avant Garde" w:eastAsiaTheme="minorHAnsi" w:hAnsi="ITC Avant Garde" w:cs="ITC Avant Garde"/>
          <w:lang w:eastAsia="en-US"/>
        </w:rPr>
        <w:t xml:space="preserve">con los usuarios </w:t>
      </w:r>
      <w:r w:rsidR="00C425FC">
        <w:rPr>
          <w:rFonts w:ascii="ITC Avant Garde" w:eastAsiaTheme="minorHAnsi" w:hAnsi="ITC Avant Garde" w:cs="ITC Avant Garde"/>
          <w:lang w:eastAsia="en-US"/>
        </w:rPr>
        <w:t>para</w:t>
      </w:r>
      <w:r w:rsidR="00985DDC">
        <w:rPr>
          <w:rFonts w:ascii="ITC Avant Garde" w:eastAsiaTheme="minorHAnsi" w:hAnsi="ITC Avant Garde" w:cs="ITC Avant Garde"/>
          <w:lang w:eastAsia="en-US"/>
        </w:rPr>
        <w:t xml:space="preserve"> fines de comercialización de servicios propios o de terceros, por lo que el envío de los mensajes no constituyen </w:t>
      </w:r>
      <w:r w:rsidR="00213F2D">
        <w:rPr>
          <w:rFonts w:ascii="ITC Avant Garde" w:eastAsiaTheme="minorHAnsi" w:hAnsi="ITC Avant Garde" w:cs="ITC Avant Garde"/>
          <w:lang w:eastAsia="en-US"/>
        </w:rPr>
        <w:t>mensajes no solicitados.</w:t>
      </w:r>
    </w:p>
    <w:p w14:paraId="7260C6F2" w14:textId="77777777" w:rsidR="00977C2B" w:rsidRDefault="00977C2B" w:rsidP="00143B42">
      <w:pPr>
        <w:spacing w:after="0" w:line="276" w:lineRule="auto"/>
        <w:ind w:right="49"/>
        <w:rPr>
          <w:rFonts w:ascii="ITC Avant Garde" w:eastAsiaTheme="minorHAnsi" w:hAnsi="ITC Avant Garde" w:cs="ITC Avant Garde"/>
          <w:lang w:eastAsia="en-US"/>
        </w:rPr>
      </w:pPr>
    </w:p>
    <w:p w14:paraId="5AC665BB" w14:textId="786C170A" w:rsidR="009F662F" w:rsidRDefault="009F662F" w:rsidP="00143B42">
      <w:pPr>
        <w:spacing w:after="0" w:line="276" w:lineRule="auto"/>
        <w:ind w:right="49"/>
        <w:rPr>
          <w:rFonts w:ascii="ITC Avant Garde" w:eastAsiaTheme="minorHAnsi" w:hAnsi="ITC Avant Garde" w:cs="ITC Avant Garde"/>
          <w:lang w:eastAsia="en-US"/>
        </w:rPr>
      </w:pPr>
      <w:r w:rsidRPr="00114237">
        <w:rPr>
          <w:rFonts w:ascii="ITC Avant Garde" w:eastAsiaTheme="minorHAnsi" w:hAnsi="ITC Avant Garde" w:cs="ITC Avant Garde"/>
          <w:lang w:eastAsia="en-US"/>
        </w:rPr>
        <w:t xml:space="preserve">Respecto a que </w:t>
      </w:r>
      <w:r w:rsidR="00587ADE">
        <w:rPr>
          <w:rFonts w:ascii="ITC Avant Garde" w:eastAsiaTheme="minorHAnsi" w:hAnsi="ITC Avant Garde" w:cs="ITC Avant Garde"/>
          <w:lang w:eastAsia="en-US"/>
        </w:rPr>
        <w:t xml:space="preserve">no se ha considerado qué sucedería </w:t>
      </w:r>
      <w:r w:rsidR="00640699">
        <w:rPr>
          <w:rFonts w:ascii="ITC Avant Garde" w:eastAsiaTheme="minorHAnsi" w:hAnsi="ITC Avant Garde" w:cs="ITC Avant Garde"/>
          <w:lang w:eastAsia="en-US"/>
        </w:rPr>
        <w:t xml:space="preserve">si no acontece una rescisión o terminación del contrato mayorista de prestación de servicios con el OMV, se señala que </w:t>
      </w:r>
      <w:r w:rsidR="00005A91">
        <w:rPr>
          <w:rFonts w:ascii="ITC Avant Garde" w:eastAsiaTheme="minorHAnsi" w:hAnsi="ITC Avant Garde" w:cs="ITC Avant Garde"/>
          <w:lang w:eastAsia="en-US"/>
        </w:rPr>
        <w:t>este acto podrá darse en caso de que el Concesionario Mayorista Móvil</w:t>
      </w:r>
      <w:r w:rsidR="00CC285C">
        <w:rPr>
          <w:rFonts w:ascii="ITC Avant Garde" w:eastAsiaTheme="minorHAnsi" w:hAnsi="ITC Avant Garde" w:cs="ITC Avant Garde"/>
          <w:lang w:eastAsia="en-US"/>
        </w:rPr>
        <w:t>, derivado del incumplimiento de las obligaciones contractuales que tenga el OMV</w:t>
      </w:r>
      <w:r w:rsidR="008E010C">
        <w:rPr>
          <w:rFonts w:ascii="ITC Avant Garde" w:eastAsiaTheme="minorHAnsi" w:hAnsi="ITC Avant Garde" w:cs="ITC Avant Garde"/>
          <w:lang w:eastAsia="en-US"/>
        </w:rPr>
        <w:t xml:space="preserve">, establecidas en los convenios establecidos con el Concesionario Mayorista Móvil, este </w:t>
      </w:r>
      <w:r w:rsidR="00604679">
        <w:rPr>
          <w:rFonts w:ascii="ITC Avant Garde" w:eastAsiaTheme="minorHAnsi" w:hAnsi="ITC Avant Garde" w:cs="ITC Avant Garde"/>
          <w:lang w:eastAsia="en-US"/>
        </w:rPr>
        <w:t>último</w:t>
      </w:r>
      <w:r w:rsidR="008E010C">
        <w:rPr>
          <w:rFonts w:ascii="ITC Avant Garde" w:eastAsiaTheme="minorHAnsi" w:hAnsi="ITC Avant Garde" w:cs="ITC Avant Garde"/>
          <w:lang w:eastAsia="en-US"/>
        </w:rPr>
        <w:t xml:space="preserve"> podrá res</w:t>
      </w:r>
      <w:r w:rsidR="00B87F5E">
        <w:rPr>
          <w:rFonts w:ascii="ITC Avant Garde" w:eastAsiaTheme="minorHAnsi" w:hAnsi="ITC Avant Garde" w:cs="ITC Avant Garde"/>
          <w:lang w:eastAsia="en-US"/>
        </w:rPr>
        <w:t xml:space="preserve">cindir o terminar el convenio suscrito mismo </w:t>
      </w:r>
      <w:r w:rsidR="00B87F5E">
        <w:rPr>
          <w:rFonts w:ascii="ITC Avant Garde" w:eastAsiaTheme="minorHAnsi" w:hAnsi="ITC Avant Garde" w:cs="ITC Avant Garde"/>
          <w:lang w:eastAsia="en-US"/>
        </w:rPr>
        <w:lastRenderedPageBreak/>
        <w:t xml:space="preserve">que podrá ser presentado ante el Instituto </w:t>
      </w:r>
      <w:r w:rsidR="002B62E2">
        <w:rPr>
          <w:rFonts w:ascii="ITC Avant Garde" w:eastAsiaTheme="minorHAnsi" w:hAnsi="ITC Avant Garde" w:cs="ITC Avant Garde"/>
          <w:lang w:eastAsia="en-US"/>
        </w:rPr>
        <w:t xml:space="preserve">con el objetivo de identificar el momento en que dará inicio el periodo establecido para la prestación de funcionalidades considerado en la Modificación de Lineamientos </w:t>
      </w:r>
      <w:r w:rsidR="00B639E3">
        <w:rPr>
          <w:rFonts w:ascii="ITC Avant Garde" w:eastAsiaTheme="minorHAnsi" w:hAnsi="ITC Avant Garde" w:cs="ITC Avant Garde"/>
          <w:lang w:eastAsia="en-US"/>
        </w:rPr>
        <w:t>OMV.</w:t>
      </w:r>
    </w:p>
    <w:p w14:paraId="799486B6" w14:textId="77777777" w:rsidR="00B639E3" w:rsidRDefault="00B639E3" w:rsidP="00143B42">
      <w:pPr>
        <w:spacing w:after="0" w:line="276" w:lineRule="auto"/>
        <w:ind w:right="49"/>
        <w:rPr>
          <w:rFonts w:ascii="ITC Avant Garde" w:eastAsiaTheme="minorHAnsi" w:hAnsi="ITC Avant Garde" w:cs="ITC Avant Garde"/>
          <w:lang w:eastAsia="en-US"/>
        </w:rPr>
      </w:pPr>
    </w:p>
    <w:p w14:paraId="09C95E31" w14:textId="13BCCEA7" w:rsidR="00B639E3" w:rsidRDefault="00B639E3" w:rsidP="00143B42">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t xml:space="preserve">En este contexto, resulta adecuado precisar que, </w:t>
      </w:r>
      <w:r w:rsidR="005F72BF">
        <w:rPr>
          <w:rFonts w:ascii="ITC Avant Garde" w:eastAsiaTheme="minorHAnsi" w:hAnsi="ITC Avant Garde" w:cs="ITC Avant Garde"/>
          <w:lang w:eastAsia="en-US"/>
        </w:rPr>
        <w:t xml:space="preserve">en el caso particular en que un Operador Móvil Virtual Completo incumpliera en sus obligaciones contractuales </w:t>
      </w:r>
      <w:r w:rsidR="00100EF9">
        <w:rPr>
          <w:rFonts w:ascii="ITC Avant Garde" w:eastAsiaTheme="minorHAnsi" w:hAnsi="ITC Avant Garde" w:cs="ITC Avant Garde"/>
          <w:lang w:eastAsia="en-US"/>
        </w:rPr>
        <w:t xml:space="preserve">establecidas con el Concesionario Mayorista Móvil, y que adicional a esto, no cumpliera con la obligación de presentar </w:t>
      </w:r>
      <w:r w:rsidR="00E65101">
        <w:rPr>
          <w:rFonts w:ascii="ITC Avant Garde" w:eastAsiaTheme="minorHAnsi" w:hAnsi="ITC Avant Garde" w:cs="ITC Avant Garde"/>
          <w:lang w:eastAsia="en-US"/>
        </w:rPr>
        <w:t xml:space="preserve">a este </w:t>
      </w:r>
      <w:r w:rsidR="005F7497">
        <w:rPr>
          <w:rFonts w:ascii="ITC Avant Garde" w:eastAsiaTheme="minorHAnsi" w:hAnsi="ITC Avant Garde" w:cs="ITC Avant Garde"/>
          <w:lang w:eastAsia="en-US"/>
        </w:rPr>
        <w:t>último</w:t>
      </w:r>
      <w:r w:rsidR="00E65101">
        <w:rPr>
          <w:rFonts w:ascii="ITC Avant Garde" w:eastAsiaTheme="minorHAnsi" w:hAnsi="ITC Avant Garde" w:cs="ITC Avant Garde"/>
          <w:lang w:eastAsia="en-US"/>
        </w:rPr>
        <w:t xml:space="preserve"> </w:t>
      </w:r>
      <w:r w:rsidR="00E65101" w:rsidRPr="008E70C1">
        <w:rPr>
          <w:rFonts w:ascii="ITC Avant Garde" w:eastAsiaTheme="minorHAnsi" w:hAnsi="ITC Avant Garde" w:cs="ITC Avant Garde"/>
          <w:lang w:eastAsia="en-US"/>
        </w:rPr>
        <w:t>toda información técnica necesaria para la identificación de los usuarios activos en su red</w:t>
      </w:r>
      <w:r w:rsidR="00E65101">
        <w:rPr>
          <w:rFonts w:ascii="ITC Avant Garde" w:eastAsiaTheme="minorHAnsi" w:hAnsi="ITC Avant Garde" w:cs="ITC Avant Garde"/>
          <w:lang w:eastAsia="en-US"/>
        </w:rPr>
        <w:t xml:space="preserve"> previo al cese de prestación de servicios, el Concesionario Mayorista Móvil </w:t>
      </w:r>
      <w:r w:rsidR="00A74426">
        <w:rPr>
          <w:rFonts w:ascii="ITC Avant Garde" w:eastAsiaTheme="minorHAnsi" w:hAnsi="ITC Avant Garde" w:cs="ITC Avant Garde"/>
          <w:lang w:eastAsia="en-US"/>
        </w:rPr>
        <w:t>quedaría</w:t>
      </w:r>
      <w:r w:rsidR="00C862C5">
        <w:rPr>
          <w:rFonts w:ascii="ITC Avant Garde" w:eastAsiaTheme="minorHAnsi" w:hAnsi="ITC Avant Garde" w:cs="ITC Avant Garde"/>
          <w:lang w:eastAsia="en-US"/>
        </w:rPr>
        <w:t xml:space="preserve"> exento de la responsabilidad de brindar las funcionalidades a los </w:t>
      </w:r>
      <w:r w:rsidR="001F2A09">
        <w:rPr>
          <w:rFonts w:ascii="ITC Avant Garde" w:eastAsiaTheme="minorHAnsi" w:hAnsi="ITC Avant Garde" w:cs="ITC Avant Garde"/>
          <w:lang w:eastAsia="en-US"/>
        </w:rPr>
        <w:t xml:space="preserve">usuarios de dicho Operador Móvil Virtual </w:t>
      </w:r>
      <w:r w:rsidR="00D716E9">
        <w:rPr>
          <w:rFonts w:ascii="ITC Avant Garde" w:eastAsiaTheme="minorHAnsi" w:hAnsi="ITC Avant Garde" w:cs="ITC Avant Garde"/>
          <w:lang w:eastAsia="en-US"/>
        </w:rPr>
        <w:t>C</w:t>
      </w:r>
      <w:r w:rsidR="001F2A09">
        <w:rPr>
          <w:rFonts w:ascii="ITC Avant Garde" w:eastAsiaTheme="minorHAnsi" w:hAnsi="ITC Avant Garde" w:cs="ITC Avant Garde"/>
          <w:lang w:eastAsia="en-US"/>
        </w:rPr>
        <w:t xml:space="preserve">ompleto, puesto que se encontraría impedido técnicamente para la </w:t>
      </w:r>
      <w:r w:rsidR="002E45BC">
        <w:rPr>
          <w:rFonts w:ascii="ITC Avant Garde" w:eastAsiaTheme="minorHAnsi" w:hAnsi="ITC Avant Garde" w:cs="ITC Avant Garde"/>
          <w:lang w:eastAsia="en-US"/>
        </w:rPr>
        <w:t>gestión de dichos usuarios.</w:t>
      </w:r>
    </w:p>
    <w:p w14:paraId="4B83CCE9" w14:textId="77777777" w:rsidR="00550201" w:rsidRDefault="00550201" w:rsidP="00143B42">
      <w:pPr>
        <w:spacing w:after="0" w:line="276" w:lineRule="auto"/>
        <w:ind w:right="49"/>
        <w:rPr>
          <w:rFonts w:ascii="ITC Avant Garde" w:eastAsiaTheme="minorHAnsi" w:hAnsi="ITC Avant Garde" w:cs="ITC Avant Garde"/>
          <w:lang w:eastAsia="en-US"/>
        </w:rPr>
      </w:pPr>
    </w:p>
    <w:p w14:paraId="30E74B24" w14:textId="40D364BD" w:rsidR="00A96950" w:rsidRPr="00114237" w:rsidRDefault="00436B08" w:rsidP="00143B42">
      <w:pPr>
        <w:spacing w:after="0" w:line="276" w:lineRule="auto"/>
        <w:ind w:right="49"/>
        <w:rPr>
          <w:rFonts w:ascii="ITC Avant Garde" w:eastAsiaTheme="minorHAnsi" w:hAnsi="ITC Avant Garde" w:cs="ITC Avant Garde"/>
          <w:lang w:eastAsia="en-US"/>
        </w:rPr>
      </w:pPr>
      <w:r w:rsidRPr="00114237">
        <w:rPr>
          <w:rFonts w:ascii="ITC Avant Garde" w:eastAsiaTheme="minorHAnsi" w:hAnsi="ITC Avant Garde" w:cs="ITC Avant Garde"/>
          <w:lang w:eastAsia="en-US"/>
        </w:rPr>
        <w:t xml:space="preserve">En cuanto a la solicitud de </w:t>
      </w:r>
      <w:r w:rsidR="00621C1D" w:rsidRPr="00114237">
        <w:rPr>
          <w:rFonts w:ascii="ITC Avant Garde" w:eastAsiaTheme="minorHAnsi" w:hAnsi="ITC Avant Garde" w:cs="ITC Avant Garde"/>
          <w:lang w:eastAsia="en-US"/>
        </w:rPr>
        <w:t>incorporar a lo</w:t>
      </w:r>
      <w:r w:rsidR="005E1AE0" w:rsidRPr="00114237">
        <w:rPr>
          <w:rFonts w:ascii="ITC Avant Garde" w:eastAsiaTheme="minorHAnsi" w:hAnsi="ITC Avant Garde" w:cs="ITC Avant Garde"/>
          <w:lang w:eastAsia="en-US"/>
        </w:rPr>
        <w:t>s</w:t>
      </w:r>
      <w:r w:rsidR="00621C1D" w:rsidRPr="00114237">
        <w:rPr>
          <w:rFonts w:ascii="ITC Avant Garde" w:eastAsiaTheme="minorHAnsi" w:hAnsi="ITC Avant Garde" w:cs="ITC Avant Garde"/>
          <w:lang w:eastAsia="en-US"/>
        </w:rPr>
        <w:t xml:space="preserve"> Lineamientos el reembolso</w:t>
      </w:r>
      <w:r w:rsidR="00D42180" w:rsidRPr="00114237">
        <w:rPr>
          <w:rFonts w:ascii="ITC Avant Garde" w:eastAsiaTheme="minorHAnsi" w:hAnsi="ITC Avant Garde" w:cs="ITC Avant Garde"/>
          <w:lang w:eastAsia="en-US"/>
        </w:rPr>
        <w:t xml:space="preserve"> al Concesionario Mayorista Móvil</w:t>
      </w:r>
      <w:r w:rsidR="00621C1D" w:rsidRPr="00114237">
        <w:rPr>
          <w:rFonts w:ascii="ITC Avant Garde" w:eastAsiaTheme="minorHAnsi" w:hAnsi="ITC Avant Garde" w:cs="ITC Avant Garde"/>
          <w:lang w:eastAsia="en-US"/>
        </w:rPr>
        <w:t xml:space="preserve"> de </w:t>
      </w:r>
      <w:r w:rsidR="00D42180" w:rsidRPr="00114237">
        <w:rPr>
          <w:rFonts w:ascii="ITC Avant Garde" w:eastAsiaTheme="minorHAnsi" w:hAnsi="ITC Avant Garde" w:cs="ITC Avant Garde"/>
          <w:lang w:eastAsia="en-US"/>
        </w:rPr>
        <w:t>todas aquellas cantidades que resulten de tráfico del servicio de atención que se proporcionen a los usuarios OMV</w:t>
      </w:r>
      <w:r w:rsidR="005E1AE0" w:rsidRPr="00114237">
        <w:rPr>
          <w:rFonts w:ascii="ITC Avant Garde" w:eastAsiaTheme="minorHAnsi" w:hAnsi="ITC Avant Garde" w:cs="ITC Avant Garde"/>
          <w:lang w:eastAsia="en-US"/>
        </w:rPr>
        <w:t>, o que el contrato de prestación de servicio</w:t>
      </w:r>
      <w:r w:rsidR="001543DE" w:rsidRPr="00114237">
        <w:rPr>
          <w:rFonts w:ascii="ITC Avant Garde" w:eastAsiaTheme="minorHAnsi" w:hAnsi="ITC Avant Garde" w:cs="ITC Avant Garde"/>
          <w:lang w:eastAsia="en-US"/>
        </w:rPr>
        <w:t>s</w:t>
      </w:r>
      <w:r w:rsidR="005E1AE0" w:rsidRPr="00114237">
        <w:rPr>
          <w:rFonts w:ascii="ITC Avant Garde" w:eastAsiaTheme="minorHAnsi" w:hAnsi="ITC Avant Garde" w:cs="ITC Avant Garde"/>
          <w:lang w:eastAsia="en-US"/>
        </w:rPr>
        <w:t xml:space="preserve"> mayoristas contenga una garantía </w:t>
      </w:r>
      <w:r w:rsidR="00D829A3" w:rsidRPr="00114237">
        <w:rPr>
          <w:rFonts w:ascii="ITC Avant Garde" w:eastAsiaTheme="minorHAnsi" w:hAnsi="ITC Avant Garde" w:cs="ITC Avant Garde"/>
          <w:lang w:eastAsia="en-US"/>
        </w:rPr>
        <w:t>en favor del Concesionario Mayorista Móvil que garantice el pago de las cantidades resultantes por dicho</w:t>
      </w:r>
      <w:r w:rsidR="009220A1" w:rsidRPr="00114237">
        <w:rPr>
          <w:rFonts w:ascii="ITC Avant Garde" w:eastAsiaTheme="minorHAnsi" w:hAnsi="ITC Avant Garde" w:cs="ITC Avant Garde"/>
          <w:lang w:eastAsia="en-US"/>
        </w:rPr>
        <w:t xml:space="preserve"> tráfico, así como la propuesta de autorizar al Concesionario Mayorista Móvil a cobr</w:t>
      </w:r>
      <w:r w:rsidR="00863C93" w:rsidRPr="00114237">
        <w:rPr>
          <w:rFonts w:ascii="ITC Avant Garde" w:eastAsiaTheme="minorHAnsi" w:hAnsi="ITC Avant Garde" w:cs="ITC Avant Garde"/>
          <w:lang w:eastAsia="en-US"/>
        </w:rPr>
        <w:t xml:space="preserve">ar una cuota adicional a las tarifas del contrato de servicios mayoristas que podrá ser devuelta al </w:t>
      </w:r>
      <w:r w:rsidR="00193146">
        <w:rPr>
          <w:rFonts w:ascii="ITC Avant Garde" w:eastAsiaTheme="minorHAnsi" w:hAnsi="ITC Avant Garde" w:cs="ITC Avant Garde"/>
          <w:lang w:eastAsia="en-US"/>
        </w:rPr>
        <w:t>OMV</w:t>
      </w:r>
      <w:r w:rsidR="00863C93" w:rsidRPr="00114237">
        <w:rPr>
          <w:rFonts w:ascii="ITC Avant Garde" w:eastAsiaTheme="minorHAnsi" w:hAnsi="ITC Avant Garde" w:cs="ITC Avant Garde"/>
          <w:lang w:eastAsia="en-US"/>
        </w:rPr>
        <w:t xml:space="preserve"> en caso de no requerirse, en principio </w:t>
      </w:r>
      <w:r w:rsidR="00D716E9">
        <w:rPr>
          <w:rFonts w:ascii="ITC Avant Garde" w:eastAsiaTheme="minorHAnsi" w:hAnsi="ITC Avant Garde" w:cs="ITC Avant Garde"/>
          <w:lang w:eastAsia="en-US"/>
        </w:rPr>
        <w:t>s</w:t>
      </w:r>
      <w:r w:rsidR="00863C93" w:rsidRPr="00114237">
        <w:rPr>
          <w:rFonts w:ascii="ITC Avant Garde" w:eastAsiaTheme="minorHAnsi" w:hAnsi="ITC Avant Garde" w:cs="ITC Avant Garde"/>
          <w:lang w:eastAsia="en-US"/>
        </w:rPr>
        <w:t xml:space="preserve">e señala que dichas propuestas </w:t>
      </w:r>
      <w:r w:rsidR="002E24D4" w:rsidRPr="00114237">
        <w:rPr>
          <w:rFonts w:ascii="ITC Avant Garde" w:eastAsiaTheme="minorHAnsi" w:hAnsi="ITC Avant Garde" w:cs="ITC Avant Garde"/>
          <w:lang w:eastAsia="en-US"/>
        </w:rPr>
        <w:t xml:space="preserve">resultarían en </w:t>
      </w:r>
      <w:r w:rsidR="00334221">
        <w:rPr>
          <w:rFonts w:ascii="ITC Avant Garde" w:eastAsiaTheme="minorHAnsi" w:hAnsi="ITC Avant Garde" w:cs="ITC Avant Garde"/>
          <w:lang w:eastAsia="en-US"/>
        </w:rPr>
        <w:t xml:space="preserve">un </w:t>
      </w:r>
      <w:r w:rsidR="00ED67B8" w:rsidRPr="00114237">
        <w:rPr>
          <w:rFonts w:ascii="ITC Avant Garde" w:eastAsiaTheme="minorHAnsi" w:hAnsi="ITC Avant Garde" w:cs="ITC Avant Garde"/>
          <w:lang w:eastAsia="en-US"/>
        </w:rPr>
        <w:t xml:space="preserve">desincentivo para la entrada de nuevos operadores móviles virtuales al mercado, pues los costos </w:t>
      </w:r>
      <w:r w:rsidR="00904CBE" w:rsidRPr="00114237">
        <w:rPr>
          <w:rFonts w:ascii="ITC Avant Garde" w:eastAsiaTheme="minorHAnsi" w:hAnsi="ITC Avant Garde" w:cs="ITC Avant Garde"/>
          <w:lang w:eastAsia="en-US"/>
        </w:rPr>
        <w:t xml:space="preserve">asociados a ello incrementarían. </w:t>
      </w:r>
    </w:p>
    <w:p w14:paraId="411637F7" w14:textId="77777777" w:rsidR="00A96950" w:rsidRPr="00114237" w:rsidRDefault="00A96950" w:rsidP="00143B42">
      <w:pPr>
        <w:spacing w:after="0" w:line="276" w:lineRule="auto"/>
        <w:ind w:right="49"/>
        <w:rPr>
          <w:rFonts w:ascii="ITC Avant Garde" w:eastAsiaTheme="minorHAnsi" w:hAnsi="ITC Avant Garde" w:cs="ITC Avant Garde"/>
          <w:lang w:eastAsia="en-US"/>
        </w:rPr>
      </w:pPr>
    </w:p>
    <w:p w14:paraId="0CC9C4EE" w14:textId="63EE60C8" w:rsidR="00550201" w:rsidRDefault="00904CBE" w:rsidP="00143B42">
      <w:pPr>
        <w:spacing w:after="0" w:line="276" w:lineRule="auto"/>
        <w:ind w:right="49"/>
        <w:rPr>
          <w:rFonts w:ascii="ITC Avant Garde" w:eastAsiaTheme="minorHAnsi" w:hAnsi="ITC Avant Garde" w:cs="ITC Avant Garde"/>
          <w:lang w:eastAsia="en-US"/>
        </w:rPr>
      </w:pPr>
      <w:r w:rsidRPr="00114237">
        <w:rPr>
          <w:rFonts w:ascii="ITC Avant Garde" w:eastAsiaTheme="minorHAnsi" w:hAnsi="ITC Avant Garde" w:cs="ITC Avant Garde"/>
          <w:lang w:eastAsia="en-US"/>
        </w:rPr>
        <w:t xml:space="preserve">Asimismo, resulta adecuado señalar que los convenios </w:t>
      </w:r>
      <w:r w:rsidR="00DC27BA" w:rsidRPr="00114237">
        <w:rPr>
          <w:rFonts w:ascii="ITC Avant Garde" w:eastAsiaTheme="minorHAnsi" w:hAnsi="ITC Avant Garde" w:cs="ITC Avant Garde"/>
          <w:lang w:eastAsia="en-US"/>
        </w:rPr>
        <w:t xml:space="preserve">celebrados entre los Concesionarios Mayoristas Móviles y los Operadores Móviles Virtuales, para la prestación mayorista de servicios, </w:t>
      </w:r>
      <w:r w:rsidR="001F517F" w:rsidRPr="00114237">
        <w:rPr>
          <w:rFonts w:ascii="ITC Avant Garde" w:eastAsiaTheme="minorHAnsi" w:hAnsi="ITC Avant Garde" w:cs="ITC Avant Garde"/>
          <w:lang w:eastAsia="en-US"/>
        </w:rPr>
        <w:t>se establecen a través de libre negociación entre las partes,</w:t>
      </w:r>
      <w:r w:rsidR="00180D7C" w:rsidRPr="00114237">
        <w:rPr>
          <w:rFonts w:ascii="ITC Avant Garde" w:eastAsiaTheme="minorHAnsi" w:hAnsi="ITC Avant Garde" w:cs="ITC Avant Garde"/>
          <w:lang w:eastAsia="en-US"/>
        </w:rPr>
        <w:t xml:space="preserve"> salvo </w:t>
      </w:r>
      <w:r w:rsidR="00F42E2C">
        <w:rPr>
          <w:rFonts w:ascii="ITC Avant Garde" w:eastAsiaTheme="minorHAnsi" w:hAnsi="ITC Avant Garde" w:cs="ITC Avant Garde"/>
          <w:lang w:eastAsia="en-US"/>
        </w:rPr>
        <w:t>por la Oferta d</w:t>
      </w:r>
      <w:r w:rsidR="007F4770">
        <w:rPr>
          <w:rFonts w:ascii="ITC Avant Garde" w:eastAsiaTheme="minorHAnsi" w:hAnsi="ITC Avant Garde" w:cs="ITC Avant Garde"/>
          <w:lang w:eastAsia="en-US"/>
        </w:rPr>
        <w:t>e Referencia</w:t>
      </w:r>
      <w:r w:rsidR="00F3114A">
        <w:rPr>
          <w:rFonts w:ascii="ITC Avant Garde" w:eastAsiaTheme="minorHAnsi" w:hAnsi="ITC Avant Garde" w:cs="ITC Avant Garde"/>
          <w:lang w:eastAsia="en-US"/>
        </w:rPr>
        <w:t xml:space="preserve"> del operador de la Red Compartida Mayorista y</w:t>
      </w:r>
      <w:r w:rsidR="005D33BF">
        <w:rPr>
          <w:rFonts w:ascii="ITC Avant Garde" w:eastAsiaTheme="minorHAnsi" w:hAnsi="ITC Avant Garde" w:cs="ITC Avant Garde"/>
          <w:lang w:eastAsia="en-US"/>
        </w:rPr>
        <w:t xml:space="preserve"> la correspondiente al</w:t>
      </w:r>
      <w:r w:rsidR="00180D7C" w:rsidRPr="00114237">
        <w:rPr>
          <w:rFonts w:ascii="ITC Avant Garde" w:eastAsiaTheme="minorHAnsi" w:hAnsi="ITC Avant Garde" w:cs="ITC Avant Garde"/>
          <w:lang w:eastAsia="en-US"/>
        </w:rPr>
        <w:t xml:space="preserve"> Agente Económico Preponderante</w:t>
      </w:r>
      <w:r w:rsidR="00AB29BB" w:rsidRPr="00114237">
        <w:rPr>
          <w:rFonts w:ascii="ITC Avant Garde" w:eastAsiaTheme="minorHAnsi" w:hAnsi="ITC Avant Garde" w:cs="ITC Avant Garde"/>
          <w:lang w:eastAsia="en-US"/>
        </w:rPr>
        <w:t xml:space="preserve"> mediante su Oferta de Referencia</w:t>
      </w:r>
      <w:r w:rsidR="003F4900">
        <w:rPr>
          <w:rFonts w:ascii="ITC Avant Garde" w:eastAsiaTheme="minorHAnsi" w:hAnsi="ITC Avant Garde" w:cs="ITC Avant Garde"/>
          <w:lang w:eastAsia="en-US"/>
        </w:rPr>
        <w:t>,</w:t>
      </w:r>
      <w:r w:rsidR="00AB29BB" w:rsidRPr="00114237">
        <w:rPr>
          <w:rFonts w:ascii="ITC Avant Garde" w:eastAsiaTheme="minorHAnsi" w:hAnsi="ITC Avant Garde" w:cs="ITC Avant Garde"/>
          <w:lang w:eastAsia="en-US"/>
        </w:rPr>
        <w:t xml:space="preserve"> la cual sí considera clausulado de garantías</w:t>
      </w:r>
      <w:r w:rsidR="001A4F10">
        <w:rPr>
          <w:rFonts w:ascii="ITC Avant Garde" w:eastAsiaTheme="minorHAnsi" w:hAnsi="ITC Avant Garde" w:cs="ITC Avant Garde"/>
          <w:lang w:eastAsia="en-US"/>
        </w:rPr>
        <w:t xml:space="preserve"> asociadas a la prestación de los servicios al OMV.</w:t>
      </w:r>
    </w:p>
    <w:p w14:paraId="34AA91F3" w14:textId="77777777" w:rsidR="003D4105" w:rsidRDefault="003D4105" w:rsidP="00143B42">
      <w:pPr>
        <w:spacing w:after="0" w:line="276" w:lineRule="auto"/>
        <w:ind w:right="49"/>
        <w:rPr>
          <w:rFonts w:ascii="ITC Avant Garde" w:eastAsiaTheme="minorHAnsi" w:hAnsi="ITC Avant Garde" w:cs="ITC Avant Garde"/>
          <w:lang w:eastAsia="en-US"/>
        </w:rPr>
      </w:pPr>
    </w:p>
    <w:p w14:paraId="33E4EEE1" w14:textId="6173A7D5" w:rsidR="009C69D1" w:rsidRDefault="00FF5796" w:rsidP="009C69D1">
      <w:pPr>
        <w:spacing w:after="0" w:line="276" w:lineRule="auto"/>
        <w:ind w:right="49"/>
        <w:rPr>
          <w:rFonts w:ascii="ITC Avant Garde" w:hAnsi="ITC Avant Garde"/>
          <w:color w:val="auto"/>
        </w:rPr>
      </w:pPr>
      <w:r>
        <w:rPr>
          <w:rFonts w:ascii="ITC Avant Garde" w:eastAsiaTheme="minorHAnsi" w:hAnsi="ITC Avant Garde" w:cs="ITC Avant Garde"/>
          <w:lang w:eastAsia="en-US"/>
        </w:rPr>
        <w:t>Finalmente, respecto a</w:t>
      </w:r>
      <w:r w:rsidR="00B9717F">
        <w:rPr>
          <w:rFonts w:ascii="ITC Avant Garde" w:eastAsiaTheme="minorHAnsi" w:hAnsi="ITC Avant Garde" w:cs="ITC Avant Garde"/>
          <w:lang w:eastAsia="en-US"/>
        </w:rPr>
        <w:t xml:space="preserve"> la solicitud de establecer que será el Concesionario Mayorista Móvil quien podrá ofrecer </w:t>
      </w:r>
      <w:r w:rsidR="00ED25F0">
        <w:rPr>
          <w:rFonts w:ascii="ITC Avant Garde" w:eastAsiaTheme="minorHAnsi" w:hAnsi="ITC Avant Garde" w:cs="ITC Avant Garde"/>
          <w:lang w:eastAsia="en-US"/>
        </w:rPr>
        <w:t>sus servicios a los usuarios afectados por el cese de operaciones de su OMV</w:t>
      </w:r>
      <w:r w:rsidR="003335B1">
        <w:rPr>
          <w:rFonts w:ascii="ITC Avant Garde" w:eastAsiaTheme="minorHAnsi" w:hAnsi="ITC Avant Garde" w:cs="ITC Avant Garde"/>
          <w:lang w:eastAsia="en-US"/>
        </w:rPr>
        <w:t xml:space="preserve"> se señala que </w:t>
      </w:r>
      <w:r w:rsidR="009C69D1">
        <w:rPr>
          <w:rFonts w:ascii="ITC Avant Garde" w:hAnsi="ITC Avant Garde"/>
          <w:color w:val="auto"/>
        </w:rPr>
        <w:t xml:space="preserve">el contacto con el usuario permitiendo la comercialización de servicios propios o de terceros podría dar lugar a prácticas anticompetitivas. </w:t>
      </w:r>
      <w:r w:rsidR="009C69D1" w:rsidRPr="0077717A">
        <w:rPr>
          <w:rFonts w:ascii="ITC Avant Garde" w:hAnsi="ITC Avant Garde"/>
          <w:color w:val="auto"/>
        </w:rPr>
        <w:t xml:space="preserve">Estas prácticas podrían traducirse en una explotación indebida de la situación de vulnerabilidad en la que se encuentran los usuarios tras el cese de operaciones del OMV, afectando su capacidad de </w:t>
      </w:r>
      <w:r w:rsidR="009C69D1" w:rsidRPr="0077717A">
        <w:rPr>
          <w:rFonts w:ascii="ITC Avant Garde" w:hAnsi="ITC Avant Garde"/>
          <w:color w:val="auto"/>
        </w:rPr>
        <w:lastRenderedPageBreak/>
        <w:t>elección</w:t>
      </w:r>
      <w:r w:rsidR="009C69D1">
        <w:rPr>
          <w:rFonts w:ascii="ITC Avant Garde" w:hAnsi="ITC Avant Garde"/>
          <w:color w:val="auto"/>
        </w:rPr>
        <w:t xml:space="preserve">. </w:t>
      </w:r>
      <w:r w:rsidR="009C69D1" w:rsidRPr="00365290">
        <w:rPr>
          <w:rFonts w:ascii="ITC Avant Garde" w:hAnsi="ITC Avant Garde"/>
          <w:color w:val="auto"/>
        </w:rPr>
        <w:t>Además, este tipo de acciones podría derivar en una ventaja desleal para el Concesionario Mayorista frente a otros actores del mercado, al contar con acceso privilegiado a los usuarios en un momento crítico</w:t>
      </w:r>
      <w:r w:rsidR="009C69D1">
        <w:rPr>
          <w:rFonts w:ascii="ITC Avant Garde" w:hAnsi="ITC Avant Garde"/>
          <w:color w:val="auto"/>
        </w:rPr>
        <w:t xml:space="preserve"> en la que el usuario debe realizar una elección de un nuevo proveedor de servicios</w:t>
      </w:r>
      <w:r w:rsidR="009C69D1" w:rsidRPr="00365290">
        <w:rPr>
          <w:rFonts w:ascii="ITC Avant Garde" w:hAnsi="ITC Avant Garde"/>
          <w:color w:val="auto"/>
        </w:rPr>
        <w:t>.</w:t>
      </w:r>
    </w:p>
    <w:p w14:paraId="5065F789" w14:textId="77777777" w:rsidR="005D0CD4" w:rsidRDefault="005D0CD4" w:rsidP="00143B42">
      <w:pPr>
        <w:spacing w:after="0" w:line="276" w:lineRule="auto"/>
        <w:ind w:right="49"/>
        <w:rPr>
          <w:rFonts w:ascii="ITC Avant Garde" w:eastAsiaTheme="minorHAnsi" w:hAnsi="ITC Avant Garde" w:cs="ITC Avant Garde"/>
          <w:lang w:eastAsia="en-US"/>
        </w:rPr>
      </w:pPr>
    </w:p>
    <w:p w14:paraId="257EE8AA" w14:textId="2980A7F7" w:rsidR="00530E29" w:rsidRPr="009C4398" w:rsidRDefault="00E024ED" w:rsidP="00530E29">
      <w:pPr>
        <w:spacing w:after="0" w:line="276" w:lineRule="auto"/>
        <w:ind w:right="49"/>
        <w:rPr>
          <w:rFonts w:ascii="ITC Avant Garde" w:hAnsi="ITC Avant Garde"/>
          <w:b/>
          <w:bCs/>
          <w:color w:val="auto"/>
        </w:rPr>
      </w:pPr>
      <w:r>
        <w:rPr>
          <w:rFonts w:ascii="ITC Avant Garde" w:hAnsi="ITC Avant Garde"/>
          <w:b/>
          <w:bCs/>
          <w:color w:val="auto"/>
        </w:rPr>
        <w:t>Oriónidas</w:t>
      </w:r>
    </w:p>
    <w:p w14:paraId="76CE5E20" w14:textId="559E92DC" w:rsidR="00E024ED" w:rsidRPr="00E024ED" w:rsidRDefault="00E024ED" w:rsidP="00E024ED">
      <w:pPr>
        <w:spacing w:after="0" w:line="276" w:lineRule="auto"/>
        <w:ind w:right="49"/>
        <w:rPr>
          <w:rFonts w:ascii="ITC Avant Garde" w:eastAsiaTheme="minorHAnsi" w:hAnsi="ITC Avant Garde" w:cs="ITC Avant Garde"/>
          <w:lang w:eastAsia="en-US"/>
        </w:rPr>
      </w:pPr>
      <w:r w:rsidRPr="00E024ED">
        <w:rPr>
          <w:rFonts w:ascii="ITC Avant Garde" w:eastAsiaTheme="minorHAnsi" w:hAnsi="ITC Avant Garde" w:cs="ITC Avant Garde"/>
          <w:lang w:eastAsia="en-US"/>
        </w:rPr>
        <w:t>Presenta lo contenido en el Considerando Quinto del Anteproyecto de Modificación de los Lineamientos, indicando que la propuesta de modificación parece oportuna y relevante, sin embargo, señalan que las modificaciones propuestas a los Lineamientos no consideran el impacto que los "costos de búsqueda"</w:t>
      </w:r>
      <w:r w:rsidR="000319D3">
        <w:rPr>
          <w:rStyle w:val="Refdenotaalpie"/>
          <w:rFonts w:ascii="ITC Avant Garde" w:eastAsiaTheme="minorHAnsi" w:hAnsi="ITC Avant Garde" w:cs="ITC Avant Garde"/>
          <w:lang w:eastAsia="en-US"/>
        </w:rPr>
        <w:footnoteReference w:id="4"/>
      </w:r>
      <w:r w:rsidRPr="00E024ED">
        <w:rPr>
          <w:rFonts w:ascii="ITC Avant Garde" w:eastAsiaTheme="minorHAnsi" w:hAnsi="ITC Avant Garde" w:cs="ITC Avant Garde"/>
          <w:lang w:eastAsia="en-US"/>
        </w:rPr>
        <w:t xml:space="preserve"> podrían tener sobre el ejercicio efectivo de la portabilidad numérica para los usuarios que se encuentran en el escenario de suspensión de operaciones por parte de su operador móvil virtual. Señalan que un usuario que enfrent</w:t>
      </w:r>
      <w:r w:rsidR="00BA6B98">
        <w:rPr>
          <w:rFonts w:ascii="ITC Avant Garde" w:eastAsiaTheme="minorHAnsi" w:hAnsi="ITC Avant Garde" w:cs="ITC Avant Garde"/>
          <w:lang w:eastAsia="en-US"/>
        </w:rPr>
        <w:t xml:space="preserve">a </w:t>
      </w:r>
      <w:r w:rsidRPr="00E024ED">
        <w:rPr>
          <w:rFonts w:ascii="ITC Avant Garde" w:eastAsiaTheme="minorHAnsi" w:hAnsi="ITC Avant Garde" w:cs="ITC Avant Garde"/>
          <w:lang w:eastAsia="en-US"/>
        </w:rPr>
        <w:t>costos de búsqueda altos podría ser inducido a la inacción y, por tanto, podría terminar no ejerciendo su derecho legítimo a la portación.</w:t>
      </w:r>
    </w:p>
    <w:p w14:paraId="65FDE610" w14:textId="77777777" w:rsidR="00E024ED" w:rsidRPr="00E024ED" w:rsidRDefault="00E024ED" w:rsidP="00E024ED">
      <w:pPr>
        <w:spacing w:after="0" w:line="276" w:lineRule="auto"/>
        <w:ind w:right="49"/>
        <w:rPr>
          <w:rFonts w:ascii="ITC Avant Garde" w:eastAsiaTheme="minorHAnsi" w:hAnsi="ITC Avant Garde" w:cs="ITC Avant Garde"/>
          <w:lang w:eastAsia="en-US"/>
        </w:rPr>
      </w:pPr>
    </w:p>
    <w:p w14:paraId="586FD824" w14:textId="54C1D879" w:rsidR="00E024ED" w:rsidRPr="00E024ED" w:rsidRDefault="00E024ED" w:rsidP="00E024ED">
      <w:pPr>
        <w:spacing w:after="0" w:line="276" w:lineRule="auto"/>
        <w:ind w:right="49"/>
        <w:rPr>
          <w:rFonts w:ascii="ITC Avant Garde" w:eastAsiaTheme="minorHAnsi" w:hAnsi="ITC Avant Garde" w:cs="ITC Avant Garde"/>
          <w:lang w:eastAsia="en-US"/>
        </w:rPr>
      </w:pPr>
      <w:r w:rsidRPr="00E024ED">
        <w:rPr>
          <w:rFonts w:ascii="ITC Avant Garde" w:eastAsiaTheme="minorHAnsi" w:hAnsi="ITC Avant Garde" w:cs="ITC Avant Garde"/>
          <w:lang w:eastAsia="en-US"/>
        </w:rPr>
        <w:t>Considera que el informar al usuario sobre el cese de operaciones de su proveedor de servicios, así como de su derecho a la portabilidad numérica podría resultar insuficiente para que el usuario promedio pueda ejercer de manera efectiva ese derecho. La razón es que, ante el escenario de una suspensión de sus servicios de telecomunicaciones, el usuario está obligado, por sus propios medios, a buscar nuevos proveedores de servicio. Creen que, para el usuario promedio de los servicios de los operadores móviles virtuales, estos costos de búsqueda son altos, lo que implica una alta probabilidad de que estos usuarios no lleven a cabo el proceso de portación y, por tanto, terminen observando una alta tasa de desconexión de sus números asignados. Lo que limita el impacto y alcance de las modificaciones propuestas.</w:t>
      </w:r>
    </w:p>
    <w:p w14:paraId="55C3BF3C" w14:textId="77777777" w:rsidR="00E024ED" w:rsidRPr="00E024ED" w:rsidRDefault="00E024ED" w:rsidP="00E024ED">
      <w:pPr>
        <w:spacing w:after="0" w:line="276" w:lineRule="auto"/>
        <w:ind w:right="49"/>
        <w:rPr>
          <w:rFonts w:ascii="ITC Avant Garde" w:eastAsiaTheme="minorHAnsi" w:hAnsi="ITC Avant Garde" w:cs="ITC Avant Garde"/>
          <w:lang w:eastAsia="en-US"/>
        </w:rPr>
      </w:pPr>
    </w:p>
    <w:p w14:paraId="518C38B0" w14:textId="77777777" w:rsidR="00E024ED" w:rsidRPr="00E024ED" w:rsidRDefault="00E024ED" w:rsidP="00E024ED">
      <w:pPr>
        <w:spacing w:after="0" w:line="276" w:lineRule="auto"/>
        <w:ind w:right="49"/>
        <w:rPr>
          <w:rFonts w:ascii="ITC Avant Garde" w:eastAsiaTheme="minorHAnsi" w:hAnsi="ITC Avant Garde" w:cs="ITC Avant Garde"/>
          <w:lang w:eastAsia="en-US"/>
        </w:rPr>
      </w:pPr>
      <w:r w:rsidRPr="00E024ED">
        <w:rPr>
          <w:rFonts w:ascii="ITC Avant Garde" w:eastAsiaTheme="minorHAnsi" w:hAnsi="ITC Avant Garde" w:cs="ITC Avant Garde"/>
          <w:lang w:eastAsia="en-US"/>
        </w:rPr>
        <w:t>Por lo anterior, considera necesario incorporar en las modificaciones el siguiente principio: que durante el plazo en el cual el usuario goza de las funcionalidades necesarias provistas por el Concesionario Mayorista Móvil para el ejercicio de la portación numérica, éste pueda recibir mensajes cortos con las ofertas comerciales de otros proveedores de servicio, siempre y cuando así lo haya consentido.</w:t>
      </w:r>
    </w:p>
    <w:p w14:paraId="0B679441" w14:textId="77777777" w:rsidR="00E024ED" w:rsidRPr="00E024ED" w:rsidRDefault="00E024ED" w:rsidP="00E024ED">
      <w:pPr>
        <w:spacing w:after="0" w:line="276" w:lineRule="auto"/>
        <w:ind w:right="49"/>
        <w:rPr>
          <w:rFonts w:ascii="ITC Avant Garde" w:eastAsiaTheme="minorHAnsi" w:hAnsi="ITC Avant Garde" w:cs="ITC Avant Garde"/>
          <w:lang w:eastAsia="en-US"/>
        </w:rPr>
      </w:pPr>
    </w:p>
    <w:p w14:paraId="1FAF2CB3" w14:textId="2ECB7DEF" w:rsidR="00E024ED" w:rsidRPr="00E024ED" w:rsidRDefault="006922D2" w:rsidP="00E024ED">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lastRenderedPageBreak/>
        <w:t>Indica que la propuesta anterior</w:t>
      </w:r>
      <w:r w:rsidR="00E024ED" w:rsidRPr="00E024ED">
        <w:rPr>
          <w:rFonts w:ascii="ITC Avant Garde" w:eastAsiaTheme="minorHAnsi" w:hAnsi="ITC Avant Garde" w:cs="ITC Avant Garde"/>
          <w:lang w:eastAsia="en-US"/>
        </w:rPr>
        <w:t xml:space="preserve"> se encuentra en línea con lo establecido en el artículo 191, fracción XIX de la LFTR, así como con el numeral 4.9 de la NOM-184, que permiten las comunicaciones con los usuarios para la promoción de servicios propios y de terceras partes siempre y cuando los usuarios hayan manifestado su consentimiento expreso. Opina que la recepción de estos mensajes cortos reduciría significativamente los costos de búsqueda de los usuarios que así lo consientan y, por tanto, facilitaría la portación de sus números a otros proveedores de servicios.</w:t>
      </w:r>
    </w:p>
    <w:p w14:paraId="1E529384" w14:textId="77777777" w:rsidR="00E024ED" w:rsidRPr="00E024ED" w:rsidRDefault="00E024ED" w:rsidP="00E024ED">
      <w:pPr>
        <w:spacing w:after="0" w:line="276" w:lineRule="auto"/>
        <w:ind w:right="49"/>
        <w:rPr>
          <w:rFonts w:ascii="ITC Avant Garde" w:eastAsiaTheme="minorHAnsi" w:hAnsi="ITC Avant Garde" w:cs="ITC Avant Garde"/>
          <w:lang w:eastAsia="en-US"/>
        </w:rPr>
      </w:pPr>
    </w:p>
    <w:p w14:paraId="21B05098" w14:textId="77777777" w:rsidR="004B4972" w:rsidRPr="003419F5" w:rsidRDefault="004B4972" w:rsidP="004B4972">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0410A646" w14:textId="77777777" w:rsidR="004B4972" w:rsidRDefault="004B4972" w:rsidP="004B4972">
      <w:pPr>
        <w:spacing w:after="0" w:line="276" w:lineRule="auto"/>
        <w:ind w:right="49"/>
        <w:rPr>
          <w:rFonts w:ascii="ITC Avant Garde" w:hAnsi="ITC Avant Garde"/>
          <w:color w:val="auto"/>
        </w:rPr>
      </w:pPr>
    </w:p>
    <w:p w14:paraId="483BA64C" w14:textId="77777777" w:rsidR="00744984" w:rsidRDefault="00744984" w:rsidP="00744984">
      <w:pPr>
        <w:spacing w:after="0" w:line="276" w:lineRule="auto"/>
        <w:ind w:right="49"/>
        <w:rPr>
          <w:rFonts w:ascii="ITC Avant Garde" w:hAnsi="ITC Avant Garde"/>
          <w:color w:val="auto"/>
        </w:rPr>
      </w:pPr>
      <w:r>
        <w:rPr>
          <w:rFonts w:ascii="ITC Avant Garde" w:hAnsi="ITC Avant Garde"/>
          <w:color w:val="auto"/>
        </w:rPr>
        <w:t>No se considera adecuada la propuesta de modificación, pues la información presentada a los usuarios sobre las opciones para preservar la conectividad podría suponer información sesgada, que podría interferir en la libre decisión del usuario a elegir a un nuevo proveedor de servicios de telecomunicaciones móviles.</w:t>
      </w:r>
    </w:p>
    <w:p w14:paraId="33679783" w14:textId="77777777" w:rsidR="00744984" w:rsidRDefault="00744984" w:rsidP="00744984">
      <w:pPr>
        <w:spacing w:after="0" w:line="276" w:lineRule="auto"/>
        <w:ind w:right="49"/>
        <w:rPr>
          <w:rFonts w:ascii="ITC Avant Garde" w:hAnsi="ITC Avant Garde"/>
          <w:color w:val="auto"/>
        </w:rPr>
      </w:pPr>
    </w:p>
    <w:p w14:paraId="282C57A1" w14:textId="77777777" w:rsidR="00744984" w:rsidRPr="00555311" w:rsidRDefault="00744984" w:rsidP="00744984">
      <w:pPr>
        <w:spacing w:after="0" w:line="276" w:lineRule="auto"/>
        <w:ind w:right="49"/>
        <w:rPr>
          <w:rFonts w:ascii="ITC Avant Garde" w:hAnsi="ITC Avant Garde"/>
          <w:color w:val="auto"/>
        </w:rPr>
      </w:pPr>
      <w:r>
        <w:rPr>
          <w:rFonts w:ascii="ITC Avant Garde" w:hAnsi="ITC Avant Garde"/>
          <w:color w:val="auto"/>
        </w:rPr>
        <w:t>Asimismo, uno de los objetivos de la modificación a los Lineamientos es contar con un mecanismo para que los usuarios de aquellos OMV que cesan de manera abrupta sus operaciones puedan ejercer su derecho a la portabilidad de manera libre, y no es el objetivo establecer un medio para la comercialización de servicios de telecomunicaciones.</w:t>
      </w:r>
    </w:p>
    <w:p w14:paraId="43F0A520" w14:textId="77777777" w:rsidR="00EC0C3B" w:rsidRDefault="00EC0C3B" w:rsidP="00EC0C3B">
      <w:pPr>
        <w:spacing w:after="0" w:line="276" w:lineRule="auto"/>
        <w:ind w:right="49"/>
        <w:rPr>
          <w:rFonts w:ascii="ITC Avant Garde" w:eastAsiaTheme="minorHAnsi" w:hAnsi="ITC Avant Garde" w:cs="ITC Avant Garde"/>
          <w:lang w:eastAsia="en-US"/>
        </w:rPr>
      </w:pPr>
    </w:p>
    <w:p w14:paraId="7FA787E5" w14:textId="046677F9" w:rsidR="00971C1C" w:rsidRPr="009C4398" w:rsidRDefault="00971C1C" w:rsidP="00971C1C">
      <w:pPr>
        <w:spacing w:after="0" w:line="276" w:lineRule="auto"/>
        <w:ind w:right="49"/>
        <w:rPr>
          <w:rFonts w:ascii="ITC Avant Garde" w:hAnsi="ITC Avant Garde"/>
          <w:b/>
          <w:bCs/>
          <w:color w:val="auto"/>
        </w:rPr>
      </w:pPr>
      <w:r>
        <w:rPr>
          <w:rFonts w:ascii="ITC Avant Garde" w:hAnsi="ITC Avant Garde"/>
          <w:b/>
          <w:bCs/>
          <w:color w:val="auto"/>
        </w:rPr>
        <w:t>ASIET</w:t>
      </w:r>
    </w:p>
    <w:p w14:paraId="10EA7792" w14:textId="05B5CDDB" w:rsidR="00971C1C" w:rsidRPr="00971C1C" w:rsidRDefault="00971C1C" w:rsidP="00971C1C">
      <w:pPr>
        <w:spacing w:after="0" w:line="276" w:lineRule="auto"/>
        <w:ind w:right="49"/>
        <w:rPr>
          <w:rFonts w:ascii="ITC Avant Garde" w:eastAsiaTheme="minorHAnsi" w:hAnsi="ITC Avant Garde" w:cs="ITC Avant Garde"/>
          <w:lang w:eastAsia="en-US"/>
        </w:rPr>
      </w:pPr>
      <w:r w:rsidRPr="00971C1C">
        <w:rPr>
          <w:rFonts w:ascii="ITC Avant Garde" w:eastAsiaTheme="minorHAnsi" w:hAnsi="ITC Avant Garde" w:cs="ITC Avant Garde"/>
          <w:lang w:eastAsia="en-US"/>
        </w:rPr>
        <w:t xml:space="preserve">Señala que las modificaciones establecen nuevas responsabilidades que implican que los </w:t>
      </w:r>
      <w:r w:rsidR="00081EA7">
        <w:rPr>
          <w:rFonts w:ascii="ITC Avant Garde" w:eastAsiaTheme="minorHAnsi" w:hAnsi="ITC Avant Garde" w:cs="ITC Avant Garde"/>
          <w:lang w:eastAsia="en-US"/>
        </w:rPr>
        <w:t>Concesionarios</w:t>
      </w:r>
      <w:r w:rsidRPr="00971C1C">
        <w:rPr>
          <w:rFonts w:ascii="ITC Avant Garde" w:eastAsiaTheme="minorHAnsi" w:hAnsi="ITC Avant Garde" w:cs="ITC Avant Garde"/>
          <w:lang w:eastAsia="en-US"/>
        </w:rPr>
        <w:t xml:space="preserve"> </w:t>
      </w:r>
      <w:r w:rsidR="00081EA7" w:rsidRPr="00971C1C">
        <w:rPr>
          <w:rFonts w:ascii="ITC Avant Garde" w:eastAsiaTheme="minorHAnsi" w:hAnsi="ITC Avant Garde" w:cs="ITC Avant Garde"/>
          <w:lang w:eastAsia="en-US"/>
        </w:rPr>
        <w:t xml:space="preserve">Mayoristas </w:t>
      </w:r>
      <w:r w:rsidR="00081EA7">
        <w:rPr>
          <w:rFonts w:ascii="ITC Avant Garde" w:eastAsiaTheme="minorHAnsi" w:hAnsi="ITC Avant Garde" w:cs="ITC Avant Garde"/>
          <w:lang w:eastAsia="en-US"/>
        </w:rPr>
        <w:t xml:space="preserve">Móviles </w:t>
      </w:r>
      <w:r w:rsidRPr="00971C1C">
        <w:rPr>
          <w:rFonts w:ascii="ITC Avant Garde" w:eastAsiaTheme="minorHAnsi" w:hAnsi="ITC Avant Garde" w:cs="ITC Avant Garde"/>
          <w:lang w:eastAsia="en-US"/>
        </w:rPr>
        <w:t>asuman roles que no les corresponden y que no están contemplados en los contratos de naturaleza meramente comercial establecidos con los OMV.</w:t>
      </w:r>
    </w:p>
    <w:p w14:paraId="0DF9D5AA" w14:textId="77777777" w:rsidR="00971C1C" w:rsidRPr="00971C1C" w:rsidRDefault="00971C1C" w:rsidP="00971C1C">
      <w:pPr>
        <w:spacing w:after="0" w:line="276" w:lineRule="auto"/>
        <w:ind w:right="49"/>
        <w:rPr>
          <w:rFonts w:ascii="ITC Avant Garde" w:eastAsiaTheme="minorHAnsi" w:hAnsi="ITC Avant Garde" w:cs="ITC Avant Garde"/>
          <w:lang w:eastAsia="en-US"/>
        </w:rPr>
      </w:pPr>
    </w:p>
    <w:p w14:paraId="44868205" w14:textId="77777777" w:rsidR="00971C1C" w:rsidRPr="00971C1C" w:rsidRDefault="00971C1C" w:rsidP="00971C1C">
      <w:pPr>
        <w:spacing w:after="0" w:line="276" w:lineRule="auto"/>
        <w:ind w:right="49"/>
        <w:rPr>
          <w:rFonts w:ascii="ITC Avant Garde" w:eastAsiaTheme="minorHAnsi" w:hAnsi="ITC Avant Garde" w:cs="ITC Avant Garde"/>
          <w:lang w:eastAsia="en-US"/>
        </w:rPr>
      </w:pPr>
      <w:r w:rsidRPr="00971C1C">
        <w:rPr>
          <w:rFonts w:ascii="ITC Avant Garde" w:eastAsiaTheme="minorHAnsi" w:hAnsi="ITC Avant Garde" w:cs="ITC Avant Garde"/>
          <w:lang w:eastAsia="en-US"/>
        </w:rPr>
        <w:t>Indica que la implementación de las obligaciones conllevaría:</w:t>
      </w:r>
    </w:p>
    <w:p w14:paraId="7736DA8C" w14:textId="77777777" w:rsidR="00971C1C" w:rsidRPr="00971C1C" w:rsidRDefault="00971C1C" w:rsidP="0020677C">
      <w:pPr>
        <w:pStyle w:val="Prrafodelista"/>
        <w:spacing w:after="0" w:line="276" w:lineRule="auto"/>
        <w:ind w:right="49" w:firstLine="0"/>
        <w:rPr>
          <w:rFonts w:ascii="ITC Avant Garde" w:eastAsiaTheme="minorHAnsi" w:hAnsi="ITC Avant Garde" w:cs="ITC Avant Garde"/>
          <w:lang w:eastAsia="en-US"/>
        </w:rPr>
      </w:pPr>
    </w:p>
    <w:p w14:paraId="0E6B19CF" w14:textId="7C97C524" w:rsidR="00971C1C" w:rsidRPr="00971C1C" w:rsidRDefault="00971C1C" w:rsidP="0020677C">
      <w:pPr>
        <w:pStyle w:val="Prrafodelista"/>
        <w:numPr>
          <w:ilvl w:val="0"/>
          <w:numId w:val="34"/>
        </w:numPr>
        <w:spacing w:after="0" w:line="276" w:lineRule="auto"/>
        <w:ind w:right="49"/>
        <w:rPr>
          <w:rFonts w:ascii="ITC Avant Garde" w:eastAsiaTheme="minorHAnsi" w:hAnsi="ITC Avant Garde" w:cs="ITC Avant Garde"/>
          <w:lang w:eastAsia="en-US"/>
        </w:rPr>
      </w:pPr>
      <w:r w:rsidRPr="00971C1C">
        <w:rPr>
          <w:rFonts w:ascii="ITC Avant Garde" w:eastAsiaTheme="minorHAnsi" w:hAnsi="ITC Avant Garde" w:cs="ITC Avant Garde"/>
          <w:lang w:eastAsia="en-US"/>
        </w:rPr>
        <w:t>Que los OMV se desliguen de su responsabilidad de cumplir con las obligaciones hacia los usuarios finales, en virtud de que ahora serían los operadores mayoristas los responsables de proveer las funcionalidades necesarias, como portabilidad y uso de llamadas de emergencia. Señala que las obligaciones para el concesionario mayorista deben limitarse a brindar soporte y poner a disposición las herramientas y medios necesarios para que le OMV pueda gestionar directamente a sus propios usuarios y dar cumplimiento a sus obligaciones de carácter regulatorio.</w:t>
      </w:r>
    </w:p>
    <w:p w14:paraId="3DC9D1DF" w14:textId="77777777" w:rsidR="00971C1C" w:rsidRPr="00971C1C" w:rsidRDefault="00971C1C" w:rsidP="00971C1C">
      <w:pPr>
        <w:spacing w:after="0" w:line="276" w:lineRule="auto"/>
        <w:ind w:right="49"/>
        <w:rPr>
          <w:rFonts w:ascii="ITC Avant Garde" w:eastAsiaTheme="minorHAnsi" w:hAnsi="ITC Avant Garde" w:cs="ITC Avant Garde"/>
          <w:lang w:eastAsia="en-US"/>
        </w:rPr>
      </w:pPr>
    </w:p>
    <w:p w14:paraId="02853048" w14:textId="63A4DCDE" w:rsidR="00971C1C" w:rsidRPr="000735CD" w:rsidRDefault="00971C1C" w:rsidP="000735CD">
      <w:pPr>
        <w:pStyle w:val="Prrafodelista"/>
        <w:numPr>
          <w:ilvl w:val="0"/>
          <w:numId w:val="34"/>
        </w:numPr>
        <w:spacing w:after="0" w:line="276" w:lineRule="auto"/>
        <w:ind w:right="49"/>
        <w:rPr>
          <w:rFonts w:ascii="ITC Avant Garde" w:eastAsiaTheme="minorHAnsi" w:hAnsi="ITC Avant Garde" w:cs="ITC Avant Garde"/>
          <w:lang w:eastAsia="en-US"/>
        </w:rPr>
      </w:pPr>
      <w:r w:rsidRPr="000735CD">
        <w:rPr>
          <w:rFonts w:ascii="ITC Avant Garde" w:eastAsiaTheme="minorHAnsi" w:hAnsi="ITC Avant Garde" w:cs="ITC Avant Garde"/>
          <w:lang w:eastAsia="en-US"/>
        </w:rPr>
        <w:lastRenderedPageBreak/>
        <w:t>Incremento en costos operativos debido a la necesidad de mantener y operar sistemas y plataformas adicionales para soportar funcionalidades como la portabilidad numérica y las llamadas de emergencia.</w:t>
      </w:r>
    </w:p>
    <w:p w14:paraId="4A99EC95" w14:textId="77777777" w:rsidR="00971C1C" w:rsidRPr="00971C1C" w:rsidRDefault="00971C1C" w:rsidP="00971C1C">
      <w:pPr>
        <w:spacing w:after="0" w:line="276" w:lineRule="auto"/>
        <w:ind w:right="49"/>
        <w:rPr>
          <w:rFonts w:ascii="ITC Avant Garde" w:eastAsiaTheme="minorHAnsi" w:hAnsi="ITC Avant Garde" w:cs="ITC Avant Garde"/>
          <w:lang w:eastAsia="en-US"/>
        </w:rPr>
      </w:pPr>
    </w:p>
    <w:p w14:paraId="0E15F357" w14:textId="441CB7FF" w:rsidR="00971C1C" w:rsidRPr="000735CD" w:rsidRDefault="00971C1C" w:rsidP="000735CD">
      <w:pPr>
        <w:pStyle w:val="Prrafodelista"/>
        <w:numPr>
          <w:ilvl w:val="0"/>
          <w:numId w:val="34"/>
        </w:numPr>
        <w:spacing w:after="0" w:line="276" w:lineRule="auto"/>
        <w:ind w:right="49"/>
        <w:rPr>
          <w:rFonts w:ascii="ITC Avant Garde" w:eastAsiaTheme="minorHAnsi" w:hAnsi="ITC Avant Garde" w:cs="ITC Avant Garde"/>
          <w:lang w:eastAsia="en-US"/>
        </w:rPr>
      </w:pPr>
      <w:r w:rsidRPr="000735CD">
        <w:rPr>
          <w:rFonts w:ascii="ITC Avant Garde" w:eastAsiaTheme="minorHAnsi" w:hAnsi="ITC Avant Garde" w:cs="ITC Avant Garde"/>
          <w:lang w:eastAsia="en-US"/>
        </w:rPr>
        <w:t>Asignación de recursos humanos y técnicos no previstos: afectando con ello la eficiencia y la planificación financiera de los concesionarios mayoristas.</w:t>
      </w:r>
    </w:p>
    <w:p w14:paraId="7B250799" w14:textId="77777777" w:rsidR="00971C1C" w:rsidRPr="00971C1C" w:rsidRDefault="00971C1C" w:rsidP="00971C1C">
      <w:pPr>
        <w:spacing w:after="0" w:line="276" w:lineRule="auto"/>
        <w:ind w:right="49"/>
        <w:rPr>
          <w:rFonts w:ascii="ITC Avant Garde" w:eastAsiaTheme="minorHAnsi" w:hAnsi="ITC Avant Garde" w:cs="ITC Avant Garde"/>
          <w:lang w:eastAsia="en-US"/>
        </w:rPr>
      </w:pPr>
    </w:p>
    <w:p w14:paraId="56A18539" w14:textId="64985C79" w:rsidR="00971C1C" w:rsidRPr="000735CD" w:rsidRDefault="00971C1C" w:rsidP="000735CD">
      <w:pPr>
        <w:pStyle w:val="Prrafodelista"/>
        <w:numPr>
          <w:ilvl w:val="0"/>
          <w:numId w:val="34"/>
        </w:numPr>
        <w:spacing w:after="0" w:line="276" w:lineRule="auto"/>
        <w:ind w:right="49"/>
        <w:rPr>
          <w:rFonts w:ascii="ITC Avant Garde" w:eastAsiaTheme="minorHAnsi" w:hAnsi="ITC Avant Garde" w:cs="ITC Avant Garde"/>
          <w:lang w:eastAsia="en-US"/>
        </w:rPr>
      </w:pPr>
      <w:r w:rsidRPr="000735CD">
        <w:rPr>
          <w:rFonts w:ascii="ITC Avant Garde" w:eastAsiaTheme="minorHAnsi" w:hAnsi="ITC Avant Garde" w:cs="ITC Avant Garde"/>
          <w:lang w:eastAsia="en-US"/>
        </w:rPr>
        <w:t>Ausencia de mecanismos de compensación por los costos adicionales incurridos, a los que definitivamente tendrían derechos los concesionarios.</w:t>
      </w:r>
    </w:p>
    <w:p w14:paraId="0D80B34D" w14:textId="77777777" w:rsidR="00971C1C" w:rsidRPr="00971C1C" w:rsidRDefault="00971C1C" w:rsidP="00971C1C">
      <w:pPr>
        <w:spacing w:after="0" w:line="276" w:lineRule="auto"/>
        <w:ind w:right="49"/>
        <w:rPr>
          <w:rFonts w:ascii="ITC Avant Garde" w:eastAsiaTheme="minorHAnsi" w:hAnsi="ITC Avant Garde" w:cs="ITC Avant Garde"/>
          <w:lang w:eastAsia="en-US"/>
        </w:rPr>
      </w:pPr>
    </w:p>
    <w:p w14:paraId="391F0B14" w14:textId="77777777" w:rsidR="00971C1C" w:rsidRPr="00971C1C" w:rsidRDefault="00971C1C" w:rsidP="00971C1C">
      <w:pPr>
        <w:spacing w:after="0" w:line="276" w:lineRule="auto"/>
        <w:ind w:right="49"/>
        <w:rPr>
          <w:rFonts w:ascii="ITC Avant Garde" w:eastAsiaTheme="minorHAnsi" w:hAnsi="ITC Avant Garde" w:cs="ITC Avant Garde"/>
          <w:lang w:eastAsia="en-US"/>
        </w:rPr>
      </w:pPr>
    </w:p>
    <w:p w14:paraId="0ABC67DD" w14:textId="5A3A1C33" w:rsidR="00971C1C" w:rsidRDefault="00971C1C" w:rsidP="00971C1C">
      <w:pPr>
        <w:spacing w:after="0" w:line="276" w:lineRule="auto"/>
        <w:ind w:right="49"/>
        <w:rPr>
          <w:rFonts w:ascii="ITC Avant Garde" w:eastAsiaTheme="minorHAnsi" w:hAnsi="ITC Avant Garde" w:cs="ITC Avant Garde"/>
          <w:lang w:eastAsia="en-US"/>
        </w:rPr>
      </w:pPr>
      <w:r w:rsidRPr="00971C1C">
        <w:rPr>
          <w:rFonts w:ascii="ITC Avant Garde" w:eastAsiaTheme="minorHAnsi" w:hAnsi="ITC Avant Garde" w:cs="ITC Avant Garde"/>
          <w:lang w:eastAsia="en-US"/>
        </w:rPr>
        <w:t>Indica que</w:t>
      </w:r>
      <w:r w:rsidR="0035056A">
        <w:rPr>
          <w:rFonts w:ascii="ITC Avant Garde" w:eastAsiaTheme="minorHAnsi" w:hAnsi="ITC Avant Garde" w:cs="ITC Avant Garde"/>
          <w:lang w:eastAsia="en-US"/>
        </w:rPr>
        <w:t xml:space="preserve"> se debe evitar</w:t>
      </w:r>
      <w:r w:rsidRPr="00971C1C">
        <w:rPr>
          <w:rFonts w:ascii="ITC Avant Garde" w:eastAsiaTheme="minorHAnsi" w:hAnsi="ITC Avant Garde" w:cs="ITC Avant Garde"/>
          <w:lang w:eastAsia="en-US"/>
        </w:rPr>
        <w:t xml:space="preserve"> imponer mayores cargas para los operadores </w:t>
      </w:r>
      <w:r w:rsidR="00744984" w:rsidRPr="00971C1C">
        <w:rPr>
          <w:rFonts w:ascii="ITC Avant Garde" w:eastAsiaTheme="minorHAnsi" w:hAnsi="ITC Avant Garde" w:cs="ITC Avant Garde"/>
          <w:lang w:eastAsia="en-US"/>
        </w:rPr>
        <w:t>mayoristas relajando</w:t>
      </w:r>
      <w:r w:rsidRPr="00971C1C">
        <w:rPr>
          <w:rFonts w:ascii="ITC Avant Garde" w:eastAsiaTheme="minorHAnsi" w:hAnsi="ITC Avant Garde" w:cs="ITC Avant Garde"/>
          <w:lang w:eastAsia="en-US"/>
        </w:rPr>
        <w:t xml:space="preserve"> las obligaciones para los OMV de cumplir con las obligaciones relativas a la protección de los derechos de los usuarios y la continuidad del servicio.</w:t>
      </w:r>
    </w:p>
    <w:p w14:paraId="257C85A5" w14:textId="77777777" w:rsidR="00971C1C" w:rsidRDefault="00971C1C" w:rsidP="00BD064E">
      <w:pPr>
        <w:spacing w:after="0" w:line="276" w:lineRule="auto"/>
        <w:ind w:right="49"/>
        <w:rPr>
          <w:rFonts w:ascii="ITC Avant Garde" w:eastAsiaTheme="minorHAnsi" w:hAnsi="ITC Avant Garde" w:cs="ITC Avant Garde"/>
          <w:lang w:eastAsia="en-US"/>
        </w:rPr>
      </w:pPr>
    </w:p>
    <w:p w14:paraId="4B65F9CE" w14:textId="77777777" w:rsidR="00E309AD" w:rsidRPr="003419F5" w:rsidRDefault="00E309AD" w:rsidP="00E309AD">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222D20F1" w14:textId="77777777" w:rsidR="00E309AD" w:rsidRDefault="00E309AD" w:rsidP="00E309AD">
      <w:pPr>
        <w:spacing w:after="0" w:line="276" w:lineRule="auto"/>
        <w:ind w:right="49"/>
        <w:rPr>
          <w:rFonts w:ascii="ITC Avant Garde" w:hAnsi="ITC Avant Garde"/>
          <w:color w:val="auto"/>
        </w:rPr>
      </w:pPr>
    </w:p>
    <w:p w14:paraId="543283C2" w14:textId="38558482" w:rsidR="00314686" w:rsidRDefault="00E309AD" w:rsidP="00E309AD">
      <w:pPr>
        <w:spacing w:after="0" w:line="276" w:lineRule="auto"/>
        <w:ind w:right="49"/>
        <w:rPr>
          <w:rFonts w:ascii="ITC Avant Garde" w:hAnsi="ITC Avant Garde"/>
          <w:color w:val="auto"/>
        </w:rPr>
      </w:pPr>
      <w:r>
        <w:rPr>
          <w:rFonts w:ascii="ITC Avant Garde" w:hAnsi="ITC Avant Garde"/>
          <w:color w:val="auto"/>
        </w:rPr>
        <w:t>La Modificación de Lineamientos OMV no elimina la obligación que tienen los OMV de dar aviso a los usuarios finales, con al menos 30 días de anticipación, en caso del cese de prestación de los servicios, ni con las demás obligaciones que los OMV tienen respecto a la portabilidad de sus usuarios y la prestación responsable de los servicios ofertados a los usuarios finales. Asimismo, se busca ofrecer un mecanismo que, mediante el apoyo temporal de los recursos de red del Concesionario Mayorista Móvil, dichos usuarios puedan ejercer su derecho a la portabilidad, eligiendo así algún otro proveedor de servicios de telecomunicaciones móviles de su preferencia.</w:t>
      </w:r>
    </w:p>
    <w:p w14:paraId="04B3692A" w14:textId="77777777" w:rsidR="0023798B" w:rsidRDefault="0023798B" w:rsidP="00E309AD">
      <w:pPr>
        <w:spacing w:after="0" w:line="276" w:lineRule="auto"/>
        <w:ind w:right="49"/>
        <w:rPr>
          <w:rFonts w:ascii="ITC Avant Garde" w:hAnsi="ITC Avant Garde"/>
          <w:color w:val="auto"/>
        </w:rPr>
      </w:pPr>
    </w:p>
    <w:p w14:paraId="5D85A4C7" w14:textId="654E8DF4" w:rsidR="003E365A" w:rsidRDefault="005657EE" w:rsidP="003E365A">
      <w:pPr>
        <w:spacing w:after="0" w:line="276" w:lineRule="auto"/>
        <w:ind w:right="49"/>
        <w:rPr>
          <w:rFonts w:ascii="ITC Avant Garde" w:eastAsiaTheme="minorHAnsi" w:hAnsi="ITC Avant Garde" w:cs="ITC Avant Garde"/>
          <w:lang w:eastAsia="en-US"/>
        </w:rPr>
      </w:pPr>
      <w:r>
        <w:rPr>
          <w:rFonts w:ascii="ITC Avant Garde" w:hAnsi="ITC Avant Garde"/>
          <w:color w:val="auto"/>
        </w:rPr>
        <w:t>Resulta necesario señalar que</w:t>
      </w:r>
      <w:r w:rsidR="003E365A" w:rsidRPr="003E365A">
        <w:rPr>
          <w:rFonts w:ascii="ITC Avant Garde" w:hAnsi="ITC Avant Garde"/>
          <w:color w:val="auto"/>
        </w:rPr>
        <w:t xml:space="preserve"> </w:t>
      </w:r>
      <w:r w:rsidR="003E365A">
        <w:rPr>
          <w:rFonts w:ascii="ITC Avant Garde" w:hAnsi="ITC Avant Garde"/>
          <w:color w:val="auto"/>
        </w:rPr>
        <w:t xml:space="preserve">los </w:t>
      </w:r>
      <w:r w:rsidR="003E365A">
        <w:rPr>
          <w:rFonts w:ascii="ITC Avant Garde" w:eastAsiaTheme="minorHAnsi" w:hAnsi="ITC Avant Garde" w:cs="ITC Avant Garde"/>
          <w:lang w:eastAsia="en-US"/>
        </w:rPr>
        <w:t>Lineamientos ya considera como obligación la responsabilidad ante el usuario final por la prestación de los servicios y cumplir con las obligaciones en materia de los derechos de los usuarios, así como el dar aviso con al menos 30 días de anticipación en caso del cese de prestación de los servicios. En este sentido, el incumplimiento de dichas acciones podrá ser objeto de sanciones por parte de la autoridad</w:t>
      </w:r>
      <w:r w:rsidR="00930D6E">
        <w:rPr>
          <w:rFonts w:ascii="ITC Avant Garde" w:eastAsiaTheme="minorHAnsi" w:hAnsi="ITC Avant Garde" w:cs="ITC Avant Garde"/>
          <w:lang w:eastAsia="en-US"/>
        </w:rPr>
        <w:t>.</w:t>
      </w:r>
    </w:p>
    <w:p w14:paraId="11320DB7" w14:textId="77777777" w:rsidR="00930D6E" w:rsidRDefault="00930D6E" w:rsidP="003E365A">
      <w:pPr>
        <w:spacing w:after="0" w:line="276" w:lineRule="auto"/>
        <w:ind w:right="49"/>
        <w:rPr>
          <w:rFonts w:ascii="ITC Avant Garde" w:eastAsiaTheme="minorHAnsi" w:hAnsi="ITC Avant Garde" w:cs="ITC Avant Garde"/>
          <w:lang w:eastAsia="en-US"/>
        </w:rPr>
      </w:pPr>
    </w:p>
    <w:p w14:paraId="6FF727EE" w14:textId="77777777" w:rsidR="00930D6E" w:rsidRPr="009F53BF" w:rsidRDefault="00930D6E" w:rsidP="00930D6E">
      <w:pPr>
        <w:spacing w:after="0" w:line="276" w:lineRule="auto"/>
        <w:ind w:right="49"/>
        <w:rPr>
          <w:rFonts w:ascii="ITC Avant Garde" w:hAnsi="ITC Avant Garde"/>
          <w:color w:val="auto"/>
        </w:rPr>
      </w:pPr>
      <w:r>
        <w:rPr>
          <w:rFonts w:ascii="ITC Avant Garde" w:hAnsi="ITC Avant Garde"/>
          <w:color w:val="auto"/>
        </w:rPr>
        <w:t xml:space="preserve">No obstante, se ha modificado el artículo 13, fracción VI de los Lineamientos, para </w:t>
      </w:r>
      <w:r w:rsidRPr="009F53BF">
        <w:rPr>
          <w:rFonts w:ascii="ITC Avant Garde" w:hAnsi="ITC Avant Garde"/>
          <w:color w:val="auto"/>
        </w:rPr>
        <w:t>establecer obligaciones adicionales para los Operadores Móviles Virtuales, con el fin de garantizar que, en caso de cesar la prestación de servicios de telecomunicaciones, sus usuarios dispongan de toda la información necesaria para ejercer su derecho a la portabilidad numérica oportunamente</w:t>
      </w:r>
      <w:r>
        <w:rPr>
          <w:rFonts w:ascii="ITC Avant Garde" w:hAnsi="ITC Avant Garde"/>
          <w:color w:val="auto"/>
        </w:rPr>
        <w:t>, para quedar en los términos siguientes:</w:t>
      </w:r>
    </w:p>
    <w:p w14:paraId="77C3C9BF" w14:textId="77777777" w:rsidR="00930D6E" w:rsidRPr="00DC42C3" w:rsidRDefault="00930D6E" w:rsidP="00930D6E">
      <w:pPr>
        <w:pStyle w:val="Texto"/>
        <w:tabs>
          <w:tab w:val="left" w:pos="426"/>
        </w:tabs>
        <w:ind w:left="567" w:right="615"/>
        <w:rPr>
          <w:bCs/>
          <w:szCs w:val="18"/>
        </w:rPr>
      </w:pPr>
    </w:p>
    <w:p w14:paraId="2D1FA0FE" w14:textId="77777777" w:rsidR="00930D6E" w:rsidRPr="008B748C" w:rsidRDefault="00930D6E" w:rsidP="00930D6E">
      <w:pPr>
        <w:spacing w:after="0" w:line="276" w:lineRule="auto"/>
        <w:ind w:left="567" w:right="616"/>
        <w:rPr>
          <w:rFonts w:ascii="ITC Avant Garde" w:eastAsiaTheme="minorHAnsi" w:hAnsi="ITC Avant Garde" w:cs="ITC Avant Garde"/>
          <w:i/>
          <w:iCs/>
          <w:sz w:val="18"/>
          <w:szCs w:val="18"/>
          <w:lang w:eastAsia="en-US"/>
        </w:rPr>
      </w:pPr>
      <w:r>
        <w:rPr>
          <w:rFonts w:ascii="ITC Avant Garde" w:eastAsiaTheme="minorHAnsi" w:hAnsi="ITC Avant Garde" w:cs="ITC Avant Garde"/>
          <w:i/>
          <w:iCs/>
          <w:sz w:val="18"/>
          <w:szCs w:val="18"/>
          <w:lang w:eastAsia="en-US"/>
        </w:rPr>
        <w:lastRenderedPageBreak/>
        <w:t>“</w:t>
      </w:r>
      <w:r w:rsidRPr="008B748C">
        <w:rPr>
          <w:rFonts w:ascii="ITC Avant Garde" w:eastAsiaTheme="minorHAnsi" w:hAnsi="ITC Avant Garde" w:cs="ITC Avant Garde"/>
          <w:i/>
          <w:iCs/>
          <w:sz w:val="18"/>
          <w:szCs w:val="18"/>
          <w:lang w:eastAsia="en-US"/>
        </w:rPr>
        <w:t xml:space="preserve">Artículo 13. … </w:t>
      </w:r>
    </w:p>
    <w:p w14:paraId="31700CD0" w14:textId="77777777" w:rsidR="00930D6E" w:rsidRPr="008B748C" w:rsidRDefault="00930D6E" w:rsidP="00930D6E">
      <w:pPr>
        <w:spacing w:after="0" w:line="276" w:lineRule="auto"/>
        <w:ind w:left="567" w:right="616"/>
        <w:rPr>
          <w:rFonts w:ascii="ITC Avant Garde" w:eastAsiaTheme="minorHAnsi" w:hAnsi="ITC Avant Garde" w:cs="ITC Avant Garde"/>
          <w:i/>
          <w:iCs/>
          <w:sz w:val="18"/>
          <w:szCs w:val="18"/>
          <w:lang w:eastAsia="en-US"/>
        </w:rPr>
      </w:pPr>
    </w:p>
    <w:p w14:paraId="32A8478D" w14:textId="77777777" w:rsidR="00930D6E" w:rsidRPr="008B748C" w:rsidRDefault="00930D6E" w:rsidP="00930D6E">
      <w:pPr>
        <w:spacing w:after="0" w:line="276" w:lineRule="auto"/>
        <w:ind w:left="567" w:right="616"/>
        <w:rPr>
          <w:rFonts w:ascii="ITC Avant Garde" w:eastAsiaTheme="minorHAnsi" w:hAnsi="ITC Avant Garde" w:cs="ITC Avant Garde"/>
          <w:i/>
          <w:iCs/>
          <w:sz w:val="18"/>
          <w:szCs w:val="18"/>
          <w:lang w:eastAsia="en-US"/>
        </w:rPr>
      </w:pPr>
      <w:r w:rsidRPr="008B748C">
        <w:rPr>
          <w:rFonts w:ascii="ITC Avant Garde" w:eastAsiaTheme="minorHAnsi" w:hAnsi="ITC Avant Garde" w:cs="ITC Avant Garde"/>
          <w:i/>
          <w:iCs/>
          <w:sz w:val="18"/>
          <w:szCs w:val="18"/>
          <w:lang w:eastAsia="en-US"/>
        </w:rPr>
        <w:t>I a V. …</w:t>
      </w:r>
    </w:p>
    <w:p w14:paraId="7CCDCAB4" w14:textId="77777777" w:rsidR="00930D6E" w:rsidRPr="008B748C" w:rsidRDefault="00930D6E" w:rsidP="00930D6E">
      <w:pPr>
        <w:spacing w:after="0" w:line="276" w:lineRule="auto"/>
        <w:ind w:left="567" w:right="616"/>
        <w:rPr>
          <w:rFonts w:ascii="ITC Avant Garde" w:eastAsiaTheme="minorHAnsi" w:hAnsi="ITC Avant Garde" w:cs="ITC Avant Garde"/>
          <w:i/>
          <w:iCs/>
          <w:sz w:val="18"/>
          <w:szCs w:val="18"/>
          <w:lang w:eastAsia="en-US"/>
        </w:rPr>
      </w:pPr>
    </w:p>
    <w:p w14:paraId="7DE65D76" w14:textId="77777777" w:rsidR="00930D6E" w:rsidRPr="008B748C" w:rsidRDefault="00930D6E" w:rsidP="00930D6E">
      <w:pPr>
        <w:spacing w:after="0" w:line="276" w:lineRule="auto"/>
        <w:ind w:left="567" w:right="616"/>
        <w:rPr>
          <w:rFonts w:ascii="ITC Avant Garde" w:eastAsiaTheme="minorHAnsi" w:hAnsi="ITC Avant Garde" w:cs="ITC Avant Garde"/>
          <w:i/>
          <w:iCs/>
          <w:sz w:val="18"/>
          <w:szCs w:val="18"/>
          <w:lang w:eastAsia="en-US"/>
        </w:rPr>
      </w:pPr>
      <w:r w:rsidRPr="008B748C">
        <w:rPr>
          <w:rFonts w:ascii="ITC Avant Garde" w:eastAsiaTheme="minorHAnsi" w:hAnsi="ITC Avant Garde" w:cs="ITC Avant Garde"/>
          <w:i/>
          <w:iCs/>
          <w:sz w:val="18"/>
          <w:szCs w:val="18"/>
          <w:lang w:eastAsia="en-US"/>
        </w:rPr>
        <w:t>VI. Dar aviso al usuario final con al menos 30, 15 y 5 días de anticipación en caso del cese de prestación de los servicios contratados por éste, informándole la fecha de conclusión de su servicio, sobre su derecho a la portabilidad numérica, y en su caso, las alternativas de concesionarios y/o autorizados que puedan ofrecer la continuidad en la prestación de los servicios. Asimismo, deberá notificar al Concesionario Mayorista Móvil respecto de la fecha de suspensión definitiva de los servicios de telecomunicaciones en los términos y plazos establecidos en el contrato entre las partes; y</w:t>
      </w:r>
      <w:r>
        <w:rPr>
          <w:rFonts w:ascii="ITC Avant Garde" w:eastAsiaTheme="minorHAnsi" w:hAnsi="ITC Avant Garde" w:cs="ITC Avant Garde"/>
          <w:i/>
          <w:iCs/>
          <w:sz w:val="18"/>
          <w:szCs w:val="18"/>
          <w:lang w:eastAsia="en-US"/>
        </w:rPr>
        <w:t>”</w:t>
      </w:r>
      <w:r w:rsidRPr="008B748C" w:rsidDel="00F70A65">
        <w:rPr>
          <w:rFonts w:ascii="ITC Avant Garde" w:eastAsiaTheme="minorHAnsi" w:hAnsi="ITC Avant Garde" w:cs="ITC Avant Garde"/>
          <w:i/>
          <w:iCs/>
          <w:sz w:val="18"/>
          <w:szCs w:val="18"/>
          <w:lang w:eastAsia="en-US"/>
        </w:rPr>
        <w:t xml:space="preserve"> </w:t>
      </w:r>
    </w:p>
    <w:p w14:paraId="6B0F4FB7" w14:textId="77777777" w:rsidR="003E365A" w:rsidRDefault="003E365A" w:rsidP="003E365A">
      <w:pPr>
        <w:spacing w:after="0" w:line="276" w:lineRule="auto"/>
        <w:ind w:right="49"/>
        <w:rPr>
          <w:rFonts w:ascii="ITC Avant Garde" w:eastAsiaTheme="minorHAnsi" w:hAnsi="ITC Avant Garde" w:cs="ITC Avant Garde"/>
          <w:lang w:eastAsia="en-US"/>
        </w:rPr>
      </w:pPr>
    </w:p>
    <w:p w14:paraId="2E7737CB" w14:textId="622B175F" w:rsidR="0023798B" w:rsidRDefault="003E365A" w:rsidP="003E365A">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t xml:space="preserve">En el mismo contexto, resulta adecuado señalar que, </w:t>
      </w:r>
      <w:r w:rsidR="00E00B3D">
        <w:rPr>
          <w:rFonts w:ascii="ITC Avant Garde" w:eastAsiaTheme="minorHAnsi" w:hAnsi="ITC Avant Garde" w:cs="ITC Avant Garde"/>
          <w:lang w:eastAsia="en-US"/>
        </w:rPr>
        <w:t xml:space="preserve">se ha considerado señalar, en el contenido del artículo 22, que aquellos </w:t>
      </w:r>
      <w:r w:rsidR="00E00B3D" w:rsidRPr="00864874">
        <w:rPr>
          <w:rFonts w:ascii="ITC Avant Garde" w:eastAsiaTheme="minorHAnsi" w:hAnsi="ITC Avant Garde" w:cs="ITC Avant Garde"/>
          <w:lang w:eastAsia="en-US"/>
        </w:rPr>
        <w:t xml:space="preserve">Operadores Móviles Virtuales </w:t>
      </w:r>
      <w:r w:rsidR="00E00B3D" w:rsidRPr="00B3769C">
        <w:rPr>
          <w:rFonts w:ascii="ITC Avant Garde" w:eastAsiaTheme="minorHAnsi" w:hAnsi="ITC Avant Garde" w:cs="ITC Avant Garde"/>
          <w:lang w:eastAsia="en-US"/>
        </w:rPr>
        <w:t>que cuenten con infraestructura para la gestión de los servicios provistos a los usuarios finales</w:t>
      </w:r>
      <w:r w:rsidR="00E00B3D">
        <w:rPr>
          <w:rFonts w:ascii="ITC Avant Garde" w:eastAsiaTheme="minorHAnsi" w:hAnsi="ITC Avant Garde" w:cs="ITC Avant Garde"/>
          <w:lang w:eastAsia="en-US"/>
        </w:rPr>
        <w:t xml:space="preserve"> deberán entregar</w:t>
      </w:r>
      <w:r w:rsidR="0027557D">
        <w:rPr>
          <w:rFonts w:ascii="ITC Avant Garde" w:eastAsiaTheme="minorHAnsi" w:hAnsi="ITC Avant Garde" w:cs="ITC Avant Garde"/>
          <w:lang w:eastAsia="en-US"/>
        </w:rPr>
        <w:t xml:space="preserve"> </w:t>
      </w:r>
      <w:r>
        <w:rPr>
          <w:rFonts w:ascii="ITC Avant Garde" w:eastAsiaTheme="minorHAnsi" w:hAnsi="ITC Avant Garde" w:cs="ITC Avant Garde"/>
          <w:lang w:eastAsia="en-US"/>
        </w:rPr>
        <w:t xml:space="preserve">al Concesionario Mayorista Móvil </w:t>
      </w:r>
      <w:r w:rsidRPr="008E70C1">
        <w:rPr>
          <w:rFonts w:ascii="ITC Avant Garde" w:eastAsiaTheme="minorHAnsi" w:hAnsi="ITC Avant Garde" w:cs="ITC Avant Garde"/>
          <w:lang w:eastAsia="en-US"/>
        </w:rPr>
        <w:t>toda información técnica necesaria para la identificación de los usuarios activos en su red</w:t>
      </w:r>
      <w:r>
        <w:rPr>
          <w:rFonts w:ascii="ITC Avant Garde" w:eastAsiaTheme="minorHAnsi" w:hAnsi="ITC Avant Garde" w:cs="ITC Avant Garde"/>
          <w:lang w:eastAsia="en-US"/>
        </w:rPr>
        <w:t xml:space="preserve"> previo al cese de prestación de servicios, lo cual podrá ser objeto de sanciones si no se cumple con dicha obligación.</w:t>
      </w:r>
    </w:p>
    <w:p w14:paraId="37215D0B" w14:textId="1D5B92A2" w:rsidR="00814CBD" w:rsidRDefault="00814CBD" w:rsidP="003E365A">
      <w:pPr>
        <w:spacing w:after="0" w:line="276" w:lineRule="auto"/>
        <w:ind w:right="49"/>
        <w:rPr>
          <w:rFonts w:ascii="ITC Avant Garde" w:eastAsiaTheme="minorHAnsi" w:hAnsi="ITC Avant Garde" w:cs="ITC Avant Garde"/>
          <w:lang w:eastAsia="en-US"/>
        </w:rPr>
      </w:pPr>
    </w:p>
    <w:p w14:paraId="1DCEC39A" w14:textId="6E5A3B63" w:rsidR="00814CBD" w:rsidRDefault="00814CBD" w:rsidP="003E365A">
      <w:pPr>
        <w:spacing w:after="0" w:line="276" w:lineRule="auto"/>
        <w:ind w:right="49"/>
        <w:rPr>
          <w:rFonts w:ascii="ITC Avant Garde" w:hAnsi="ITC Avant Garde"/>
          <w:color w:val="auto"/>
        </w:rPr>
      </w:pPr>
      <w:r>
        <w:rPr>
          <w:rFonts w:ascii="ITC Avant Garde" w:eastAsiaTheme="minorHAnsi" w:hAnsi="ITC Avant Garde" w:cs="ITC Avant Garde"/>
          <w:lang w:eastAsia="en-US"/>
        </w:rPr>
        <w:t xml:space="preserve">De esta manera no existirían incentivos negativos </w:t>
      </w:r>
      <w:r w:rsidRPr="00971C1C">
        <w:rPr>
          <w:rFonts w:ascii="ITC Avant Garde" w:eastAsiaTheme="minorHAnsi" w:hAnsi="ITC Avant Garde" w:cs="ITC Avant Garde"/>
          <w:lang w:eastAsia="en-US"/>
        </w:rPr>
        <w:t xml:space="preserve">para que los OMV </w:t>
      </w:r>
      <w:r w:rsidR="004D4C13">
        <w:rPr>
          <w:rFonts w:ascii="ITC Avant Garde" w:eastAsiaTheme="minorHAnsi" w:hAnsi="ITC Avant Garde" w:cs="ITC Avant Garde"/>
          <w:lang w:eastAsia="en-US"/>
        </w:rPr>
        <w:t xml:space="preserve">no </w:t>
      </w:r>
      <w:r w:rsidRPr="00971C1C">
        <w:rPr>
          <w:rFonts w:ascii="ITC Avant Garde" w:eastAsiaTheme="minorHAnsi" w:hAnsi="ITC Avant Garde" w:cs="ITC Avant Garde"/>
          <w:lang w:eastAsia="en-US"/>
        </w:rPr>
        <w:t>cumplan con sus propias obligaciones, sabiendo que el concesionario mayorista asumiría responsabilidades en caso de incumplimiento o retiro del mercado por parte de los OMV</w:t>
      </w:r>
      <w:r>
        <w:rPr>
          <w:rFonts w:ascii="ITC Avant Garde" w:eastAsiaTheme="minorHAnsi" w:hAnsi="ITC Avant Garde" w:cs="ITC Avant Garde"/>
          <w:lang w:eastAsia="en-US"/>
        </w:rPr>
        <w:t xml:space="preserve">, ya que el incumplimiento de las obligaciones establecidas en los Lineamientos podrá ser objeto de sanciones por parte del Instituto. </w:t>
      </w:r>
    </w:p>
    <w:p w14:paraId="7345EF99" w14:textId="77777777" w:rsidR="00314686" w:rsidRDefault="00314686" w:rsidP="00314686">
      <w:pPr>
        <w:spacing w:after="0" w:line="276" w:lineRule="auto"/>
        <w:ind w:right="49"/>
        <w:rPr>
          <w:rFonts w:ascii="ITC Avant Garde" w:eastAsiaTheme="minorHAnsi" w:hAnsi="ITC Avant Garde" w:cs="ITC Avant Garde"/>
          <w:lang w:eastAsia="en-US"/>
        </w:rPr>
      </w:pPr>
    </w:p>
    <w:p w14:paraId="5966C625" w14:textId="77777777" w:rsidR="00631E14" w:rsidRPr="009C4398" w:rsidRDefault="00631E14" w:rsidP="00631E14">
      <w:pPr>
        <w:spacing w:after="0" w:line="276" w:lineRule="auto"/>
        <w:ind w:right="49"/>
        <w:rPr>
          <w:rFonts w:ascii="ITC Avant Garde" w:hAnsi="ITC Avant Garde"/>
          <w:b/>
          <w:bCs/>
          <w:color w:val="auto"/>
        </w:rPr>
      </w:pPr>
      <w:r w:rsidRPr="00FA09A5">
        <w:rPr>
          <w:rFonts w:ascii="ITC Avant Garde" w:hAnsi="ITC Avant Garde"/>
          <w:b/>
          <w:bCs/>
          <w:color w:val="auto"/>
        </w:rPr>
        <w:t>Dirección de Atención al Usuario</w:t>
      </w:r>
    </w:p>
    <w:p w14:paraId="210EFB8F" w14:textId="1286CB0A" w:rsidR="00971C1C" w:rsidRDefault="00631E14" w:rsidP="00631E14">
      <w:pPr>
        <w:spacing w:after="0" w:line="276" w:lineRule="auto"/>
        <w:ind w:right="49"/>
        <w:rPr>
          <w:rFonts w:ascii="ITC Avant Garde" w:eastAsiaTheme="minorHAnsi" w:hAnsi="ITC Avant Garde" w:cs="ITC Avant Garde"/>
          <w:lang w:eastAsia="en-US"/>
        </w:rPr>
      </w:pPr>
      <w:r w:rsidRPr="00631E14">
        <w:rPr>
          <w:rFonts w:ascii="ITC Avant Garde" w:eastAsiaTheme="minorHAnsi" w:hAnsi="ITC Avant Garde" w:cs="ITC Avant Garde"/>
          <w:lang w:eastAsia="en-US"/>
        </w:rPr>
        <w:t xml:space="preserve">Consideran que hace falta agregar las sanciones de incumplimiento tanto para los OMVs como para los Concesionarios Mayoristas Móviles, respecto de incumplimientos a estas disposiciones específicas. Así como el área del </w:t>
      </w:r>
      <w:r w:rsidR="00DA2BA0">
        <w:rPr>
          <w:rFonts w:ascii="ITC Avant Garde" w:eastAsiaTheme="minorHAnsi" w:hAnsi="ITC Avant Garde" w:cs="ITC Avant Garde"/>
          <w:lang w:eastAsia="en-US"/>
        </w:rPr>
        <w:t>Instituto</w:t>
      </w:r>
      <w:r w:rsidR="00DA2BA0" w:rsidRPr="00631E14">
        <w:rPr>
          <w:rFonts w:ascii="ITC Avant Garde" w:eastAsiaTheme="minorHAnsi" w:hAnsi="ITC Avant Garde" w:cs="ITC Avant Garde"/>
          <w:lang w:eastAsia="en-US"/>
        </w:rPr>
        <w:t xml:space="preserve"> </w:t>
      </w:r>
      <w:r w:rsidRPr="00631E14">
        <w:rPr>
          <w:rFonts w:ascii="ITC Avant Garde" w:eastAsiaTheme="minorHAnsi" w:hAnsi="ITC Avant Garde" w:cs="ITC Avant Garde"/>
          <w:lang w:eastAsia="en-US"/>
        </w:rPr>
        <w:t>que realiza las acciones de seguimiento y ante quienes pueden presentar quejas los usuarios finales.</w:t>
      </w:r>
    </w:p>
    <w:p w14:paraId="74BAF399" w14:textId="77777777" w:rsidR="00631E14" w:rsidRDefault="00631E14" w:rsidP="00631E14">
      <w:pPr>
        <w:spacing w:after="0" w:line="276" w:lineRule="auto"/>
        <w:ind w:right="49"/>
        <w:rPr>
          <w:rFonts w:ascii="ITC Avant Garde" w:eastAsiaTheme="minorHAnsi" w:hAnsi="ITC Avant Garde" w:cs="ITC Avant Garde"/>
          <w:lang w:eastAsia="en-US"/>
        </w:rPr>
      </w:pPr>
    </w:p>
    <w:p w14:paraId="37D34AEE" w14:textId="77777777" w:rsidR="0077161E" w:rsidRPr="003419F5" w:rsidRDefault="0077161E" w:rsidP="0077161E">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3FEE53CB" w14:textId="77777777" w:rsidR="0077161E" w:rsidRDefault="0077161E" w:rsidP="0077161E">
      <w:pPr>
        <w:spacing w:after="0" w:line="276" w:lineRule="auto"/>
        <w:ind w:right="49"/>
        <w:rPr>
          <w:rFonts w:ascii="ITC Avant Garde" w:hAnsi="ITC Avant Garde"/>
          <w:color w:val="auto"/>
        </w:rPr>
      </w:pPr>
    </w:p>
    <w:p w14:paraId="05CF75F0" w14:textId="4B1C70FA" w:rsidR="00741801" w:rsidRDefault="00741801" w:rsidP="00741801">
      <w:pPr>
        <w:spacing w:after="0" w:line="276" w:lineRule="auto"/>
        <w:ind w:right="49"/>
        <w:rPr>
          <w:rFonts w:ascii="ITC Avant Garde" w:eastAsiaTheme="minorHAnsi" w:hAnsi="ITC Avant Garde" w:cs="ITC Avant Garde"/>
          <w:lang w:eastAsia="en-US"/>
        </w:rPr>
      </w:pPr>
      <w:r>
        <w:rPr>
          <w:rFonts w:ascii="ITC Avant Garde" w:hAnsi="ITC Avant Garde"/>
          <w:color w:val="auto"/>
        </w:rPr>
        <w:t>Se señala que</w:t>
      </w:r>
      <w:r w:rsidRPr="003E365A">
        <w:rPr>
          <w:rFonts w:ascii="ITC Avant Garde" w:hAnsi="ITC Avant Garde"/>
          <w:color w:val="auto"/>
        </w:rPr>
        <w:t xml:space="preserve"> </w:t>
      </w:r>
      <w:r>
        <w:rPr>
          <w:rFonts w:ascii="ITC Avant Garde" w:hAnsi="ITC Avant Garde"/>
          <w:color w:val="auto"/>
        </w:rPr>
        <w:t xml:space="preserve">los </w:t>
      </w:r>
      <w:r>
        <w:rPr>
          <w:rFonts w:ascii="ITC Avant Garde" w:eastAsiaTheme="minorHAnsi" w:hAnsi="ITC Avant Garde" w:cs="ITC Avant Garde"/>
          <w:lang w:eastAsia="en-US"/>
        </w:rPr>
        <w:t>Lineamientos ya considera como obligación la responsabilidad ante el usuario final por la prestación de los servicios y cumplir con las obligaciones en materia de los derechos de los usuarios, así como el dar aviso con al menos 30 días de anticipación en caso del cese de prestación de los servicios. En este sentido, el incumplimiento de dichas acciones podrá ser objeto de sanciones por parte de la autoridad, por lo que no resulta procedente realizar modificaciones al respecto.</w:t>
      </w:r>
    </w:p>
    <w:p w14:paraId="02EC2752" w14:textId="77777777" w:rsidR="00741801" w:rsidRDefault="00741801" w:rsidP="00741801">
      <w:pPr>
        <w:spacing w:after="0" w:line="276" w:lineRule="auto"/>
        <w:ind w:right="49"/>
        <w:rPr>
          <w:rFonts w:ascii="ITC Avant Garde" w:eastAsiaTheme="minorHAnsi" w:hAnsi="ITC Avant Garde" w:cs="ITC Avant Garde"/>
          <w:lang w:eastAsia="en-US"/>
        </w:rPr>
      </w:pPr>
    </w:p>
    <w:p w14:paraId="4A7ED94F" w14:textId="3587DA64" w:rsidR="00390750" w:rsidRPr="00FF5149" w:rsidRDefault="00FE3EBF" w:rsidP="00741801">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lastRenderedPageBreak/>
        <w:t xml:space="preserve">Asimismo, </w:t>
      </w:r>
      <w:r w:rsidR="008D39CF">
        <w:rPr>
          <w:rFonts w:ascii="ITC Avant Garde" w:eastAsiaTheme="minorHAnsi" w:hAnsi="ITC Avant Garde" w:cs="ITC Avant Garde"/>
          <w:lang w:eastAsia="en-US"/>
        </w:rPr>
        <w:t>las sanciones aplicables al incumplimiento de lo señalado en los Lineamientos se encuentran</w:t>
      </w:r>
      <w:r w:rsidR="002C4DBF">
        <w:rPr>
          <w:rFonts w:ascii="ITC Avant Garde" w:eastAsiaTheme="minorHAnsi" w:hAnsi="ITC Avant Garde" w:cs="ITC Avant Garde"/>
          <w:lang w:eastAsia="en-US"/>
        </w:rPr>
        <w:t xml:space="preserve"> considerado actualmente en </w:t>
      </w:r>
      <w:r w:rsidR="00C83660">
        <w:rPr>
          <w:rFonts w:ascii="ITC Avant Garde" w:eastAsiaTheme="minorHAnsi" w:hAnsi="ITC Avant Garde" w:cs="ITC Avant Garde"/>
          <w:lang w:eastAsia="en-US"/>
        </w:rPr>
        <w:t>su</w:t>
      </w:r>
      <w:r w:rsidR="002C4DBF">
        <w:rPr>
          <w:rFonts w:ascii="ITC Avant Garde" w:eastAsiaTheme="minorHAnsi" w:hAnsi="ITC Avant Garde" w:cs="ITC Avant Garde"/>
          <w:lang w:eastAsia="en-US"/>
        </w:rPr>
        <w:t xml:space="preserve"> </w:t>
      </w:r>
      <w:r w:rsidR="002C4DBF" w:rsidRPr="0020677C">
        <w:rPr>
          <w:rFonts w:ascii="ITC Avant Garde" w:eastAsiaTheme="minorHAnsi" w:hAnsi="ITC Avant Garde" w:cs="ITC Avant Garde"/>
          <w:i/>
          <w:iCs/>
          <w:lang w:eastAsia="en-US"/>
        </w:rPr>
        <w:t>Capítulo V</w:t>
      </w:r>
      <w:r w:rsidR="00FF5149" w:rsidRPr="0020677C">
        <w:rPr>
          <w:rFonts w:ascii="ITC Avant Garde" w:eastAsiaTheme="minorHAnsi" w:hAnsi="ITC Avant Garde" w:cs="ITC Avant Garde"/>
          <w:i/>
          <w:iCs/>
          <w:lang w:eastAsia="en-US"/>
        </w:rPr>
        <w:t xml:space="preserve"> De la verificación, supervisión y sanciones</w:t>
      </w:r>
      <w:r w:rsidR="00C83660">
        <w:rPr>
          <w:rFonts w:ascii="ITC Avant Garde" w:eastAsiaTheme="minorHAnsi" w:hAnsi="ITC Avant Garde" w:cs="ITC Avant Garde"/>
          <w:i/>
          <w:iCs/>
          <w:lang w:eastAsia="en-US"/>
        </w:rPr>
        <w:t>.</w:t>
      </w:r>
    </w:p>
    <w:p w14:paraId="416B7A8D" w14:textId="77777777" w:rsidR="0077161E" w:rsidRDefault="0077161E" w:rsidP="0077161E">
      <w:pPr>
        <w:spacing w:after="0" w:line="276" w:lineRule="auto"/>
        <w:ind w:right="49"/>
        <w:rPr>
          <w:rFonts w:ascii="ITC Avant Garde" w:eastAsiaTheme="minorHAnsi" w:hAnsi="ITC Avant Garde" w:cs="ITC Avant Garde"/>
          <w:lang w:eastAsia="en-US"/>
        </w:rPr>
      </w:pPr>
    </w:p>
    <w:p w14:paraId="5867296A" w14:textId="56EC51FB" w:rsidR="00631E14" w:rsidRPr="009C4398" w:rsidRDefault="00631E14" w:rsidP="00631E14">
      <w:pPr>
        <w:spacing w:after="0" w:line="276" w:lineRule="auto"/>
        <w:ind w:right="49"/>
        <w:rPr>
          <w:rFonts w:ascii="ITC Avant Garde" w:hAnsi="ITC Avant Garde"/>
          <w:b/>
          <w:bCs/>
          <w:color w:val="auto"/>
        </w:rPr>
      </w:pPr>
      <w:r>
        <w:rPr>
          <w:rFonts w:ascii="ITC Avant Garde" w:hAnsi="ITC Avant Garde"/>
          <w:b/>
          <w:bCs/>
          <w:color w:val="auto"/>
        </w:rPr>
        <w:t>Altán</w:t>
      </w:r>
    </w:p>
    <w:p w14:paraId="129B8203" w14:textId="6837D0F6" w:rsidR="00D2718C" w:rsidRPr="00D2718C" w:rsidRDefault="00C85D17" w:rsidP="00D2718C">
      <w:pPr>
        <w:spacing w:after="0" w:line="276" w:lineRule="auto"/>
        <w:ind w:right="49"/>
        <w:rPr>
          <w:rFonts w:ascii="ITC Avant Garde" w:eastAsiaTheme="minorHAnsi" w:hAnsi="ITC Avant Garde" w:cs="ITC Avant Garde"/>
          <w:lang w:eastAsia="en-US"/>
        </w:rPr>
      </w:pPr>
      <w:r w:rsidRPr="00D2718C">
        <w:rPr>
          <w:rFonts w:ascii="ITC Avant Garde" w:eastAsiaTheme="minorHAnsi" w:hAnsi="ITC Avant Garde" w:cs="ITC Avant Garde"/>
          <w:lang w:eastAsia="en-US"/>
        </w:rPr>
        <w:t>Indica que el medio de comunicación sugerido en el Anteproyecto</w:t>
      </w:r>
      <w:r>
        <w:rPr>
          <w:rFonts w:ascii="ITC Avant Garde" w:eastAsiaTheme="minorHAnsi" w:hAnsi="ITC Avant Garde" w:cs="ITC Avant Garde"/>
          <w:lang w:eastAsia="en-US"/>
        </w:rPr>
        <w:t xml:space="preserve"> (mensajes cortos)</w:t>
      </w:r>
      <w:r w:rsidRPr="00D2718C">
        <w:rPr>
          <w:rFonts w:ascii="ITC Avant Garde" w:eastAsiaTheme="minorHAnsi" w:hAnsi="ITC Avant Garde" w:cs="ITC Avant Garde"/>
          <w:lang w:eastAsia="en-US"/>
        </w:rPr>
        <w:t xml:space="preserve"> no da certeza que el usuario final ejerza su derecho de portabilidad y tampoco garantiza la continuidad del servicio.</w:t>
      </w:r>
    </w:p>
    <w:p w14:paraId="72D77026" w14:textId="77777777" w:rsidR="00D2718C" w:rsidRPr="00D2718C" w:rsidRDefault="00D2718C" w:rsidP="00D2718C">
      <w:pPr>
        <w:spacing w:after="0" w:line="276" w:lineRule="auto"/>
        <w:ind w:right="49"/>
        <w:rPr>
          <w:rFonts w:ascii="ITC Avant Garde" w:eastAsiaTheme="minorHAnsi" w:hAnsi="ITC Avant Garde" w:cs="ITC Avant Garde"/>
          <w:lang w:eastAsia="en-US"/>
        </w:rPr>
      </w:pPr>
    </w:p>
    <w:p w14:paraId="64091CD1" w14:textId="1B5F1F98" w:rsidR="00631E14" w:rsidRDefault="00D2718C" w:rsidP="00D2718C">
      <w:pPr>
        <w:spacing w:after="0" w:line="276" w:lineRule="auto"/>
        <w:ind w:right="49"/>
        <w:rPr>
          <w:rFonts w:ascii="ITC Avant Garde" w:eastAsiaTheme="minorHAnsi" w:hAnsi="ITC Avant Garde" w:cs="ITC Avant Garde"/>
          <w:lang w:eastAsia="en-US"/>
        </w:rPr>
      </w:pPr>
      <w:r w:rsidRPr="00D2718C">
        <w:rPr>
          <w:rFonts w:ascii="ITC Avant Garde" w:eastAsiaTheme="minorHAnsi" w:hAnsi="ITC Avant Garde" w:cs="ITC Avant Garde"/>
          <w:lang w:eastAsia="en-US"/>
        </w:rPr>
        <w:t>Lo anterior debido a que los mensajes cortos son una vía de comunicación que por naturale</w:t>
      </w:r>
      <w:r w:rsidR="0097292B">
        <w:rPr>
          <w:rFonts w:ascii="ITC Avant Garde" w:eastAsiaTheme="minorHAnsi" w:hAnsi="ITC Avant Garde" w:cs="ITC Avant Garde"/>
          <w:lang w:eastAsia="en-US"/>
        </w:rPr>
        <w:t>za</w:t>
      </w:r>
      <w:r w:rsidRPr="00D2718C">
        <w:rPr>
          <w:rFonts w:ascii="ITC Avant Garde" w:eastAsiaTheme="minorHAnsi" w:hAnsi="ITC Avant Garde" w:cs="ITC Avant Garde"/>
          <w:lang w:eastAsia="en-US"/>
        </w:rPr>
        <w:t xml:space="preserve"> únicamente permie el envío de 160 caracteres por mensaje, lo que limita la cantidad de contenido que se puede enviar en un mensaje, y por ende, para cumplir con el mandato por el Instituto en el Anteproyecto, sería necesario el envío de varios mensajes para explicar la situación e informar los plazos y la forma en que se deben ejercer los derechos sin que se garantice que el usuario final lea el contenido de los mensajes, ya que en muchas ocasiones son ignorados por los remitentes por considerarse no deseados. </w:t>
      </w:r>
    </w:p>
    <w:p w14:paraId="34590A1F" w14:textId="77777777" w:rsidR="00631E14" w:rsidRDefault="00631E14" w:rsidP="00631E14">
      <w:pPr>
        <w:spacing w:after="0" w:line="276" w:lineRule="auto"/>
        <w:ind w:right="49"/>
        <w:rPr>
          <w:rFonts w:ascii="ITC Avant Garde" w:eastAsiaTheme="minorHAnsi" w:hAnsi="ITC Avant Garde" w:cs="ITC Avant Garde"/>
          <w:lang w:eastAsia="en-US"/>
        </w:rPr>
      </w:pPr>
    </w:p>
    <w:p w14:paraId="45290F1F" w14:textId="77777777" w:rsidR="008169CA" w:rsidRPr="003419F5" w:rsidRDefault="008169CA" w:rsidP="008169CA">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5335E942" w14:textId="77777777" w:rsidR="008169CA" w:rsidRDefault="008169CA" w:rsidP="008169CA">
      <w:pPr>
        <w:spacing w:after="0" w:line="276" w:lineRule="auto"/>
        <w:ind w:right="49"/>
        <w:rPr>
          <w:rFonts w:ascii="ITC Avant Garde" w:hAnsi="ITC Avant Garde"/>
          <w:color w:val="auto"/>
        </w:rPr>
      </w:pPr>
    </w:p>
    <w:p w14:paraId="3A9D6B9F" w14:textId="719D22F0" w:rsidR="008169CA" w:rsidRDefault="008169CA" w:rsidP="008169CA">
      <w:pPr>
        <w:spacing w:after="0" w:line="276" w:lineRule="auto"/>
        <w:ind w:right="49"/>
        <w:rPr>
          <w:rFonts w:ascii="ITC Avant Garde" w:hAnsi="ITC Avant Garde"/>
          <w:color w:val="auto"/>
        </w:rPr>
      </w:pPr>
      <w:r>
        <w:rPr>
          <w:rFonts w:ascii="ITC Avant Garde" w:hAnsi="ITC Avant Garde"/>
          <w:color w:val="auto"/>
        </w:rPr>
        <w:t>La Modificación de</w:t>
      </w:r>
      <w:r w:rsidR="00BC6D8C">
        <w:rPr>
          <w:rFonts w:ascii="ITC Avant Garde" w:hAnsi="ITC Avant Garde"/>
          <w:color w:val="auto"/>
        </w:rPr>
        <w:t xml:space="preserve"> Lineamientos OMV no limita la cantidad de mensajes cortos que podrán ser enviados a los usuarios </w:t>
      </w:r>
      <w:r w:rsidR="00B50406">
        <w:rPr>
          <w:rFonts w:ascii="ITC Avant Garde" w:hAnsi="ITC Avant Garde"/>
          <w:color w:val="auto"/>
        </w:rPr>
        <w:t xml:space="preserve">para informar respecto de su derecho a la portabilidad, </w:t>
      </w:r>
      <w:r w:rsidR="003206FB">
        <w:rPr>
          <w:rFonts w:ascii="ITC Avant Garde" w:hAnsi="ITC Avant Garde"/>
          <w:color w:val="auto"/>
        </w:rPr>
        <w:t xml:space="preserve">por lo que dichos mensajes se presentarán como un primer acercamiento </w:t>
      </w:r>
      <w:r w:rsidR="000E7531">
        <w:rPr>
          <w:rFonts w:ascii="ITC Avant Garde" w:hAnsi="ITC Avant Garde"/>
          <w:color w:val="auto"/>
        </w:rPr>
        <w:t xml:space="preserve">al usuario para conocer sobre el estado que guarda su línea, posterior al cese de </w:t>
      </w:r>
      <w:r w:rsidR="001221D2">
        <w:rPr>
          <w:rFonts w:ascii="ITC Avant Garde" w:hAnsi="ITC Avant Garde"/>
          <w:color w:val="auto"/>
        </w:rPr>
        <w:t xml:space="preserve">prestación de los servicios por parte del Operador Móvil Virtual, ya que adicionalmente se contará con un sistema de atención </w:t>
      </w:r>
      <w:r w:rsidR="00B95E91">
        <w:rPr>
          <w:rFonts w:ascii="ITC Avant Garde" w:hAnsi="ITC Avant Garde"/>
          <w:color w:val="auto"/>
        </w:rPr>
        <w:t>gratuita</w:t>
      </w:r>
      <w:r w:rsidR="001221D2">
        <w:rPr>
          <w:rFonts w:ascii="ITC Avant Garde" w:hAnsi="ITC Avant Garde"/>
          <w:color w:val="auto"/>
        </w:rPr>
        <w:t xml:space="preserve"> de consultas</w:t>
      </w:r>
      <w:r w:rsidR="003C68AD">
        <w:rPr>
          <w:rFonts w:ascii="ITC Avant Garde" w:hAnsi="ITC Avant Garde"/>
          <w:color w:val="auto"/>
        </w:rPr>
        <w:t xml:space="preserve"> de los usuarios afectados, que deberá ser habilitado por el Concesionario Mayorista Móvil, y en el que podrá brindarse una asesoría más detallada a los usuarios.</w:t>
      </w:r>
    </w:p>
    <w:p w14:paraId="75A2BABA" w14:textId="77777777" w:rsidR="008169CA" w:rsidRDefault="008169CA" w:rsidP="008169CA">
      <w:pPr>
        <w:spacing w:after="0" w:line="276" w:lineRule="auto"/>
        <w:ind w:right="49"/>
        <w:rPr>
          <w:rFonts w:ascii="ITC Avant Garde" w:eastAsiaTheme="minorHAnsi" w:hAnsi="ITC Avant Garde" w:cs="ITC Avant Garde"/>
          <w:lang w:eastAsia="en-US"/>
        </w:rPr>
      </w:pPr>
    </w:p>
    <w:p w14:paraId="60FF3C61" w14:textId="0BBE455A" w:rsidR="00D2718C" w:rsidRPr="009C4398" w:rsidRDefault="003F02F6" w:rsidP="00D2718C">
      <w:pPr>
        <w:spacing w:after="0" w:line="276" w:lineRule="auto"/>
        <w:ind w:right="49"/>
        <w:rPr>
          <w:rFonts w:ascii="ITC Avant Garde" w:hAnsi="ITC Avant Garde"/>
          <w:b/>
          <w:bCs/>
          <w:color w:val="auto"/>
        </w:rPr>
      </w:pPr>
      <w:r>
        <w:rPr>
          <w:rFonts w:ascii="ITC Avant Garde" w:hAnsi="ITC Avant Garde"/>
          <w:b/>
          <w:bCs/>
          <w:color w:val="auto"/>
        </w:rPr>
        <w:t>Telefónica</w:t>
      </w:r>
    </w:p>
    <w:p w14:paraId="15544880" w14:textId="6C439350" w:rsidR="003F02F6" w:rsidRPr="003F02F6" w:rsidRDefault="009B337F" w:rsidP="003F02F6">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t xml:space="preserve">Indica que </w:t>
      </w:r>
      <w:r w:rsidR="003F02F6" w:rsidRPr="003F02F6">
        <w:rPr>
          <w:rFonts w:ascii="ITC Avant Garde" w:eastAsiaTheme="minorHAnsi" w:hAnsi="ITC Avant Garde" w:cs="ITC Avant Garde"/>
          <w:lang w:eastAsia="en-US"/>
        </w:rPr>
        <w:t xml:space="preserve">la adición de un plazo en el cual se obligue a los concesionarios mayoristas móviles a brindar funcionalidades bajo su propia responsabilidad y costo genera un desincentivo para los OMV para seguir dando cumplimiento a las obligaciones a las que están sujetos en términos de la regulación aplicable, específicamente en lo que se refiere al aviso que deben dar los OMV con al menos 30 días de anticipación en caso de suspender la prestación de los servicios, pues en última instancia lo que hace la propuesta es suplir el sujeto obligado original de la carga. Indica que lo anterior conllevaría a que, ante la eventual suspensión de servicio, el OMV sabiendo que las consecuencias de su omisión recaerán sobre el </w:t>
      </w:r>
      <w:r w:rsidR="00D44FB2">
        <w:rPr>
          <w:rFonts w:ascii="ITC Avant Garde" w:eastAsiaTheme="minorHAnsi" w:hAnsi="ITC Avant Garde" w:cs="ITC Avant Garde"/>
          <w:lang w:eastAsia="en-US"/>
        </w:rPr>
        <w:lastRenderedPageBreak/>
        <w:t>Concesionario Mayorista Móvil</w:t>
      </w:r>
      <w:r w:rsidR="003F02F6" w:rsidRPr="003F02F6">
        <w:rPr>
          <w:rFonts w:ascii="ITC Avant Garde" w:eastAsiaTheme="minorHAnsi" w:hAnsi="ITC Avant Garde" w:cs="ITC Avant Garde"/>
          <w:lang w:eastAsia="en-US"/>
        </w:rPr>
        <w:t xml:space="preserve"> reduzca los esfuerzos para lograr la mayor migración de sus usuarios hacia otros operadores.</w:t>
      </w:r>
    </w:p>
    <w:p w14:paraId="5D6E0242" w14:textId="77777777" w:rsidR="003F02F6" w:rsidRPr="003F02F6" w:rsidRDefault="003F02F6" w:rsidP="003F02F6">
      <w:pPr>
        <w:spacing w:after="0" w:line="276" w:lineRule="auto"/>
        <w:ind w:right="49"/>
        <w:rPr>
          <w:rFonts w:ascii="ITC Avant Garde" w:eastAsiaTheme="minorHAnsi" w:hAnsi="ITC Avant Garde" w:cs="ITC Avant Garde"/>
          <w:lang w:eastAsia="en-US"/>
        </w:rPr>
      </w:pPr>
    </w:p>
    <w:p w14:paraId="60597AD0" w14:textId="38500635" w:rsidR="003F02F6" w:rsidRPr="003F02F6" w:rsidRDefault="003F02F6" w:rsidP="003F02F6">
      <w:pPr>
        <w:spacing w:after="0" w:line="276" w:lineRule="auto"/>
        <w:ind w:right="49"/>
        <w:rPr>
          <w:rFonts w:ascii="ITC Avant Garde" w:eastAsiaTheme="minorHAnsi" w:hAnsi="ITC Avant Garde" w:cs="ITC Avant Garde"/>
          <w:lang w:eastAsia="en-US"/>
        </w:rPr>
      </w:pPr>
      <w:r w:rsidRPr="003F02F6">
        <w:rPr>
          <w:rFonts w:ascii="ITC Avant Garde" w:eastAsiaTheme="minorHAnsi" w:hAnsi="ITC Avant Garde" w:cs="ITC Avant Garde"/>
          <w:lang w:eastAsia="en-US"/>
        </w:rPr>
        <w:t xml:space="preserve">Asimismo, indica que con la propuesta de modificación se corre el riesgo de fijar un mal precedente para otras obligaciones a cargo de los OMV, en lo que respecta a la protección de los derechos de los usuarios, que puede abrir la puerta a permitir al OMV a eludir las responsabilidades que le corresponden como único proveedor de los servicios a los usuarios finales y con ello, convertir de facto al </w:t>
      </w:r>
      <w:r w:rsidR="009E4B35">
        <w:rPr>
          <w:rFonts w:ascii="ITC Avant Garde" w:eastAsiaTheme="minorHAnsi" w:hAnsi="ITC Avant Garde" w:cs="ITC Avant Garde"/>
          <w:lang w:eastAsia="en-US"/>
        </w:rPr>
        <w:t>Concesionario Mayorista Móvil</w:t>
      </w:r>
      <w:r w:rsidR="009E4B35" w:rsidRPr="003F02F6">
        <w:rPr>
          <w:rFonts w:ascii="ITC Avant Garde" w:eastAsiaTheme="minorHAnsi" w:hAnsi="ITC Avant Garde" w:cs="ITC Avant Garde"/>
          <w:lang w:eastAsia="en-US"/>
        </w:rPr>
        <w:t xml:space="preserve"> </w:t>
      </w:r>
      <w:r w:rsidRPr="003F02F6">
        <w:rPr>
          <w:rFonts w:ascii="ITC Avant Garde" w:eastAsiaTheme="minorHAnsi" w:hAnsi="ITC Avant Garde" w:cs="ITC Avant Garde"/>
          <w:lang w:eastAsia="en-US"/>
        </w:rPr>
        <w:t>en una especie de obligado solidario, en clara contravención a los principios y reglas establecidos en la Ley.</w:t>
      </w:r>
    </w:p>
    <w:p w14:paraId="63C9596C" w14:textId="77777777" w:rsidR="003F02F6" w:rsidRPr="003F02F6" w:rsidRDefault="003F02F6" w:rsidP="003F02F6">
      <w:pPr>
        <w:spacing w:after="0" w:line="276" w:lineRule="auto"/>
        <w:ind w:right="49"/>
        <w:rPr>
          <w:rFonts w:ascii="ITC Avant Garde" w:eastAsiaTheme="minorHAnsi" w:hAnsi="ITC Avant Garde" w:cs="ITC Avant Garde"/>
          <w:lang w:eastAsia="en-US"/>
        </w:rPr>
      </w:pPr>
    </w:p>
    <w:p w14:paraId="3E787899" w14:textId="6FE06CCC" w:rsidR="003F02F6" w:rsidRPr="003F02F6" w:rsidRDefault="003F02F6" w:rsidP="003F02F6">
      <w:pPr>
        <w:spacing w:after="0" w:line="276" w:lineRule="auto"/>
        <w:ind w:right="49"/>
        <w:rPr>
          <w:rFonts w:ascii="ITC Avant Garde" w:eastAsiaTheme="minorHAnsi" w:hAnsi="ITC Avant Garde" w:cs="ITC Avant Garde"/>
          <w:lang w:eastAsia="en-US"/>
        </w:rPr>
      </w:pPr>
      <w:r w:rsidRPr="003F02F6">
        <w:rPr>
          <w:rFonts w:ascii="ITC Avant Garde" w:eastAsiaTheme="minorHAnsi" w:hAnsi="ITC Avant Garde" w:cs="ITC Avant Garde"/>
          <w:lang w:eastAsia="en-US"/>
        </w:rPr>
        <w:t xml:space="preserve">Señala que las obligaciones para el </w:t>
      </w:r>
      <w:r w:rsidR="00F67F28">
        <w:rPr>
          <w:rFonts w:ascii="ITC Avant Garde" w:eastAsiaTheme="minorHAnsi" w:hAnsi="ITC Avant Garde" w:cs="ITC Avant Garde"/>
          <w:lang w:eastAsia="en-US"/>
        </w:rPr>
        <w:t>Concesionario Mayorista Móvil</w:t>
      </w:r>
      <w:r w:rsidRPr="003F02F6">
        <w:rPr>
          <w:rFonts w:ascii="ITC Avant Garde" w:eastAsiaTheme="minorHAnsi" w:hAnsi="ITC Avant Garde" w:cs="ITC Avant Garde"/>
          <w:lang w:eastAsia="en-US"/>
        </w:rPr>
        <w:t xml:space="preserve"> deben limitarse a brindar soporte y poner a disposición las herramientas y medios necesarios para que el OMV pueda gestionar directamente a sus propios usuarios y dar cumplimiento a sus obligaciones de carácter regulatorio, cuando sea el caso, tal y como se prevé en la regulación vigente.</w:t>
      </w:r>
    </w:p>
    <w:p w14:paraId="2EB762CB" w14:textId="77777777" w:rsidR="003F02F6" w:rsidRPr="003F02F6" w:rsidRDefault="003F02F6" w:rsidP="003F02F6">
      <w:pPr>
        <w:spacing w:after="0" w:line="276" w:lineRule="auto"/>
        <w:ind w:right="49"/>
        <w:rPr>
          <w:rFonts w:ascii="ITC Avant Garde" w:eastAsiaTheme="minorHAnsi" w:hAnsi="ITC Avant Garde" w:cs="ITC Avant Garde"/>
          <w:lang w:eastAsia="en-US"/>
        </w:rPr>
      </w:pPr>
    </w:p>
    <w:p w14:paraId="4C55DE16" w14:textId="7F35B8D3" w:rsidR="003F02F6" w:rsidRPr="003F02F6" w:rsidRDefault="003F02F6" w:rsidP="003F02F6">
      <w:pPr>
        <w:spacing w:after="0" w:line="276" w:lineRule="auto"/>
        <w:ind w:right="49"/>
        <w:rPr>
          <w:rFonts w:ascii="ITC Avant Garde" w:eastAsiaTheme="minorHAnsi" w:hAnsi="ITC Avant Garde" w:cs="ITC Avant Garde"/>
          <w:lang w:eastAsia="en-US"/>
        </w:rPr>
      </w:pPr>
      <w:r w:rsidRPr="003F02F6">
        <w:rPr>
          <w:rFonts w:ascii="ITC Avant Garde" w:eastAsiaTheme="minorHAnsi" w:hAnsi="ITC Avant Garde" w:cs="ITC Avant Garde"/>
          <w:lang w:eastAsia="en-US"/>
        </w:rPr>
        <w:t xml:space="preserve">Por otro lado, señala complejidad en el entendimiento del proceso por cuanto hace a los límites de la responsabilidad del </w:t>
      </w:r>
      <w:r w:rsidR="00AD0614">
        <w:rPr>
          <w:rFonts w:ascii="ITC Avant Garde" w:eastAsiaTheme="minorHAnsi" w:hAnsi="ITC Avant Garde" w:cs="ITC Avant Garde"/>
          <w:lang w:eastAsia="en-US"/>
        </w:rPr>
        <w:t>Concesionario Mayorista Móvil</w:t>
      </w:r>
      <w:r w:rsidRPr="003F02F6">
        <w:rPr>
          <w:rFonts w:ascii="ITC Avant Garde" w:eastAsiaTheme="minorHAnsi" w:hAnsi="ITC Avant Garde" w:cs="ITC Avant Garde"/>
          <w:lang w:eastAsia="en-US"/>
        </w:rPr>
        <w:t xml:space="preserve">, generando aún más confusión a los usuarios, quienes podrían asumir de forma equivocada que el </w:t>
      </w:r>
      <w:r w:rsidR="00AD0614">
        <w:rPr>
          <w:rFonts w:ascii="ITC Avant Garde" w:eastAsiaTheme="minorHAnsi" w:hAnsi="ITC Avant Garde" w:cs="ITC Avant Garde"/>
          <w:lang w:eastAsia="en-US"/>
        </w:rPr>
        <w:t>Concesionario Mayorista Móvil</w:t>
      </w:r>
      <w:r w:rsidR="00AD0614" w:rsidRPr="003F02F6">
        <w:rPr>
          <w:rFonts w:ascii="ITC Avant Garde" w:eastAsiaTheme="minorHAnsi" w:hAnsi="ITC Avant Garde" w:cs="ITC Avant Garde"/>
          <w:lang w:eastAsia="en-US"/>
        </w:rPr>
        <w:t xml:space="preserve"> </w:t>
      </w:r>
      <w:r w:rsidRPr="003F02F6">
        <w:rPr>
          <w:rFonts w:ascii="ITC Avant Garde" w:eastAsiaTheme="minorHAnsi" w:hAnsi="ITC Avant Garde" w:cs="ITC Avant Garde"/>
          <w:lang w:eastAsia="en-US"/>
        </w:rPr>
        <w:t>es el nuevo responsable de todo lo relacionado con su línea y servicio, aumentando quejas y reclamaciones para este último, lo que aumentaría carga operativa y administrativa para atenderlas oportunamente.</w:t>
      </w:r>
    </w:p>
    <w:p w14:paraId="1535D1C1" w14:textId="77777777" w:rsidR="003F02F6" w:rsidRPr="003F02F6" w:rsidRDefault="003F02F6" w:rsidP="003F02F6">
      <w:pPr>
        <w:spacing w:after="0" w:line="276" w:lineRule="auto"/>
        <w:ind w:right="49"/>
        <w:rPr>
          <w:rFonts w:ascii="ITC Avant Garde" w:eastAsiaTheme="minorHAnsi" w:hAnsi="ITC Avant Garde" w:cs="ITC Avant Garde"/>
          <w:lang w:eastAsia="en-US"/>
        </w:rPr>
      </w:pPr>
    </w:p>
    <w:p w14:paraId="4CBC91D5" w14:textId="4DDD6783" w:rsidR="003F02F6" w:rsidRPr="003F02F6" w:rsidRDefault="003F02F6" w:rsidP="003F02F6">
      <w:pPr>
        <w:spacing w:after="0" w:line="276" w:lineRule="auto"/>
        <w:ind w:right="49"/>
        <w:rPr>
          <w:rFonts w:ascii="ITC Avant Garde" w:eastAsiaTheme="minorHAnsi" w:hAnsi="ITC Avant Garde" w:cs="ITC Avant Garde"/>
          <w:lang w:eastAsia="en-US"/>
        </w:rPr>
      </w:pPr>
      <w:r w:rsidRPr="003F02F6">
        <w:rPr>
          <w:rFonts w:ascii="ITC Avant Garde" w:eastAsiaTheme="minorHAnsi" w:hAnsi="ITC Avant Garde" w:cs="ITC Avant Garde"/>
          <w:lang w:eastAsia="en-US"/>
        </w:rPr>
        <w:t xml:space="preserve">Señala que no es claro a qué se refiere con la habilitación de un "sistema de atención gratuita de consultas de los usuarios afectados", por lo que pide especificar las características de dicho sistema, adicionando que toda atención directa a usuarios corresponde a una atribución propia del proveedor de servicios contratado libremente por el usuario, por lo que no es justificable la ejecución de dicha labor por el </w:t>
      </w:r>
      <w:r w:rsidR="004433FE">
        <w:rPr>
          <w:rFonts w:ascii="ITC Avant Garde" w:eastAsiaTheme="minorHAnsi" w:hAnsi="ITC Avant Garde" w:cs="ITC Avant Garde"/>
          <w:lang w:eastAsia="en-US"/>
        </w:rPr>
        <w:t>Concesionario Mayorista Móvil</w:t>
      </w:r>
      <w:r w:rsidRPr="003F02F6">
        <w:rPr>
          <w:rFonts w:ascii="ITC Avant Garde" w:eastAsiaTheme="minorHAnsi" w:hAnsi="ITC Avant Garde" w:cs="ITC Avant Garde"/>
          <w:lang w:eastAsia="en-US"/>
        </w:rPr>
        <w:t>.</w:t>
      </w:r>
    </w:p>
    <w:p w14:paraId="79338579" w14:textId="77777777" w:rsidR="003F02F6" w:rsidRPr="003F02F6" w:rsidRDefault="003F02F6" w:rsidP="003F02F6">
      <w:pPr>
        <w:spacing w:after="0" w:line="276" w:lineRule="auto"/>
        <w:ind w:right="49"/>
        <w:rPr>
          <w:rFonts w:ascii="ITC Avant Garde" w:eastAsiaTheme="minorHAnsi" w:hAnsi="ITC Avant Garde" w:cs="ITC Avant Garde"/>
          <w:lang w:eastAsia="en-US"/>
        </w:rPr>
      </w:pPr>
    </w:p>
    <w:p w14:paraId="5548D759" w14:textId="6A1E6DEB" w:rsidR="00631E14" w:rsidRDefault="003F02F6" w:rsidP="003F02F6">
      <w:pPr>
        <w:spacing w:after="0" w:line="276" w:lineRule="auto"/>
        <w:ind w:right="49"/>
        <w:rPr>
          <w:rFonts w:ascii="ITC Avant Garde" w:eastAsiaTheme="minorHAnsi" w:hAnsi="ITC Avant Garde" w:cs="ITC Avant Garde"/>
          <w:lang w:eastAsia="en-US"/>
        </w:rPr>
      </w:pPr>
      <w:r w:rsidRPr="003F02F6">
        <w:rPr>
          <w:rFonts w:ascii="ITC Avant Garde" w:eastAsiaTheme="minorHAnsi" w:hAnsi="ITC Avant Garde" w:cs="ITC Avant Garde"/>
          <w:lang w:eastAsia="en-US"/>
        </w:rPr>
        <w:t>Sobre prestar las funcionalidades descritas en la propuesta de modificación a los lineamientos, señala que</w:t>
      </w:r>
      <w:r w:rsidR="00EB2C8E">
        <w:rPr>
          <w:rFonts w:ascii="ITC Avant Garde" w:eastAsiaTheme="minorHAnsi" w:hAnsi="ITC Avant Garde" w:cs="ITC Avant Garde"/>
          <w:lang w:eastAsia="en-US"/>
        </w:rPr>
        <w:t xml:space="preserve">, </w:t>
      </w:r>
      <w:r w:rsidRPr="003F02F6">
        <w:rPr>
          <w:rFonts w:ascii="ITC Avant Garde" w:eastAsiaTheme="minorHAnsi" w:hAnsi="ITC Avant Garde" w:cs="ITC Avant Garde"/>
          <w:lang w:eastAsia="en-US"/>
        </w:rPr>
        <w:t xml:space="preserve">al haberse terminado la relación contractual con el OMV, el </w:t>
      </w:r>
      <w:r w:rsidR="004433FE">
        <w:rPr>
          <w:rFonts w:ascii="ITC Avant Garde" w:eastAsiaTheme="minorHAnsi" w:hAnsi="ITC Avant Garde" w:cs="ITC Avant Garde"/>
          <w:lang w:eastAsia="en-US"/>
        </w:rPr>
        <w:t>Concesionario Mayorista Móvil</w:t>
      </w:r>
      <w:r w:rsidR="004433FE" w:rsidRPr="003F02F6" w:rsidDel="004433FE">
        <w:rPr>
          <w:rFonts w:ascii="ITC Avant Garde" w:eastAsiaTheme="minorHAnsi" w:hAnsi="ITC Avant Garde" w:cs="ITC Avant Garde"/>
          <w:lang w:eastAsia="en-US"/>
        </w:rPr>
        <w:t xml:space="preserve"> </w:t>
      </w:r>
      <w:r w:rsidRPr="003F02F6">
        <w:rPr>
          <w:rFonts w:ascii="ITC Avant Garde" w:eastAsiaTheme="minorHAnsi" w:hAnsi="ITC Avant Garde" w:cs="ITC Avant Garde"/>
          <w:lang w:eastAsia="en-US"/>
        </w:rPr>
        <w:t xml:space="preserve">quedaría totalmente desprotegido y sin ninguna posibilidad para recuperar los costos incurridos en el cumplimiento de tales disposiciones regulatorias, suponiendo un impacto económico importante que afectaría sus cuentas. Así, señala que desproporcionada la medida al obligar al concesionario mayorista a incurrir en gastos considerables para atender a usuarios a quienes no le ofrece un servicio directamente y con los que no tiene una </w:t>
      </w:r>
      <w:r w:rsidRPr="003F02F6">
        <w:rPr>
          <w:rFonts w:ascii="ITC Avant Garde" w:eastAsiaTheme="minorHAnsi" w:hAnsi="ITC Avant Garde" w:cs="ITC Avant Garde"/>
          <w:lang w:eastAsia="en-US"/>
        </w:rPr>
        <w:lastRenderedPageBreak/>
        <w:t xml:space="preserve">obligación contractual, desvirtuando el modelo de negocios del </w:t>
      </w:r>
      <w:r w:rsidR="004433FE">
        <w:rPr>
          <w:rFonts w:ascii="ITC Avant Garde" w:eastAsiaTheme="minorHAnsi" w:hAnsi="ITC Avant Garde" w:cs="ITC Avant Garde"/>
          <w:lang w:eastAsia="en-US"/>
        </w:rPr>
        <w:t>Concesionario Mayorista Móvil</w:t>
      </w:r>
      <w:r w:rsidRPr="003F02F6">
        <w:rPr>
          <w:rFonts w:ascii="ITC Avant Garde" w:eastAsiaTheme="minorHAnsi" w:hAnsi="ITC Avant Garde" w:cs="ITC Avant Garde"/>
          <w:lang w:eastAsia="en-US"/>
        </w:rPr>
        <w:t>.</w:t>
      </w:r>
    </w:p>
    <w:p w14:paraId="520225AE" w14:textId="77777777" w:rsidR="00971C1C" w:rsidRDefault="00971C1C" w:rsidP="00BD064E">
      <w:pPr>
        <w:spacing w:after="0" w:line="276" w:lineRule="auto"/>
        <w:ind w:right="49"/>
        <w:rPr>
          <w:rFonts w:ascii="ITC Avant Garde" w:eastAsiaTheme="minorHAnsi" w:hAnsi="ITC Avant Garde" w:cs="ITC Avant Garde"/>
          <w:lang w:eastAsia="en-US"/>
        </w:rPr>
      </w:pPr>
    </w:p>
    <w:p w14:paraId="148FA6EA" w14:textId="77777777" w:rsidR="008169CA" w:rsidRPr="003419F5" w:rsidRDefault="008169CA" w:rsidP="008169CA">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6603225E" w14:textId="77777777" w:rsidR="008169CA" w:rsidRDefault="008169CA" w:rsidP="008169CA">
      <w:pPr>
        <w:spacing w:after="0" w:line="276" w:lineRule="auto"/>
        <w:ind w:right="49"/>
        <w:rPr>
          <w:rFonts w:ascii="ITC Avant Garde" w:hAnsi="ITC Avant Garde"/>
          <w:color w:val="auto"/>
        </w:rPr>
      </w:pPr>
    </w:p>
    <w:p w14:paraId="6CAF308D" w14:textId="4C7F5DA2" w:rsidR="008169CA" w:rsidRDefault="00B03CFA" w:rsidP="008169CA">
      <w:pPr>
        <w:spacing w:after="0" w:line="276" w:lineRule="auto"/>
        <w:ind w:right="49"/>
        <w:rPr>
          <w:rFonts w:ascii="ITC Avant Garde" w:hAnsi="ITC Avant Garde"/>
          <w:color w:val="auto"/>
        </w:rPr>
      </w:pPr>
      <w:r>
        <w:rPr>
          <w:rFonts w:ascii="ITC Avant Garde" w:hAnsi="ITC Avant Garde"/>
          <w:color w:val="auto"/>
        </w:rPr>
        <w:t xml:space="preserve">La Modificación de Lineamientos OMV no elimina la obligación que tienen los OMV de dar aviso a los usuarios finales, con al menos 30 días de anticipación, en caso del cese de prestación de los servicios, ni con las demás obligaciones que los OMV tienen respecto a la portabilidad de sus usuarios y la prestación responsable de los servicios ofertados a los usuarios finales. Asimismo, se busca ofrecer un mecanismo que, mediante el apoyo temporal de </w:t>
      </w:r>
      <w:r w:rsidR="005D40BA">
        <w:rPr>
          <w:rFonts w:ascii="ITC Avant Garde" w:hAnsi="ITC Avant Garde"/>
          <w:color w:val="auto"/>
        </w:rPr>
        <w:t xml:space="preserve">funcionalidades y </w:t>
      </w:r>
      <w:r>
        <w:rPr>
          <w:rFonts w:ascii="ITC Avant Garde" w:hAnsi="ITC Avant Garde"/>
          <w:color w:val="auto"/>
        </w:rPr>
        <w:t>los recursos de red del Concesionario Mayorista Móvil, dichos usuarios puedan ejercer su derecho a la portabilidad, eligiendo así algún otro proveedor de servicios de telecomunicaciones móviles de su preferencia.</w:t>
      </w:r>
    </w:p>
    <w:p w14:paraId="1ED47318" w14:textId="77777777" w:rsidR="00DD4D7B" w:rsidRDefault="00DD4D7B" w:rsidP="008169CA">
      <w:pPr>
        <w:spacing w:after="0" w:line="276" w:lineRule="auto"/>
        <w:ind w:right="49"/>
        <w:rPr>
          <w:rFonts w:ascii="ITC Avant Garde" w:hAnsi="ITC Avant Garde"/>
          <w:color w:val="auto"/>
        </w:rPr>
      </w:pPr>
    </w:p>
    <w:p w14:paraId="05CD09A6" w14:textId="43DE7726" w:rsidR="00DD4D7B" w:rsidRDefault="00DD4D7B" w:rsidP="008169CA">
      <w:pPr>
        <w:spacing w:after="0" w:line="276" w:lineRule="auto"/>
        <w:ind w:right="49"/>
        <w:rPr>
          <w:rFonts w:ascii="ITC Avant Garde" w:hAnsi="ITC Avant Garde"/>
          <w:color w:val="auto"/>
        </w:rPr>
      </w:pPr>
      <w:r>
        <w:rPr>
          <w:rFonts w:ascii="ITC Avant Garde" w:hAnsi="ITC Avant Garde"/>
          <w:color w:val="auto"/>
        </w:rPr>
        <w:t xml:space="preserve">Sobre la complejidad en el entendimiento del proceso en cuanto a </w:t>
      </w:r>
      <w:r w:rsidR="00CC7124">
        <w:rPr>
          <w:rFonts w:ascii="ITC Avant Garde" w:hAnsi="ITC Avant Garde"/>
          <w:color w:val="auto"/>
        </w:rPr>
        <w:t>la responsabilidad</w:t>
      </w:r>
      <w:r>
        <w:rPr>
          <w:rFonts w:ascii="ITC Avant Garde" w:hAnsi="ITC Avant Garde"/>
          <w:color w:val="auto"/>
        </w:rPr>
        <w:t xml:space="preserve"> del Concesionario Mayorista Móvil </w:t>
      </w:r>
      <w:r w:rsidR="00626B4F">
        <w:rPr>
          <w:rFonts w:ascii="ITC Avant Garde" w:hAnsi="ITC Avant Garde"/>
          <w:color w:val="auto"/>
        </w:rPr>
        <w:t xml:space="preserve">se señala que </w:t>
      </w:r>
      <w:r w:rsidR="007A3FBF">
        <w:rPr>
          <w:rFonts w:ascii="ITC Avant Garde" w:hAnsi="ITC Avant Garde"/>
          <w:color w:val="auto"/>
        </w:rPr>
        <w:t xml:space="preserve">la Modificación de Lineamientos OMV contempla el envío de toda la información necesaria </w:t>
      </w:r>
      <w:r w:rsidR="00050B3A">
        <w:rPr>
          <w:rFonts w:ascii="ITC Avant Garde" w:hAnsi="ITC Avant Garde"/>
          <w:color w:val="auto"/>
        </w:rPr>
        <w:t xml:space="preserve">a los usuarios, a través de mensajes cortos, para ejercer el derecho a la portabilidad, </w:t>
      </w:r>
      <w:r w:rsidR="00CB4C9B">
        <w:rPr>
          <w:rFonts w:ascii="ITC Avant Garde" w:hAnsi="ITC Avant Garde"/>
          <w:color w:val="auto"/>
        </w:rPr>
        <w:t xml:space="preserve">y que dicha información deberá ser lo suficientemente clara para </w:t>
      </w:r>
      <w:r w:rsidR="00345E53">
        <w:rPr>
          <w:rFonts w:ascii="ITC Avant Garde" w:hAnsi="ITC Avant Garde"/>
          <w:color w:val="auto"/>
        </w:rPr>
        <w:t xml:space="preserve">dar a conocer al usuario la temporalidad y objetivo de la prestación de las funcionalidades, </w:t>
      </w:r>
      <w:r w:rsidR="00050B3A">
        <w:rPr>
          <w:rFonts w:ascii="ITC Avant Garde" w:hAnsi="ITC Avant Garde"/>
          <w:color w:val="auto"/>
        </w:rPr>
        <w:t xml:space="preserve">por lo que no </w:t>
      </w:r>
      <w:r w:rsidR="00F572F3">
        <w:rPr>
          <w:rFonts w:ascii="ITC Avant Garde" w:hAnsi="ITC Avant Garde"/>
          <w:color w:val="auto"/>
        </w:rPr>
        <w:t>debe existir confusión respecto a las responsabilidades que tiene el Concesionario Mayorista Móvil</w:t>
      </w:r>
      <w:r w:rsidR="004E587E">
        <w:rPr>
          <w:rFonts w:ascii="ITC Avant Garde" w:hAnsi="ITC Avant Garde"/>
          <w:color w:val="auto"/>
        </w:rPr>
        <w:t>.</w:t>
      </w:r>
    </w:p>
    <w:p w14:paraId="7339EE22" w14:textId="77777777" w:rsidR="004E587E" w:rsidRDefault="004E587E" w:rsidP="008169CA">
      <w:pPr>
        <w:spacing w:after="0" w:line="276" w:lineRule="auto"/>
        <w:ind w:right="49"/>
        <w:rPr>
          <w:rFonts w:ascii="ITC Avant Garde" w:hAnsi="ITC Avant Garde"/>
          <w:color w:val="auto"/>
        </w:rPr>
      </w:pPr>
    </w:p>
    <w:p w14:paraId="4B3AA409" w14:textId="3893792B" w:rsidR="00640D98" w:rsidRDefault="00740622" w:rsidP="008169CA">
      <w:pPr>
        <w:spacing w:after="0" w:line="276" w:lineRule="auto"/>
        <w:ind w:right="49"/>
        <w:rPr>
          <w:rFonts w:ascii="ITC Avant Garde" w:hAnsi="ITC Avant Garde"/>
          <w:color w:val="auto"/>
        </w:rPr>
      </w:pPr>
      <w:r>
        <w:rPr>
          <w:rFonts w:ascii="ITC Avant Garde" w:hAnsi="ITC Avant Garde"/>
          <w:color w:val="auto"/>
        </w:rPr>
        <w:t>Asimismo, por lo que respect</w:t>
      </w:r>
      <w:r w:rsidR="00254644">
        <w:rPr>
          <w:rFonts w:ascii="ITC Avant Garde" w:hAnsi="ITC Avant Garde"/>
          <w:color w:val="auto"/>
        </w:rPr>
        <w:t>a</w:t>
      </w:r>
      <w:r>
        <w:rPr>
          <w:rFonts w:ascii="ITC Avant Garde" w:hAnsi="ITC Avant Garde"/>
          <w:color w:val="auto"/>
        </w:rPr>
        <w:t xml:space="preserve"> </w:t>
      </w:r>
      <w:r w:rsidR="0006436D">
        <w:rPr>
          <w:rFonts w:ascii="ITC Avant Garde" w:hAnsi="ITC Avant Garde"/>
          <w:color w:val="auto"/>
        </w:rPr>
        <w:t xml:space="preserve">a </w:t>
      </w:r>
      <w:r w:rsidR="002D141D">
        <w:rPr>
          <w:rFonts w:ascii="ITC Avant Garde" w:hAnsi="ITC Avant Garde"/>
          <w:color w:val="auto"/>
        </w:rPr>
        <w:t>especificar</w:t>
      </w:r>
      <w:r w:rsidR="00D86072">
        <w:rPr>
          <w:rFonts w:ascii="ITC Avant Garde" w:hAnsi="ITC Avant Garde"/>
          <w:color w:val="auto"/>
        </w:rPr>
        <w:t xml:space="preserve"> las características </w:t>
      </w:r>
      <w:r w:rsidR="002D141D">
        <w:rPr>
          <w:rFonts w:ascii="ITC Avant Garde" w:hAnsi="ITC Avant Garde"/>
          <w:color w:val="auto"/>
        </w:rPr>
        <w:t>del</w:t>
      </w:r>
      <w:r>
        <w:rPr>
          <w:rFonts w:ascii="ITC Avant Garde" w:hAnsi="ITC Avant Garde"/>
          <w:color w:val="auto"/>
        </w:rPr>
        <w:t xml:space="preserve"> “sistema de atención gratuita de consultas de los usuarios afectados”</w:t>
      </w:r>
      <w:r w:rsidR="00D86072">
        <w:rPr>
          <w:rFonts w:ascii="ITC Avant Garde" w:hAnsi="ITC Avant Garde"/>
          <w:color w:val="auto"/>
        </w:rPr>
        <w:t xml:space="preserve">, </w:t>
      </w:r>
      <w:r w:rsidR="002D141D">
        <w:rPr>
          <w:rFonts w:ascii="ITC Avant Garde" w:hAnsi="ITC Avant Garde"/>
          <w:color w:val="auto"/>
        </w:rPr>
        <w:t xml:space="preserve">se señala que esto limitaría la manera en que los Concesionarios Mayoristas Móviles podrán gestionar sus recursos a fin de implementar dicho sistema, por lo que se </w:t>
      </w:r>
      <w:r w:rsidR="00750737">
        <w:rPr>
          <w:rFonts w:ascii="ITC Avant Garde" w:hAnsi="ITC Avant Garde"/>
          <w:color w:val="auto"/>
        </w:rPr>
        <w:t xml:space="preserve">deja abierta la posibilidad de integrar el mismo a través de los medios que cada Concesionario Mayorista Móvil considere </w:t>
      </w:r>
      <w:r w:rsidR="0086493E">
        <w:rPr>
          <w:rFonts w:ascii="ITC Avant Garde" w:hAnsi="ITC Avant Garde"/>
          <w:color w:val="auto"/>
        </w:rPr>
        <w:t>más</w:t>
      </w:r>
      <w:r w:rsidR="00750737">
        <w:rPr>
          <w:rFonts w:ascii="ITC Avant Garde" w:hAnsi="ITC Avant Garde"/>
          <w:color w:val="auto"/>
        </w:rPr>
        <w:t xml:space="preserve"> adecuado.</w:t>
      </w:r>
    </w:p>
    <w:p w14:paraId="1F7D541E" w14:textId="77777777" w:rsidR="00640D98" w:rsidRDefault="00640D98" w:rsidP="008169CA">
      <w:pPr>
        <w:spacing w:after="0" w:line="276" w:lineRule="auto"/>
        <w:ind w:right="49"/>
        <w:rPr>
          <w:rFonts w:ascii="ITC Avant Garde" w:hAnsi="ITC Avant Garde"/>
          <w:color w:val="auto"/>
        </w:rPr>
      </w:pPr>
    </w:p>
    <w:p w14:paraId="5F8F9583" w14:textId="3BAB27DC" w:rsidR="00233828" w:rsidRDefault="00233828" w:rsidP="00233828">
      <w:pPr>
        <w:spacing w:after="0" w:line="276" w:lineRule="auto"/>
        <w:ind w:right="49"/>
        <w:rPr>
          <w:rFonts w:ascii="ITC Avant Garde" w:eastAsiaTheme="minorHAnsi" w:hAnsi="ITC Avant Garde" w:cs="ITC Avant Garde"/>
          <w:lang w:eastAsia="en-US"/>
        </w:rPr>
      </w:pPr>
      <w:r>
        <w:rPr>
          <w:rFonts w:ascii="ITC Avant Garde" w:hAnsi="ITC Avant Garde"/>
          <w:color w:val="auto"/>
        </w:rPr>
        <w:t xml:space="preserve">Resulta necesario señalar que los </w:t>
      </w:r>
      <w:r>
        <w:rPr>
          <w:rFonts w:ascii="ITC Avant Garde" w:eastAsiaTheme="minorHAnsi" w:hAnsi="ITC Avant Garde" w:cs="ITC Avant Garde"/>
          <w:lang w:eastAsia="en-US"/>
        </w:rPr>
        <w:t>Lineamientos ya considera como obligación la responsabilidad ante el usuario final por la prestación de los servicios y cumplir con las obligaciones en materia de los derechos de los usuarios, así como el dar aviso con al menos 30 días de anticipación en caso del cese de prestación de los servicios. En este sentido, el incumplimiento de dichas acciones podrá ser objeto de sanciones por parte de la autoridad</w:t>
      </w:r>
      <w:r w:rsidR="008B5DAE">
        <w:rPr>
          <w:rFonts w:ascii="ITC Avant Garde" w:eastAsiaTheme="minorHAnsi" w:hAnsi="ITC Avant Garde" w:cs="ITC Avant Garde"/>
          <w:lang w:eastAsia="en-US"/>
        </w:rPr>
        <w:t>.</w:t>
      </w:r>
    </w:p>
    <w:p w14:paraId="13E24EF5" w14:textId="77777777" w:rsidR="008B5DAE" w:rsidRDefault="008B5DAE" w:rsidP="00233828">
      <w:pPr>
        <w:spacing w:after="0" w:line="276" w:lineRule="auto"/>
        <w:ind w:right="49"/>
        <w:rPr>
          <w:rFonts w:ascii="ITC Avant Garde" w:eastAsiaTheme="minorHAnsi" w:hAnsi="ITC Avant Garde" w:cs="ITC Avant Garde"/>
          <w:lang w:eastAsia="en-US"/>
        </w:rPr>
      </w:pPr>
    </w:p>
    <w:p w14:paraId="2D5A1E3C" w14:textId="77777777" w:rsidR="008B5DAE" w:rsidRPr="009F53BF" w:rsidRDefault="008B5DAE" w:rsidP="008B5DAE">
      <w:pPr>
        <w:spacing w:after="0" w:line="276" w:lineRule="auto"/>
        <w:ind w:right="49"/>
        <w:rPr>
          <w:rFonts w:ascii="ITC Avant Garde" w:hAnsi="ITC Avant Garde"/>
          <w:color w:val="auto"/>
        </w:rPr>
      </w:pPr>
      <w:r>
        <w:rPr>
          <w:rFonts w:ascii="ITC Avant Garde" w:hAnsi="ITC Avant Garde"/>
          <w:color w:val="auto"/>
        </w:rPr>
        <w:t xml:space="preserve">No obstante, se ha modificado el artículo 13, fracción VI de los Lineamientos, para </w:t>
      </w:r>
      <w:r w:rsidRPr="009F53BF">
        <w:rPr>
          <w:rFonts w:ascii="ITC Avant Garde" w:hAnsi="ITC Avant Garde"/>
          <w:color w:val="auto"/>
        </w:rPr>
        <w:t xml:space="preserve">establecer obligaciones adicionales para los Operadores Móviles Virtuales, con el fin de garantizar que, en caso de cesar la prestación de servicios de </w:t>
      </w:r>
      <w:r w:rsidRPr="009F53BF">
        <w:rPr>
          <w:rFonts w:ascii="ITC Avant Garde" w:hAnsi="ITC Avant Garde"/>
          <w:color w:val="auto"/>
        </w:rPr>
        <w:lastRenderedPageBreak/>
        <w:t>telecomunicaciones, sus usuarios dispongan de toda la información necesaria para ejercer su derecho a la portabilidad numérica oportunamente</w:t>
      </w:r>
      <w:r>
        <w:rPr>
          <w:rFonts w:ascii="ITC Avant Garde" w:hAnsi="ITC Avant Garde"/>
          <w:color w:val="auto"/>
        </w:rPr>
        <w:t>, para quedar en los términos siguientes:</w:t>
      </w:r>
    </w:p>
    <w:p w14:paraId="7546A415" w14:textId="77777777" w:rsidR="008B5DAE" w:rsidRPr="00DC42C3" w:rsidRDefault="008B5DAE" w:rsidP="008B5DAE">
      <w:pPr>
        <w:pStyle w:val="Texto"/>
        <w:tabs>
          <w:tab w:val="left" w:pos="426"/>
        </w:tabs>
        <w:ind w:left="567" w:right="615"/>
        <w:rPr>
          <w:bCs/>
          <w:szCs w:val="18"/>
        </w:rPr>
      </w:pPr>
    </w:p>
    <w:p w14:paraId="3211B3FD" w14:textId="77777777" w:rsidR="008B5DAE" w:rsidRPr="008B748C" w:rsidRDefault="008B5DAE" w:rsidP="008B5DAE">
      <w:pPr>
        <w:spacing w:after="0" w:line="276" w:lineRule="auto"/>
        <w:ind w:left="567" w:right="616"/>
        <w:rPr>
          <w:rFonts w:ascii="ITC Avant Garde" w:eastAsiaTheme="minorHAnsi" w:hAnsi="ITC Avant Garde" w:cs="ITC Avant Garde"/>
          <w:i/>
          <w:iCs/>
          <w:sz w:val="18"/>
          <w:szCs w:val="18"/>
          <w:lang w:eastAsia="en-US"/>
        </w:rPr>
      </w:pPr>
      <w:r>
        <w:rPr>
          <w:rFonts w:ascii="ITC Avant Garde" w:eastAsiaTheme="minorHAnsi" w:hAnsi="ITC Avant Garde" w:cs="ITC Avant Garde"/>
          <w:i/>
          <w:iCs/>
          <w:sz w:val="18"/>
          <w:szCs w:val="18"/>
          <w:lang w:eastAsia="en-US"/>
        </w:rPr>
        <w:t>“</w:t>
      </w:r>
      <w:r w:rsidRPr="008B748C">
        <w:rPr>
          <w:rFonts w:ascii="ITC Avant Garde" w:eastAsiaTheme="minorHAnsi" w:hAnsi="ITC Avant Garde" w:cs="ITC Avant Garde"/>
          <w:i/>
          <w:iCs/>
          <w:sz w:val="18"/>
          <w:szCs w:val="18"/>
          <w:lang w:eastAsia="en-US"/>
        </w:rPr>
        <w:t xml:space="preserve">Artículo 13. … </w:t>
      </w:r>
    </w:p>
    <w:p w14:paraId="6C32BC36" w14:textId="77777777" w:rsidR="008B5DAE" w:rsidRPr="008B748C" w:rsidRDefault="008B5DAE" w:rsidP="008B5DAE">
      <w:pPr>
        <w:spacing w:after="0" w:line="276" w:lineRule="auto"/>
        <w:ind w:left="567" w:right="616"/>
        <w:rPr>
          <w:rFonts w:ascii="ITC Avant Garde" w:eastAsiaTheme="minorHAnsi" w:hAnsi="ITC Avant Garde" w:cs="ITC Avant Garde"/>
          <w:i/>
          <w:iCs/>
          <w:sz w:val="18"/>
          <w:szCs w:val="18"/>
          <w:lang w:eastAsia="en-US"/>
        </w:rPr>
      </w:pPr>
    </w:p>
    <w:p w14:paraId="716B5282" w14:textId="77777777" w:rsidR="008B5DAE" w:rsidRPr="008B748C" w:rsidRDefault="008B5DAE" w:rsidP="008B5DAE">
      <w:pPr>
        <w:spacing w:after="0" w:line="276" w:lineRule="auto"/>
        <w:ind w:left="567" w:right="616"/>
        <w:rPr>
          <w:rFonts w:ascii="ITC Avant Garde" w:eastAsiaTheme="minorHAnsi" w:hAnsi="ITC Avant Garde" w:cs="ITC Avant Garde"/>
          <w:i/>
          <w:iCs/>
          <w:sz w:val="18"/>
          <w:szCs w:val="18"/>
          <w:lang w:eastAsia="en-US"/>
        </w:rPr>
      </w:pPr>
      <w:r w:rsidRPr="008B748C">
        <w:rPr>
          <w:rFonts w:ascii="ITC Avant Garde" w:eastAsiaTheme="minorHAnsi" w:hAnsi="ITC Avant Garde" w:cs="ITC Avant Garde"/>
          <w:i/>
          <w:iCs/>
          <w:sz w:val="18"/>
          <w:szCs w:val="18"/>
          <w:lang w:eastAsia="en-US"/>
        </w:rPr>
        <w:t>I a V. …</w:t>
      </w:r>
    </w:p>
    <w:p w14:paraId="3D493ED6" w14:textId="77777777" w:rsidR="008B5DAE" w:rsidRPr="008B748C" w:rsidRDefault="008B5DAE" w:rsidP="008B5DAE">
      <w:pPr>
        <w:spacing w:after="0" w:line="276" w:lineRule="auto"/>
        <w:ind w:left="567" w:right="616"/>
        <w:rPr>
          <w:rFonts w:ascii="ITC Avant Garde" w:eastAsiaTheme="minorHAnsi" w:hAnsi="ITC Avant Garde" w:cs="ITC Avant Garde"/>
          <w:i/>
          <w:iCs/>
          <w:sz w:val="18"/>
          <w:szCs w:val="18"/>
          <w:lang w:eastAsia="en-US"/>
        </w:rPr>
      </w:pPr>
    </w:p>
    <w:p w14:paraId="3DFC6A17" w14:textId="77777777" w:rsidR="008B5DAE" w:rsidRPr="008B748C" w:rsidRDefault="008B5DAE" w:rsidP="008B5DAE">
      <w:pPr>
        <w:spacing w:after="0" w:line="276" w:lineRule="auto"/>
        <w:ind w:left="567" w:right="616"/>
        <w:rPr>
          <w:rFonts w:ascii="ITC Avant Garde" w:eastAsiaTheme="minorHAnsi" w:hAnsi="ITC Avant Garde" w:cs="ITC Avant Garde"/>
          <w:i/>
          <w:iCs/>
          <w:sz w:val="18"/>
          <w:szCs w:val="18"/>
          <w:lang w:eastAsia="en-US"/>
        </w:rPr>
      </w:pPr>
      <w:r w:rsidRPr="008B748C">
        <w:rPr>
          <w:rFonts w:ascii="ITC Avant Garde" w:eastAsiaTheme="minorHAnsi" w:hAnsi="ITC Avant Garde" w:cs="ITC Avant Garde"/>
          <w:i/>
          <w:iCs/>
          <w:sz w:val="18"/>
          <w:szCs w:val="18"/>
          <w:lang w:eastAsia="en-US"/>
        </w:rPr>
        <w:t>VI. Dar aviso al usuario final con al menos 30, 15 y 5 días de anticipación en caso del cese de prestación de los servicios contratados por éste, informándole la fecha de conclusión de su servicio, sobre su derecho a la portabilidad numérica, y en su caso, las alternativas de concesionarios y/o autorizados que puedan ofrecer la continuidad en la prestación de los servicios. Asimismo, deberá notificar al Concesionario Mayorista Móvil respecto de la fecha de suspensión definitiva de los servicios de telecomunicaciones en los términos y plazos establecidos en el contrato entre las partes; y</w:t>
      </w:r>
      <w:r>
        <w:rPr>
          <w:rFonts w:ascii="ITC Avant Garde" w:eastAsiaTheme="minorHAnsi" w:hAnsi="ITC Avant Garde" w:cs="ITC Avant Garde"/>
          <w:i/>
          <w:iCs/>
          <w:sz w:val="18"/>
          <w:szCs w:val="18"/>
          <w:lang w:eastAsia="en-US"/>
        </w:rPr>
        <w:t>”</w:t>
      </w:r>
      <w:r w:rsidRPr="008B748C" w:rsidDel="00F70A65">
        <w:rPr>
          <w:rFonts w:ascii="ITC Avant Garde" w:eastAsiaTheme="minorHAnsi" w:hAnsi="ITC Avant Garde" w:cs="ITC Avant Garde"/>
          <w:i/>
          <w:iCs/>
          <w:sz w:val="18"/>
          <w:szCs w:val="18"/>
          <w:lang w:eastAsia="en-US"/>
        </w:rPr>
        <w:t xml:space="preserve"> </w:t>
      </w:r>
    </w:p>
    <w:p w14:paraId="2267A679" w14:textId="77777777" w:rsidR="00233828" w:rsidRDefault="00233828" w:rsidP="00233828">
      <w:pPr>
        <w:spacing w:after="0" w:line="276" w:lineRule="auto"/>
        <w:ind w:right="49"/>
        <w:rPr>
          <w:rFonts w:ascii="ITC Avant Garde" w:eastAsiaTheme="minorHAnsi" w:hAnsi="ITC Avant Garde" w:cs="ITC Avant Garde"/>
          <w:lang w:eastAsia="en-US"/>
        </w:rPr>
      </w:pPr>
    </w:p>
    <w:p w14:paraId="7D6A284D" w14:textId="6FF23BA3" w:rsidR="00233828" w:rsidRDefault="00233828" w:rsidP="00233828">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t xml:space="preserve">En el mismo contexto, se ha considerado </w:t>
      </w:r>
      <w:r w:rsidR="00767DE4">
        <w:rPr>
          <w:rFonts w:ascii="ITC Avant Garde" w:eastAsiaTheme="minorHAnsi" w:hAnsi="ITC Avant Garde" w:cs="ITC Avant Garde"/>
          <w:lang w:eastAsia="en-US"/>
        </w:rPr>
        <w:t>señalar</w:t>
      </w:r>
      <w:r w:rsidR="00517702">
        <w:rPr>
          <w:rFonts w:ascii="ITC Avant Garde" w:eastAsiaTheme="minorHAnsi" w:hAnsi="ITC Avant Garde" w:cs="ITC Avant Garde"/>
          <w:lang w:eastAsia="en-US"/>
        </w:rPr>
        <w:t>,</w:t>
      </w:r>
      <w:r w:rsidR="00767DE4">
        <w:rPr>
          <w:rFonts w:ascii="ITC Avant Garde" w:eastAsiaTheme="minorHAnsi" w:hAnsi="ITC Avant Garde" w:cs="ITC Avant Garde"/>
          <w:lang w:eastAsia="en-US"/>
        </w:rPr>
        <w:t xml:space="preserve"> en el contenido del </w:t>
      </w:r>
      <w:r w:rsidR="00517702">
        <w:rPr>
          <w:rFonts w:ascii="ITC Avant Garde" w:eastAsiaTheme="minorHAnsi" w:hAnsi="ITC Avant Garde" w:cs="ITC Avant Garde"/>
          <w:lang w:eastAsia="en-US"/>
        </w:rPr>
        <w:t>artículo 22, que</w:t>
      </w:r>
      <w:r>
        <w:rPr>
          <w:rFonts w:ascii="ITC Avant Garde" w:eastAsiaTheme="minorHAnsi" w:hAnsi="ITC Avant Garde" w:cs="ITC Avant Garde"/>
          <w:lang w:eastAsia="en-US"/>
        </w:rPr>
        <w:t xml:space="preserve"> </w:t>
      </w:r>
      <w:r w:rsidR="00517702">
        <w:rPr>
          <w:rFonts w:ascii="ITC Avant Garde" w:eastAsiaTheme="minorHAnsi" w:hAnsi="ITC Avant Garde" w:cs="ITC Avant Garde"/>
          <w:lang w:eastAsia="en-US"/>
        </w:rPr>
        <w:t xml:space="preserve">aquellos </w:t>
      </w:r>
      <w:r w:rsidR="00864874" w:rsidRPr="00864874">
        <w:rPr>
          <w:rFonts w:ascii="ITC Avant Garde" w:eastAsiaTheme="minorHAnsi" w:hAnsi="ITC Avant Garde" w:cs="ITC Avant Garde"/>
          <w:lang w:eastAsia="en-US"/>
        </w:rPr>
        <w:t xml:space="preserve">Operadores Móviles Virtuales </w:t>
      </w:r>
      <w:r w:rsidR="00B3769C" w:rsidRPr="00B3769C">
        <w:rPr>
          <w:rFonts w:ascii="ITC Avant Garde" w:eastAsiaTheme="minorHAnsi" w:hAnsi="ITC Avant Garde" w:cs="ITC Avant Garde"/>
          <w:lang w:eastAsia="en-US"/>
        </w:rPr>
        <w:t>que cuenten con infraestructura para la gestión de los servicios provistos a los usuarios finales</w:t>
      </w:r>
      <w:r w:rsidR="00B3769C">
        <w:rPr>
          <w:rFonts w:ascii="ITC Avant Garde" w:eastAsiaTheme="minorHAnsi" w:hAnsi="ITC Avant Garde" w:cs="ITC Avant Garde"/>
          <w:lang w:eastAsia="en-US"/>
        </w:rPr>
        <w:t xml:space="preserve"> deberán entregar</w:t>
      </w:r>
      <w:r>
        <w:rPr>
          <w:rFonts w:ascii="ITC Avant Garde" w:eastAsiaTheme="minorHAnsi" w:hAnsi="ITC Avant Garde" w:cs="ITC Avant Garde"/>
          <w:lang w:eastAsia="en-US"/>
        </w:rPr>
        <w:t xml:space="preserve"> al Concesionario Mayorista Móvil </w:t>
      </w:r>
      <w:r w:rsidRPr="008E70C1">
        <w:rPr>
          <w:rFonts w:ascii="ITC Avant Garde" w:eastAsiaTheme="minorHAnsi" w:hAnsi="ITC Avant Garde" w:cs="ITC Avant Garde"/>
          <w:lang w:eastAsia="en-US"/>
        </w:rPr>
        <w:t>toda información técnica necesaria para la identificación de los usuarios activos en su red</w:t>
      </w:r>
      <w:r>
        <w:rPr>
          <w:rFonts w:ascii="ITC Avant Garde" w:eastAsiaTheme="minorHAnsi" w:hAnsi="ITC Avant Garde" w:cs="ITC Avant Garde"/>
          <w:lang w:eastAsia="en-US"/>
        </w:rPr>
        <w:t xml:space="preserve"> previo al cese de prestación de servicios, lo cual podrá ser objeto de sanciones si no se cumple con dicha obligación.</w:t>
      </w:r>
    </w:p>
    <w:p w14:paraId="6C990296" w14:textId="77777777" w:rsidR="00233828" w:rsidRDefault="00233828" w:rsidP="00233828">
      <w:pPr>
        <w:spacing w:after="0" w:line="276" w:lineRule="auto"/>
        <w:ind w:right="49"/>
        <w:rPr>
          <w:rFonts w:ascii="ITC Avant Garde" w:eastAsiaTheme="minorHAnsi" w:hAnsi="ITC Avant Garde" w:cs="ITC Avant Garde"/>
          <w:lang w:eastAsia="en-US"/>
        </w:rPr>
      </w:pPr>
    </w:p>
    <w:p w14:paraId="2230F173" w14:textId="4AD20CF6" w:rsidR="004E587E" w:rsidRDefault="009E6001" w:rsidP="00233828">
      <w:pPr>
        <w:spacing w:after="0" w:line="276" w:lineRule="auto"/>
        <w:ind w:right="49"/>
        <w:rPr>
          <w:rFonts w:ascii="ITC Avant Garde" w:hAnsi="ITC Avant Garde"/>
          <w:color w:val="auto"/>
        </w:rPr>
      </w:pPr>
      <w:r>
        <w:rPr>
          <w:rFonts w:ascii="ITC Avant Garde" w:eastAsiaTheme="minorHAnsi" w:hAnsi="ITC Avant Garde" w:cs="ITC Avant Garde"/>
          <w:lang w:eastAsia="en-US"/>
        </w:rPr>
        <w:t xml:space="preserve">Así, </w:t>
      </w:r>
      <w:r w:rsidR="009918F1">
        <w:rPr>
          <w:rFonts w:ascii="ITC Avant Garde" w:eastAsiaTheme="minorHAnsi" w:hAnsi="ITC Avant Garde" w:cs="ITC Avant Garde"/>
          <w:lang w:eastAsia="en-US"/>
        </w:rPr>
        <w:t xml:space="preserve">los OMV se encuentran obligados a cumplir con lo establecido en los Lineamientos, </w:t>
      </w:r>
      <w:r w:rsidR="00897AD8">
        <w:rPr>
          <w:rFonts w:ascii="ITC Avant Garde" w:eastAsiaTheme="minorHAnsi" w:hAnsi="ITC Avant Garde" w:cs="ITC Avant Garde"/>
          <w:lang w:eastAsia="en-US"/>
        </w:rPr>
        <w:t xml:space="preserve">reduciendo con ello las cargas que pudieran </w:t>
      </w:r>
      <w:r w:rsidR="00200FDC">
        <w:rPr>
          <w:rFonts w:ascii="ITC Avant Garde" w:eastAsiaTheme="minorHAnsi" w:hAnsi="ITC Avant Garde" w:cs="ITC Avant Garde"/>
          <w:lang w:eastAsia="en-US"/>
        </w:rPr>
        <w:t xml:space="preserve">recaer en los Concesionarios Mayoristas Móviles en el supuesto de </w:t>
      </w:r>
      <w:r w:rsidR="009B6164">
        <w:rPr>
          <w:rFonts w:ascii="ITC Avant Garde" w:eastAsiaTheme="minorHAnsi" w:hAnsi="ITC Avant Garde" w:cs="ITC Avant Garde"/>
          <w:lang w:eastAsia="en-US"/>
        </w:rPr>
        <w:t xml:space="preserve">ofrecer el mecanismo contemplado en la Modificación de Lineamientos OMV. Lo </w:t>
      </w:r>
      <w:r w:rsidR="003245E3">
        <w:rPr>
          <w:rFonts w:ascii="ITC Avant Garde" w:eastAsiaTheme="minorHAnsi" w:hAnsi="ITC Avant Garde" w:cs="ITC Avant Garde"/>
          <w:lang w:eastAsia="en-US"/>
        </w:rPr>
        <w:t>que,</w:t>
      </w:r>
      <w:r w:rsidR="009B6164">
        <w:rPr>
          <w:rFonts w:ascii="ITC Avant Garde" w:eastAsiaTheme="minorHAnsi" w:hAnsi="ITC Avant Garde" w:cs="ITC Avant Garde"/>
          <w:lang w:eastAsia="en-US"/>
        </w:rPr>
        <w:t xml:space="preserve"> si bien puede observarse como un</w:t>
      </w:r>
      <w:r w:rsidR="00A02685">
        <w:rPr>
          <w:rFonts w:ascii="ITC Avant Garde" w:eastAsiaTheme="minorHAnsi" w:hAnsi="ITC Avant Garde" w:cs="ITC Avant Garde"/>
          <w:lang w:eastAsia="en-US"/>
        </w:rPr>
        <w:t xml:space="preserve">a carga operativa y económica para los Concesionarios Mayoristas Móviles, se </w:t>
      </w:r>
      <w:r w:rsidR="00ED10F1">
        <w:rPr>
          <w:rFonts w:ascii="ITC Avant Garde" w:eastAsiaTheme="minorHAnsi" w:hAnsi="ITC Avant Garde" w:cs="ITC Avant Garde"/>
          <w:lang w:eastAsia="en-US"/>
        </w:rPr>
        <w:t>considera que deriva en un bien mayor para los usuarios</w:t>
      </w:r>
      <w:r w:rsidR="00DC1C09">
        <w:rPr>
          <w:rFonts w:ascii="ITC Avant Garde" w:eastAsiaTheme="minorHAnsi" w:hAnsi="ITC Avant Garde" w:cs="ITC Avant Garde"/>
          <w:lang w:eastAsia="en-US"/>
        </w:rPr>
        <w:t xml:space="preserve">, salvaguardando su derecho </w:t>
      </w:r>
      <w:r w:rsidR="00832984">
        <w:rPr>
          <w:rFonts w:ascii="ITC Avant Garde" w:hAnsi="ITC Avant Garde"/>
          <w:color w:val="auto"/>
        </w:rPr>
        <w:t xml:space="preserve">de acceso a las tecnologías de la información y comunicación, así como a los servicios de telecomunicaciones, como se prevé en </w:t>
      </w:r>
      <w:r w:rsidR="005243E1">
        <w:rPr>
          <w:rFonts w:ascii="ITC Avant Garde" w:hAnsi="ITC Avant Garde"/>
          <w:color w:val="auto"/>
        </w:rPr>
        <w:t>el</w:t>
      </w:r>
      <w:r w:rsidR="00832984">
        <w:rPr>
          <w:rFonts w:ascii="ITC Avant Garde" w:hAnsi="ITC Avant Garde"/>
          <w:color w:val="auto"/>
        </w:rPr>
        <w:t xml:space="preserve"> artículo 6 de la </w:t>
      </w:r>
      <w:r w:rsidR="00832984" w:rsidRPr="00701C7B">
        <w:rPr>
          <w:rFonts w:ascii="ITC Avant Garde" w:hAnsi="ITC Avant Garde"/>
          <w:color w:val="auto"/>
        </w:rPr>
        <w:t>Constitución</w:t>
      </w:r>
      <w:r w:rsidR="00832984">
        <w:rPr>
          <w:rFonts w:ascii="ITC Avant Garde" w:hAnsi="ITC Avant Garde"/>
          <w:color w:val="auto"/>
        </w:rPr>
        <w:t>.</w:t>
      </w:r>
    </w:p>
    <w:p w14:paraId="1EA3A71B" w14:textId="77777777" w:rsidR="008169CA" w:rsidRDefault="008169CA" w:rsidP="008169CA">
      <w:pPr>
        <w:spacing w:after="0" w:line="276" w:lineRule="auto"/>
        <w:ind w:right="49"/>
        <w:rPr>
          <w:rFonts w:ascii="ITC Avant Garde" w:eastAsiaTheme="minorHAnsi" w:hAnsi="ITC Avant Garde" w:cs="ITC Avant Garde"/>
          <w:lang w:eastAsia="en-US"/>
        </w:rPr>
      </w:pPr>
    </w:p>
    <w:p w14:paraId="37F76D96" w14:textId="0E2E619C" w:rsidR="00903790" w:rsidRPr="009C4398" w:rsidRDefault="00903790" w:rsidP="00903790">
      <w:pPr>
        <w:spacing w:after="0" w:line="276" w:lineRule="auto"/>
        <w:ind w:right="49"/>
        <w:rPr>
          <w:rFonts w:ascii="ITC Avant Garde" w:hAnsi="ITC Avant Garde"/>
          <w:b/>
          <w:bCs/>
          <w:color w:val="auto"/>
        </w:rPr>
      </w:pPr>
      <w:r>
        <w:rPr>
          <w:rFonts w:ascii="ITC Avant Garde" w:hAnsi="ITC Avant Garde"/>
          <w:b/>
          <w:bCs/>
          <w:color w:val="auto"/>
        </w:rPr>
        <w:t>AT&amp;T</w:t>
      </w:r>
    </w:p>
    <w:p w14:paraId="0D47CE3E" w14:textId="77777777" w:rsidR="00D61C4E" w:rsidRDefault="00D61C4E" w:rsidP="00903790">
      <w:pPr>
        <w:spacing w:after="0" w:line="276" w:lineRule="auto"/>
        <w:ind w:right="49"/>
        <w:rPr>
          <w:rFonts w:ascii="ITC Avant Garde" w:eastAsiaTheme="minorHAnsi" w:hAnsi="ITC Avant Garde" w:cs="ITC Avant Garde"/>
          <w:lang w:eastAsia="en-US"/>
        </w:rPr>
      </w:pPr>
    </w:p>
    <w:p w14:paraId="6F1A7E25" w14:textId="77777777" w:rsidR="00903790" w:rsidRPr="00903790" w:rsidRDefault="00903790" w:rsidP="00903790">
      <w:pPr>
        <w:spacing w:after="0" w:line="276" w:lineRule="auto"/>
        <w:ind w:right="49"/>
        <w:rPr>
          <w:rFonts w:ascii="ITC Avant Garde" w:eastAsiaTheme="minorHAnsi" w:hAnsi="ITC Avant Garde" w:cs="ITC Avant Garde"/>
          <w:lang w:eastAsia="en-US"/>
        </w:rPr>
      </w:pPr>
      <w:r w:rsidRPr="00903790">
        <w:rPr>
          <w:rFonts w:ascii="ITC Avant Garde" w:eastAsiaTheme="minorHAnsi" w:hAnsi="ITC Avant Garde" w:cs="ITC Avant Garde"/>
          <w:lang w:eastAsia="en-US"/>
        </w:rPr>
        <w:t>Proponen que se ataque el problema desde el origen, es decir, si un OMV va a suspender operaciones debe realizar las tareas que propone el Instituto con sus propios usuarios antes de apagar su servicio o será sancionado.</w:t>
      </w:r>
    </w:p>
    <w:p w14:paraId="66665144" w14:textId="77777777" w:rsidR="00903790" w:rsidRPr="00903790" w:rsidRDefault="00903790" w:rsidP="00903790">
      <w:pPr>
        <w:spacing w:after="0" w:line="276" w:lineRule="auto"/>
        <w:ind w:right="49"/>
        <w:rPr>
          <w:rFonts w:ascii="ITC Avant Garde" w:eastAsiaTheme="minorHAnsi" w:hAnsi="ITC Avant Garde" w:cs="ITC Avant Garde"/>
          <w:lang w:eastAsia="en-US"/>
        </w:rPr>
      </w:pPr>
    </w:p>
    <w:p w14:paraId="7E489968" w14:textId="77777777" w:rsidR="00903790" w:rsidRPr="00903790" w:rsidRDefault="00903790" w:rsidP="00903790">
      <w:pPr>
        <w:spacing w:after="0" w:line="276" w:lineRule="auto"/>
        <w:ind w:right="49"/>
        <w:rPr>
          <w:rFonts w:ascii="ITC Avant Garde" w:eastAsiaTheme="minorHAnsi" w:hAnsi="ITC Avant Garde" w:cs="ITC Avant Garde"/>
          <w:lang w:eastAsia="en-US"/>
        </w:rPr>
      </w:pPr>
      <w:r w:rsidRPr="00903790">
        <w:rPr>
          <w:rFonts w:ascii="ITC Avant Garde" w:eastAsiaTheme="minorHAnsi" w:hAnsi="ITC Avant Garde" w:cs="ITC Avant Garde"/>
          <w:lang w:eastAsia="en-US"/>
        </w:rPr>
        <w:t xml:space="preserve">Indican que lo anterior es una solución más simple y económica que puede realizarse en todos los casos. Señalan que no se puede ni debe transferirse la responsabilidad de regular a los OMV al Concesionario Mayorista Móvil, señalando </w:t>
      </w:r>
      <w:r w:rsidRPr="00903790">
        <w:rPr>
          <w:rFonts w:ascii="ITC Avant Garde" w:eastAsiaTheme="minorHAnsi" w:hAnsi="ITC Avant Garde" w:cs="ITC Avant Garde"/>
          <w:lang w:eastAsia="en-US"/>
        </w:rPr>
        <w:lastRenderedPageBreak/>
        <w:t>que el Instituto podría solicitar una fianza a los OMV en el momento de otorgar la autorización de comercialización, por lo que, en caso de incumplimiento el costo para el OMV de no cumplir sería mucho más alto, porque se ejecutoria la fianza.</w:t>
      </w:r>
    </w:p>
    <w:p w14:paraId="423226B6" w14:textId="77777777" w:rsidR="00903790" w:rsidRPr="00903790" w:rsidRDefault="00903790" w:rsidP="00903790">
      <w:pPr>
        <w:spacing w:after="0" w:line="276" w:lineRule="auto"/>
        <w:ind w:right="49"/>
        <w:rPr>
          <w:rFonts w:ascii="ITC Avant Garde" w:eastAsiaTheme="minorHAnsi" w:hAnsi="ITC Avant Garde" w:cs="ITC Avant Garde"/>
          <w:lang w:eastAsia="en-US"/>
        </w:rPr>
      </w:pPr>
    </w:p>
    <w:p w14:paraId="1903FEBE" w14:textId="77777777" w:rsidR="00903790" w:rsidRPr="00903790" w:rsidRDefault="00903790" w:rsidP="00903790">
      <w:pPr>
        <w:spacing w:after="0" w:line="276" w:lineRule="auto"/>
        <w:ind w:right="49"/>
        <w:rPr>
          <w:rFonts w:ascii="ITC Avant Garde" w:eastAsiaTheme="minorHAnsi" w:hAnsi="ITC Avant Garde" w:cs="ITC Avant Garde"/>
          <w:lang w:eastAsia="en-US"/>
        </w:rPr>
      </w:pPr>
      <w:r w:rsidRPr="00903790">
        <w:rPr>
          <w:rFonts w:ascii="ITC Avant Garde" w:eastAsiaTheme="minorHAnsi" w:hAnsi="ITC Avant Garde" w:cs="ITC Avant Garde"/>
          <w:lang w:eastAsia="en-US"/>
        </w:rPr>
        <w:t>Como sustento de lo anterior, señalan que para cualquier tipo de OMV el Concesionario Mayorista Móvil no posee información de sus usuarios activos con que cuenta el OMV, y que esto solo lo conoce el OMV.</w:t>
      </w:r>
    </w:p>
    <w:p w14:paraId="495084B5" w14:textId="77777777" w:rsidR="00903790" w:rsidRPr="00903790" w:rsidRDefault="00903790" w:rsidP="00903790">
      <w:pPr>
        <w:spacing w:after="0" w:line="276" w:lineRule="auto"/>
        <w:ind w:right="49"/>
        <w:rPr>
          <w:rFonts w:ascii="ITC Avant Garde" w:eastAsiaTheme="minorHAnsi" w:hAnsi="ITC Avant Garde" w:cs="ITC Avant Garde"/>
          <w:lang w:eastAsia="en-US"/>
        </w:rPr>
      </w:pPr>
    </w:p>
    <w:p w14:paraId="30FFEABF" w14:textId="77777777" w:rsidR="00903790" w:rsidRPr="00903790" w:rsidRDefault="00903790" w:rsidP="00903790">
      <w:pPr>
        <w:spacing w:after="0" w:line="276" w:lineRule="auto"/>
        <w:ind w:right="49"/>
        <w:rPr>
          <w:rFonts w:ascii="ITC Avant Garde" w:eastAsiaTheme="minorHAnsi" w:hAnsi="ITC Avant Garde" w:cs="ITC Avant Garde"/>
          <w:lang w:eastAsia="en-US"/>
        </w:rPr>
      </w:pPr>
      <w:r w:rsidRPr="00903790">
        <w:rPr>
          <w:rFonts w:ascii="ITC Avant Garde" w:eastAsiaTheme="minorHAnsi" w:hAnsi="ITC Avant Garde" w:cs="ITC Avant Garde"/>
          <w:lang w:eastAsia="en-US"/>
        </w:rPr>
        <w:t>Como segundo punto, señalan que dependiendo del OMV, podrían contar con su propio SMSC (los mensajes que envía el usuario del OMV no llegan al Concesionario Mayorista Móvil, por lo que no podrían procesar los SMS de portabilidad). indica que para procesar las llamadas de emergencia y las llamadas de portabilidad los usuarios deben estar conectados al "core” de la red del Concesionario Mayorista Móvil. Sí el OMV "apaga" su SMS los usuarios no podrán recibir ni enviar mensajes.</w:t>
      </w:r>
    </w:p>
    <w:p w14:paraId="64DD76CE" w14:textId="77777777" w:rsidR="00903790" w:rsidRPr="00903790" w:rsidRDefault="00903790" w:rsidP="00903790">
      <w:pPr>
        <w:spacing w:after="0" w:line="276" w:lineRule="auto"/>
        <w:ind w:right="49"/>
        <w:rPr>
          <w:rFonts w:ascii="ITC Avant Garde" w:eastAsiaTheme="minorHAnsi" w:hAnsi="ITC Avant Garde" w:cs="ITC Avant Garde"/>
          <w:lang w:eastAsia="en-US"/>
        </w:rPr>
      </w:pPr>
    </w:p>
    <w:p w14:paraId="35510131" w14:textId="1F239960" w:rsidR="00971C1C" w:rsidRDefault="00903790" w:rsidP="00903790">
      <w:pPr>
        <w:spacing w:after="0" w:line="276" w:lineRule="auto"/>
        <w:ind w:right="49"/>
        <w:rPr>
          <w:rFonts w:ascii="ITC Avant Garde" w:eastAsiaTheme="minorHAnsi" w:hAnsi="ITC Avant Garde" w:cs="ITC Avant Garde"/>
          <w:lang w:eastAsia="en-US"/>
        </w:rPr>
      </w:pPr>
      <w:r w:rsidRPr="00903790">
        <w:rPr>
          <w:rFonts w:ascii="ITC Avant Garde" w:eastAsiaTheme="minorHAnsi" w:hAnsi="ITC Avant Garde" w:cs="ITC Avant Garde"/>
          <w:lang w:eastAsia="en-US"/>
        </w:rPr>
        <w:t>Como solución, plantean que es más sencillo aplicar todas las obligaciones al OMV y buscar un mecanismo que lo obligue a cumplir, pues es el OMV quien cuenta con la información, las facilidades y los equipos para realizar estas actividades.</w:t>
      </w:r>
    </w:p>
    <w:p w14:paraId="55F8B34F" w14:textId="77777777" w:rsidR="008169CA" w:rsidRDefault="008169CA" w:rsidP="00903790">
      <w:pPr>
        <w:spacing w:after="0" w:line="276" w:lineRule="auto"/>
        <w:ind w:right="49"/>
        <w:rPr>
          <w:rFonts w:ascii="ITC Avant Garde" w:eastAsiaTheme="minorHAnsi" w:hAnsi="ITC Avant Garde" w:cs="ITC Avant Garde"/>
          <w:lang w:eastAsia="en-US"/>
        </w:rPr>
      </w:pPr>
    </w:p>
    <w:p w14:paraId="55591BC8" w14:textId="77777777" w:rsidR="008169CA" w:rsidRPr="003419F5" w:rsidRDefault="008169CA" w:rsidP="008169CA">
      <w:pPr>
        <w:spacing w:after="0" w:line="276" w:lineRule="auto"/>
        <w:ind w:right="49"/>
        <w:rPr>
          <w:rFonts w:ascii="ITC Avant Garde" w:hAnsi="ITC Avant Garde"/>
          <w:b/>
          <w:bCs/>
          <w:color w:val="auto"/>
          <w:u w:val="single"/>
        </w:rPr>
      </w:pPr>
      <w:r w:rsidRPr="003419F5">
        <w:rPr>
          <w:rFonts w:ascii="ITC Avant Garde" w:hAnsi="ITC Avant Garde"/>
          <w:b/>
          <w:bCs/>
          <w:color w:val="auto"/>
          <w:u w:val="single"/>
        </w:rPr>
        <w:t>Consideraciones del Instituto</w:t>
      </w:r>
    </w:p>
    <w:p w14:paraId="568B9AC0" w14:textId="77777777" w:rsidR="008169CA" w:rsidRDefault="008169CA" w:rsidP="008169CA">
      <w:pPr>
        <w:spacing w:after="0" w:line="276" w:lineRule="auto"/>
        <w:ind w:right="49"/>
        <w:rPr>
          <w:rFonts w:ascii="ITC Avant Garde" w:hAnsi="ITC Avant Garde"/>
          <w:color w:val="auto"/>
        </w:rPr>
      </w:pPr>
    </w:p>
    <w:p w14:paraId="6530E797" w14:textId="269EC1BA" w:rsidR="008169CA" w:rsidRDefault="00B13F7A" w:rsidP="008169CA">
      <w:pPr>
        <w:spacing w:after="0" w:line="276" w:lineRule="auto"/>
        <w:ind w:right="49"/>
        <w:rPr>
          <w:rFonts w:ascii="ITC Avant Garde" w:hAnsi="ITC Avant Garde"/>
          <w:color w:val="auto"/>
        </w:rPr>
      </w:pPr>
      <w:r>
        <w:rPr>
          <w:rFonts w:ascii="ITC Avant Garde" w:hAnsi="ITC Avant Garde"/>
          <w:color w:val="auto"/>
        </w:rPr>
        <w:t xml:space="preserve">La Modificación de Lineamientos OMV no elimina la obligación que tienen los OMV de dar aviso a los usuarios finales, con al menos 30 días de anticipación, en caso del cese de prestación de los servicios, ni con las demás obligaciones que los OMV tienen respecto a la portabilidad de sus usuarios y la prestación responsable de los servicios ofertados a los usuarios finales. Asimismo, se busca ofrecer un mecanismo que, mediante el apoyo temporal de </w:t>
      </w:r>
      <w:r w:rsidR="001175EE">
        <w:rPr>
          <w:rFonts w:ascii="ITC Avant Garde" w:hAnsi="ITC Avant Garde"/>
          <w:color w:val="auto"/>
        </w:rPr>
        <w:t xml:space="preserve">las funcionalidades y </w:t>
      </w:r>
      <w:r>
        <w:rPr>
          <w:rFonts w:ascii="ITC Avant Garde" w:hAnsi="ITC Avant Garde"/>
          <w:color w:val="auto"/>
        </w:rPr>
        <w:t>los recursos de red del Concesionario Mayorista Móvil, dichos usuarios puedan ejercer su derecho a la portabilidad, eligiendo así algún otro proveedor de servicios de telecomunicaciones móviles de su preferencia.</w:t>
      </w:r>
    </w:p>
    <w:p w14:paraId="1E889864" w14:textId="18D6260E" w:rsidR="0043490E" w:rsidRDefault="0043490E" w:rsidP="009F53BF">
      <w:pPr>
        <w:spacing w:after="0" w:line="276" w:lineRule="auto"/>
        <w:ind w:right="49"/>
        <w:rPr>
          <w:rFonts w:ascii="ITC Avant Garde" w:hAnsi="ITC Avant Garde"/>
          <w:color w:val="auto"/>
        </w:rPr>
      </w:pPr>
    </w:p>
    <w:p w14:paraId="483CBA41" w14:textId="6B161911" w:rsidR="009F53BF" w:rsidRPr="009F53BF" w:rsidRDefault="0082102A" w:rsidP="00985099">
      <w:pPr>
        <w:spacing w:after="0" w:line="276" w:lineRule="auto"/>
        <w:ind w:right="49"/>
        <w:rPr>
          <w:rFonts w:ascii="ITC Avant Garde" w:hAnsi="ITC Avant Garde"/>
          <w:color w:val="auto"/>
        </w:rPr>
      </w:pPr>
      <w:r>
        <w:rPr>
          <w:rFonts w:ascii="ITC Avant Garde" w:hAnsi="ITC Avant Garde"/>
          <w:color w:val="auto"/>
        </w:rPr>
        <w:t xml:space="preserve">Asimismo, </w:t>
      </w:r>
      <w:r w:rsidR="00017B7C">
        <w:rPr>
          <w:rFonts w:ascii="ITC Avant Garde" w:hAnsi="ITC Avant Garde"/>
          <w:color w:val="auto"/>
        </w:rPr>
        <w:t>se ha modificado el artículo 13, fracción VI</w:t>
      </w:r>
      <w:r w:rsidR="00EC40E3">
        <w:rPr>
          <w:rFonts w:ascii="ITC Avant Garde" w:hAnsi="ITC Avant Garde"/>
          <w:color w:val="auto"/>
        </w:rPr>
        <w:t xml:space="preserve"> de los Lineamientos</w:t>
      </w:r>
      <w:r w:rsidR="00017B7C">
        <w:rPr>
          <w:rFonts w:ascii="ITC Avant Garde" w:hAnsi="ITC Avant Garde"/>
          <w:color w:val="auto"/>
        </w:rPr>
        <w:t xml:space="preserve">, </w:t>
      </w:r>
      <w:r w:rsidR="00985099">
        <w:rPr>
          <w:rFonts w:ascii="ITC Avant Garde" w:hAnsi="ITC Avant Garde"/>
          <w:color w:val="auto"/>
        </w:rPr>
        <w:t xml:space="preserve">para </w:t>
      </w:r>
      <w:r w:rsidR="009F53BF" w:rsidRPr="009F53BF">
        <w:rPr>
          <w:rFonts w:ascii="ITC Avant Garde" w:hAnsi="ITC Avant Garde"/>
          <w:color w:val="auto"/>
        </w:rPr>
        <w:t>establecer obligaciones adicionales para los Operadores Móviles Virtuales, con el fin de garantizar que, en caso de cesar la prestación de servicios de telecomunicaciones, sus usuarios dispongan de toda la información necesaria para ejercer su derecho a la portabilidad numérica oportunamente</w:t>
      </w:r>
      <w:r w:rsidR="008A1031">
        <w:rPr>
          <w:rFonts w:ascii="ITC Avant Garde" w:hAnsi="ITC Avant Garde"/>
          <w:color w:val="auto"/>
        </w:rPr>
        <w:t>, para quedar en los términos siguientes:</w:t>
      </w:r>
    </w:p>
    <w:p w14:paraId="04756216" w14:textId="77777777" w:rsidR="008B748C" w:rsidRPr="00DC42C3" w:rsidRDefault="008B748C" w:rsidP="008B748C">
      <w:pPr>
        <w:pStyle w:val="Texto"/>
        <w:tabs>
          <w:tab w:val="left" w:pos="426"/>
        </w:tabs>
        <w:ind w:left="567" w:right="615"/>
        <w:rPr>
          <w:bCs/>
          <w:szCs w:val="18"/>
        </w:rPr>
      </w:pPr>
    </w:p>
    <w:p w14:paraId="26409187" w14:textId="587991C0" w:rsidR="008B748C" w:rsidRPr="008B748C" w:rsidRDefault="008B748C" w:rsidP="008B748C">
      <w:pPr>
        <w:spacing w:after="0" w:line="276" w:lineRule="auto"/>
        <w:ind w:left="567" w:right="616"/>
        <w:rPr>
          <w:rFonts w:ascii="ITC Avant Garde" w:eastAsiaTheme="minorHAnsi" w:hAnsi="ITC Avant Garde" w:cs="ITC Avant Garde"/>
          <w:i/>
          <w:iCs/>
          <w:sz w:val="18"/>
          <w:szCs w:val="18"/>
          <w:lang w:eastAsia="en-US"/>
        </w:rPr>
      </w:pPr>
      <w:r>
        <w:rPr>
          <w:rFonts w:ascii="ITC Avant Garde" w:eastAsiaTheme="minorHAnsi" w:hAnsi="ITC Avant Garde" w:cs="ITC Avant Garde"/>
          <w:i/>
          <w:iCs/>
          <w:sz w:val="18"/>
          <w:szCs w:val="18"/>
          <w:lang w:eastAsia="en-US"/>
        </w:rPr>
        <w:t>“</w:t>
      </w:r>
      <w:r w:rsidRPr="008B748C">
        <w:rPr>
          <w:rFonts w:ascii="ITC Avant Garde" w:eastAsiaTheme="minorHAnsi" w:hAnsi="ITC Avant Garde" w:cs="ITC Avant Garde"/>
          <w:i/>
          <w:iCs/>
          <w:sz w:val="18"/>
          <w:szCs w:val="18"/>
          <w:lang w:eastAsia="en-US"/>
        </w:rPr>
        <w:t xml:space="preserve">Artículo 13. … </w:t>
      </w:r>
    </w:p>
    <w:p w14:paraId="161BAFFA" w14:textId="77777777" w:rsidR="008B748C" w:rsidRPr="008B748C" w:rsidRDefault="008B748C" w:rsidP="008B748C">
      <w:pPr>
        <w:spacing w:after="0" w:line="276" w:lineRule="auto"/>
        <w:ind w:left="567" w:right="616"/>
        <w:rPr>
          <w:rFonts w:ascii="ITC Avant Garde" w:eastAsiaTheme="minorHAnsi" w:hAnsi="ITC Avant Garde" w:cs="ITC Avant Garde"/>
          <w:i/>
          <w:iCs/>
          <w:sz w:val="18"/>
          <w:szCs w:val="18"/>
          <w:lang w:eastAsia="en-US"/>
        </w:rPr>
      </w:pPr>
    </w:p>
    <w:p w14:paraId="3F3ACBAF" w14:textId="77777777" w:rsidR="008B748C" w:rsidRPr="008B748C" w:rsidRDefault="008B748C" w:rsidP="008B748C">
      <w:pPr>
        <w:spacing w:after="0" w:line="276" w:lineRule="auto"/>
        <w:ind w:left="567" w:right="616"/>
        <w:rPr>
          <w:rFonts w:ascii="ITC Avant Garde" w:eastAsiaTheme="minorHAnsi" w:hAnsi="ITC Avant Garde" w:cs="ITC Avant Garde"/>
          <w:i/>
          <w:iCs/>
          <w:sz w:val="18"/>
          <w:szCs w:val="18"/>
          <w:lang w:eastAsia="en-US"/>
        </w:rPr>
      </w:pPr>
      <w:r w:rsidRPr="008B748C">
        <w:rPr>
          <w:rFonts w:ascii="ITC Avant Garde" w:eastAsiaTheme="minorHAnsi" w:hAnsi="ITC Avant Garde" w:cs="ITC Avant Garde"/>
          <w:i/>
          <w:iCs/>
          <w:sz w:val="18"/>
          <w:szCs w:val="18"/>
          <w:lang w:eastAsia="en-US"/>
        </w:rPr>
        <w:t>I a V. …</w:t>
      </w:r>
    </w:p>
    <w:p w14:paraId="4DA4C573" w14:textId="77777777" w:rsidR="008B748C" w:rsidRPr="008B748C" w:rsidRDefault="008B748C" w:rsidP="008B748C">
      <w:pPr>
        <w:spacing w:after="0" w:line="276" w:lineRule="auto"/>
        <w:ind w:left="567" w:right="616"/>
        <w:rPr>
          <w:rFonts w:ascii="ITC Avant Garde" w:eastAsiaTheme="minorHAnsi" w:hAnsi="ITC Avant Garde" w:cs="ITC Avant Garde"/>
          <w:i/>
          <w:iCs/>
          <w:sz w:val="18"/>
          <w:szCs w:val="18"/>
          <w:lang w:eastAsia="en-US"/>
        </w:rPr>
      </w:pPr>
    </w:p>
    <w:p w14:paraId="4537B48E" w14:textId="4101774F" w:rsidR="008B748C" w:rsidRPr="008B748C" w:rsidRDefault="008B748C" w:rsidP="008B748C">
      <w:pPr>
        <w:spacing w:after="0" w:line="276" w:lineRule="auto"/>
        <w:ind w:left="567" w:right="616"/>
        <w:rPr>
          <w:rFonts w:ascii="ITC Avant Garde" w:eastAsiaTheme="minorHAnsi" w:hAnsi="ITC Avant Garde" w:cs="ITC Avant Garde"/>
          <w:i/>
          <w:iCs/>
          <w:sz w:val="18"/>
          <w:szCs w:val="18"/>
          <w:lang w:eastAsia="en-US"/>
        </w:rPr>
      </w:pPr>
      <w:r w:rsidRPr="008B748C">
        <w:rPr>
          <w:rFonts w:ascii="ITC Avant Garde" w:eastAsiaTheme="minorHAnsi" w:hAnsi="ITC Avant Garde" w:cs="ITC Avant Garde"/>
          <w:i/>
          <w:iCs/>
          <w:sz w:val="18"/>
          <w:szCs w:val="18"/>
          <w:lang w:eastAsia="en-US"/>
        </w:rPr>
        <w:t>VI. Dar aviso al usuario final con al menos 30, 15 y 5 días de anticipación en caso del cese de prestación de los servicios contratados por éste, informándole la fecha de conclusión de su servicio, sobre su derecho a la portabilidad numérica, y en su caso, las alternativas de concesionarios y/o autorizados que puedan ofrecer la continuidad en la prestación de los servicios. Asimismo, deberá notificar al Concesionario Mayorista Móvil respecto de la fecha de suspensión definitiva de los servicios de telecomunicaciones en los términos y plazos establecidos en el contrato entre las partes; y</w:t>
      </w:r>
      <w:r>
        <w:rPr>
          <w:rFonts w:ascii="ITC Avant Garde" w:eastAsiaTheme="minorHAnsi" w:hAnsi="ITC Avant Garde" w:cs="ITC Avant Garde"/>
          <w:i/>
          <w:iCs/>
          <w:sz w:val="18"/>
          <w:szCs w:val="18"/>
          <w:lang w:eastAsia="en-US"/>
        </w:rPr>
        <w:t>”</w:t>
      </w:r>
      <w:r w:rsidRPr="008B748C" w:rsidDel="00F70A65">
        <w:rPr>
          <w:rFonts w:ascii="ITC Avant Garde" w:eastAsiaTheme="minorHAnsi" w:hAnsi="ITC Avant Garde" w:cs="ITC Avant Garde"/>
          <w:i/>
          <w:iCs/>
          <w:sz w:val="18"/>
          <w:szCs w:val="18"/>
          <w:lang w:eastAsia="en-US"/>
        </w:rPr>
        <w:t xml:space="preserve"> </w:t>
      </w:r>
    </w:p>
    <w:p w14:paraId="21E58259" w14:textId="77777777" w:rsidR="0082102A" w:rsidRDefault="0082102A" w:rsidP="00240704">
      <w:pPr>
        <w:spacing w:after="0" w:line="276" w:lineRule="auto"/>
        <w:ind w:left="0" w:right="49" w:firstLine="0"/>
        <w:rPr>
          <w:rFonts w:ascii="ITC Avant Garde" w:hAnsi="ITC Avant Garde"/>
          <w:color w:val="auto"/>
        </w:rPr>
      </w:pPr>
    </w:p>
    <w:p w14:paraId="6B78E6B4" w14:textId="4F5F59E1" w:rsidR="00C2584A" w:rsidRDefault="008B748C" w:rsidP="00646555">
      <w:pPr>
        <w:spacing w:after="0" w:line="276" w:lineRule="auto"/>
        <w:ind w:right="49"/>
        <w:rPr>
          <w:rFonts w:ascii="ITC Avant Garde" w:hAnsi="ITC Avant Garde"/>
          <w:color w:val="auto"/>
        </w:rPr>
      </w:pPr>
      <w:r>
        <w:rPr>
          <w:rFonts w:ascii="ITC Avant Garde" w:hAnsi="ITC Avant Garde"/>
          <w:color w:val="auto"/>
        </w:rPr>
        <w:t>Por otra parte</w:t>
      </w:r>
      <w:r w:rsidR="00C2584A">
        <w:rPr>
          <w:rFonts w:ascii="ITC Avant Garde" w:hAnsi="ITC Avant Garde"/>
          <w:color w:val="auto"/>
        </w:rPr>
        <w:t xml:space="preserve">, </w:t>
      </w:r>
      <w:r w:rsidR="004370E8">
        <w:rPr>
          <w:rFonts w:ascii="ITC Avant Garde" w:hAnsi="ITC Avant Garde"/>
          <w:color w:val="auto"/>
        </w:rPr>
        <w:t xml:space="preserve">se ha identificado que, en el caso de los OMV Completos, es decir aquellos que cuentan con infraestructura de conmutación y transmisión </w:t>
      </w:r>
      <w:r w:rsidR="004370E8" w:rsidRPr="00944171">
        <w:rPr>
          <w:rFonts w:ascii="ITC Avant Garde" w:hAnsi="ITC Avant Garde"/>
          <w:color w:val="auto"/>
        </w:rPr>
        <w:t>que</w:t>
      </w:r>
      <w:r w:rsidR="004370E8">
        <w:rPr>
          <w:rFonts w:ascii="ITC Avant Garde" w:hAnsi="ITC Avant Garde"/>
          <w:color w:val="auto"/>
        </w:rPr>
        <w:t xml:space="preserve"> les</w:t>
      </w:r>
      <w:r w:rsidR="004370E8" w:rsidRPr="00944171">
        <w:rPr>
          <w:rFonts w:ascii="ITC Avant Garde" w:hAnsi="ITC Avant Garde"/>
          <w:color w:val="auto"/>
        </w:rPr>
        <w:t xml:space="preserve"> permite la gestión de su tráfico y que pueden administrar recursos de numeración</w:t>
      </w:r>
      <w:r w:rsidR="004370E8">
        <w:rPr>
          <w:rFonts w:ascii="ITC Avant Garde" w:hAnsi="ITC Avant Garde"/>
          <w:color w:val="auto"/>
        </w:rPr>
        <w:t>, son este tipo de OMV quienes cuentan con la información necesaria para la identificación de los usuarios, y que será necesaria para que los Concesionarios Mayoristas Móviles puedan ubicar y acceder a aquellos usuarios que requieran las funcionalidades establecidas en la Modificación de Lineamientos OMV. En este sentido</w:t>
      </w:r>
      <w:r w:rsidR="00C45B40" w:rsidRPr="00C45B40">
        <w:rPr>
          <w:rFonts w:ascii="ITC Avant Garde" w:eastAsiaTheme="minorHAnsi" w:hAnsi="ITC Avant Garde" w:cs="ITC Avant Garde"/>
          <w:lang w:eastAsia="en-US"/>
        </w:rPr>
        <w:t xml:space="preserve"> </w:t>
      </w:r>
      <w:r w:rsidR="00C45B40">
        <w:rPr>
          <w:rFonts w:ascii="ITC Avant Garde" w:eastAsiaTheme="minorHAnsi" w:hAnsi="ITC Avant Garde" w:cs="ITC Avant Garde"/>
          <w:lang w:eastAsia="en-US"/>
        </w:rPr>
        <w:t xml:space="preserve">se ha considerado señalar, en el contenido del artículo 22, que aquellos </w:t>
      </w:r>
      <w:r w:rsidR="00864874" w:rsidRPr="00864874">
        <w:rPr>
          <w:rFonts w:ascii="ITC Avant Garde" w:eastAsiaTheme="minorHAnsi" w:hAnsi="ITC Avant Garde" w:cs="ITC Avant Garde"/>
          <w:lang w:eastAsia="en-US"/>
        </w:rPr>
        <w:t xml:space="preserve">Operadores Móviles Virtuales </w:t>
      </w:r>
      <w:r w:rsidR="00C45B40" w:rsidRPr="00B3769C">
        <w:rPr>
          <w:rFonts w:ascii="ITC Avant Garde" w:eastAsiaTheme="minorHAnsi" w:hAnsi="ITC Avant Garde" w:cs="ITC Avant Garde"/>
          <w:lang w:eastAsia="en-US"/>
        </w:rPr>
        <w:t>que cuenten con infraestructura para la gestión de los servicios provistos a los usuarios finales</w:t>
      </w:r>
      <w:r w:rsidR="00C45B40">
        <w:rPr>
          <w:rFonts w:ascii="ITC Avant Garde" w:eastAsiaTheme="minorHAnsi" w:hAnsi="ITC Avant Garde" w:cs="ITC Avant Garde"/>
          <w:lang w:eastAsia="en-US"/>
        </w:rPr>
        <w:t xml:space="preserve"> deberán entregar </w:t>
      </w:r>
      <w:r w:rsidR="004370E8">
        <w:rPr>
          <w:rFonts w:ascii="ITC Avant Garde" w:hAnsi="ITC Avant Garde"/>
          <w:color w:val="auto"/>
        </w:rPr>
        <w:t xml:space="preserve">al Concesionario Mayorista Móvil </w:t>
      </w:r>
      <w:r w:rsidR="004370E8" w:rsidRPr="00CE512E">
        <w:rPr>
          <w:rFonts w:ascii="ITC Avant Garde" w:hAnsi="ITC Avant Garde"/>
          <w:color w:val="auto"/>
        </w:rPr>
        <w:t>toda información técnica necesaria para la identificación de los usuarios activos en su red</w:t>
      </w:r>
      <w:r w:rsidR="004370E8">
        <w:rPr>
          <w:rFonts w:ascii="ITC Avant Garde" w:hAnsi="ITC Avant Garde"/>
          <w:color w:val="auto"/>
        </w:rPr>
        <w:t xml:space="preserve">, </w:t>
      </w:r>
      <w:r w:rsidR="004370E8" w:rsidRPr="00CA61A8">
        <w:rPr>
          <w:rFonts w:ascii="ITC Avant Garde" w:hAnsi="ITC Avant Garde"/>
          <w:color w:val="auto"/>
        </w:rPr>
        <w:t>previo a la suspensión definitiva de la prestación de servicios de telecomunicaciones a sus usuarios finales</w:t>
      </w:r>
      <w:r w:rsidR="004370E8">
        <w:rPr>
          <w:rFonts w:ascii="ITC Avant Garde" w:hAnsi="ITC Avant Garde"/>
          <w:color w:val="auto"/>
        </w:rPr>
        <w:t xml:space="preserve">. </w:t>
      </w:r>
    </w:p>
    <w:p w14:paraId="2993AC23" w14:textId="77777777" w:rsidR="00A74426" w:rsidRDefault="00A74426" w:rsidP="00646555">
      <w:pPr>
        <w:spacing w:after="0" w:line="276" w:lineRule="auto"/>
        <w:ind w:right="49"/>
        <w:rPr>
          <w:rFonts w:ascii="ITC Avant Garde" w:hAnsi="ITC Avant Garde"/>
          <w:color w:val="auto"/>
        </w:rPr>
      </w:pPr>
    </w:p>
    <w:p w14:paraId="1CDFD808" w14:textId="163DD79B" w:rsidR="00A74426" w:rsidRPr="00E55D5E" w:rsidRDefault="00A74426" w:rsidP="00646555">
      <w:pPr>
        <w:spacing w:after="0" w:line="276" w:lineRule="auto"/>
        <w:ind w:right="49"/>
        <w:rPr>
          <w:rFonts w:ascii="ITC Avant Garde" w:eastAsiaTheme="minorHAnsi" w:hAnsi="ITC Avant Garde" w:cs="ITC Avant Garde"/>
          <w:lang w:eastAsia="en-US"/>
        </w:rPr>
      </w:pPr>
      <w:r>
        <w:rPr>
          <w:rFonts w:ascii="ITC Avant Garde" w:eastAsiaTheme="minorHAnsi" w:hAnsi="ITC Avant Garde" w:cs="ITC Avant Garde"/>
          <w:lang w:eastAsia="en-US"/>
        </w:rPr>
        <w:t xml:space="preserve">En este contexto, resulta adecuado precisar que, en el caso particular en que un Operador Móvil Virtual Completo incumpliera en sus obligaciones contractuales establecidas con el Concesionario Mayorista Móvil, y que adicional a esto, no cumpliera con la obligación de presentar a este último </w:t>
      </w:r>
      <w:r w:rsidRPr="008E70C1">
        <w:rPr>
          <w:rFonts w:ascii="ITC Avant Garde" w:eastAsiaTheme="minorHAnsi" w:hAnsi="ITC Avant Garde" w:cs="ITC Avant Garde"/>
          <w:lang w:eastAsia="en-US"/>
        </w:rPr>
        <w:t>toda información técnica necesaria para la identificación de los usuarios activos en su red</w:t>
      </w:r>
      <w:r>
        <w:rPr>
          <w:rFonts w:ascii="ITC Avant Garde" w:eastAsiaTheme="minorHAnsi" w:hAnsi="ITC Avant Garde" w:cs="ITC Avant Garde"/>
          <w:lang w:eastAsia="en-US"/>
        </w:rPr>
        <w:t xml:space="preserve"> previo al cese de prestación de servicios, el Concesionario Mayorista Móvil podrá quedar exento de la responsabilidad de brindar las funcionalidades a los usuarios de dicho Operador Móvil Virtual Completo, puesto que se encontraría impedido técnicamente para la gestión de dichos usuarios.</w:t>
      </w:r>
    </w:p>
    <w:sectPr w:rsidR="00A74426" w:rsidRPr="00E55D5E" w:rsidSect="00785006">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5C04E" w14:textId="77777777" w:rsidR="00A43E46" w:rsidRDefault="00A43E46" w:rsidP="00493685">
      <w:pPr>
        <w:spacing w:after="0" w:line="240" w:lineRule="auto"/>
      </w:pPr>
      <w:r>
        <w:separator/>
      </w:r>
    </w:p>
  </w:endnote>
  <w:endnote w:type="continuationSeparator" w:id="0">
    <w:p w14:paraId="265F7417" w14:textId="77777777" w:rsidR="00A43E46" w:rsidRDefault="00A43E46" w:rsidP="00493685">
      <w:pPr>
        <w:spacing w:after="0" w:line="240" w:lineRule="auto"/>
      </w:pPr>
      <w:r>
        <w:continuationSeparator/>
      </w:r>
    </w:p>
  </w:endnote>
  <w:endnote w:type="continuationNotice" w:id="1">
    <w:p w14:paraId="7F2ED33B" w14:textId="77777777" w:rsidR="00A743EA" w:rsidRDefault="00A74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vant Garde">
    <w:altName w:val="Century Gothic"/>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ITC Avant Garde" w:hAnsi="ITC Avant Garde"/>
        <w:sz w:val="16"/>
        <w:szCs w:val="16"/>
      </w:rPr>
      <w:id w:val="-1308617618"/>
      <w:docPartObj>
        <w:docPartGallery w:val="Page Numbers (Bottom of Page)"/>
        <w:docPartUnique/>
      </w:docPartObj>
    </w:sdtPr>
    <w:sdtEndPr/>
    <w:sdtContent>
      <w:sdt>
        <w:sdtPr>
          <w:rPr>
            <w:rFonts w:ascii="ITC Avant Garde" w:hAnsi="ITC Avant Garde"/>
            <w:sz w:val="16"/>
            <w:szCs w:val="16"/>
          </w:rPr>
          <w:id w:val="1728636285"/>
          <w:docPartObj>
            <w:docPartGallery w:val="Page Numbers (Top of Page)"/>
            <w:docPartUnique/>
          </w:docPartObj>
        </w:sdtPr>
        <w:sdtEndPr/>
        <w:sdtContent>
          <w:p w14:paraId="7030FDB8" w14:textId="4828BB94" w:rsidR="00282AAF" w:rsidRPr="00282AAF" w:rsidRDefault="00282AAF">
            <w:pPr>
              <w:pStyle w:val="Piedepgina"/>
              <w:jc w:val="center"/>
              <w:rPr>
                <w:rFonts w:ascii="ITC Avant Garde" w:hAnsi="ITC Avant Garde"/>
                <w:sz w:val="16"/>
                <w:szCs w:val="16"/>
              </w:rPr>
            </w:pPr>
            <w:r w:rsidRPr="00282AAF">
              <w:rPr>
                <w:rFonts w:ascii="ITC Avant Garde" w:hAnsi="ITC Avant Garde"/>
                <w:sz w:val="16"/>
                <w:szCs w:val="16"/>
              </w:rPr>
              <w:t xml:space="preserve">Página </w:t>
            </w:r>
            <w:r w:rsidRPr="00282AAF">
              <w:rPr>
                <w:rFonts w:ascii="ITC Avant Garde" w:hAnsi="ITC Avant Garde"/>
                <w:b/>
                <w:bCs/>
                <w:sz w:val="16"/>
                <w:szCs w:val="16"/>
              </w:rPr>
              <w:fldChar w:fldCharType="begin"/>
            </w:r>
            <w:r w:rsidRPr="00282AAF">
              <w:rPr>
                <w:rFonts w:ascii="ITC Avant Garde" w:hAnsi="ITC Avant Garde"/>
                <w:b/>
                <w:bCs/>
                <w:sz w:val="16"/>
                <w:szCs w:val="16"/>
              </w:rPr>
              <w:instrText>PAGE</w:instrText>
            </w:r>
            <w:r w:rsidRPr="00282AAF">
              <w:rPr>
                <w:rFonts w:ascii="ITC Avant Garde" w:hAnsi="ITC Avant Garde"/>
                <w:b/>
                <w:bCs/>
                <w:sz w:val="16"/>
                <w:szCs w:val="16"/>
              </w:rPr>
              <w:fldChar w:fldCharType="separate"/>
            </w:r>
            <w:r w:rsidRPr="00282AAF">
              <w:rPr>
                <w:rFonts w:ascii="ITC Avant Garde" w:hAnsi="ITC Avant Garde"/>
                <w:b/>
                <w:bCs/>
                <w:sz w:val="16"/>
                <w:szCs w:val="16"/>
              </w:rPr>
              <w:t>2</w:t>
            </w:r>
            <w:r w:rsidRPr="00282AAF">
              <w:rPr>
                <w:rFonts w:ascii="ITC Avant Garde" w:hAnsi="ITC Avant Garde"/>
                <w:b/>
                <w:bCs/>
                <w:sz w:val="16"/>
                <w:szCs w:val="16"/>
              </w:rPr>
              <w:fldChar w:fldCharType="end"/>
            </w:r>
            <w:r w:rsidRPr="00282AAF">
              <w:rPr>
                <w:rFonts w:ascii="ITC Avant Garde" w:hAnsi="ITC Avant Garde"/>
                <w:sz w:val="16"/>
                <w:szCs w:val="16"/>
              </w:rPr>
              <w:t xml:space="preserve"> de </w:t>
            </w:r>
            <w:r w:rsidRPr="00282AAF">
              <w:rPr>
                <w:rFonts w:ascii="ITC Avant Garde" w:hAnsi="ITC Avant Garde"/>
                <w:b/>
                <w:bCs/>
                <w:sz w:val="16"/>
                <w:szCs w:val="16"/>
              </w:rPr>
              <w:fldChar w:fldCharType="begin"/>
            </w:r>
            <w:r w:rsidRPr="00282AAF">
              <w:rPr>
                <w:rFonts w:ascii="ITC Avant Garde" w:hAnsi="ITC Avant Garde"/>
                <w:b/>
                <w:bCs/>
                <w:sz w:val="16"/>
                <w:szCs w:val="16"/>
              </w:rPr>
              <w:instrText>NUMPAGES</w:instrText>
            </w:r>
            <w:r w:rsidRPr="00282AAF">
              <w:rPr>
                <w:rFonts w:ascii="ITC Avant Garde" w:hAnsi="ITC Avant Garde"/>
                <w:b/>
                <w:bCs/>
                <w:sz w:val="16"/>
                <w:szCs w:val="16"/>
              </w:rPr>
              <w:fldChar w:fldCharType="separate"/>
            </w:r>
            <w:r w:rsidRPr="00282AAF">
              <w:rPr>
                <w:rFonts w:ascii="ITC Avant Garde" w:hAnsi="ITC Avant Garde"/>
                <w:b/>
                <w:bCs/>
                <w:sz w:val="16"/>
                <w:szCs w:val="16"/>
              </w:rPr>
              <w:t>2</w:t>
            </w:r>
            <w:r w:rsidRPr="00282AAF">
              <w:rPr>
                <w:rFonts w:ascii="ITC Avant Garde" w:hAnsi="ITC Avant Garde"/>
                <w:b/>
                <w:bCs/>
                <w:sz w:val="16"/>
                <w:szCs w:val="16"/>
              </w:rPr>
              <w:fldChar w:fldCharType="end"/>
            </w:r>
          </w:p>
        </w:sdtContent>
      </w:sdt>
    </w:sdtContent>
  </w:sdt>
  <w:p w14:paraId="17CF8DEA" w14:textId="77777777" w:rsidR="00DC307B" w:rsidRDefault="00DC30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ED08B" w14:textId="77777777" w:rsidR="00A43E46" w:rsidRDefault="00A43E46" w:rsidP="00493685">
      <w:pPr>
        <w:spacing w:after="0" w:line="240" w:lineRule="auto"/>
      </w:pPr>
      <w:r>
        <w:separator/>
      </w:r>
    </w:p>
  </w:footnote>
  <w:footnote w:type="continuationSeparator" w:id="0">
    <w:p w14:paraId="7C2EBCAB" w14:textId="77777777" w:rsidR="00A43E46" w:rsidRDefault="00A43E46" w:rsidP="00493685">
      <w:pPr>
        <w:spacing w:after="0" w:line="240" w:lineRule="auto"/>
      </w:pPr>
      <w:r>
        <w:continuationSeparator/>
      </w:r>
    </w:p>
  </w:footnote>
  <w:footnote w:type="continuationNotice" w:id="1">
    <w:p w14:paraId="79FD16DC" w14:textId="77777777" w:rsidR="00A743EA" w:rsidRDefault="00A743EA">
      <w:pPr>
        <w:spacing w:after="0" w:line="240" w:lineRule="auto"/>
      </w:pPr>
    </w:p>
  </w:footnote>
  <w:footnote w:id="2">
    <w:p w14:paraId="2AF08D11" w14:textId="02C99993" w:rsidR="00EE1CBE" w:rsidRPr="00242CEF" w:rsidRDefault="00EE1CBE">
      <w:pPr>
        <w:pStyle w:val="Textonotapie"/>
        <w:rPr>
          <w:rFonts w:ascii="ITC Avant Garde" w:hAnsi="ITC Avant Garde"/>
          <w:sz w:val="16"/>
          <w:szCs w:val="16"/>
          <w:lang w:val="es-MX"/>
        </w:rPr>
      </w:pPr>
      <w:r w:rsidRPr="00242CEF">
        <w:rPr>
          <w:rStyle w:val="Refdenotaalpie"/>
          <w:rFonts w:ascii="ITC Avant Garde" w:hAnsi="ITC Avant Garde"/>
          <w:sz w:val="16"/>
          <w:szCs w:val="16"/>
        </w:rPr>
        <w:footnoteRef/>
      </w:r>
      <w:r w:rsidRPr="00242CEF">
        <w:rPr>
          <w:rFonts w:ascii="ITC Avant Garde" w:hAnsi="ITC Avant Garde"/>
          <w:sz w:val="16"/>
          <w:szCs w:val="16"/>
        </w:rPr>
        <w:t xml:space="preserve"> </w:t>
      </w:r>
      <w:hyperlink r:id="rId1" w:history="1">
        <w:r w:rsidRPr="00242CEF">
          <w:rPr>
            <w:rStyle w:val="Hipervnculo"/>
            <w:rFonts w:ascii="ITC Avant Garde" w:hAnsi="ITC Avant Garde"/>
            <w:sz w:val="16"/>
            <w:szCs w:val="16"/>
          </w:rPr>
          <w:t>https://www.ift.org.mx/sites/default/files/c-nspn-09-rpn_cc_24.11.23_0.pdf</w:t>
        </w:r>
      </w:hyperlink>
      <w:r w:rsidRPr="00242CEF">
        <w:rPr>
          <w:rFonts w:ascii="ITC Avant Garde" w:hAnsi="ITC Avant Garde"/>
          <w:sz w:val="16"/>
          <w:szCs w:val="16"/>
        </w:rPr>
        <w:t xml:space="preserve"> </w:t>
      </w:r>
    </w:p>
  </w:footnote>
  <w:footnote w:id="3">
    <w:p w14:paraId="09385274" w14:textId="77777777" w:rsidR="00CC3F78" w:rsidRPr="00114237" w:rsidRDefault="00CC3F78" w:rsidP="00CC3F78">
      <w:pPr>
        <w:pStyle w:val="Textonotapie"/>
        <w:rPr>
          <w:rFonts w:ascii="ITC Avant Garde" w:hAnsi="ITC Avant Garde"/>
          <w:sz w:val="16"/>
          <w:szCs w:val="16"/>
        </w:rPr>
      </w:pPr>
      <w:r w:rsidRPr="00114237">
        <w:rPr>
          <w:rStyle w:val="Refdenotaalpie"/>
          <w:rFonts w:ascii="ITC Avant Garde" w:hAnsi="ITC Avant Garde"/>
          <w:sz w:val="16"/>
          <w:szCs w:val="16"/>
        </w:rPr>
        <w:footnoteRef/>
      </w:r>
      <w:r w:rsidRPr="00114237">
        <w:rPr>
          <w:rFonts w:ascii="ITC Avant Garde" w:hAnsi="ITC Avant Garde"/>
          <w:sz w:val="16"/>
          <w:szCs w:val="16"/>
        </w:rPr>
        <w:t xml:space="preserve"> </w:t>
      </w:r>
      <w:hyperlink r:id="rId2" w:history="1">
        <w:r w:rsidRPr="00114237">
          <w:rPr>
            <w:rStyle w:val="Hipervnculo"/>
            <w:rFonts w:ascii="ITC Avant Garde" w:hAnsi="ITC Avant Garde"/>
            <w:sz w:val="16"/>
            <w:szCs w:val="16"/>
          </w:rPr>
          <w:t>https://www.ift.org.mx/sites/default/files/ptfn_lduo_24-11-23_0.pdf</w:t>
        </w:r>
      </w:hyperlink>
      <w:r w:rsidRPr="00114237">
        <w:rPr>
          <w:rFonts w:ascii="ITC Avant Garde" w:hAnsi="ITC Avant Garde"/>
          <w:sz w:val="16"/>
          <w:szCs w:val="16"/>
        </w:rPr>
        <w:t xml:space="preserve"> </w:t>
      </w:r>
    </w:p>
  </w:footnote>
  <w:footnote w:id="4">
    <w:p w14:paraId="6678D22B" w14:textId="637B1297" w:rsidR="000319D3" w:rsidRPr="00242CEF" w:rsidRDefault="000319D3" w:rsidP="000319D3">
      <w:pPr>
        <w:spacing w:after="0" w:line="276" w:lineRule="auto"/>
        <w:ind w:right="49"/>
        <w:rPr>
          <w:rFonts w:ascii="ITC Avant Garde" w:eastAsiaTheme="minorHAnsi" w:hAnsi="ITC Avant Garde" w:cs="ITC Avant Garde"/>
          <w:sz w:val="16"/>
          <w:szCs w:val="16"/>
          <w:lang w:eastAsia="en-US"/>
        </w:rPr>
      </w:pPr>
      <w:r w:rsidRPr="00242CEF">
        <w:rPr>
          <w:rStyle w:val="Refdenotaalpie"/>
          <w:rFonts w:ascii="ITC Avant Garde" w:hAnsi="ITC Avant Garde"/>
          <w:sz w:val="16"/>
          <w:szCs w:val="16"/>
        </w:rPr>
        <w:footnoteRef/>
      </w:r>
      <w:r w:rsidRPr="00242CEF">
        <w:rPr>
          <w:rFonts w:ascii="ITC Avant Garde" w:hAnsi="ITC Avant Garde"/>
          <w:sz w:val="16"/>
          <w:szCs w:val="16"/>
        </w:rPr>
        <w:t xml:space="preserve"> </w:t>
      </w:r>
      <w:r w:rsidRPr="00242CEF">
        <w:rPr>
          <w:rFonts w:ascii="ITC Avant Garde" w:eastAsiaTheme="minorHAnsi" w:hAnsi="ITC Avant Garde" w:cs="ITC Avant Garde"/>
          <w:sz w:val="16"/>
          <w:szCs w:val="16"/>
          <w:lang w:eastAsia="en-US"/>
        </w:rPr>
        <w:t>Los costos de búsqueda se refieren al tiempo, la energía y, en ocasiones, el dinero en el que incurren los usuarios para poder llevar a cabo una acción en el mercado. Estos costos abarcan tanto los costos de oportunidad asociados con el tiempo y el esfuerzo dedicados a la búsqueda, como cualquier costo monetario explicito incurrido durante el proceso de búsqueda. Esencialmente, los costos de búsqueda son un tipo de costo de transacción que surge antes de que se realice cualquier transacción real.</w:t>
      </w:r>
    </w:p>
    <w:p w14:paraId="10C29224" w14:textId="4423A904" w:rsidR="000319D3" w:rsidRPr="00242CEF" w:rsidRDefault="000319D3">
      <w:pPr>
        <w:pStyle w:val="Textonotapie"/>
        <w:rPr>
          <w:rFonts w:ascii="ITC Avant Garde" w:hAnsi="ITC Avant Garde"/>
          <w:sz w:val="16"/>
          <w:szCs w:val="16"/>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03A9133E"/>
    <w:multiLevelType w:val="hybridMultilevel"/>
    <w:tmpl w:val="B0868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9A4328"/>
    <w:multiLevelType w:val="hybridMultilevel"/>
    <w:tmpl w:val="4D7028F0"/>
    <w:lvl w:ilvl="0" w:tplc="F3A48816">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3E33ED"/>
    <w:multiLevelType w:val="hybridMultilevel"/>
    <w:tmpl w:val="8C0E93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26A3B"/>
    <w:multiLevelType w:val="hybridMultilevel"/>
    <w:tmpl w:val="8C0E93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2E761B"/>
    <w:multiLevelType w:val="hybridMultilevel"/>
    <w:tmpl w:val="783889DE"/>
    <w:lvl w:ilvl="0" w:tplc="AC967B5E">
      <w:start w:val="1"/>
      <w:numFmt w:val="bullet"/>
      <w:lvlText w:val="•"/>
      <w:lvlJc w:val="left"/>
      <w:pPr>
        <w:tabs>
          <w:tab w:val="num" w:pos="720"/>
        </w:tabs>
        <w:ind w:left="720" w:hanging="360"/>
      </w:pPr>
      <w:rPr>
        <w:rFonts w:ascii="Arial" w:hAnsi="Arial" w:hint="default"/>
      </w:rPr>
    </w:lvl>
    <w:lvl w:ilvl="1" w:tplc="64BCDEFC" w:tentative="1">
      <w:start w:val="1"/>
      <w:numFmt w:val="bullet"/>
      <w:lvlText w:val="•"/>
      <w:lvlJc w:val="left"/>
      <w:pPr>
        <w:tabs>
          <w:tab w:val="num" w:pos="1440"/>
        </w:tabs>
        <w:ind w:left="1440" w:hanging="360"/>
      </w:pPr>
      <w:rPr>
        <w:rFonts w:ascii="Arial" w:hAnsi="Arial" w:hint="default"/>
      </w:rPr>
    </w:lvl>
    <w:lvl w:ilvl="2" w:tplc="0DD05B06" w:tentative="1">
      <w:start w:val="1"/>
      <w:numFmt w:val="bullet"/>
      <w:lvlText w:val="•"/>
      <w:lvlJc w:val="left"/>
      <w:pPr>
        <w:tabs>
          <w:tab w:val="num" w:pos="2160"/>
        </w:tabs>
        <w:ind w:left="2160" w:hanging="360"/>
      </w:pPr>
      <w:rPr>
        <w:rFonts w:ascii="Arial" w:hAnsi="Arial" w:hint="default"/>
      </w:rPr>
    </w:lvl>
    <w:lvl w:ilvl="3" w:tplc="67209466" w:tentative="1">
      <w:start w:val="1"/>
      <w:numFmt w:val="bullet"/>
      <w:lvlText w:val="•"/>
      <w:lvlJc w:val="left"/>
      <w:pPr>
        <w:tabs>
          <w:tab w:val="num" w:pos="2880"/>
        </w:tabs>
        <w:ind w:left="2880" w:hanging="360"/>
      </w:pPr>
      <w:rPr>
        <w:rFonts w:ascii="Arial" w:hAnsi="Arial" w:hint="default"/>
      </w:rPr>
    </w:lvl>
    <w:lvl w:ilvl="4" w:tplc="A0D8E682" w:tentative="1">
      <w:start w:val="1"/>
      <w:numFmt w:val="bullet"/>
      <w:lvlText w:val="•"/>
      <w:lvlJc w:val="left"/>
      <w:pPr>
        <w:tabs>
          <w:tab w:val="num" w:pos="3600"/>
        </w:tabs>
        <w:ind w:left="3600" w:hanging="360"/>
      </w:pPr>
      <w:rPr>
        <w:rFonts w:ascii="Arial" w:hAnsi="Arial" w:hint="default"/>
      </w:rPr>
    </w:lvl>
    <w:lvl w:ilvl="5" w:tplc="C3EE2FD6" w:tentative="1">
      <w:start w:val="1"/>
      <w:numFmt w:val="bullet"/>
      <w:lvlText w:val="•"/>
      <w:lvlJc w:val="left"/>
      <w:pPr>
        <w:tabs>
          <w:tab w:val="num" w:pos="4320"/>
        </w:tabs>
        <w:ind w:left="4320" w:hanging="360"/>
      </w:pPr>
      <w:rPr>
        <w:rFonts w:ascii="Arial" w:hAnsi="Arial" w:hint="default"/>
      </w:rPr>
    </w:lvl>
    <w:lvl w:ilvl="6" w:tplc="91A4AB04" w:tentative="1">
      <w:start w:val="1"/>
      <w:numFmt w:val="bullet"/>
      <w:lvlText w:val="•"/>
      <w:lvlJc w:val="left"/>
      <w:pPr>
        <w:tabs>
          <w:tab w:val="num" w:pos="5040"/>
        </w:tabs>
        <w:ind w:left="5040" w:hanging="360"/>
      </w:pPr>
      <w:rPr>
        <w:rFonts w:ascii="Arial" w:hAnsi="Arial" w:hint="default"/>
      </w:rPr>
    </w:lvl>
    <w:lvl w:ilvl="7" w:tplc="35DA3A90" w:tentative="1">
      <w:start w:val="1"/>
      <w:numFmt w:val="bullet"/>
      <w:lvlText w:val="•"/>
      <w:lvlJc w:val="left"/>
      <w:pPr>
        <w:tabs>
          <w:tab w:val="num" w:pos="5760"/>
        </w:tabs>
        <w:ind w:left="5760" w:hanging="360"/>
      </w:pPr>
      <w:rPr>
        <w:rFonts w:ascii="Arial" w:hAnsi="Arial" w:hint="default"/>
      </w:rPr>
    </w:lvl>
    <w:lvl w:ilvl="8" w:tplc="29CCCE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E4D3261"/>
    <w:multiLevelType w:val="hybridMultilevel"/>
    <w:tmpl w:val="D256B01C"/>
    <w:lvl w:ilvl="0" w:tplc="A02AF6F0">
      <w:start w:val="1"/>
      <w:numFmt w:val="bullet"/>
      <w:lvlText w:val="•"/>
      <w:lvlJc w:val="left"/>
      <w:pPr>
        <w:tabs>
          <w:tab w:val="num" w:pos="720"/>
        </w:tabs>
        <w:ind w:left="720" w:hanging="360"/>
      </w:pPr>
      <w:rPr>
        <w:rFonts w:ascii="Arial" w:hAnsi="Arial" w:hint="default"/>
      </w:rPr>
    </w:lvl>
    <w:lvl w:ilvl="1" w:tplc="FAD08450" w:tentative="1">
      <w:start w:val="1"/>
      <w:numFmt w:val="bullet"/>
      <w:lvlText w:val="•"/>
      <w:lvlJc w:val="left"/>
      <w:pPr>
        <w:tabs>
          <w:tab w:val="num" w:pos="1440"/>
        </w:tabs>
        <w:ind w:left="1440" w:hanging="360"/>
      </w:pPr>
      <w:rPr>
        <w:rFonts w:ascii="Arial" w:hAnsi="Arial" w:hint="default"/>
      </w:rPr>
    </w:lvl>
    <w:lvl w:ilvl="2" w:tplc="8E0A8CE2" w:tentative="1">
      <w:start w:val="1"/>
      <w:numFmt w:val="bullet"/>
      <w:lvlText w:val="•"/>
      <w:lvlJc w:val="left"/>
      <w:pPr>
        <w:tabs>
          <w:tab w:val="num" w:pos="2160"/>
        </w:tabs>
        <w:ind w:left="2160" w:hanging="360"/>
      </w:pPr>
      <w:rPr>
        <w:rFonts w:ascii="Arial" w:hAnsi="Arial" w:hint="default"/>
      </w:rPr>
    </w:lvl>
    <w:lvl w:ilvl="3" w:tplc="290C04EE" w:tentative="1">
      <w:start w:val="1"/>
      <w:numFmt w:val="bullet"/>
      <w:lvlText w:val="•"/>
      <w:lvlJc w:val="left"/>
      <w:pPr>
        <w:tabs>
          <w:tab w:val="num" w:pos="2880"/>
        </w:tabs>
        <w:ind w:left="2880" w:hanging="360"/>
      </w:pPr>
      <w:rPr>
        <w:rFonts w:ascii="Arial" w:hAnsi="Arial" w:hint="default"/>
      </w:rPr>
    </w:lvl>
    <w:lvl w:ilvl="4" w:tplc="96608E1C" w:tentative="1">
      <w:start w:val="1"/>
      <w:numFmt w:val="bullet"/>
      <w:lvlText w:val="•"/>
      <w:lvlJc w:val="left"/>
      <w:pPr>
        <w:tabs>
          <w:tab w:val="num" w:pos="3600"/>
        </w:tabs>
        <w:ind w:left="3600" w:hanging="360"/>
      </w:pPr>
      <w:rPr>
        <w:rFonts w:ascii="Arial" w:hAnsi="Arial" w:hint="default"/>
      </w:rPr>
    </w:lvl>
    <w:lvl w:ilvl="5" w:tplc="565EBB9A" w:tentative="1">
      <w:start w:val="1"/>
      <w:numFmt w:val="bullet"/>
      <w:lvlText w:val="•"/>
      <w:lvlJc w:val="left"/>
      <w:pPr>
        <w:tabs>
          <w:tab w:val="num" w:pos="4320"/>
        </w:tabs>
        <w:ind w:left="4320" w:hanging="360"/>
      </w:pPr>
      <w:rPr>
        <w:rFonts w:ascii="Arial" w:hAnsi="Arial" w:hint="default"/>
      </w:rPr>
    </w:lvl>
    <w:lvl w:ilvl="6" w:tplc="B04AA216" w:tentative="1">
      <w:start w:val="1"/>
      <w:numFmt w:val="bullet"/>
      <w:lvlText w:val="•"/>
      <w:lvlJc w:val="left"/>
      <w:pPr>
        <w:tabs>
          <w:tab w:val="num" w:pos="5040"/>
        </w:tabs>
        <w:ind w:left="5040" w:hanging="360"/>
      </w:pPr>
      <w:rPr>
        <w:rFonts w:ascii="Arial" w:hAnsi="Arial" w:hint="default"/>
      </w:rPr>
    </w:lvl>
    <w:lvl w:ilvl="7" w:tplc="D69A54E2" w:tentative="1">
      <w:start w:val="1"/>
      <w:numFmt w:val="bullet"/>
      <w:lvlText w:val="•"/>
      <w:lvlJc w:val="left"/>
      <w:pPr>
        <w:tabs>
          <w:tab w:val="num" w:pos="5760"/>
        </w:tabs>
        <w:ind w:left="5760" w:hanging="360"/>
      </w:pPr>
      <w:rPr>
        <w:rFonts w:ascii="Arial" w:hAnsi="Arial" w:hint="default"/>
      </w:rPr>
    </w:lvl>
    <w:lvl w:ilvl="8" w:tplc="B8F088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259C786B"/>
    <w:multiLevelType w:val="hybridMultilevel"/>
    <w:tmpl w:val="EF1C8B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14" w15:restartNumberingAfterBreak="0">
    <w:nsid w:val="37E62372"/>
    <w:multiLevelType w:val="hybridMultilevel"/>
    <w:tmpl w:val="B608C8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16" w15:restartNumberingAfterBreak="0">
    <w:nsid w:val="43CE0ABA"/>
    <w:multiLevelType w:val="hybridMultilevel"/>
    <w:tmpl w:val="E8441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2500BE"/>
    <w:multiLevelType w:val="hybridMultilevel"/>
    <w:tmpl w:val="3ED87700"/>
    <w:lvl w:ilvl="0" w:tplc="F8BCE726">
      <w:numFmt w:val="bullet"/>
      <w:lvlText w:val="•"/>
      <w:lvlJc w:val="left"/>
      <w:pPr>
        <w:ind w:left="1070" w:hanging="71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0212C2"/>
    <w:multiLevelType w:val="hybridMultilevel"/>
    <w:tmpl w:val="901043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7237D0"/>
    <w:multiLevelType w:val="hybridMultilevel"/>
    <w:tmpl w:val="1CC4D070"/>
    <w:lvl w:ilvl="0" w:tplc="11B4918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5770259C"/>
    <w:multiLevelType w:val="hybridMultilevel"/>
    <w:tmpl w:val="F57408F8"/>
    <w:lvl w:ilvl="0" w:tplc="7212AFA0">
      <w:start w:val="1"/>
      <w:numFmt w:val="low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FC1441E"/>
    <w:multiLevelType w:val="hybridMultilevel"/>
    <w:tmpl w:val="FC4A6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684843"/>
    <w:multiLevelType w:val="hybridMultilevel"/>
    <w:tmpl w:val="D6180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6" w15:restartNumberingAfterBreak="0">
    <w:nsid w:val="6515269D"/>
    <w:multiLevelType w:val="hybridMultilevel"/>
    <w:tmpl w:val="06A67D40"/>
    <w:lvl w:ilvl="0" w:tplc="A11AE184">
      <w:numFmt w:val="bullet"/>
      <w:lvlText w:val="-"/>
      <w:lvlJc w:val="left"/>
      <w:pPr>
        <w:ind w:left="720" w:hanging="360"/>
      </w:pPr>
      <w:rPr>
        <w:rFonts w:ascii="ITC Avant Garde" w:eastAsiaTheme="minorHAnsi" w:hAnsi="ITC Avant Garde" w:cs="ITC Avant Gar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2326F0"/>
    <w:multiLevelType w:val="hybridMultilevel"/>
    <w:tmpl w:val="7C52B1DC"/>
    <w:lvl w:ilvl="0" w:tplc="5DA4E360">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BA4B9A"/>
    <w:multiLevelType w:val="hybridMultilevel"/>
    <w:tmpl w:val="1CC4D07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30" w15:restartNumberingAfterBreak="0">
    <w:nsid w:val="6FA84643"/>
    <w:multiLevelType w:val="hybridMultilevel"/>
    <w:tmpl w:val="78E21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24954"/>
    <w:multiLevelType w:val="hybridMultilevel"/>
    <w:tmpl w:val="BC627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113633">
    <w:abstractNumId w:val="33"/>
  </w:num>
  <w:num w:numId="2" w16cid:durableId="653143271">
    <w:abstractNumId w:val="0"/>
  </w:num>
  <w:num w:numId="3" w16cid:durableId="1885292201">
    <w:abstractNumId w:val="1"/>
  </w:num>
  <w:num w:numId="4" w16cid:durableId="197092087">
    <w:abstractNumId w:val="10"/>
  </w:num>
  <w:num w:numId="5" w16cid:durableId="1248227133">
    <w:abstractNumId w:val="2"/>
  </w:num>
  <w:num w:numId="6" w16cid:durableId="1213885817">
    <w:abstractNumId w:val="8"/>
  </w:num>
  <w:num w:numId="7" w16cid:durableId="606354697">
    <w:abstractNumId w:val="29"/>
  </w:num>
  <w:num w:numId="8" w16cid:durableId="570890223">
    <w:abstractNumId w:val="25"/>
  </w:num>
  <w:num w:numId="9" w16cid:durableId="599685292">
    <w:abstractNumId w:val="31"/>
  </w:num>
  <w:num w:numId="10" w16cid:durableId="1886212024">
    <w:abstractNumId w:val="21"/>
  </w:num>
  <w:num w:numId="11" w16cid:durableId="2073233642">
    <w:abstractNumId w:val="17"/>
  </w:num>
  <w:num w:numId="12" w16cid:durableId="1720396205">
    <w:abstractNumId w:val="13"/>
  </w:num>
  <w:num w:numId="13" w16cid:durableId="1033849535">
    <w:abstractNumId w:val="11"/>
  </w:num>
  <w:num w:numId="14" w16cid:durableId="1711613837">
    <w:abstractNumId w:val="15"/>
  </w:num>
  <w:num w:numId="15" w16cid:durableId="1479766566">
    <w:abstractNumId w:val="34"/>
  </w:num>
  <w:num w:numId="16" w16cid:durableId="13602039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708193">
    <w:abstractNumId w:val="19"/>
  </w:num>
  <w:num w:numId="18" w16cid:durableId="390230445">
    <w:abstractNumId w:val="27"/>
  </w:num>
  <w:num w:numId="19" w16cid:durableId="1627616454">
    <w:abstractNumId w:val="32"/>
  </w:num>
  <w:num w:numId="20" w16cid:durableId="1541354927">
    <w:abstractNumId w:val="24"/>
  </w:num>
  <w:num w:numId="21" w16cid:durableId="1946691658">
    <w:abstractNumId w:val="30"/>
  </w:num>
  <w:num w:numId="22" w16cid:durableId="954142279">
    <w:abstractNumId w:val="23"/>
  </w:num>
  <w:num w:numId="23" w16cid:durableId="1116408556">
    <w:abstractNumId w:val="18"/>
  </w:num>
  <w:num w:numId="24" w16cid:durableId="1050882785">
    <w:abstractNumId w:val="4"/>
  </w:num>
  <w:num w:numId="25" w16cid:durableId="2080931639">
    <w:abstractNumId w:val="16"/>
  </w:num>
  <w:num w:numId="26" w16cid:durableId="1464732011">
    <w:abstractNumId w:val="9"/>
  </w:num>
  <w:num w:numId="27" w16cid:durableId="1216046337">
    <w:abstractNumId w:val="7"/>
  </w:num>
  <w:num w:numId="28" w16cid:durableId="2119720079">
    <w:abstractNumId w:val="12"/>
  </w:num>
  <w:num w:numId="29" w16cid:durableId="1623879549">
    <w:abstractNumId w:val="14"/>
  </w:num>
  <w:num w:numId="30" w16cid:durableId="1672022611">
    <w:abstractNumId w:val="5"/>
  </w:num>
  <w:num w:numId="31" w16cid:durableId="1720086036">
    <w:abstractNumId w:val="6"/>
  </w:num>
  <w:num w:numId="32" w16cid:durableId="57674641">
    <w:abstractNumId w:val="20"/>
  </w:num>
  <w:num w:numId="33" w16cid:durableId="146824029">
    <w:abstractNumId w:val="28"/>
  </w:num>
  <w:num w:numId="34" w16cid:durableId="1785612846">
    <w:abstractNumId w:val="3"/>
  </w:num>
  <w:num w:numId="35" w16cid:durableId="1434395752">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A3"/>
    <w:rsid w:val="00000127"/>
    <w:rsid w:val="00000654"/>
    <w:rsid w:val="000006E1"/>
    <w:rsid w:val="00002499"/>
    <w:rsid w:val="000025BB"/>
    <w:rsid w:val="00002981"/>
    <w:rsid w:val="00002ED7"/>
    <w:rsid w:val="0000372C"/>
    <w:rsid w:val="00005A91"/>
    <w:rsid w:val="000074F3"/>
    <w:rsid w:val="000075FB"/>
    <w:rsid w:val="00007D66"/>
    <w:rsid w:val="00007DEB"/>
    <w:rsid w:val="00010FAF"/>
    <w:rsid w:val="00011146"/>
    <w:rsid w:val="00011186"/>
    <w:rsid w:val="000117B8"/>
    <w:rsid w:val="000118E7"/>
    <w:rsid w:val="00011FD2"/>
    <w:rsid w:val="000120B1"/>
    <w:rsid w:val="000121FF"/>
    <w:rsid w:val="00013160"/>
    <w:rsid w:val="0001331B"/>
    <w:rsid w:val="000136E9"/>
    <w:rsid w:val="00013BAC"/>
    <w:rsid w:val="0001435C"/>
    <w:rsid w:val="00014926"/>
    <w:rsid w:val="00014D42"/>
    <w:rsid w:val="00015889"/>
    <w:rsid w:val="00015958"/>
    <w:rsid w:val="00015CF9"/>
    <w:rsid w:val="00015EB9"/>
    <w:rsid w:val="0001660E"/>
    <w:rsid w:val="00017027"/>
    <w:rsid w:val="00017B7C"/>
    <w:rsid w:val="0002020D"/>
    <w:rsid w:val="0002034F"/>
    <w:rsid w:val="000217AE"/>
    <w:rsid w:val="00021DD2"/>
    <w:rsid w:val="00021EB5"/>
    <w:rsid w:val="00022B72"/>
    <w:rsid w:val="00022BFC"/>
    <w:rsid w:val="00022E01"/>
    <w:rsid w:val="00023182"/>
    <w:rsid w:val="0002351F"/>
    <w:rsid w:val="0002377D"/>
    <w:rsid w:val="000239D1"/>
    <w:rsid w:val="00023D6E"/>
    <w:rsid w:val="000240F4"/>
    <w:rsid w:val="00024410"/>
    <w:rsid w:val="00024471"/>
    <w:rsid w:val="000248C8"/>
    <w:rsid w:val="00024A0F"/>
    <w:rsid w:val="00024B17"/>
    <w:rsid w:val="000252EF"/>
    <w:rsid w:val="00025C43"/>
    <w:rsid w:val="00025D0F"/>
    <w:rsid w:val="0002608C"/>
    <w:rsid w:val="0002647D"/>
    <w:rsid w:val="00026C88"/>
    <w:rsid w:val="00026D66"/>
    <w:rsid w:val="00026F99"/>
    <w:rsid w:val="000271BB"/>
    <w:rsid w:val="000272BB"/>
    <w:rsid w:val="00030395"/>
    <w:rsid w:val="000312EA"/>
    <w:rsid w:val="000314FF"/>
    <w:rsid w:val="000318C7"/>
    <w:rsid w:val="000319D3"/>
    <w:rsid w:val="00031A84"/>
    <w:rsid w:val="00031A86"/>
    <w:rsid w:val="00031A90"/>
    <w:rsid w:val="00032B4B"/>
    <w:rsid w:val="00032E29"/>
    <w:rsid w:val="00033962"/>
    <w:rsid w:val="00034189"/>
    <w:rsid w:val="000346C1"/>
    <w:rsid w:val="00034F2E"/>
    <w:rsid w:val="00036AD3"/>
    <w:rsid w:val="00036D35"/>
    <w:rsid w:val="00037219"/>
    <w:rsid w:val="00037DC7"/>
    <w:rsid w:val="000400AF"/>
    <w:rsid w:val="00040397"/>
    <w:rsid w:val="0004079A"/>
    <w:rsid w:val="00040829"/>
    <w:rsid w:val="000410EF"/>
    <w:rsid w:val="00041A70"/>
    <w:rsid w:val="00041A9E"/>
    <w:rsid w:val="000426D2"/>
    <w:rsid w:val="000427ED"/>
    <w:rsid w:val="000435B5"/>
    <w:rsid w:val="000442A5"/>
    <w:rsid w:val="00044709"/>
    <w:rsid w:val="00045A86"/>
    <w:rsid w:val="00045D23"/>
    <w:rsid w:val="00045FF3"/>
    <w:rsid w:val="000462C1"/>
    <w:rsid w:val="0004645C"/>
    <w:rsid w:val="0004667E"/>
    <w:rsid w:val="00046703"/>
    <w:rsid w:val="00046A84"/>
    <w:rsid w:val="00046B10"/>
    <w:rsid w:val="00047282"/>
    <w:rsid w:val="000475CD"/>
    <w:rsid w:val="000475DB"/>
    <w:rsid w:val="00047749"/>
    <w:rsid w:val="0004775D"/>
    <w:rsid w:val="000479BC"/>
    <w:rsid w:val="00047CE4"/>
    <w:rsid w:val="000500CE"/>
    <w:rsid w:val="00050518"/>
    <w:rsid w:val="00050B3A"/>
    <w:rsid w:val="00050DEB"/>
    <w:rsid w:val="000513E3"/>
    <w:rsid w:val="00051637"/>
    <w:rsid w:val="00051EE7"/>
    <w:rsid w:val="00051FEC"/>
    <w:rsid w:val="00052A87"/>
    <w:rsid w:val="00052E60"/>
    <w:rsid w:val="000532AA"/>
    <w:rsid w:val="000534CC"/>
    <w:rsid w:val="00053820"/>
    <w:rsid w:val="00053A43"/>
    <w:rsid w:val="00054404"/>
    <w:rsid w:val="00055671"/>
    <w:rsid w:val="000557B1"/>
    <w:rsid w:val="00055BDC"/>
    <w:rsid w:val="00056381"/>
    <w:rsid w:val="00056469"/>
    <w:rsid w:val="00056649"/>
    <w:rsid w:val="000569DC"/>
    <w:rsid w:val="00056AF9"/>
    <w:rsid w:val="00056DC9"/>
    <w:rsid w:val="00057012"/>
    <w:rsid w:val="00057695"/>
    <w:rsid w:val="00057EEB"/>
    <w:rsid w:val="00060EEF"/>
    <w:rsid w:val="000611EE"/>
    <w:rsid w:val="00061701"/>
    <w:rsid w:val="00062045"/>
    <w:rsid w:val="000624F5"/>
    <w:rsid w:val="00062712"/>
    <w:rsid w:val="000627D7"/>
    <w:rsid w:val="00062BC4"/>
    <w:rsid w:val="00063277"/>
    <w:rsid w:val="0006436D"/>
    <w:rsid w:val="00064D64"/>
    <w:rsid w:val="000660A0"/>
    <w:rsid w:val="00066E87"/>
    <w:rsid w:val="00067ADE"/>
    <w:rsid w:val="00067B66"/>
    <w:rsid w:val="00067CCA"/>
    <w:rsid w:val="00067D53"/>
    <w:rsid w:val="00067F68"/>
    <w:rsid w:val="000702E6"/>
    <w:rsid w:val="00070F54"/>
    <w:rsid w:val="0007113B"/>
    <w:rsid w:val="000713B2"/>
    <w:rsid w:val="00071815"/>
    <w:rsid w:val="00072145"/>
    <w:rsid w:val="00072D92"/>
    <w:rsid w:val="00072DA7"/>
    <w:rsid w:val="000735CD"/>
    <w:rsid w:val="000740E0"/>
    <w:rsid w:val="00074422"/>
    <w:rsid w:val="00074B32"/>
    <w:rsid w:val="00074C2F"/>
    <w:rsid w:val="00075483"/>
    <w:rsid w:val="00075BCA"/>
    <w:rsid w:val="00075D8E"/>
    <w:rsid w:val="00076180"/>
    <w:rsid w:val="00076D97"/>
    <w:rsid w:val="00076DA6"/>
    <w:rsid w:val="0007752D"/>
    <w:rsid w:val="00077DE8"/>
    <w:rsid w:val="00077E39"/>
    <w:rsid w:val="00080AD0"/>
    <w:rsid w:val="000812AF"/>
    <w:rsid w:val="00081CBE"/>
    <w:rsid w:val="00081DCB"/>
    <w:rsid w:val="00081EA7"/>
    <w:rsid w:val="00082E6E"/>
    <w:rsid w:val="00083962"/>
    <w:rsid w:val="00084072"/>
    <w:rsid w:val="00085382"/>
    <w:rsid w:val="00085385"/>
    <w:rsid w:val="00085C21"/>
    <w:rsid w:val="000860A2"/>
    <w:rsid w:val="000860C5"/>
    <w:rsid w:val="000861B6"/>
    <w:rsid w:val="000862B8"/>
    <w:rsid w:val="0008643B"/>
    <w:rsid w:val="000869C7"/>
    <w:rsid w:val="00086C5F"/>
    <w:rsid w:val="00086CE3"/>
    <w:rsid w:val="00086FC2"/>
    <w:rsid w:val="0008739D"/>
    <w:rsid w:val="00087545"/>
    <w:rsid w:val="00090469"/>
    <w:rsid w:val="00090795"/>
    <w:rsid w:val="00090DAC"/>
    <w:rsid w:val="00091B17"/>
    <w:rsid w:val="00091DAF"/>
    <w:rsid w:val="00091EC4"/>
    <w:rsid w:val="00092C23"/>
    <w:rsid w:val="00093566"/>
    <w:rsid w:val="00093664"/>
    <w:rsid w:val="00093D2F"/>
    <w:rsid w:val="00093FDE"/>
    <w:rsid w:val="0009499D"/>
    <w:rsid w:val="0009533F"/>
    <w:rsid w:val="00095421"/>
    <w:rsid w:val="0009562E"/>
    <w:rsid w:val="000956AC"/>
    <w:rsid w:val="000956CF"/>
    <w:rsid w:val="00095881"/>
    <w:rsid w:val="00095F79"/>
    <w:rsid w:val="000962FD"/>
    <w:rsid w:val="0009648D"/>
    <w:rsid w:val="00097866"/>
    <w:rsid w:val="00097AE9"/>
    <w:rsid w:val="00097B7E"/>
    <w:rsid w:val="000A0137"/>
    <w:rsid w:val="000A0646"/>
    <w:rsid w:val="000A12B9"/>
    <w:rsid w:val="000A18EA"/>
    <w:rsid w:val="000A2D8A"/>
    <w:rsid w:val="000A2FE6"/>
    <w:rsid w:val="000A381D"/>
    <w:rsid w:val="000A3F9A"/>
    <w:rsid w:val="000A4328"/>
    <w:rsid w:val="000A4462"/>
    <w:rsid w:val="000A494B"/>
    <w:rsid w:val="000A5784"/>
    <w:rsid w:val="000A59DD"/>
    <w:rsid w:val="000A631B"/>
    <w:rsid w:val="000A6620"/>
    <w:rsid w:val="000A7644"/>
    <w:rsid w:val="000B03AD"/>
    <w:rsid w:val="000B0DDB"/>
    <w:rsid w:val="000B24A7"/>
    <w:rsid w:val="000B3075"/>
    <w:rsid w:val="000B30D0"/>
    <w:rsid w:val="000B3495"/>
    <w:rsid w:val="000B3A7A"/>
    <w:rsid w:val="000B435A"/>
    <w:rsid w:val="000B4616"/>
    <w:rsid w:val="000B4642"/>
    <w:rsid w:val="000B46AC"/>
    <w:rsid w:val="000B46CF"/>
    <w:rsid w:val="000B46EA"/>
    <w:rsid w:val="000B4F36"/>
    <w:rsid w:val="000B528B"/>
    <w:rsid w:val="000B53BD"/>
    <w:rsid w:val="000B5810"/>
    <w:rsid w:val="000B5AAB"/>
    <w:rsid w:val="000B5D25"/>
    <w:rsid w:val="000B652D"/>
    <w:rsid w:val="000B7A04"/>
    <w:rsid w:val="000C01BA"/>
    <w:rsid w:val="000C0452"/>
    <w:rsid w:val="000C0E05"/>
    <w:rsid w:val="000C18A7"/>
    <w:rsid w:val="000C191C"/>
    <w:rsid w:val="000C25A1"/>
    <w:rsid w:val="000C2898"/>
    <w:rsid w:val="000C2B65"/>
    <w:rsid w:val="000C30F1"/>
    <w:rsid w:val="000C4298"/>
    <w:rsid w:val="000C4AA9"/>
    <w:rsid w:val="000C5059"/>
    <w:rsid w:val="000C5412"/>
    <w:rsid w:val="000C58AE"/>
    <w:rsid w:val="000D151D"/>
    <w:rsid w:val="000D1A87"/>
    <w:rsid w:val="000D1B50"/>
    <w:rsid w:val="000D1B51"/>
    <w:rsid w:val="000D25F9"/>
    <w:rsid w:val="000D2892"/>
    <w:rsid w:val="000D2D00"/>
    <w:rsid w:val="000D2E54"/>
    <w:rsid w:val="000D3806"/>
    <w:rsid w:val="000D3E6A"/>
    <w:rsid w:val="000D4068"/>
    <w:rsid w:val="000D4EC6"/>
    <w:rsid w:val="000D5105"/>
    <w:rsid w:val="000D51FD"/>
    <w:rsid w:val="000D5954"/>
    <w:rsid w:val="000D5F43"/>
    <w:rsid w:val="000D6078"/>
    <w:rsid w:val="000D6B36"/>
    <w:rsid w:val="000D6C71"/>
    <w:rsid w:val="000D6D9E"/>
    <w:rsid w:val="000D73B1"/>
    <w:rsid w:val="000E106A"/>
    <w:rsid w:val="000E1BB5"/>
    <w:rsid w:val="000E1EAD"/>
    <w:rsid w:val="000E223D"/>
    <w:rsid w:val="000E2576"/>
    <w:rsid w:val="000E2672"/>
    <w:rsid w:val="000E26B5"/>
    <w:rsid w:val="000E2F9D"/>
    <w:rsid w:val="000E32A8"/>
    <w:rsid w:val="000E353D"/>
    <w:rsid w:val="000E3E0E"/>
    <w:rsid w:val="000E47CD"/>
    <w:rsid w:val="000E5468"/>
    <w:rsid w:val="000E5619"/>
    <w:rsid w:val="000E5B37"/>
    <w:rsid w:val="000E6431"/>
    <w:rsid w:val="000E64F4"/>
    <w:rsid w:val="000E6A0C"/>
    <w:rsid w:val="000E6F48"/>
    <w:rsid w:val="000E6FE7"/>
    <w:rsid w:val="000E71E7"/>
    <w:rsid w:val="000E7531"/>
    <w:rsid w:val="000E7CDB"/>
    <w:rsid w:val="000F1128"/>
    <w:rsid w:val="000F13C8"/>
    <w:rsid w:val="000F20E2"/>
    <w:rsid w:val="000F216A"/>
    <w:rsid w:val="000F22F2"/>
    <w:rsid w:val="000F23FD"/>
    <w:rsid w:val="000F25B0"/>
    <w:rsid w:val="000F283C"/>
    <w:rsid w:val="000F3095"/>
    <w:rsid w:val="000F3283"/>
    <w:rsid w:val="000F347C"/>
    <w:rsid w:val="000F39E4"/>
    <w:rsid w:val="000F4004"/>
    <w:rsid w:val="000F4084"/>
    <w:rsid w:val="000F40ED"/>
    <w:rsid w:val="000F43AD"/>
    <w:rsid w:val="000F4D26"/>
    <w:rsid w:val="000F5845"/>
    <w:rsid w:val="000F5C39"/>
    <w:rsid w:val="000F5C83"/>
    <w:rsid w:val="000F6518"/>
    <w:rsid w:val="000F6E14"/>
    <w:rsid w:val="000F77F9"/>
    <w:rsid w:val="000F7DAE"/>
    <w:rsid w:val="00100519"/>
    <w:rsid w:val="00100C62"/>
    <w:rsid w:val="00100CAA"/>
    <w:rsid w:val="00100EF9"/>
    <w:rsid w:val="00102408"/>
    <w:rsid w:val="0010259B"/>
    <w:rsid w:val="00102828"/>
    <w:rsid w:val="00102C28"/>
    <w:rsid w:val="001035CC"/>
    <w:rsid w:val="00105101"/>
    <w:rsid w:val="00105207"/>
    <w:rsid w:val="0010577B"/>
    <w:rsid w:val="00105BED"/>
    <w:rsid w:val="00106313"/>
    <w:rsid w:val="0010649B"/>
    <w:rsid w:val="00106D8A"/>
    <w:rsid w:val="001071AD"/>
    <w:rsid w:val="00107206"/>
    <w:rsid w:val="00107A7F"/>
    <w:rsid w:val="00110D96"/>
    <w:rsid w:val="00110F3C"/>
    <w:rsid w:val="001116C0"/>
    <w:rsid w:val="0011194E"/>
    <w:rsid w:val="00111F64"/>
    <w:rsid w:val="001121F9"/>
    <w:rsid w:val="00112282"/>
    <w:rsid w:val="001124ED"/>
    <w:rsid w:val="00112D38"/>
    <w:rsid w:val="00112DDF"/>
    <w:rsid w:val="00114092"/>
    <w:rsid w:val="00114237"/>
    <w:rsid w:val="001144BF"/>
    <w:rsid w:val="001144FF"/>
    <w:rsid w:val="00114CCB"/>
    <w:rsid w:val="00115579"/>
    <w:rsid w:val="00115FF1"/>
    <w:rsid w:val="00116D92"/>
    <w:rsid w:val="001175EE"/>
    <w:rsid w:val="0011794D"/>
    <w:rsid w:val="001209AD"/>
    <w:rsid w:val="00120A91"/>
    <w:rsid w:val="00121796"/>
    <w:rsid w:val="0012200F"/>
    <w:rsid w:val="001221D2"/>
    <w:rsid w:val="00122900"/>
    <w:rsid w:val="00122BDC"/>
    <w:rsid w:val="0012302F"/>
    <w:rsid w:val="00123378"/>
    <w:rsid w:val="0012374A"/>
    <w:rsid w:val="001239A7"/>
    <w:rsid w:val="00123CFC"/>
    <w:rsid w:val="00123EC6"/>
    <w:rsid w:val="001240DD"/>
    <w:rsid w:val="0012443F"/>
    <w:rsid w:val="0012483C"/>
    <w:rsid w:val="00124C3F"/>
    <w:rsid w:val="00124E0A"/>
    <w:rsid w:val="00124E68"/>
    <w:rsid w:val="00124E72"/>
    <w:rsid w:val="0012501E"/>
    <w:rsid w:val="001252D1"/>
    <w:rsid w:val="00125583"/>
    <w:rsid w:val="00126E14"/>
    <w:rsid w:val="001275ED"/>
    <w:rsid w:val="00127741"/>
    <w:rsid w:val="0012784A"/>
    <w:rsid w:val="001278C3"/>
    <w:rsid w:val="00127BB4"/>
    <w:rsid w:val="00130481"/>
    <w:rsid w:val="00130F75"/>
    <w:rsid w:val="00131192"/>
    <w:rsid w:val="0013134D"/>
    <w:rsid w:val="0013172A"/>
    <w:rsid w:val="0013185B"/>
    <w:rsid w:val="001318EA"/>
    <w:rsid w:val="00131916"/>
    <w:rsid w:val="001323BC"/>
    <w:rsid w:val="00132D1A"/>
    <w:rsid w:val="00133478"/>
    <w:rsid w:val="00133669"/>
    <w:rsid w:val="001336FC"/>
    <w:rsid w:val="00133A30"/>
    <w:rsid w:val="001340CC"/>
    <w:rsid w:val="00135B8B"/>
    <w:rsid w:val="001368EC"/>
    <w:rsid w:val="00136D09"/>
    <w:rsid w:val="00136D1D"/>
    <w:rsid w:val="001378A7"/>
    <w:rsid w:val="001420A2"/>
    <w:rsid w:val="0014253B"/>
    <w:rsid w:val="00143024"/>
    <w:rsid w:val="00143996"/>
    <w:rsid w:val="00143A99"/>
    <w:rsid w:val="00143B42"/>
    <w:rsid w:val="00145020"/>
    <w:rsid w:val="00145294"/>
    <w:rsid w:val="00145573"/>
    <w:rsid w:val="00145B57"/>
    <w:rsid w:val="00145B79"/>
    <w:rsid w:val="00146A15"/>
    <w:rsid w:val="001475AC"/>
    <w:rsid w:val="00147EED"/>
    <w:rsid w:val="00151228"/>
    <w:rsid w:val="0015142D"/>
    <w:rsid w:val="0015149B"/>
    <w:rsid w:val="00151541"/>
    <w:rsid w:val="001523D2"/>
    <w:rsid w:val="00152517"/>
    <w:rsid w:val="00152D44"/>
    <w:rsid w:val="001532B7"/>
    <w:rsid w:val="001532BB"/>
    <w:rsid w:val="00153848"/>
    <w:rsid w:val="00153AE3"/>
    <w:rsid w:val="00153E95"/>
    <w:rsid w:val="00154285"/>
    <w:rsid w:val="001543DE"/>
    <w:rsid w:val="001546E4"/>
    <w:rsid w:val="00154950"/>
    <w:rsid w:val="001549AF"/>
    <w:rsid w:val="00154B61"/>
    <w:rsid w:val="00155155"/>
    <w:rsid w:val="0015580F"/>
    <w:rsid w:val="00155F3E"/>
    <w:rsid w:val="00156088"/>
    <w:rsid w:val="00156451"/>
    <w:rsid w:val="00156804"/>
    <w:rsid w:val="00157C35"/>
    <w:rsid w:val="00157EF0"/>
    <w:rsid w:val="00160E90"/>
    <w:rsid w:val="00160F50"/>
    <w:rsid w:val="001632EF"/>
    <w:rsid w:val="001646A0"/>
    <w:rsid w:val="001649AC"/>
    <w:rsid w:val="00164C2A"/>
    <w:rsid w:val="00164F64"/>
    <w:rsid w:val="0016698C"/>
    <w:rsid w:val="00166A7B"/>
    <w:rsid w:val="00166C9C"/>
    <w:rsid w:val="00170538"/>
    <w:rsid w:val="00170BCA"/>
    <w:rsid w:val="001710A2"/>
    <w:rsid w:val="00171457"/>
    <w:rsid w:val="00172482"/>
    <w:rsid w:val="00173372"/>
    <w:rsid w:val="00173460"/>
    <w:rsid w:val="0017435F"/>
    <w:rsid w:val="00174C34"/>
    <w:rsid w:val="0017518D"/>
    <w:rsid w:val="0017527E"/>
    <w:rsid w:val="0017613E"/>
    <w:rsid w:val="00176D5A"/>
    <w:rsid w:val="00177681"/>
    <w:rsid w:val="00177B38"/>
    <w:rsid w:val="00177F55"/>
    <w:rsid w:val="00180209"/>
    <w:rsid w:val="00180690"/>
    <w:rsid w:val="00180D7C"/>
    <w:rsid w:val="001813AD"/>
    <w:rsid w:val="001813B4"/>
    <w:rsid w:val="00181646"/>
    <w:rsid w:val="001817AE"/>
    <w:rsid w:val="00181847"/>
    <w:rsid w:val="00182545"/>
    <w:rsid w:val="00182E5E"/>
    <w:rsid w:val="0018320A"/>
    <w:rsid w:val="0018339C"/>
    <w:rsid w:val="00183694"/>
    <w:rsid w:val="00184791"/>
    <w:rsid w:val="00184811"/>
    <w:rsid w:val="00184EE0"/>
    <w:rsid w:val="00185CF7"/>
    <w:rsid w:val="0018652B"/>
    <w:rsid w:val="0018652E"/>
    <w:rsid w:val="0018654C"/>
    <w:rsid w:val="0018673E"/>
    <w:rsid w:val="00186BED"/>
    <w:rsid w:val="001870B1"/>
    <w:rsid w:val="00187EFD"/>
    <w:rsid w:val="0019000D"/>
    <w:rsid w:val="001905EA"/>
    <w:rsid w:val="00190D5C"/>
    <w:rsid w:val="0019208E"/>
    <w:rsid w:val="001929AB"/>
    <w:rsid w:val="00192F9F"/>
    <w:rsid w:val="0019300E"/>
    <w:rsid w:val="00193095"/>
    <w:rsid w:val="00193146"/>
    <w:rsid w:val="00193464"/>
    <w:rsid w:val="00194067"/>
    <w:rsid w:val="001945D8"/>
    <w:rsid w:val="00194826"/>
    <w:rsid w:val="00194FC8"/>
    <w:rsid w:val="001953EE"/>
    <w:rsid w:val="001959A6"/>
    <w:rsid w:val="00195E3D"/>
    <w:rsid w:val="00196E1F"/>
    <w:rsid w:val="001A0303"/>
    <w:rsid w:val="001A04B7"/>
    <w:rsid w:val="001A0A83"/>
    <w:rsid w:val="001A0C2E"/>
    <w:rsid w:val="001A0DC4"/>
    <w:rsid w:val="001A0E2F"/>
    <w:rsid w:val="001A1169"/>
    <w:rsid w:val="001A11A2"/>
    <w:rsid w:val="001A11C5"/>
    <w:rsid w:val="001A17A4"/>
    <w:rsid w:val="001A37CB"/>
    <w:rsid w:val="001A4642"/>
    <w:rsid w:val="001A4F10"/>
    <w:rsid w:val="001A4FD0"/>
    <w:rsid w:val="001A64F3"/>
    <w:rsid w:val="001A6BC1"/>
    <w:rsid w:val="001A6C1B"/>
    <w:rsid w:val="001A6C30"/>
    <w:rsid w:val="001A6C49"/>
    <w:rsid w:val="001A6CC9"/>
    <w:rsid w:val="001A6DE0"/>
    <w:rsid w:val="001A7828"/>
    <w:rsid w:val="001A7FCB"/>
    <w:rsid w:val="001B028F"/>
    <w:rsid w:val="001B03A4"/>
    <w:rsid w:val="001B0D9E"/>
    <w:rsid w:val="001B11E6"/>
    <w:rsid w:val="001B14B6"/>
    <w:rsid w:val="001B1F25"/>
    <w:rsid w:val="001B231F"/>
    <w:rsid w:val="001B2F10"/>
    <w:rsid w:val="001B3B8E"/>
    <w:rsid w:val="001B3C65"/>
    <w:rsid w:val="001B4291"/>
    <w:rsid w:val="001B4318"/>
    <w:rsid w:val="001B4C7B"/>
    <w:rsid w:val="001B5044"/>
    <w:rsid w:val="001B55A5"/>
    <w:rsid w:val="001B560B"/>
    <w:rsid w:val="001B59A6"/>
    <w:rsid w:val="001B5A35"/>
    <w:rsid w:val="001B5F12"/>
    <w:rsid w:val="001B61C6"/>
    <w:rsid w:val="001B6B9D"/>
    <w:rsid w:val="001B74DF"/>
    <w:rsid w:val="001B78E6"/>
    <w:rsid w:val="001B7B33"/>
    <w:rsid w:val="001B7DD8"/>
    <w:rsid w:val="001C0572"/>
    <w:rsid w:val="001C1979"/>
    <w:rsid w:val="001C1FE5"/>
    <w:rsid w:val="001C24C9"/>
    <w:rsid w:val="001C2B17"/>
    <w:rsid w:val="001C2DE2"/>
    <w:rsid w:val="001C2F8A"/>
    <w:rsid w:val="001C3238"/>
    <w:rsid w:val="001C4228"/>
    <w:rsid w:val="001C4DE6"/>
    <w:rsid w:val="001C4DF5"/>
    <w:rsid w:val="001C5530"/>
    <w:rsid w:val="001C5553"/>
    <w:rsid w:val="001C579F"/>
    <w:rsid w:val="001C6AD5"/>
    <w:rsid w:val="001C6AD8"/>
    <w:rsid w:val="001C7BCE"/>
    <w:rsid w:val="001C7D24"/>
    <w:rsid w:val="001D0569"/>
    <w:rsid w:val="001D0EC7"/>
    <w:rsid w:val="001D0FC7"/>
    <w:rsid w:val="001D152B"/>
    <w:rsid w:val="001D1731"/>
    <w:rsid w:val="001D1BA6"/>
    <w:rsid w:val="001D1FAF"/>
    <w:rsid w:val="001D2520"/>
    <w:rsid w:val="001D2D3A"/>
    <w:rsid w:val="001D2D8A"/>
    <w:rsid w:val="001D4376"/>
    <w:rsid w:val="001D43C0"/>
    <w:rsid w:val="001D476E"/>
    <w:rsid w:val="001D4F6E"/>
    <w:rsid w:val="001D50AC"/>
    <w:rsid w:val="001D563D"/>
    <w:rsid w:val="001D59D2"/>
    <w:rsid w:val="001D5AEB"/>
    <w:rsid w:val="001D640B"/>
    <w:rsid w:val="001D6A42"/>
    <w:rsid w:val="001D6DB8"/>
    <w:rsid w:val="001D7A9C"/>
    <w:rsid w:val="001D7C17"/>
    <w:rsid w:val="001E01B1"/>
    <w:rsid w:val="001E05B9"/>
    <w:rsid w:val="001E0AA4"/>
    <w:rsid w:val="001E0C9C"/>
    <w:rsid w:val="001E1182"/>
    <w:rsid w:val="001E11B3"/>
    <w:rsid w:val="001E20F2"/>
    <w:rsid w:val="001E3546"/>
    <w:rsid w:val="001E3756"/>
    <w:rsid w:val="001E462C"/>
    <w:rsid w:val="001E592D"/>
    <w:rsid w:val="001E5E2F"/>
    <w:rsid w:val="001E5E93"/>
    <w:rsid w:val="001E607F"/>
    <w:rsid w:val="001E6314"/>
    <w:rsid w:val="001E635C"/>
    <w:rsid w:val="001E673A"/>
    <w:rsid w:val="001E696A"/>
    <w:rsid w:val="001E6C8D"/>
    <w:rsid w:val="001E7218"/>
    <w:rsid w:val="001E78C1"/>
    <w:rsid w:val="001F10C3"/>
    <w:rsid w:val="001F12A4"/>
    <w:rsid w:val="001F1BCC"/>
    <w:rsid w:val="001F2635"/>
    <w:rsid w:val="001F2A09"/>
    <w:rsid w:val="001F33A2"/>
    <w:rsid w:val="001F35D8"/>
    <w:rsid w:val="001F3DF5"/>
    <w:rsid w:val="001F4098"/>
    <w:rsid w:val="001F48F6"/>
    <w:rsid w:val="001F4C39"/>
    <w:rsid w:val="001F517F"/>
    <w:rsid w:val="001F55C6"/>
    <w:rsid w:val="001F5B75"/>
    <w:rsid w:val="001F628F"/>
    <w:rsid w:val="001F78C1"/>
    <w:rsid w:val="002000A2"/>
    <w:rsid w:val="002002F1"/>
    <w:rsid w:val="00200FDC"/>
    <w:rsid w:val="00201CE4"/>
    <w:rsid w:val="00201EAD"/>
    <w:rsid w:val="0020202A"/>
    <w:rsid w:val="00202105"/>
    <w:rsid w:val="00202EFC"/>
    <w:rsid w:val="002038F5"/>
    <w:rsid w:val="002041A9"/>
    <w:rsid w:val="0020457B"/>
    <w:rsid w:val="0020547F"/>
    <w:rsid w:val="002056A3"/>
    <w:rsid w:val="00206023"/>
    <w:rsid w:val="0020625D"/>
    <w:rsid w:val="0020677C"/>
    <w:rsid w:val="00206D64"/>
    <w:rsid w:val="00206DF8"/>
    <w:rsid w:val="00207956"/>
    <w:rsid w:val="00207991"/>
    <w:rsid w:val="00207D97"/>
    <w:rsid w:val="00210148"/>
    <w:rsid w:val="002101FF"/>
    <w:rsid w:val="002103A8"/>
    <w:rsid w:val="00210F65"/>
    <w:rsid w:val="002112F4"/>
    <w:rsid w:val="002114C3"/>
    <w:rsid w:val="0021194D"/>
    <w:rsid w:val="002135C8"/>
    <w:rsid w:val="0021380F"/>
    <w:rsid w:val="00213F2D"/>
    <w:rsid w:val="00214A6E"/>
    <w:rsid w:val="00214DAA"/>
    <w:rsid w:val="00214E2F"/>
    <w:rsid w:val="002157E9"/>
    <w:rsid w:val="0021646E"/>
    <w:rsid w:val="002168E1"/>
    <w:rsid w:val="00216977"/>
    <w:rsid w:val="00216C22"/>
    <w:rsid w:val="00216F16"/>
    <w:rsid w:val="00216F81"/>
    <w:rsid w:val="002170E6"/>
    <w:rsid w:val="00217892"/>
    <w:rsid w:val="00217AC2"/>
    <w:rsid w:val="00217E09"/>
    <w:rsid w:val="00217E5D"/>
    <w:rsid w:val="00220623"/>
    <w:rsid w:val="00220AA3"/>
    <w:rsid w:val="002218EB"/>
    <w:rsid w:val="00221B96"/>
    <w:rsid w:val="00221F39"/>
    <w:rsid w:val="00222BD9"/>
    <w:rsid w:val="00222C0C"/>
    <w:rsid w:val="00222D67"/>
    <w:rsid w:val="00222F56"/>
    <w:rsid w:val="002230FE"/>
    <w:rsid w:val="002238C0"/>
    <w:rsid w:val="002239E5"/>
    <w:rsid w:val="00224B96"/>
    <w:rsid w:val="002258D1"/>
    <w:rsid w:val="00225AD0"/>
    <w:rsid w:val="00225C4D"/>
    <w:rsid w:val="00226060"/>
    <w:rsid w:val="00226A06"/>
    <w:rsid w:val="0022799A"/>
    <w:rsid w:val="00227A48"/>
    <w:rsid w:val="00230089"/>
    <w:rsid w:val="0023025E"/>
    <w:rsid w:val="00231313"/>
    <w:rsid w:val="00231441"/>
    <w:rsid w:val="00231A96"/>
    <w:rsid w:val="00231E1E"/>
    <w:rsid w:val="00232879"/>
    <w:rsid w:val="00233828"/>
    <w:rsid w:val="002340B9"/>
    <w:rsid w:val="00234A35"/>
    <w:rsid w:val="002351B6"/>
    <w:rsid w:val="0023578B"/>
    <w:rsid w:val="002366BE"/>
    <w:rsid w:val="002367D0"/>
    <w:rsid w:val="00237428"/>
    <w:rsid w:val="0023798B"/>
    <w:rsid w:val="00237B45"/>
    <w:rsid w:val="00240574"/>
    <w:rsid w:val="00240704"/>
    <w:rsid w:val="00241391"/>
    <w:rsid w:val="00241474"/>
    <w:rsid w:val="00241598"/>
    <w:rsid w:val="00241C59"/>
    <w:rsid w:val="002422CE"/>
    <w:rsid w:val="002427AB"/>
    <w:rsid w:val="00242A75"/>
    <w:rsid w:val="00242CEF"/>
    <w:rsid w:val="00243709"/>
    <w:rsid w:val="002439E1"/>
    <w:rsid w:val="00243A92"/>
    <w:rsid w:val="00243FEA"/>
    <w:rsid w:val="002448ED"/>
    <w:rsid w:val="0024504B"/>
    <w:rsid w:val="00245509"/>
    <w:rsid w:val="00246B5B"/>
    <w:rsid w:val="00247051"/>
    <w:rsid w:val="00247864"/>
    <w:rsid w:val="00247AD3"/>
    <w:rsid w:val="002506E4"/>
    <w:rsid w:val="00250912"/>
    <w:rsid w:val="00250D0C"/>
    <w:rsid w:val="00250D72"/>
    <w:rsid w:val="002518D6"/>
    <w:rsid w:val="002526AE"/>
    <w:rsid w:val="00252A34"/>
    <w:rsid w:val="00252A53"/>
    <w:rsid w:val="00253B5A"/>
    <w:rsid w:val="00253DB4"/>
    <w:rsid w:val="00253DDF"/>
    <w:rsid w:val="00253DED"/>
    <w:rsid w:val="00254154"/>
    <w:rsid w:val="00254576"/>
    <w:rsid w:val="00254644"/>
    <w:rsid w:val="00254937"/>
    <w:rsid w:val="00254B5F"/>
    <w:rsid w:val="00254EC9"/>
    <w:rsid w:val="002551C4"/>
    <w:rsid w:val="002561F0"/>
    <w:rsid w:val="002562C4"/>
    <w:rsid w:val="0025649D"/>
    <w:rsid w:val="002566F4"/>
    <w:rsid w:val="00256900"/>
    <w:rsid w:val="00256D40"/>
    <w:rsid w:val="00257C25"/>
    <w:rsid w:val="00260134"/>
    <w:rsid w:val="00260F3A"/>
    <w:rsid w:val="00260FA0"/>
    <w:rsid w:val="002611DC"/>
    <w:rsid w:val="00261877"/>
    <w:rsid w:val="00261B06"/>
    <w:rsid w:val="00262859"/>
    <w:rsid w:val="00262C84"/>
    <w:rsid w:val="00263CB3"/>
    <w:rsid w:val="0026402D"/>
    <w:rsid w:val="0026407F"/>
    <w:rsid w:val="00264A50"/>
    <w:rsid w:val="002668B7"/>
    <w:rsid w:val="002702AE"/>
    <w:rsid w:val="002710E0"/>
    <w:rsid w:val="00271552"/>
    <w:rsid w:val="00271A36"/>
    <w:rsid w:val="00271B7F"/>
    <w:rsid w:val="0027218B"/>
    <w:rsid w:val="0027248F"/>
    <w:rsid w:val="002725D4"/>
    <w:rsid w:val="00272D78"/>
    <w:rsid w:val="00272EDE"/>
    <w:rsid w:val="002732E2"/>
    <w:rsid w:val="002737CA"/>
    <w:rsid w:val="00273823"/>
    <w:rsid w:val="00273B26"/>
    <w:rsid w:val="00273EF6"/>
    <w:rsid w:val="002742E3"/>
    <w:rsid w:val="0027441B"/>
    <w:rsid w:val="002746A9"/>
    <w:rsid w:val="002746EB"/>
    <w:rsid w:val="00274744"/>
    <w:rsid w:val="00274CEF"/>
    <w:rsid w:val="0027557D"/>
    <w:rsid w:val="0027654E"/>
    <w:rsid w:val="00276697"/>
    <w:rsid w:val="002768F6"/>
    <w:rsid w:val="00276A1D"/>
    <w:rsid w:val="00277614"/>
    <w:rsid w:val="002802B2"/>
    <w:rsid w:val="00280309"/>
    <w:rsid w:val="00280421"/>
    <w:rsid w:val="00280780"/>
    <w:rsid w:val="00280C75"/>
    <w:rsid w:val="002810A8"/>
    <w:rsid w:val="00281CCF"/>
    <w:rsid w:val="00281DFC"/>
    <w:rsid w:val="0028208B"/>
    <w:rsid w:val="00282AAF"/>
    <w:rsid w:val="00284529"/>
    <w:rsid w:val="00284828"/>
    <w:rsid w:val="002853E5"/>
    <w:rsid w:val="0028567D"/>
    <w:rsid w:val="002856EC"/>
    <w:rsid w:val="00285A94"/>
    <w:rsid w:val="0028705A"/>
    <w:rsid w:val="0028789C"/>
    <w:rsid w:val="002878F1"/>
    <w:rsid w:val="002905E3"/>
    <w:rsid w:val="002907B0"/>
    <w:rsid w:val="00290EA1"/>
    <w:rsid w:val="00291A24"/>
    <w:rsid w:val="00291AB7"/>
    <w:rsid w:val="0029262E"/>
    <w:rsid w:val="002928B2"/>
    <w:rsid w:val="00292DCA"/>
    <w:rsid w:val="00293313"/>
    <w:rsid w:val="00293A0C"/>
    <w:rsid w:val="00293C6A"/>
    <w:rsid w:val="00294287"/>
    <w:rsid w:val="00294DDC"/>
    <w:rsid w:val="00295195"/>
    <w:rsid w:val="0029526D"/>
    <w:rsid w:val="00295449"/>
    <w:rsid w:val="002959C1"/>
    <w:rsid w:val="002963AC"/>
    <w:rsid w:val="00296904"/>
    <w:rsid w:val="00296B77"/>
    <w:rsid w:val="00296B8D"/>
    <w:rsid w:val="00296E04"/>
    <w:rsid w:val="002974A3"/>
    <w:rsid w:val="002975FF"/>
    <w:rsid w:val="00297A77"/>
    <w:rsid w:val="00297AD0"/>
    <w:rsid w:val="002A0167"/>
    <w:rsid w:val="002A0455"/>
    <w:rsid w:val="002A0831"/>
    <w:rsid w:val="002A085E"/>
    <w:rsid w:val="002A1A41"/>
    <w:rsid w:val="002A355F"/>
    <w:rsid w:val="002A38B3"/>
    <w:rsid w:val="002A3FCE"/>
    <w:rsid w:val="002A41A0"/>
    <w:rsid w:val="002A4335"/>
    <w:rsid w:val="002A451B"/>
    <w:rsid w:val="002A48BC"/>
    <w:rsid w:val="002A4904"/>
    <w:rsid w:val="002A4B71"/>
    <w:rsid w:val="002A52F9"/>
    <w:rsid w:val="002A5610"/>
    <w:rsid w:val="002A5B98"/>
    <w:rsid w:val="002A67C9"/>
    <w:rsid w:val="002A6F7C"/>
    <w:rsid w:val="002A70BE"/>
    <w:rsid w:val="002A71BB"/>
    <w:rsid w:val="002A7903"/>
    <w:rsid w:val="002A7B8E"/>
    <w:rsid w:val="002A7C01"/>
    <w:rsid w:val="002A7E0A"/>
    <w:rsid w:val="002B016A"/>
    <w:rsid w:val="002B058F"/>
    <w:rsid w:val="002B0B84"/>
    <w:rsid w:val="002B0C82"/>
    <w:rsid w:val="002B1C11"/>
    <w:rsid w:val="002B1C47"/>
    <w:rsid w:val="002B1ECF"/>
    <w:rsid w:val="002B2933"/>
    <w:rsid w:val="002B2A84"/>
    <w:rsid w:val="002B4812"/>
    <w:rsid w:val="002B55F9"/>
    <w:rsid w:val="002B5DAC"/>
    <w:rsid w:val="002B62E2"/>
    <w:rsid w:val="002B64C9"/>
    <w:rsid w:val="002B68FA"/>
    <w:rsid w:val="002B6EEA"/>
    <w:rsid w:val="002B6F62"/>
    <w:rsid w:val="002B6F88"/>
    <w:rsid w:val="002B759E"/>
    <w:rsid w:val="002B79B8"/>
    <w:rsid w:val="002B7F7A"/>
    <w:rsid w:val="002C04FC"/>
    <w:rsid w:val="002C14DB"/>
    <w:rsid w:val="002C1740"/>
    <w:rsid w:val="002C242C"/>
    <w:rsid w:val="002C305D"/>
    <w:rsid w:val="002C3451"/>
    <w:rsid w:val="002C375C"/>
    <w:rsid w:val="002C3A95"/>
    <w:rsid w:val="002C3B21"/>
    <w:rsid w:val="002C3EAC"/>
    <w:rsid w:val="002C433A"/>
    <w:rsid w:val="002C4C54"/>
    <w:rsid w:val="002C4DBF"/>
    <w:rsid w:val="002C50D0"/>
    <w:rsid w:val="002C5E16"/>
    <w:rsid w:val="002C626F"/>
    <w:rsid w:val="002C6703"/>
    <w:rsid w:val="002C6811"/>
    <w:rsid w:val="002C7ECB"/>
    <w:rsid w:val="002C7F0F"/>
    <w:rsid w:val="002D0763"/>
    <w:rsid w:val="002D083F"/>
    <w:rsid w:val="002D0EA3"/>
    <w:rsid w:val="002D141D"/>
    <w:rsid w:val="002D1F93"/>
    <w:rsid w:val="002D2268"/>
    <w:rsid w:val="002D2818"/>
    <w:rsid w:val="002D4A1C"/>
    <w:rsid w:val="002D55B8"/>
    <w:rsid w:val="002D571E"/>
    <w:rsid w:val="002D5A80"/>
    <w:rsid w:val="002D5FE4"/>
    <w:rsid w:val="002D6486"/>
    <w:rsid w:val="002D6719"/>
    <w:rsid w:val="002D75B1"/>
    <w:rsid w:val="002D76C9"/>
    <w:rsid w:val="002E06EC"/>
    <w:rsid w:val="002E0860"/>
    <w:rsid w:val="002E09C8"/>
    <w:rsid w:val="002E0CB1"/>
    <w:rsid w:val="002E1313"/>
    <w:rsid w:val="002E144E"/>
    <w:rsid w:val="002E1DF9"/>
    <w:rsid w:val="002E1E19"/>
    <w:rsid w:val="002E23A9"/>
    <w:rsid w:val="002E24D4"/>
    <w:rsid w:val="002E2868"/>
    <w:rsid w:val="002E2B95"/>
    <w:rsid w:val="002E2C9D"/>
    <w:rsid w:val="002E3889"/>
    <w:rsid w:val="002E3BDC"/>
    <w:rsid w:val="002E4014"/>
    <w:rsid w:val="002E45B0"/>
    <w:rsid w:val="002E45BC"/>
    <w:rsid w:val="002E4DC8"/>
    <w:rsid w:val="002E4F6E"/>
    <w:rsid w:val="002E5677"/>
    <w:rsid w:val="002E5F15"/>
    <w:rsid w:val="002E615F"/>
    <w:rsid w:val="002E61A3"/>
    <w:rsid w:val="002E62FE"/>
    <w:rsid w:val="002E6853"/>
    <w:rsid w:val="002E68CA"/>
    <w:rsid w:val="002E6DE0"/>
    <w:rsid w:val="002E76F2"/>
    <w:rsid w:val="002E771B"/>
    <w:rsid w:val="002F0087"/>
    <w:rsid w:val="002F06CB"/>
    <w:rsid w:val="002F074E"/>
    <w:rsid w:val="002F1284"/>
    <w:rsid w:val="002F1CC1"/>
    <w:rsid w:val="002F339F"/>
    <w:rsid w:val="002F3457"/>
    <w:rsid w:val="002F3CB2"/>
    <w:rsid w:val="002F47EC"/>
    <w:rsid w:val="002F4FC7"/>
    <w:rsid w:val="002F52A2"/>
    <w:rsid w:val="002F66FD"/>
    <w:rsid w:val="002F6BF0"/>
    <w:rsid w:val="002F6DDF"/>
    <w:rsid w:val="002F71F0"/>
    <w:rsid w:val="002F78AC"/>
    <w:rsid w:val="002F79A9"/>
    <w:rsid w:val="002F7BB7"/>
    <w:rsid w:val="002F7D35"/>
    <w:rsid w:val="002F7F2F"/>
    <w:rsid w:val="0030006A"/>
    <w:rsid w:val="0030018B"/>
    <w:rsid w:val="003006F2"/>
    <w:rsid w:val="003014DB"/>
    <w:rsid w:val="00301EA8"/>
    <w:rsid w:val="00301FBE"/>
    <w:rsid w:val="0030210E"/>
    <w:rsid w:val="0030245D"/>
    <w:rsid w:val="003033BB"/>
    <w:rsid w:val="00303972"/>
    <w:rsid w:val="00303986"/>
    <w:rsid w:val="00304815"/>
    <w:rsid w:val="00304DFE"/>
    <w:rsid w:val="003051CB"/>
    <w:rsid w:val="00305285"/>
    <w:rsid w:val="003053DE"/>
    <w:rsid w:val="0030545A"/>
    <w:rsid w:val="0030587E"/>
    <w:rsid w:val="003075C0"/>
    <w:rsid w:val="00307709"/>
    <w:rsid w:val="00307B3C"/>
    <w:rsid w:val="00307CAA"/>
    <w:rsid w:val="00310A51"/>
    <w:rsid w:val="00311C2C"/>
    <w:rsid w:val="003120D8"/>
    <w:rsid w:val="0031216F"/>
    <w:rsid w:val="00313105"/>
    <w:rsid w:val="0031326C"/>
    <w:rsid w:val="00314026"/>
    <w:rsid w:val="003141BE"/>
    <w:rsid w:val="003141D7"/>
    <w:rsid w:val="00314686"/>
    <w:rsid w:val="003146CE"/>
    <w:rsid w:val="00315149"/>
    <w:rsid w:val="003152E6"/>
    <w:rsid w:val="0031565E"/>
    <w:rsid w:val="00315CEB"/>
    <w:rsid w:val="00315E81"/>
    <w:rsid w:val="00317167"/>
    <w:rsid w:val="0031757D"/>
    <w:rsid w:val="00317713"/>
    <w:rsid w:val="00317763"/>
    <w:rsid w:val="00317B8B"/>
    <w:rsid w:val="003203AE"/>
    <w:rsid w:val="003206FB"/>
    <w:rsid w:val="003209B9"/>
    <w:rsid w:val="00321192"/>
    <w:rsid w:val="00321A2B"/>
    <w:rsid w:val="00321D9D"/>
    <w:rsid w:val="00321FB4"/>
    <w:rsid w:val="00322348"/>
    <w:rsid w:val="0032255A"/>
    <w:rsid w:val="003225C8"/>
    <w:rsid w:val="003225F8"/>
    <w:rsid w:val="0032271B"/>
    <w:rsid w:val="00322EC6"/>
    <w:rsid w:val="00323632"/>
    <w:rsid w:val="0032366D"/>
    <w:rsid w:val="00323C80"/>
    <w:rsid w:val="00323F4A"/>
    <w:rsid w:val="003243D8"/>
    <w:rsid w:val="003244F4"/>
    <w:rsid w:val="003245E3"/>
    <w:rsid w:val="00324867"/>
    <w:rsid w:val="00324C88"/>
    <w:rsid w:val="00324E4C"/>
    <w:rsid w:val="00325E77"/>
    <w:rsid w:val="003260DF"/>
    <w:rsid w:val="003267A3"/>
    <w:rsid w:val="00326B3D"/>
    <w:rsid w:val="00326D05"/>
    <w:rsid w:val="00327B44"/>
    <w:rsid w:val="00327D93"/>
    <w:rsid w:val="00330C95"/>
    <w:rsid w:val="00330D28"/>
    <w:rsid w:val="003310CC"/>
    <w:rsid w:val="0033239F"/>
    <w:rsid w:val="003328AF"/>
    <w:rsid w:val="00332ED3"/>
    <w:rsid w:val="00333176"/>
    <w:rsid w:val="003335B1"/>
    <w:rsid w:val="00333731"/>
    <w:rsid w:val="00333A7C"/>
    <w:rsid w:val="00333ED4"/>
    <w:rsid w:val="003340CA"/>
    <w:rsid w:val="00334221"/>
    <w:rsid w:val="00334E2D"/>
    <w:rsid w:val="00334E75"/>
    <w:rsid w:val="0033532F"/>
    <w:rsid w:val="00335ADF"/>
    <w:rsid w:val="00335E1A"/>
    <w:rsid w:val="00335F0E"/>
    <w:rsid w:val="00336213"/>
    <w:rsid w:val="0033643B"/>
    <w:rsid w:val="00336482"/>
    <w:rsid w:val="00336A1C"/>
    <w:rsid w:val="00336D48"/>
    <w:rsid w:val="0033732E"/>
    <w:rsid w:val="00337D5D"/>
    <w:rsid w:val="00337FD0"/>
    <w:rsid w:val="0034000A"/>
    <w:rsid w:val="00340185"/>
    <w:rsid w:val="0034096C"/>
    <w:rsid w:val="003419F5"/>
    <w:rsid w:val="00341DBC"/>
    <w:rsid w:val="00342A96"/>
    <w:rsid w:val="00342C06"/>
    <w:rsid w:val="00342C6D"/>
    <w:rsid w:val="0034368A"/>
    <w:rsid w:val="00343A4F"/>
    <w:rsid w:val="00343D3E"/>
    <w:rsid w:val="00343F3F"/>
    <w:rsid w:val="0034470D"/>
    <w:rsid w:val="00344D7E"/>
    <w:rsid w:val="00344F53"/>
    <w:rsid w:val="003457A4"/>
    <w:rsid w:val="00345833"/>
    <w:rsid w:val="00345D31"/>
    <w:rsid w:val="00345E53"/>
    <w:rsid w:val="003461F9"/>
    <w:rsid w:val="00347882"/>
    <w:rsid w:val="00347B01"/>
    <w:rsid w:val="00350010"/>
    <w:rsid w:val="0035056A"/>
    <w:rsid w:val="00350666"/>
    <w:rsid w:val="00350AE0"/>
    <w:rsid w:val="00350D18"/>
    <w:rsid w:val="0035148F"/>
    <w:rsid w:val="003517C1"/>
    <w:rsid w:val="00351B09"/>
    <w:rsid w:val="00352184"/>
    <w:rsid w:val="00352A0E"/>
    <w:rsid w:val="00352A73"/>
    <w:rsid w:val="00352EEF"/>
    <w:rsid w:val="00352FC2"/>
    <w:rsid w:val="003535F8"/>
    <w:rsid w:val="00353B69"/>
    <w:rsid w:val="00354744"/>
    <w:rsid w:val="00354814"/>
    <w:rsid w:val="00354A65"/>
    <w:rsid w:val="00354D78"/>
    <w:rsid w:val="00355E21"/>
    <w:rsid w:val="00355FE5"/>
    <w:rsid w:val="00356FBC"/>
    <w:rsid w:val="00357B44"/>
    <w:rsid w:val="00357CEA"/>
    <w:rsid w:val="00357E91"/>
    <w:rsid w:val="00357FB2"/>
    <w:rsid w:val="003602B7"/>
    <w:rsid w:val="003602F1"/>
    <w:rsid w:val="003606A1"/>
    <w:rsid w:val="0036084E"/>
    <w:rsid w:val="00360BE0"/>
    <w:rsid w:val="003612FA"/>
    <w:rsid w:val="00361B88"/>
    <w:rsid w:val="00362618"/>
    <w:rsid w:val="0036276C"/>
    <w:rsid w:val="00363C01"/>
    <w:rsid w:val="00363D3E"/>
    <w:rsid w:val="00363E43"/>
    <w:rsid w:val="00364805"/>
    <w:rsid w:val="00365290"/>
    <w:rsid w:val="00365566"/>
    <w:rsid w:val="00365B98"/>
    <w:rsid w:val="00365F5C"/>
    <w:rsid w:val="003665A4"/>
    <w:rsid w:val="00366BC3"/>
    <w:rsid w:val="00366DFE"/>
    <w:rsid w:val="00366E31"/>
    <w:rsid w:val="00367096"/>
    <w:rsid w:val="0036712A"/>
    <w:rsid w:val="00367893"/>
    <w:rsid w:val="003709B7"/>
    <w:rsid w:val="00370CE1"/>
    <w:rsid w:val="003715B3"/>
    <w:rsid w:val="003722E4"/>
    <w:rsid w:val="003726DF"/>
    <w:rsid w:val="0037286C"/>
    <w:rsid w:val="00372EB8"/>
    <w:rsid w:val="00373715"/>
    <w:rsid w:val="00373A37"/>
    <w:rsid w:val="00373BE9"/>
    <w:rsid w:val="00373FDF"/>
    <w:rsid w:val="003744EA"/>
    <w:rsid w:val="00374DDC"/>
    <w:rsid w:val="00374FA6"/>
    <w:rsid w:val="00374FAA"/>
    <w:rsid w:val="003750A9"/>
    <w:rsid w:val="003750D6"/>
    <w:rsid w:val="003751A4"/>
    <w:rsid w:val="00375AEA"/>
    <w:rsid w:val="003761D3"/>
    <w:rsid w:val="00376750"/>
    <w:rsid w:val="00376DD6"/>
    <w:rsid w:val="003778A9"/>
    <w:rsid w:val="00377B32"/>
    <w:rsid w:val="00377BFA"/>
    <w:rsid w:val="00377DDF"/>
    <w:rsid w:val="00377E85"/>
    <w:rsid w:val="00380A58"/>
    <w:rsid w:val="00380C08"/>
    <w:rsid w:val="00380E15"/>
    <w:rsid w:val="0038166F"/>
    <w:rsid w:val="00381FE2"/>
    <w:rsid w:val="00382010"/>
    <w:rsid w:val="003825C0"/>
    <w:rsid w:val="00382A51"/>
    <w:rsid w:val="00382E04"/>
    <w:rsid w:val="00382F0C"/>
    <w:rsid w:val="0038327C"/>
    <w:rsid w:val="00383F45"/>
    <w:rsid w:val="00384310"/>
    <w:rsid w:val="00384806"/>
    <w:rsid w:val="00384835"/>
    <w:rsid w:val="00384A18"/>
    <w:rsid w:val="00385389"/>
    <w:rsid w:val="00385529"/>
    <w:rsid w:val="0038564B"/>
    <w:rsid w:val="00385913"/>
    <w:rsid w:val="003861D6"/>
    <w:rsid w:val="00386614"/>
    <w:rsid w:val="003866DB"/>
    <w:rsid w:val="00386740"/>
    <w:rsid w:val="0038718B"/>
    <w:rsid w:val="00387212"/>
    <w:rsid w:val="00387FC3"/>
    <w:rsid w:val="0039034F"/>
    <w:rsid w:val="00390750"/>
    <w:rsid w:val="003908B0"/>
    <w:rsid w:val="00390E03"/>
    <w:rsid w:val="00390F37"/>
    <w:rsid w:val="003912EF"/>
    <w:rsid w:val="003918D3"/>
    <w:rsid w:val="00392193"/>
    <w:rsid w:val="0039228A"/>
    <w:rsid w:val="003925EA"/>
    <w:rsid w:val="00392711"/>
    <w:rsid w:val="003927A0"/>
    <w:rsid w:val="00392B8C"/>
    <w:rsid w:val="00392FE3"/>
    <w:rsid w:val="0039380E"/>
    <w:rsid w:val="00393FEC"/>
    <w:rsid w:val="00395794"/>
    <w:rsid w:val="00395A83"/>
    <w:rsid w:val="00395D87"/>
    <w:rsid w:val="00397CF0"/>
    <w:rsid w:val="00397E91"/>
    <w:rsid w:val="003A0208"/>
    <w:rsid w:val="003A0362"/>
    <w:rsid w:val="003A13DB"/>
    <w:rsid w:val="003A1610"/>
    <w:rsid w:val="003A17EA"/>
    <w:rsid w:val="003A1ABA"/>
    <w:rsid w:val="003A1D1D"/>
    <w:rsid w:val="003A251C"/>
    <w:rsid w:val="003A3015"/>
    <w:rsid w:val="003A3583"/>
    <w:rsid w:val="003A39F1"/>
    <w:rsid w:val="003A3B8B"/>
    <w:rsid w:val="003A40CC"/>
    <w:rsid w:val="003A4377"/>
    <w:rsid w:val="003A44E8"/>
    <w:rsid w:val="003A4568"/>
    <w:rsid w:val="003A4875"/>
    <w:rsid w:val="003A4D98"/>
    <w:rsid w:val="003A4FC9"/>
    <w:rsid w:val="003A5650"/>
    <w:rsid w:val="003A60A5"/>
    <w:rsid w:val="003A69F1"/>
    <w:rsid w:val="003A6C97"/>
    <w:rsid w:val="003A72B3"/>
    <w:rsid w:val="003A7DBF"/>
    <w:rsid w:val="003A7FB4"/>
    <w:rsid w:val="003B0713"/>
    <w:rsid w:val="003B07BE"/>
    <w:rsid w:val="003B0BAA"/>
    <w:rsid w:val="003B2433"/>
    <w:rsid w:val="003B2488"/>
    <w:rsid w:val="003B4034"/>
    <w:rsid w:val="003B4E18"/>
    <w:rsid w:val="003B54D0"/>
    <w:rsid w:val="003B553D"/>
    <w:rsid w:val="003B56CC"/>
    <w:rsid w:val="003B5ACF"/>
    <w:rsid w:val="003B5CF5"/>
    <w:rsid w:val="003B5E47"/>
    <w:rsid w:val="003B67FC"/>
    <w:rsid w:val="003B6BEE"/>
    <w:rsid w:val="003B7045"/>
    <w:rsid w:val="003B7672"/>
    <w:rsid w:val="003B783E"/>
    <w:rsid w:val="003B7B22"/>
    <w:rsid w:val="003B7D21"/>
    <w:rsid w:val="003C1926"/>
    <w:rsid w:val="003C1B93"/>
    <w:rsid w:val="003C2A68"/>
    <w:rsid w:val="003C4331"/>
    <w:rsid w:val="003C4B55"/>
    <w:rsid w:val="003C5374"/>
    <w:rsid w:val="003C678D"/>
    <w:rsid w:val="003C6815"/>
    <w:rsid w:val="003C68AD"/>
    <w:rsid w:val="003C69E6"/>
    <w:rsid w:val="003C6E8E"/>
    <w:rsid w:val="003C6EF3"/>
    <w:rsid w:val="003C742D"/>
    <w:rsid w:val="003D004D"/>
    <w:rsid w:val="003D07B4"/>
    <w:rsid w:val="003D08CD"/>
    <w:rsid w:val="003D0922"/>
    <w:rsid w:val="003D0936"/>
    <w:rsid w:val="003D19D5"/>
    <w:rsid w:val="003D1EB1"/>
    <w:rsid w:val="003D1FA8"/>
    <w:rsid w:val="003D200F"/>
    <w:rsid w:val="003D203A"/>
    <w:rsid w:val="003D268F"/>
    <w:rsid w:val="003D2BF4"/>
    <w:rsid w:val="003D3458"/>
    <w:rsid w:val="003D3749"/>
    <w:rsid w:val="003D3931"/>
    <w:rsid w:val="003D3EA0"/>
    <w:rsid w:val="003D4105"/>
    <w:rsid w:val="003D4A06"/>
    <w:rsid w:val="003D5155"/>
    <w:rsid w:val="003D5224"/>
    <w:rsid w:val="003D5459"/>
    <w:rsid w:val="003D5965"/>
    <w:rsid w:val="003D5A3D"/>
    <w:rsid w:val="003D5CC0"/>
    <w:rsid w:val="003D5F52"/>
    <w:rsid w:val="003D5FF1"/>
    <w:rsid w:val="003D60C4"/>
    <w:rsid w:val="003D7222"/>
    <w:rsid w:val="003D76A1"/>
    <w:rsid w:val="003D781B"/>
    <w:rsid w:val="003D7F08"/>
    <w:rsid w:val="003E0258"/>
    <w:rsid w:val="003E0B47"/>
    <w:rsid w:val="003E0D98"/>
    <w:rsid w:val="003E10D3"/>
    <w:rsid w:val="003E1A0B"/>
    <w:rsid w:val="003E1D25"/>
    <w:rsid w:val="003E1D46"/>
    <w:rsid w:val="003E2098"/>
    <w:rsid w:val="003E240C"/>
    <w:rsid w:val="003E28EA"/>
    <w:rsid w:val="003E2BA4"/>
    <w:rsid w:val="003E2D3B"/>
    <w:rsid w:val="003E2F90"/>
    <w:rsid w:val="003E365A"/>
    <w:rsid w:val="003E3AA6"/>
    <w:rsid w:val="003E3E34"/>
    <w:rsid w:val="003E3EA9"/>
    <w:rsid w:val="003E4A67"/>
    <w:rsid w:val="003E4E82"/>
    <w:rsid w:val="003E500C"/>
    <w:rsid w:val="003E6129"/>
    <w:rsid w:val="003E74B1"/>
    <w:rsid w:val="003E75CD"/>
    <w:rsid w:val="003E7F46"/>
    <w:rsid w:val="003F02F6"/>
    <w:rsid w:val="003F031C"/>
    <w:rsid w:val="003F08F6"/>
    <w:rsid w:val="003F0A7E"/>
    <w:rsid w:val="003F1137"/>
    <w:rsid w:val="003F1BDC"/>
    <w:rsid w:val="003F25A9"/>
    <w:rsid w:val="003F305C"/>
    <w:rsid w:val="003F3995"/>
    <w:rsid w:val="003F424F"/>
    <w:rsid w:val="003F4900"/>
    <w:rsid w:val="003F59DD"/>
    <w:rsid w:val="003F6159"/>
    <w:rsid w:val="003F62D3"/>
    <w:rsid w:val="003F636A"/>
    <w:rsid w:val="003F63A5"/>
    <w:rsid w:val="003F734F"/>
    <w:rsid w:val="003F7C53"/>
    <w:rsid w:val="003F7DF0"/>
    <w:rsid w:val="003F7F76"/>
    <w:rsid w:val="0040024E"/>
    <w:rsid w:val="00400B78"/>
    <w:rsid w:val="00400E24"/>
    <w:rsid w:val="0040177B"/>
    <w:rsid w:val="0040178A"/>
    <w:rsid w:val="00401C06"/>
    <w:rsid w:val="00401CDC"/>
    <w:rsid w:val="0040203F"/>
    <w:rsid w:val="0040276F"/>
    <w:rsid w:val="00402FD6"/>
    <w:rsid w:val="00403461"/>
    <w:rsid w:val="00404776"/>
    <w:rsid w:val="00404E7F"/>
    <w:rsid w:val="004055AD"/>
    <w:rsid w:val="00405674"/>
    <w:rsid w:val="00405A85"/>
    <w:rsid w:val="00405B00"/>
    <w:rsid w:val="00405D74"/>
    <w:rsid w:val="00405F8D"/>
    <w:rsid w:val="00406DAD"/>
    <w:rsid w:val="00407B24"/>
    <w:rsid w:val="00407EF7"/>
    <w:rsid w:val="0041000C"/>
    <w:rsid w:val="004107A8"/>
    <w:rsid w:val="00410CB3"/>
    <w:rsid w:val="00411CA3"/>
    <w:rsid w:val="00411D3A"/>
    <w:rsid w:val="00412378"/>
    <w:rsid w:val="0041297C"/>
    <w:rsid w:val="00412AEF"/>
    <w:rsid w:val="00412B09"/>
    <w:rsid w:val="00412D46"/>
    <w:rsid w:val="00412DA2"/>
    <w:rsid w:val="004135D2"/>
    <w:rsid w:val="00413693"/>
    <w:rsid w:val="00414568"/>
    <w:rsid w:val="0041506B"/>
    <w:rsid w:val="00415934"/>
    <w:rsid w:val="00415C8F"/>
    <w:rsid w:val="00416086"/>
    <w:rsid w:val="004161EA"/>
    <w:rsid w:val="004164AC"/>
    <w:rsid w:val="004171B1"/>
    <w:rsid w:val="004174A4"/>
    <w:rsid w:val="00420047"/>
    <w:rsid w:val="00421613"/>
    <w:rsid w:val="004225BE"/>
    <w:rsid w:val="00422A14"/>
    <w:rsid w:val="004232D8"/>
    <w:rsid w:val="004236D9"/>
    <w:rsid w:val="004245DD"/>
    <w:rsid w:val="00424AB3"/>
    <w:rsid w:val="00424F62"/>
    <w:rsid w:val="0042514D"/>
    <w:rsid w:val="0042627B"/>
    <w:rsid w:val="00426811"/>
    <w:rsid w:val="0043012E"/>
    <w:rsid w:val="00430C44"/>
    <w:rsid w:val="00431032"/>
    <w:rsid w:val="004315E5"/>
    <w:rsid w:val="00431F67"/>
    <w:rsid w:val="00431F9F"/>
    <w:rsid w:val="00432B9B"/>
    <w:rsid w:val="00432C0D"/>
    <w:rsid w:val="00433000"/>
    <w:rsid w:val="00433701"/>
    <w:rsid w:val="004338C4"/>
    <w:rsid w:val="00433C03"/>
    <w:rsid w:val="0043425D"/>
    <w:rsid w:val="0043490E"/>
    <w:rsid w:val="00435BD5"/>
    <w:rsid w:val="00435D92"/>
    <w:rsid w:val="00436837"/>
    <w:rsid w:val="00436B08"/>
    <w:rsid w:val="004370E8"/>
    <w:rsid w:val="004377BA"/>
    <w:rsid w:val="00437D44"/>
    <w:rsid w:val="00440430"/>
    <w:rsid w:val="0044160B"/>
    <w:rsid w:val="00441776"/>
    <w:rsid w:val="00441B20"/>
    <w:rsid w:val="00441B6D"/>
    <w:rsid w:val="00442091"/>
    <w:rsid w:val="00442FD9"/>
    <w:rsid w:val="004433FE"/>
    <w:rsid w:val="0044345B"/>
    <w:rsid w:val="0044348D"/>
    <w:rsid w:val="0044395D"/>
    <w:rsid w:val="00443E15"/>
    <w:rsid w:val="00444990"/>
    <w:rsid w:val="004455B6"/>
    <w:rsid w:val="004455C8"/>
    <w:rsid w:val="004461CF"/>
    <w:rsid w:val="0044659A"/>
    <w:rsid w:val="00446D69"/>
    <w:rsid w:val="004472FE"/>
    <w:rsid w:val="004501D8"/>
    <w:rsid w:val="00450526"/>
    <w:rsid w:val="00451DA7"/>
    <w:rsid w:val="00452433"/>
    <w:rsid w:val="004525A2"/>
    <w:rsid w:val="00453105"/>
    <w:rsid w:val="00453420"/>
    <w:rsid w:val="00453E56"/>
    <w:rsid w:val="00454641"/>
    <w:rsid w:val="00454C6B"/>
    <w:rsid w:val="00454CA8"/>
    <w:rsid w:val="00454EDE"/>
    <w:rsid w:val="00455C2C"/>
    <w:rsid w:val="004560A0"/>
    <w:rsid w:val="00456263"/>
    <w:rsid w:val="00456437"/>
    <w:rsid w:val="004565FA"/>
    <w:rsid w:val="0045679C"/>
    <w:rsid w:val="00456AA1"/>
    <w:rsid w:val="00456B75"/>
    <w:rsid w:val="00456F2F"/>
    <w:rsid w:val="00456FDA"/>
    <w:rsid w:val="004609B6"/>
    <w:rsid w:val="00461905"/>
    <w:rsid w:val="0046195F"/>
    <w:rsid w:val="00461E3A"/>
    <w:rsid w:val="00462304"/>
    <w:rsid w:val="00462311"/>
    <w:rsid w:val="004626A8"/>
    <w:rsid w:val="00463CD3"/>
    <w:rsid w:val="00463F6E"/>
    <w:rsid w:val="0046403B"/>
    <w:rsid w:val="004645FA"/>
    <w:rsid w:val="0046463F"/>
    <w:rsid w:val="00464910"/>
    <w:rsid w:val="00466BB7"/>
    <w:rsid w:val="00467A5A"/>
    <w:rsid w:val="0047077B"/>
    <w:rsid w:val="004709B2"/>
    <w:rsid w:val="00470BE2"/>
    <w:rsid w:val="00471163"/>
    <w:rsid w:val="0047148D"/>
    <w:rsid w:val="00472630"/>
    <w:rsid w:val="00472780"/>
    <w:rsid w:val="00473857"/>
    <w:rsid w:val="00473DF9"/>
    <w:rsid w:val="00474155"/>
    <w:rsid w:val="00474E85"/>
    <w:rsid w:val="00474EA6"/>
    <w:rsid w:val="0047507D"/>
    <w:rsid w:val="004750F7"/>
    <w:rsid w:val="00475107"/>
    <w:rsid w:val="00475645"/>
    <w:rsid w:val="00475994"/>
    <w:rsid w:val="00475E49"/>
    <w:rsid w:val="00476009"/>
    <w:rsid w:val="004763DA"/>
    <w:rsid w:val="00476734"/>
    <w:rsid w:val="00476CDA"/>
    <w:rsid w:val="004773E5"/>
    <w:rsid w:val="00477F9D"/>
    <w:rsid w:val="004800B2"/>
    <w:rsid w:val="004801AA"/>
    <w:rsid w:val="004805E7"/>
    <w:rsid w:val="004813BE"/>
    <w:rsid w:val="00481AD3"/>
    <w:rsid w:val="0048280A"/>
    <w:rsid w:val="0048337D"/>
    <w:rsid w:val="004834CA"/>
    <w:rsid w:val="00484378"/>
    <w:rsid w:val="004845CC"/>
    <w:rsid w:val="004848C5"/>
    <w:rsid w:val="00485214"/>
    <w:rsid w:val="00485452"/>
    <w:rsid w:val="0048566B"/>
    <w:rsid w:val="00485A40"/>
    <w:rsid w:val="00487615"/>
    <w:rsid w:val="004879FB"/>
    <w:rsid w:val="00487B08"/>
    <w:rsid w:val="00487D39"/>
    <w:rsid w:val="00487DF1"/>
    <w:rsid w:val="00487EA4"/>
    <w:rsid w:val="00487FE8"/>
    <w:rsid w:val="0049062E"/>
    <w:rsid w:val="004909B4"/>
    <w:rsid w:val="004909E7"/>
    <w:rsid w:val="0049122F"/>
    <w:rsid w:val="004912D6"/>
    <w:rsid w:val="00491562"/>
    <w:rsid w:val="004919B7"/>
    <w:rsid w:val="00491FF0"/>
    <w:rsid w:val="00492098"/>
    <w:rsid w:val="00492421"/>
    <w:rsid w:val="00493001"/>
    <w:rsid w:val="004930B3"/>
    <w:rsid w:val="0049324F"/>
    <w:rsid w:val="00493685"/>
    <w:rsid w:val="00493BA3"/>
    <w:rsid w:val="00494096"/>
    <w:rsid w:val="004953E0"/>
    <w:rsid w:val="00495B56"/>
    <w:rsid w:val="00495C6B"/>
    <w:rsid w:val="004962D3"/>
    <w:rsid w:val="004966B4"/>
    <w:rsid w:val="00496DD9"/>
    <w:rsid w:val="0049711A"/>
    <w:rsid w:val="00497632"/>
    <w:rsid w:val="004A053B"/>
    <w:rsid w:val="004A089B"/>
    <w:rsid w:val="004A0F1B"/>
    <w:rsid w:val="004A0F43"/>
    <w:rsid w:val="004A1599"/>
    <w:rsid w:val="004A166F"/>
    <w:rsid w:val="004A16AC"/>
    <w:rsid w:val="004A1CE5"/>
    <w:rsid w:val="004A255F"/>
    <w:rsid w:val="004A2B5B"/>
    <w:rsid w:val="004A2DF1"/>
    <w:rsid w:val="004A30A3"/>
    <w:rsid w:val="004A3202"/>
    <w:rsid w:val="004A36FE"/>
    <w:rsid w:val="004A4078"/>
    <w:rsid w:val="004A44D3"/>
    <w:rsid w:val="004A4882"/>
    <w:rsid w:val="004A557B"/>
    <w:rsid w:val="004A5591"/>
    <w:rsid w:val="004A59A7"/>
    <w:rsid w:val="004A624B"/>
    <w:rsid w:val="004A69A7"/>
    <w:rsid w:val="004A6B47"/>
    <w:rsid w:val="004A72AC"/>
    <w:rsid w:val="004A732E"/>
    <w:rsid w:val="004A73A8"/>
    <w:rsid w:val="004A74D2"/>
    <w:rsid w:val="004A76B0"/>
    <w:rsid w:val="004B07AC"/>
    <w:rsid w:val="004B0CF9"/>
    <w:rsid w:val="004B1E82"/>
    <w:rsid w:val="004B24A5"/>
    <w:rsid w:val="004B2AFF"/>
    <w:rsid w:val="004B300D"/>
    <w:rsid w:val="004B393D"/>
    <w:rsid w:val="004B4628"/>
    <w:rsid w:val="004B4972"/>
    <w:rsid w:val="004B49AE"/>
    <w:rsid w:val="004B50E4"/>
    <w:rsid w:val="004B5491"/>
    <w:rsid w:val="004B619F"/>
    <w:rsid w:val="004B68CA"/>
    <w:rsid w:val="004B7E72"/>
    <w:rsid w:val="004C04DA"/>
    <w:rsid w:val="004C12AE"/>
    <w:rsid w:val="004C1447"/>
    <w:rsid w:val="004C18B2"/>
    <w:rsid w:val="004C29F9"/>
    <w:rsid w:val="004C2EEC"/>
    <w:rsid w:val="004C321C"/>
    <w:rsid w:val="004C338D"/>
    <w:rsid w:val="004C4C20"/>
    <w:rsid w:val="004C51E7"/>
    <w:rsid w:val="004C526F"/>
    <w:rsid w:val="004C5977"/>
    <w:rsid w:val="004C65CF"/>
    <w:rsid w:val="004C6BDB"/>
    <w:rsid w:val="004C7048"/>
    <w:rsid w:val="004C770A"/>
    <w:rsid w:val="004C7C30"/>
    <w:rsid w:val="004D021A"/>
    <w:rsid w:val="004D1128"/>
    <w:rsid w:val="004D1155"/>
    <w:rsid w:val="004D15C4"/>
    <w:rsid w:val="004D1923"/>
    <w:rsid w:val="004D1F0C"/>
    <w:rsid w:val="004D2E81"/>
    <w:rsid w:val="004D317E"/>
    <w:rsid w:val="004D3EA0"/>
    <w:rsid w:val="004D4214"/>
    <w:rsid w:val="004D45ED"/>
    <w:rsid w:val="004D47C9"/>
    <w:rsid w:val="004D4C13"/>
    <w:rsid w:val="004D50D7"/>
    <w:rsid w:val="004D5224"/>
    <w:rsid w:val="004D5451"/>
    <w:rsid w:val="004D5E34"/>
    <w:rsid w:val="004D6900"/>
    <w:rsid w:val="004D6A4A"/>
    <w:rsid w:val="004D7385"/>
    <w:rsid w:val="004D7623"/>
    <w:rsid w:val="004D77CC"/>
    <w:rsid w:val="004D7CE3"/>
    <w:rsid w:val="004E0825"/>
    <w:rsid w:val="004E0A17"/>
    <w:rsid w:val="004E1DFF"/>
    <w:rsid w:val="004E2586"/>
    <w:rsid w:val="004E2828"/>
    <w:rsid w:val="004E2DC9"/>
    <w:rsid w:val="004E2F93"/>
    <w:rsid w:val="004E327F"/>
    <w:rsid w:val="004E361A"/>
    <w:rsid w:val="004E36F1"/>
    <w:rsid w:val="004E3FE5"/>
    <w:rsid w:val="004E48E0"/>
    <w:rsid w:val="004E4B10"/>
    <w:rsid w:val="004E52DD"/>
    <w:rsid w:val="004E587E"/>
    <w:rsid w:val="004E5B94"/>
    <w:rsid w:val="004E647C"/>
    <w:rsid w:val="004E69E1"/>
    <w:rsid w:val="004E6A51"/>
    <w:rsid w:val="004E6AB0"/>
    <w:rsid w:val="004E7363"/>
    <w:rsid w:val="004E7A65"/>
    <w:rsid w:val="004F02C9"/>
    <w:rsid w:val="004F039B"/>
    <w:rsid w:val="004F0D68"/>
    <w:rsid w:val="004F10CB"/>
    <w:rsid w:val="004F10DC"/>
    <w:rsid w:val="004F26E3"/>
    <w:rsid w:val="004F2D34"/>
    <w:rsid w:val="004F31DB"/>
    <w:rsid w:val="004F3310"/>
    <w:rsid w:val="004F3D93"/>
    <w:rsid w:val="004F43AB"/>
    <w:rsid w:val="004F538C"/>
    <w:rsid w:val="004F7124"/>
    <w:rsid w:val="004F7176"/>
    <w:rsid w:val="004F7238"/>
    <w:rsid w:val="004F748E"/>
    <w:rsid w:val="004F79BB"/>
    <w:rsid w:val="004F7B34"/>
    <w:rsid w:val="004F7CC5"/>
    <w:rsid w:val="00500100"/>
    <w:rsid w:val="0050020D"/>
    <w:rsid w:val="00500315"/>
    <w:rsid w:val="005016BA"/>
    <w:rsid w:val="00501E30"/>
    <w:rsid w:val="00502674"/>
    <w:rsid w:val="00502CF7"/>
    <w:rsid w:val="00502E4C"/>
    <w:rsid w:val="00502F82"/>
    <w:rsid w:val="00504EC8"/>
    <w:rsid w:val="0050524B"/>
    <w:rsid w:val="00505A4C"/>
    <w:rsid w:val="005060F4"/>
    <w:rsid w:val="0050625F"/>
    <w:rsid w:val="00506EC6"/>
    <w:rsid w:val="00507513"/>
    <w:rsid w:val="005078D4"/>
    <w:rsid w:val="00507F62"/>
    <w:rsid w:val="005106BB"/>
    <w:rsid w:val="0051217A"/>
    <w:rsid w:val="00512408"/>
    <w:rsid w:val="00512793"/>
    <w:rsid w:val="005127B3"/>
    <w:rsid w:val="00512939"/>
    <w:rsid w:val="00512E29"/>
    <w:rsid w:val="00513FDF"/>
    <w:rsid w:val="00514765"/>
    <w:rsid w:val="005150F0"/>
    <w:rsid w:val="005153BD"/>
    <w:rsid w:val="00515B68"/>
    <w:rsid w:val="00515E11"/>
    <w:rsid w:val="00515F51"/>
    <w:rsid w:val="00516C4B"/>
    <w:rsid w:val="00517702"/>
    <w:rsid w:val="005178F3"/>
    <w:rsid w:val="005179DE"/>
    <w:rsid w:val="005202DF"/>
    <w:rsid w:val="00520602"/>
    <w:rsid w:val="00520947"/>
    <w:rsid w:val="0052134B"/>
    <w:rsid w:val="00522091"/>
    <w:rsid w:val="00522DCF"/>
    <w:rsid w:val="00523100"/>
    <w:rsid w:val="0052352F"/>
    <w:rsid w:val="00523794"/>
    <w:rsid w:val="005243E1"/>
    <w:rsid w:val="00524C8D"/>
    <w:rsid w:val="00524FAB"/>
    <w:rsid w:val="00525BBB"/>
    <w:rsid w:val="00525CBD"/>
    <w:rsid w:val="00525E2C"/>
    <w:rsid w:val="00526613"/>
    <w:rsid w:val="00527FD1"/>
    <w:rsid w:val="0053062A"/>
    <w:rsid w:val="00530CDE"/>
    <w:rsid w:val="00530E29"/>
    <w:rsid w:val="005312F2"/>
    <w:rsid w:val="00531658"/>
    <w:rsid w:val="005318ED"/>
    <w:rsid w:val="00532911"/>
    <w:rsid w:val="00532A32"/>
    <w:rsid w:val="00533B6C"/>
    <w:rsid w:val="00533D88"/>
    <w:rsid w:val="005346AB"/>
    <w:rsid w:val="0053526B"/>
    <w:rsid w:val="0053540C"/>
    <w:rsid w:val="00535898"/>
    <w:rsid w:val="005363AD"/>
    <w:rsid w:val="00536401"/>
    <w:rsid w:val="00536D6C"/>
    <w:rsid w:val="00536DFD"/>
    <w:rsid w:val="00536FE3"/>
    <w:rsid w:val="005371A5"/>
    <w:rsid w:val="00537395"/>
    <w:rsid w:val="00537A83"/>
    <w:rsid w:val="00537D0D"/>
    <w:rsid w:val="00540386"/>
    <w:rsid w:val="005405ED"/>
    <w:rsid w:val="00540E23"/>
    <w:rsid w:val="0054191A"/>
    <w:rsid w:val="005435BE"/>
    <w:rsid w:val="0054426A"/>
    <w:rsid w:val="00544397"/>
    <w:rsid w:val="005447EE"/>
    <w:rsid w:val="0054498D"/>
    <w:rsid w:val="005449D8"/>
    <w:rsid w:val="00544A32"/>
    <w:rsid w:val="00545BC0"/>
    <w:rsid w:val="00545CE7"/>
    <w:rsid w:val="00545F5C"/>
    <w:rsid w:val="005461E1"/>
    <w:rsid w:val="0054654B"/>
    <w:rsid w:val="00546B60"/>
    <w:rsid w:val="005475E3"/>
    <w:rsid w:val="005479B7"/>
    <w:rsid w:val="00547F30"/>
    <w:rsid w:val="0055006E"/>
    <w:rsid w:val="00550201"/>
    <w:rsid w:val="00550E4F"/>
    <w:rsid w:val="00550ED3"/>
    <w:rsid w:val="005514E2"/>
    <w:rsid w:val="0055177F"/>
    <w:rsid w:val="00553673"/>
    <w:rsid w:val="00554BF7"/>
    <w:rsid w:val="00555311"/>
    <w:rsid w:val="005554BC"/>
    <w:rsid w:val="00555743"/>
    <w:rsid w:val="00555749"/>
    <w:rsid w:val="00555EBB"/>
    <w:rsid w:val="00557669"/>
    <w:rsid w:val="005577EF"/>
    <w:rsid w:val="005600F9"/>
    <w:rsid w:val="0056012C"/>
    <w:rsid w:val="00560132"/>
    <w:rsid w:val="0056039B"/>
    <w:rsid w:val="005606D7"/>
    <w:rsid w:val="005606E2"/>
    <w:rsid w:val="00560B50"/>
    <w:rsid w:val="00561C39"/>
    <w:rsid w:val="00561CEC"/>
    <w:rsid w:val="0056244A"/>
    <w:rsid w:val="00562D59"/>
    <w:rsid w:val="0056349A"/>
    <w:rsid w:val="00563652"/>
    <w:rsid w:val="00563734"/>
    <w:rsid w:val="005643B9"/>
    <w:rsid w:val="005648AB"/>
    <w:rsid w:val="00564B24"/>
    <w:rsid w:val="00564D8C"/>
    <w:rsid w:val="00564F21"/>
    <w:rsid w:val="00565491"/>
    <w:rsid w:val="005654A8"/>
    <w:rsid w:val="005657EE"/>
    <w:rsid w:val="00566069"/>
    <w:rsid w:val="00566113"/>
    <w:rsid w:val="005661B9"/>
    <w:rsid w:val="00566239"/>
    <w:rsid w:val="00566F61"/>
    <w:rsid w:val="005674D8"/>
    <w:rsid w:val="00567575"/>
    <w:rsid w:val="00570149"/>
    <w:rsid w:val="00570170"/>
    <w:rsid w:val="005701CA"/>
    <w:rsid w:val="0057021C"/>
    <w:rsid w:val="00570E8F"/>
    <w:rsid w:val="005715DF"/>
    <w:rsid w:val="00571E4C"/>
    <w:rsid w:val="00572922"/>
    <w:rsid w:val="005737EA"/>
    <w:rsid w:val="005744E8"/>
    <w:rsid w:val="00574D75"/>
    <w:rsid w:val="00574DA2"/>
    <w:rsid w:val="0057502A"/>
    <w:rsid w:val="00575328"/>
    <w:rsid w:val="00575349"/>
    <w:rsid w:val="00575A1F"/>
    <w:rsid w:val="00576E3E"/>
    <w:rsid w:val="005770D2"/>
    <w:rsid w:val="00580D17"/>
    <w:rsid w:val="005812E0"/>
    <w:rsid w:val="0058160F"/>
    <w:rsid w:val="00581807"/>
    <w:rsid w:val="00582FE8"/>
    <w:rsid w:val="005831A5"/>
    <w:rsid w:val="0058351D"/>
    <w:rsid w:val="00583623"/>
    <w:rsid w:val="005836B4"/>
    <w:rsid w:val="0058425C"/>
    <w:rsid w:val="005843E9"/>
    <w:rsid w:val="00584F2D"/>
    <w:rsid w:val="0058531C"/>
    <w:rsid w:val="005857DA"/>
    <w:rsid w:val="00586279"/>
    <w:rsid w:val="005863B5"/>
    <w:rsid w:val="005864A1"/>
    <w:rsid w:val="0058678E"/>
    <w:rsid w:val="0058797B"/>
    <w:rsid w:val="00587ADE"/>
    <w:rsid w:val="005905E0"/>
    <w:rsid w:val="00590CF3"/>
    <w:rsid w:val="00590D4B"/>
    <w:rsid w:val="00591300"/>
    <w:rsid w:val="00591372"/>
    <w:rsid w:val="0059155B"/>
    <w:rsid w:val="00592CD3"/>
    <w:rsid w:val="0059347C"/>
    <w:rsid w:val="005939A3"/>
    <w:rsid w:val="005945A4"/>
    <w:rsid w:val="005947B3"/>
    <w:rsid w:val="00594A54"/>
    <w:rsid w:val="005954FA"/>
    <w:rsid w:val="0059556E"/>
    <w:rsid w:val="0059575D"/>
    <w:rsid w:val="00595E4F"/>
    <w:rsid w:val="005962F2"/>
    <w:rsid w:val="00597260"/>
    <w:rsid w:val="00597B59"/>
    <w:rsid w:val="00597C08"/>
    <w:rsid w:val="00597C71"/>
    <w:rsid w:val="005A0159"/>
    <w:rsid w:val="005A0470"/>
    <w:rsid w:val="005A0F30"/>
    <w:rsid w:val="005A10C3"/>
    <w:rsid w:val="005A13C3"/>
    <w:rsid w:val="005A156C"/>
    <w:rsid w:val="005A24B2"/>
    <w:rsid w:val="005A2C79"/>
    <w:rsid w:val="005A2C95"/>
    <w:rsid w:val="005A2E53"/>
    <w:rsid w:val="005A34FE"/>
    <w:rsid w:val="005A40DD"/>
    <w:rsid w:val="005A4489"/>
    <w:rsid w:val="005A4824"/>
    <w:rsid w:val="005A4A67"/>
    <w:rsid w:val="005A55D5"/>
    <w:rsid w:val="005A6B80"/>
    <w:rsid w:val="005A7600"/>
    <w:rsid w:val="005A7990"/>
    <w:rsid w:val="005A7BB3"/>
    <w:rsid w:val="005A7D7B"/>
    <w:rsid w:val="005A7F25"/>
    <w:rsid w:val="005B0013"/>
    <w:rsid w:val="005B0016"/>
    <w:rsid w:val="005B0023"/>
    <w:rsid w:val="005B01CF"/>
    <w:rsid w:val="005B083D"/>
    <w:rsid w:val="005B0897"/>
    <w:rsid w:val="005B0C61"/>
    <w:rsid w:val="005B0CCD"/>
    <w:rsid w:val="005B1077"/>
    <w:rsid w:val="005B11EA"/>
    <w:rsid w:val="005B136C"/>
    <w:rsid w:val="005B265A"/>
    <w:rsid w:val="005B27DE"/>
    <w:rsid w:val="005B2A79"/>
    <w:rsid w:val="005B335D"/>
    <w:rsid w:val="005B3584"/>
    <w:rsid w:val="005B35BE"/>
    <w:rsid w:val="005B36F9"/>
    <w:rsid w:val="005B3D59"/>
    <w:rsid w:val="005B4B5E"/>
    <w:rsid w:val="005B4B85"/>
    <w:rsid w:val="005B6214"/>
    <w:rsid w:val="005B6DDB"/>
    <w:rsid w:val="005B78EE"/>
    <w:rsid w:val="005B7955"/>
    <w:rsid w:val="005B7968"/>
    <w:rsid w:val="005B7DEB"/>
    <w:rsid w:val="005C038E"/>
    <w:rsid w:val="005C0C70"/>
    <w:rsid w:val="005C0D72"/>
    <w:rsid w:val="005C1E2A"/>
    <w:rsid w:val="005C2139"/>
    <w:rsid w:val="005C2144"/>
    <w:rsid w:val="005C2456"/>
    <w:rsid w:val="005C2AF9"/>
    <w:rsid w:val="005C2EA8"/>
    <w:rsid w:val="005C2EEF"/>
    <w:rsid w:val="005C36B9"/>
    <w:rsid w:val="005C4B4F"/>
    <w:rsid w:val="005C5B1A"/>
    <w:rsid w:val="005C5DB7"/>
    <w:rsid w:val="005C616B"/>
    <w:rsid w:val="005C6298"/>
    <w:rsid w:val="005C63EC"/>
    <w:rsid w:val="005C687D"/>
    <w:rsid w:val="005C6D2D"/>
    <w:rsid w:val="005C6E03"/>
    <w:rsid w:val="005D0CD4"/>
    <w:rsid w:val="005D0FBC"/>
    <w:rsid w:val="005D1042"/>
    <w:rsid w:val="005D1171"/>
    <w:rsid w:val="005D1252"/>
    <w:rsid w:val="005D1811"/>
    <w:rsid w:val="005D1A1E"/>
    <w:rsid w:val="005D1FC3"/>
    <w:rsid w:val="005D200F"/>
    <w:rsid w:val="005D268B"/>
    <w:rsid w:val="005D2E0A"/>
    <w:rsid w:val="005D33BF"/>
    <w:rsid w:val="005D3A86"/>
    <w:rsid w:val="005D40BA"/>
    <w:rsid w:val="005D42A4"/>
    <w:rsid w:val="005D46D5"/>
    <w:rsid w:val="005D48BE"/>
    <w:rsid w:val="005D5FAF"/>
    <w:rsid w:val="005D61A6"/>
    <w:rsid w:val="005D6594"/>
    <w:rsid w:val="005D676C"/>
    <w:rsid w:val="005D6B2C"/>
    <w:rsid w:val="005D7AC2"/>
    <w:rsid w:val="005D7C9B"/>
    <w:rsid w:val="005E0B26"/>
    <w:rsid w:val="005E12B5"/>
    <w:rsid w:val="005E1AE0"/>
    <w:rsid w:val="005E1FF9"/>
    <w:rsid w:val="005E2379"/>
    <w:rsid w:val="005E2651"/>
    <w:rsid w:val="005E29F7"/>
    <w:rsid w:val="005E3815"/>
    <w:rsid w:val="005E3C1B"/>
    <w:rsid w:val="005E3DC0"/>
    <w:rsid w:val="005E4522"/>
    <w:rsid w:val="005E4581"/>
    <w:rsid w:val="005E4C95"/>
    <w:rsid w:val="005E4F8A"/>
    <w:rsid w:val="005E5080"/>
    <w:rsid w:val="005E5201"/>
    <w:rsid w:val="005E5D48"/>
    <w:rsid w:val="005E65B8"/>
    <w:rsid w:val="005E66B1"/>
    <w:rsid w:val="005E676D"/>
    <w:rsid w:val="005E67C9"/>
    <w:rsid w:val="005E6A02"/>
    <w:rsid w:val="005E6E71"/>
    <w:rsid w:val="005E6E8C"/>
    <w:rsid w:val="005E72FC"/>
    <w:rsid w:val="005E75EF"/>
    <w:rsid w:val="005E77D6"/>
    <w:rsid w:val="005E7A62"/>
    <w:rsid w:val="005F025C"/>
    <w:rsid w:val="005F07E2"/>
    <w:rsid w:val="005F0A9E"/>
    <w:rsid w:val="005F0AA6"/>
    <w:rsid w:val="005F0C02"/>
    <w:rsid w:val="005F0ED0"/>
    <w:rsid w:val="005F0F25"/>
    <w:rsid w:val="005F0FAA"/>
    <w:rsid w:val="005F0FBC"/>
    <w:rsid w:val="005F185D"/>
    <w:rsid w:val="005F1E25"/>
    <w:rsid w:val="005F22DA"/>
    <w:rsid w:val="005F2379"/>
    <w:rsid w:val="005F320B"/>
    <w:rsid w:val="005F350E"/>
    <w:rsid w:val="005F3620"/>
    <w:rsid w:val="005F3955"/>
    <w:rsid w:val="005F3D55"/>
    <w:rsid w:val="005F4323"/>
    <w:rsid w:val="005F4A3A"/>
    <w:rsid w:val="005F5BAC"/>
    <w:rsid w:val="005F5C68"/>
    <w:rsid w:val="005F5E5B"/>
    <w:rsid w:val="005F641E"/>
    <w:rsid w:val="005F6B8B"/>
    <w:rsid w:val="005F6C4D"/>
    <w:rsid w:val="005F7268"/>
    <w:rsid w:val="005F72BF"/>
    <w:rsid w:val="005F7497"/>
    <w:rsid w:val="005F769C"/>
    <w:rsid w:val="006007A0"/>
    <w:rsid w:val="00600940"/>
    <w:rsid w:val="00600E31"/>
    <w:rsid w:val="00601459"/>
    <w:rsid w:val="00602665"/>
    <w:rsid w:val="00604679"/>
    <w:rsid w:val="00604C63"/>
    <w:rsid w:val="006051D9"/>
    <w:rsid w:val="00605E1F"/>
    <w:rsid w:val="00605FEF"/>
    <w:rsid w:val="00606A0F"/>
    <w:rsid w:val="00606B4E"/>
    <w:rsid w:val="00607983"/>
    <w:rsid w:val="00607F11"/>
    <w:rsid w:val="00610396"/>
    <w:rsid w:val="00610611"/>
    <w:rsid w:val="00610876"/>
    <w:rsid w:val="00610D2B"/>
    <w:rsid w:val="00610F9E"/>
    <w:rsid w:val="00612174"/>
    <w:rsid w:val="0061285E"/>
    <w:rsid w:val="00612A1C"/>
    <w:rsid w:val="006136F4"/>
    <w:rsid w:val="00613F1C"/>
    <w:rsid w:val="00614061"/>
    <w:rsid w:val="006141E1"/>
    <w:rsid w:val="00614ACF"/>
    <w:rsid w:val="00614D30"/>
    <w:rsid w:val="00614DD3"/>
    <w:rsid w:val="00615291"/>
    <w:rsid w:val="00615321"/>
    <w:rsid w:val="006158C1"/>
    <w:rsid w:val="006158E6"/>
    <w:rsid w:val="00615DB9"/>
    <w:rsid w:val="00616000"/>
    <w:rsid w:val="006160CF"/>
    <w:rsid w:val="006163CD"/>
    <w:rsid w:val="00616B11"/>
    <w:rsid w:val="00617810"/>
    <w:rsid w:val="00617CB2"/>
    <w:rsid w:val="00617FA8"/>
    <w:rsid w:val="00621640"/>
    <w:rsid w:val="00621C1D"/>
    <w:rsid w:val="00621C4E"/>
    <w:rsid w:val="00621CE3"/>
    <w:rsid w:val="00621D97"/>
    <w:rsid w:val="00621F81"/>
    <w:rsid w:val="006224AD"/>
    <w:rsid w:val="00622ACF"/>
    <w:rsid w:val="00622F6F"/>
    <w:rsid w:val="00623045"/>
    <w:rsid w:val="006233FF"/>
    <w:rsid w:val="00623633"/>
    <w:rsid w:val="00624558"/>
    <w:rsid w:val="00624F7E"/>
    <w:rsid w:val="00625C6C"/>
    <w:rsid w:val="006262A8"/>
    <w:rsid w:val="0062651D"/>
    <w:rsid w:val="00626B4F"/>
    <w:rsid w:val="006270DE"/>
    <w:rsid w:val="006279FF"/>
    <w:rsid w:val="00627BC7"/>
    <w:rsid w:val="006300F5"/>
    <w:rsid w:val="00630877"/>
    <w:rsid w:val="00631456"/>
    <w:rsid w:val="00631C2F"/>
    <w:rsid w:val="00631E14"/>
    <w:rsid w:val="00632CE1"/>
    <w:rsid w:val="00633355"/>
    <w:rsid w:val="00633749"/>
    <w:rsid w:val="006337F1"/>
    <w:rsid w:val="0063380B"/>
    <w:rsid w:val="00633EEB"/>
    <w:rsid w:val="00634364"/>
    <w:rsid w:val="00634691"/>
    <w:rsid w:val="00634E07"/>
    <w:rsid w:val="00634E5A"/>
    <w:rsid w:val="00634E99"/>
    <w:rsid w:val="00635474"/>
    <w:rsid w:val="006359BF"/>
    <w:rsid w:val="00635B8C"/>
    <w:rsid w:val="00635F57"/>
    <w:rsid w:val="00635F68"/>
    <w:rsid w:val="00636219"/>
    <w:rsid w:val="006364E5"/>
    <w:rsid w:val="00636906"/>
    <w:rsid w:val="006376ED"/>
    <w:rsid w:val="0063797D"/>
    <w:rsid w:val="00637D3F"/>
    <w:rsid w:val="00637E93"/>
    <w:rsid w:val="00640699"/>
    <w:rsid w:val="00640A73"/>
    <w:rsid w:val="00640D98"/>
    <w:rsid w:val="00641331"/>
    <w:rsid w:val="00641368"/>
    <w:rsid w:val="00641665"/>
    <w:rsid w:val="00641CEF"/>
    <w:rsid w:val="00642040"/>
    <w:rsid w:val="00642C04"/>
    <w:rsid w:val="00642C58"/>
    <w:rsid w:val="00642FAD"/>
    <w:rsid w:val="0064323E"/>
    <w:rsid w:val="00643532"/>
    <w:rsid w:val="0064376D"/>
    <w:rsid w:val="00643C5D"/>
    <w:rsid w:val="0064415F"/>
    <w:rsid w:val="006449AD"/>
    <w:rsid w:val="00644C9C"/>
    <w:rsid w:val="00644D69"/>
    <w:rsid w:val="00645C6F"/>
    <w:rsid w:val="00646555"/>
    <w:rsid w:val="006477E8"/>
    <w:rsid w:val="0064782E"/>
    <w:rsid w:val="00650096"/>
    <w:rsid w:val="0065066B"/>
    <w:rsid w:val="0065093A"/>
    <w:rsid w:val="00650D31"/>
    <w:rsid w:val="00650F7D"/>
    <w:rsid w:val="0065133F"/>
    <w:rsid w:val="00651716"/>
    <w:rsid w:val="00651FAB"/>
    <w:rsid w:val="00652AD4"/>
    <w:rsid w:val="00652EF5"/>
    <w:rsid w:val="00653386"/>
    <w:rsid w:val="006540C9"/>
    <w:rsid w:val="00654894"/>
    <w:rsid w:val="006549C2"/>
    <w:rsid w:val="00654B7D"/>
    <w:rsid w:val="00654C6D"/>
    <w:rsid w:val="00654E32"/>
    <w:rsid w:val="00654FCB"/>
    <w:rsid w:val="006551C8"/>
    <w:rsid w:val="006552AF"/>
    <w:rsid w:val="006554B7"/>
    <w:rsid w:val="006555A3"/>
    <w:rsid w:val="00655A75"/>
    <w:rsid w:val="00655EF8"/>
    <w:rsid w:val="00655F87"/>
    <w:rsid w:val="006569BA"/>
    <w:rsid w:val="00656D24"/>
    <w:rsid w:val="006570B7"/>
    <w:rsid w:val="006575A4"/>
    <w:rsid w:val="00657910"/>
    <w:rsid w:val="00657AD5"/>
    <w:rsid w:val="006602DA"/>
    <w:rsid w:val="006610E5"/>
    <w:rsid w:val="00661271"/>
    <w:rsid w:val="006613C5"/>
    <w:rsid w:val="0066240A"/>
    <w:rsid w:val="00662CEF"/>
    <w:rsid w:val="00662EFB"/>
    <w:rsid w:val="00663000"/>
    <w:rsid w:val="0066303A"/>
    <w:rsid w:val="00663DA7"/>
    <w:rsid w:val="00663E31"/>
    <w:rsid w:val="00663E94"/>
    <w:rsid w:val="006641CC"/>
    <w:rsid w:val="00664386"/>
    <w:rsid w:val="006645E3"/>
    <w:rsid w:val="00664AE3"/>
    <w:rsid w:val="00664DFB"/>
    <w:rsid w:val="00665030"/>
    <w:rsid w:val="00665A6A"/>
    <w:rsid w:val="00667610"/>
    <w:rsid w:val="00667A94"/>
    <w:rsid w:val="00670617"/>
    <w:rsid w:val="00670B76"/>
    <w:rsid w:val="00671107"/>
    <w:rsid w:val="0067151E"/>
    <w:rsid w:val="006716BD"/>
    <w:rsid w:val="00671BBC"/>
    <w:rsid w:val="00671EB0"/>
    <w:rsid w:val="00672082"/>
    <w:rsid w:val="00673051"/>
    <w:rsid w:val="006731A9"/>
    <w:rsid w:val="006732C7"/>
    <w:rsid w:val="00673CD5"/>
    <w:rsid w:val="006751FC"/>
    <w:rsid w:val="00675895"/>
    <w:rsid w:val="0067601C"/>
    <w:rsid w:val="00676118"/>
    <w:rsid w:val="006761D8"/>
    <w:rsid w:val="006764DC"/>
    <w:rsid w:val="00676584"/>
    <w:rsid w:val="00676681"/>
    <w:rsid w:val="00676C3A"/>
    <w:rsid w:val="006776ED"/>
    <w:rsid w:val="00677A1C"/>
    <w:rsid w:val="00677D20"/>
    <w:rsid w:val="0068006E"/>
    <w:rsid w:val="00680C7E"/>
    <w:rsid w:val="00681D09"/>
    <w:rsid w:val="006826E6"/>
    <w:rsid w:val="00682A19"/>
    <w:rsid w:val="00682F41"/>
    <w:rsid w:val="006830C1"/>
    <w:rsid w:val="00683521"/>
    <w:rsid w:val="006835E8"/>
    <w:rsid w:val="00684056"/>
    <w:rsid w:val="006843AF"/>
    <w:rsid w:val="006843F9"/>
    <w:rsid w:val="00684942"/>
    <w:rsid w:val="00684BD3"/>
    <w:rsid w:val="00684CA0"/>
    <w:rsid w:val="006862B8"/>
    <w:rsid w:val="006879BD"/>
    <w:rsid w:val="00687C9C"/>
    <w:rsid w:val="00687E40"/>
    <w:rsid w:val="00687EBE"/>
    <w:rsid w:val="00687F9F"/>
    <w:rsid w:val="00690B0F"/>
    <w:rsid w:val="00692297"/>
    <w:rsid w:val="006922D2"/>
    <w:rsid w:val="0069247E"/>
    <w:rsid w:val="00693982"/>
    <w:rsid w:val="00694303"/>
    <w:rsid w:val="0069437A"/>
    <w:rsid w:val="006943B3"/>
    <w:rsid w:val="006948D6"/>
    <w:rsid w:val="00694A02"/>
    <w:rsid w:val="00695418"/>
    <w:rsid w:val="00696B17"/>
    <w:rsid w:val="00696EE6"/>
    <w:rsid w:val="00697172"/>
    <w:rsid w:val="006A031D"/>
    <w:rsid w:val="006A0378"/>
    <w:rsid w:val="006A0EB6"/>
    <w:rsid w:val="006A0F7A"/>
    <w:rsid w:val="006A18D7"/>
    <w:rsid w:val="006A20A0"/>
    <w:rsid w:val="006A2270"/>
    <w:rsid w:val="006A33DE"/>
    <w:rsid w:val="006A3D09"/>
    <w:rsid w:val="006A40C1"/>
    <w:rsid w:val="006A4417"/>
    <w:rsid w:val="006A4785"/>
    <w:rsid w:val="006A47B7"/>
    <w:rsid w:val="006A4876"/>
    <w:rsid w:val="006A514E"/>
    <w:rsid w:val="006A5669"/>
    <w:rsid w:val="006A5EC2"/>
    <w:rsid w:val="006A5FAF"/>
    <w:rsid w:val="006A7394"/>
    <w:rsid w:val="006A78E2"/>
    <w:rsid w:val="006A7A64"/>
    <w:rsid w:val="006A7D19"/>
    <w:rsid w:val="006A7FDE"/>
    <w:rsid w:val="006B02CB"/>
    <w:rsid w:val="006B0699"/>
    <w:rsid w:val="006B0F62"/>
    <w:rsid w:val="006B0FC0"/>
    <w:rsid w:val="006B14BB"/>
    <w:rsid w:val="006B2408"/>
    <w:rsid w:val="006B2E67"/>
    <w:rsid w:val="006B32D3"/>
    <w:rsid w:val="006B3AAB"/>
    <w:rsid w:val="006B3B25"/>
    <w:rsid w:val="006B42E0"/>
    <w:rsid w:val="006B477C"/>
    <w:rsid w:val="006B4D18"/>
    <w:rsid w:val="006B5074"/>
    <w:rsid w:val="006B5D28"/>
    <w:rsid w:val="006B5E6B"/>
    <w:rsid w:val="006B68D9"/>
    <w:rsid w:val="006B6E59"/>
    <w:rsid w:val="006B7697"/>
    <w:rsid w:val="006B7994"/>
    <w:rsid w:val="006B7D1C"/>
    <w:rsid w:val="006C04F6"/>
    <w:rsid w:val="006C051A"/>
    <w:rsid w:val="006C06C8"/>
    <w:rsid w:val="006C0E75"/>
    <w:rsid w:val="006C1362"/>
    <w:rsid w:val="006C1381"/>
    <w:rsid w:val="006C1398"/>
    <w:rsid w:val="006C152C"/>
    <w:rsid w:val="006C1F2D"/>
    <w:rsid w:val="006C426D"/>
    <w:rsid w:val="006C47C3"/>
    <w:rsid w:val="006C49A3"/>
    <w:rsid w:val="006C4E80"/>
    <w:rsid w:val="006C5444"/>
    <w:rsid w:val="006C6541"/>
    <w:rsid w:val="006C654A"/>
    <w:rsid w:val="006C675A"/>
    <w:rsid w:val="006C7E48"/>
    <w:rsid w:val="006D0B7C"/>
    <w:rsid w:val="006D0E13"/>
    <w:rsid w:val="006D0FCB"/>
    <w:rsid w:val="006D1787"/>
    <w:rsid w:val="006D2393"/>
    <w:rsid w:val="006D27BA"/>
    <w:rsid w:val="006D2D50"/>
    <w:rsid w:val="006D3806"/>
    <w:rsid w:val="006D3E3C"/>
    <w:rsid w:val="006D435A"/>
    <w:rsid w:val="006D4C22"/>
    <w:rsid w:val="006D5781"/>
    <w:rsid w:val="006D62C4"/>
    <w:rsid w:val="006D64AD"/>
    <w:rsid w:val="006D66AA"/>
    <w:rsid w:val="006D704D"/>
    <w:rsid w:val="006D7263"/>
    <w:rsid w:val="006D72D6"/>
    <w:rsid w:val="006D72E7"/>
    <w:rsid w:val="006D7DB3"/>
    <w:rsid w:val="006E02CB"/>
    <w:rsid w:val="006E0CD7"/>
    <w:rsid w:val="006E1597"/>
    <w:rsid w:val="006E3510"/>
    <w:rsid w:val="006E3C57"/>
    <w:rsid w:val="006E4678"/>
    <w:rsid w:val="006E4BD7"/>
    <w:rsid w:val="006E55B8"/>
    <w:rsid w:val="006E5922"/>
    <w:rsid w:val="006E62CB"/>
    <w:rsid w:val="006E6496"/>
    <w:rsid w:val="006E657D"/>
    <w:rsid w:val="006E65BB"/>
    <w:rsid w:val="006E6CBC"/>
    <w:rsid w:val="006E6F98"/>
    <w:rsid w:val="006E7F10"/>
    <w:rsid w:val="006E7F30"/>
    <w:rsid w:val="006F0A2E"/>
    <w:rsid w:val="006F1011"/>
    <w:rsid w:val="006F10E4"/>
    <w:rsid w:val="006F19E3"/>
    <w:rsid w:val="006F2ACC"/>
    <w:rsid w:val="006F2D27"/>
    <w:rsid w:val="006F2D75"/>
    <w:rsid w:val="006F304B"/>
    <w:rsid w:val="006F3F8F"/>
    <w:rsid w:val="006F40A1"/>
    <w:rsid w:val="006F4D51"/>
    <w:rsid w:val="006F50AF"/>
    <w:rsid w:val="006F50C7"/>
    <w:rsid w:val="006F5CB8"/>
    <w:rsid w:val="006F5FBB"/>
    <w:rsid w:val="006F63A1"/>
    <w:rsid w:val="006F6416"/>
    <w:rsid w:val="006F6553"/>
    <w:rsid w:val="006F6C3C"/>
    <w:rsid w:val="006F72F7"/>
    <w:rsid w:val="006F7E03"/>
    <w:rsid w:val="007001E9"/>
    <w:rsid w:val="00700273"/>
    <w:rsid w:val="00700B5E"/>
    <w:rsid w:val="007014FF"/>
    <w:rsid w:val="0070172C"/>
    <w:rsid w:val="00701C7B"/>
    <w:rsid w:val="00701D00"/>
    <w:rsid w:val="00703E63"/>
    <w:rsid w:val="00704FB2"/>
    <w:rsid w:val="00705989"/>
    <w:rsid w:val="007063F7"/>
    <w:rsid w:val="007064D1"/>
    <w:rsid w:val="00706DB4"/>
    <w:rsid w:val="00707E53"/>
    <w:rsid w:val="00710AE8"/>
    <w:rsid w:val="00710D28"/>
    <w:rsid w:val="0071123F"/>
    <w:rsid w:val="007123D3"/>
    <w:rsid w:val="0071273F"/>
    <w:rsid w:val="00712F80"/>
    <w:rsid w:val="00713635"/>
    <w:rsid w:val="007139B2"/>
    <w:rsid w:val="00713B6C"/>
    <w:rsid w:val="00713DB7"/>
    <w:rsid w:val="00715AE9"/>
    <w:rsid w:val="00716890"/>
    <w:rsid w:val="00716B63"/>
    <w:rsid w:val="00717369"/>
    <w:rsid w:val="00717C7C"/>
    <w:rsid w:val="00720717"/>
    <w:rsid w:val="00720775"/>
    <w:rsid w:val="00721BD9"/>
    <w:rsid w:val="007229F6"/>
    <w:rsid w:val="0072389C"/>
    <w:rsid w:val="007238E9"/>
    <w:rsid w:val="00723C8F"/>
    <w:rsid w:val="0072427F"/>
    <w:rsid w:val="00724AC7"/>
    <w:rsid w:val="0072506A"/>
    <w:rsid w:val="0072534B"/>
    <w:rsid w:val="00725476"/>
    <w:rsid w:val="007255F6"/>
    <w:rsid w:val="00725840"/>
    <w:rsid w:val="00725896"/>
    <w:rsid w:val="00726128"/>
    <w:rsid w:val="0072622F"/>
    <w:rsid w:val="00726486"/>
    <w:rsid w:val="0072652F"/>
    <w:rsid w:val="00726896"/>
    <w:rsid w:val="00726B0D"/>
    <w:rsid w:val="0072756C"/>
    <w:rsid w:val="007302B6"/>
    <w:rsid w:val="00730458"/>
    <w:rsid w:val="00730E37"/>
    <w:rsid w:val="007310D9"/>
    <w:rsid w:val="00732359"/>
    <w:rsid w:val="00732ECD"/>
    <w:rsid w:val="007343C9"/>
    <w:rsid w:val="00734659"/>
    <w:rsid w:val="0073468C"/>
    <w:rsid w:val="00734718"/>
    <w:rsid w:val="00734C32"/>
    <w:rsid w:val="0073591A"/>
    <w:rsid w:val="00735E4E"/>
    <w:rsid w:val="00735F36"/>
    <w:rsid w:val="00735F5F"/>
    <w:rsid w:val="0073766E"/>
    <w:rsid w:val="00740622"/>
    <w:rsid w:val="00740B17"/>
    <w:rsid w:val="00741801"/>
    <w:rsid w:val="007418D6"/>
    <w:rsid w:val="00742AB3"/>
    <w:rsid w:val="007433D6"/>
    <w:rsid w:val="00743653"/>
    <w:rsid w:val="00743BE2"/>
    <w:rsid w:val="00744984"/>
    <w:rsid w:val="00744DED"/>
    <w:rsid w:val="00745827"/>
    <w:rsid w:val="007459F9"/>
    <w:rsid w:val="0074732C"/>
    <w:rsid w:val="0074780B"/>
    <w:rsid w:val="00747D9E"/>
    <w:rsid w:val="00747FA4"/>
    <w:rsid w:val="00750584"/>
    <w:rsid w:val="00750737"/>
    <w:rsid w:val="00751457"/>
    <w:rsid w:val="00751493"/>
    <w:rsid w:val="00751530"/>
    <w:rsid w:val="007516F5"/>
    <w:rsid w:val="00751DD2"/>
    <w:rsid w:val="00752E32"/>
    <w:rsid w:val="0075347F"/>
    <w:rsid w:val="00753619"/>
    <w:rsid w:val="007548A1"/>
    <w:rsid w:val="00754CAE"/>
    <w:rsid w:val="00754CD2"/>
    <w:rsid w:val="00755BCF"/>
    <w:rsid w:val="00755D57"/>
    <w:rsid w:val="00757425"/>
    <w:rsid w:val="00757E44"/>
    <w:rsid w:val="007601EB"/>
    <w:rsid w:val="0076085E"/>
    <w:rsid w:val="00760ACC"/>
    <w:rsid w:val="007614E1"/>
    <w:rsid w:val="00761E50"/>
    <w:rsid w:val="00762119"/>
    <w:rsid w:val="00762E91"/>
    <w:rsid w:val="0076343E"/>
    <w:rsid w:val="00763E6A"/>
    <w:rsid w:val="00764539"/>
    <w:rsid w:val="00764A2C"/>
    <w:rsid w:val="00764DD4"/>
    <w:rsid w:val="007660DA"/>
    <w:rsid w:val="0076614C"/>
    <w:rsid w:val="00766183"/>
    <w:rsid w:val="00766603"/>
    <w:rsid w:val="00766C0A"/>
    <w:rsid w:val="007670C5"/>
    <w:rsid w:val="00767491"/>
    <w:rsid w:val="00767B60"/>
    <w:rsid w:val="00767B61"/>
    <w:rsid w:val="00767DE4"/>
    <w:rsid w:val="00767F7A"/>
    <w:rsid w:val="007702AE"/>
    <w:rsid w:val="0077051C"/>
    <w:rsid w:val="00770D9B"/>
    <w:rsid w:val="0077161E"/>
    <w:rsid w:val="00771EC4"/>
    <w:rsid w:val="00772431"/>
    <w:rsid w:val="007726D2"/>
    <w:rsid w:val="00774037"/>
    <w:rsid w:val="0077410B"/>
    <w:rsid w:val="00774395"/>
    <w:rsid w:val="0077461A"/>
    <w:rsid w:val="00774CD6"/>
    <w:rsid w:val="007752B8"/>
    <w:rsid w:val="0077604F"/>
    <w:rsid w:val="00776085"/>
    <w:rsid w:val="00776292"/>
    <w:rsid w:val="007767A0"/>
    <w:rsid w:val="00776907"/>
    <w:rsid w:val="00776A94"/>
    <w:rsid w:val="00776DD1"/>
    <w:rsid w:val="0077717A"/>
    <w:rsid w:val="00777758"/>
    <w:rsid w:val="00777F85"/>
    <w:rsid w:val="00780182"/>
    <w:rsid w:val="0078035D"/>
    <w:rsid w:val="0078141F"/>
    <w:rsid w:val="007816C1"/>
    <w:rsid w:val="0078278F"/>
    <w:rsid w:val="00782DBD"/>
    <w:rsid w:val="00782F05"/>
    <w:rsid w:val="00783320"/>
    <w:rsid w:val="00783AAD"/>
    <w:rsid w:val="007840AF"/>
    <w:rsid w:val="00784BFD"/>
    <w:rsid w:val="00785006"/>
    <w:rsid w:val="0078503E"/>
    <w:rsid w:val="0078578F"/>
    <w:rsid w:val="00785C21"/>
    <w:rsid w:val="00785D45"/>
    <w:rsid w:val="00785EA1"/>
    <w:rsid w:val="00786FE3"/>
    <w:rsid w:val="0078735F"/>
    <w:rsid w:val="00787791"/>
    <w:rsid w:val="007878BA"/>
    <w:rsid w:val="0078795A"/>
    <w:rsid w:val="00787CDB"/>
    <w:rsid w:val="00790323"/>
    <w:rsid w:val="007903BD"/>
    <w:rsid w:val="0079073F"/>
    <w:rsid w:val="00791796"/>
    <w:rsid w:val="00791C3F"/>
    <w:rsid w:val="0079296D"/>
    <w:rsid w:val="00792E3A"/>
    <w:rsid w:val="00792FAB"/>
    <w:rsid w:val="007930BF"/>
    <w:rsid w:val="00793ACF"/>
    <w:rsid w:val="0079413F"/>
    <w:rsid w:val="00794527"/>
    <w:rsid w:val="0079473A"/>
    <w:rsid w:val="007947C9"/>
    <w:rsid w:val="007954A1"/>
    <w:rsid w:val="00796767"/>
    <w:rsid w:val="00796C3A"/>
    <w:rsid w:val="00797824"/>
    <w:rsid w:val="007A068D"/>
    <w:rsid w:val="007A0FCA"/>
    <w:rsid w:val="007A17B1"/>
    <w:rsid w:val="007A17E7"/>
    <w:rsid w:val="007A1FCD"/>
    <w:rsid w:val="007A236F"/>
    <w:rsid w:val="007A2802"/>
    <w:rsid w:val="007A2C24"/>
    <w:rsid w:val="007A2E8C"/>
    <w:rsid w:val="007A3FBF"/>
    <w:rsid w:val="007A4787"/>
    <w:rsid w:val="007A4E67"/>
    <w:rsid w:val="007A549F"/>
    <w:rsid w:val="007A688C"/>
    <w:rsid w:val="007A70A3"/>
    <w:rsid w:val="007A70D6"/>
    <w:rsid w:val="007A7764"/>
    <w:rsid w:val="007B0DED"/>
    <w:rsid w:val="007B0E47"/>
    <w:rsid w:val="007B1049"/>
    <w:rsid w:val="007B1608"/>
    <w:rsid w:val="007B194A"/>
    <w:rsid w:val="007B1A17"/>
    <w:rsid w:val="007B2ACA"/>
    <w:rsid w:val="007B31DC"/>
    <w:rsid w:val="007B3AEB"/>
    <w:rsid w:val="007B415D"/>
    <w:rsid w:val="007B4671"/>
    <w:rsid w:val="007B4A11"/>
    <w:rsid w:val="007B4AB2"/>
    <w:rsid w:val="007B53A6"/>
    <w:rsid w:val="007B5D3A"/>
    <w:rsid w:val="007B614F"/>
    <w:rsid w:val="007B68F4"/>
    <w:rsid w:val="007B6A47"/>
    <w:rsid w:val="007B6BA1"/>
    <w:rsid w:val="007B73AB"/>
    <w:rsid w:val="007B7735"/>
    <w:rsid w:val="007B7D35"/>
    <w:rsid w:val="007B7E52"/>
    <w:rsid w:val="007C013D"/>
    <w:rsid w:val="007C1E41"/>
    <w:rsid w:val="007C227F"/>
    <w:rsid w:val="007C2B54"/>
    <w:rsid w:val="007C2D50"/>
    <w:rsid w:val="007C314F"/>
    <w:rsid w:val="007C3292"/>
    <w:rsid w:val="007C3939"/>
    <w:rsid w:val="007C40E7"/>
    <w:rsid w:val="007C4BF3"/>
    <w:rsid w:val="007C4E2E"/>
    <w:rsid w:val="007C55C8"/>
    <w:rsid w:val="007C7179"/>
    <w:rsid w:val="007C763E"/>
    <w:rsid w:val="007D05A6"/>
    <w:rsid w:val="007D1D13"/>
    <w:rsid w:val="007D26E0"/>
    <w:rsid w:val="007D288F"/>
    <w:rsid w:val="007D2E33"/>
    <w:rsid w:val="007D3019"/>
    <w:rsid w:val="007D36B5"/>
    <w:rsid w:val="007D3947"/>
    <w:rsid w:val="007D3FC8"/>
    <w:rsid w:val="007D47D4"/>
    <w:rsid w:val="007D5396"/>
    <w:rsid w:val="007D5594"/>
    <w:rsid w:val="007D55E1"/>
    <w:rsid w:val="007D57EC"/>
    <w:rsid w:val="007D5B30"/>
    <w:rsid w:val="007D5BCF"/>
    <w:rsid w:val="007D6112"/>
    <w:rsid w:val="007D6886"/>
    <w:rsid w:val="007D6A67"/>
    <w:rsid w:val="007D7377"/>
    <w:rsid w:val="007D75F9"/>
    <w:rsid w:val="007D7A78"/>
    <w:rsid w:val="007E0059"/>
    <w:rsid w:val="007E006A"/>
    <w:rsid w:val="007E0152"/>
    <w:rsid w:val="007E0215"/>
    <w:rsid w:val="007E06B5"/>
    <w:rsid w:val="007E155B"/>
    <w:rsid w:val="007E17BF"/>
    <w:rsid w:val="007E28C2"/>
    <w:rsid w:val="007E28D5"/>
    <w:rsid w:val="007E2A9E"/>
    <w:rsid w:val="007E2E74"/>
    <w:rsid w:val="007E35AA"/>
    <w:rsid w:val="007E38AB"/>
    <w:rsid w:val="007E3C8D"/>
    <w:rsid w:val="007E3E5E"/>
    <w:rsid w:val="007E462F"/>
    <w:rsid w:val="007E5187"/>
    <w:rsid w:val="007E5462"/>
    <w:rsid w:val="007E5E4F"/>
    <w:rsid w:val="007E6173"/>
    <w:rsid w:val="007E6191"/>
    <w:rsid w:val="007E6C94"/>
    <w:rsid w:val="007E6CB0"/>
    <w:rsid w:val="007E7C1F"/>
    <w:rsid w:val="007F02EB"/>
    <w:rsid w:val="007F0C5D"/>
    <w:rsid w:val="007F1DAA"/>
    <w:rsid w:val="007F1DC9"/>
    <w:rsid w:val="007F2C37"/>
    <w:rsid w:val="007F465A"/>
    <w:rsid w:val="007F4770"/>
    <w:rsid w:val="007F5B0A"/>
    <w:rsid w:val="007F5FF4"/>
    <w:rsid w:val="007F69AB"/>
    <w:rsid w:val="007F6CB0"/>
    <w:rsid w:val="007F718C"/>
    <w:rsid w:val="008002EB"/>
    <w:rsid w:val="008009AA"/>
    <w:rsid w:val="00800C09"/>
    <w:rsid w:val="008015E0"/>
    <w:rsid w:val="00801C97"/>
    <w:rsid w:val="00802064"/>
    <w:rsid w:val="0080206D"/>
    <w:rsid w:val="00802131"/>
    <w:rsid w:val="00802401"/>
    <w:rsid w:val="00802408"/>
    <w:rsid w:val="00802E6D"/>
    <w:rsid w:val="008034E8"/>
    <w:rsid w:val="008039B6"/>
    <w:rsid w:val="00803E83"/>
    <w:rsid w:val="00804090"/>
    <w:rsid w:val="008046EB"/>
    <w:rsid w:val="00804AD4"/>
    <w:rsid w:val="00804BA3"/>
    <w:rsid w:val="00804E73"/>
    <w:rsid w:val="00804F1A"/>
    <w:rsid w:val="00804FED"/>
    <w:rsid w:val="00805508"/>
    <w:rsid w:val="0080577D"/>
    <w:rsid w:val="00805DC2"/>
    <w:rsid w:val="008060D0"/>
    <w:rsid w:val="00806705"/>
    <w:rsid w:val="00806B83"/>
    <w:rsid w:val="00807310"/>
    <w:rsid w:val="00807D99"/>
    <w:rsid w:val="00810495"/>
    <w:rsid w:val="00810509"/>
    <w:rsid w:val="0081082B"/>
    <w:rsid w:val="00812E1E"/>
    <w:rsid w:val="008138FB"/>
    <w:rsid w:val="00813C60"/>
    <w:rsid w:val="0081408A"/>
    <w:rsid w:val="00814444"/>
    <w:rsid w:val="0081472D"/>
    <w:rsid w:val="00814CBD"/>
    <w:rsid w:val="00815BAA"/>
    <w:rsid w:val="00816448"/>
    <w:rsid w:val="008169CA"/>
    <w:rsid w:val="00816AE5"/>
    <w:rsid w:val="00817667"/>
    <w:rsid w:val="00817D79"/>
    <w:rsid w:val="0082001F"/>
    <w:rsid w:val="0082015A"/>
    <w:rsid w:val="0082085F"/>
    <w:rsid w:val="00820AC6"/>
    <w:rsid w:val="00820DA5"/>
    <w:rsid w:val="0082102A"/>
    <w:rsid w:val="00821B85"/>
    <w:rsid w:val="00822C19"/>
    <w:rsid w:val="00823171"/>
    <w:rsid w:val="008237D0"/>
    <w:rsid w:val="00823BFA"/>
    <w:rsid w:val="0082414B"/>
    <w:rsid w:val="0082610F"/>
    <w:rsid w:val="00826115"/>
    <w:rsid w:val="008261D2"/>
    <w:rsid w:val="00826397"/>
    <w:rsid w:val="00826600"/>
    <w:rsid w:val="00826B47"/>
    <w:rsid w:val="00827665"/>
    <w:rsid w:val="00827B67"/>
    <w:rsid w:val="00827E0C"/>
    <w:rsid w:val="0083164A"/>
    <w:rsid w:val="00831753"/>
    <w:rsid w:val="00831D5B"/>
    <w:rsid w:val="00831E2A"/>
    <w:rsid w:val="0083233C"/>
    <w:rsid w:val="00832401"/>
    <w:rsid w:val="00832466"/>
    <w:rsid w:val="00832984"/>
    <w:rsid w:val="00832F8B"/>
    <w:rsid w:val="0083325F"/>
    <w:rsid w:val="00834590"/>
    <w:rsid w:val="00834593"/>
    <w:rsid w:val="00834706"/>
    <w:rsid w:val="00834ACC"/>
    <w:rsid w:val="00834CCF"/>
    <w:rsid w:val="00834F09"/>
    <w:rsid w:val="008352CF"/>
    <w:rsid w:val="00836212"/>
    <w:rsid w:val="008366EB"/>
    <w:rsid w:val="00836944"/>
    <w:rsid w:val="00836E2B"/>
    <w:rsid w:val="0083740B"/>
    <w:rsid w:val="00840195"/>
    <w:rsid w:val="00840795"/>
    <w:rsid w:val="00840915"/>
    <w:rsid w:val="00840998"/>
    <w:rsid w:val="00841017"/>
    <w:rsid w:val="00841C71"/>
    <w:rsid w:val="008439D9"/>
    <w:rsid w:val="008442E0"/>
    <w:rsid w:val="008447D0"/>
    <w:rsid w:val="008448ED"/>
    <w:rsid w:val="00844DB5"/>
    <w:rsid w:val="00845BA0"/>
    <w:rsid w:val="00846802"/>
    <w:rsid w:val="00846CAB"/>
    <w:rsid w:val="008512D7"/>
    <w:rsid w:val="0085167E"/>
    <w:rsid w:val="00851CF1"/>
    <w:rsid w:val="00851D57"/>
    <w:rsid w:val="00851E65"/>
    <w:rsid w:val="00851ECA"/>
    <w:rsid w:val="008521D3"/>
    <w:rsid w:val="00852838"/>
    <w:rsid w:val="00852B8A"/>
    <w:rsid w:val="00854332"/>
    <w:rsid w:val="008543F0"/>
    <w:rsid w:val="0085469A"/>
    <w:rsid w:val="00854B67"/>
    <w:rsid w:val="00854C1E"/>
    <w:rsid w:val="0085515E"/>
    <w:rsid w:val="008554FE"/>
    <w:rsid w:val="00855582"/>
    <w:rsid w:val="008556A5"/>
    <w:rsid w:val="00855769"/>
    <w:rsid w:val="00855898"/>
    <w:rsid w:val="008562D2"/>
    <w:rsid w:val="00856CB3"/>
    <w:rsid w:val="00856FFD"/>
    <w:rsid w:val="00857929"/>
    <w:rsid w:val="00860593"/>
    <w:rsid w:val="00860EE1"/>
    <w:rsid w:val="0086136C"/>
    <w:rsid w:val="00861FA6"/>
    <w:rsid w:val="0086312B"/>
    <w:rsid w:val="00863C93"/>
    <w:rsid w:val="008641E7"/>
    <w:rsid w:val="008647FC"/>
    <w:rsid w:val="00864874"/>
    <w:rsid w:val="0086493E"/>
    <w:rsid w:val="00864990"/>
    <w:rsid w:val="0086569E"/>
    <w:rsid w:val="00865999"/>
    <w:rsid w:val="00866905"/>
    <w:rsid w:val="00867A79"/>
    <w:rsid w:val="008704AA"/>
    <w:rsid w:val="00870E6F"/>
    <w:rsid w:val="00870EBF"/>
    <w:rsid w:val="00871AD5"/>
    <w:rsid w:val="00871D62"/>
    <w:rsid w:val="008729E4"/>
    <w:rsid w:val="0087300A"/>
    <w:rsid w:val="00873ACC"/>
    <w:rsid w:val="008748FB"/>
    <w:rsid w:val="00874B3A"/>
    <w:rsid w:val="00874CBE"/>
    <w:rsid w:val="00875484"/>
    <w:rsid w:val="0087578E"/>
    <w:rsid w:val="00875F8A"/>
    <w:rsid w:val="00876737"/>
    <w:rsid w:val="008768C2"/>
    <w:rsid w:val="00880B5A"/>
    <w:rsid w:val="00880F91"/>
    <w:rsid w:val="00881341"/>
    <w:rsid w:val="008814A6"/>
    <w:rsid w:val="0088174B"/>
    <w:rsid w:val="008817F5"/>
    <w:rsid w:val="00881DA2"/>
    <w:rsid w:val="0088232B"/>
    <w:rsid w:val="008832D9"/>
    <w:rsid w:val="00884498"/>
    <w:rsid w:val="00884536"/>
    <w:rsid w:val="00884A2C"/>
    <w:rsid w:val="008852F2"/>
    <w:rsid w:val="00885523"/>
    <w:rsid w:val="008856A3"/>
    <w:rsid w:val="00885968"/>
    <w:rsid w:val="0088597B"/>
    <w:rsid w:val="00885C6F"/>
    <w:rsid w:val="00886533"/>
    <w:rsid w:val="00886848"/>
    <w:rsid w:val="008871E7"/>
    <w:rsid w:val="008879CF"/>
    <w:rsid w:val="00890BFD"/>
    <w:rsid w:val="008911C9"/>
    <w:rsid w:val="00891335"/>
    <w:rsid w:val="00891BE6"/>
    <w:rsid w:val="00891F39"/>
    <w:rsid w:val="00892629"/>
    <w:rsid w:val="00893211"/>
    <w:rsid w:val="0089372D"/>
    <w:rsid w:val="008938A6"/>
    <w:rsid w:val="00893C35"/>
    <w:rsid w:val="00893F57"/>
    <w:rsid w:val="008943E3"/>
    <w:rsid w:val="00894965"/>
    <w:rsid w:val="008954E4"/>
    <w:rsid w:val="00895A11"/>
    <w:rsid w:val="0089635F"/>
    <w:rsid w:val="00896C55"/>
    <w:rsid w:val="00896C61"/>
    <w:rsid w:val="00897764"/>
    <w:rsid w:val="00897A87"/>
    <w:rsid w:val="00897A8A"/>
    <w:rsid w:val="00897AD8"/>
    <w:rsid w:val="008A02EE"/>
    <w:rsid w:val="008A03E7"/>
    <w:rsid w:val="008A0801"/>
    <w:rsid w:val="008A0D74"/>
    <w:rsid w:val="008A1031"/>
    <w:rsid w:val="008A1544"/>
    <w:rsid w:val="008A2BCC"/>
    <w:rsid w:val="008A3D8D"/>
    <w:rsid w:val="008A3DDC"/>
    <w:rsid w:val="008A3E1C"/>
    <w:rsid w:val="008A44D4"/>
    <w:rsid w:val="008A4E9E"/>
    <w:rsid w:val="008A55D2"/>
    <w:rsid w:val="008A5A92"/>
    <w:rsid w:val="008A7CC9"/>
    <w:rsid w:val="008B05E0"/>
    <w:rsid w:val="008B0AAD"/>
    <w:rsid w:val="008B1648"/>
    <w:rsid w:val="008B1904"/>
    <w:rsid w:val="008B1B3B"/>
    <w:rsid w:val="008B2C45"/>
    <w:rsid w:val="008B3A38"/>
    <w:rsid w:val="008B3A4B"/>
    <w:rsid w:val="008B3F51"/>
    <w:rsid w:val="008B4091"/>
    <w:rsid w:val="008B48DB"/>
    <w:rsid w:val="008B496B"/>
    <w:rsid w:val="008B508B"/>
    <w:rsid w:val="008B540D"/>
    <w:rsid w:val="008B5A65"/>
    <w:rsid w:val="008B5B27"/>
    <w:rsid w:val="008B5C37"/>
    <w:rsid w:val="008B5DAE"/>
    <w:rsid w:val="008B6125"/>
    <w:rsid w:val="008B70D0"/>
    <w:rsid w:val="008B748C"/>
    <w:rsid w:val="008B74DD"/>
    <w:rsid w:val="008B77C5"/>
    <w:rsid w:val="008B7869"/>
    <w:rsid w:val="008C0079"/>
    <w:rsid w:val="008C0861"/>
    <w:rsid w:val="008C0A51"/>
    <w:rsid w:val="008C0C3D"/>
    <w:rsid w:val="008C2218"/>
    <w:rsid w:val="008C295E"/>
    <w:rsid w:val="008C36A3"/>
    <w:rsid w:val="008C37A2"/>
    <w:rsid w:val="008C37E4"/>
    <w:rsid w:val="008C3FCD"/>
    <w:rsid w:val="008C45F5"/>
    <w:rsid w:val="008C499F"/>
    <w:rsid w:val="008C4BDF"/>
    <w:rsid w:val="008C515C"/>
    <w:rsid w:val="008C58B9"/>
    <w:rsid w:val="008C5B6B"/>
    <w:rsid w:val="008C60A2"/>
    <w:rsid w:val="008C6B6B"/>
    <w:rsid w:val="008C7415"/>
    <w:rsid w:val="008C7439"/>
    <w:rsid w:val="008C79E5"/>
    <w:rsid w:val="008C7B1E"/>
    <w:rsid w:val="008C7C52"/>
    <w:rsid w:val="008C7F4E"/>
    <w:rsid w:val="008D07A0"/>
    <w:rsid w:val="008D0D0D"/>
    <w:rsid w:val="008D0E3A"/>
    <w:rsid w:val="008D16D0"/>
    <w:rsid w:val="008D190D"/>
    <w:rsid w:val="008D2188"/>
    <w:rsid w:val="008D2304"/>
    <w:rsid w:val="008D2482"/>
    <w:rsid w:val="008D2A2D"/>
    <w:rsid w:val="008D2D43"/>
    <w:rsid w:val="008D2FBB"/>
    <w:rsid w:val="008D32D3"/>
    <w:rsid w:val="008D3349"/>
    <w:rsid w:val="008D345A"/>
    <w:rsid w:val="008D36E8"/>
    <w:rsid w:val="008D39CF"/>
    <w:rsid w:val="008D3E7E"/>
    <w:rsid w:val="008D4388"/>
    <w:rsid w:val="008D45E9"/>
    <w:rsid w:val="008D4BA1"/>
    <w:rsid w:val="008D4EBE"/>
    <w:rsid w:val="008D52CD"/>
    <w:rsid w:val="008D57BE"/>
    <w:rsid w:val="008D5D65"/>
    <w:rsid w:val="008D61CE"/>
    <w:rsid w:val="008D66C1"/>
    <w:rsid w:val="008D6C35"/>
    <w:rsid w:val="008E010C"/>
    <w:rsid w:val="008E0250"/>
    <w:rsid w:val="008E058E"/>
    <w:rsid w:val="008E098F"/>
    <w:rsid w:val="008E0F1A"/>
    <w:rsid w:val="008E1E39"/>
    <w:rsid w:val="008E24DD"/>
    <w:rsid w:val="008E27D0"/>
    <w:rsid w:val="008E3071"/>
    <w:rsid w:val="008E3893"/>
    <w:rsid w:val="008E3CA9"/>
    <w:rsid w:val="008E46E5"/>
    <w:rsid w:val="008E5B05"/>
    <w:rsid w:val="008E5F21"/>
    <w:rsid w:val="008E6A63"/>
    <w:rsid w:val="008E6B56"/>
    <w:rsid w:val="008E6CF8"/>
    <w:rsid w:val="008E70C1"/>
    <w:rsid w:val="008E7289"/>
    <w:rsid w:val="008E7CFA"/>
    <w:rsid w:val="008F02D0"/>
    <w:rsid w:val="008F0CC0"/>
    <w:rsid w:val="008F12C1"/>
    <w:rsid w:val="008F1CCF"/>
    <w:rsid w:val="008F20D8"/>
    <w:rsid w:val="008F21D7"/>
    <w:rsid w:val="008F2209"/>
    <w:rsid w:val="008F2794"/>
    <w:rsid w:val="008F3242"/>
    <w:rsid w:val="008F341F"/>
    <w:rsid w:val="008F370D"/>
    <w:rsid w:val="008F38F4"/>
    <w:rsid w:val="008F4250"/>
    <w:rsid w:val="008F4296"/>
    <w:rsid w:val="008F4D11"/>
    <w:rsid w:val="008F54E1"/>
    <w:rsid w:val="008F5CE9"/>
    <w:rsid w:val="008F6B1D"/>
    <w:rsid w:val="008F7700"/>
    <w:rsid w:val="00900D11"/>
    <w:rsid w:val="00900DC6"/>
    <w:rsid w:val="0090287F"/>
    <w:rsid w:val="00902AAC"/>
    <w:rsid w:val="00902DF2"/>
    <w:rsid w:val="00902F38"/>
    <w:rsid w:val="00902FA1"/>
    <w:rsid w:val="00903410"/>
    <w:rsid w:val="00903790"/>
    <w:rsid w:val="0090383A"/>
    <w:rsid w:val="00903EBE"/>
    <w:rsid w:val="00904CBE"/>
    <w:rsid w:val="009059D8"/>
    <w:rsid w:val="009063DB"/>
    <w:rsid w:val="00906B79"/>
    <w:rsid w:val="009074D4"/>
    <w:rsid w:val="009077E2"/>
    <w:rsid w:val="00907E56"/>
    <w:rsid w:val="00907E99"/>
    <w:rsid w:val="00907EA3"/>
    <w:rsid w:val="00911713"/>
    <w:rsid w:val="00911F9C"/>
    <w:rsid w:val="00912394"/>
    <w:rsid w:val="009124AA"/>
    <w:rsid w:val="00912C11"/>
    <w:rsid w:val="0091304E"/>
    <w:rsid w:val="009138DD"/>
    <w:rsid w:val="00913C95"/>
    <w:rsid w:val="0091467C"/>
    <w:rsid w:val="00914ACD"/>
    <w:rsid w:val="0091524F"/>
    <w:rsid w:val="009153EA"/>
    <w:rsid w:val="009154C0"/>
    <w:rsid w:val="00915EE1"/>
    <w:rsid w:val="00916B7A"/>
    <w:rsid w:val="009176B3"/>
    <w:rsid w:val="009200AF"/>
    <w:rsid w:val="00920590"/>
    <w:rsid w:val="00921FCD"/>
    <w:rsid w:val="009220A1"/>
    <w:rsid w:val="009221BB"/>
    <w:rsid w:val="009223CF"/>
    <w:rsid w:val="00922F89"/>
    <w:rsid w:val="00923232"/>
    <w:rsid w:val="00924F5E"/>
    <w:rsid w:val="009252E5"/>
    <w:rsid w:val="00925B6C"/>
    <w:rsid w:val="00925E40"/>
    <w:rsid w:val="00926594"/>
    <w:rsid w:val="00926878"/>
    <w:rsid w:val="0092695B"/>
    <w:rsid w:val="00926DC3"/>
    <w:rsid w:val="0092774F"/>
    <w:rsid w:val="009305D7"/>
    <w:rsid w:val="00930A66"/>
    <w:rsid w:val="00930A91"/>
    <w:rsid w:val="00930D6E"/>
    <w:rsid w:val="0093160A"/>
    <w:rsid w:val="00931763"/>
    <w:rsid w:val="009317C6"/>
    <w:rsid w:val="0093199C"/>
    <w:rsid w:val="0093237F"/>
    <w:rsid w:val="009328A7"/>
    <w:rsid w:val="00932E42"/>
    <w:rsid w:val="00932F92"/>
    <w:rsid w:val="00934541"/>
    <w:rsid w:val="009347D5"/>
    <w:rsid w:val="009352B3"/>
    <w:rsid w:val="00935936"/>
    <w:rsid w:val="00935E30"/>
    <w:rsid w:val="00935EF4"/>
    <w:rsid w:val="00935FFF"/>
    <w:rsid w:val="0093646F"/>
    <w:rsid w:val="009366E3"/>
    <w:rsid w:val="00936880"/>
    <w:rsid w:val="00936A93"/>
    <w:rsid w:val="00936C77"/>
    <w:rsid w:val="009375E6"/>
    <w:rsid w:val="00937CE2"/>
    <w:rsid w:val="0094007B"/>
    <w:rsid w:val="0094056F"/>
    <w:rsid w:val="0094066A"/>
    <w:rsid w:val="00940C58"/>
    <w:rsid w:val="0094115F"/>
    <w:rsid w:val="009413A9"/>
    <w:rsid w:val="00943E10"/>
    <w:rsid w:val="00944171"/>
    <w:rsid w:val="00944225"/>
    <w:rsid w:val="00944855"/>
    <w:rsid w:val="009448F1"/>
    <w:rsid w:val="00944929"/>
    <w:rsid w:val="00944FE0"/>
    <w:rsid w:val="00945526"/>
    <w:rsid w:val="00945E10"/>
    <w:rsid w:val="00945E65"/>
    <w:rsid w:val="00946D0E"/>
    <w:rsid w:val="00946DAB"/>
    <w:rsid w:val="0094705A"/>
    <w:rsid w:val="0094716C"/>
    <w:rsid w:val="009507AF"/>
    <w:rsid w:val="0095184D"/>
    <w:rsid w:val="00951866"/>
    <w:rsid w:val="00951F2E"/>
    <w:rsid w:val="0095276F"/>
    <w:rsid w:val="009529C5"/>
    <w:rsid w:val="00953139"/>
    <w:rsid w:val="009537D9"/>
    <w:rsid w:val="00953C3F"/>
    <w:rsid w:val="00953F81"/>
    <w:rsid w:val="00954126"/>
    <w:rsid w:val="00954FA4"/>
    <w:rsid w:val="0095546E"/>
    <w:rsid w:val="00955B31"/>
    <w:rsid w:val="00955B80"/>
    <w:rsid w:val="009563C8"/>
    <w:rsid w:val="00957203"/>
    <w:rsid w:val="00957213"/>
    <w:rsid w:val="00957CA8"/>
    <w:rsid w:val="009608CE"/>
    <w:rsid w:val="00960C8B"/>
    <w:rsid w:val="00961394"/>
    <w:rsid w:val="00961864"/>
    <w:rsid w:val="009618D8"/>
    <w:rsid w:val="00961BA4"/>
    <w:rsid w:val="00962B42"/>
    <w:rsid w:val="00962B47"/>
    <w:rsid w:val="009631BF"/>
    <w:rsid w:val="009638A6"/>
    <w:rsid w:val="00963920"/>
    <w:rsid w:val="0096403F"/>
    <w:rsid w:val="00964B4E"/>
    <w:rsid w:val="009651D8"/>
    <w:rsid w:val="0096656D"/>
    <w:rsid w:val="009667DE"/>
    <w:rsid w:val="00966D5B"/>
    <w:rsid w:val="00967227"/>
    <w:rsid w:val="00967C71"/>
    <w:rsid w:val="00967EDC"/>
    <w:rsid w:val="009704D0"/>
    <w:rsid w:val="009710BF"/>
    <w:rsid w:val="00971B99"/>
    <w:rsid w:val="00971B9B"/>
    <w:rsid w:val="00971C1C"/>
    <w:rsid w:val="00971E06"/>
    <w:rsid w:val="00972349"/>
    <w:rsid w:val="0097271B"/>
    <w:rsid w:val="0097286D"/>
    <w:rsid w:val="0097292B"/>
    <w:rsid w:val="00973212"/>
    <w:rsid w:val="0097336B"/>
    <w:rsid w:val="00973576"/>
    <w:rsid w:val="00973823"/>
    <w:rsid w:val="0097390B"/>
    <w:rsid w:val="009743A3"/>
    <w:rsid w:val="00975AA9"/>
    <w:rsid w:val="00975BC9"/>
    <w:rsid w:val="00976729"/>
    <w:rsid w:val="0097686A"/>
    <w:rsid w:val="0097698D"/>
    <w:rsid w:val="00977C2B"/>
    <w:rsid w:val="00980170"/>
    <w:rsid w:val="00980926"/>
    <w:rsid w:val="00981087"/>
    <w:rsid w:val="00981326"/>
    <w:rsid w:val="009818EE"/>
    <w:rsid w:val="00981B05"/>
    <w:rsid w:val="0098298B"/>
    <w:rsid w:val="00982F14"/>
    <w:rsid w:val="00983BE8"/>
    <w:rsid w:val="00983CD6"/>
    <w:rsid w:val="00983DC5"/>
    <w:rsid w:val="009844FD"/>
    <w:rsid w:val="00984902"/>
    <w:rsid w:val="009849F9"/>
    <w:rsid w:val="00985099"/>
    <w:rsid w:val="009852C8"/>
    <w:rsid w:val="00985DDC"/>
    <w:rsid w:val="00985F3B"/>
    <w:rsid w:val="00986264"/>
    <w:rsid w:val="00986CA0"/>
    <w:rsid w:val="00986E9C"/>
    <w:rsid w:val="00990115"/>
    <w:rsid w:val="0099011B"/>
    <w:rsid w:val="0099072E"/>
    <w:rsid w:val="0099177C"/>
    <w:rsid w:val="009918F1"/>
    <w:rsid w:val="00991EBE"/>
    <w:rsid w:val="0099207D"/>
    <w:rsid w:val="009922AA"/>
    <w:rsid w:val="00992506"/>
    <w:rsid w:val="009927A1"/>
    <w:rsid w:val="009928D9"/>
    <w:rsid w:val="009936C3"/>
    <w:rsid w:val="00993C93"/>
    <w:rsid w:val="00994065"/>
    <w:rsid w:val="00994588"/>
    <w:rsid w:val="00994E04"/>
    <w:rsid w:val="00995304"/>
    <w:rsid w:val="00995AB9"/>
    <w:rsid w:val="00995BA4"/>
    <w:rsid w:val="00995C0F"/>
    <w:rsid w:val="00995DC5"/>
    <w:rsid w:val="00996052"/>
    <w:rsid w:val="009966C3"/>
    <w:rsid w:val="00996D6E"/>
    <w:rsid w:val="0099759B"/>
    <w:rsid w:val="00997632"/>
    <w:rsid w:val="0099786F"/>
    <w:rsid w:val="00997D3E"/>
    <w:rsid w:val="009A0059"/>
    <w:rsid w:val="009A0458"/>
    <w:rsid w:val="009A04FF"/>
    <w:rsid w:val="009A1664"/>
    <w:rsid w:val="009A1F49"/>
    <w:rsid w:val="009A25A4"/>
    <w:rsid w:val="009A2734"/>
    <w:rsid w:val="009A2805"/>
    <w:rsid w:val="009A2CF1"/>
    <w:rsid w:val="009A2E1D"/>
    <w:rsid w:val="009A32DB"/>
    <w:rsid w:val="009A449F"/>
    <w:rsid w:val="009A4527"/>
    <w:rsid w:val="009A45F7"/>
    <w:rsid w:val="009A4AF0"/>
    <w:rsid w:val="009A5017"/>
    <w:rsid w:val="009A5484"/>
    <w:rsid w:val="009A5FFB"/>
    <w:rsid w:val="009A608C"/>
    <w:rsid w:val="009A62EA"/>
    <w:rsid w:val="009A65EB"/>
    <w:rsid w:val="009A68E8"/>
    <w:rsid w:val="009A6C01"/>
    <w:rsid w:val="009A7B10"/>
    <w:rsid w:val="009B0E40"/>
    <w:rsid w:val="009B10F6"/>
    <w:rsid w:val="009B1302"/>
    <w:rsid w:val="009B136D"/>
    <w:rsid w:val="009B1E7E"/>
    <w:rsid w:val="009B1F0E"/>
    <w:rsid w:val="009B337F"/>
    <w:rsid w:val="009B457A"/>
    <w:rsid w:val="009B4ECA"/>
    <w:rsid w:val="009B5892"/>
    <w:rsid w:val="009B5951"/>
    <w:rsid w:val="009B5958"/>
    <w:rsid w:val="009B597F"/>
    <w:rsid w:val="009B5E8B"/>
    <w:rsid w:val="009B6164"/>
    <w:rsid w:val="009B63D5"/>
    <w:rsid w:val="009B7A88"/>
    <w:rsid w:val="009C02BB"/>
    <w:rsid w:val="009C0B95"/>
    <w:rsid w:val="009C0ECF"/>
    <w:rsid w:val="009C2177"/>
    <w:rsid w:val="009C231C"/>
    <w:rsid w:val="009C23F0"/>
    <w:rsid w:val="009C2A14"/>
    <w:rsid w:val="009C2C83"/>
    <w:rsid w:val="009C31D6"/>
    <w:rsid w:val="009C3BF9"/>
    <w:rsid w:val="009C3E12"/>
    <w:rsid w:val="009C4398"/>
    <w:rsid w:val="009C4FE5"/>
    <w:rsid w:val="009C5904"/>
    <w:rsid w:val="009C5BCE"/>
    <w:rsid w:val="009C61DB"/>
    <w:rsid w:val="009C621C"/>
    <w:rsid w:val="009C6451"/>
    <w:rsid w:val="009C69D1"/>
    <w:rsid w:val="009C72CD"/>
    <w:rsid w:val="009C7B25"/>
    <w:rsid w:val="009C7C48"/>
    <w:rsid w:val="009D016F"/>
    <w:rsid w:val="009D0198"/>
    <w:rsid w:val="009D0282"/>
    <w:rsid w:val="009D07C2"/>
    <w:rsid w:val="009D2C65"/>
    <w:rsid w:val="009D2FB0"/>
    <w:rsid w:val="009D3358"/>
    <w:rsid w:val="009D38AE"/>
    <w:rsid w:val="009D3BDF"/>
    <w:rsid w:val="009D413B"/>
    <w:rsid w:val="009D5CAD"/>
    <w:rsid w:val="009D6703"/>
    <w:rsid w:val="009D6713"/>
    <w:rsid w:val="009D6F74"/>
    <w:rsid w:val="009D6F8D"/>
    <w:rsid w:val="009D74EB"/>
    <w:rsid w:val="009D795D"/>
    <w:rsid w:val="009D7CC1"/>
    <w:rsid w:val="009D7E51"/>
    <w:rsid w:val="009E04D2"/>
    <w:rsid w:val="009E0738"/>
    <w:rsid w:val="009E0A3F"/>
    <w:rsid w:val="009E0D5C"/>
    <w:rsid w:val="009E1C61"/>
    <w:rsid w:val="009E1E06"/>
    <w:rsid w:val="009E20E5"/>
    <w:rsid w:val="009E2317"/>
    <w:rsid w:val="009E2C65"/>
    <w:rsid w:val="009E3001"/>
    <w:rsid w:val="009E360E"/>
    <w:rsid w:val="009E3733"/>
    <w:rsid w:val="009E3D37"/>
    <w:rsid w:val="009E3D70"/>
    <w:rsid w:val="009E3D91"/>
    <w:rsid w:val="009E3FCC"/>
    <w:rsid w:val="009E461F"/>
    <w:rsid w:val="009E463E"/>
    <w:rsid w:val="009E4850"/>
    <w:rsid w:val="009E49A3"/>
    <w:rsid w:val="009E4B35"/>
    <w:rsid w:val="009E5744"/>
    <w:rsid w:val="009E6001"/>
    <w:rsid w:val="009E786B"/>
    <w:rsid w:val="009F034C"/>
    <w:rsid w:val="009F0449"/>
    <w:rsid w:val="009F065A"/>
    <w:rsid w:val="009F10C3"/>
    <w:rsid w:val="009F1151"/>
    <w:rsid w:val="009F12B2"/>
    <w:rsid w:val="009F1314"/>
    <w:rsid w:val="009F15CB"/>
    <w:rsid w:val="009F1ABA"/>
    <w:rsid w:val="009F23F9"/>
    <w:rsid w:val="009F25AF"/>
    <w:rsid w:val="009F39CD"/>
    <w:rsid w:val="009F3FD7"/>
    <w:rsid w:val="009F53BF"/>
    <w:rsid w:val="009F5B63"/>
    <w:rsid w:val="009F6457"/>
    <w:rsid w:val="009F662F"/>
    <w:rsid w:val="009F6D92"/>
    <w:rsid w:val="009F7FD9"/>
    <w:rsid w:val="00A013E1"/>
    <w:rsid w:val="00A01693"/>
    <w:rsid w:val="00A01729"/>
    <w:rsid w:val="00A019FD"/>
    <w:rsid w:val="00A01DB4"/>
    <w:rsid w:val="00A02685"/>
    <w:rsid w:val="00A02770"/>
    <w:rsid w:val="00A0288C"/>
    <w:rsid w:val="00A0305E"/>
    <w:rsid w:val="00A0354D"/>
    <w:rsid w:val="00A03F72"/>
    <w:rsid w:val="00A059D0"/>
    <w:rsid w:val="00A05D39"/>
    <w:rsid w:val="00A05D55"/>
    <w:rsid w:val="00A0648D"/>
    <w:rsid w:val="00A07557"/>
    <w:rsid w:val="00A0760D"/>
    <w:rsid w:val="00A1042A"/>
    <w:rsid w:val="00A1047B"/>
    <w:rsid w:val="00A10F85"/>
    <w:rsid w:val="00A1143A"/>
    <w:rsid w:val="00A11E98"/>
    <w:rsid w:val="00A120C0"/>
    <w:rsid w:val="00A121AB"/>
    <w:rsid w:val="00A1309B"/>
    <w:rsid w:val="00A1309F"/>
    <w:rsid w:val="00A13461"/>
    <w:rsid w:val="00A14CB2"/>
    <w:rsid w:val="00A173A6"/>
    <w:rsid w:val="00A208E0"/>
    <w:rsid w:val="00A20C29"/>
    <w:rsid w:val="00A2258E"/>
    <w:rsid w:val="00A225EE"/>
    <w:rsid w:val="00A22897"/>
    <w:rsid w:val="00A22D68"/>
    <w:rsid w:val="00A22DFE"/>
    <w:rsid w:val="00A235DD"/>
    <w:rsid w:val="00A257C3"/>
    <w:rsid w:val="00A25898"/>
    <w:rsid w:val="00A25C0E"/>
    <w:rsid w:val="00A26A02"/>
    <w:rsid w:val="00A26BC2"/>
    <w:rsid w:val="00A26FEC"/>
    <w:rsid w:val="00A27434"/>
    <w:rsid w:val="00A301A4"/>
    <w:rsid w:val="00A312F4"/>
    <w:rsid w:val="00A31778"/>
    <w:rsid w:val="00A317EF"/>
    <w:rsid w:val="00A324D0"/>
    <w:rsid w:val="00A3353E"/>
    <w:rsid w:val="00A336C6"/>
    <w:rsid w:val="00A336E8"/>
    <w:rsid w:val="00A345FE"/>
    <w:rsid w:val="00A348D5"/>
    <w:rsid w:val="00A34D2F"/>
    <w:rsid w:val="00A356FC"/>
    <w:rsid w:val="00A36106"/>
    <w:rsid w:val="00A364E6"/>
    <w:rsid w:val="00A36B8E"/>
    <w:rsid w:val="00A36C1B"/>
    <w:rsid w:val="00A3728B"/>
    <w:rsid w:val="00A41457"/>
    <w:rsid w:val="00A42214"/>
    <w:rsid w:val="00A4261E"/>
    <w:rsid w:val="00A428B0"/>
    <w:rsid w:val="00A42E4C"/>
    <w:rsid w:val="00A42EA0"/>
    <w:rsid w:val="00A43528"/>
    <w:rsid w:val="00A43541"/>
    <w:rsid w:val="00A43E46"/>
    <w:rsid w:val="00A45013"/>
    <w:rsid w:val="00A4522A"/>
    <w:rsid w:val="00A457BF"/>
    <w:rsid w:val="00A45CA9"/>
    <w:rsid w:val="00A4663B"/>
    <w:rsid w:val="00A46D8B"/>
    <w:rsid w:val="00A474BD"/>
    <w:rsid w:val="00A47D82"/>
    <w:rsid w:val="00A502AB"/>
    <w:rsid w:val="00A5054B"/>
    <w:rsid w:val="00A51210"/>
    <w:rsid w:val="00A51243"/>
    <w:rsid w:val="00A51826"/>
    <w:rsid w:val="00A5203F"/>
    <w:rsid w:val="00A52189"/>
    <w:rsid w:val="00A524A1"/>
    <w:rsid w:val="00A524E1"/>
    <w:rsid w:val="00A526EB"/>
    <w:rsid w:val="00A52FF9"/>
    <w:rsid w:val="00A5321A"/>
    <w:rsid w:val="00A53334"/>
    <w:rsid w:val="00A53AA8"/>
    <w:rsid w:val="00A53D84"/>
    <w:rsid w:val="00A53E29"/>
    <w:rsid w:val="00A54DC4"/>
    <w:rsid w:val="00A5502B"/>
    <w:rsid w:val="00A558EE"/>
    <w:rsid w:val="00A55BC8"/>
    <w:rsid w:val="00A55E0B"/>
    <w:rsid w:val="00A567D5"/>
    <w:rsid w:val="00A569A4"/>
    <w:rsid w:val="00A56EF8"/>
    <w:rsid w:val="00A5713C"/>
    <w:rsid w:val="00A574A8"/>
    <w:rsid w:val="00A57AF8"/>
    <w:rsid w:val="00A6018F"/>
    <w:rsid w:val="00A6070F"/>
    <w:rsid w:val="00A61701"/>
    <w:rsid w:val="00A62960"/>
    <w:rsid w:val="00A63102"/>
    <w:rsid w:val="00A63552"/>
    <w:rsid w:val="00A6476A"/>
    <w:rsid w:val="00A647C5"/>
    <w:rsid w:val="00A64C58"/>
    <w:rsid w:val="00A65DB6"/>
    <w:rsid w:val="00A661F5"/>
    <w:rsid w:val="00A664C2"/>
    <w:rsid w:val="00A66A5E"/>
    <w:rsid w:val="00A66C26"/>
    <w:rsid w:val="00A67CA3"/>
    <w:rsid w:val="00A67F97"/>
    <w:rsid w:val="00A70475"/>
    <w:rsid w:val="00A70861"/>
    <w:rsid w:val="00A70B83"/>
    <w:rsid w:val="00A70FC2"/>
    <w:rsid w:val="00A71872"/>
    <w:rsid w:val="00A71AE7"/>
    <w:rsid w:val="00A72068"/>
    <w:rsid w:val="00A7263F"/>
    <w:rsid w:val="00A72EBA"/>
    <w:rsid w:val="00A743EA"/>
    <w:rsid w:val="00A74426"/>
    <w:rsid w:val="00A745BA"/>
    <w:rsid w:val="00A747E4"/>
    <w:rsid w:val="00A7485C"/>
    <w:rsid w:val="00A74CE9"/>
    <w:rsid w:val="00A7534A"/>
    <w:rsid w:val="00A7537A"/>
    <w:rsid w:val="00A75720"/>
    <w:rsid w:val="00A76128"/>
    <w:rsid w:val="00A77693"/>
    <w:rsid w:val="00A77A06"/>
    <w:rsid w:val="00A800C7"/>
    <w:rsid w:val="00A81473"/>
    <w:rsid w:val="00A819B8"/>
    <w:rsid w:val="00A822B1"/>
    <w:rsid w:val="00A823EE"/>
    <w:rsid w:val="00A82836"/>
    <w:rsid w:val="00A82BD8"/>
    <w:rsid w:val="00A83071"/>
    <w:rsid w:val="00A83546"/>
    <w:rsid w:val="00A835AA"/>
    <w:rsid w:val="00A838F1"/>
    <w:rsid w:val="00A844E9"/>
    <w:rsid w:val="00A847EE"/>
    <w:rsid w:val="00A849CA"/>
    <w:rsid w:val="00A8522F"/>
    <w:rsid w:val="00A86DE8"/>
    <w:rsid w:val="00A871BB"/>
    <w:rsid w:val="00A87B9E"/>
    <w:rsid w:val="00A87DB0"/>
    <w:rsid w:val="00A9003E"/>
    <w:rsid w:val="00A90C18"/>
    <w:rsid w:val="00A91102"/>
    <w:rsid w:val="00A91A35"/>
    <w:rsid w:val="00A91AF0"/>
    <w:rsid w:val="00A9206A"/>
    <w:rsid w:val="00A92369"/>
    <w:rsid w:val="00A926BE"/>
    <w:rsid w:val="00A92D75"/>
    <w:rsid w:val="00A9334E"/>
    <w:rsid w:val="00A93C0A"/>
    <w:rsid w:val="00A93C15"/>
    <w:rsid w:val="00A93EF8"/>
    <w:rsid w:val="00A9403F"/>
    <w:rsid w:val="00A944E0"/>
    <w:rsid w:val="00A94D15"/>
    <w:rsid w:val="00A94F5B"/>
    <w:rsid w:val="00A95509"/>
    <w:rsid w:val="00A95CCD"/>
    <w:rsid w:val="00A95D52"/>
    <w:rsid w:val="00A95E7C"/>
    <w:rsid w:val="00A96560"/>
    <w:rsid w:val="00A9664F"/>
    <w:rsid w:val="00A96801"/>
    <w:rsid w:val="00A96950"/>
    <w:rsid w:val="00A96B18"/>
    <w:rsid w:val="00A97FEA"/>
    <w:rsid w:val="00AA0013"/>
    <w:rsid w:val="00AA027D"/>
    <w:rsid w:val="00AA02C2"/>
    <w:rsid w:val="00AA04C9"/>
    <w:rsid w:val="00AA0AF4"/>
    <w:rsid w:val="00AA158A"/>
    <w:rsid w:val="00AA1E7D"/>
    <w:rsid w:val="00AA27D6"/>
    <w:rsid w:val="00AA33A3"/>
    <w:rsid w:val="00AA46AD"/>
    <w:rsid w:val="00AA472F"/>
    <w:rsid w:val="00AA4987"/>
    <w:rsid w:val="00AA4A2F"/>
    <w:rsid w:val="00AA52FF"/>
    <w:rsid w:val="00AA550A"/>
    <w:rsid w:val="00AA59F9"/>
    <w:rsid w:val="00AA5AE6"/>
    <w:rsid w:val="00AA68F6"/>
    <w:rsid w:val="00AA70C4"/>
    <w:rsid w:val="00AA7176"/>
    <w:rsid w:val="00AA7948"/>
    <w:rsid w:val="00AB01E2"/>
    <w:rsid w:val="00AB070A"/>
    <w:rsid w:val="00AB07A1"/>
    <w:rsid w:val="00AB1F30"/>
    <w:rsid w:val="00AB26C9"/>
    <w:rsid w:val="00AB2785"/>
    <w:rsid w:val="00AB29BB"/>
    <w:rsid w:val="00AB2A36"/>
    <w:rsid w:val="00AB2DAD"/>
    <w:rsid w:val="00AB3411"/>
    <w:rsid w:val="00AB34D7"/>
    <w:rsid w:val="00AB4179"/>
    <w:rsid w:val="00AB4433"/>
    <w:rsid w:val="00AB453B"/>
    <w:rsid w:val="00AB55A3"/>
    <w:rsid w:val="00AB5C6B"/>
    <w:rsid w:val="00AB5CA1"/>
    <w:rsid w:val="00AB61F7"/>
    <w:rsid w:val="00AB782E"/>
    <w:rsid w:val="00AB798D"/>
    <w:rsid w:val="00AC0D2A"/>
    <w:rsid w:val="00AC1A4D"/>
    <w:rsid w:val="00AC200A"/>
    <w:rsid w:val="00AC2EDC"/>
    <w:rsid w:val="00AC2F8A"/>
    <w:rsid w:val="00AC408E"/>
    <w:rsid w:val="00AC478D"/>
    <w:rsid w:val="00AC4ED3"/>
    <w:rsid w:val="00AC4F3B"/>
    <w:rsid w:val="00AC61AE"/>
    <w:rsid w:val="00AC6D08"/>
    <w:rsid w:val="00AC7FB0"/>
    <w:rsid w:val="00AD02E0"/>
    <w:rsid w:val="00AD0614"/>
    <w:rsid w:val="00AD0C46"/>
    <w:rsid w:val="00AD0CF0"/>
    <w:rsid w:val="00AD0EF5"/>
    <w:rsid w:val="00AD0F27"/>
    <w:rsid w:val="00AD1CAC"/>
    <w:rsid w:val="00AD2626"/>
    <w:rsid w:val="00AD2744"/>
    <w:rsid w:val="00AD2980"/>
    <w:rsid w:val="00AD2BED"/>
    <w:rsid w:val="00AD2C08"/>
    <w:rsid w:val="00AD2F56"/>
    <w:rsid w:val="00AD3591"/>
    <w:rsid w:val="00AD3F7D"/>
    <w:rsid w:val="00AD3FB4"/>
    <w:rsid w:val="00AD4311"/>
    <w:rsid w:val="00AD454B"/>
    <w:rsid w:val="00AD558C"/>
    <w:rsid w:val="00AD6CFA"/>
    <w:rsid w:val="00AD6F5F"/>
    <w:rsid w:val="00AD73C8"/>
    <w:rsid w:val="00AD7834"/>
    <w:rsid w:val="00AE04E4"/>
    <w:rsid w:val="00AE0AB7"/>
    <w:rsid w:val="00AE0B3F"/>
    <w:rsid w:val="00AE0B66"/>
    <w:rsid w:val="00AE1406"/>
    <w:rsid w:val="00AE27F5"/>
    <w:rsid w:val="00AE2B57"/>
    <w:rsid w:val="00AE2E25"/>
    <w:rsid w:val="00AE30F9"/>
    <w:rsid w:val="00AE32ED"/>
    <w:rsid w:val="00AE365B"/>
    <w:rsid w:val="00AE397C"/>
    <w:rsid w:val="00AE48D8"/>
    <w:rsid w:val="00AE5E1E"/>
    <w:rsid w:val="00AE66C9"/>
    <w:rsid w:val="00AE66E5"/>
    <w:rsid w:val="00AE6827"/>
    <w:rsid w:val="00AE76DB"/>
    <w:rsid w:val="00AE7D04"/>
    <w:rsid w:val="00AE7D0F"/>
    <w:rsid w:val="00AE7E2A"/>
    <w:rsid w:val="00AE7FB0"/>
    <w:rsid w:val="00AF01E3"/>
    <w:rsid w:val="00AF1168"/>
    <w:rsid w:val="00AF130F"/>
    <w:rsid w:val="00AF1380"/>
    <w:rsid w:val="00AF1EAF"/>
    <w:rsid w:val="00AF1F63"/>
    <w:rsid w:val="00AF22E2"/>
    <w:rsid w:val="00AF304F"/>
    <w:rsid w:val="00AF37A3"/>
    <w:rsid w:val="00AF3B6C"/>
    <w:rsid w:val="00AF426F"/>
    <w:rsid w:val="00AF44E0"/>
    <w:rsid w:val="00AF4DA2"/>
    <w:rsid w:val="00AF4E8F"/>
    <w:rsid w:val="00AF544C"/>
    <w:rsid w:val="00AF586E"/>
    <w:rsid w:val="00AF6871"/>
    <w:rsid w:val="00AF755F"/>
    <w:rsid w:val="00AF761E"/>
    <w:rsid w:val="00AF7983"/>
    <w:rsid w:val="00AF7B16"/>
    <w:rsid w:val="00B005F4"/>
    <w:rsid w:val="00B0068D"/>
    <w:rsid w:val="00B01326"/>
    <w:rsid w:val="00B01F26"/>
    <w:rsid w:val="00B02239"/>
    <w:rsid w:val="00B0275D"/>
    <w:rsid w:val="00B02BEC"/>
    <w:rsid w:val="00B0366F"/>
    <w:rsid w:val="00B03CAD"/>
    <w:rsid w:val="00B03CFA"/>
    <w:rsid w:val="00B03E1E"/>
    <w:rsid w:val="00B04081"/>
    <w:rsid w:val="00B046C0"/>
    <w:rsid w:val="00B04873"/>
    <w:rsid w:val="00B05C00"/>
    <w:rsid w:val="00B06B3C"/>
    <w:rsid w:val="00B071D0"/>
    <w:rsid w:val="00B07F37"/>
    <w:rsid w:val="00B10169"/>
    <w:rsid w:val="00B1070A"/>
    <w:rsid w:val="00B10774"/>
    <w:rsid w:val="00B10A10"/>
    <w:rsid w:val="00B10AB0"/>
    <w:rsid w:val="00B10B14"/>
    <w:rsid w:val="00B10D96"/>
    <w:rsid w:val="00B11E3F"/>
    <w:rsid w:val="00B11E85"/>
    <w:rsid w:val="00B12419"/>
    <w:rsid w:val="00B12BE4"/>
    <w:rsid w:val="00B12C3E"/>
    <w:rsid w:val="00B13906"/>
    <w:rsid w:val="00B13F7A"/>
    <w:rsid w:val="00B1436A"/>
    <w:rsid w:val="00B14396"/>
    <w:rsid w:val="00B146E4"/>
    <w:rsid w:val="00B148CC"/>
    <w:rsid w:val="00B15103"/>
    <w:rsid w:val="00B165EB"/>
    <w:rsid w:val="00B1663C"/>
    <w:rsid w:val="00B16C71"/>
    <w:rsid w:val="00B16EA0"/>
    <w:rsid w:val="00B16F42"/>
    <w:rsid w:val="00B175EE"/>
    <w:rsid w:val="00B17814"/>
    <w:rsid w:val="00B17BB0"/>
    <w:rsid w:val="00B17BF4"/>
    <w:rsid w:val="00B2129A"/>
    <w:rsid w:val="00B2180D"/>
    <w:rsid w:val="00B22AB2"/>
    <w:rsid w:val="00B22DFD"/>
    <w:rsid w:val="00B2513D"/>
    <w:rsid w:val="00B25894"/>
    <w:rsid w:val="00B259DE"/>
    <w:rsid w:val="00B25A82"/>
    <w:rsid w:val="00B25FCD"/>
    <w:rsid w:val="00B26B9C"/>
    <w:rsid w:val="00B26FC6"/>
    <w:rsid w:val="00B270EB"/>
    <w:rsid w:val="00B271E3"/>
    <w:rsid w:val="00B27CA0"/>
    <w:rsid w:val="00B30EB1"/>
    <w:rsid w:val="00B31628"/>
    <w:rsid w:val="00B31A08"/>
    <w:rsid w:val="00B31AE4"/>
    <w:rsid w:val="00B31CFC"/>
    <w:rsid w:val="00B31E1D"/>
    <w:rsid w:val="00B32209"/>
    <w:rsid w:val="00B32D63"/>
    <w:rsid w:val="00B331BD"/>
    <w:rsid w:val="00B343AF"/>
    <w:rsid w:val="00B344A3"/>
    <w:rsid w:val="00B345F4"/>
    <w:rsid w:val="00B346EA"/>
    <w:rsid w:val="00B34771"/>
    <w:rsid w:val="00B34BBC"/>
    <w:rsid w:val="00B351B8"/>
    <w:rsid w:val="00B3529C"/>
    <w:rsid w:val="00B358D9"/>
    <w:rsid w:val="00B36080"/>
    <w:rsid w:val="00B367B5"/>
    <w:rsid w:val="00B37455"/>
    <w:rsid w:val="00B3769C"/>
    <w:rsid w:val="00B3771D"/>
    <w:rsid w:val="00B37891"/>
    <w:rsid w:val="00B41A92"/>
    <w:rsid w:val="00B421E5"/>
    <w:rsid w:val="00B425E2"/>
    <w:rsid w:val="00B4266B"/>
    <w:rsid w:val="00B42840"/>
    <w:rsid w:val="00B4299F"/>
    <w:rsid w:val="00B42C0C"/>
    <w:rsid w:val="00B43A91"/>
    <w:rsid w:val="00B443A6"/>
    <w:rsid w:val="00B44803"/>
    <w:rsid w:val="00B4562D"/>
    <w:rsid w:val="00B45D81"/>
    <w:rsid w:val="00B46351"/>
    <w:rsid w:val="00B465DE"/>
    <w:rsid w:val="00B46622"/>
    <w:rsid w:val="00B4689B"/>
    <w:rsid w:val="00B47253"/>
    <w:rsid w:val="00B4757F"/>
    <w:rsid w:val="00B47688"/>
    <w:rsid w:val="00B47B59"/>
    <w:rsid w:val="00B50406"/>
    <w:rsid w:val="00B513EE"/>
    <w:rsid w:val="00B515F7"/>
    <w:rsid w:val="00B5185B"/>
    <w:rsid w:val="00B51A0A"/>
    <w:rsid w:val="00B51C63"/>
    <w:rsid w:val="00B51D04"/>
    <w:rsid w:val="00B527D1"/>
    <w:rsid w:val="00B537D1"/>
    <w:rsid w:val="00B541AE"/>
    <w:rsid w:val="00B547C9"/>
    <w:rsid w:val="00B54D2F"/>
    <w:rsid w:val="00B5506A"/>
    <w:rsid w:val="00B55A19"/>
    <w:rsid w:val="00B55B76"/>
    <w:rsid w:val="00B56363"/>
    <w:rsid w:val="00B56A08"/>
    <w:rsid w:val="00B56D15"/>
    <w:rsid w:val="00B56FA6"/>
    <w:rsid w:val="00B5742A"/>
    <w:rsid w:val="00B57B37"/>
    <w:rsid w:val="00B57C1A"/>
    <w:rsid w:val="00B57D54"/>
    <w:rsid w:val="00B57FCF"/>
    <w:rsid w:val="00B604CE"/>
    <w:rsid w:val="00B616D6"/>
    <w:rsid w:val="00B61B33"/>
    <w:rsid w:val="00B61F8A"/>
    <w:rsid w:val="00B62850"/>
    <w:rsid w:val="00B62F5A"/>
    <w:rsid w:val="00B632C3"/>
    <w:rsid w:val="00B639E3"/>
    <w:rsid w:val="00B63ABC"/>
    <w:rsid w:val="00B63E69"/>
    <w:rsid w:val="00B6412B"/>
    <w:rsid w:val="00B642E1"/>
    <w:rsid w:val="00B650E5"/>
    <w:rsid w:val="00B658BA"/>
    <w:rsid w:val="00B65CDC"/>
    <w:rsid w:val="00B66EDF"/>
    <w:rsid w:val="00B67A7F"/>
    <w:rsid w:val="00B70387"/>
    <w:rsid w:val="00B707AB"/>
    <w:rsid w:val="00B70C34"/>
    <w:rsid w:val="00B71141"/>
    <w:rsid w:val="00B71C05"/>
    <w:rsid w:val="00B71D1C"/>
    <w:rsid w:val="00B724C6"/>
    <w:rsid w:val="00B7320E"/>
    <w:rsid w:val="00B73608"/>
    <w:rsid w:val="00B742EF"/>
    <w:rsid w:val="00B74583"/>
    <w:rsid w:val="00B7542D"/>
    <w:rsid w:val="00B759BE"/>
    <w:rsid w:val="00B77134"/>
    <w:rsid w:val="00B77398"/>
    <w:rsid w:val="00B77436"/>
    <w:rsid w:val="00B776DB"/>
    <w:rsid w:val="00B77A50"/>
    <w:rsid w:val="00B77F7A"/>
    <w:rsid w:val="00B804B2"/>
    <w:rsid w:val="00B80923"/>
    <w:rsid w:val="00B820C5"/>
    <w:rsid w:val="00B824E5"/>
    <w:rsid w:val="00B82C37"/>
    <w:rsid w:val="00B832DE"/>
    <w:rsid w:val="00B8408E"/>
    <w:rsid w:val="00B840D4"/>
    <w:rsid w:val="00B844E0"/>
    <w:rsid w:val="00B8458C"/>
    <w:rsid w:val="00B8469D"/>
    <w:rsid w:val="00B8470E"/>
    <w:rsid w:val="00B84E01"/>
    <w:rsid w:val="00B86AD3"/>
    <w:rsid w:val="00B86E4D"/>
    <w:rsid w:val="00B876BD"/>
    <w:rsid w:val="00B87705"/>
    <w:rsid w:val="00B87A6A"/>
    <w:rsid w:val="00B87F5E"/>
    <w:rsid w:val="00B87FF8"/>
    <w:rsid w:val="00B90778"/>
    <w:rsid w:val="00B912FA"/>
    <w:rsid w:val="00B91642"/>
    <w:rsid w:val="00B91781"/>
    <w:rsid w:val="00B918AB"/>
    <w:rsid w:val="00B91C1B"/>
    <w:rsid w:val="00B92C61"/>
    <w:rsid w:val="00B92E5D"/>
    <w:rsid w:val="00B92F64"/>
    <w:rsid w:val="00B93110"/>
    <w:rsid w:val="00B933DD"/>
    <w:rsid w:val="00B94762"/>
    <w:rsid w:val="00B95532"/>
    <w:rsid w:val="00B95BB7"/>
    <w:rsid w:val="00B95E91"/>
    <w:rsid w:val="00B968B6"/>
    <w:rsid w:val="00B96EF0"/>
    <w:rsid w:val="00B9717F"/>
    <w:rsid w:val="00B9723D"/>
    <w:rsid w:val="00B975E1"/>
    <w:rsid w:val="00B977CA"/>
    <w:rsid w:val="00B97FDB"/>
    <w:rsid w:val="00BA0166"/>
    <w:rsid w:val="00BA0172"/>
    <w:rsid w:val="00BA07AE"/>
    <w:rsid w:val="00BA0F5D"/>
    <w:rsid w:val="00BA11F5"/>
    <w:rsid w:val="00BA1981"/>
    <w:rsid w:val="00BA1CD0"/>
    <w:rsid w:val="00BA1D6E"/>
    <w:rsid w:val="00BA21F8"/>
    <w:rsid w:val="00BA24AA"/>
    <w:rsid w:val="00BA2BBD"/>
    <w:rsid w:val="00BA39A8"/>
    <w:rsid w:val="00BA3C80"/>
    <w:rsid w:val="00BA56E3"/>
    <w:rsid w:val="00BA5A57"/>
    <w:rsid w:val="00BA5C92"/>
    <w:rsid w:val="00BA5EC4"/>
    <w:rsid w:val="00BA60A4"/>
    <w:rsid w:val="00BA60E4"/>
    <w:rsid w:val="00BA6165"/>
    <w:rsid w:val="00BA6A9A"/>
    <w:rsid w:val="00BA6B98"/>
    <w:rsid w:val="00BA6D48"/>
    <w:rsid w:val="00BA7435"/>
    <w:rsid w:val="00BA7C0D"/>
    <w:rsid w:val="00BB0862"/>
    <w:rsid w:val="00BB163B"/>
    <w:rsid w:val="00BB24DA"/>
    <w:rsid w:val="00BB25D9"/>
    <w:rsid w:val="00BB26F4"/>
    <w:rsid w:val="00BB2B9D"/>
    <w:rsid w:val="00BB2EDC"/>
    <w:rsid w:val="00BB35AA"/>
    <w:rsid w:val="00BB383D"/>
    <w:rsid w:val="00BB3CE5"/>
    <w:rsid w:val="00BB3EA5"/>
    <w:rsid w:val="00BB5ACB"/>
    <w:rsid w:val="00BB608E"/>
    <w:rsid w:val="00BB67A9"/>
    <w:rsid w:val="00BB681F"/>
    <w:rsid w:val="00BB6A48"/>
    <w:rsid w:val="00BB7665"/>
    <w:rsid w:val="00BB7669"/>
    <w:rsid w:val="00BB78F4"/>
    <w:rsid w:val="00BB7DB1"/>
    <w:rsid w:val="00BB7FB3"/>
    <w:rsid w:val="00BC0275"/>
    <w:rsid w:val="00BC051F"/>
    <w:rsid w:val="00BC0776"/>
    <w:rsid w:val="00BC08D3"/>
    <w:rsid w:val="00BC09A3"/>
    <w:rsid w:val="00BC0C4E"/>
    <w:rsid w:val="00BC0D8B"/>
    <w:rsid w:val="00BC0E40"/>
    <w:rsid w:val="00BC0F84"/>
    <w:rsid w:val="00BC1450"/>
    <w:rsid w:val="00BC166A"/>
    <w:rsid w:val="00BC1755"/>
    <w:rsid w:val="00BC1D15"/>
    <w:rsid w:val="00BC1F64"/>
    <w:rsid w:val="00BC2584"/>
    <w:rsid w:val="00BC3533"/>
    <w:rsid w:val="00BC369E"/>
    <w:rsid w:val="00BC48F3"/>
    <w:rsid w:val="00BC4AF9"/>
    <w:rsid w:val="00BC509C"/>
    <w:rsid w:val="00BC5BB8"/>
    <w:rsid w:val="00BC5DCE"/>
    <w:rsid w:val="00BC6505"/>
    <w:rsid w:val="00BC6507"/>
    <w:rsid w:val="00BC6D71"/>
    <w:rsid w:val="00BC6D8C"/>
    <w:rsid w:val="00BC7399"/>
    <w:rsid w:val="00BC7B73"/>
    <w:rsid w:val="00BD0164"/>
    <w:rsid w:val="00BD064E"/>
    <w:rsid w:val="00BD0959"/>
    <w:rsid w:val="00BD0A1E"/>
    <w:rsid w:val="00BD0CC4"/>
    <w:rsid w:val="00BD0F95"/>
    <w:rsid w:val="00BD128A"/>
    <w:rsid w:val="00BD1403"/>
    <w:rsid w:val="00BD1E32"/>
    <w:rsid w:val="00BD204E"/>
    <w:rsid w:val="00BD21C1"/>
    <w:rsid w:val="00BD2468"/>
    <w:rsid w:val="00BD2C1B"/>
    <w:rsid w:val="00BD2DAC"/>
    <w:rsid w:val="00BD31B8"/>
    <w:rsid w:val="00BD3408"/>
    <w:rsid w:val="00BD3487"/>
    <w:rsid w:val="00BD37FD"/>
    <w:rsid w:val="00BD5502"/>
    <w:rsid w:val="00BD5801"/>
    <w:rsid w:val="00BD58E0"/>
    <w:rsid w:val="00BD5CF6"/>
    <w:rsid w:val="00BD5FD1"/>
    <w:rsid w:val="00BD60CB"/>
    <w:rsid w:val="00BD6B4C"/>
    <w:rsid w:val="00BD71FD"/>
    <w:rsid w:val="00BD750C"/>
    <w:rsid w:val="00BD7966"/>
    <w:rsid w:val="00BD7D12"/>
    <w:rsid w:val="00BE1C7B"/>
    <w:rsid w:val="00BE1F7D"/>
    <w:rsid w:val="00BE28CE"/>
    <w:rsid w:val="00BE2C08"/>
    <w:rsid w:val="00BE31DA"/>
    <w:rsid w:val="00BE323E"/>
    <w:rsid w:val="00BE35EE"/>
    <w:rsid w:val="00BE365F"/>
    <w:rsid w:val="00BE3706"/>
    <w:rsid w:val="00BE39AA"/>
    <w:rsid w:val="00BE3A35"/>
    <w:rsid w:val="00BE3B56"/>
    <w:rsid w:val="00BE433B"/>
    <w:rsid w:val="00BE445B"/>
    <w:rsid w:val="00BE468A"/>
    <w:rsid w:val="00BE46D0"/>
    <w:rsid w:val="00BE4A90"/>
    <w:rsid w:val="00BE53BA"/>
    <w:rsid w:val="00BE5BFD"/>
    <w:rsid w:val="00BE6EDD"/>
    <w:rsid w:val="00BE7154"/>
    <w:rsid w:val="00BE7E7F"/>
    <w:rsid w:val="00BF02DC"/>
    <w:rsid w:val="00BF030F"/>
    <w:rsid w:val="00BF0F42"/>
    <w:rsid w:val="00BF1106"/>
    <w:rsid w:val="00BF129D"/>
    <w:rsid w:val="00BF13DA"/>
    <w:rsid w:val="00BF16A8"/>
    <w:rsid w:val="00BF1F9B"/>
    <w:rsid w:val="00BF2CD1"/>
    <w:rsid w:val="00BF3811"/>
    <w:rsid w:val="00BF38DB"/>
    <w:rsid w:val="00BF4720"/>
    <w:rsid w:val="00BF50EF"/>
    <w:rsid w:val="00BF5428"/>
    <w:rsid w:val="00BF5A51"/>
    <w:rsid w:val="00BF63EC"/>
    <w:rsid w:val="00BF6B90"/>
    <w:rsid w:val="00BF708C"/>
    <w:rsid w:val="00BF780B"/>
    <w:rsid w:val="00BF7C11"/>
    <w:rsid w:val="00BF7E27"/>
    <w:rsid w:val="00C00548"/>
    <w:rsid w:val="00C01C5C"/>
    <w:rsid w:val="00C01E01"/>
    <w:rsid w:val="00C02001"/>
    <w:rsid w:val="00C0336F"/>
    <w:rsid w:val="00C03E9E"/>
    <w:rsid w:val="00C042D4"/>
    <w:rsid w:val="00C0446A"/>
    <w:rsid w:val="00C045C4"/>
    <w:rsid w:val="00C048D8"/>
    <w:rsid w:val="00C0496B"/>
    <w:rsid w:val="00C04D2D"/>
    <w:rsid w:val="00C0527E"/>
    <w:rsid w:val="00C057C4"/>
    <w:rsid w:val="00C05AC6"/>
    <w:rsid w:val="00C05E66"/>
    <w:rsid w:val="00C062D1"/>
    <w:rsid w:val="00C06541"/>
    <w:rsid w:val="00C06CE5"/>
    <w:rsid w:val="00C07438"/>
    <w:rsid w:val="00C07835"/>
    <w:rsid w:val="00C0789C"/>
    <w:rsid w:val="00C1007B"/>
    <w:rsid w:val="00C10267"/>
    <w:rsid w:val="00C10785"/>
    <w:rsid w:val="00C1105A"/>
    <w:rsid w:val="00C11CFC"/>
    <w:rsid w:val="00C11F32"/>
    <w:rsid w:val="00C12424"/>
    <w:rsid w:val="00C12AD9"/>
    <w:rsid w:val="00C12B77"/>
    <w:rsid w:val="00C13139"/>
    <w:rsid w:val="00C1333A"/>
    <w:rsid w:val="00C13905"/>
    <w:rsid w:val="00C13923"/>
    <w:rsid w:val="00C13E68"/>
    <w:rsid w:val="00C140F9"/>
    <w:rsid w:val="00C15506"/>
    <w:rsid w:val="00C15766"/>
    <w:rsid w:val="00C15B6F"/>
    <w:rsid w:val="00C16D6D"/>
    <w:rsid w:val="00C16D9B"/>
    <w:rsid w:val="00C177D3"/>
    <w:rsid w:val="00C17ABA"/>
    <w:rsid w:val="00C200F3"/>
    <w:rsid w:val="00C209CF"/>
    <w:rsid w:val="00C214C9"/>
    <w:rsid w:val="00C21BB8"/>
    <w:rsid w:val="00C220FA"/>
    <w:rsid w:val="00C227F2"/>
    <w:rsid w:val="00C2297F"/>
    <w:rsid w:val="00C22A04"/>
    <w:rsid w:val="00C22D08"/>
    <w:rsid w:val="00C235BF"/>
    <w:rsid w:val="00C24AF9"/>
    <w:rsid w:val="00C25232"/>
    <w:rsid w:val="00C253FD"/>
    <w:rsid w:val="00C2584A"/>
    <w:rsid w:val="00C259DB"/>
    <w:rsid w:val="00C25F88"/>
    <w:rsid w:val="00C26A91"/>
    <w:rsid w:val="00C26EB1"/>
    <w:rsid w:val="00C26EF8"/>
    <w:rsid w:val="00C27223"/>
    <w:rsid w:val="00C30207"/>
    <w:rsid w:val="00C30288"/>
    <w:rsid w:val="00C309DE"/>
    <w:rsid w:val="00C30CDE"/>
    <w:rsid w:val="00C31276"/>
    <w:rsid w:val="00C31BE0"/>
    <w:rsid w:val="00C32038"/>
    <w:rsid w:val="00C32DB9"/>
    <w:rsid w:val="00C32E98"/>
    <w:rsid w:val="00C333E4"/>
    <w:rsid w:val="00C33887"/>
    <w:rsid w:val="00C34380"/>
    <w:rsid w:val="00C347F5"/>
    <w:rsid w:val="00C34E39"/>
    <w:rsid w:val="00C3517A"/>
    <w:rsid w:val="00C35F1D"/>
    <w:rsid w:val="00C35FE5"/>
    <w:rsid w:val="00C365D3"/>
    <w:rsid w:val="00C3776B"/>
    <w:rsid w:val="00C37CC9"/>
    <w:rsid w:val="00C37D27"/>
    <w:rsid w:val="00C37E4B"/>
    <w:rsid w:val="00C4030B"/>
    <w:rsid w:val="00C40A9A"/>
    <w:rsid w:val="00C40D96"/>
    <w:rsid w:val="00C412A4"/>
    <w:rsid w:val="00C41384"/>
    <w:rsid w:val="00C4150E"/>
    <w:rsid w:val="00C41B50"/>
    <w:rsid w:val="00C41C71"/>
    <w:rsid w:val="00C425FC"/>
    <w:rsid w:val="00C4290C"/>
    <w:rsid w:val="00C42A90"/>
    <w:rsid w:val="00C430AB"/>
    <w:rsid w:val="00C43365"/>
    <w:rsid w:val="00C43C6A"/>
    <w:rsid w:val="00C4427B"/>
    <w:rsid w:val="00C44CF8"/>
    <w:rsid w:val="00C45B40"/>
    <w:rsid w:val="00C46E1A"/>
    <w:rsid w:val="00C505B0"/>
    <w:rsid w:val="00C50977"/>
    <w:rsid w:val="00C509EB"/>
    <w:rsid w:val="00C513C7"/>
    <w:rsid w:val="00C51400"/>
    <w:rsid w:val="00C5163C"/>
    <w:rsid w:val="00C51A43"/>
    <w:rsid w:val="00C521C0"/>
    <w:rsid w:val="00C52709"/>
    <w:rsid w:val="00C5272E"/>
    <w:rsid w:val="00C528BB"/>
    <w:rsid w:val="00C531DC"/>
    <w:rsid w:val="00C5387F"/>
    <w:rsid w:val="00C53A07"/>
    <w:rsid w:val="00C54017"/>
    <w:rsid w:val="00C552E5"/>
    <w:rsid w:val="00C55C3C"/>
    <w:rsid w:val="00C56280"/>
    <w:rsid w:val="00C562A5"/>
    <w:rsid w:val="00C578D8"/>
    <w:rsid w:val="00C579BC"/>
    <w:rsid w:val="00C608D3"/>
    <w:rsid w:val="00C61077"/>
    <w:rsid w:val="00C612F2"/>
    <w:rsid w:val="00C613AC"/>
    <w:rsid w:val="00C62356"/>
    <w:rsid w:val="00C625C8"/>
    <w:rsid w:val="00C62B78"/>
    <w:rsid w:val="00C6359B"/>
    <w:rsid w:val="00C63D92"/>
    <w:rsid w:val="00C641EC"/>
    <w:rsid w:val="00C64739"/>
    <w:rsid w:val="00C648E8"/>
    <w:rsid w:val="00C64CB7"/>
    <w:rsid w:val="00C64DF3"/>
    <w:rsid w:val="00C65C1C"/>
    <w:rsid w:val="00C65C44"/>
    <w:rsid w:val="00C66879"/>
    <w:rsid w:val="00C673F7"/>
    <w:rsid w:val="00C702C5"/>
    <w:rsid w:val="00C7076B"/>
    <w:rsid w:val="00C707D6"/>
    <w:rsid w:val="00C70A7B"/>
    <w:rsid w:val="00C711FA"/>
    <w:rsid w:val="00C71528"/>
    <w:rsid w:val="00C719FC"/>
    <w:rsid w:val="00C72088"/>
    <w:rsid w:val="00C720DA"/>
    <w:rsid w:val="00C74DC7"/>
    <w:rsid w:val="00C76E5F"/>
    <w:rsid w:val="00C76EAF"/>
    <w:rsid w:val="00C77792"/>
    <w:rsid w:val="00C77AFC"/>
    <w:rsid w:val="00C8041E"/>
    <w:rsid w:val="00C80479"/>
    <w:rsid w:val="00C806DD"/>
    <w:rsid w:val="00C80798"/>
    <w:rsid w:val="00C8168A"/>
    <w:rsid w:val="00C819C7"/>
    <w:rsid w:val="00C82779"/>
    <w:rsid w:val="00C833E7"/>
    <w:rsid w:val="00C8359F"/>
    <w:rsid w:val="00C83613"/>
    <w:rsid w:val="00C8365B"/>
    <w:rsid w:val="00C83660"/>
    <w:rsid w:val="00C83E6D"/>
    <w:rsid w:val="00C84205"/>
    <w:rsid w:val="00C84306"/>
    <w:rsid w:val="00C84380"/>
    <w:rsid w:val="00C848A5"/>
    <w:rsid w:val="00C84EE1"/>
    <w:rsid w:val="00C85952"/>
    <w:rsid w:val="00C85B18"/>
    <w:rsid w:val="00C85D17"/>
    <w:rsid w:val="00C862C5"/>
    <w:rsid w:val="00C865B2"/>
    <w:rsid w:val="00C8684B"/>
    <w:rsid w:val="00C86ED0"/>
    <w:rsid w:val="00C870D1"/>
    <w:rsid w:val="00C8765F"/>
    <w:rsid w:val="00C876EF"/>
    <w:rsid w:val="00C90127"/>
    <w:rsid w:val="00C901EE"/>
    <w:rsid w:val="00C90A67"/>
    <w:rsid w:val="00C9149D"/>
    <w:rsid w:val="00C92E7F"/>
    <w:rsid w:val="00C93134"/>
    <w:rsid w:val="00C9400F"/>
    <w:rsid w:val="00C9477B"/>
    <w:rsid w:val="00C94E51"/>
    <w:rsid w:val="00C9514C"/>
    <w:rsid w:val="00C95585"/>
    <w:rsid w:val="00C958AC"/>
    <w:rsid w:val="00C9628C"/>
    <w:rsid w:val="00C96A15"/>
    <w:rsid w:val="00C97442"/>
    <w:rsid w:val="00C977AA"/>
    <w:rsid w:val="00C97CDD"/>
    <w:rsid w:val="00CA004F"/>
    <w:rsid w:val="00CA036D"/>
    <w:rsid w:val="00CA0ACF"/>
    <w:rsid w:val="00CA205A"/>
    <w:rsid w:val="00CA28FA"/>
    <w:rsid w:val="00CA295E"/>
    <w:rsid w:val="00CA2DE6"/>
    <w:rsid w:val="00CA33B4"/>
    <w:rsid w:val="00CA391F"/>
    <w:rsid w:val="00CA3D26"/>
    <w:rsid w:val="00CA4E7E"/>
    <w:rsid w:val="00CA52C6"/>
    <w:rsid w:val="00CA5512"/>
    <w:rsid w:val="00CA56DE"/>
    <w:rsid w:val="00CA5739"/>
    <w:rsid w:val="00CA58CA"/>
    <w:rsid w:val="00CA5B26"/>
    <w:rsid w:val="00CA5EDF"/>
    <w:rsid w:val="00CA61A8"/>
    <w:rsid w:val="00CA6515"/>
    <w:rsid w:val="00CA67F7"/>
    <w:rsid w:val="00CA70A4"/>
    <w:rsid w:val="00CA73A7"/>
    <w:rsid w:val="00CA7862"/>
    <w:rsid w:val="00CA7B14"/>
    <w:rsid w:val="00CA7CF3"/>
    <w:rsid w:val="00CA7FC7"/>
    <w:rsid w:val="00CB034F"/>
    <w:rsid w:val="00CB04C9"/>
    <w:rsid w:val="00CB04EF"/>
    <w:rsid w:val="00CB0E0B"/>
    <w:rsid w:val="00CB11F8"/>
    <w:rsid w:val="00CB1239"/>
    <w:rsid w:val="00CB1308"/>
    <w:rsid w:val="00CB16F9"/>
    <w:rsid w:val="00CB1EE3"/>
    <w:rsid w:val="00CB2A35"/>
    <w:rsid w:val="00CB2E8A"/>
    <w:rsid w:val="00CB2F66"/>
    <w:rsid w:val="00CB3106"/>
    <w:rsid w:val="00CB43F2"/>
    <w:rsid w:val="00CB4587"/>
    <w:rsid w:val="00CB4935"/>
    <w:rsid w:val="00CB4C9B"/>
    <w:rsid w:val="00CB5CAF"/>
    <w:rsid w:val="00CB6153"/>
    <w:rsid w:val="00CB6AFF"/>
    <w:rsid w:val="00CB6FD5"/>
    <w:rsid w:val="00CB70C4"/>
    <w:rsid w:val="00CB7632"/>
    <w:rsid w:val="00CB77C1"/>
    <w:rsid w:val="00CC0407"/>
    <w:rsid w:val="00CC0A17"/>
    <w:rsid w:val="00CC0CFA"/>
    <w:rsid w:val="00CC0E2A"/>
    <w:rsid w:val="00CC206D"/>
    <w:rsid w:val="00CC24AA"/>
    <w:rsid w:val="00CC285C"/>
    <w:rsid w:val="00CC3A82"/>
    <w:rsid w:val="00CC3F78"/>
    <w:rsid w:val="00CC4857"/>
    <w:rsid w:val="00CC5564"/>
    <w:rsid w:val="00CC55EF"/>
    <w:rsid w:val="00CC5F56"/>
    <w:rsid w:val="00CC6714"/>
    <w:rsid w:val="00CC67C5"/>
    <w:rsid w:val="00CC7124"/>
    <w:rsid w:val="00CC72B9"/>
    <w:rsid w:val="00CC7339"/>
    <w:rsid w:val="00CC7598"/>
    <w:rsid w:val="00CD03F5"/>
    <w:rsid w:val="00CD0B8B"/>
    <w:rsid w:val="00CD1697"/>
    <w:rsid w:val="00CD1A2B"/>
    <w:rsid w:val="00CD1CBD"/>
    <w:rsid w:val="00CD23ED"/>
    <w:rsid w:val="00CD2DF3"/>
    <w:rsid w:val="00CD2F63"/>
    <w:rsid w:val="00CD4718"/>
    <w:rsid w:val="00CD4AB4"/>
    <w:rsid w:val="00CD5000"/>
    <w:rsid w:val="00CD53C9"/>
    <w:rsid w:val="00CD5574"/>
    <w:rsid w:val="00CD5D2F"/>
    <w:rsid w:val="00CD64E0"/>
    <w:rsid w:val="00CD66DD"/>
    <w:rsid w:val="00CD6DED"/>
    <w:rsid w:val="00CD7350"/>
    <w:rsid w:val="00CD74DA"/>
    <w:rsid w:val="00CD7928"/>
    <w:rsid w:val="00CE02EA"/>
    <w:rsid w:val="00CE0681"/>
    <w:rsid w:val="00CE0C30"/>
    <w:rsid w:val="00CE0E44"/>
    <w:rsid w:val="00CE101F"/>
    <w:rsid w:val="00CE1CFC"/>
    <w:rsid w:val="00CE2EEE"/>
    <w:rsid w:val="00CE34FE"/>
    <w:rsid w:val="00CE356B"/>
    <w:rsid w:val="00CE35B2"/>
    <w:rsid w:val="00CE3928"/>
    <w:rsid w:val="00CE40A2"/>
    <w:rsid w:val="00CE4144"/>
    <w:rsid w:val="00CE48BE"/>
    <w:rsid w:val="00CE4A00"/>
    <w:rsid w:val="00CE4BA4"/>
    <w:rsid w:val="00CE50AF"/>
    <w:rsid w:val="00CE512E"/>
    <w:rsid w:val="00CE58E1"/>
    <w:rsid w:val="00CE5E24"/>
    <w:rsid w:val="00CE6ADB"/>
    <w:rsid w:val="00CE6F64"/>
    <w:rsid w:val="00CE6F6A"/>
    <w:rsid w:val="00CE74AD"/>
    <w:rsid w:val="00CE76D3"/>
    <w:rsid w:val="00CE7D0F"/>
    <w:rsid w:val="00CF0247"/>
    <w:rsid w:val="00CF0855"/>
    <w:rsid w:val="00CF1A56"/>
    <w:rsid w:val="00CF275A"/>
    <w:rsid w:val="00CF2F08"/>
    <w:rsid w:val="00CF32E1"/>
    <w:rsid w:val="00CF417A"/>
    <w:rsid w:val="00CF41A7"/>
    <w:rsid w:val="00CF48D9"/>
    <w:rsid w:val="00CF5B16"/>
    <w:rsid w:val="00CF5D59"/>
    <w:rsid w:val="00CF5E18"/>
    <w:rsid w:val="00CF612C"/>
    <w:rsid w:val="00CF6318"/>
    <w:rsid w:val="00CF68A5"/>
    <w:rsid w:val="00CF6FC8"/>
    <w:rsid w:val="00CF704C"/>
    <w:rsid w:val="00CF7707"/>
    <w:rsid w:val="00D006AB"/>
    <w:rsid w:val="00D01716"/>
    <w:rsid w:val="00D01CAE"/>
    <w:rsid w:val="00D03018"/>
    <w:rsid w:val="00D033BD"/>
    <w:rsid w:val="00D03698"/>
    <w:rsid w:val="00D03BC8"/>
    <w:rsid w:val="00D03CCF"/>
    <w:rsid w:val="00D03F69"/>
    <w:rsid w:val="00D048BD"/>
    <w:rsid w:val="00D048EA"/>
    <w:rsid w:val="00D05340"/>
    <w:rsid w:val="00D0555B"/>
    <w:rsid w:val="00D05A3D"/>
    <w:rsid w:val="00D05BDD"/>
    <w:rsid w:val="00D06101"/>
    <w:rsid w:val="00D06822"/>
    <w:rsid w:val="00D06AF4"/>
    <w:rsid w:val="00D06D0B"/>
    <w:rsid w:val="00D07230"/>
    <w:rsid w:val="00D1024C"/>
    <w:rsid w:val="00D110FB"/>
    <w:rsid w:val="00D11BD2"/>
    <w:rsid w:val="00D1241C"/>
    <w:rsid w:val="00D12671"/>
    <w:rsid w:val="00D12DAE"/>
    <w:rsid w:val="00D12EAF"/>
    <w:rsid w:val="00D12FA8"/>
    <w:rsid w:val="00D13D93"/>
    <w:rsid w:val="00D13F85"/>
    <w:rsid w:val="00D13FD7"/>
    <w:rsid w:val="00D1421B"/>
    <w:rsid w:val="00D14B0F"/>
    <w:rsid w:val="00D14D08"/>
    <w:rsid w:val="00D14DB7"/>
    <w:rsid w:val="00D15395"/>
    <w:rsid w:val="00D158E3"/>
    <w:rsid w:val="00D15C03"/>
    <w:rsid w:val="00D16316"/>
    <w:rsid w:val="00D173BF"/>
    <w:rsid w:val="00D177F5"/>
    <w:rsid w:val="00D17F2E"/>
    <w:rsid w:val="00D20517"/>
    <w:rsid w:val="00D20668"/>
    <w:rsid w:val="00D20E2A"/>
    <w:rsid w:val="00D216F7"/>
    <w:rsid w:val="00D2221E"/>
    <w:rsid w:val="00D223B5"/>
    <w:rsid w:val="00D22642"/>
    <w:rsid w:val="00D22775"/>
    <w:rsid w:val="00D22B3E"/>
    <w:rsid w:val="00D2316F"/>
    <w:rsid w:val="00D2327A"/>
    <w:rsid w:val="00D2373C"/>
    <w:rsid w:val="00D24344"/>
    <w:rsid w:val="00D2499E"/>
    <w:rsid w:val="00D24D8B"/>
    <w:rsid w:val="00D24DB6"/>
    <w:rsid w:val="00D25C98"/>
    <w:rsid w:val="00D25DD9"/>
    <w:rsid w:val="00D26030"/>
    <w:rsid w:val="00D260C4"/>
    <w:rsid w:val="00D264A0"/>
    <w:rsid w:val="00D26540"/>
    <w:rsid w:val="00D2718C"/>
    <w:rsid w:val="00D272C5"/>
    <w:rsid w:val="00D2731A"/>
    <w:rsid w:val="00D27EFA"/>
    <w:rsid w:val="00D3001E"/>
    <w:rsid w:val="00D30723"/>
    <w:rsid w:val="00D3128F"/>
    <w:rsid w:val="00D31753"/>
    <w:rsid w:val="00D31D38"/>
    <w:rsid w:val="00D31FA9"/>
    <w:rsid w:val="00D326DD"/>
    <w:rsid w:val="00D3454D"/>
    <w:rsid w:val="00D35169"/>
    <w:rsid w:val="00D35A3C"/>
    <w:rsid w:val="00D35C12"/>
    <w:rsid w:val="00D362BA"/>
    <w:rsid w:val="00D36418"/>
    <w:rsid w:val="00D3672F"/>
    <w:rsid w:val="00D36E45"/>
    <w:rsid w:val="00D3742A"/>
    <w:rsid w:val="00D37E18"/>
    <w:rsid w:val="00D4006D"/>
    <w:rsid w:val="00D400AF"/>
    <w:rsid w:val="00D401CD"/>
    <w:rsid w:val="00D4078E"/>
    <w:rsid w:val="00D40FDA"/>
    <w:rsid w:val="00D4197D"/>
    <w:rsid w:val="00D41D16"/>
    <w:rsid w:val="00D42180"/>
    <w:rsid w:val="00D42A72"/>
    <w:rsid w:val="00D43050"/>
    <w:rsid w:val="00D43A38"/>
    <w:rsid w:val="00D43A93"/>
    <w:rsid w:val="00D43B16"/>
    <w:rsid w:val="00D43EFC"/>
    <w:rsid w:val="00D43FB4"/>
    <w:rsid w:val="00D440C8"/>
    <w:rsid w:val="00D44461"/>
    <w:rsid w:val="00D44DFC"/>
    <w:rsid w:val="00D44E13"/>
    <w:rsid w:val="00D44E2F"/>
    <w:rsid w:val="00D44FB2"/>
    <w:rsid w:val="00D450C5"/>
    <w:rsid w:val="00D45527"/>
    <w:rsid w:val="00D45631"/>
    <w:rsid w:val="00D45C5F"/>
    <w:rsid w:val="00D46156"/>
    <w:rsid w:val="00D461AA"/>
    <w:rsid w:val="00D46F98"/>
    <w:rsid w:val="00D47A23"/>
    <w:rsid w:val="00D47A65"/>
    <w:rsid w:val="00D47CF7"/>
    <w:rsid w:val="00D505C5"/>
    <w:rsid w:val="00D508C6"/>
    <w:rsid w:val="00D50C9A"/>
    <w:rsid w:val="00D51C59"/>
    <w:rsid w:val="00D51D90"/>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024"/>
    <w:rsid w:val="00D575E1"/>
    <w:rsid w:val="00D57898"/>
    <w:rsid w:val="00D57F8E"/>
    <w:rsid w:val="00D604DC"/>
    <w:rsid w:val="00D60672"/>
    <w:rsid w:val="00D61069"/>
    <w:rsid w:val="00D61A6D"/>
    <w:rsid w:val="00D61BF6"/>
    <w:rsid w:val="00D61C4E"/>
    <w:rsid w:val="00D628F9"/>
    <w:rsid w:val="00D63560"/>
    <w:rsid w:val="00D635B2"/>
    <w:rsid w:val="00D636C6"/>
    <w:rsid w:val="00D63860"/>
    <w:rsid w:val="00D63ABC"/>
    <w:rsid w:val="00D63B9B"/>
    <w:rsid w:val="00D63CBA"/>
    <w:rsid w:val="00D647A3"/>
    <w:rsid w:val="00D647AC"/>
    <w:rsid w:val="00D6525D"/>
    <w:rsid w:val="00D65646"/>
    <w:rsid w:val="00D6606A"/>
    <w:rsid w:val="00D6677D"/>
    <w:rsid w:val="00D66793"/>
    <w:rsid w:val="00D66B01"/>
    <w:rsid w:val="00D677EE"/>
    <w:rsid w:val="00D67A31"/>
    <w:rsid w:val="00D67D1F"/>
    <w:rsid w:val="00D7075F"/>
    <w:rsid w:val="00D70C4F"/>
    <w:rsid w:val="00D71083"/>
    <w:rsid w:val="00D7152B"/>
    <w:rsid w:val="00D716E9"/>
    <w:rsid w:val="00D72A98"/>
    <w:rsid w:val="00D72DC5"/>
    <w:rsid w:val="00D73060"/>
    <w:rsid w:val="00D735A7"/>
    <w:rsid w:val="00D73BAE"/>
    <w:rsid w:val="00D7407B"/>
    <w:rsid w:val="00D74416"/>
    <w:rsid w:val="00D748C5"/>
    <w:rsid w:val="00D74D4C"/>
    <w:rsid w:val="00D74F67"/>
    <w:rsid w:val="00D74F73"/>
    <w:rsid w:val="00D75548"/>
    <w:rsid w:val="00D75AE1"/>
    <w:rsid w:val="00D76CAE"/>
    <w:rsid w:val="00D7704D"/>
    <w:rsid w:val="00D77BA4"/>
    <w:rsid w:val="00D77E38"/>
    <w:rsid w:val="00D77FE0"/>
    <w:rsid w:val="00D802AA"/>
    <w:rsid w:val="00D81321"/>
    <w:rsid w:val="00D8164C"/>
    <w:rsid w:val="00D81657"/>
    <w:rsid w:val="00D81CEF"/>
    <w:rsid w:val="00D81E90"/>
    <w:rsid w:val="00D81EA4"/>
    <w:rsid w:val="00D82287"/>
    <w:rsid w:val="00D829A3"/>
    <w:rsid w:val="00D82A59"/>
    <w:rsid w:val="00D82B48"/>
    <w:rsid w:val="00D82B84"/>
    <w:rsid w:val="00D831EA"/>
    <w:rsid w:val="00D837CB"/>
    <w:rsid w:val="00D83AE3"/>
    <w:rsid w:val="00D84610"/>
    <w:rsid w:val="00D84A39"/>
    <w:rsid w:val="00D85357"/>
    <w:rsid w:val="00D85561"/>
    <w:rsid w:val="00D8558E"/>
    <w:rsid w:val="00D857D4"/>
    <w:rsid w:val="00D86072"/>
    <w:rsid w:val="00D8610E"/>
    <w:rsid w:val="00D87560"/>
    <w:rsid w:val="00D87CF7"/>
    <w:rsid w:val="00D90D99"/>
    <w:rsid w:val="00D9189B"/>
    <w:rsid w:val="00D91C72"/>
    <w:rsid w:val="00D91D88"/>
    <w:rsid w:val="00D91E4E"/>
    <w:rsid w:val="00D93948"/>
    <w:rsid w:val="00D94054"/>
    <w:rsid w:val="00D945F6"/>
    <w:rsid w:val="00D94EB2"/>
    <w:rsid w:val="00D9541E"/>
    <w:rsid w:val="00D9547F"/>
    <w:rsid w:val="00D95568"/>
    <w:rsid w:val="00D9559C"/>
    <w:rsid w:val="00D963D5"/>
    <w:rsid w:val="00D964F1"/>
    <w:rsid w:val="00D966D0"/>
    <w:rsid w:val="00D96BC4"/>
    <w:rsid w:val="00DA0260"/>
    <w:rsid w:val="00DA046C"/>
    <w:rsid w:val="00DA0A6C"/>
    <w:rsid w:val="00DA0F6F"/>
    <w:rsid w:val="00DA0FFE"/>
    <w:rsid w:val="00DA1394"/>
    <w:rsid w:val="00DA1780"/>
    <w:rsid w:val="00DA20F6"/>
    <w:rsid w:val="00DA2289"/>
    <w:rsid w:val="00DA2BA0"/>
    <w:rsid w:val="00DA2D4A"/>
    <w:rsid w:val="00DA2E0B"/>
    <w:rsid w:val="00DA3149"/>
    <w:rsid w:val="00DA3605"/>
    <w:rsid w:val="00DA3A0D"/>
    <w:rsid w:val="00DA40B2"/>
    <w:rsid w:val="00DA42C2"/>
    <w:rsid w:val="00DA4876"/>
    <w:rsid w:val="00DA497F"/>
    <w:rsid w:val="00DA4C57"/>
    <w:rsid w:val="00DA4E40"/>
    <w:rsid w:val="00DA5243"/>
    <w:rsid w:val="00DA538C"/>
    <w:rsid w:val="00DA5CFF"/>
    <w:rsid w:val="00DA5E33"/>
    <w:rsid w:val="00DA6233"/>
    <w:rsid w:val="00DA6710"/>
    <w:rsid w:val="00DA6765"/>
    <w:rsid w:val="00DA6A67"/>
    <w:rsid w:val="00DA6EBA"/>
    <w:rsid w:val="00DB03E4"/>
    <w:rsid w:val="00DB06C6"/>
    <w:rsid w:val="00DB0B9B"/>
    <w:rsid w:val="00DB1198"/>
    <w:rsid w:val="00DB11B4"/>
    <w:rsid w:val="00DB13A8"/>
    <w:rsid w:val="00DB17E6"/>
    <w:rsid w:val="00DB200B"/>
    <w:rsid w:val="00DB22F4"/>
    <w:rsid w:val="00DB2F0A"/>
    <w:rsid w:val="00DB300B"/>
    <w:rsid w:val="00DB3473"/>
    <w:rsid w:val="00DB3A63"/>
    <w:rsid w:val="00DB47E7"/>
    <w:rsid w:val="00DB5E1E"/>
    <w:rsid w:val="00DB6EAA"/>
    <w:rsid w:val="00DB7531"/>
    <w:rsid w:val="00DB756F"/>
    <w:rsid w:val="00DB7B3A"/>
    <w:rsid w:val="00DC0D3E"/>
    <w:rsid w:val="00DC16C1"/>
    <w:rsid w:val="00DC1BFB"/>
    <w:rsid w:val="00DC1C09"/>
    <w:rsid w:val="00DC27BA"/>
    <w:rsid w:val="00DC307B"/>
    <w:rsid w:val="00DC3582"/>
    <w:rsid w:val="00DC3B36"/>
    <w:rsid w:val="00DC4379"/>
    <w:rsid w:val="00DC54DE"/>
    <w:rsid w:val="00DC59F0"/>
    <w:rsid w:val="00DC65AB"/>
    <w:rsid w:val="00DC7B9F"/>
    <w:rsid w:val="00DD060C"/>
    <w:rsid w:val="00DD075B"/>
    <w:rsid w:val="00DD111C"/>
    <w:rsid w:val="00DD13FA"/>
    <w:rsid w:val="00DD17AB"/>
    <w:rsid w:val="00DD194A"/>
    <w:rsid w:val="00DD1D07"/>
    <w:rsid w:val="00DD1EA5"/>
    <w:rsid w:val="00DD2889"/>
    <w:rsid w:val="00DD2DD2"/>
    <w:rsid w:val="00DD36F6"/>
    <w:rsid w:val="00DD421A"/>
    <w:rsid w:val="00DD42FC"/>
    <w:rsid w:val="00DD4633"/>
    <w:rsid w:val="00DD46E1"/>
    <w:rsid w:val="00DD4D7B"/>
    <w:rsid w:val="00DD4E39"/>
    <w:rsid w:val="00DD56A3"/>
    <w:rsid w:val="00DD5B72"/>
    <w:rsid w:val="00DD656D"/>
    <w:rsid w:val="00DD6FC3"/>
    <w:rsid w:val="00DD7458"/>
    <w:rsid w:val="00DD7A21"/>
    <w:rsid w:val="00DD7A78"/>
    <w:rsid w:val="00DD7C74"/>
    <w:rsid w:val="00DE0B42"/>
    <w:rsid w:val="00DE0CF3"/>
    <w:rsid w:val="00DE103C"/>
    <w:rsid w:val="00DE1802"/>
    <w:rsid w:val="00DE2335"/>
    <w:rsid w:val="00DE2962"/>
    <w:rsid w:val="00DE2BF5"/>
    <w:rsid w:val="00DE327C"/>
    <w:rsid w:val="00DE3758"/>
    <w:rsid w:val="00DE465D"/>
    <w:rsid w:val="00DE481F"/>
    <w:rsid w:val="00DE4EF1"/>
    <w:rsid w:val="00DE5013"/>
    <w:rsid w:val="00DE5239"/>
    <w:rsid w:val="00DE553A"/>
    <w:rsid w:val="00DE595A"/>
    <w:rsid w:val="00DE5D2F"/>
    <w:rsid w:val="00DE6A62"/>
    <w:rsid w:val="00DE794E"/>
    <w:rsid w:val="00DE7BBF"/>
    <w:rsid w:val="00DF125C"/>
    <w:rsid w:val="00DF1899"/>
    <w:rsid w:val="00DF1DCF"/>
    <w:rsid w:val="00DF2DCF"/>
    <w:rsid w:val="00DF34D0"/>
    <w:rsid w:val="00DF49F3"/>
    <w:rsid w:val="00DF4B5F"/>
    <w:rsid w:val="00DF5023"/>
    <w:rsid w:val="00DF533B"/>
    <w:rsid w:val="00DF55DD"/>
    <w:rsid w:val="00DF5689"/>
    <w:rsid w:val="00DF602A"/>
    <w:rsid w:val="00DF6158"/>
    <w:rsid w:val="00DF6AD0"/>
    <w:rsid w:val="00DF6BF7"/>
    <w:rsid w:val="00DF7736"/>
    <w:rsid w:val="00E00218"/>
    <w:rsid w:val="00E005CA"/>
    <w:rsid w:val="00E00B3D"/>
    <w:rsid w:val="00E00F9E"/>
    <w:rsid w:val="00E01101"/>
    <w:rsid w:val="00E01162"/>
    <w:rsid w:val="00E0153B"/>
    <w:rsid w:val="00E0217C"/>
    <w:rsid w:val="00E02327"/>
    <w:rsid w:val="00E024ED"/>
    <w:rsid w:val="00E0283B"/>
    <w:rsid w:val="00E02875"/>
    <w:rsid w:val="00E03C37"/>
    <w:rsid w:val="00E03F29"/>
    <w:rsid w:val="00E04DD8"/>
    <w:rsid w:val="00E04FA1"/>
    <w:rsid w:val="00E05285"/>
    <w:rsid w:val="00E054E7"/>
    <w:rsid w:val="00E05AF9"/>
    <w:rsid w:val="00E05EDF"/>
    <w:rsid w:val="00E06B53"/>
    <w:rsid w:val="00E06C2F"/>
    <w:rsid w:val="00E06C8C"/>
    <w:rsid w:val="00E07387"/>
    <w:rsid w:val="00E07477"/>
    <w:rsid w:val="00E0750E"/>
    <w:rsid w:val="00E100C5"/>
    <w:rsid w:val="00E1035B"/>
    <w:rsid w:val="00E103DB"/>
    <w:rsid w:val="00E1062B"/>
    <w:rsid w:val="00E10C45"/>
    <w:rsid w:val="00E10D05"/>
    <w:rsid w:val="00E10D93"/>
    <w:rsid w:val="00E110FB"/>
    <w:rsid w:val="00E115B1"/>
    <w:rsid w:val="00E11C32"/>
    <w:rsid w:val="00E121A5"/>
    <w:rsid w:val="00E125CE"/>
    <w:rsid w:val="00E13616"/>
    <w:rsid w:val="00E1367B"/>
    <w:rsid w:val="00E14237"/>
    <w:rsid w:val="00E1533F"/>
    <w:rsid w:val="00E161CE"/>
    <w:rsid w:val="00E1641B"/>
    <w:rsid w:val="00E1652B"/>
    <w:rsid w:val="00E167F2"/>
    <w:rsid w:val="00E167F4"/>
    <w:rsid w:val="00E17719"/>
    <w:rsid w:val="00E17900"/>
    <w:rsid w:val="00E17A06"/>
    <w:rsid w:val="00E17A48"/>
    <w:rsid w:val="00E2081A"/>
    <w:rsid w:val="00E20822"/>
    <w:rsid w:val="00E214A5"/>
    <w:rsid w:val="00E21DE9"/>
    <w:rsid w:val="00E2247D"/>
    <w:rsid w:val="00E238D6"/>
    <w:rsid w:val="00E241F6"/>
    <w:rsid w:val="00E24241"/>
    <w:rsid w:val="00E2507A"/>
    <w:rsid w:val="00E257E7"/>
    <w:rsid w:val="00E25AB3"/>
    <w:rsid w:val="00E26017"/>
    <w:rsid w:val="00E27163"/>
    <w:rsid w:val="00E276EA"/>
    <w:rsid w:val="00E27AFE"/>
    <w:rsid w:val="00E309AD"/>
    <w:rsid w:val="00E30EA8"/>
    <w:rsid w:val="00E313C4"/>
    <w:rsid w:val="00E31A47"/>
    <w:rsid w:val="00E31D6C"/>
    <w:rsid w:val="00E31E0E"/>
    <w:rsid w:val="00E322F6"/>
    <w:rsid w:val="00E3235C"/>
    <w:rsid w:val="00E32604"/>
    <w:rsid w:val="00E32F8E"/>
    <w:rsid w:val="00E333AF"/>
    <w:rsid w:val="00E3432C"/>
    <w:rsid w:val="00E348AE"/>
    <w:rsid w:val="00E3593E"/>
    <w:rsid w:val="00E35CF0"/>
    <w:rsid w:val="00E35FFB"/>
    <w:rsid w:val="00E36FBF"/>
    <w:rsid w:val="00E378BD"/>
    <w:rsid w:val="00E379A1"/>
    <w:rsid w:val="00E37CD6"/>
    <w:rsid w:val="00E37CED"/>
    <w:rsid w:val="00E40C33"/>
    <w:rsid w:val="00E41149"/>
    <w:rsid w:val="00E4118F"/>
    <w:rsid w:val="00E415AE"/>
    <w:rsid w:val="00E415EB"/>
    <w:rsid w:val="00E41AE2"/>
    <w:rsid w:val="00E41DD8"/>
    <w:rsid w:val="00E423B3"/>
    <w:rsid w:val="00E4242E"/>
    <w:rsid w:val="00E424E0"/>
    <w:rsid w:val="00E425B9"/>
    <w:rsid w:val="00E42CEE"/>
    <w:rsid w:val="00E42EAC"/>
    <w:rsid w:val="00E43A1C"/>
    <w:rsid w:val="00E4400C"/>
    <w:rsid w:val="00E445BC"/>
    <w:rsid w:val="00E45043"/>
    <w:rsid w:val="00E45080"/>
    <w:rsid w:val="00E45554"/>
    <w:rsid w:val="00E45840"/>
    <w:rsid w:val="00E476AA"/>
    <w:rsid w:val="00E47DF4"/>
    <w:rsid w:val="00E505CC"/>
    <w:rsid w:val="00E50803"/>
    <w:rsid w:val="00E50A07"/>
    <w:rsid w:val="00E50BE7"/>
    <w:rsid w:val="00E51A73"/>
    <w:rsid w:val="00E51DC2"/>
    <w:rsid w:val="00E51EAE"/>
    <w:rsid w:val="00E522F7"/>
    <w:rsid w:val="00E52D2D"/>
    <w:rsid w:val="00E5335C"/>
    <w:rsid w:val="00E54D7C"/>
    <w:rsid w:val="00E5584F"/>
    <w:rsid w:val="00E55BF8"/>
    <w:rsid w:val="00E55D5E"/>
    <w:rsid w:val="00E55E0E"/>
    <w:rsid w:val="00E5691B"/>
    <w:rsid w:val="00E56C37"/>
    <w:rsid w:val="00E56E47"/>
    <w:rsid w:val="00E57262"/>
    <w:rsid w:val="00E60044"/>
    <w:rsid w:val="00E6051B"/>
    <w:rsid w:val="00E61B8B"/>
    <w:rsid w:val="00E61D00"/>
    <w:rsid w:val="00E62CB9"/>
    <w:rsid w:val="00E6322A"/>
    <w:rsid w:val="00E634EB"/>
    <w:rsid w:val="00E63713"/>
    <w:rsid w:val="00E63CBD"/>
    <w:rsid w:val="00E63D03"/>
    <w:rsid w:val="00E65101"/>
    <w:rsid w:val="00E65786"/>
    <w:rsid w:val="00E663D6"/>
    <w:rsid w:val="00E663DD"/>
    <w:rsid w:val="00E6647A"/>
    <w:rsid w:val="00E66C34"/>
    <w:rsid w:val="00E66FFE"/>
    <w:rsid w:val="00E679EC"/>
    <w:rsid w:val="00E70081"/>
    <w:rsid w:val="00E709CC"/>
    <w:rsid w:val="00E71B98"/>
    <w:rsid w:val="00E71BD6"/>
    <w:rsid w:val="00E722E5"/>
    <w:rsid w:val="00E724B2"/>
    <w:rsid w:val="00E72684"/>
    <w:rsid w:val="00E727C9"/>
    <w:rsid w:val="00E72C96"/>
    <w:rsid w:val="00E738E5"/>
    <w:rsid w:val="00E73AD4"/>
    <w:rsid w:val="00E7410E"/>
    <w:rsid w:val="00E74195"/>
    <w:rsid w:val="00E7478C"/>
    <w:rsid w:val="00E747F2"/>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1287"/>
    <w:rsid w:val="00E812E6"/>
    <w:rsid w:val="00E8227A"/>
    <w:rsid w:val="00E825C1"/>
    <w:rsid w:val="00E82B9C"/>
    <w:rsid w:val="00E837FE"/>
    <w:rsid w:val="00E854F1"/>
    <w:rsid w:val="00E85509"/>
    <w:rsid w:val="00E85903"/>
    <w:rsid w:val="00E8590C"/>
    <w:rsid w:val="00E85DB7"/>
    <w:rsid w:val="00E871D0"/>
    <w:rsid w:val="00E87379"/>
    <w:rsid w:val="00E8740E"/>
    <w:rsid w:val="00E90632"/>
    <w:rsid w:val="00E90E96"/>
    <w:rsid w:val="00E91533"/>
    <w:rsid w:val="00E9287A"/>
    <w:rsid w:val="00E936D5"/>
    <w:rsid w:val="00E939C2"/>
    <w:rsid w:val="00E9460D"/>
    <w:rsid w:val="00E94660"/>
    <w:rsid w:val="00E94E05"/>
    <w:rsid w:val="00E95242"/>
    <w:rsid w:val="00E9542B"/>
    <w:rsid w:val="00E95BB5"/>
    <w:rsid w:val="00E95F6E"/>
    <w:rsid w:val="00E96087"/>
    <w:rsid w:val="00E96FE8"/>
    <w:rsid w:val="00E976B3"/>
    <w:rsid w:val="00E97BEA"/>
    <w:rsid w:val="00EA010E"/>
    <w:rsid w:val="00EA0261"/>
    <w:rsid w:val="00EA03A7"/>
    <w:rsid w:val="00EA0541"/>
    <w:rsid w:val="00EA0B08"/>
    <w:rsid w:val="00EA0B7F"/>
    <w:rsid w:val="00EA0D99"/>
    <w:rsid w:val="00EA10D9"/>
    <w:rsid w:val="00EA14C0"/>
    <w:rsid w:val="00EA20CA"/>
    <w:rsid w:val="00EA2178"/>
    <w:rsid w:val="00EA29D4"/>
    <w:rsid w:val="00EA29F2"/>
    <w:rsid w:val="00EA2CD3"/>
    <w:rsid w:val="00EA38B3"/>
    <w:rsid w:val="00EA38C4"/>
    <w:rsid w:val="00EA3C99"/>
    <w:rsid w:val="00EA43C2"/>
    <w:rsid w:val="00EA45A9"/>
    <w:rsid w:val="00EA45FF"/>
    <w:rsid w:val="00EA48ED"/>
    <w:rsid w:val="00EA51A1"/>
    <w:rsid w:val="00EA5759"/>
    <w:rsid w:val="00EA592A"/>
    <w:rsid w:val="00EA5EC0"/>
    <w:rsid w:val="00EA5FDD"/>
    <w:rsid w:val="00EA622E"/>
    <w:rsid w:val="00EA680B"/>
    <w:rsid w:val="00EA6BE3"/>
    <w:rsid w:val="00EA7344"/>
    <w:rsid w:val="00EA7749"/>
    <w:rsid w:val="00EA7B1F"/>
    <w:rsid w:val="00EB0EE4"/>
    <w:rsid w:val="00EB1BA2"/>
    <w:rsid w:val="00EB2139"/>
    <w:rsid w:val="00EB27E8"/>
    <w:rsid w:val="00EB29FF"/>
    <w:rsid w:val="00EB2BB8"/>
    <w:rsid w:val="00EB2C8E"/>
    <w:rsid w:val="00EB4146"/>
    <w:rsid w:val="00EB458D"/>
    <w:rsid w:val="00EB4990"/>
    <w:rsid w:val="00EB5374"/>
    <w:rsid w:val="00EB59E0"/>
    <w:rsid w:val="00EB68AC"/>
    <w:rsid w:val="00EB6CED"/>
    <w:rsid w:val="00EC0804"/>
    <w:rsid w:val="00EC0C3B"/>
    <w:rsid w:val="00EC1101"/>
    <w:rsid w:val="00EC114A"/>
    <w:rsid w:val="00EC18E0"/>
    <w:rsid w:val="00EC1968"/>
    <w:rsid w:val="00EC1A71"/>
    <w:rsid w:val="00EC1B92"/>
    <w:rsid w:val="00EC1C39"/>
    <w:rsid w:val="00EC1F39"/>
    <w:rsid w:val="00EC2495"/>
    <w:rsid w:val="00EC266D"/>
    <w:rsid w:val="00EC2D21"/>
    <w:rsid w:val="00EC332B"/>
    <w:rsid w:val="00EC3337"/>
    <w:rsid w:val="00EC390C"/>
    <w:rsid w:val="00EC3C07"/>
    <w:rsid w:val="00EC40CE"/>
    <w:rsid w:val="00EC40E3"/>
    <w:rsid w:val="00EC45B6"/>
    <w:rsid w:val="00EC4F13"/>
    <w:rsid w:val="00EC54EC"/>
    <w:rsid w:val="00EC578A"/>
    <w:rsid w:val="00EC6436"/>
    <w:rsid w:val="00EC67A0"/>
    <w:rsid w:val="00EC692E"/>
    <w:rsid w:val="00EC7138"/>
    <w:rsid w:val="00EC7677"/>
    <w:rsid w:val="00ED020C"/>
    <w:rsid w:val="00ED0DAE"/>
    <w:rsid w:val="00ED1058"/>
    <w:rsid w:val="00ED10F1"/>
    <w:rsid w:val="00ED194C"/>
    <w:rsid w:val="00ED2183"/>
    <w:rsid w:val="00ED25F0"/>
    <w:rsid w:val="00ED2AEB"/>
    <w:rsid w:val="00ED31FF"/>
    <w:rsid w:val="00ED3450"/>
    <w:rsid w:val="00ED37D8"/>
    <w:rsid w:val="00ED3D3F"/>
    <w:rsid w:val="00ED412B"/>
    <w:rsid w:val="00ED431B"/>
    <w:rsid w:val="00ED43A5"/>
    <w:rsid w:val="00ED5110"/>
    <w:rsid w:val="00ED57FE"/>
    <w:rsid w:val="00ED5DF4"/>
    <w:rsid w:val="00ED67AD"/>
    <w:rsid w:val="00ED67B8"/>
    <w:rsid w:val="00ED6C3B"/>
    <w:rsid w:val="00ED712A"/>
    <w:rsid w:val="00ED75CF"/>
    <w:rsid w:val="00ED7679"/>
    <w:rsid w:val="00ED7695"/>
    <w:rsid w:val="00ED7716"/>
    <w:rsid w:val="00ED7961"/>
    <w:rsid w:val="00ED79A9"/>
    <w:rsid w:val="00EE04F5"/>
    <w:rsid w:val="00EE0823"/>
    <w:rsid w:val="00EE082F"/>
    <w:rsid w:val="00EE0FF7"/>
    <w:rsid w:val="00EE1CBE"/>
    <w:rsid w:val="00EE22A0"/>
    <w:rsid w:val="00EE2EDC"/>
    <w:rsid w:val="00EE3D59"/>
    <w:rsid w:val="00EE42A7"/>
    <w:rsid w:val="00EE4BD1"/>
    <w:rsid w:val="00EE4CD7"/>
    <w:rsid w:val="00EE4E08"/>
    <w:rsid w:val="00EE50C5"/>
    <w:rsid w:val="00EE5934"/>
    <w:rsid w:val="00EE6A6E"/>
    <w:rsid w:val="00EE6FCF"/>
    <w:rsid w:val="00EE72DC"/>
    <w:rsid w:val="00EE73C5"/>
    <w:rsid w:val="00EF016F"/>
    <w:rsid w:val="00EF01AC"/>
    <w:rsid w:val="00EF0A34"/>
    <w:rsid w:val="00EF0A75"/>
    <w:rsid w:val="00EF1EB8"/>
    <w:rsid w:val="00EF23C2"/>
    <w:rsid w:val="00EF23EE"/>
    <w:rsid w:val="00EF4488"/>
    <w:rsid w:val="00EF4A3D"/>
    <w:rsid w:val="00EF54EB"/>
    <w:rsid w:val="00EF55A5"/>
    <w:rsid w:val="00EF58F2"/>
    <w:rsid w:val="00EF623C"/>
    <w:rsid w:val="00EF6CF2"/>
    <w:rsid w:val="00EF6D14"/>
    <w:rsid w:val="00EF6D65"/>
    <w:rsid w:val="00EF70A8"/>
    <w:rsid w:val="00EF717E"/>
    <w:rsid w:val="00EF7E76"/>
    <w:rsid w:val="00F00A1A"/>
    <w:rsid w:val="00F020A9"/>
    <w:rsid w:val="00F0265C"/>
    <w:rsid w:val="00F02C71"/>
    <w:rsid w:val="00F02D5F"/>
    <w:rsid w:val="00F045D5"/>
    <w:rsid w:val="00F05472"/>
    <w:rsid w:val="00F05F7F"/>
    <w:rsid w:val="00F06277"/>
    <w:rsid w:val="00F06613"/>
    <w:rsid w:val="00F070CB"/>
    <w:rsid w:val="00F07B6A"/>
    <w:rsid w:val="00F10909"/>
    <w:rsid w:val="00F10E1D"/>
    <w:rsid w:val="00F11EBE"/>
    <w:rsid w:val="00F11F36"/>
    <w:rsid w:val="00F12A63"/>
    <w:rsid w:val="00F12A84"/>
    <w:rsid w:val="00F12AF0"/>
    <w:rsid w:val="00F12F4C"/>
    <w:rsid w:val="00F133AD"/>
    <w:rsid w:val="00F1372F"/>
    <w:rsid w:val="00F142B6"/>
    <w:rsid w:val="00F143CA"/>
    <w:rsid w:val="00F16C8B"/>
    <w:rsid w:val="00F16F9B"/>
    <w:rsid w:val="00F17559"/>
    <w:rsid w:val="00F17A2E"/>
    <w:rsid w:val="00F20120"/>
    <w:rsid w:val="00F201F6"/>
    <w:rsid w:val="00F20336"/>
    <w:rsid w:val="00F208D3"/>
    <w:rsid w:val="00F20B38"/>
    <w:rsid w:val="00F20D46"/>
    <w:rsid w:val="00F20E83"/>
    <w:rsid w:val="00F21266"/>
    <w:rsid w:val="00F21794"/>
    <w:rsid w:val="00F219E7"/>
    <w:rsid w:val="00F22044"/>
    <w:rsid w:val="00F2276E"/>
    <w:rsid w:val="00F22A94"/>
    <w:rsid w:val="00F22D7D"/>
    <w:rsid w:val="00F23339"/>
    <w:rsid w:val="00F23483"/>
    <w:rsid w:val="00F24D82"/>
    <w:rsid w:val="00F252F6"/>
    <w:rsid w:val="00F25B2D"/>
    <w:rsid w:val="00F25ECF"/>
    <w:rsid w:val="00F274E1"/>
    <w:rsid w:val="00F27A51"/>
    <w:rsid w:val="00F3094C"/>
    <w:rsid w:val="00F30B72"/>
    <w:rsid w:val="00F3114A"/>
    <w:rsid w:val="00F31413"/>
    <w:rsid w:val="00F315EA"/>
    <w:rsid w:val="00F31C29"/>
    <w:rsid w:val="00F32507"/>
    <w:rsid w:val="00F32784"/>
    <w:rsid w:val="00F32825"/>
    <w:rsid w:val="00F32857"/>
    <w:rsid w:val="00F3285D"/>
    <w:rsid w:val="00F32B4C"/>
    <w:rsid w:val="00F32C83"/>
    <w:rsid w:val="00F32CDF"/>
    <w:rsid w:val="00F32F79"/>
    <w:rsid w:val="00F33004"/>
    <w:rsid w:val="00F33442"/>
    <w:rsid w:val="00F33E55"/>
    <w:rsid w:val="00F340BD"/>
    <w:rsid w:val="00F343C5"/>
    <w:rsid w:val="00F3469D"/>
    <w:rsid w:val="00F34B38"/>
    <w:rsid w:val="00F353FF"/>
    <w:rsid w:val="00F35706"/>
    <w:rsid w:val="00F35808"/>
    <w:rsid w:val="00F35A65"/>
    <w:rsid w:val="00F35DAE"/>
    <w:rsid w:val="00F36BA3"/>
    <w:rsid w:val="00F36CBA"/>
    <w:rsid w:val="00F374A5"/>
    <w:rsid w:val="00F374C6"/>
    <w:rsid w:val="00F37A2F"/>
    <w:rsid w:val="00F402C0"/>
    <w:rsid w:val="00F403ED"/>
    <w:rsid w:val="00F40A95"/>
    <w:rsid w:val="00F410C8"/>
    <w:rsid w:val="00F4119B"/>
    <w:rsid w:val="00F411A2"/>
    <w:rsid w:val="00F421C1"/>
    <w:rsid w:val="00F423AF"/>
    <w:rsid w:val="00F42821"/>
    <w:rsid w:val="00F42AD9"/>
    <w:rsid w:val="00F42DD0"/>
    <w:rsid w:val="00F42E2C"/>
    <w:rsid w:val="00F43E16"/>
    <w:rsid w:val="00F43E29"/>
    <w:rsid w:val="00F4405A"/>
    <w:rsid w:val="00F4447B"/>
    <w:rsid w:val="00F44D8D"/>
    <w:rsid w:val="00F44F3C"/>
    <w:rsid w:val="00F45748"/>
    <w:rsid w:val="00F45927"/>
    <w:rsid w:val="00F45F1E"/>
    <w:rsid w:val="00F463C7"/>
    <w:rsid w:val="00F47057"/>
    <w:rsid w:val="00F47775"/>
    <w:rsid w:val="00F47849"/>
    <w:rsid w:val="00F47A5D"/>
    <w:rsid w:val="00F50BF0"/>
    <w:rsid w:val="00F50ED1"/>
    <w:rsid w:val="00F50FDA"/>
    <w:rsid w:val="00F51196"/>
    <w:rsid w:val="00F5242A"/>
    <w:rsid w:val="00F5265D"/>
    <w:rsid w:val="00F5367D"/>
    <w:rsid w:val="00F537A6"/>
    <w:rsid w:val="00F53F23"/>
    <w:rsid w:val="00F5450A"/>
    <w:rsid w:val="00F54766"/>
    <w:rsid w:val="00F55242"/>
    <w:rsid w:val="00F557E6"/>
    <w:rsid w:val="00F55D04"/>
    <w:rsid w:val="00F56655"/>
    <w:rsid w:val="00F5698A"/>
    <w:rsid w:val="00F56BB3"/>
    <w:rsid w:val="00F570C6"/>
    <w:rsid w:val="00F570FA"/>
    <w:rsid w:val="00F572F3"/>
    <w:rsid w:val="00F57B60"/>
    <w:rsid w:val="00F607A9"/>
    <w:rsid w:val="00F60BE6"/>
    <w:rsid w:val="00F6155D"/>
    <w:rsid w:val="00F61DD4"/>
    <w:rsid w:val="00F61F71"/>
    <w:rsid w:val="00F6373C"/>
    <w:rsid w:val="00F639BA"/>
    <w:rsid w:val="00F639FC"/>
    <w:rsid w:val="00F64F4A"/>
    <w:rsid w:val="00F650E7"/>
    <w:rsid w:val="00F65423"/>
    <w:rsid w:val="00F65CFA"/>
    <w:rsid w:val="00F66015"/>
    <w:rsid w:val="00F66959"/>
    <w:rsid w:val="00F67733"/>
    <w:rsid w:val="00F67F28"/>
    <w:rsid w:val="00F70146"/>
    <w:rsid w:val="00F70B13"/>
    <w:rsid w:val="00F711C8"/>
    <w:rsid w:val="00F717C0"/>
    <w:rsid w:val="00F71B22"/>
    <w:rsid w:val="00F71C70"/>
    <w:rsid w:val="00F71E57"/>
    <w:rsid w:val="00F72413"/>
    <w:rsid w:val="00F72874"/>
    <w:rsid w:val="00F72BF5"/>
    <w:rsid w:val="00F731AF"/>
    <w:rsid w:val="00F73470"/>
    <w:rsid w:val="00F738F3"/>
    <w:rsid w:val="00F73F02"/>
    <w:rsid w:val="00F74628"/>
    <w:rsid w:val="00F74A45"/>
    <w:rsid w:val="00F74D41"/>
    <w:rsid w:val="00F75823"/>
    <w:rsid w:val="00F75FBD"/>
    <w:rsid w:val="00F7671F"/>
    <w:rsid w:val="00F76999"/>
    <w:rsid w:val="00F76C00"/>
    <w:rsid w:val="00F76E2D"/>
    <w:rsid w:val="00F77090"/>
    <w:rsid w:val="00F7775A"/>
    <w:rsid w:val="00F77D7B"/>
    <w:rsid w:val="00F804EC"/>
    <w:rsid w:val="00F80E34"/>
    <w:rsid w:val="00F812DA"/>
    <w:rsid w:val="00F81AA6"/>
    <w:rsid w:val="00F82023"/>
    <w:rsid w:val="00F83091"/>
    <w:rsid w:val="00F833AA"/>
    <w:rsid w:val="00F84A3D"/>
    <w:rsid w:val="00F84A4E"/>
    <w:rsid w:val="00F84FA1"/>
    <w:rsid w:val="00F85C53"/>
    <w:rsid w:val="00F85E87"/>
    <w:rsid w:val="00F86A5C"/>
    <w:rsid w:val="00F86EA1"/>
    <w:rsid w:val="00F87465"/>
    <w:rsid w:val="00F90C6D"/>
    <w:rsid w:val="00F91A8B"/>
    <w:rsid w:val="00F91EFB"/>
    <w:rsid w:val="00F9244B"/>
    <w:rsid w:val="00F94080"/>
    <w:rsid w:val="00F94224"/>
    <w:rsid w:val="00F9422F"/>
    <w:rsid w:val="00F94826"/>
    <w:rsid w:val="00F9550E"/>
    <w:rsid w:val="00F95705"/>
    <w:rsid w:val="00F9582C"/>
    <w:rsid w:val="00F95BFA"/>
    <w:rsid w:val="00F96FDE"/>
    <w:rsid w:val="00F97E50"/>
    <w:rsid w:val="00FA020F"/>
    <w:rsid w:val="00FA0449"/>
    <w:rsid w:val="00FA09A5"/>
    <w:rsid w:val="00FA128D"/>
    <w:rsid w:val="00FA2A12"/>
    <w:rsid w:val="00FA30BF"/>
    <w:rsid w:val="00FA32FE"/>
    <w:rsid w:val="00FA3480"/>
    <w:rsid w:val="00FA34E8"/>
    <w:rsid w:val="00FA4068"/>
    <w:rsid w:val="00FA4128"/>
    <w:rsid w:val="00FA4638"/>
    <w:rsid w:val="00FA5A70"/>
    <w:rsid w:val="00FA726E"/>
    <w:rsid w:val="00FA73A0"/>
    <w:rsid w:val="00FA786E"/>
    <w:rsid w:val="00FA7F9D"/>
    <w:rsid w:val="00FB0017"/>
    <w:rsid w:val="00FB0740"/>
    <w:rsid w:val="00FB1245"/>
    <w:rsid w:val="00FB18C9"/>
    <w:rsid w:val="00FB19F4"/>
    <w:rsid w:val="00FB1A31"/>
    <w:rsid w:val="00FB22FA"/>
    <w:rsid w:val="00FB26F0"/>
    <w:rsid w:val="00FB5146"/>
    <w:rsid w:val="00FB5222"/>
    <w:rsid w:val="00FB52B2"/>
    <w:rsid w:val="00FB5BCD"/>
    <w:rsid w:val="00FB5C65"/>
    <w:rsid w:val="00FB60DF"/>
    <w:rsid w:val="00FB6C6B"/>
    <w:rsid w:val="00FB7168"/>
    <w:rsid w:val="00FB7266"/>
    <w:rsid w:val="00FB73F5"/>
    <w:rsid w:val="00FB746D"/>
    <w:rsid w:val="00FB7BA2"/>
    <w:rsid w:val="00FB7C82"/>
    <w:rsid w:val="00FC031A"/>
    <w:rsid w:val="00FC050D"/>
    <w:rsid w:val="00FC0B38"/>
    <w:rsid w:val="00FC0C44"/>
    <w:rsid w:val="00FC0EA6"/>
    <w:rsid w:val="00FC1DD3"/>
    <w:rsid w:val="00FC223C"/>
    <w:rsid w:val="00FC236B"/>
    <w:rsid w:val="00FC27E8"/>
    <w:rsid w:val="00FC28DA"/>
    <w:rsid w:val="00FC293E"/>
    <w:rsid w:val="00FC3152"/>
    <w:rsid w:val="00FC35B2"/>
    <w:rsid w:val="00FC3ACC"/>
    <w:rsid w:val="00FC3BA8"/>
    <w:rsid w:val="00FC4ABB"/>
    <w:rsid w:val="00FC4BA0"/>
    <w:rsid w:val="00FC56F6"/>
    <w:rsid w:val="00FC61E6"/>
    <w:rsid w:val="00FC659C"/>
    <w:rsid w:val="00FC66E7"/>
    <w:rsid w:val="00FC711D"/>
    <w:rsid w:val="00FC74FC"/>
    <w:rsid w:val="00FC7C50"/>
    <w:rsid w:val="00FD0549"/>
    <w:rsid w:val="00FD0851"/>
    <w:rsid w:val="00FD0CD0"/>
    <w:rsid w:val="00FD14F3"/>
    <w:rsid w:val="00FD2737"/>
    <w:rsid w:val="00FD2A58"/>
    <w:rsid w:val="00FD4701"/>
    <w:rsid w:val="00FD4DB5"/>
    <w:rsid w:val="00FD54B5"/>
    <w:rsid w:val="00FD56D6"/>
    <w:rsid w:val="00FD5FEC"/>
    <w:rsid w:val="00FD6B4C"/>
    <w:rsid w:val="00FD70EC"/>
    <w:rsid w:val="00FD782C"/>
    <w:rsid w:val="00FE0524"/>
    <w:rsid w:val="00FE0BDF"/>
    <w:rsid w:val="00FE11EE"/>
    <w:rsid w:val="00FE216E"/>
    <w:rsid w:val="00FE2F4C"/>
    <w:rsid w:val="00FE3336"/>
    <w:rsid w:val="00FE3BC5"/>
    <w:rsid w:val="00FE3EBF"/>
    <w:rsid w:val="00FE44DF"/>
    <w:rsid w:val="00FE45BC"/>
    <w:rsid w:val="00FE4D25"/>
    <w:rsid w:val="00FE4D2E"/>
    <w:rsid w:val="00FE5AF8"/>
    <w:rsid w:val="00FE5B3A"/>
    <w:rsid w:val="00FE60B2"/>
    <w:rsid w:val="00FE613B"/>
    <w:rsid w:val="00FE6471"/>
    <w:rsid w:val="00FE67A2"/>
    <w:rsid w:val="00FE78CA"/>
    <w:rsid w:val="00FE791B"/>
    <w:rsid w:val="00FE7A28"/>
    <w:rsid w:val="00FE7C16"/>
    <w:rsid w:val="00FE7FA1"/>
    <w:rsid w:val="00FF0299"/>
    <w:rsid w:val="00FF0692"/>
    <w:rsid w:val="00FF0C54"/>
    <w:rsid w:val="00FF1148"/>
    <w:rsid w:val="00FF11F7"/>
    <w:rsid w:val="00FF1497"/>
    <w:rsid w:val="00FF22E3"/>
    <w:rsid w:val="00FF2B1F"/>
    <w:rsid w:val="00FF32E4"/>
    <w:rsid w:val="00FF3971"/>
    <w:rsid w:val="00FF3D8E"/>
    <w:rsid w:val="00FF403C"/>
    <w:rsid w:val="00FF43A6"/>
    <w:rsid w:val="00FF4BF4"/>
    <w:rsid w:val="00FF5149"/>
    <w:rsid w:val="00FF533B"/>
    <w:rsid w:val="00FF5796"/>
    <w:rsid w:val="00FF5DD2"/>
    <w:rsid w:val="00FF6795"/>
    <w:rsid w:val="00FF7063"/>
    <w:rsid w:val="00FF72BF"/>
    <w:rsid w:val="00FF7357"/>
    <w:rsid w:val="00FF7644"/>
    <w:rsid w:val="00FF7691"/>
    <w:rsid w:val="00FF7F7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6A0CA"/>
  <w15:docId w15:val="{EDABFE6D-E82B-42AF-A691-9BCA5523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iPriority w:val="99"/>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uiPriority w:val="99"/>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0244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A18D7"/>
    <w:rPr>
      <w:b/>
      <w:bCs/>
    </w:rPr>
  </w:style>
  <w:style w:type="numbering" w:customStyle="1" w:styleId="Sinlista1">
    <w:name w:val="Sin lista1"/>
    <w:next w:val="Sinlista"/>
    <w:uiPriority w:val="99"/>
    <w:semiHidden/>
    <w:unhideWhenUsed/>
    <w:rsid w:val="00AF544C"/>
  </w:style>
  <w:style w:type="table" w:customStyle="1" w:styleId="Sombreadomedio2-nfasis11">
    <w:name w:val="Sombreado medio 2 - Énfasis 11"/>
    <w:basedOn w:val="Tablanormal"/>
    <w:next w:val="Sombreadomedio2-nfasis1"/>
    <w:uiPriority w:val="64"/>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Border">
    <w:name w:val="Border"/>
    <w:next w:val="Normal"/>
    <w:qFormat/>
    <w:rsid w:val="00AF544C"/>
    <w:pPr>
      <w:spacing w:after="360" w:line="320" w:lineRule="atLeast"/>
      <w:jc w:val="center"/>
    </w:pPr>
    <w:rPr>
      <w:rFonts w:ascii="Times New Roman" w:hAnsi="Times New Roman"/>
      <w:lang w:val="en-GB"/>
    </w:rPr>
  </w:style>
  <w:style w:type="table" w:customStyle="1" w:styleId="Sombreadomedio2-nfasis111">
    <w:name w:val="Sombreado medio 2 - Énfasis 111"/>
    <w:basedOn w:val="Tablanormal"/>
    <w:next w:val="Sombreadomedio2-nfasis1"/>
    <w:uiPriority w:val="64"/>
    <w:unhideWhenUsed/>
    <w:rsid w:val="00AF544C"/>
    <w:pPr>
      <w:spacing w:after="0" w:line="240" w:lineRule="auto"/>
    </w:pPr>
    <w:rPr>
      <w:rFonts w:ascii="Franklin Gothic Book" w:hAnsi="Franklin Gothic Book"/>
      <w:sz w:val="20"/>
      <w:lang w:val="en-GB"/>
    </w:rPr>
    <w:tblPr>
      <w:tblStyleRowBandSize w:val="1"/>
      <w:tblStyleColBandSize w:val="1"/>
    </w:tblPr>
    <w:tcPr>
      <w:shd w:val="clear" w:color="auto" w:fill="D9D9D9"/>
    </w:tcPr>
    <w:tblStylePr w:type="firstRow">
      <w:pPr>
        <w:spacing w:before="0" w:after="0" w:line="240" w:lineRule="auto"/>
      </w:pPr>
      <w:rPr>
        <w:b/>
        <w:bCs/>
        <w:color w:val="FFFFFF"/>
      </w:rPr>
      <w:tblPr/>
      <w:tcPr>
        <w:tcBorders>
          <w:top w:val="nil"/>
          <w:left w:val="nil"/>
          <w:bottom w:val="single" w:sz="18" w:space="0" w:color="FFFFFF"/>
          <w:right w:val="nil"/>
          <w:insideH w:val="nil"/>
          <w:insideV w:val="single" w:sz="8" w:space="0" w:color="FFFFFF"/>
          <w:tl2br w:val="nil"/>
          <w:tr2bl w:val="nil"/>
        </w:tcBorders>
        <w:shd w:val="clear" w:color="auto" w:fill="0F51B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band2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Captionsmall">
    <w:name w:val="Caption: small"/>
    <w:basedOn w:val="Descripcin"/>
    <w:next w:val="Normal"/>
    <w:qFormat/>
    <w:rsid w:val="00AF544C"/>
    <w:pPr>
      <w:keepNext/>
      <w:tabs>
        <w:tab w:val="left" w:pos="2041"/>
      </w:tabs>
      <w:spacing w:after="0" w:line="320" w:lineRule="atLeast"/>
      <w:ind w:left="113" w:right="113"/>
    </w:pPr>
    <w:rPr>
      <w:rFonts w:ascii="Franklin Gothic Book" w:eastAsia="Calibri" w:hAnsi="Franklin Gothic Book" w:cs="Arial"/>
      <w:bCs/>
      <w:iCs w:val="0"/>
      <w:color w:val="auto"/>
      <w:sz w:val="20"/>
      <w:lang w:val="en-GB"/>
    </w:rPr>
  </w:style>
  <w:style w:type="paragraph" w:customStyle="1" w:styleId="Bordersmall">
    <w:name w:val="Border: small"/>
    <w:basedOn w:val="Normal"/>
    <w:qFormat/>
    <w:rsid w:val="00AF544C"/>
    <w:pPr>
      <w:spacing w:after="0" w:line="320" w:lineRule="atLeast"/>
      <w:ind w:left="0" w:right="0" w:firstLine="0"/>
      <w:jc w:val="center"/>
    </w:pPr>
    <w:rPr>
      <w:rFonts w:ascii="Times New Roman" w:eastAsia="Calibri" w:hAnsi="Times New Roman" w:cs="Times New Roman"/>
      <w:b/>
      <w:color w:val="auto"/>
      <w:lang w:val="en-GB" w:eastAsia="en-US"/>
    </w:rPr>
  </w:style>
  <w:style w:type="paragraph" w:customStyle="1" w:styleId="Tablecells">
    <w:name w:val="Table: cells"/>
    <w:qFormat/>
    <w:rsid w:val="00AF544C"/>
    <w:pPr>
      <w:spacing w:before="40" w:after="40" w:line="240" w:lineRule="exact"/>
      <w:ind w:right="113"/>
    </w:pPr>
    <w:rPr>
      <w:rFonts w:ascii="Franklin Gothic Book" w:hAnsi="Franklin Gothic Book"/>
      <w:sz w:val="20"/>
      <w:lang w:val="en-GB"/>
    </w:rPr>
  </w:style>
  <w:style w:type="paragraph" w:customStyle="1" w:styleId="Tableheading">
    <w:name w:val="Table: heading"/>
    <w:basedOn w:val="Tablecells"/>
    <w:next w:val="Tablecells"/>
    <w:qFormat/>
    <w:rsid w:val="00AF544C"/>
    <w:pPr>
      <w:keepNext/>
    </w:pPr>
    <w:rPr>
      <w:b/>
      <w:color w:val="FFFFFF"/>
    </w:rPr>
  </w:style>
  <w:style w:type="table" w:customStyle="1" w:styleId="Tablaconcuadrcula1">
    <w:name w:val="Tabla con cuadrícula1"/>
    <w:basedOn w:val="Tablanormal"/>
    <w:next w:val="Tablaconcuadrcula"/>
    <w:uiPriority w:val="39"/>
    <w:rsid w:val="00A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destacada1">
    <w:name w:val="Cita destacada1"/>
    <w:basedOn w:val="Normal"/>
    <w:next w:val="Normal"/>
    <w:uiPriority w:val="30"/>
    <w:qFormat/>
    <w:rsid w:val="00AF544C"/>
    <w:pPr>
      <w:pBdr>
        <w:top w:val="single" w:sz="4" w:space="10" w:color="5B9BD5"/>
        <w:bottom w:val="single" w:sz="4" w:space="10" w:color="5B9BD5"/>
      </w:pBdr>
      <w:spacing w:before="360" w:after="360" w:line="259" w:lineRule="auto"/>
      <w:ind w:left="864" w:right="864" w:firstLine="0"/>
      <w:jc w:val="center"/>
    </w:pPr>
    <w:rPr>
      <w:rFonts w:ascii="ITC Avant Garde" w:eastAsia="Calibri" w:hAnsi="ITC Avant Garde" w:cs="Times New Roman"/>
      <w:b/>
      <w:i/>
      <w:iCs/>
      <w:color w:val="5B9BD5"/>
      <w:lang w:eastAsia="en-US"/>
    </w:rPr>
  </w:style>
  <w:style w:type="character" w:customStyle="1" w:styleId="CitadestacadaCar">
    <w:name w:val="Cita destacada Car"/>
    <w:basedOn w:val="Fuentedeprrafopredeter"/>
    <w:link w:val="Citadestacada"/>
    <w:uiPriority w:val="30"/>
    <w:rsid w:val="00AF544C"/>
    <w:rPr>
      <w:rFonts w:ascii="ITC Avant Garde" w:hAnsi="ITC Avant Garde"/>
      <w:b/>
      <w:i/>
      <w:iCs/>
      <w:color w:val="5B9BD5"/>
    </w:rPr>
  </w:style>
  <w:style w:type="paragraph" w:customStyle="1" w:styleId="respuestaCP">
    <w:name w:val="respuesta CP"/>
    <w:basedOn w:val="Normal"/>
    <w:link w:val="respuestaCPCar"/>
    <w:qFormat/>
    <w:rsid w:val="00AF544C"/>
    <w:pPr>
      <w:spacing w:after="160" w:line="259" w:lineRule="auto"/>
      <w:ind w:left="0" w:right="0" w:firstLine="0"/>
    </w:pPr>
    <w:rPr>
      <w:rFonts w:ascii="ITC Avant Garde" w:eastAsia="Calibri" w:hAnsi="ITC Avant Garde" w:cs="Times New Roman"/>
      <w:color w:val="5B9BD5"/>
      <w:lang w:val="es-ES" w:eastAsia="en-US"/>
    </w:rPr>
  </w:style>
  <w:style w:type="character" w:customStyle="1" w:styleId="respuestaCPCar">
    <w:name w:val="respuesta CP Car"/>
    <w:basedOn w:val="CitadestacadaCar"/>
    <w:link w:val="respuestaCP"/>
    <w:rsid w:val="00AF544C"/>
    <w:rPr>
      <w:rFonts w:ascii="ITC Avant Garde" w:eastAsia="Calibri" w:hAnsi="ITC Avant Garde" w:cs="Times New Roman"/>
      <w:b w:val="0"/>
      <w:i w:val="0"/>
      <w:iCs w:val="0"/>
      <w:color w:val="5B9BD5"/>
      <w:lang w:val="es-ES"/>
    </w:rPr>
  </w:style>
  <w:style w:type="character" w:styleId="Mencinsinresolver">
    <w:name w:val="Unresolved Mention"/>
    <w:basedOn w:val="Fuentedeprrafopredeter"/>
    <w:uiPriority w:val="99"/>
    <w:semiHidden/>
    <w:unhideWhenUsed/>
    <w:rsid w:val="00AF544C"/>
    <w:rPr>
      <w:color w:val="605E5C"/>
      <w:shd w:val="clear" w:color="auto" w:fill="E1DFDD"/>
    </w:rPr>
  </w:style>
  <w:style w:type="table" w:styleId="Sombreadomedio2-nfasis1">
    <w:name w:val="Medium Shading 2 Accent 1"/>
    <w:basedOn w:val="Tablanormal"/>
    <w:uiPriority w:val="64"/>
    <w:semiHidden/>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itadestacada">
    <w:name w:val="Intense Quote"/>
    <w:basedOn w:val="Normal"/>
    <w:next w:val="Normal"/>
    <w:link w:val="CitadestacadaCar"/>
    <w:uiPriority w:val="30"/>
    <w:qFormat/>
    <w:rsid w:val="00AF544C"/>
    <w:pPr>
      <w:pBdr>
        <w:top w:val="single" w:sz="4" w:space="10" w:color="5B9BD5" w:themeColor="accent1"/>
        <w:bottom w:val="single" w:sz="4" w:space="10" w:color="5B9BD5" w:themeColor="accent1"/>
      </w:pBdr>
      <w:spacing w:before="360" w:after="360"/>
      <w:ind w:left="864" w:right="864"/>
      <w:jc w:val="center"/>
    </w:pPr>
    <w:rPr>
      <w:rFonts w:ascii="ITC Avant Garde" w:eastAsiaTheme="minorHAnsi" w:hAnsi="ITC Avant Garde" w:cstheme="minorBidi"/>
      <w:b/>
      <w:i/>
      <w:iCs/>
      <w:color w:val="5B9BD5"/>
      <w:lang w:eastAsia="en-US"/>
    </w:rPr>
  </w:style>
  <w:style w:type="character" w:customStyle="1" w:styleId="CitadestacadaCar1">
    <w:name w:val="Cita destacada Car1"/>
    <w:basedOn w:val="Fuentedeprrafopredeter"/>
    <w:uiPriority w:val="30"/>
    <w:rsid w:val="00AF544C"/>
    <w:rPr>
      <w:rFonts w:ascii="Avant Garde" w:eastAsia="Avant Garde" w:hAnsi="Avant Garde" w:cs="Avant Garde"/>
      <w:i/>
      <w:iCs/>
      <w:color w:val="5B9BD5" w:themeColor="accent1"/>
      <w:lang w:eastAsia="es-MX"/>
    </w:rPr>
  </w:style>
  <w:style w:type="character" w:styleId="Hipervnculovisitado">
    <w:name w:val="FollowedHyperlink"/>
    <w:basedOn w:val="Fuentedeprrafopredeter"/>
    <w:uiPriority w:val="99"/>
    <w:semiHidden/>
    <w:unhideWhenUsed/>
    <w:rsid w:val="00B31CFC"/>
    <w:rPr>
      <w:color w:val="954F72" w:themeColor="followedHyperlink"/>
      <w:u w:val="single"/>
    </w:rPr>
  </w:style>
  <w:style w:type="paragraph" w:customStyle="1" w:styleId="ROMANOS">
    <w:name w:val="ROMANOS"/>
    <w:basedOn w:val="Normal"/>
    <w:link w:val="ROMANOSCar"/>
    <w:rsid w:val="00EF717E"/>
    <w:pPr>
      <w:tabs>
        <w:tab w:val="left" w:pos="720"/>
      </w:tabs>
      <w:spacing w:after="101" w:line="216" w:lineRule="exact"/>
      <w:ind w:left="720" w:right="0" w:hanging="432"/>
    </w:pPr>
    <w:rPr>
      <w:rFonts w:ascii="Arial" w:eastAsia="Times New Roman" w:hAnsi="Arial" w:cs="Arial"/>
      <w:color w:val="auto"/>
      <w:sz w:val="18"/>
      <w:szCs w:val="18"/>
      <w:lang w:eastAsia="es-ES"/>
    </w:rPr>
  </w:style>
  <w:style w:type="character" w:customStyle="1" w:styleId="ROMANOSCar">
    <w:name w:val="ROMANOS Car"/>
    <w:link w:val="ROMANOS"/>
    <w:locked/>
    <w:rsid w:val="00EF717E"/>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757094063">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50337615">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031417010">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125350952">
      <w:bodyDiv w:val="1"/>
      <w:marLeft w:val="0"/>
      <w:marRight w:val="0"/>
      <w:marTop w:val="0"/>
      <w:marBottom w:val="0"/>
      <w:divBdr>
        <w:top w:val="none" w:sz="0" w:space="0" w:color="auto"/>
        <w:left w:val="none" w:sz="0" w:space="0" w:color="auto"/>
        <w:bottom w:val="none" w:sz="0" w:space="0" w:color="auto"/>
        <w:right w:val="none" w:sz="0" w:space="0" w:color="auto"/>
      </w:divBdr>
    </w:div>
    <w:div w:id="1141657970">
      <w:bodyDiv w:val="1"/>
      <w:marLeft w:val="0"/>
      <w:marRight w:val="0"/>
      <w:marTop w:val="0"/>
      <w:marBottom w:val="0"/>
      <w:divBdr>
        <w:top w:val="none" w:sz="0" w:space="0" w:color="auto"/>
        <w:left w:val="none" w:sz="0" w:space="0" w:color="auto"/>
        <w:bottom w:val="none" w:sz="0" w:space="0" w:color="auto"/>
        <w:right w:val="none" w:sz="0" w:space="0" w:color="auto"/>
      </w:divBdr>
    </w:div>
    <w:div w:id="1268585231">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556349860">
      <w:bodyDiv w:val="1"/>
      <w:marLeft w:val="0"/>
      <w:marRight w:val="0"/>
      <w:marTop w:val="0"/>
      <w:marBottom w:val="0"/>
      <w:divBdr>
        <w:top w:val="none" w:sz="0" w:space="0" w:color="auto"/>
        <w:left w:val="none" w:sz="0" w:space="0" w:color="auto"/>
        <w:bottom w:val="none" w:sz="0" w:space="0" w:color="auto"/>
        <w:right w:val="none" w:sz="0" w:space="0" w:color="auto"/>
      </w:divBdr>
    </w:div>
    <w:div w:id="1560289961">
      <w:bodyDiv w:val="1"/>
      <w:marLeft w:val="0"/>
      <w:marRight w:val="0"/>
      <w:marTop w:val="0"/>
      <w:marBottom w:val="0"/>
      <w:divBdr>
        <w:top w:val="none" w:sz="0" w:space="0" w:color="auto"/>
        <w:left w:val="none" w:sz="0" w:space="0" w:color="auto"/>
        <w:bottom w:val="none" w:sz="0" w:space="0" w:color="auto"/>
        <w:right w:val="none" w:sz="0" w:space="0" w:color="auto"/>
      </w:divBdr>
    </w:div>
    <w:div w:id="1596474980">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256257503">
          <w:marLeft w:val="0"/>
          <w:marRight w:val="0"/>
          <w:marTop w:val="0"/>
          <w:marBottom w:val="82"/>
          <w:divBdr>
            <w:top w:val="none" w:sz="0" w:space="0" w:color="auto"/>
            <w:left w:val="none" w:sz="0" w:space="0" w:color="auto"/>
            <w:bottom w:val="none" w:sz="0" w:space="0" w:color="auto"/>
            <w:right w:val="none" w:sz="0" w:space="0" w:color="auto"/>
          </w:divBdr>
        </w:div>
        <w:div w:id="1215240754">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733262486">
      <w:bodyDiv w:val="1"/>
      <w:marLeft w:val="0"/>
      <w:marRight w:val="0"/>
      <w:marTop w:val="0"/>
      <w:marBottom w:val="0"/>
      <w:divBdr>
        <w:top w:val="none" w:sz="0" w:space="0" w:color="auto"/>
        <w:left w:val="none" w:sz="0" w:space="0" w:color="auto"/>
        <w:bottom w:val="none" w:sz="0" w:space="0" w:color="auto"/>
        <w:right w:val="none" w:sz="0" w:space="0" w:color="auto"/>
      </w:divBdr>
      <w:divsChild>
        <w:div w:id="1765027035">
          <w:marLeft w:val="0"/>
          <w:marRight w:val="0"/>
          <w:marTop w:val="0"/>
          <w:marBottom w:val="0"/>
          <w:divBdr>
            <w:top w:val="none" w:sz="0" w:space="0" w:color="auto"/>
            <w:left w:val="none" w:sz="0" w:space="0" w:color="auto"/>
            <w:bottom w:val="none" w:sz="0" w:space="0" w:color="auto"/>
            <w:right w:val="single" w:sz="6" w:space="11" w:color="CACACF"/>
          </w:divBdr>
        </w:div>
      </w:divsChild>
    </w:div>
    <w:div w:id="1900824598">
      <w:bodyDiv w:val="1"/>
      <w:marLeft w:val="0"/>
      <w:marRight w:val="0"/>
      <w:marTop w:val="0"/>
      <w:marBottom w:val="0"/>
      <w:divBdr>
        <w:top w:val="none" w:sz="0" w:space="0" w:color="auto"/>
        <w:left w:val="none" w:sz="0" w:space="0" w:color="auto"/>
        <w:bottom w:val="none" w:sz="0" w:space="0" w:color="auto"/>
        <w:right w:val="none" w:sz="0" w:space="0" w:color="auto"/>
      </w:divBdr>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03991170">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eamientos.omv@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ft.org.mx/sites/default/files/ptfn_lduo_24-11-23_0.pdf" TargetMode="External"/><Relationship Id="rId1" Type="http://schemas.openxmlformats.org/officeDocument/2006/relationships/hyperlink" Target="https://www.ift.org.mx/sites/default/files/c-nspn-09-rpn_cc_24.11.23_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3B9F3-9BA1-4C69-AC0D-9545139C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32</Pages>
  <Words>11964</Words>
  <Characters>65804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77613</CharactersWithSpaces>
  <SharedDoc>false</SharedDoc>
  <HLinks>
    <vt:vector size="18" baseType="variant">
      <vt:variant>
        <vt:i4>393256</vt:i4>
      </vt:variant>
      <vt:variant>
        <vt:i4>0</vt:i4>
      </vt:variant>
      <vt:variant>
        <vt:i4>0</vt:i4>
      </vt:variant>
      <vt:variant>
        <vt:i4>5</vt:i4>
      </vt:variant>
      <vt:variant>
        <vt:lpwstr>mailto:lineamientos.omv@ift.org.mx</vt:lpwstr>
      </vt:variant>
      <vt:variant>
        <vt:lpwstr/>
      </vt:variant>
      <vt:variant>
        <vt:i4>6357079</vt:i4>
      </vt:variant>
      <vt:variant>
        <vt:i4>3</vt:i4>
      </vt:variant>
      <vt:variant>
        <vt:i4>0</vt:i4>
      </vt:variant>
      <vt:variant>
        <vt:i4>5</vt:i4>
      </vt:variant>
      <vt:variant>
        <vt:lpwstr>https://www.ift.org.mx/sites/default/files/ptfn_lduo_24-11-23_0.pdf</vt:lpwstr>
      </vt:variant>
      <vt:variant>
        <vt:lpwstr/>
      </vt:variant>
      <vt:variant>
        <vt:i4>6094907</vt:i4>
      </vt:variant>
      <vt:variant>
        <vt:i4>0</vt:i4>
      </vt:variant>
      <vt:variant>
        <vt:i4>0</vt:i4>
      </vt:variant>
      <vt:variant>
        <vt:i4>5</vt:i4>
      </vt:variant>
      <vt:variant>
        <vt:lpwstr>https://www.ift.org.mx/sites/default/files/c-nspn-09-rpn_cc_24.11.23_0.pdf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Gabriel Huichan Munoz</cp:lastModifiedBy>
  <cp:revision>796</cp:revision>
  <cp:lastPrinted>2014-12-11T00:16:00Z</cp:lastPrinted>
  <dcterms:created xsi:type="dcterms:W3CDTF">2023-11-07T20:38:00Z</dcterms:created>
  <dcterms:modified xsi:type="dcterms:W3CDTF">2025-01-15T03:10:00Z</dcterms:modified>
</cp:coreProperties>
</file>