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065146" w14:textId="77777777" w:rsidR="003B1A3E" w:rsidRPr="00D77051" w:rsidRDefault="003B1A3E" w:rsidP="008139C2">
      <w:pPr>
        <w:pStyle w:val="Default"/>
        <w:spacing w:line="276" w:lineRule="auto"/>
        <w:contextualSpacing/>
        <w:mirrorIndents/>
        <w:jc w:val="both"/>
        <w:rPr>
          <w:rFonts w:ascii="Arial" w:eastAsia="Times New Roman" w:hAnsi="Arial" w:cs="Arial"/>
          <w:b/>
          <w:bCs/>
          <w:sz w:val="26"/>
          <w:szCs w:val="26"/>
          <w:lang w:eastAsia="es-MX"/>
        </w:rPr>
      </w:pPr>
      <w:r w:rsidRPr="00C41766">
        <w:rPr>
          <w:rFonts w:ascii="Arial" w:eastAsia="Times New Roman" w:hAnsi="Arial" w:cs="Arial"/>
          <w:b/>
          <w:bCs/>
          <w:sz w:val="26"/>
          <w:szCs w:val="26"/>
          <w:lang w:val="es-ES_tradnl" w:eastAsia="es-MX"/>
        </w:rPr>
        <w:t>Anteproyecto de Acuerdo mediante el cual el Pleno del In</w:t>
      </w:r>
      <w:bookmarkStart w:id="0" w:name="_GoBack"/>
      <w:bookmarkEnd w:id="0"/>
      <w:r w:rsidRPr="00C41766">
        <w:rPr>
          <w:rFonts w:ascii="Arial" w:eastAsia="Times New Roman" w:hAnsi="Arial" w:cs="Arial"/>
          <w:b/>
          <w:bCs/>
          <w:sz w:val="26"/>
          <w:szCs w:val="26"/>
          <w:lang w:val="es-ES_tradnl" w:eastAsia="es-MX"/>
        </w:rPr>
        <w:t>stituto Federal de Telecomunicaciones modifica los Lineamientos para la comercialización de servicios móviles por parte de operadores móviles virtuales</w:t>
      </w:r>
      <w:r w:rsidRPr="00C41766">
        <w:rPr>
          <w:rFonts w:ascii="Arial" w:eastAsia="Times New Roman" w:hAnsi="Arial" w:cs="Arial"/>
          <w:b/>
          <w:bCs/>
          <w:sz w:val="26"/>
          <w:szCs w:val="26"/>
          <w:lang w:eastAsia="es-MX"/>
        </w:rPr>
        <w:t>.</w:t>
      </w:r>
    </w:p>
    <w:p w14:paraId="6668B14F" w14:textId="77777777" w:rsidR="003B1A3E" w:rsidRDefault="003B1A3E" w:rsidP="008139C2">
      <w:pPr>
        <w:spacing w:after="0"/>
        <w:contextualSpacing/>
        <w:mirrorIndents/>
        <w:jc w:val="center"/>
        <w:rPr>
          <w:rFonts w:ascii="Arial" w:hAnsi="Arial" w:cs="Arial"/>
          <w:color w:val="000000"/>
          <w:lang w:val="es-MX" w:eastAsia="es-MX"/>
        </w:rPr>
      </w:pPr>
    </w:p>
    <w:p w14:paraId="3ABADA34" w14:textId="16942E7A" w:rsidR="00A666E4" w:rsidRPr="00C41766" w:rsidRDefault="00A666E4" w:rsidP="00A666E4">
      <w:pPr>
        <w:spacing w:after="0"/>
        <w:contextualSpacing/>
        <w:mirrorIndents/>
        <w:jc w:val="center"/>
        <w:rPr>
          <w:rFonts w:ascii="Arial" w:hAnsi="Arial" w:cs="Arial"/>
          <w:b/>
          <w:bCs/>
          <w:color w:val="000000"/>
          <w:sz w:val="26"/>
          <w:szCs w:val="26"/>
          <w:lang w:eastAsia="es-MX"/>
        </w:rPr>
      </w:pPr>
      <w:r w:rsidRPr="00C41766">
        <w:rPr>
          <w:rFonts w:ascii="Arial" w:hAnsi="Arial" w:cs="Arial"/>
          <w:b/>
          <w:bCs/>
          <w:color w:val="000000"/>
          <w:sz w:val="26"/>
          <w:szCs w:val="26"/>
          <w:lang w:eastAsia="es-MX"/>
        </w:rPr>
        <w:t>Antecedentes</w:t>
      </w:r>
    </w:p>
    <w:p w14:paraId="348599B0" w14:textId="77777777" w:rsidR="00A666E4" w:rsidRPr="00D56C8B" w:rsidRDefault="00A666E4" w:rsidP="00A666E4">
      <w:pPr>
        <w:spacing w:after="0"/>
        <w:contextualSpacing/>
        <w:mirrorIndents/>
        <w:jc w:val="center"/>
        <w:rPr>
          <w:rFonts w:ascii="Arial" w:hAnsi="Arial" w:cs="Arial"/>
          <w:b/>
          <w:bCs/>
          <w:color w:val="000000"/>
          <w:lang w:eastAsia="es-MX"/>
        </w:rPr>
      </w:pPr>
    </w:p>
    <w:p w14:paraId="0465CD35" w14:textId="77777777" w:rsidR="00A666E4" w:rsidRPr="00D56C8B" w:rsidRDefault="00A666E4" w:rsidP="00A666E4">
      <w:pPr>
        <w:spacing w:after="0"/>
        <w:contextualSpacing/>
        <w:mirrorIndents/>
        <w:jc w:val="both"/>
        <w:rPr>
          <w:rFonts w:ascii="Arial" w:hAnsi="Arial" w:cs="Arial"/>
          <w:b/>
        </w:rPr>
      </w:pPr>
      <w:proofErr w:type="gramStart"/>
      <w:r w:rsidRPr="00D56C8B">
        <w:rPr>
          <w:rFonts w:ascii="Arial" w:hAnsi="Arial" w:cs="Arial"/>
          <w:b/>
        </w:rPr>
        <w:t>Primero.-</w:t>
      </w:r>
      <w:proofErr w:type="gramEnd"/>
      <w:r w:rsidRPr="00D56C8B">
        <w:rPr>
          <w:rFonts w:ascii="Arial" w:hAnsi="Arial" w:cs="Arial"/>
          <w:b/>
        </w:rPr>
        <w:t xml:space="preserve"> Decreto de Reforma Constitucional.</w:t>
      </w:r>
      <w:r w:rsidRPr="00D56C8B">
        <w:rPr>
          <w:rFonts w:ascii="Arial" w:hAnsi="Arial" w:cs="Arial"/>
        </w:rPr>
        <w:t xml:space="preserve"> El 11 de junio de 2013, se publicó en el Diario Oficial de la Federación (en lo sucesivo, “DOF”) el “</w:t>
      </w:r>
      <w:r w:rsidRPr="00D56C8B">
        <w:rPr>
          <w:rFonts w:ascii="Arial" w:hAnsi="Arial" w:cs="Arial"/>
          <w:i/>
        </w:rPr>
        <w:t>DECRETO por el que se reforman y adicionan diversas disposiciones de los artículos 6o., 7o., 27, 28, 73, 78, 94 y 105 de la Constitución Política de los Estados Unidos Mexicanos, en materia de telecomunicaciones</w:t>
      </w:r>
      <w:r w:rsidRPr="00D56C8B">
        <w:rPr>
          <w:rFonts w:ascii="Arial" w:hAnsi="Arial" w:cs="Arial"/>
        </w:rPr>
        <w:t>” mediante el cual se creó al Instituto Federal de Telecomunicaciones (en lo sucesivo, el “Instituto”), como un órgano autónomo con personalidad jurídica y patrimonio propio</w:t>
      </w:r>
      <w:r>
        <w:rPr>
          <w:rFonts w:ascii="Arial" w:hAnsi="Arial" w:cs="Arial"/>
        </w:rPr>
        <w:t>s</w:t>
      </w:r>
      <w:r w:rsidRPr="00D56C8B">
        <w:rPr>
          <w:rFonts w:ascii="Arial" w:hAnsi="Arial" w:cs="Arial"/>
        </w:rPr>
        <w:t>, cuyo objeto es el desarrollo eficiente de la radiodifusión y las telecomunicaciones conforme a lo dispuesto en la propia Constitución Política de los Estados Unidos Mexicanos (en lo sucesivo, la “Constitución”) y en los términos que fijen las leyes, teniendo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 y 7 de la Constitución.</w:t>
      </w:r>
    </w:p>
    <w:p w14:paraId="507E1CAE" w14:textId="77777777" w:rsidR="00A666E4" w:rsidRPr="00D56C8B" w:rsidRDefault="00A666E4" w:rsidP="00A666E4">
      <w:pPr>
        <w:spacing w:after="0"/>
        <w:contextualSpacing/>
        <w:mirrorIndents/>
        <w:jc w:val="both"/>
        <w:rPr>
          <w:rFonts w:ascii="Arial" w:hAnsi="Arial" w:cs="Arial"/>
          <w:b/>
          <w:bCs/>
          <w:color w:val="000000"/>
          <w:lang w:eastAsia="es-MX"/>
        </w:rPr>
      </w:pPr>
    </w:p>
    <w:p w14:paraId="111F226B" w14:textId="77777777" w:rsidR="00A666E4" w:rsidRPr="00D56C8B" w:rsidRDefault="00A666E4" w:rsidP="00A666E4">
      <w:pPr>
        <w:widowControl w:val="0"/>
        <w:spacing w:after="0"/>
        <w:contextualSpacing/>
        <w:mirrorIndents/>
        <w:jc w:val="both"/>
        <w:rPr>
          <w:rFonts w:ascii="Arial" w:hAnsi="Arial" w:cs="Arial"/>
        </w:rPr>
      </w:pPr>
      <w:r w:rsidRPr="00D56C8B">
        <w:rPr>
          <w:rFonts w:ascii="Arial" w:hAnsi="Arial" w:cs="Arial"/>
          <w:b/>
        </w:rPr>
        <w:t>Segundo.- Ley Federal de Telecomunicaciones y Radiodifusión.</w:t>
      </w:r>
      <w:r w:rsidRPr="00D56C8B">
        <w:rPr>
          <w:rFonts w:ascii="Arial" w:hAnsi="Arial" w:cs="Arial"/>
        </w:rPr>
        <w:t xml:space="preserve"> El 14 de julio de 2014, se publicó en el DOF el “</w:t>
      </w:r>
      <w:r w:rsidRPr="00D56C8B">
        <w:rPr>
          <w:rFonts w:ascii="Arial" w:hAnsi="Arial" w:cs="Arial"/>
          <w:i/>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D56C8B">
        <w:rPr>
          <w:rFonts w:ascii="Arial" w:hAnsi="Arial" w:cs="Arial"/>
        </w:rPr>
        <w:t>” entrando en vigor la Ley Federal de Telecomunicaciones y Radiodifusión (en lo sucesivo, la “LFTR”) el 13 de agosto del 2014.</w:t>
      </w:r>
    </w:p>
    <w:p w14:paraId="7278293A" w14:textId="77777777" w:rsidR="00A666E4" w:rsidRPr="00D56C8B" w:rsidRDefault="00A666E4" w:rsidP="00A666E4">
      <w:pPr>
        <w:spacing w:after="0"/>
        <w:contextualSpacing/>
        <w:mirrorIndents/>
        <w:jc w:val="both"/>
        <w:rPr>
          <w:rFonts w:ascii="Arial" w:hAnsi="Arial" w:cs="Arial"/>
          <w:b/>
          <w:bCs/>
          <w:color w:val="000000"/>
          <w:lang w:eastAsia="es-MX"/>
        </w:rPr>
      </w:pPr>
    </w:p>
    <w:p w14:paraId="06D2856B" w14:textId="77777777" w:rsidR="00A666E4" w:rsidRDefault="00A666E4" w:rsidP="00A666E4">
      <w:pPr>
        <w:widowControl w:val="0"/>
        <w:spacing w:after="0"/>
        <w:contextualSpacing/>
        <w:mirrorIndents/>
        <w:jc w:val="both"/>
        <w:rPr>
          <w:rFonts w:ascii="Arial" w:hAnsi="Arial" w:cs="Arial"/>
        </w:rPr>
      </w:pPr>
      <w:r w:rsidRPr="00D56C8B">
        <w:rPr>
          <w:rFonts w:ascii="Arial" w:hAnsi="Arial" w:cs="Arial"/>
          <w:b/>
        </w:rPr>
        <w:t>Tercero.- Estatuto Orgánico del Instituto Federal de Telecomunicaciones.</w:t>
      </w:r>
      <w:r w:rsidRPr="00D56C8B">
        <w:rPr>
          <w:rFonts w:ascii="Arial" w:hAnsi="Arial" w:cs="Arial"/>
        </w:rPr>
        <w:t xml:space="preserve"> El 4 de septiembre de 2014, se publicó en el DOF el “</w:t>
      </w:r>
      <w:r w:rsidRPr="00D56C8B">
        <w:rPr>
          <w:rFonts w:ascii="Arial" w:hAnsi="Arial" w:cs="Arial"/>
          <w:i/>
        </w:rPr>
        <w:t>ESTATUTO Orgánico del Instituto Federal de Telecomunicaciones</w:t>
      </w:r>
      <w:r w:rsidRPr="00D56C8B">
        <w:rPr>
          <w:rFonts w:ascii="Arial" w:hAnsi="Arial" w:cs="Arial"/>
        </w:rPr>
        <w:t>”</w:t>
      </w:r>
      <w:r>
        <w:rPr>
          <w:rFonts w:ascii="Arial" w:hAnsi="Arial" w:cs="Arial"/>
        </w:rPr>
        <w:t>,</w:t>
      </w:r>
      <w:r w:rsidRPr="00D56C8B">
        <w:rPr>
          <w:rFonts w:ascii="Arial" w:hAnsi="Arial" w:cs="Arial"/>
        </w:rPr>
        <w:t xml:space="preserve"> </w:t>
      </w:r>
      <w:r>
        <w:rPr>
          <w:rFonts w:ascii="Arial" w:hAnsi="Arial" w:cs="Arial"/>
        </w:rPr>
        <w:t xml:space="preserve">aprobado </w:t>
      </w:r>
      <w:r w:rsidRPr="008E608E">
        <w:rPr>
          <w:rFonts w:ascii="Arial" w:hAnsi="Arial" w:cs="Arial"/>
        </w:rPr>
        <w:t>mediante Acuerdo P/IFT/EXT/270814/209</w:t>
      </w:r>
      <w:r>
        <w:rPr>
          <w:rFonts w:ascii="Arial" w:hAnsi="Arial" w:cs="Arial"/>
        </w:rPr>
        <w:t xml:space="preserve">, </w:t>
      </w:r>
      <w:r w:rsidRPr="00D56C8B">
        <w:rPr>
          <w:rFonts w:ascii="Arial" w:hAnsi="Arial" w:cs="Arial"/>
        </w:rPr>
        <w:t>mismo que entró en vigor el 26 de septiembre de 2014.</w:t>
      </w:r>
    </w:p>
    <w:p w14:paraId="55550A59" w14:textId="77777777" w:rsidR="00A666E4" w:rsidRPr="00B67564" w:rsidRDefault="00A666E4" w:rsidP="00A666E4">
      <w:pPr>
        <w:widowControl w:val="0"/>
        <w:spacing w:after="0"/>
        <w:contextualSpacing/>
        <w:mirrorIndents/>
        <w:jc w:val="both"/>
        <w:rPr>
          <w:rFonts w:ascii="Arial" w:hAnsi="Arial" w:cs="Arial"/>
        </w:rPr>
      </w:pPr>
    </w:p>
    <w:p w14:paraId="3A7AE62D" w14:textId="77777777" w:rsidR="00A666E4" w:rsidRDefault="00A666E4" w:rsidP="00A666E4">
      <w:pPr>
        <w:widowControl w:val="0"/>
        <w:spacing w:after="0"/>
        <w:contextualSpacing/>
        <w:mirrorIndents/>
        <w:jc w:val="both"/>
        <w:rPr>
          <w:rFonts w:ascii="Arial" w:hAnsi="Arial" w:cs="Arial"/>
        </w:rPr>
      </w:pPr>
      <w:r w:rsidRPr="008C1FC3">
        <w:rPr>
          <w:rFonts w:ascii="Arial" w:hAnsi="Arial" w:cs="Arial"/>
          <w:b/>
          <w:bCs/>
        </w:rPr>
        <w:t>Cuarto.-</w:t>
      </w:r>
      <w:r w:rsidRPr="005F4213">
        <w:rPr>
          <w:rFonts w:ascii="Arial" w:hAnsi="Arial" w:cs="Arial"/>
        </w:rPr>
        <w:t xml:space="preserve"> </w:t>
      </w:r>
      <w:r w:rsidRPr="001C3876">
        <w:rPr>
          <w:rFonts w:ascii="Arial" w:hAnsi="Arial" w:cs="Arial"/>
          <w:b/>
          <w:bCs/>
        </w:rPr>
        <w:t>Reglas de Portabilidad Numérica</w:t>
      </w:r>
      <w:r w:rsidRPr="005F4213">
        <w:rPr>
          <w:rFonts w:ascii="Arial" w:hAnsi="Arial" w:cs="Arial"/>
        </w:rPr>
        <w:t xml:space="preserve">. El </w:t>
      </w:r>
      <w:r>
        <w:rPr>
          <w:rFonts w:ascii="Arial" w:hAnsi="Arial" w:cs="Arial"/>
        </w:rPr>
        <w:t>12</w:t>
      </w:r>
      <w:r w:rsidRPr="005F4213">
        <w:rPr>
          <w:rFonts w:ascii="Arial" w:hAnsi="Arial" w:cs="Arial"/>
        </w:rPr>
        <w:t xml:space="preserve"> de noviembre de 2014, </w:t>
      </w:r>
      <w:r>
        <w:rPr>
          <w:rFonts w:ascii="Arial" w:hAnsi="Arial" w:cs="Arial"/>
        </w:rPr>
        <w:t>se publicó en el DOF</w:t>
      </w:r>
      <w:r w:rsidRPr="005F4213">
        <w:rPr>
          <w:rFonts w:ascii="Arial" w:hAnsi="Arial" w:cs="Arial"/>
        </w:rPr>
        <w:t xml:space="preserve"> el "</w:t>
      </w:r>
      <w:r w:rsidRPr="001C3876">
        <w:rPr>
          <w:rFonts w:ascii="Arial" w:hAnsi="Arial" w:cs="Arial"/>
          <w:i/>
          <w:iCs/>
        </w:rPr>
        <w:t>Acuerdo mediante el cual el Pleno del Instituto Federal de Telecomunicaciones emite las Reglas de Portabilidad Numérica y modifica el Plan Técnico Fundamental de Numeración, el Plan Técnico Fundamental de Señalización y las especificaciones operativas para la implantación de portabilidad de números geográficos y no geográficos</w:t>
      </w:r>
      <w:r w:rsidRPr="005F4213">
        <w:rPr>
          <w:rFonts w:ascii="Arial" w:hAnsi="Arial" w:cs="Arial"/>
        </w:rPr>
        <w:t>"</w:t>
      </w:r>
      <w:r>
        <w:rPr>
          <w:rFonts w:ascii="Arial" w:hAnsi="Arial" w:cs="Arial"/>
        </w:rPr>
        <w:t xml:space="preserve">, aprobado mediante Acuerdo </w:t>
      </w:r>
      <w:r w:rsidRPr="00AC3BFC">
        <w:rPr>
          <w:rFonts w:ascii="Arial" w:hAnsi="Arial" w:cs="Arial"/>
        </w:rPr>
        <w:t>P/IFT/EXT/061114/213</w:t>
      </w:r>
      <w:r>
        <w:rPr>
          <w:rFonts w:ascii="Arial" w:hAnsi="Arial" w:cs="Arial"/>
        </w:rPr>
        <w:t xml:space="preserve"> </w:t>
      </w:r>
      <w:r w:rsidRPr="005F4213">
        <w:rPr>
          <w:rFonts w:ascii="Arial" w:hAnsi="Arial" w:cs="Arial"/>
        </w:rPr>
        <w:t>(en lo sucesivo, las "Reglas de Portabilidad").</w:t>
      </w:r>
    </w:p>
    <w:p w14:paraId="17DD3121" w14:textId="77777777" w:rsidR="00A666E4" w:rsidRDefault="00A666E4" w:rsidP="00A666E4">
      <w:pPr>
        <w:widowControl w:val="0"/>
        <w:spacing w:after="0"/>
        <w:contextualSpacing/>
        <w:mirrorIndents/>
        <w:jc w:val="both"/>
        <w:rPr>
          <w:rFonts w:ascii="Arial" w:hAnsi="Arial" w:cs="Arial"/>
        </w:rPr>
      </w:pPr>
    </w:p>
    <w:p w14:paraId="1BB27E3B" w14:textId="77777777" w:rsidR="00A666E4" w:rsidRDefault="00A666E4" w:rsidP="00A666E4">
      <w:pPr>
        <w:widowControl w:val="0"/>
        <w:spacing w:after="0"/>
        <w:contextualSpacing/>
        <w:mirrorIndents/>
        <w:jc w:val="both"/>
        <w:rPr>
          <w:rFonts w:ascii="Arial" w:hAnsi="Arial" w:cs="Arial"/>
        </w:rPr>
      </w:pPr>
      <w:r>
        <w:rPr>
          <w:rFonts w:ascii="Arial" w:hAnsi="Arial" w:cs="Arial"/>
          <w:b/>
        </w:rPr>
        <w:t>Quinto</w:t>
      </w:r>
      <w:r w:rsidRPr="00D56C8B">
        <w:rPr>
          <w:rFonts w:ascii="Arial" w:hAnsi="Arial" w:cs="Arial"/>
          <w:b/>
        </w:rPr>
        <w:t xml:space="preserve">.- Lineamientos de </w:t>
      </w:r>
      <w:r>
        <w:rPr>
          <w:rFonts w:ascii="Arial" w:hAnsi="Arial" w:cs="Arial"/>
          <w:b/>
        </w:rPr>
        <w:t>Colaboración en Materia de Seguridad y Justicia</w:t>
      </w:r>
      <w:r w:rsidRPr="00D56C8B">
        <w:rPr>
          <w:rFonts w:ascii="Arial" w:hAnsi="Arial" w:cs="Arial"/>
          <w:b/>
        </w:rPr>
        <w:t>.</w:t>
      </w:r>
      <w:r w:rsidRPr="00D56C8B">
        <w:rPr>
          <w:rFonts w:ascii="Arial" w:hAnsi="Arial" w:cs="Arial"/>
        </w:rPr>
        <w:t xml:space="preserve"> </w:t>
      </w:r>
      <w:r>
        <w:rPr>
          <w:rFonts w:ascii="Arial" w:hAnsi="Arial" w:cs="Arial"/>
        </w:rPr>
        <w:t>El 2 de diciembre de 2015, se publicó en el DOF el “</w:t>
      </w:r>
      <w:r w:rsidRPr="00E501DC">
        <w:rPr>
          <w:rFonts w:ascii="Arial" w:hAnsi="Arial" w:cs="Arial"/>
          <w:i/>
          <w:iCs/>
        </w:rPr>
        <w:t>ACUERDO</w:t>
      </w:r>
      <w:r w:rsidRPr="00AC3BFC">
        <w:rPr>
          <w:rFonts w:ascii="Arial" w:hAnsi="Arial" w:cs="Arial"/>
          <w:i/>
          <w:iCs/>
        </w:rPr>
        <w:t xml:space="preserve"> mediante el cual el Pleno del Instituto Federal de Telecomunicaciones expide los Lineamientos de Colaboración en Materia de Seguridad y Justicia </w:t>
      </w:r>
      <w:r w:rsidRPr="00AC3BFC">
        <w:rPr>
          <w:rFonts w:ascii="Arial" w:hAnsi="Arial" w:cs="Arial"/>
          <w:i/>
          <w:iCs/>
        </w:rPr>
        <w:lastRenderedPageBreak/>
        <w:t>y modifica el plan técnico fundamental de numeración, publicado el 21 de junio de 1996</w:t>
      </w:r>
      <w:r>
        <w:rPr>
          <w:rFonts w:ascii="Arial" w:hAnsi="Arial" w:cs="Arial"/>
        </w:rPr>
        <w:t xml:space="preserve">”, aprobado </w:t>
      </w:r>
      <w:r w:rsidRPr="00BC1BFF">
        <w:rPr>
          <w:rFonts w:ascii="Arial" w:hAnsi="Arial" w:cs="Arial"/>
        </w:rPr>
        <w:t>mediante Acuerdo P/IFT/EXT/111115/159</w:t>
      </w:r>
      <w:r>
        <w:rPr>
          <w:rFonts w:ascii="Arial" w:hAnsi="Arial" w:cs="Arial"/>
        </w:rPr>
        <w:t>.</w:t>
      </w:r>
    </w:p>
    <w:p w14:paraId="29A15C9A" w14:textId="77777777" w:rsidR="00A666E4" w:rsidRPr="00D56C8B" w:rsidRDefault="00A666E4" w:rsidP="00A666E4">
      <w:pPr>
        <w:widowControl w:val="0"/>
        <w:spacing w:after="0"/>
        <w:contextualSpacing/>
        <w:mirrorIndents/>
        <w:jc w:val="both"/>
        <w:rPr>
          <w:rFonts w:ascii="Arial" w:hAnsi="Arial" w:cs="Arial"/>
        </w:rPr>
      </w:pPr>
    </w:p>
    <w:p w14:paraId="2E6A3825" w14:textId="77777777" w:rsidR="00A666E4" w:rsidRPr="00D56C8B" w:rsidRDefault="00A666E4" w:rsidP="00A666E4">
      <w:pPr>
        <w:spacing w:after="0"/>
        <w:jc w:val="both"/>
        <w:rPr>
          <w:rFonts w:ascii="Arial" w:hAnsi="Arial" w:cs="Arial"/>
        </w:rPr>
      </w:pPr>
      <w:r>
        <w:rPr>
          <w:rFonts w:ascii="Arial" w:hAnsi="Arial" w:cs="Arial"/>
          <w:b/>
        </w:rPr>
        <w:t>Sexto</w:t>
      </w:r>
      <w:r w:rsidRPr="00D56C8B">
        <w:rPr>
          <w:rFonts w:ascii="Arial" w:hAnsi="Arial" w:cs="Arial"/>
          <w:b/>
        </w:rPr>
        <w:t xml:space="preserve">.- </w:t>
      </w:r>
      <w:r>
        <w:rPr>
          <w:rFonts w:ascii="Arial" w:hAnsi="Arial" w:cs="Arial"/>
          <w:b/>
        </w:rPr>
        <w:t xml:space="preserve">Acuerdo de </w:t>
      </w:r>
      <w:r w:rsidRPr="00D56C8B">
        <w:rPr>
          <w:rFonts w:ascii="Arial" w:hAnsi="Arial" w:cs="Arial"/>
          <w:b/>
        </w:rPr>
        <w:t>Lineamientos de OMV.</w:t>
      </w:r>
      <w:r w:rsidRPr="00D56C8B">
        <w:rPr>
          <w:rFonts w:ascii="Arial" w:hAnsi="Arial" w:cs="Arial"/>
        </w:rPr>
        <w:t xml:space="preserve"> El 9 de marzo de 2016, se publicó en el DOF el “</w:t>
      </w:r>
      <w:r w:rsidRPr="00D56C8B">
        <w:rPr>
          <w:rFonts w:ascii="Arial" w:hAnsi="Arial" w:cs="Arial"/>
          <w:i/>
        </w:rPr>
        <w:t>ACUERDO mediante el cual el Pleno del Instituto Federal de Telecomunicaciones emite los Lineamientos para la comercialización de servicios por parte de operadores móviles virtuales</w:t>
      </w:r>
      <w:r w:rsidRPr="00D56C8B">
        <w:rPr>
          <w:rFonts w:ascii="Arial" w:hAnsi="Arial" w:cs="Arial"/>
        </w:rPr>
        <w:t>”</w:t>
      </w:r>
      <w:r>
        <w:rPr>
          <w:rFonts w:ascii="Arial" w:hAnsi="Arial" w:cs="Arial"/>
        </w:rPr>
        <w:t>,</w:t>
      </w:r>
      <w:bookmarkStart w:id="1" w:name="_Hlk151466761"/>
      <w:r>
        <w:rPr>
          <w:rFonts w:ascii="Arial" w:hAnsi="Arial" w:cs="Arial"/>
        </w:rPr>
        <w:t xml:space="preserve"> </w:t>
      </w:r>
      <w:r w:rsidRPr="00C76F8D">
        <w:rPr>
          <w:rFonts w:ascii="Arial" w:hAnsi="Arial" w:cs="Arial"/>
          <w:bCs/>
          <w:lang w:eastAsia="es-ES"/>
        </w:rPr>
        <w:t>aprobado mediante Acuerdo P/IFT/170216/35</w:t>
      </w:r>
      <w:bookmarkEnd w:id="1"/>
      <w:r w:rsidRPr="00D84210">
        <w:rPr>
          <w:rFonts w:ascii="Arial" w:hAnsi="Arial" w:cs="Arial"/>
        </w:rPr>
        <w:t xml:space="preserve"> </w:t>
      </w:r>
      <w:r>
        <w:rPr>
          <w:rFonts w:ascii="Arial" w:hAnsi="Arial" w:cs="Arial"/>
        </w:rPr>
        <w:t>(</w:t>
      </w:r>
      <w:r w:rsidRPr="00C76F8D">
        <w:rPr>
          <w:rFonts w:ascii="Arial" w:hAnsi="Arial" w:cs="Arial"/>
        </w:rPr>
        <w:t>en lo sucesivo</w:t>
      </w:r>
      <w:r>
        <w:rPr>
          <w:rFonts w:ascii="Arial" w:hAnsi="Arial" w:cs="Arial"/>
        </w:rPr>
        <w:t>,</w:t>
      </w:r>
      <w:r w:rsidRPr="00C76F8D">
        <w:rPr>
          <w:rFonts w:ascii="Arial" w:hAnsi="Arial" w:cs="Arial"/>
        </w:rPr>
        <w:t xml:space="preserve"> los “Lineamientos de OMV”)</w:t>
      </w:r>
      <w:r>
        <w:rPr>
          <w:rFonts w:ascii="Arial" w:hAnsi="Arial" w:cs="Arial"/>
          <w:bCs/>
          <w:lang w:eastAsia="es-ES"/>
        </w:rPr>
        <w:t>.</w:t>
      </w:r>
    </w:p>
    <w:p w14:paraId="3BF89FC2" w14:textId="77777777" w:rsidR="00A666E4" w:rsidRPr="00D56C8B" w:rsidRDefault="00A666E4" w:rsidP="00A666E4">
      <w:pPr>
        <w:widowControl w:val="0"/>
        <w:spacing w:after="0"/>
        <w:contextualSpacing/>
        <w:mirrorIndents/>
        <w:jc w:val="both"/>
        <w:rPr>
          <w:rFonts w:ascii="Arial" w:hAnsi="Arial" w:cs="Arial"/>
        </w:rPr>
      </w:pPr>
    </w:p>
    <w:p w14:paraId="4C15B7C8" w14:textId="77777777" w:rsidR="00A666E4" w:rsidRPr="00D56C8B" w:rsidRDefault="00A666E4" w:rsidP="00A666E4">
      <w:pPr>
        <w:widowControl w:val="0"/>
        <w:spacing w:after="0"/>
        <w:contextualSpacing/>
        <w:mirrorIndents/>
        <w:jc w:val="both"/>
        <w:rPr>
          <w:rFonts w:ascii="Arial" w:hAnsi="Arial" w:cs="Arial"/>
        </w:rPr>
      </w:pPr>
      <w:r>
        <w:rPr>
          <w:rFonts w:ascii="Arial" w:hAnsi="Arial" w:cs="Arial"/>
          <w:b/>
        </w:rPr>
        <w:t>Séptimo</w:t>
      </w:r>
      <w:r w:rsidRPr="00D56C8B">
        <w:rPr>
          <w:rFonts w:ascii="Arial" w:hAnsi="Arial" w:cs="Arial"/>
          <w:b/>
        </w:rPr>
        <w:t>.- Lineamientos de Consulta Pública y Análisis de Impacto Regulatorio.</w:t>
      </w:r>
      <w:r w:rsidRPr="00D56C8B">
        <w:rPr>
          <w:rFonts w:ascii="Arial" w:hAnsi="Arial" w:cs="Arial"/>
        </w:rPr>
        <w:t xml:space="preserve"> El </w:t>
      </w:r>
      <w:r>
        <w:rPr>
          <w:rFonts w:ascii="Arial" w:hAnsi="Arial" w:cs="Arial"/>
        </w:rPr>
        <w:t>8</w:t>
      </w:r>
      <w:r w:rsidRPr="00D56C8B">
        <w:rPr>
          <w:rFonts w:ascii="Arial" w:hAnsi="Arial" w:cs="Arial"/>
        </w:rPr>
        <w:t xml:space="preserve"> de </w:t>
      </w:r>
      <w:r>
        <w:rPr>
          <w:rFonts w:ascii="Arial" w:hAnsi="Arial" w:cs="Arial"/>
        </w:rPr>
        <w:t>noviembre</w:t>
      </w:r>
      <w:r w:rsidRPr="00D56C8B">
        <w:rPr>
          <w:rFonts w:ascii="Arial" w:hAnsi="Arial" w:cs="Arial"/>
        </w:rPr>
        <w:t xml:space="preserve"> de 2017</w:t>
      </w:r>
      <w:r>
        <w:rPr>
          <w:rFonts w:ascii="Arial" w:hAnsi="Arial" w:cs="Arial"/>
        </w:rPr>
        <w:t>,</w:t>
      </w:r>
      <w:r w:rsidRPr="00D56C8B">
        <w:rPr>
          <w:rFonts w:ascii="Arial" w:hAnsi="Arial" w:cs="Arial"/>
        </w:rPr>
        <w:t xml:space="preserve"> </w:t>
      </w:r>
      <w:r>
        <w:rPr>
          <w:rFonts w:ascii="Arial" w:hAnsi="Arial" w:cs="Arial"/>
        </w:rPr>
        <w:t>se publicó en el DOF</w:t>
      </w:r>
      <w:r w:rsidRPr="00D56C8B">
        <w:rPr>
          <w:rFonts w:ascii="Arial" w:hAnsi="Arial" w:cs="Arial"/>
        </w:rPr>
        <w:t xml:space="preserve"> el “</w:t>
      </w:r>
      <w:r w:rsidRPr="00AC3BFC">
        <w:rPr>
          <w:rFonts w:ascii="Arial" w:hAnsi="Arial" w:cs="Arial"/>
          <w:i/>
          <w:iCs/>
        </w:rPr>
        <w:t>Acuerdo mediante el cual el Pleno del Instituto Federal de Telecomunicaciones aprueba y emite los Lineamientos de Consulta Pública y Análisis de Impacto Regulatorio del Instituto Federal de Telecomunicaciones</w:t>
      </w:r>
      <w:r w:rsidRPr="00D56C8B">
        <w:rPr>
          <w:rFonts w:ascii="Arial" w:hAnsi="Arial" w:cs="Arial"/>
        </w:rPr>
        <w:t xml:space="preserve">”, </w:t>
      </w:r>
      <w:r>
        <w:rPr>
          <w:rFonts w:ascii="Arial" w:hAnsi="Arial" w:cs="Arial"/>
        </w:rPr>
        <w:t xml:space="preserve">aprobado </w:t>
      </w:r>
      <w:r w:rsidRPr="00D56C8B">
        <w:rPr>
          <w:rFonts w:ascii="Arial" w:hAnsi="Arial" w:cs="Arial"/>
        </w:rPr>
        <w:t>mediante Acuerdo P/IFT/250917/592</w:t>
      </w:r>
      <w:r>
        <w:rPr>
          <w:rFonts w:ascii="Arial" w:hAnsi="Arial" w:cs="Arial"/>
        </w:rPr>
        <w:t>.</w:t>
      </w:r>
    </w:p>
    <w:p w14:paraId="7838597B" w14:textId="77777777" w:rsidR="00A666E4" w:rsidRPr="00D56C8B" w:rsidRDefault="00A666E4" w:rsidP="00A666E4">
      <w:pPr>
        <w:widowControl w:val="0"/>
        <w:spacing w:after="0"/>
        <w:contextualSpacing/>
        <w:mirrorIndents/>
        <w:jc w:val="both"/>
        <w:rPr>
          <w:rFonts w:ascii="Arial" w:hAnsi="Arial" w:cs="Arial"/>
        </w:rPr>
      </w:pPr>
    </w:p>
    <w:p w14:paraId="24CDBE1E" w14:textId="77777777" w:rsidR="00A666E4" w:rsidRDefault="00A666E4" w:rsidP="00A666E4">
      <w:pPr>
        <w:widowControl w:val="0"/>
        <w:spacing w:after="0"/>
        <w:contextualSpacing/>
        <w:mirrorIndents/>
        <w:jc w:val="both"/>
        <w:rPr>
          <w:rFonts w:ascii="Arial" w:hAnsi="Arial" w:cs="Arial"/>
        </w:rPr>
      </w:pPr>
      <w:r>
        <w:rPr>
          <w:rFonts w:ascii="Arial" w:hAnsi="Arial" w:cs="Arial"/>
          <w:b/>
        </w:rPr>
        <w:t>Octavo</w:t>
      </w:r>
      <w:r w:rsidRPr="00D56C8B">
        <w:rPr>
          <w:rFonts w:ascii="Arial" w:hAnsi="Arial" w:cs="Arial"/>
          <w:b/>
        </w:rPr>
        <w:t>.- Carta de Derechos mínimos de los Usuarios.</w:t>
      </w:r>
      <w:r w:rsidRPr="00D56C8B">
        <w:rPr>
          <w:rFonts w:ascii="Arial" w:hAnsi="Arial" w:cs="Arial"/>
        </w:rPr>
        <w:t xml:space="preserve"> El </w:t>
      </w:r>
      <w:r>
        <w:rPr>
          <w:rFonts w:ascii="Arial" w:hAnsi="Arial" w:cs="Arial"/>
        </w:rPr>
        <w:t>25</w:t>
      </w:r>
      <w:r w:rsidRPr="00D56C8B">
        <w:rPr>
          <w:rFonts w:ascii="Arial" w:hAnsi="Arial" w:cs="Arial"/>
        </w:rPr>
        <w:t xml:space="preserve"> de </w:t>
      </w:r>
      <w:r>
        <w:rPr>
          <w:rFonts w:ascii="Arial" w:hAnsi="Arial" w:cs="Arial"/>
        </w:rPr>
        <w:t>enero</w:t>
      </w:r>
      <w:r w:rsidRPr="00D56C8B">
        <w:rPr>
          <w:rFonts w:ascii="Arial" w:hAnsi="Arial" w:cs="Arial"/>
        </w:rPr>
        <w:t xml:space="preserve"> de 202</w:t>
      </w:r>
      <w:r>
        <w:rPr>
          <w:rFonts w:ascii="Arial" w:hAnsi="Arial" w:cs="Arial"/>
        </w:rPr>
        <w:t>2</w:t>
      </w:r>
      <w:r w:rsidRPr="00D56C8B">
        <w:rPr>
          <w:rFonts w:ascii="Arial" w:hAnsi="Arial" w:cs="Arial"/>
        </w:rPr>
        <w:t xml:space="preserve"> </w:t>
      </w:r>
      <w:r>
        <w:rPr>
          <w:rFonts w:ascii="Arial" w:hAnsi="Arial" w:cs="Arial"/>
        </w:rPr>
        <w:t>se publicó en el DOF el</w:t>
      </w:r>
      <w:r w:rsidRPr="00D56C8B">
        <w:rPr>
          <w:rFonts w:ascii="Arial" w:hAnsi="Arial" w:cs="Arial"/>
        </w:rPr>
        <w:t xml:space="preserve"> “</w:t>
      </w:r>
      <w:r w:rsidRPr="00AC3BFC">
        <w:rPr>
          <w:rFonts w:ascii="Arial" w:hAnsi="Arial" w:cs="Arial"/>
          <w:i/>
          <w:iCs/>
        </w:rPr>
        <w:t>Acuerdo mediante el cual la Procuraduría Federal del Consumidor y el Instituto Federal de Telecomunicaciones, determinan los derechos mínimos que deben incluirse en la carta a que hace referencia el artículo 191 de la Ley Federal de Telecomunicaciones y Radiodifusión</w:t>
      </w:r>
      <w:r w:rsidRPr="00D56C8B">
        <w:rPr>
          <w:rFonts w:ascii="Arial" w:hAnsi="Arial" w:cs="Arial"/>
        </w:rPr>
        <w:t>”</w:t>
      </w:r>
      <w:r w:rsidRPr="00BE0826">
        <w:rPr>
          <w:rFonts w:ascii="Arial" w:hAnsi="Arial" w:cs="Arial"/>
        </w:rPr>
        <w:t xml:space="preserve"> </w:t>
      </w:r>
      <w:r w:rsidRPr="0050554E">
        <w:rPr>
          <w:rFonts w:ascii="Arial" w:hAnsi="Arial" w:cs="Arial"/>
        </w:rPr>
        <w:t>cuya última modificación fue publicada en dicho medio de difusión el 27 de octubre de 2023</w:t>
      </w:r>
      <w:r>
        <w:rPr>
          <w:rFonts w:ascii="Arial" w:hAnsi="Arial" w:cs="Arial"/>
        </w:rPr>
        <w:t>.</w:t>
      </w:r>
    </w:p>
    <w:p w14:paraId="5245BEC7" w14:textId="77777777" w:rsidR="00442923" w:rsidRDefault="00442923" w:rsidP="00A666E4">
      <w:pPr>
        <w:widowControl w:val="0"/>
        <w:spacing w:after="0"/>
        <w:contextualSpacing/>
        <w:mirrorIndents/>
        <w:jc w:val="both"/>
        <w:rPr>
          <w:rFonts w:ascii="Arial" w:hAnsi="Arial" w:cs="Arial"/>
        </w:rPr>
      </w:pPr>
    </w:p>
    <w:p w14:paraId="5AC4CB23" w14:textId="7E3217DE" w:rsidR="00E1555C" w:rsidRDefault="00A3782F" w:rsidP="00A666E4">
      <w:pPr>
        <w:widowControl w:val="0"/>
        <w:spacing w:after="0"/>
        <w:contextualSpacing/>
        <w:mirrorIndents/>
        <w:jc w:val="both"/>
        <w:rPr>
          <w:rFonts w:ascii="Arial" w:hAnsi="Arial" w:cs="Arial"/>
        </w:rPr>
      </w:pPr>
      <w:r>
        <w:rPr>
          <w:rFonts w:ascii="Arial" w:hAnsi="Arial" w:cs="Arial"/>
          <w:b/>
        </w:rPr>
        <w:t>Noveno</w:t>
      </w:r>
      <w:r w:rsidR="00442923" w:rsidRPr="00D56C8B">
        <w:rPr>
          <w:rFonts w:ascii="Arial" w:hAnsi="Arial" w:cs="Arial"/>
          <w:b/>
        </w:rPr>
        <w:t xml:space="preserve">.- </w:t>
      </w:r>
      <w:r>
        <w:rPr>
          <w:rFonts w:ascii="Arial" w:hAnsi="Arial" w:cs="Arial"/>
          <w:b/>
        </w:rPr>
        <w:t>Consulta Pública</w:t>
      </w:r>
      <w:r w:rsidR="00442923" w:rsidRPr="00D56C8B">
        <w:rPr>
          <w:rFonts w:ascii="Arial" w:hAnsi="Arial" w:cs="Arial"/>
          <w:b/>
        </w:rPr>
        <w:t>.</w:t>
      </w:r>
      <w:r w:rsidR="00442923" w:rsidRPr="00D56C8B">
        <w:rPr>
          <w:rFonts w:ascii="Arial" w:hAnsi="Arial" w:cs="Arial"/>
        </w:rPr>
        <w:t xml:space="preserve"> El </w:t>
      </w:r>
      <w:r>
        <w:rPr>
          <w:rFonts w:ascii="Arial" w:hAnsi="Arial" w:cs="Arial"/>
        </w:rPr>
        <w:t>XX</w:t>
      </w:r>
      <w:r w:rsidR="00442923" w:rsidRPr="00D56C8B">
        <w:rPr>
          <w:rFonts w:ascii="Arial" w:hAnsi="Arial" w:cs="Arial"/>
        </w:rPr>
        <w:t xml:space="preserve"> de </w:t>
      </w:r>
      <w:r>
        <w:rPr>
          <w:rFonts w:ascii="Arial" w:hAnsi="Arial" w:cs="Arial"/>
        </w:rPr>
        <w:t>XXX de XXXX, el Pleno del Instituto</w:t>
      </w:r>
      <w:r w:rsidR="00A51AB1">
        <w:rPr>
          <w:rFonts w:ascii="Arial" w:hAnsi="Arial" w:cs="Arial"/>
        </w:rPr>
        <w:t>,</w:t>
      </w:r>
      <w:r w:rsidR="00ED3AE2">
        <w:rPr>
          <w:rFonts w:ascii="Arial" w:hAnsi="Arial" w:cs="Arial"/>
        </w:rPr>
        <w:t xml:space="preserve"> aprobó someter a consulta pública el “</w:t>
      </w:r>
      <w:r w:rsidR="00E617E8" w:rsidRPr="00E617E8">
        <w:rPr>
          <w:rFonts w:ascii="Arial" w:hAnsi="Arial" w:cs="Arial"/>
        </w:rPr>
        <w:t>Anteproyecto de Acuerdo mediante el cual el Pleno del Instituto Federal de Telecomunicaciones modifica los Lineamientos para la comercialización de servicios móviles por parte de operadores móviles virtuales</w:t>
      </w:r>
      <w:r w:rsidR="00ED3AE2">
        <w:rPr>
          <w:rFonts w:ascii="Arial" w:hAnsi="Arial" w:cs="Arial"/>
        </w:rPr>
        <w:t>”</w:t>
      </w:r>
      <w:r w:rsidR="00E502A3">
        <w:rPr>
          <w:rFonts w:ascii="Arial" w:hAnsi="Arial" w:cs="Arial"/>
        </w:rPr>
        <w:t>,</w:t>
      </w:r>
      <w:r w:rsidR="00041260">
        <w:rPr>
          <w:rFonts w:ascii="Arial" w:hAnsi="Arial" w:cs="Arial"/>
        </w:rPr>
        <w:t xml:space="preserve"> mediante Acuerdo P/IFT/XXXXXX/XXX, </w:t>
      </w:r>
      <w:r w:rsidR="00E502A3">
        <w:rPr>
          <w:rFonts w:ascii="Arial" w:hAnsi="Arial" w:cs="Arial"/>
        </w:rPr>
        <w:t xml:space="preserve">y determinó que dicha consulta pública se realizaría por un periodo de </w:t>
      </w:r>
      <w:r w:rsidR="005D6F29">
        <w:rPr>
          <w:rFonts w:ascii="Arial" w:hAnsi="Arial" w:cs="Arial"/>
        </w:rPr>
        <w:t>20</w:t>
      </w:r>
      <w:r w:rsidR="00E502A3">
        <w:rPr>
          <w:rFonts w:ascii="Arial" w:hAnsi="Arial" w:cs="Arial"/>
        </w:rPr>
        <w:t xml:space="preserve"> (</w:t>
      </w:r>
      <w:r w:rsidR="005D6F29">
        <w:rPr>
          <w:rFonts w:ascii="Arial" w:hAnsi="Arial" w:cs="Arial"/>
        </w:rPr>
        <w:t>veinte</w:t>
      </w:r>
      <w:r w:rsidR="00E502A3">
        <w:rPr>
          <w:rFonts w:ascii="Arial" w:hAnsi="Arial" w:cs="Arial"/>
        </w:rPr>
        <w:t>) días hábiles, contados a partir del día siguiente al de su publicación en el portal de Internet del Instituto</w:t>
      </w:r>
      <w:r w:rsidR="00F9533F">
        <w:rPr>
          <w:rFonts w:ascii="Arial" w:hAnsi="Arial" w:cs="Arial"/>
        </w:rPr>
        <w:t>, lo que transcurrió del XX de XXX al XX de XXX de XXXX</w:t>
      </w:r>
      <w:r w:rsidR="00041260">
        <w:rPr>
          <w:rFonts w:ascii="Arial" w:hAnsi="Arial" w:cs="Arial"/>
        </w:rPr>
        <w:t>.</w:t>
      </w:r>
    </w:p>
    <w:p w14:paraId="09C9C0B0" w14:textId="77777777" w:rsidR="002F5F11" w:rsidRDefault="002F5F11" w:rsidP="00A666E4">
      <w:pPr>
        <w:widowControl w:val="0"/>
        <w:spacing w:after="0"/>
        <w:contextualSpacing/>
        <w:mirrorIndents/>
        <w:jc w:val="both"/>
        <w:rPr>
          <w:rFonts w:ascii="Arial" w:hAnsi="Arial" w:cs="Arial"/>
        </w:rPr>
      </w:pPr>
    </w:p>
    <w:p w14:paraId="45F6DD5F" w14:textId="228EF457" w:rsidR="002F5F11" w:rsidRPr="00D56C8B" w:rsidRDefault="002F5F11" w:rsidP="00A666E4">
      <w:pPr>
        <w:widowControl w:val="0"/>
        <w:spacing w:after="0"/>
        <w:contextualSpacing/>
        <w:mirrorIndents/>
        <w:jc w:val="both"/>
        <w:rPr>
          <w:rFonts w:ascii="Arial" w:hAnsi="Arial" w:cs="Arial"/>
        </w:rPr>
      </w:pPr>
      <w:r>
        <w:rPr>
          <w:rFonts w:ascii="Arial" w:hAnsi="Arial" w:cs="Arial"/>
        </w:rPr>
        <w:t>En virtud de los antecedentes señalados y,</w:t>
      </w:r>
    </w:p>
    <w:p w14:paraId="05E5C34D" w14:textId="77777777" w:rsidR="00A666E4" w:rsidRDefault="00A666E4" w:rsidP="008139C2">
      <w:pPr>
        <w:spacing w:after="0"/>
        <w:contextualSpacing/>
        <w:mirrorIndents/>
        <w:jc w:val="center"/>
        <w:rPr>
          <w:rFonts w:ascii="Arial" w:hAnsi="Arial" w:cs="Arial"/>
          <w:color w:val="000000"/>
          <w:lang w:eastAsia="es-MX"/>
        </w:rPr>
      </w:pPr>
    </w:p>
    <w:p w14:paraId="2D133917" w14:textId="77777777" w:rsidR="00775445" w:rsidRDefault="00775445" w:rsidP="008139C2">
      <w:pPr>
        <w:spacing w:after="0"/>
        <w:contextualSpacing/>
        <w:mirrorIndents/>
        <w:jc w:val="center"/>
        <w:rPr>
          <w:rFonts w:ascii="Arial" w:hAnsi="Arial" w:cs="Arial"/>
          <w:color w:val="000000"/>
          <w:lang w:eastAsia="es-MX"/>
        </w:rPr>
      </w:pPr>
    </w:p>
    <w:p w14:paraId="61B8F9AC" w14:textId="77777777" w:rsidR="00775445" w:rsidRPr="00D56C8B" w:rsidRDefault="00775445" w:rsidP="00775445">
      <w:pPr>
        <w:spacing w:after="0"/>
        <w:contextualSpacing/>
        <w:mirrorIndents/>
        <w:jc w:val="center"/>
        <w:rPr>
          <w:rFonts w:ascii="Arial" w:hAnsi="Arial" w:cs="Arial"/>
          <w:b/>
          <w:bCs/>
          <w:color w:val="000000"/>
          <w:sz w:val="26"/>
          <w:szCs w:val="26"/>
          <w:lang w:eastAsia="es-MX"/>
        </w:rPr>
      </w:pPr>
      <w:r w:rsidRPr="00D56C8B">
        <w:rPr>
          <w:rFonts w:ascii="Arial" w:hAnsi="Arial" w:cs="Arial"/>
          <w:b/>
          <w:bCs/>
          <w:color w:val="000000"/>
          <w:sz w:val="26"/>
          <w:szCs w:val="26"/>
          <w:lang w:eastAsia="es-MX"/>
        </w:rPr>
        <w:t>Considerando</w:t>
      </w:r>
    </w:p>
    <w:p w14:paraId="104F2895" w14:textId="77777777" w:rsidR="00775445" w:rsidRPr="00D56C8B" w:rsidRDefault="00775445" w:rsidP="00775445">
      <w:pPr>
        <w:spacing w:after="0"/>
        <w:contextualSpacing/>
        <w:mirrorIndents/>
        <w:jc w:val="center"/>
        <w:rPr>
          <w:rFonts w:ascii="Arial" w:hAnsi="Arial" w:cs="Arial"/>
          <w:b/>
          <w:bCs/>
          <w:color w:val="000000"/>
          <w:lang w:eastAsia="es-MX"/>
        </w:rPr>
      </w:pPr>
    </w:p>
    <w:p w14:paraId="47D4A196" w14:textId="77777777" w:rsidR="00775445" w:rsidRPr="00D56C8B" w:rsidRDefault="00775445" w:rsidP="00775445">
      <w:pPr>
        <w:spacing w:after="0"/>
        <w:contextualSpacing/>
        <w:mirrorIndents/>
        <w:jc w:val="center"/>
        <w:rPr>
          <w:rFonts w:ascii="Arial" w:hAnsi="Arial" w:cs="Arial"/>
          <w:b/>
          <w:bCs/>
          <w:color w:val="000000"/>
          <w:lang w:eastAsia="es-MX"/>
        </w:rPr>
      </w:pPr>
    </w:p>
    <w:p w14:paraId="4347DFF1" w14:textId="77777777" w:rsidR="00775445" w:rsidRPr="00D56C8B" w:rsidRDefault="00775445" w:rsidP="00775445">
      <w:pPr>
        <w:suppressAutoHyphens/>
        <w:spacing w:after="0"/>
        <w:ind w:right="49"/>
        <w:contextualSpacing/>
        <w:mirrorIndents/>
        <w:jc w:val="both"/>
        <w:rPr>
          <w:rFonts w:ascii="Arial" w:eastAsia="Times New Roman" w:hAnsi="Arial" w:cs="Arial"/>
          <w:bCs/>
          <w:kern w:val="1"/>
          <w:lang w:eastAsia="ar-SA"/>
        </w:rPr>
      </w:pPr>
      <w:r w:rsidRPr="00D56C8B">
        <w:rPr>
          <w:rFonts w:ascii="Arial" w:eastAsia="Times New Roman" w:hAnsi="Arial" w:cs="Arial"/>
          <w:b/>
          <w:bCs/>
          <w:kern w:val="1"/>
          <w:lang w:eastAsia="ar-SA"/>
        </w:rPr>
        <w:t xml:space="preserve">Primero.- Competencia del Instituto. </w:t>
      </w:r>
      <w:r>
        <w:rPr>
          <w:rFonts w:ascii="Arial" w:eastAsia="Times New Roman" w:hAnsi="Arial" w:cs="Arial"/>
          <w:bCs/>
          <w:kern w:val="1"/>
          <w:lang w:eastAsia="ar-SA"/>
        </w:rPr>
        <w:t xml:space="preserve">De conformidad con el artículo </w:t>
      </w:r>
      <w:r w:rsidRPr="00D56C8B">
        <w:rPr>
          <w:rFonts w:ascii="Arial" w:eastAsia="Times New Roman" w:hAnsi="Arial" w:cs="Arial"/>
          <w:bCs/>
          <w:kern w:val="1"/>
          <w:lang w:eastAsia="ar-SA"/>
        </w:rPr>
        <w:t>28, párrafos décimo quinto</w:t>
      </w:r>
      <w:r>
        <w:rPr>
          <w:rFonts w:ascii="Arial" w:eastAsia="Times New Roman" w:hAnsi="Arial" w:cs="Arial"/>
          <w:bCs/>
          <w:kern w:val="1"/>
          <w:lang w:eastAsia="ar-SA"/>
        </w:rPr>
        <w:t xml:space="preserve"> y</w:t>
      </w:r>
      <w:r w:rsidRPr="00D56C8B">
        <w:rPr>
          <w:rFonts w:ascii="Arial" w:eastAsia="Times New Roman" w:hAnsi="Arial" w:cs="Arial"/>
          <w:bCs/>
          <w:kern w:val="1"/>
          <w:lang w:eastAsia="ar-SA"/>
        </w:rPr>
        <w:t xml:space="preserve"> décimo sexto de la Constitución, así como los artículos 1 y 7 de la LFTR, el Instituto es un órgano público autónomo, independiente en sus decisiones y funcionamiento, con personalidad jurídica y patrimonio propio, que tiene por objeto regular y promover la competencia y el desarrollo eficiente de las telecomunicaciones y la radiodifusión en el ámbito de las atribuciones que le confiere la Constitución y en los términos que fijan la LFTR y demás disposiciones aplicables. </w:t>
      </w:r>
    </w:p>
    <w:p w14:paraId="37670255" w14:textId="77777777" w:rsidR="00775445" w:rsidRPr="00D56C8B" w:rsidRDefault="00775445" w:rsidP="00775445">
      <w:pPr>
        <w:suppressAutoHyphens/>
        <w:spacing w:after="0"/>
        <w:ind w:right="49"/>
        <w:contextualSpacing/>
        <w:mirrorIndents/>
        <w:jc w:val="both"/>
        <w:rPr>
          <w:rFonts w:ascii="Arial" w:hAnsi="Arial" w:cs="Arial"/>
        </w:rPr>
      </w:pPr>
    </w:p>
    <w:p w14:paraId="4A4ED1CD" w14:textId="25D86A63" w:rsidR="00775445" w:rsidRDefault="00775445" w:rsidP="00775445">
      <w:pPr>
        <w:suppressAutoHyphens/>
        <w:spacing w:after="0"/>
        <w:ind w:right="49"/>
        <w:contextualSpacing/>
        <w:mirrorIndents/>
        <w:jc w:val="both"/>
        <w:rPr>
          <w:rFonts w:ascii="Arial" w:eastAsia="Times New Roman" w:hAnsi="Arial" w:cs="Arial"/>
          <w:bCs/>
          <w:kern w:val="1"/>
          <w:lang w:eastAsia="ar-SA"/>
        </w:rPr>
      </w:pPr>
      <w:r w:rsidRPr="00D56C8B">
        <w:rPr>
          <w:rFonts w:ascii="Arial" w:eastAsia="Times New Roman" w:hAnsi="Arial" w:cs="Arial"/>
          <w:bCs/>
          <w:kern w:val="1"/>
          <w:lang w:eastAsia="ar-SA"/>
        </w:rPr>
        <w:lastRenderedPageBreak/>
        <w:t>Asimismo, el párrafo vigésimo, fracción IV, del artículo 28 de la Constitución, señala que el Instituto podrá emitir disposiciones administrativas de carácter general exclusivamente para el cumplimiento de su función regulatoria en el sector de su competencia. En ese sentido, el artículo 15 fracciones I y LVI de la LFTR señala que el Instituto podrá emitir disposiciones administrativas de carácter general, planes técnicos fundamentales, lineamientos, modelos de costos, procedimientos de evaluación de la conformidad, procedimientos de homologación y certificación y ordenamientos técnicos en materia de telecomunicaciones y radiodifusión; así como demás disposiciones para el cumplimiento de lo dispuesto en la LFTR</w:t>
      </w:r>
      <w:bookmarkStart w:id="2" w:name="_Hlk127299861"/>
      <w:r w:rsidR="00737DCB">
        <w:rPr>
          <w:rFonts w:ascii="Arial" w:eastAsia="Times New Roman" w:hAnsi="Arial" w:cs="Arial"/>
          <w:bCs/>
          <w:kern w:val="1"/>
          <w:lang w:eastAsia="ar-SA"/>
        </w:rPr>
        <w:t xml:space="preserve">, </w:t>
      </w:r>
      <w:r w:rsidR="00737DCB" w:rsidRPr="00752B5D">
        <w:rPr>
          <w:rFonts w:ascii="Arial" w:eastAsia="Times New Roman" w:hAnsi="Arial" w:cs="Arial"/>
          <w:bCs/>
          <w:kern w:val="1"/>
          <w:lang w:eastAsia="ar-SA"/>
        </w:rPr>
        <w:t>exclusivamente para el cumplimiento de su función regulatoria en el sector de su competencia</w:t>
      </w:r>
      <w:r>
        <w:rPr>
          <w:rFonts w:ascii="Arial" w:eastAsia="Times New Roman" w:hAnsi="Arial" w:cs="Arial"/>
          <w:bCs/>
          <w:kern w:val="1"/>
          <w:lang w:eastAsia="ar-SA"/>
        </w:rPr>
        <w:t>.</w:t>
      </w:r>
    </w:p>
    <w:p w14:paraId="3BBFA43D" w14:textId="5C1F0C2F" w:rsidR="00775445" w:rsidRPr="00D56C8B" w:rsidRDefault="00DB7765" w:rsidP="00775445">
      <w:pPr>
        <w:suppressAutoHyphens/>
        <w:spacing w:after="0"/>
        <w:ind w:right="49"/>
        <w:contextualSpacing/>
        <w:mirrorIndents/>
        <w:jc w:val="both"/>
        <w:rPr>
          <w:rFonts w:ascii="Arial" w:eastAsia="Times New Roman" w:hAnsi="Arial" w:cs="Arial"/>
          <w:bCs/>
          <w:kern w:val="1"/>
          <w:lang w:eastAsia="ar-SA"/>
        </w:rPr>
      </w:pPr>
      <w:r>
        <w:rPr>
          <w:rFonts w:ascii="Arial" w:eastAsia="Times New Roman" w:hAnsi="Arial" w:cs="Arial"/>
          <w:bCs/>
          <w:kern w:val="1"/>
          <w:lang w:eastAsia="ar-SA"/>
        </w:rPr>
        <w:t xml:space="preserve">En consecuencia, el Pleno del Instituto, como órgano </w:t>
      </w:r>
      <w:r w:rsidR="0013315B">
        <w:rPr>
          <w:rFonts w:ascii="Arial" w:eastAsia="Times New Roman" w:hAnsi="Arial" w:cs="Arial"/>
          <w:bCs/>
          <w:kern w:val="1"/>
          <w:lang w:eastAsia="ar-SA"/>
        </w:rPr>
        <w:t>máximo de gobierno, es competente para modificar los presentes Lineamientos.</w:t>
      </w:r>
    </w:p>
    <w:p w14:paraId="420C9B97" w14:textId="77777777" w:rsidR="00775445" w:rsidRPr="00D56C8B" w:rsidRDefault="00775445" w:rsidP="00775445">
      <w:pPr>
        <w:suppressAutoHyphens/>
        <w:spacing w:after="0"/>
        <w:ind w:right="49"/>
        <w:contextualSpacing/>
        <w:mirrorIndents/>
        <w:jc w:val="both"/>
        <w:rPr>
          <w:rFonts w:ascii="Arial" w:eastAsia="Times New Roman" w:hAnsi="Arial" w:cs="Arial"/>
          <w:bCs/>
          <w:kern w:val="1"/>
          <w:lang w:eastAsia="ar-SA"/>
        </w:rPr>
      </w:pPr>
    </w:p>
    <w:p w14:paraId="78B9CB1D" w14:textId="77777777" w:rsidR="00775445" w:rsidRPr="00D56C8B" w:rsidRDefault="00775445" w:rsidP="00775445">
      <w:pPr>
        <w:suppressAutoHyphens/>
        <w:spacing w:after="0"/>
        <w:ind w:right="49"/>
        <w:contextualSpacing/>
        <w:mirrorIndents/>
        <w:jc w:val="both"/>
        <w:rPr>
          <w:rFonts w:ascii="Arial" w:eastAsia="Times New Roman" w:hAnsi="Arial" w:cs="Arial"/>
          <w:bCs/>
          <w:kern w:val="1"/>
          <w:lang w:eastAsia="ar-SA"/>
        </w:rPr>
      </w:pPr>
      <w:r w:rsidRPr="00D56C8B">
        <w:rPr>
          <w:rFonts w:ascii="Arial" w:eastAsia="Times New Roman" w:hAnsi="Arial" w:cs="Arial"/>
          <w:b/>
          <w:bCs/>
          <w:kern w:val="1"/>
          <w:lang w:eastAsia="ar-SA"/>
        </w:rPr>
        <w:t xml:space="preserve">Segundo.- Las telecomunicaciones como servicio público de interés general. </w:t>
      </w:r>
      <w:r w:rsidRPr="00D56C8B">
        <w:rPr>
          <w:rFonts w:ascii="Arial" w:eastAsia="Times New Roman" w:hAnsi="Arial" w:cs="Arial"/>
          <w:bCs/>
          <w:kern w:val="1"/>
          <w:lang w:eastAsia="ar-SA"/>
        </w:rPr>
        <w:t xml:space="preserve">Como lo prevé el artículo 28 Constitucional, el Instituto tiene el mandato de garantizar lo </w:t>
      </w:r>
      <w:r>
        <w:rPr>
          <w:rFonts w:ascii="Arial" w:eastAsia="Times New Roman" w:hAnsi="Arial" w:cs="Arial"/>
          <w:bCs/>
          <w:kern w:val="1"/>
          <w:lang w:eastAsia="ar-SA"/>
        </w:rPr>
        <w:t>establecido</w:t>
      </w:r>
      <w:r w:rsidRPr="00D56C8B">
        <w:rPr>
          <w:rFonts w:ascii="Arial" w:eastAsia="Times New Roman" w:hAnsi="Arial" w:cs="Arial"/>
          <w:bCs/>
          <w:kern w:val="1"/>
          <w:lang w:eastAsia="ar-SA"/>
        </w:rPr>
        <w:t xml:space="preserve"> en los artículos 6 y 7 de la </w:t>
      </w:r>
      <w:r>
        <w:rPr>
          <w:rFonts w:ascii="Arial" w:eastAsia="Times New Roman" w:hAnsi="Arial" w:cs="Arial"/>
          <w:bCs/>
          <w:kern w:val="1"/>
          <w:lang w:eastAsia="ar-SA"/>
        </w:rPr>
        <w:t>Constitución</w:t>
      </w:r>
      <w:r w:rsidRPr="00D56C8B">
        <w:rPr>
          <w:rFonts w:ascii="Arial" w:eastAsia="Times New Roman" w:hAnsi="Arial" w:cs="Arial"/>
          <w:bCs/>
          <w:kern w:val="1"/>
          <w:lang w:eastAsia="ar-SA"/>
        </w:rPr>
        <w:t xml:space="preserve">, </w:t>
      </w:r>
      <w:r>
        <w:rPr>
          <w:rFonts w:ascii="Arial" w:eastAsia="Times New Roman" w:hAnsi="Arial" w:cs="Arial"/>
          <w:bCs/>
          <w:kern w:val="1"/>
          <w:lang w:eastAsia="ar-SA"/>
        </w:rPr>
        <w:t>disposiciones</w:t>
      </w:r>
      <w:r w:rsidRPr="00D56C8B">
        <w:rPr>
          <w:rFonts w:ascii="Arial" w:eastAsia="Times New Roman" w:hAnsi="Arial" w:cs="Arial"/>
          <w:bCs/>
          <w:kern w:val="1"/>
          <w:lang w:eastAsia="ar-SA"/>
        </w:rPr>
        <w:t xml:space="preserve"> que prevén, entre otras cosas, el derecho de acceso a las tecnologías de la información y comunicación, así como a los servicios de radiodifusión</w:t>
      </w:r>
      <w:r>
        <w:rPr>
          <w:rFonts w:ascii="Arial" w:eastAsia="Times New Roman" w:hAnsi="Arial" w:cs="Arial"/>
          <w:bCs/>
          <w:kern w:val="1"/>
          <w:lang w:eastAsia="ar-SA"/>
        </w:rPr>
        <w:t xml:space="preserve"> y telecomunicaciones</w:t>
      </w:r>
      <w:r w:rsidRPr="00D56C8B">
        <w:rPr>
          <w:rFonts w:ascii="Arial" w:eastAsia="Times New Roman" w:hAnsi="Arial" w:cs="Arial"/>
          <w:bCs/>
          <w:kern w:val="1"/>
          <w:lang w:eastAsia="ar-SA"/>
        </w:rPr>
        <w:t>. En este orden de ideas, en términos de la fracción II, del apartado B, del artículo 6 de la Constitución y 2 de la LFTR, las telecomunicaciones son un servicio público de interés general, por lo que el Estado garantizará que sean prestados en condiciones de competencia, calidad, pluralidad, cobertura universal, interconexión, convergencia, continuidad, acceso libre y sin injerencias arbitrarias.</w:t>
      </w:r>
    </w:p>
    <w:bookmarkEnd w:id="2"/>
    <w:p w14:paraId="77222F08" w14:textId="77777777" w:rsidR="00775445" w:rsidRDefault="00775445" w:rsidP="00FF1C4F">
      <w:pPr>
        <w:spacing w:after="0"/>
        <w:contextualSpacing/>
        <w:mirrorIndents/>
        <w:rPr>
          <w:rFonts w:ascii="Arial" w:hAnsi="Arial" w:cs="Arial"/>
          <w:color w:val="000000"/>
          <w:lang w:eastAsia="es-MX"/>
        </w:rPr>
      </w:pPr>
    </w:p>
    <w:p w14:paraId="1F4608F2" w14:textId="3202B836" w:rsidR="00516CE5" w:rsidRDefault="00516CE5" w:rsidP="00516CE5">
      <w:pPr>
        <w:shd w:val="clear" w:color="auto" w:fill="FFFFFF"/>
        <w:spacing w:after="0"/>
        <w:ind w:right="49"/>
        <w:jc w:val="both"/>
        <w:rPr>
          <w:rFonts w:ascii="Arial" w:hAnsi="Arial" w:cs="Arial"/>
          <w:kern w:val="1"/>
          <w:sz w:val="18"/>
          <w:szCs w:val="18"/>
          <w:lang w:eastAsia="ar-SA"/>
        </w:rPr>
      </w:pPr>
      <w:proofErr w:type="gramStart"/>
      <w:r w:rsidRPr="003836B6">
        <w:rPr>
          <w:rFonts w:ascii="Arial" w:eastAsia="Times New Roman" w:hAnsi="Arial" w:cs="Arial"/>
          <w:b/>
          <w:bCs/>
          <w:kern w:val="1"/>
          <w:lang w:eastAsia="ar-SA"/>
        </w:rPr>
        <w:t>Tercero</w:t>
      </w:r>
      <w:r w:rsidRPr="00D56C8B">
        <w:rPr>
          <w:rFonts w:ascii="Arial" w:eastAsia="Times New Roman" w:hAnsi="Arial" w:cs="Arial"/>
          <w:b/>
          <w:bCs/>
          <w:kern w:val="1"/>
          <w:lang w:eastAsia="ar-SA"/>
        </w:rPr>
        <w:t>.-</w:t>
      </w:r>
      <w:proofErr w:type="gramEnd"/>
      <w:r w:rsidRPr="00D56C8B">
        <w:rPr>
          <w:rFonts w:ascii="Arial" w:eastAsia="Times New Roman" w:hAnsi="Arial" w:cs="Arial"/>
          <w:b/>
          <w:bCs/>
          <w:kern w:val="1"/>
          <w:lang w:eastAsia="ar-SA"/>
        </w:rPr>
        <w:t xml:space="preserve"> Necesidad de mantener </w:t>
      </w:r>
      <w:r>
        <w:rPr>
          <w:rFonts w:ascii="Arial" w:eastAsia="Times New Roman" w:hAnsi="Arial" w:cs="Arial"/>
          <w:b/>
          <w:bCs/>
          <w:kern w:val="1"/>
          <w:lang w:eastAsia="ar-SA"/>
        </w:rPr>
        <w:t xml:space="preserve">la </w:t>
      </w:r>
      <w:r w:rsidRPr="00D56C8B">
        <w:rPr>
          <w:rFonts w:ascii="Arial" w:eastAsia="Times New Roman" w:hAnsi="Arial" w:cs="Arial"/>
          <w:b/>
          <w:bCs/>
          <w:kern w:val="1"/>
          <w:lang w:eastAsia="ar-SA"/>
        </w:rPr>
        <w:t>conectividad</w:t>
      </w:r>
      <w:r>
        <w:rPr>
          <w:rFonts w:ascii="Arial" w:eastAsia="Times New Roman" w:hAnsi="Arial" w:cs="Arial"/>
          <w:b/>
          <w:bCs/>
          <w:kern w:val="1"/>
          <w:lang w:eastAsia="ar-SA"/>
        </w:rPr>
        <w:t xml:space="preserve"> de los usuarios</w:t>
      </w:r>
      <w:r w:rsidRPr="00D56C8B">
        <w:rPr>
          <w:rFonts w:ascii="Arial" w:eastAsia="Times New Roman" w:hAnsi="Arial" w:cs="Arial"/>
          <w:b/>
          <w:bCs/>
          <w:kern w:val="1"/>
          <w:lang w:eastAsia="ar-SA"/>
        </w:rPr>
        <w:t xml:space="preserve"> en las redes públicas de telecomunicaciones.</w:t>
      </w:r>
      <w:r>
        <w:rPr>
          <w:rFonts w:ascii="Arial" w:eastAsia="Times New Roman" w:hAnsi="Arial" w:cs="Arial"/>
          <w:kern w:val="1"/>
          <w:lang w:eastAsia="ar-SA"/>
        </w:rPr>
        <w:t xml:space="preserve"> Como parte del desarrollo dinámico del mercado de telecomunicaciones, pueden presentarse situaciones en las que los Operadores Móviles Virtuales (OMV) que prestan servicios a los usuarios finales a través de una integración total o parcial con Concesionarios Mayoristas Móviles, ya sea por cuestiones asociadas a los planes de negocio de los primeros, estrategia, o debido a situaciones económicas adversas, cesan de manera abrupta operaciones y con ello la prestación de servicios de telecomunicaciones móviles a sus usuarios. Dicho escenario configura una problemática para los usuarios finales, pues si no se cuenta con una adecuada adopción de medidas que faciliten la migración oportuna de los usuarios a fin de obtener los servicios de otro operador activo en el mercado, podrían experimentar afectación en su acceso a la comunicación a través de las redes públicas de  telecomunicaciones,</w:t>
      </w:r>
      <w:r w:rsidRPr="00F01BCC">
        <w:rPr>
          <w:rFonts w:ascii="Arial" w:eastAsia="Times New Roman" w:hAnsi="Arial" w:cs="Arial"/>
          <w:kern w:val="1"/>
          <w:lang w:eastAsia="ar-SA"/>
        </w:rPr>
        <w:t xml:space="preserve"> </w:t>
      </w:r>
      <w:r>
        <w:rPr>
          <w:rFonts w:ascii="Arial" w:eastAsia="Times New Roman" w:hAnsi="Arial" w:cs="Arial"/>
          <w:kern w:val="1"/>
          <w:lang w:eastAsia="ar-SA"/>
        </w:rPr>
        <w:t>así como limitaciones para el ejercicio de</w:t>
      </w:r>
      <w:r w:rsidRPr="00F01BCC">
        <w:rPr>
          <w:rFonts w:ascii="Arial" w:eastAsia="Times New Roman" w:hAnsi="Arial" w:cs="Arial"/>
          <w:kern w:val="1"/>
          <w:lang w:eastAsia="ar-SA"/>
        </w:rPr>
        <w:t xml:space="preserve"> sus derechos mínimos como usuarios </w:t>
      </w:r>
      <w:r w:rsidRPr="009B6CBD">
        <w:rPr>
          <w:rFonts w:ascii="Arial" w:eastAsia="Times New Roman" w:hAnsi="Arial" w:cs="Arial"/>
          <w:kern w:val="1"/>
          <w:lang w:eastAsia="ar-SA"/>
        </w:rPr>
        <w:t>de servicios de telecomunicacione</w:t>
      </w:r>
      <w:r>
        <w:rPr>
          <w:rFonts w:ascii="Arial" w:eastAsia="Times New Roman" w:hAnsi="Arial" w:cs="Arial"/>
          <w:kern w:val="1"/>
          <w:lang w:eastAsia="ar-SA"/>
        </w:rPr>
        <w:t>s</w:t>
      </w:r>
      <w:r w:rsidRPr="00F01BCC">
        <w:rPr>
          <w:rFonts w:ascii="Arial" w:eastAsia="Times New Roman" w:hAnsi="Arial" w:cs="Arial"/>
          <w:kern w:val="1"/>
          <w:lang w:eastAsia="ar-SA"/>
        </w:rPr>
        <w:t xml:space="preserve">, tales como </w:t>
      </w:r>
      <w:r>
        <w:rPr>
          <w:rFonts w:ascii="Arial" w:eastAsia="Times New Roman" w:hAnsi="Arial" w:cs="Arial"/>
          <w:kern w:val="1"/>
          <w:lang w:eastAsia="ar-SA"/>
        </w:rPr>
        <w:t>el derecho a la</w:t>
      </w:r>
      <w:r w:rsidRPr="00F01BCC">
        <w:rPr>
          <w:rFonts w:ascii="Arial" w:eastAsia="Times New Roman" w:hAnsi="Arial" w:cs="Arial"/>
          <w:kern w:val="1"/>
          <w:lang w:eastAsia="ar-SA"/>
        </w:rPr>
        <w:t xml:space="preserve"> portabilidad numérica</w:t>
      </w:r>
      <w:r>
        <w:rPr>
          <w:rFonts w:ascii="Arial" w:eastAsia="Times New Roman" w:hAnsi="Arial" w:cs="Arial"/>
          <w:kern w:val="1"/>
          <w:lang w:eastAsia="ar-SA"/>
        </w:rPr>
        <w:t>, acceso a números de emergencia, acceso a sistemas de atención telefónica para cualquier tipo de consulta relacionada con su número, entre otras.</w:t>
      </w:r>
      <w:r w:rsidRPr="00467D6F">
        <w:rPr>
          <w:rFonts w:ascii="Arial" w:hAnsi="Arial" w:cs="Arial"/>
          <w:kern w:val="1"/>
          <w:sz w:val="18"/>
          <w:szCs w:val="18"/>
          <w:lang w:eastAsia="ar-SA"/>
        </w:rPr>
        <w:t xml:space="preserve"> </w:t>
      </w:r>
    </w:p>
    <w:p w14:paraId="5CD1E169" w14:textId="77777777" w:rsidR="00516CE5" w:rsidRPr="00467D6F" w:rsidRDefault="00516CE5" w:rsidP="00516CE5">
      <w:pPr>
        <w:shd w:val="clear" w:color="auto" w:fill="FFFFFF"/>
        <w:spacing w:after="0"/>
        <w:ind w:right="49"/>
        <w:jc w:val="both"/>
        <w:rPr>
          <w:rFonts w:ascii="Arial" w:eastAsia="Times New Roman" w:hAnsi="Arial" w:cs="Arial"/>
          <w:color w:val="2F2F2F"/>
          <w:sz w:val="18"/>
          <w:szCs w:val="18"/>
          <w:lang w:eastAsia="es-MX"/>
        </w:rPr>
      </w:pPr>
    </w:p>
    <w:p w14:paraId="7AC16D81" w14:textId="77777777" w:rsidR="00516CE5" w:rsidRPr="00DC1EC2" w:rsidRDefault="00516CE5" w:rsidP="00516CE5">
      <w:pPr>
        <w:shd w:val="clear" w:color="auto" w:fill="FFFFFF"/>
        <w:spacing w:after="0"/>
        <w:ind w:right="49"/>
        <w:jc w:val="both"/>
        <w:rPr>
          <w:rFonts w:ascii="Arial" w:eastAsia="Times New Roman" w:hAnsi="Arial" w:cs="Arial"/>
          <w:kern w:val="1"/>
          <w:lang w:eastAsia="ar-SA"/>
        </w:rPr>
      </w:pPr>
      <w:r w:rsidRPr="00DC1EC2">
        <w:rPr>
          <w:rFonts w:ascii="Arial" w:eastAsia="Times New Roman" w:hAnsi="Arial" w:cs="Arial"/>
          <w:kern w:val="1"/>
          <w:lang w:eastAsia="ar-SA"/>
        </w:rPr>
        <w:t>Si bien, actualmente</w:t>
      </w:r>
      <w:r w:rsidRPr="000619B3">
        <w:rPr>
          <w:rFonts w:ascii="Arial" w:eastAsia="Times New Roman" w:hAnsi="Arial" w:cs="Arial"/>
          <w:kern w:val="1"/>
          <w:lang w:eastAsia="ar-SA"/>
        </w:rPr>
        <w:t xml:space="preserve"> </w:t>
      </w:r>
      <w:r>
        <w:rPr>
          <w:rFonts w:ascii="Arial" w:eastAsia="Times New Roman" w:hAnsi="Arial" w:cs="Arial"/>
          <w:kern w:val="1"/>
          <w:lang w:eastAsia="ar-SA"/>
        </w:rPr>
        <w:t>en términos del artículo 13 fracción VI de</w:t>
      </w:r>
      <w:r w:rsidRPr="00DC1EC2">
        <w:rPr>
          <w:rFonts w:ascii="Arial" w:eastAsia="Times New Roman" w:hAnsi="Arial" w:cs="Arial"/>
          <w:kern w:val="1"/>
          <w:lang w:eastAsia="ar-SA"/>
        </w:rPr>
        <w:t xml:space="preserve"> los Lineamientos de OMV establecen </w:t>
      </w:r>
      <w:r>
        <w:rPr>
          <w:rFonts w:ascii="Arial" w:eastAsia="Times New Roman" w:hAnsi="Arial" w:cs="Arial"/>
          <w:kern w:val="1"/>
          <w:lang w:eastAsia="ar-SA"/>
        </w:rPr>
        <w:t xml:space="preserve">la obligación a cargo de los OMV de </w:t>
      </w:r>
      <w:r w:rsidRPr="00DC1EC2">
        <w:rPr>
          <w:rFonts w:ascii="Arial" w:eastAsia="Times New Roman" w:hAnsi="Arial" w:cs="Arial"/>
          <w:kern w:val="1"/>
          <w:lang w:eastAsia="ar-SA"/>
        </w:rPr>
        <w:t>dar aviso al usuario final con al menos 30 días de anticipación en caso del cese de prestación de los servicios contratados, deben preverse los mecanismos necesarios que garanticen</w:t>
      </w:r>
      <w:r>
        <w:rPr>
          <w:rFonts w:ascii="Arial" w:eastAsia="Times New Roman" w:hAnsi="Arial" w:cs="Arial"/>
          <w:kern w:val="1"/>
          <w:lang w:eastAsia="ar-SA"/>
        </w:rPr>
        <w:t xml:space="preserve"> que el mayor número</w:t>
      </w:r>
      <w:r w:rsidRPr="00DC1EC2">
        <w:rPr>
          <w:rFonts w:ascii="Arial" w:eastAsia="Times New Roman" w:hAnsi="Arial" w:cs="Arial"/>
          <w:kern w:val="1"/>
          <w:lang w:eastAsia="ar-SA"/>
        </w:rPr>
        <w:t xml:space="preserve"> </w:t>
      </w:r>
      <w:r>
        <w:rPr>
          <w:rFonts w:ascii="Arial" w:eastAsia="Times New Roman" w:hAnsi="Arial" w:cs="Arial"/>
          <w:kern w:val="1"/>
          <w:lang w:eastAsia="ar-SA"/>
        </w:rPr>
        <w:t>de</w:t>
      </w:r>
      <w:r w:rsidRPr="00DC1EC2">
        <w:rPr>
          <w:rFonts w:ascii="Arial" w:eastAsia="Times New Roman" w:hAnsi="Arial" w:cs="Arial"/>
          <w:kern w:val="1"/>
          <w:lang w:eastAsia="ar-SA"/>
        </w:rPr>
        <w:t xml:space="preserve"> usuarios </w:t>
      </w:r>
      <w:r>
        <w:rPr>
          <w:rFonts w:ascii="Arial" w:eastAsia="Times New Roman" w:hAnsi="Arial" w:cs="Arial"/>
          <w:kern w:val="1"/>
          <w:lang w:eastAsia="ar-SA"/>
        </w:rPr>
        <w:t>ejerzan</w:t>
      </w:r>
      <w:r w:rsidRPr="00DC1EC2">
        <w:rPr>
          <w:rFonts w:ascii="Arial" w:eastAsia="Times New Roman" w:hAnsi="Arial" w:cs="Arial"/>
          <w:kern w:val="1"/>
          <w:lang w:eastAsia="ar-SA"/>
        </w:rPr>
        <w:t xml:space="preserve"> sus derechos y contribuyan a que </w:t>
      </w:r>
      <w:r>
        <w:rPr>
          <w:rFonts w:ascii="Arial" w:eastAsia="Times New Roman" w:hAnsi="Arial" w:cs="Arial"/>
          <w:kern w:val="1"/>
          <w:lang w:eastAsia="ar-SA"/>
        </w:rPr>
        <w:t>se mantenga el</w:t>
      </w:r>
      <w:r w:rsidRPr="00DC1EC2">
        <w:rPr>
          <w:rFonts w:ascii="Arial" w:eastAsia="Times New Roman" w:hAnsi="Arial" w:cs="Arial"/>
          <w:kern w:val="1"/>
          <w:lang w:eastAsia="ar-SA"/>
        </w:rPr>
        <w:t xml:space="preserve"> acceso a servicios de telecomunicaciones. </w:t>
      </w:r>
    </w:p>
    <w:p w14:paraId="6992F16F" w14:textId="77777777" w:rsidR="00516CE5" w:rsidRDefault="00516CE5" w:rsidP="00516CE5">
      <w:pPr>
        <w:spacing w:after="0"/>
        <w:contextualSpacing/>
        <w:mirrorIndents/>
        <w:jc w:val="both"/>
        <w:rPr>
          <w:rFonts w:ascii="Arial" w:eastAsia="Times New Roman" w:hAnsi="Arial" w:cs="Arial"/>
          <w:b/>
          <w:bCs/>
          <w:kern w:val="1"/>
          <w:lang w:eastAsia="ar-SA"/>
        </w:rPr>
      </w:pPr>
    </w:p>
    <w:p w14:paraId="45452E07" w14:textId="77777777" w:rsidR="00516CE5" w:rsidRDefault="00516CE5" w:rsidP="00516CE5">
      <w:pPr>
        <w:spacing w:after="0"/>
        <w:contextualSpacing/>
        <w:mirrorIndents/>
        <w:jc w:val="both"/>
        <w:rPr>
          <w:rFonts w:ascii="Arial" w:eastAsia="Times New Roman" w:hAnsi="Arial" w:cs="Arial"/>
          <w:bCs/>
          <w:kern w:val="1"/>
          <w:lang w:eastAsia="ar-SA"/>
        </w:rPr>
      </w:pPr>
      <w:r w:rsidRPr="003836B6">
        <w:rPr>
          <w:rFonts w:ascii="Arial" w:eastAsia="Times New Roman" w:hAnsi="Arial" w:cs="Arial"/>
          <w:b/>
          <w:bCs/>
          <w:kern w:val="1"/>
          <w:lang w:eastAsia="ar-SA"/>
        </w:rPr>
        <w:t>Cuarto</w:t>
      </w:r>
      <w:r w:rsidRPr="00D56C8B">
        <w:rPr>
          <w:rFonts w:ascii="Arial" w:eastAsia="Times New Roman" w:hAnsi="Arial" w:cs="Arial"/>
          <w:b/>
          <w:bCs/>
          <w:kern w:val="1"/>
          <w:lang w:eastAsia="ar-SA"/>
        </w:rPr>
        <w:t xml:space="preserve">.- </w:t>
      </w:r>
      <w:r>
        <w:rPr>
          <w:rFonts w:ascii="Arial" w:eastAsia="Times New Roman" w:hAnsi="Arial" w:cs="Arial"/>
          <w:b/>
          <w:bCs/>
          <w:kern w:val="1"/>
          <w:lang w:eastAsia="ar-SA"/>
        </w:rPr>
        <w:t>Dinamismo en el mercado de OMV en México</w:t>
      </w:r>
      <w:r w:rsidRPr="00D56C8B">
        <w:rPr>
          <w:rFonts w:ascii="Arial" w:eastAsia="Times New Roman" w:hAnsi="Arial" w:cs="Arial"/>
          <w:b/>
          <w:bCs/>
          <w:kern w:val="1"/>
          <w:lang w:eastAsia="ar-SA"/>
        </w:rPr>
        <w:t xml:space="preserve">. </w:t>
      </w:r>
      <w:r>
        <w:rPr>
          <w:rFonts w:ascii="Arial" w:eastAsia="Times New Roman" w:hAnsi="Arial" w:cs="Arial"/>
          <w:bCs/>
          <w:kern w:val="1"/>
          <w:lang w:eastAsia="ar-SA"/>
        </w:rPr>
        <w:t>Con los avances en la regulación en materia de telecomunicaciones en México y la evolución tecnológica y de mercado en el país, la cantidad de OMV ha tenido un crecimiento importante que ha permitido una diversificación en las opciones que tienen los usuarios finales para escoger al proveedor de servicios de telecomunicaciones. La apertura y regulación para este tipo de operadores permite que los usuarios finales cuenten con alternativas que se ajusten a sus necesidades, saliendo del paradigma que suponía escoger entre los operadores de telecomunicaciones móviles tradicionales.</w:t>
      </w:r>
    </w:p>
    <w:p w14:paraId="0A03A24E" w14:textId="77777777" w:rsidR="00516CE5" w:rsidRDefault="00516CE5" w:rsidP="00516CE5">
      <w:pPr>
        <w:spacing w:after="0"/>
        <w:contextualSpacing/>
        <w:mirrorIndents/>
        <w:jc w:val="both"/>
        <w:rPr>
          <w:rFonts w:ascii="Arial" w:eastAsia="Times New Roman" w:hAnsi="Arial" w:cs="Arial"/>
          <w:bCs/>
          <w:kern w:val="1"/>
          <w:lang w:eastAsia="ar-SA"/>
        </w:rPr>
      </w:pPr>
    </w:p>
    <w:p w14:paraId="4876430E" w14:textId="77777777" w:rsidR="00516CE5" w:rsidRDefault="00516CE5" w:rsidP="00516CE5">
      <w:pPr>
        <w:spacing w:after="0"/>
        <w:contextualSpacing/>
        <w:mirrorIndents/>
        <w:jc w:val="both"/>
        <w:rPr>
          <w:rFonts w:ascii="Arial" w:eastAsia="Times New Roman" w:hAnsi="Arial" w:cs="Arial"/>
          <w:bCs/>
          <w:kern w:val="1"/>
          <w:lang w:eastAsia="ar-SA"/>
        </w:rPr>
      </w:pPr>
      <w:r>
        <w:rPr>
          <w:rFonts w:ascii="Arial" w:eastAsia="Times New Roman" w:hAnsi="Arial" w:cs="Arial"/>
          <w:bCs/>
          <w:kern w:val="1"/>
          <w:lang w:eastAsia="ar-SA"/>
        </w:rPr>
        <w:t>Como se ha señalado en el Análisis sobre el Mercado de Operadores Móviles Virtuales 2023</w:t>
      </w:r>
      <w:r>
        <w:rPr>
          <w:rStyle w:val="Refdenotaalpie"/>
          <w:rFonts w:ascii="Arial" w:eastAsia="Times New Roman" w:hAnsi="Arial" w:cs="Arial"/>
          <w:bCs/>
          <w:kern w:val="1"/>
          <w:lang w:eastAsia="ar-SA"/>
        </w:rPr>
        <w:footnoteReference w:id="2"/>
      </w:r>
      <w:r>
        <w:rPr>
          <w:rFonts w:ascii="Arial" w:eastAsia="Times New Roman" w:hAnsi="Arial" w:cs="Arial"/>
          <w:bCs/>
          <w:kern w:val="1"/>
          <w:lang w:eastAsia="ar-SA"/>
        </w:rPr>
        <w:t>, elaborado por la Coordinación General de Planeación estratégica (CGPE) del Instituto, de 2020 a 2022 se experimentó un crecimiento del 312.7% de las líneas del servicio móvil de telefonía OMV, atribuible a diferentes factores como la fidelización de sus clientes y la oferta de servicios más económicos y personalizados. Lo anterior se observa como una participación del 7.7% del total del mercado de líneas de telefonía móvil en el país por parte de los OMV, contabilizando 10,525,271 líneas correspondientes a111 OMV identificados en dicho Análisis.</w:t>
      </w:r>
    </w:p>
    <w:p w14:paraId="7BF75D2E" w14:textId="77777777" w:rsidR="00516CE5" w:rsidRDefault="00516CE5" w:rsidP="00516CE5">
      <w:pPr>
        <w:spacing w:after="0"/>
        <w:contextualSpacing/>
        <w:mirrorIndents/>
        <w:jc w:val="both"/>
        <w:rPr>
          <w:rFonts w:ascii="Arial" w:eastAsia="Times New Roman" w:hAnsi="Arial" w:cs="Arial"/>
          <w:bCs/>
          <w:kern w:val="1"/>
          <w:lang w:eastAsia="ar-SA"/>
        </w:rPr>
      </w:pPr>
    </w:p>
    <w:p w14:paraId="5BBE9988" w14:textId="77777777" w:rsidR="00516CE5" w:rsidRDefault="00516CE5" w:rsidP="00516CE5">
      <w:pPr>
        <w:spacing w:after="0"/>
        <w:contextualSpacing/>
        <w:mirrorIndents/>
        <w:jc w:val="both"/>
        <w:rPr>
          <w:rFonts w:ascii="Arial" w:eastAsia="Times New Roman" w:hAnsi="Arial" w:cs="Arial"/>
          <w:bCs/>
          <w:kern w:val="1"/>
          <w:lang w:eastAsia="ar-SA"/>
        </w:rPr>
      </w:pPr>
      <w:r>
        <w:rPr>
          <w:rFonts w:ascii="Arial" w:eastAsia="Times New Roman" w:hAnsi="Arial" w:cs="Arial"/>
          <w:bCs/>
          <w:kern w:val="1"/>
          <w:lang w:eastAsia="ar-SA"/>
        </w:rPr>
        <w:t xml:space="preserve">No obstante, si bien la cantidad de OMV que entran al mercado presenta un incremento año con año, pasando de un promedio de entre 6 y 7 OMV de 2014 a 2019, a ser un promedio de 53 nuevos OMV que iniciaron operaciones entre 2021 y 2022, los datos del mencionado Análisis también señalan que diferentes OMV han dejado de prestar servicios a sus usuarios en los años recientes. </w:t>
      </w:r>
    </w:p>
    <w:p w14:paraId="3A14DEEF" w14:textId="77777777" w:rsidR="00516CE5" w:rsidRDefault="00516CE5" w:rsidP="00516CE5">
      <w:pPr>
        <w:spacing w:after="0"/>
        <w:contextualSpacing/>
        <w:mirrorIndents/>
        <w:jc w:val="both"/>
        <w:rPr>
          <w:rFonts w:ascii="Arial" w:eastAsia="Times New Roman" w:hAnsi="Arial" w:cs="Arial"/>
          <w:bCs/>
          <w:kern w:val="1"/>
          <w:lang w:eastAsia="ar-SA"/>
        </w:rPr>
      </w:pPr>
    </w:p>
    <w:p w14:paraId="4DB93936" w14:textId="77777777" w:rsidR="00516CE5" w:rsidRDefault="00516CE5" w:rsidP="00516CE5">
      <w:pPr>
        <w:spacing w:after="0"/>
        <w:contextualSpacing/>
        <w:mirrorIndents/>
        <w:jc w:val="both"/>
        <w:rPr>
          <w:rFonts w:ascii="Arial" w:eastAsia="Times New Roman" w:hAnsi="Arial" w:cs="Arial"/>
          <w:bCs/>
          <w:kern w:val="1"/>
          <w:lang w:eastAsia="ar-SA"/>
        </w:rPr>
      </w:pPr>
      <w:r>
        <w:rPr>
          <w:rFonts w:ascii="Arial" w:eastAsia="Times New Roman" w:hAnsi="Arial" w:cs="Arial"/>
          <w:bCs/>
          <w:kern w:val="1"/>
          <w:lang w:eastAsia="ar-SA"/>
        </w:rPr>
        <w:t xml:space="preserve">Casos de OMV como </w:t>
      </w:r>
      <w:proofErr w:type="spellStart"/>
      <w:r w:rsidRPr="005D3DD7">
        <w:rPr>
          <w:rFonts w:ascii="Arial" w:eastAsia="Times New Roman" w:hAnsi="Arial" w:cs="Arial"/>
          <w:bCs/>
          <w:kern w:val="1"/>
          <w:lang w:eastAsia="ar-SA"/>
        </w:rPr>
        <w:t>Simpati</w:t>
      </w:r>
      <w:proofErr w:type="spellEnd"/>
      <w:r w:rsidRPr="005D3DD7">
        <w:rPr>
          <w:rFonts w:ascii="Arial" w:eastAsia="Times New Roman" w:hAnsi="Arial" w:cs="Arial"/>
          <w:bCs/>
          <w:kern w:val="1"/>
          <w:lang w:eastAsia="ar-SA"/>
        </w:rPr>
        <w:t xml:space="preserve"> (Celmex Innova S.A.P.I. de C.V.)</w:t>
      </w:r>
      <w:r>
        <w:rPr>
          <w:rFonts w:ascii="Arial" w:eastAsia="Times New Roman" w:hAnsi="Arial" w:cs="Arial"/>
          <w:bCs/>
          <w:kern w:val="1"/>
          <w:lang w:eastAsia="ar-SA"/>
        </w:rPr>
        <w:t xml:space="preserve"> quien notificó al Instituto el cese de la prestación de servicios, y la renuncia de su autorización para </w:t>
      </w:r>
      <w:r w:rsidRPr="003B4B3A">
        <w:rPr>
          <w:rFonts w:ascii="Arial" w:eastAsia="Times New Roman" w:hAnsi="Arial" w:cs="Arial"/>
          <w:bCs/>
          <w:kern w:val="1"/>
          <w:lang w:eastAsia="ar-SA"/>
        </w:rPr>
        <w:t xml:space="preserve">establecer y operar </w:t>
      </w:r>
      <w:r>
        <w:rPr>
          <w:rFonts w:ascii="Arial" w:eastAsia="Times New Roman" w:hAnsi="Arial" w:cs="Arial"/>
          <w:bCs/>
          <w:kern w:val="1"/>
          <w:lang w:eastAsia="ar-SA"/>
        </w:rPr>
        <w:t xml:space="preserve">o </w:t>
      </w:r>
      <w:r w:rsidRPr="003B4B3A">
        <w:rPr>
          <w:rFonts w:ascii="Arial" w:eastAsia="Times New Roman" w:hAnsi="Arial" w:cs="Arial"/>
          <w:bCs/>
          <w:kern w:val="1"/>
          <w:lang w:eastAsia="ar-SA"/>
        </w:rPr>
        <w:t>explotar una comercializadora de servicios de telecomunicaciones en</w:t>
      </w:r>
      <w:r>
        <w:rPr>
          <w:rFonts w:ascii="Arial" w:eastAsia="Times New Roman" w:hAnsi="Arial" w:cs="Arial"/>
          <w:bCs/>
          <w:kern w:val="1"/>
          <w:lang w:eastAsia="ar-SA"/>
        </w:rPr>
        <w:t xml:space="preserve"> </w:t>
      </w:r>
      <w:r w:rsidRPr="003B4B3A">
        <w:rPr>
          <w:rFonts w:ascii="Arial" w:eastAsia="Times New Roman" w:hAnsi="Arial" w:cs="Arial"/>
          <w:bCs/>
          <w:kern w:val="1"/>
          <w:lang w:eastAsia="ar-SA"/>
        </w:rPr>
        <w:t>202</w:t>
      </w:r>
      <w:r>
        <w:rPr>
          <w:rFonts w:ascii="Arial" w:eastAsia="Times New Roman" w:hAnsi="Arial" w:cs="Arial"/>
          <w:bCs/>
          <w:kern w:val="1"/>
          <w:lang w:eastAsia="ar-SA"/>
        </w:rPr>
        <w:t xml:space="preserve">2; o </w:t>
      </w:r>
      <w:r w:rsidRPr="00FE015E">
        <w:rPr>
          <w:rFonts w:ascii="Arial" w:eastAsia="Times New Roman" w:hAnsi="Arial" w:cs="Arial"/>
          <w:bCs/>
          <w:kern w:val="1"/>
          <w:lang w:eastAsia="ar-SA"/>
        </w:rPr>
        <w:t>Yo Mobile (</w:t>
      </w:r>
      <w:proofErr w:type="spellStart"/>
      <w:r w:rsidRPr="00FE015E">
        <w:rPr>
          <w:rFonts w:ascii="Arial" w:eastAsia="Times New Roman" w:hAnsi="Arial" w:cs="Arial"/>
          <w:bCs/>
          <w:kern w:val="1"/>
          <w:lang w:eastAsia="ar-SA"/>
        </w:rPr>
        <w:t>Yonder</w:t>
      </w:r>
      <w:proofErr w:type="spellEnd"/>
      <w:r w:rsidRPr="00FE015E">
        <w:rPr>
          <w:rFonts w:ascii="Arial" w:eastAsia="Times New Roman" w:hAnsi="Arial" w:cs="Arial"/>
          <w:bCs/>
          <w:kern w:val="1"/>
          <w:lang w:eastAsia="ar-SA"/>
        </w:rPr>
        <w:t xml:space="preserve"> Media Mobile México, S. de R.L. de C.V.) </w:t>
      </w:r>
      <w:r>
        <w:rPr>
          <w:rFonts w:ascii="Arial" w:eastAsia="Times New Roman" w:hAnsi="Arial" w:cs="Arial"/>
          <w:bCs/>
          <w:kern w:val="1"/>
          <w:lang w:eastAsia="ar-SA"/>
        </w:rPr>
        <w:t xml:space="preserve">que </w:t>
      </w:r>
      <w:r w:rsidRPr="00FE015E">
        <w:rPr>
          <w:rFonts w:ascii="Arial" w:eastAsia="Times New Roman" w:hAnsi="Arial" w:cs="Arial"/>
          <w:bCs/>
          <w:kern w:val="1"/>
          <w:lang w:eastAsia="ar-SA"/>
        </w:rPr>
        <w:t>dejó de prestar servicios de telecomunicaciones durante 2022</w:t>
      </w:r>
      <w:r>
        <w:rPr>
          <w:rFonts w:ascii="Arial" w:eastAsia="Times New Roman" w:hAnsi="Arial" w:cs="Arial"/>
          <w:bCs/>
          <w:kern w:val="1"/>
          <w:lang w:eastAsia="ar-SA"/>
        </w:rPr>
        <w:t xml:space="preserve">, establecen antecedentes para una situación que podría afectar a los usuarios finales, además de la pérdida de líneas móviles para el sector de telecomunicaciones, puesto que el número de portaciones completadas de usuarios de estos OMV hacia las redes de otros prestadores de servicios es claramente bajo. </w:t>
      </w:r>
    </w:p>
    <w:p w14:paraId="55D4A3E8" w14:textId="77777777" w:rsidR="00516CE5" w:rsidRDefault="00516CE5" w:rsidP="00516CE5">
      <w:pPr>
        <w:spacing w:after="0"/>
        <w:contextualSpacing/>
        <w:mirrorIndents/>
        <w:jc w:val="both"/>
        <w:rPr>
          <w:rFonts w:ascii="Arial" w:eastAsia="Times New Roman" w:hAnsi="Arial" w:cs="Arial"/>
          <w:bCs/>
          <w:kern w:val="1"/>
          <w:lang w:eastAsia="ar-SA"/>
        </w:rPr>
      </w:pPr>
    </w:p>
    <w:p w14:paraId="59A0EC92" w14:textId="77777777" w:rsidR="00516CE5" w:rsidRPr="00DE0E5A" w:rsidRDefault="00516CE5" w:rsidP="00516CE5">
      <w:pPr>
        <w:spacing w:after="0"/>
        <w:jc w:val="center"/>
        <w:rPr>
          <w:rFonts w:ascii="Arial" w:eastAsia="Times New Roman" w:hAnsi="Arial" w:cs="Arial"/>
          <w:bCs/>
          <w:kern w:val="1"/>
          <w:sz w:val="18"/>
          <w:szCs w:val="18"/>
          <w:lang w:eastAsia="ar-SA"/>
        </w:rPr>
      </w:pPr>
      <w:r w:rsidRPr="00DE0E5A">
        <w:rPr>
          <w:rFonts w:ascii="Arial" w:eastAsia="Times New Roman" w:hAnsi="Arial" w:cs="Arial"/>
          <w:bCs/>
          <w:kern w:val="1"/>
          <w:sz w:val="18"/>
          <w:szCs w:val="18"/>
          <w:lang w:eastAsia="ar-SA"/>
        </w:rPr>
        <w:t xml:space="preserve">Tabla 1. </w:t>
      </w:r>
      <w:r>
        <w:rPr>
          <w:rFonts w:ascii="Arial" w:eastAsia="Times New Roman" w:hAnsi="Arial" w:cs="Arial"/>
          <w:bCs/>
          <w:kern w:val="1"/>
          <w:sz w:val="18"/>
          <w:szCs w:val="18"/>
          <w:lang w:eastAsia="ar-SA"/>
        </w:rPr>
        <w:t>Portaciones completas en OMV que cesaron operaciones.</w:t>
      </w:r>
    </w:p>
    <w:tbl>
      <w:tblPr>
        <w:tblStyle w:val="Tabladelista4-nfasis6"/>
        <w:tblW w:w="9394" w:type="dxa"/>
        <w:jc w:val="center"/>
        <w:tblLook w:val="0420" w:firstRow="1" w:lastRow="0" w:firstColumn="0" w:lastColumn="0" w:noHBand="0" w:noVBand="1"/>
      </w:tblPr>
      <w:tblGrid>
        <w:gridCol w:w="1697"/>
        <w:gridCol w:w="2301"/>
        <w:gridCol w:w="1393"/>
        <w:gridCol w:w="1662"/>
        <w:gridCol w:w="2341"/>
      </w:tblGrid>
      <w:tr w:rsidR="00516CE5" w:rsidRPr="00AC1138" w14:paraId="225EEBA5" w14:textId="77777777">
        <w:trPr>
          <w:cnfStyle w:val="100000000000" w:firstRow="1" w:lastRow="0" w:firstColumn="0" w:lastColumn="0" w:oddVBand="0" w:evenVBand="0" w:oddHBand="0" w:evenHBand="0" w:firstRowFirstColumn="0" w:firstRowLastColumn="0" w:lastRowFirstColumn="0" w:lastRowLastColumn="0"/>
          <w:trHeight w:val="798"/>
          <w:jc w:val="center"/>
        </w:trPr>
        <w:tc>
          <w:tcPr>
            <w:tcW w:w="1697" w:type="dxa"/>
            <w:hideMark/>
          </w:tcPr>
          <w:p w14:paraId="0DA08F75" w14:textId="77777777" w:rsidR="00516CE5" w:rsidRPr="00DB7E31" w:rsidRDefault="00516CE5">
            <w:pPr>
              <w:spacing w:after="0"/>
              <w:contextualSpacing/>
              <w:mirrorIndents/>
              <w:jc w:val="center"/>
              <w:rPr>
                <w:rFonts w:ascii="Arial" w:eastAsia="Times New Roman" w:hAnsi="Arial" w:cs="Arial"/>
                <w:kern w:val="1"/>
                <w:sz w:val="18"/>
                <w:szCs w:val="18"/>
                <w:lang w:val="es-MX" w:eastAsia="ar-SA"/>
              </w:rPr>
            </w:pPr>
            <w:r w:rsidRPr="00DB7E31">
              <w:rPr>
                <w:rFonts w:ascii="Arial" w:eastAsia="Times New Roman" w:hAnsi="Arial" w:cs="Arial"/>
                <w:kern w:val="1"/>
                <w:sz w:val="18"/>
                <w:szCs w:val="18"/>
                <w:lang w:val="es-MX" w:eastAsia="ar-SA"/>
              </w:rPr>
              <w:t>OMV</w:t>
            </w:r>
          </w:p>
        </w:tc>
        <w:tc>
          <w:tcPr>
            <w:tcW w:w="2301" w:type="dxa"/>
            <w:hideMark/>
          </w:tcPr>
          <w:p w14:paraId="63AC3CFD" w14:textId="77777777" w:rsidR="00516CE5" w:rsidRPr="00DB7E31" w:rsidRDefault="00516CE5">
            <w:pPr>
              <w:spacing w:after="0"/>
              <w:contextualSpacing/>
              <w:mirrorIndents/>
              <w:jc w:val="center"/>
              <w:rPr>
                <w:rFonts w:ascii="Arial" w:eastAsia="Times New Roman" w:hAnsi="Arial" w:cs="Arial"/>
                <w:kern w:val="1"/>
                <w:sz w:val="18"/>
                <w:szCs w:val="18"/>
                <w:lang w:val="es-MX" w:eastAsia="ar-SA"/>
              </w:rPr>
            </w:pPr>
            <w:r w:rsidRPr="00DB7E31">
              <w:rPr>
                <w:rFonts w:ascii="Arial" w:eastAsia="Times New Roman" w:hAnsi="Arial" w:cs="Arial"/>
                <w:kern w:val="1"/>
                <w:sz w:val="18"/>
                <w:szCs w:val="18"/>
                <w:lang w:val="es-MX" w:eastAsia="ar-SA"/>
              </w:rPr>
              <w:t xml:space="preserve">Fecha </w:t>
            </w:r>
            <w:r>
              <w:rPr>
                <w:rFonts w:ascii="Arial" w:eastAsia="Times New Roman" w:hAnsi="Arial" w:cs="Arial"/>
                <w:kern w:val="1"/>
                <w:sz w:val="18"/>
                <w:szCs w:val="18"/>
                <w:lang w:val="es-MX" w:eastAsia="ar-SA"/>
              </w:rPr>
              <w:t>cese</w:t>
            </w:r>
            <w:r w:rsidRPr="00DB7E31">
              <w:rPr>
                <w:rFonts w:ascii="Arial" w:eastAsia="Times New Roman" w:hAnsi="Arial" w:cs="Arial"/>
                <w:kern w:val="1"/>
                <w:sz w:val="18"/>
                <w:szCs w:val="18"/>
                <w:lang w:val="es-MX" w:eastAsia="ar-SA"/>
              </w:rPr>
              <w:t xml:space="preserve"> de operaciones</w:t>
            </w:r>
          </w:p>
        </w:tc>
        <w:tc>
          <w:tcPr>
            <w:tcW w:w="1393" w:type="dxa"/>
          </w:tcPr>
          <w:p w14:paraId="61ACACAB" w14:textId="77777777" w:rsidR="00516CE5" w:rsidRPr="0046547A" w:rsidRDefault="00516CE5">
            <w:pPr>
              <w:spacing w:after="0"/>
              <w:contextualSpacing/>
              <w:mirrorIndents/>
              <w:jc w:val="center"/>
              <w:rPr>
                <w:rFonts w:ascii="Arial" w:eastAsia="Times New Roman" w:hAnsi="Arial" w:cs="Arial"/>
                <w:kern w:val="1"/>
                <w:sz w:val="18"/>
                <w:szCs w:val="18"/>
                <w:lang w:val="es-MX" w:eastAsia="ar-SA"/>
              </w:rPr>
            </w:pPr>
            <w:r w:rsidRPr="0046547A">
              <w:rPr>
                <w:rFonts w:ascii="Arial" w:eastAsia="Times New Roman" w:hAnsi="Arial" w:cs="Arial"/>
                <w:kern w:val="1"/>
                <w:sz w:val="18"/>
                <w:szCs w:val="18"/>
                <w:lang w:val="es-MX" w:eastAsia="ar-SA"/>
              </w:rPr>
              <w:t>Estatus Autorización</w:t>
            </w:r>
          </w:p>
        </w:tc>
        <w:tc>
          <w:tcPr>
            <w:tcW w:w="1662" w:type="dxa"/>
            <w:hideMark/>
          </w:tcPr>
          <w:p w14:paraId="38691881" w14:textId="77777777" w:rsidR="00516CE5" w:rsidRDefault="00516CE5">
            <w:pPr>
              <w:spacing w:after="0"/>
              <w:contextualSpacing/>
              <w:mirrorIndents/>
              <w:jc w:val="center"/>
              <w:rPr>
                <w:rFonts w:ascii="Arial" w:eastAsia="Times New Roman" w:hAnsi="Arial" w:cs="Arial"/>
                <w:b w:val="0"/>
                <w:bCs w:val="0"/>
                <w:kern w:val="1"/>
                <w:sz w:val="18"/>
                <w:szCs w:val="18"/>
                <w:lang w:val="es-MX" w:eastAsia="ar-SA"/>
              </w:rPr>
            </w:pPr>
            <w:r w:rsidRPr="00DB7E31">
              <w:rPr>
                <w:rFonts w:ascii="Arial" w:eastAsia="Times New Roman" w:hAnsi="Arial" w:cs="Arial"/>
                <w:kern w:val="1"/>
                <w:sz w:val="18"/>
                <w:szCs w:val="18"/>
                <w:lang w:val="es-MX" w:eastAsia="ar-SA"/>
              </w:rPr>
              <w:t xml:space="preserve">Usuarios al </w:t>
            </w:r>
            <w:r>
              <w:rPr>
                <w:rFonts w:ascii="Arial" w:eastAsia="Times New Roman" w:hAnsi="Arial" w:cs="Arial"/>
                <w:kern w:val="1"/>
                <w:sz w:val="18"/>
                <w:szCs w:val="18"/>
                <w:lang w:val="es-MX" w:eastAsia="ar-SA"/>
              </w:rPr>
              <w:t>cese</w:t>
            </w:r>
            <w:r w:rsidRPr="00DB7E31">
              <w:rPr>
                <w:rFonts w:ascii="Arial" w:eastAsia="Times New Roman" w:hAnsi="Arial" w:cs="Arial"/>
                <w:kern w:val="1"/>
                <w:sz w:val="18"/>
                <w:szCs w:val="18"/>
                <w:lang w:val="es-MX" w:eastAsia="ar-SA"/>
              </w:rPr>
              <w:t xml:space="preserve"> de operaciones</w:t>
            </w:r>
          </w:p>
          <w:p w14:paraId="32DDD46C" w14:textId="77777777" w:rsidR="00516CE5" w:rsidRDefault="00516CE5">
            <w:pPr>
              <w:spacing w:after="0"/>
              <w:contextualSpacing/>
              <w:mirrorIndents/>
              <w:jc w:val="center"/>
              <w:rPr>
                <w:rFonts w:ascii="Arial" w:eastAsia="Times New Roman" w:hAnsi="Arial" w:cs="Arial"/>
                <w:b w:val="0"/>
                <w:bCs w:val="0"/>
                <w:kern w:val="1"/>
                <w:sz w:val="18"/>
                <w:szCs w:val="18"/>
                <w:lang w:val="es-MX" w:eastAsia="ar-SA"/>
              </w:rPr>
            </w:pPr>
            <w:r>
              <w:rPr>
                <w:rFonts w:ascii="Arial" w:eastAsia="Times New Roman" w:hAnsi="Arial" w:cs="Arial"/>
                <w:kern w:val="1"/>
                <w:sz w:val="18"/>
                <w:szCs w:val="18"/>
                <w:lang w:val="es-MX" w:eastAsia="ar-SA"/>
              </w:rPr>
              <w:t>(último dato reportado)</w:t>
            </w:r>
          </w:p>
          <w:p w14:paraId="032AF89F" w14:textId="77777777" w:rsidR="00516CE5" w:rsidRPr="00DB7E31" w:rsidRDefault="00516CE5">
            <w:pPr>
              <w:spacing w:after="0"/>
              <w:contextualSpacing/>
              <w:mirrorIndents/>
              <w:jc w:val="center"/>
              <w:rPr>
                <w:rFonts w:ascii="Arial" w:eastAsia="Times New Roman" w:hAnsi="Arial" w:cs="Arial"/>
                <w:kern w:val="1"/>
                <w:sz w:val="18"/>
                <w:szCs w:val="18"/>
                <w:lang w:val="es-MX" w:eastAsia="ar-SA"/>
              </w:rPr>
            </w:pPr>
          </w:p>
        </w:tc>
        <w:tc>
          <w:tcPr>
            <w:tcW w:w="2341" w:type="dxa"/>
            <w:hideMark/>
          </w:tcPr>
          <w:p w14:paraId="2290A6E2" w14:textId="77777777" w:rsidR="00516CE5" w:rsidRPr="00DB7E31" w:rsidRDefault="00516CE5">
            <w:pPr>
              <w:spacing w:after="0"/>
              <w:contextualSpacing/>
              <w:mirrorIndents/>
              <w:jc w:val="center"/>
              <w:rPr>
                <w:rFonts w:ascii="Arial" w:eastAsia="Times New Roman" w:hAnsi="Arial" w:cs="Arial"/>
                <w:kern w:val="1"/>
                <w:sz w:val="18"/>
                <w:szCs w:val="18"/>
                <w:lang w:val="es-MX" w:eastAsia="ar-SA"/>
              </w:rPr>
            </w:pPr>
            <w:r>
              <w:rPr>
                <w:rFonts w:ascii="Arial" w:eastAsia="Times New Roman" w:hAnsi="Arial" w:cs="Arial"/>
                <w:kern w:val="1"/>
                <w:sz w:val="18"/>
                <w:szCs w:val="18"/>
                <w:lang w:val="es-MX" w:eastAsia="ar-SA"/>
              </w:rPr>
              <w:t>Portaciones</w:t>
            </w:r>
            <w:r w:rsidRPr="00DB7E31">
              <w:rPr>
                <w:rFonts w:ascii="Arial" w:eastAsia="Times New Roman" w:hAnsi="Arial" w:cs="Arial"/>
                <w:kern w:val="1"/>
                <w:sz w:val="18"/>
                <w:szCs w:val="18"/>
                <w:lang w:val="es-MX" w:eastAsia="ar-SA"/>
              </w:rPr>
              <w:t xml:space="preserve"> donadas dentro los últimos 30 días de operación más el plazo de recuperación</w:t>
            </w:r>
            <w:r>
              <w:rPr>
                <w:rStyle w:val="Refdenotaalpie"/>
                <w:rFonts w:ascii="Arial" w:eastAsia="Times New Roman" w:hAnsi="Arial" w:cs="Arial"/>
                <w:kern w:val="1"/>
                <w:sz w:val="18"/>
                <w:szCs w:val="18"/>
                <w:lang w:val="es-MX" w:eastAsia="ar-SA"/>
              </w:rPr>
              <w:footnoteReference w:id="3"/>
            </w:r>
          </w:p>
        </w:tc>
      </w:tr>
      <w:tr w:rsidR="00516CE5" w:rsidRPr="00AC1138" w14:paraId="15072559" w14:textId="77777777">
        <w:trPr>
          <w:cnfStyle w:val="000000100000" w:firstRow="0" w:lastRow="0" w:firstColumn="0" w:lastColumn="0" w:oddVBand="0" w:evenVBand="0" w:oddHBand="1" w:evenHBand="0" w:firstRowFirstColumn="0" w:firstRowLastColumn="0" w:lastRowFirstColumn="0" w:lastRowLastColumn="0"/>
          <w:trHeight w:val="308"/>
          <w:jc w:val="center"/>
        </w:trPr>
        <w:tc>
          <w:tcPr>
            <w:tcW w:w="1697" w:type="dxa"/>
            <w:hideMark/>
          </w:tcPr>
          <w:p w14:paraId="2E82E49F" w14:textId="77777777" w:rsidR="00516CE5" w:rsidRPr="00C40C29" w:rsidRDefault="00516CE5">
            <w:pPr>
              <w:spacing w:after="0"/>
              <w:contextualSpacing/>
              <w:mirrorIndents/>
              <w:jc w:val="center"/>
              <w:rPr>
                <w:rFonts w:ascii="Arial" w:eastAsia="Times New Roman" w:hAnsi="Arial" w:cs="Arial"/>
                <w:bCs/>
                <w:kern w:val="1"/>
                <w:sz w:val="18"/>
                <w:szCs w:val="18"/>
                <w:lang w:val="es-MX" w:eastAsia="ar-SA"/>
              </w:rPr>
            </w:pPr>
            <w:r w:rsidRPr="00C40C29">
              <w:rPr>
                <w:rFonts w:ascii="Arial" w:eastAsia="Times New Roman" w:hAnsi="Arial" w:cs="Arial"/>
                <w:bCs/>
                <w:kern w:val="1"/>
                <w:sz w:val="18"/>
                <w:szCs w:val="18"/>
                <w:lang w:val="es-MX" w:eastAsia="ar-SA"/>
              </w:rPr>
              <w:t>Cierto</w:t>
            </w:r>
          </w:p>
          <w:p w14:paraId="6E896CC5" w14:textId="77777777" w:rsidR="00516CE5" w:rsidRPr="00DB7E31" w:rsidRDefault="00516CE5">
            <w:pPr>
              <w:spacing w:after="0"/>
              <w:contextualSpacing/>
              <w:mirrorIndents/>
              <w:jc w:val="center"/>
              <w:rPr>
                <w:rFonts w:ascii="Arial" w:eastAsia="Times New Roman" w:hAnsi="Arial" w:cs="Arial"/>
                <w:bCs/>
                <w:kern w:val="1"/>
                <w:sz w:val="18"/>
                <w:szCs w:val="18"/>
                <w:lang w:val="es-MX" w:eastAsia="ar-SA"/>
              </w:rPr>
            </w:pPr>
            <w:r w:rsidRPr="00C40C29">
              <w:rPr>
                <w:rFonts w:ascii="Arial" w:eastAsia="Times New Roman" w:hAnsi="Arial" w:cs="Arial"/>
                <w:bCs/>
                <w:kern w:val="1"/>
                <w:sz w:val="18"/>
                <w:szCs w:val="18"/>
                <w:lang w:val="es-MX" w:eastAsia="ar-SA"/>
              </w:rPr>
              <w:t>(</w:t>
            </w:r>
            <w:proofErr w:type="spellStart"/>
            <w:r w:rsidRPr="00C40C29">
              <w:rPr>
                <w:rFonts w:ascii="Arial" w:eastAsia="Times New Roman" w:hAnsi="Arial" w:cs="Arial"/>
                <w:bCs/>
                <w:kern w:val="1"/>
                <w:sz w:val="18"/>
                <w:szCs w:val="18"/>
                <w:lang w:val="es-MX" w:eastAsia="ar-SA"/>
              </w:rPr>
              <w:t>Teligentia</w:t>
            </w:r>
            <w:proofErr w:type="spellEnd"/>
            <w:r w:rsidRPr="00C40C29">
              <w:rPr>
                <w:rFonts w:ascii="Arial" w:eastAsia="Times New Roman" w:hAnsi="Arial" w:cs="Arial"/>
                <w:bCs/>
                <w:kern w:val="1"/>
                <w:sz w:val="18"/>
                <w:szCs w:val="18"/>
                <w:lang w:val="es-MX" w:eastAsia="ar-SA"/>
              </w:rPr>
              <w:t xml:space="preserve">, S.A. </w:t>
            </w:r>
            <w:r>
              <w:rPr>
                <w:rFonts w:ascii="Arial" w:eastAsia="Times New Roman" w:hAnsi="Arial" w:cs="Arial"/>
                <w:bCs/>
                <w:kern w:val="1"/>
                <w:sz w:val="18"/>
                <w:szCs w:val="18"/>
                <w:lang w:val="es-MX" w:eastAsia="ar-SA"/>
              </w:rPr>
              <w:t>de</w:t>
            </w:r>
            <w:r w:rsidRPr="00C40C29">
              <w:rPr>
                <w:rFonts w:ascii="Arial" w:eastAsia="Times New Roman" w:hAnsi="Arial" w:cs="Arial"/>
                <w:bCs/>
                <w:kern w:val="1"/>
                <w:sz w:val="18"/>
                <w:szCs w:val="18"/>
                <w:lang w:val="es-MX" w:eastAsia="ar-SA"/>
              </w:rPr>
              <w:t xml:space="preserve"> C.V</w:t>
            </w:r>
            <w:r>
              <w:rPr>
                <w:rFonts w:ascii="Arial" w:eastAsia="Times New Roman" w:hAnsi="Arial" w:cs="Arial"/>
                <w:bCs/>
                <w:kern w:val="1"/>
                <w:sz w:val="18"/>
                <w:szCs w:val="18"/>
                <w:lang w:val="es-MX" w:eastAsia="ar-SA"/>
              </w:rPr>
              <w:t>.</w:t>
            </w:r>
            <w:r w:rsidRPr="00C40C29">
              <w:rPr>
                <w:rFonts w:ascii="Arial" w:eastAsia="Times New Roman" w:hAnsi="Arial" w:cs="Arial"/>
                <w:bCs/>
                <w:kern w:val="1"/>
                <w:sz w:val="18"/>
                <w:szCs w:val="18"/>
                <w:lang w:val="es-MX" w:eastAsia="ar-SA"/>
              </w:rPr>
              <w:t>)</w:t>
            </w:r>
          </w:p>
        </w:tc>
        <w:tc>
          <w:tcPr>
            <w:tcW w:w="2301" w:type="dxa"/>
            <w:hideMark/>
          </w:tcPr>
          <w:p w14:paraId="291EA692" w14:textId="77777777" w:rsidR="00516CE5" w:rsidRPr="00DB7E31" w:rsidRDefault="00516CE5">
            <w:pPr>
              <w:spacing w:after="0"/>
              <w:contextualSpacing/>
              <w:mirrorIndents/>
              <w:jc w:val="center"/>
              <w:rPr>
                <w:rFonts w:ascii="Arial" w:eastAsia="Times New Roman" w:hAnsi="Arial" w:cs="Arial"/>
                <w:bCs/>
                <w:kern w:val="1"/>
                <w:sz w:val="18"/>
                <w:szCs w:val="18"/>
                <w:lang w:val="es-MX" w:eastAsia="ar-SA"/>
              </w:rPr>
            </w:pPr>
            <w:r>
              <w:rPr>
                <w:rFonts w:ascii="Arial" w:eastAsia="Times New Roman" w:hAnsi="Arial" w:cs="Arial"/>
                <w:bCs/>
                <w:kern w:val="1"/>
                <w:sz w:val="18"/>
                <w:szCs w:val="18"/>
                <w:lang w:val="es-MX" w:eastAsia="ar-SA"/>
              </w:rPr>
              <w:t>21 de octubre de 2020</w:t>
            </w:r>
          </w:p>
        </w:tc>
        <w:tc>
          <w:tcPr>
            <w:tcW w:w="1393" w:type="dxa"/>
          </w:tcPr>
          <w:p w14:paraId="17E90330" w14:textId="77777777" w:rsidR="00516CE5" w:rsidRDefault="00516CE5">
            <w:pPr>
              <w:spacing w:after="0"/>
              <w:contextualSpacing/>
              <w:mirrorIndents/>
              <w:jc w:val="center"/>
              <w:rPr>
                <w:rFonts w:ascii="Arial" w:eastAsia="Times New Roman" w:hAnsi="Arial" w:cs="Arial"/>
                <w:bCs/>
                <w:kern w:val="1"/>
                <w:sz w:val="18"/>
                <w:szCs w:val="18"/>
                <w:lang w:val="es-MX" w:eastAsia="ar-SA"/>
              </w:rPr>
            </w:pPr>
            <w:r>
              <w:rPr>
                <w:rFonts w:ascii="Arial" w:eastAsia="Times New Roman" w:hAnsi="Arial" w:cs="Arial"/>
                <w:bCs/>
                <w:kern w:val="1"/>
                <w:sz w:val="18"/>
                <w:szCs w:val="18"/>
                <w:lang w:val="es-MX" w:eastAsia="ar-SA"/>
              </w:rPr>
              <w:t>Renuncia</w:t>
            </w:r>
          </w:p>
        </w:tc>
        <w:tc>
          <w:tcPr>
            <w:tcW w:w="1662" w:type="dxa"/>
            <w:hideMark/>
          </w:tcPr>
          <w:p w14:paraId="612BFB3D" w14:textId="77777777" w:rsidR="00516CE5" w:rsidRDefault="00516CE5">
            <w:pPr>
              <w:spacing w:after="0"/>
              <w:jc w:val="center"/>
              <w:rPr>
                <w:rFonts w:ascii="Arial" w:eastAsia="Times New Roman" w:hAnsi="Arial" w:cs="Arial"/>
                <w:bCs/>
                <w:kern w:val="1"/>
                <w:sz w:val="18"/>
                <w:szCs w:val="18"/>
                <w:lang w:val="es-MX" w:eastAsia="ar-SA"/>
              </w:rPr>
            </w:pPr>
            <w:r>
              <w:rPr>
                <w:rFonts w:ascii="Arial" w:eastAsia="Times New Roman" w:hAnsi="Arial" w:cs="Arial"/>
                <w:bCs/>
                <w:kern w:val="1"/>
                <w:sz w:val="18"/>
                <w:szCs w:val="18"/>
                <w:lang w:val="es-MX" w:eastAsia="ar-SA"/>
              </w:rPr>
              <w:t>6233</w:t>
            </w:r>
          </w:p>
          <w:p w14:paraId="6F5232D7" w14:textId="77777777" w:rsidR="00516CE5" w:rsidRPr="00DB7E31" w:rsidRDefault="00516CE5">
            <w:pPr>
              <w:spacing w:after="0"/>
              <w:jc w:val="center"/>
              <w:rPr>
                <w:rFonts w:ascii="Arial" w:eastAsia="Times New Roman" w:hAnsi="Arial" w:cs="Arial"/>
                <w:sz w:val="18"/>
                <w:szCs w:val="18"/>
                <w:lang w:val="es-MX" w:eastAsia="ar-SA"/>
              </w:rPr>
            </w:pPr>
          </w:p>
        </w:tc>
        <w:tc>
          <w:tcPr>
            <w:tcW w:w="2341" w:type="dxa"/>
            <w:hideMark/>
          </w:tcPr>
          <w:p w14:paraId="3F756096" w14:textId="77777777" w:rsidR="00516CE5" w:rsidRPr="00DB7E31" w:rsidRDefault="00516CE5">
            <w:pPr>
              <w:spacing w:after="0"/>
              <w:contextualSpacing/>
              <w:mirrorIndents/>
              <w:jc w:val="center"/>
              <w:rPr>
                <w:rFonts w:ascii="Arial" w:eastAsia="Times New Roman" w:hAnsi="Arial" w:cs="Arial"/>
                <w:bCs/>
                <w:kern w:val="1"/>
                <w:sz w:val="18"/>
                <w:szCs w:val="18"/>
                <w:lang w:val="es-MX" w:eastAsia="ar-SA"/>
              </w:rPr>
            </w:pPr>
            <w:r>
              <w:rPr>
                <w:rFonts w:ascii="Arial" w:eastAsia="Times New Roman" w:hAnsi="Arial" w:cs="Arial"/>
                <w:bCs/>
                <w:kern w:val="1"/>
                <w:sz w:val="18"/>
                <w:szCs w:val="18"/>
                <w:lang w:val="es-MX" w:eastAsia="ar-SA"/>
              </w:rPr>
              <w:t>2</w:t>
            </w:r>
          </w:p>
        </w:tc>
      </w:tr>
      <w:tr w:rsidR="00516CE5" w:rsidRPr="00AC1138" w14:paraId="57FF15A7" w14:textId="77777777">
        <w:trPr>
          <w:trHeight w:val="308"/>
          <w:jc w:val="center"/>
        </w:trPr>
        <w:tc>
          <w:tcPr>
            <w:tcW w:w="1697" w:type="dxa"/>
            <w:hideMark/>
          </w:tcPr>
          <w:p w14:paraId="4E308C6A" w14:textId="77777777" w:rsidR="00516CE5" w:rsidRPr="00DB7E31" w:rsidRDefault="00516CE5">
            <w:pPr>
              <w:spacing w:after="0"/>
              <w:contextualSpacing/>
              <w:mirrorIndents/>
              <w:jc w:val="center"/>
              <w:rPr>
                <w:rFonts w:ascii="Arial" w:eastAsia="Times New Roman" w:hAnsi="Arial" w:cs="Arial"/>
                <w:bCs/>
                <w:kern w:val="1"/>
                <w:sz w:val="18"/>
                <w:szCs w:val="18"/>
                <w:lang w:val="es-MX" w:eastAsia="ar-SA"/>
              </w:rPr>
            </w:pPr>
            <w:proofErr w:type="spellStart"/>
            <w:r w:rsidRPr="00562F66">
              <w:rPr>
                <w:rFonts w:ascii="Arial" w:eastAsia="Times New Roman" w:hAnsi="Arial" w:cs="Arial"/>
                <w:bCs/>
                <w:kern w:val="1"/>
                <w:sz w:val="18"/>
                <w:szCs w:val="18"/>
                <w:lang w:val="es-MX" w:eastAsia="ar-SA"/>
              </w:rPr>
              <w:lastRenderedPageBreak/>
              <w:t>Compartfon</w:t>
            </w:r>
            <w:proofErr w:type="spellEnd"/>
            <w:r w:rsidRPr="00562F66">
              <w:rPr>
                <w:rFonts w:ascii="Arial" w:eastAsia="Times New Roman" w:hAnsi="Arial" w:cs="Arial"/>
                <w:bCs/>
                <w:kern w:val="1"/>
                <w:sz w:val="18"/>
                <w:szCs w:val="18"/>
                <w:lang w:val="es-MX" w:eastAsia="ar-SA"/>
              </w:rPr>
              <w:t xml:space="preserve"> (</w:t>
            </w:r>
            <w:proofErr w:type="spellStart"/>
            <w:r w:rsidRPr="00562F66">
              <w:rPr>
                <w:rFonts w:ascii="Arial" w:eastAsia="Times New Roman" w:hAnsi="Arial" w:cs="Arial"/>
                <w:bCs/>
                <w:kern w:val="1"/>
                <w:sz w:val="18"/>
                <w:szCs w:val="18"/>
                <w:lang w:val="es-MX" w:eastAsia="ar-SA"/>
              </w:rPr>
              <w:t>Ome</w:t>
            </w:r>
            <w:proofErr w:type="spellEnd"/>
            <w:r w:rsidRPr="00562F66">
              <w:rPr>
                <w:rFonts w:ascii="Arial" w:eastAsia="Times New Roman" w:hAnsi="Arial" w:cs="Arial"/>
                <w:bCs/>
                <w:kern w:val="1"/>
                <w:sz w:val="18"/>
                <w:szCs w:val="18"/>
                <w:lang w:val="es-MX" w:eastAsia="ar-SA"/>
              </w:rPr>
              <w:t xml:space="preserve"> Tel, S.A. de C.V.)</w:t>
            </w:r>
          </w:p>
        </w:tc>
        <w:tc>
          <w:tcPr>
            <w:tcW w:w="2301" w:type="dxa"/>
            <w:hideMark/>
          </w:tcPr>
          <w:p w14:paraId="3787AA7B" w14:textId="77777777" w:rsidR="00516CE5" w:rsidRPr="00DB7E31" w:rsidRDefault="00516CE5">
            <w:pPr>
              <w:spacing w:after="0"/>
              <w:contextualSpacing/>
              <w:mirrorIndents/>
              <w:jc w:val="center"/>
              <w:rPr>
                <w:rFonts w:ascii="Arial" w:eastAsia="Times New Roman" w:hAnsi="Arial" w:cs="Arial"/>
                <w:bCs/>
                <w:kern w:val="1"/>
                <w:sz w:val="18"/>
                <w:szCs w:val="18"/>
                <w:lang w:val="es-MX" w:eastAsia="ar-SA"/>
              </w:rPr>
            </w:pPr>
            <w:r>
              <w:rPr>
                <w:rFonts w:ascii="Arial" w:eastAsia="Times New Roman" w:hAnsi="Arial" w:cs="Arial"/>
                <w:bCs/>
                <w:kern w:val="1"/>
                <w:sz w:val="18"/>
                <w:szCs w:val="18"/>
                <w:lang w:val="es-MX" w:eastAsia="ar-SA"/>
              </w:rPr>
              <w:t>7 de junio de 2022</w:t>
            </w:r>
          </w:p>
        </w:tc>
        <w:tc>
          <w:tcPr>
            <w:tcW w:w="1393" w:type="dxa"/>
          </w:tcPr>
          <w:p w14:paraId="6AA400B4" w14:textId="77777777" w:rsidR="00516CE5" w:rsidRDefault="00516CE5">
            <w:pPr>
              <w:spacing w:after="0"/>
              <w:contextualSpacing/>
              <w:mirrorIndents/>
              <w:jc w:val="center"/>
              <w:rPr>
                <w:rFonts w:ascii="Arial" w:eastAsia="Times New Roman" w:hAnsi="Arial" w:cs="Arial"/>
                <w:bCs/>
                <w:kern w:val="1"/>
                <w:sz w:val="18"/>
                <w:szCs w:val="18"/>
                <w:lang w:val="es-MX" w:eastAsia="ar-SA"/>
              </w:rPr>
            </w:pPr>
            <w:r>
              <w:rPr>
                <w:rFonts w:ascii="Arial" w:eastAsia="Times New Roman" w:hAnsi="Arial" w:cs="Arial"/>
                <w:bCs/>
                <w:kern w:val="1"/>
                <w:sz w:val="18"/>
                <w:szCs w:val="18"/>
                <w:lang w:val="es-MX" w:eastAsia="ar-SA"/>
              </w:rPr>
              <w:t>Vigente</w:t>
            </w:r>
          </w:p>
        </w:tc>
        <w:tc>
          <w:tcPr>
            <w:tcW w:w="1662" w:type="dxa"/>
            <w:hideMark/>
          </w:tcPr>
          <w:p w14:paraId="30BBF94B" w14:textId="77777777" w:rsidR="00516CE5" w:rsidRPr="00DB7E31" w:rsidRDefault="00516CE5">
            <w:pPr>
              <w:spacing w:after="0"/>
              <w:contextualSpacing/>
              <w:mirrorIndents/>
              <w:jc w:val="center"/>
              <w:rPr>
                <w:rFonts w:ascii="Arial" w:eastAsia="Times New Roman" w:hAnsi="Arial" w:cs="Arial"/>
                <w:bCs/>
                <w:kern w:val="1"/>
                <w:sz w:val="18"/>
                <w:szCs w:val="18"/>
                <w:lang w:val="es-MX" w:eastAsia="ar-SA"/>
              </w:rPr>
            </w:pPr>
            <w:r>
              <w:rPr>
                <w:rFonts w:ascii="Arial" w:eastAsia="Times New Roman" w:hAnsi="Arial" w:cs="Arial"/>
                <w:bCs/>
                <w:kern w:val="1"/>
                <w:sz w:val="18"/>
                <w:szCs w:val="18"/>
                <w:lang w:val="es-MX" w:eastAsia="ar-SA"/>
              </w:rPr>
              <w:t>9254</w:t>
            </w:r>
          </w:p>
        </w:tc>
        <w:tc>
          <w:tcPr>
            <w:tcW w:w="2341" w:type="dxa"/>
            <w:hideMark/>
          </w:tcPr>
          <w:p w14:paraId="36578E69" w14:textId="77777777" w:rsidR="00516CE5" w:rsidRPr="00DB7E31" w:rsidRDefault="00516CE5">
            <w:pPr>
              <w:spacing w:after="0"/>
              <w:contextualSpacing/>
              <w:mirrorIndents/>
              <w:jc w:val="center"/>
              <w:rPr>
                <w:rFonts w:ascii="Arial" w:eastAsia="Times New Roman" w:hAnsi="Arial" w:cs="Arial"/>
                <w:bCs/>
                <w:kern w:val="1"/>
                <w:sz w:val="18"/>
                <w:szCs w:val="18"/>
                <w:lang w:val="es-MX" w:eastAsia="ar-SA"/>
              </w:rPr>
            </w:pPr>
            <w:r>
              <w:rPr>
                <w:rFonts w:ascii="Arial" w:eastAsia="Times New Roman" w:hAnsi="Arial" w:cs="Arial"/>
                <w:bCs/>
                <w:kern w:val="1"/>
                <w:sz w:val="18"/>
                <w:szCs w:val="18"/>
                <w:lang w:val="es-MX" w:eastAsia="ar-SA"/>
              </w:rPr>
              <w:t>0</w:t>
            </w:r>
          </w:p>
        </w:tc>
      </w:tr>
      <w:tr w:rsidR="00516CE5" w:rsidRPr="00AC1138" w14:paraId="7E8BB607" w14:textId="77777777">
        <w:trPr>
          <w:cnfStyle w:val="000000100000" w:firstRow="0" w:lastRow="0" w:firstColumn="0" w:lastColumn="0" w:oddVBand="0" w:evenVBand="0" w:oddHBand="1" w:evenHBand="0" w:firstRowFirstColumn="0" w:firstRowLastColumn="0" w:lastRowFirstColumn="0" w:lastRowLastColumn="0"/>
          <w:trHeight w:val="308"/>
          <w:jc w:val="center"/>
        </w:trPr>
        <w:tc>
          <w:tcPr>
            <w:tcW w:w="1697" w:type="dxa"/>
          </w:tcPr>
          <w:p w14:paraId="6FEE9AC1" w14:textId="77777777" w:rsidR="00516CE5" w:rsidRPr="00562F66" w:rsidRDefault="00516CE5">
            <w:pPr>
              <w:spacing w:after="0"/>
              <w:contextualSpacing/>
              <w:mirrorIndents/>
              <w:jc w:val="center"/>
              <w:rPr>
                <w:rFonts w:ascii="Arial" w:eastAsia="Times New Roman" w:hAnsi="Arial" w:cs="Arial"/>
                <w:bCs/>
                <w:kern w:val="1"/>
                <w:sz w:val="18"/>
                <w:szCs w:val="18"/>
                <w:lang w:val="es-MX" w:eastAsia="ar-SA"/>
              </w:rPr>
            </w:pPr>
            <w:proofErr w:type="spellStart"/>
            <w:r w:rsidRPr="00C007CC">
              <w:rPr>
                <w:rFonts w:ascii="Arial" w:eastAsia="Times New Roman" w:hAnsi="Arial" w:cs="Arial"/>
                <w:bCs/>
                <w:kern w:val="1"/>
                <w:sz w:val="18"/>
                <w:szCs w:val="18"/>
                <w:lang w:val="es-MX" w:eastAsia="ar-SA"/>
              </w:rPr>
              <w:t>Maz</w:t>
            </w:r>
            <w:proofErr w:type="spellEnd"/>
            <w:r w:rsidRPr="00C007CC">
              <w:rPr>
                <w:rFonts w:ascii="Arial" w:eastAsia="Times New Roman" w:hAnsi="Arial" w:cs="Arial"/>
                <w:bCs/>
                <w:kern w:val="1"/>
                <w:sz w:val="18"/>
                <w:szCs w:val="18"/>
                <w:lang w:val="es-MX" w:eastAsia="ar-SA"/>
              </w:rPr>
              <w:t xml:space="preserve"> Tiempo (</w:t>
            </w:r>
            <w:proofErr w:type="spellStart"/>
            <w:r w:rsidRPr="00C007CC">
              <w:rPr>
                <w:rFonts w:ascii="Arial" w:eastAsia="Times New Roman" w:hAnsi="Arial" w:cs="Arial"/>
                <w:bCs/>
                <w:kern w:val="1"/>
                <w:sz w:val="18"/>
                <w:szCs w:val="18"/>
                <w:lang w:val="es-MX" w:eastAsia="ar-SA"/>
              </w:rPr>
              <w:t>M</w:t>
            </w:r>
            <w:r>
              <w:rPr>
                <w:rFonts w:ascii="Arial" w:eastAsia="Times New Roman" w:hAnsi="Arial" w:cs="Arial"/>
                <w:bCs/>
                <w:kern w:val="1"/>
                <w:sz w:val="18"/>
                <w:szCs w:val="18"/>
                <w:lang w:val="es-MX" w:eastAsia="ar-SA"/>
              </w:rPr>
              <w:t>az</w:t>
            </w:r>
            <w:proofErr w:type="spellEnd"/>
            <w:r w:rsidRPr="00C007CC">
              <w:rPr>
                <w:rFonts w:ascii="Arial" w:eastAsia="Times New Roman" w:hAnsi="Arial" w:cs="Arial"/>
                <w:bCs/>
                <w:kern w:val="1"/>
                <w:sz w:val="18"/>
                <w:szCs w:val="18"/>
                <w:lang w:val="es-MX" w:eastAsia="ar-SA"/>
              </w:rPr>
              <w:t xml:space="preserve"> T</w:t>
            </w:r>
            <w:r>
              <w:rPr>
                <w:rFonts w:ascii="Arial" w:eastAsia="Times New Roman" w:hAnsi="Arial" w:cs="Arial"/>
                <w:bCs/>
                <w:kern w:val="1"/>
                <w:sz w:val="18"/>
                <w:szCs w:val="18"/>
                <w:lang w:val="es-MX" w:eastAsia="ar-SA"/>
              </w:rPr>
              <w:t>iempo</w:t>
            </w:r>
            <w:r w:rsidRPr="00C007CC">
              <w:rPr>
                <w:rFonts w:ascii="Arial" w:eastAsia="Times New Roman" w:hAnsi="Arial" w:cs="Arial"/>
                <w:bCs/>
                <w:kern w:val="1"/>
                <w:sz w:val="18"/>
                <w:szCs w:val="18"/>
                <w:lang w:val="es-MX" w:eastAsia="ar-SA"/>
              </w:rPr>
              <w:t xml:space="preserve">, S.A.P.I. </w:t>
            </w:r>
            <w:r>
              <w:rPr>
                <w:rFonts w:ascii="Arial" w:eastAsia="Times New Roman" w:hAnsi="Arial" w:cs="Arial"/>
                <w:bCs/>
                <w:kern w:val="1"/>
                <w:sz w:val="18"/>
                <w:szCs w:val="18"/>
                <w:lang w:val="es-MX" w:eastAsia="ar-SA"/>
              </w:rPr>
              <w:t>de</w:t>
            </w:r>
            <w:r w:rsidRPr="00C007CC">
              <w:rPr>
                <w:rFonts w:ascii="Arial" w:eastAsia="Times New Roman" w:hAnsi="Arial" w:cs="Arial"/>
                <w:bCs/>
                <w:kern w:val="1"/>
                <w:sz w:val="18"/>
                <w:szCs w:val="18"/>
                <w:lang w:val="es-MX" w:eastAsia="ar-SA"/>
              </w:rPr>
              <w:t xml:space="preserve"> C.V.)</w:t>
            </w:r>
          </w:p>
        </w:tc>
        <w:tc>
          <w:tcPr>
            <w:tcW w:w="2301" w:type="dxa"/>
          </w:tcPr>
          <w:p w14:paraId="2FB3DE51" w14:textId="77777777" w:rsidR="00516CE5" w:rsidRDefault="00516CE5">
            <w:pPr>
              <w:spacing w:after="0"/>
              <w:contextualSpacing/>
              <w:mirrorIndents/>
              <w:jc w:val="center"/>
              <w:rPr>
                <w:rFonts w:ascii="Arial" w:eastAsia="Times New Roman" w:hAnsi="Arial" w:cs="Arial"/>
                <w:bCs/>
                <w:kern w:val="1"/>
                <w:sz w:val="18"/>
                <w:szCs w:val="18"/>
                <w:lang w:val="es-MX" w:eastAsia="ar-SA"/>
              </w:rPr>
            </w:pPr>
            <w:r>
              <w:rPr>
                <w:rFonts w:ascii="Arial" w:eastAsia="Times New Roman" w:hAnsi="Arial" w:cs="Arial"/>
                <w:bCs/>
                <w:kern w:val="1"/>
                <w:sz w:val="18"/>
                <w:szCs w:val="18"/>
                <w:lang w:val="es-MX" w:eastAsia="ar-SA"/>
              </w:rPr>
              <w:t>4 de mayo de 2020</w:t>
            </w:r>
          </w:p>
        </w:tc>
        <w:tc>
          <w:tcPr>
            <w:tcW w:w="1393" w:type="dxa"/>
          </w:tcPr>
          <w:p w14:paraId="22649B2D" w14:textId="77777777" w:rsidR="00516CE5" w:rsidRDefault="00516CE5">
            <w:pPr>
              <w:spacing w:after="0"/>
              <w:contextualSpacing/>
              <w:mirrorIndents/>
              <w:jc w:val="center"/>
              <w:rPr>
                <w:rFonts w:ascii="Arial" w:eastAsia="Times New Roman" w:hAnsi="Arial" w:cs="Arial"/>
                <w:bCs/>
                <w:kern w:val="1"/>
                <w:sz w:val="18"/>
                <w:szCs w:val="18"/>
                <w:lang w:val="es-MX" w:eastAsia="ar-SA"/>
              </w:rPr>
            </w:pPr>
            <w:r>
              <w:rPr>
                <w:rFonts w:ascii="Arial" w:eastAsia="Times New Roman" w:hAnsi="Arial" w:cs="Arial"/>
                <w:bCs/>
                <w:kern w:val="1"/>
                <w:sz w:val="18"/>
                <w:szCs w:val="18"/>
                <w:lang w:val="es-MX" w:eastAsia="ar-SA"/>
              </w:rPr>
              <w:t>Vigente</w:t>
            </w:r>
          </w:p>
        </w:tc>
        <w:tc>
          <w:tcPr>
            <w:tcW w:w="1662" w:type="dxa"/>
          </w:tcPr>
          <w:p w14:paraId="08A1C759" w14:textId="77777777" w:rsidR="00516CE5" w:rsidRDefault="00516CE5">
            <w:pPr>
              <w:spacing w:after="0"/>
              <w:contextualSpacing/>
              <w:mirrorIndents/>
              <w:jc w:val="center"/>
              <w:rPr>
                <w:rFonts w:ascii="Arial" w:eastAsia="Times New Roman" w:hAnsi="Arial" w:cs="Arial"/>
                <w:bCs/>
                <w:kern w:val="1"/>
                <w:sz w:val="18"/>
                <w:szCs w:val="18"/>
                <w:lang w:val="es-MX" w:eastAsia="ar-SA"/>
              </w:rPr>
            </w:pPr>
            <w:r>
              <w:rPr>
                <w:rFonts w:ascii="Arial" w:eastAsia="Times New Roman" w:hAnsi="Arial" w:cs="Arial"/>
                <w:bCs/>
                <w:kern w:val="1"/>
                <w:sz w:val="18"/>
                <w:szCs w:val="18"/>
                <w:lang w:val="es-MX" w:eastAsia="ar-SA"/>
              </w:rPr>
              <w:t>2123</w:t>
            </w:r>
          </w:p>
        </w:tc>
        <w:tc>
          <w:tcPr>
            <w:tcW w:w="2341" w:type="dxa"/>
          </w:tcPr>
          <w:p w14:paraId="41694513" w14:textId="77777777" w:rsidR="00516CE5" w:rsidRDefault="00516CE5">
            <w:pPr>
              <w:spacing w:after="0"/>
              <w:contextualSpacing/>
              <w:mirrorIndents/>
              <w:jc w:val="center"/>
              <w:rPr>
                <w:rFonts w:ascii="Arial" w:eastAsia="Times New Roman" w:hAnsi="Arial" w:cs="Arial"/>
                <w:bCs/>
                <w:kern w:val="1"/>
                <w:sz w:val="18"/>
                <w:szCs w:val="18"/>
                <w:lang w:val="es-MX" w:eastAsia="ar-SA"/>
              </w:rPr>
            </w:pPr>
            <w:r>
              <w:rPr>
                <w:rFonts w:ascii="Arial" w:eastAsia="Times New Roman" w:hAnsi="Arial" w:cs="Arial"/>
                <w:bCs/>
                <w:kern w:val="1"/>
                <w:sz w:val="18"/>
                <w:szCs w:val="18"/>
                <w:lang w:val="es-MX" w:eastAsia="ar-SA"/>
              </w:rPr>
              <w:t>n/d</w:t>
            </w:r>
          </w:p>
        </w:tc>
      </w:tr>
      <w:tr w:rsidR="00516CE5" w:rsidRPr="00AC1138" w14:paraId="3B0500E7" w14:textId="77777777">
        <w:trPr>
          <w:trHeight w:val="308"/>
          <w:jc w:val="center"/>
        </w:trPr>
        <w:tc>
          <w:tcPr>
            <w:tcW w:w="1697" w:type="dxa"/>
            <w:hideMark/>
          </w:tcPr>
          <w:p w14:paraId="50D3195C" w14:textId="77777777" w:rsidR="00516CE5" w:rsidRPr="00DB7E31" w:rsidRDefault="00516CE5">
            <w:pPr>
              <w:spacing w:after="0"/>
              <w:contextualSpacing/>
              <w:mirrorIndents/>
              <w:jc w:val="center"/>
              <w:rPr>
                <w:rFonts w:ascii="Arial" w:eastAsia="Times New Roman" w:hAnsi="Arial" w:cs="Arial"/>
                <w:bCs/>
                <w:kern w:val="1"/>
                <w:sz w:val="18"/>
                <w:szCs w:val="18"/>
                <w:lang w:val="es-MX" w:eastAsia="ar-SA"/>
              </w:rPr>
            </w:pPr>
            <w:proofErr w:type="spellStart"/>
            <w:r w:rsidRPr="001E4C67">
              <w:rPr>
                <w:rFonts w:ascii="Arial" w:eastAsia="Times New Roman" w:hAnsi="Arial" w:cs="Arial"/>
                <w:bCs/>
                <w:kern w:val="1"/>
                <w:sz w:val="18"/>
                <w:szCs w:val="18"/>
                <w:lang w:val="es-MX" w:eastAsia="ar-SA"/>
              </w:rPr>
              <w:t>Simpati</w:t>
            </w:r>
            <w:proofErr w:type="spellEnd"/>
            <w:r w:rsidRPr="001E4C67">
              <w:rPr>
                <w:rFonts w:ascii="Arial" w:eastAsia="Times New Roman" w:hAnsi="Arial" w:cs="Arial"/>
                <w:bCs/>
                <w:kern w:val="1"/>
                <w:sz w:val="18"/>
                <w:szCs w:val="18"/>
                <w:lang w:val="es-MX" w:eastAsia="ar-SA"/>
              </w:rPr>
              <w:t xml:space="preserve"> (Celmex Innova S.A.P.I. de C.V.)</w:t>
            </w:r>
          </w:p>
        </w:tc>
        <w:tc>
          <w:tcPr>
            <w:tcW w:w="2301" w:type="dxa"/>
            <w:hideMark/>
          </w:tcPr>
          <w:p w14:paraId="4D80D123" w14:textId="77777777" w:rsidR="00516CE5" w:rsidRPr="00DB7E31" w:rsidRDefault="00516CE5">
            <w:pPr>
              <w:spacing w:after="0"/>
              <w:contextualSpacing/>
              <w:mirrorIndents/>
              <w:jc w:val="center"/>
              <w:rPr>
                <w:rFonts w:ascii="Arial" w:eastAsia="Times New Roman" w:hAnsi="Arial" w:cs="Arial"/>
                <w:bCs/>
                <w:kern w:val="1"/>
                <w:sz w:val="18"/>
                <w:szCs w:val="18"/>
                <w:lang w:val="es-MX" w:eastAsia="ar-SA"/>
              </w:rPr>
            </w:pPr>
            <w:r>
              <w:rPr>
                <w:rFonts w:ascii="Arial" w:eastAsia="Times New Roman" w:hAnsi="Arial" w:cs="Arial"/>
                <w:bCs/>
                <w:kern w:val="1"/>
                <w:sz w:val="18"/>
                <w:szCs w:val="18"/>
                <w:lang w:val="es-MX" w:eastAsia="ar-SA"/>
              </w:rPr>
              <w:t>30 de noviembre de 2022</w:t>
            </w:r>
          </w:p>
        </w:tc>
        <w:tc>
          <w:tcPr>
            <w:tcW w:w="1393" w:type="dxa"/>
          </w:tcPr>
          <w:p w14:paraId="61E40913" w14:textId="77777777" w:rsidR="00516CE5" w:rsidRPr="00955058" w:rsidRDefault="00516CE5">
            <w:pPr>
              <w:spacing w:after="0"/>
              <w:contextualSpacing/>
              <w:mirrorIndents/>
              <w:jc w:val="center"/>
              <w:rPr>
                <w:rFonts w:ascii="Arial" w:eastAsia="Times New Roman" w:hAnsi="Arial" w:cs="Arial"/>
                <w:bCs/>
                <w:kern w:val="1"/>
                <w:sz w:val="18"/>
                <w:szCs w:val="18"/>
                <w:lang w:val="es-MX" w:eastAsia="ar-SA"/>
              </w:rPr>
            </w:pPr>
            <w:r>
              <w:rPr>
                <w:rFonts w:ascii="Arial" w:eastAsia="Times New Roman" w:hAnsi="Arial" w:cs="Arial"/>
                <w:bCs/>
                <w:kern w:val="1"/>
                <w:sz w:val="18"/>
                <w:szCs w:val="18"/>
                <w:lang w:val="es-MX" w:eastAsia="ar-SA"/>
              </w:rPr>
              <w:t>Renuncia</w:t>
            </w:r>
          </w:p>
        </w:tc>
        <w:tc>
          <w:tcPr>
            <w:tcW w:w="1662" w:type="dxa"/>
            <w:hideMark/>
          </w:tcPr>
          <w:p w14:paraId="043D042F" w14:textId="77777777" w:rsidR="00516CE5" w:rsidRPr="00DB7E31" w:rsidRDefault="00516CE5">
            <w:pPr>
              <w:spacing w:after="0"/>
              <w:contextualSpacing/>
              <w:mirrorIndents/>
              <w:jc w:val="center"/>
              <w:rPr>
                <w:rFonts w:ascii="Arial" w:eastAsia="Times New Roman" w:hAnsi="Arial" w:cs="Arial"/>
                <w:bCs/>
                <w:kern w:val="1"/>
                <w:sz w:val="18"/>
                <w:szCs w:val="18"/>
                <w:lang w:val="es-MX" w:eastAsia="ar-SA"/>
              </w:rPr>
            </w:pPr>
            <w:r w:rsidRPr="00955058">
              <w:rPr>
                <w:rFonts w:ascii="Arial" w:eastAsia="Times New Roman" w:hAnsi="Arial" w:cs="Arial"/>
                <w:bCs/>
                <w:kern w:val="1"/>
                <w:sz w:val="18"/>
                <w:szCs w:val="18"/>
                <w:lang w:val="es-MX" w:eastAsia="ar-SA"/>
              </w:rPr>
              <w:t>33659</w:t>
            </w:r>
          </w:p>
        </w:tc>
        <w:tc>
          <w:tcPr>
            <w:tcW w:w="2341" w:type="dxa"/>
            <w:hideMark/>
          </w:tcPr>
          <w:p w14:paraId="33D6303A" w14:textId="77777777" w:rsidR="00516CE5" w:rsidRPr="00DB7E31" w:rsidRDefault="00516CE5">
            <w:pPr>
              <w:spacing w:after="0"/>
              <w:contextualSpacing/>
              <w:mirrorIndents/>
              <w:jc w:val="center"/>
              <w:rPr>
                <w:rFonts w:ascii="Arial" w:eastAsia="Times New Roman" w:hAnsi="Arial" w:cs="Arial"/>
                <w:bCs/>
                <w:kern w:val="1"/>
                <w:sz w:val="18"/>
                <w:szCs w:val="18"/>
                <w:lang w:val="es-MX" w:eastAsia="ar-SA"/>
              </w:rPr>
            </w:pPr>
            <w:r w:rsidRPr="00955058">
              <w:rPr>
                <w:rFonts w:ascii="Arial" w:eastAsia="Times New Roman" w:hAnsi="Arial" w:cs="Arial"/>
                <w:bCs/>
                <w:kern w:val="1"/>
                <w:sz w:val="18"/>
                <w:szCs w:val="18"/>
                <w:lang w:val="es-MX" w:eastAsia="ar-SA"/>
              </w:rPr>
              <w:t>1068</w:t>
            </w:r>
          </w:p>
        </w:tc>
      </w:tr>
      <w:tr w:rsidR="00516CE5" w:rsidRPr="00AC1138" w14:paraId="78B5E55A" w14:textId="77777777">
        <w:trPr>
          <w:cnfStyle w:val="000000100000" w:firstRow="0" w:lastRow="0" w:firstColumn="0" w:lastColumn="0" w:oddVBand="0" w:evenVBand="0" w:oddHBand="1" w:evenHBand="0" w:firstRowFirstColumn="0" w:firstRowLastColumn="0" w:lastRowFirstColumn="0" w:lastRowLastColumn="0"/>
          <w:trHeight w:val="308"/>
          <w:jc w:val="center"/>
        </w:trPr>
        <w:tc>
          <w:tcPr>
            <w:tcW w:w="1697" w:type="dxa"/>
            <w:hideMark/>
          </w:tcPr>
          <w:p w14:paraId="4A0083F8" w14:textId="77777777" w:rsidR="00516CE5" w:rsidRPr="00DB7E31" w:rsidRDefault="00516CE5">
            <w:pPr>
              <w:spacing w:after="0"/>
              <w:contextualSpacing/>
              <w:mirrorIndents/>
              <w:jc w:val="center"/>
              <w:rPr>
                <w:rFonts w:ascii="Arial" w:eastAsia="Times New Roman" w:hAnsi="Arial" w:cs="Arial"/>
                <w:bCs/>
                <w:kern w:val="1"/>
                <w:sz w:val="18"/>
                <w:szCs w:val="18"/>
                <w:lang w:val="es-MX" w:eastAsia="ar-SA"/>
              </w:rPr>
            </w:pPr>
            <w:proofErr w:type="spellStart"/>
            <w:r w:rsidRPr="00DB7E31">
              <w:rPr>
                <w:rFonts w:ascii="Arial" w:eastAsia="Times New Roman" w:hAnsi="Arial" w:cs="Arial"/>
                <w:bCs/>
                <w:kern w:val="1"/>
                <w:sz w:val="18"/>
                <w:szCs w:val="18"/>
                <w:lang w:val="fr-FR" w:eastAsia="ar-SA"/>
              </w:rPr>
              <w:t>Simplii</w:t>
            </w:r>
            <w:proofErr w:type="spellEnd"/>
            <w:r w:rsidRPr="00DB7E31">
              <w:rPr>
                <w:rFonts w:ascii="Arial" w:eastAsia="Times New Roman" w:hAnsi="Arial" w:cs="Arial"/>
                <w:bCs/>
                <w:kern w:val="1"/>
                <w:sz w:val="18"/>
                <w:szCs w:val="18"/>
                <w:lang w:val="fr-FR" w:eastAsia="ar-SA"/>
              </w:rPr>
              <w:t xml:space="preserve"> (</w:t>
            </w:r>
            <w:proofErr w:type="spellStart"/>
            <w:r w:rsidRPr="00DB7E31">
              <w:rPr>
                <w:rFonts w:ascii="Arial" w:eastAsia="Times New Roman" w:hAnsi="Arial" w:cs="Arial"/>
                <w:bCs/>
                <w:kern w:val="1"/>
                <w:sz w:val="18"/>
                <w:szCs w:val="18"/>
                <w:lang w:val="fr-FR" w:eastAsia="ar-SA"/>
              </w:rPr>
              <w:t>Mobilebandits</w:t>
            </w:r>
            <w:proofErr w:type="spellEnd"/>
            <w:r w:rsidRPr="00DB7E31">
              <w:rPr>
                <w:rFonts w:ascii="Arial" w:eastAsia="Times New Roman" w:hAnsi="Arial" w:cs="Arial"/>
                <w:bCs/>
                <w:kern w:val="1"/>
                <w:sz w:val="18"/>
                <w:szCs w:val="18"/>
                <w:lang w:val="fr-FR" w:eastAsia="ar-SA"/>
              </w:rPr>
              <w:t>, S.A. de C.V.)</w:t>
            </w:r>
          </w:p>
        </w:tc>
        <w:tc>
          <w:tcPr>
            <w:tcW w:w="2301" w:type="dxa"/>
            <w:hideMark/>
          </w:tcPr>
          <w:p w14:paraId="10D3AA12" w14:textId="77777777" w:rsidR="00516CE5" w:rsidRPr="00DB7E31" w:rsidRDefault="00516CE5">
            <w:pPr>
              <w:spacing w:after="0"/>
              <w:contextualSpacing/>
              <w:mirrorIndents/>
              <w:jc w:val="center"/>
              <w:rPr>
                <w:rFonts w:ascii="Arial" w:eastAsia="Times New Roman" w:hAnsi="Arial" w:cs="Arial"/>
                <w:bCs/>
                <w:kern w:val="1"/>
                <w:sz w:val="18"/>
                <w:szCs w:val="18"/>
                <w:lang w:val="es-MX" w:eastAsia="ar-SA"/>
              </w:rPr>
            </w:pPr>
            <w:r w:rsidRPr="00DB7E31">
              <w:rPr>
                <w:rFonts w:ascii="Arial" w:eastAsia="Times New Roman" w:hAnsi="Arial" w:cs="Arial"/>
                <w:bCs/>
                <w:kern w:val="1"/>
                <w:sz w:val="18"/>
                <w:szCs w:val="18"/>
                <w:lang w:val="es-MX" w:eastAsia="ar-SA"/>
              </w:rPr>
              <w:t>13 de febrero del 2021</w:t>
            </w:r>
          </w:p>
        </w:tc>
        <w:tc>
          <w:tcPr>
            <w:tcW w:w="1393" w:type="dxa"/>
          </w:tcPr>
          <w:p w14:paraId="23303A60" w14:textId="77777777" w:rsidR="00516CE5" w:rsidRPr="00DB7E31" w:rsidRDefault="00516CE5">
            <w:pPr>
              <w:spacing w:after="0"/>
              <w:contextualSpacing/>
              <w:mirrorIndents/>
              <w:jc w:val="center"/>
              <w:rPr>
                <w:rFonts w:ascii="Arial" w:eastAsia="Times New Roman" w:hAnsi="Arial" w:cs="Arial"/>
                <w:bCs/>
                <w:kern w:val="1"/>
                <w:sz w:val="18"/>
                <w:szCs w:val="18"/>
                <w:lang w:val="es-MX" w:eastAsia="ar-SA"/>
              </w:rPr>
            </w:pPr>
            <w:r>
              <w:rPr>
                <w:rFonts w:ascii="Arial" w:eastAsia="Times New Roman" w:hAnsi="Arial" w:cs="Arial"/>
                <w:bCs/>
                <w:kern w:val="1"/>
                <w:sz w:val="18"/>
                <w:szCs w:val="18"/>
                <w:lang w:val="es-MX" w:eastAsia="ar-SA"/>
              </w:rPr>
              <w:t>Renuncia</w:t>
            </w:r>
          </w:p>
        </w:tc>
        <w:tc>
          <w:tcPr>
            <w:tcW w:w="1662" w:type="dxa"/>
            <w:hideMark/>
          </w:tcPr>
          <w:p w14:paraId="0C3C3372" w14:textId="77777777" w:rsidR="00516CE5" w:rsidRPr="00DB7E31" w:rsidRDefault="00516CE5">
            <w:pPr>
              <w:spacing w:after="0"/>
              <w:contextualSpacing/>
              <w:mirrorIndents/>
              <w:jc w:val="center"/>
              <w:rPr>
                <w:rFonts w:ascii="Arial" w:eastAsia="Times New Roman" w:hAnsi="Arial" w:cs="Arial"/>
                <w:bCs/>
                <w:kern w:val="1"/>
                <w:sz w:val="18"/>
                <w:szCs w:val="18"/>
                <w:lang w:val="es-MX" w:eastAsia="ar-SA"/>
              </w:rPr>
            </w:pPr>
            <w:r w:rsidRPr="00DB7E31">
              <w:rPr>
                <w:rFonts w:ascii="Arial" w:eastAsia="Times New Roman" w:hAnsi="Arial" w:cs="Arial"/>
                <w:bCs/>
                <w:kern w:val="1"/>
                <w:sz w:val="18"/>
                <w:szCs w:val="18"/>
                <w:lang w:val="es-MX" w:eastAsia="ar-SA"/>
              </w:rPr>
              <w:t>2391</w:t>
            </w:r>
          </w:p>
        </w:tc>
        <w:tc>
          <w:tcPr>
            <w:tcW w:w="2341" w:type="dxa"/>
            <w:hideMark/>
          </w:tcPr>
          <w:p w14:paraId="7C8E4339" w14:textId="77777777" w:rsidR="00516CE5" w:rsidRPr="00DB7E31" w:rsidRDefault="00516CE5">
            <w:pPr>
              <w:spacing w:after="0"/>
              <w:contextualSpacing/>
              <w:mirrorIndents/>
              <w:jc w:val="center"/>
              <w:rPr>
                <w:rFonts w:ascii="Arial" w:eastAsia="Times New Roman" w:hAnsi="Arial" w:cs="Arial"/>
                <w:bCs/>
                <w:kern w:val="1"/>
                <w:sz w:val="18"/>
                <w:szCs w:val="18"/>
                <w:lang w:val="es-MX" w:eastAsia="ar-SA"/>
              </w:rPr>
            </w:pPr>
            <w:r w:rsidRPr="00DB7E31">
              <w:rPr>
                <w:rFonts w:ascii="Arial" w:eastAsia="Times New Roman" w:hAnsi="Arial" w:cs="Arial"/>
                <w:bCs/>
                <w:kern w:val="1"/>
                <w:sz w:val="18"/>
                <w:szCs w:val="18"/>
                <w:lang w:val="es-MX" w:eastAsia="ar-SA"/>
              </w:rPr>
              <w:t>2066</w:t>
            </w:r>
          </w:p>
        </w:tc>
      </w:tr>
      <w:tr w:rsidR="00516CE5" w:rsidRPr="00AC1138" w14:paraId="373E5995" w14:textId="77777777">
        <w:trPr>
          <w:trHeight w:val="385"/>
          <w:jc w:val="center"/>
        </w:trPr>
        <w:tc>
          <w:tcPr>
            <w:tcW w:w="1697" w:type="dxa"/>
            <w:hideMark/>
          </w:tcPr>
          <w:p w14:paraId="752CB370" w14:textId="77777777" w:rsidR="00516CE5" w:rsidRPr="00DB7E31" w:rsidRDefault="00516CE5">
            <w:pPr>
              <w:spacing w:after="0"/>
              <w:contextualSpacing/>
              <w:mirrorIndents/>
              <w:jc w:val="center"/>
              <w:rPr>
                <w:rFonts w:ascii="Arial" w:eastAsia="Times New Roman" w:hAnsi="Arial" w:cs="Arial"/>
                <w:bCs/>
                <w:kern w:val="1"/>
                <w:sz w:val="18"/>
                <w:szCs w:val="18"/>
                <w:lang w:val="es-MX" w:eastAsia="ar-SA"/>
              </w:rPr>
            </w:pPr>
            <w:proofErr w:type="spellStart"/>
            <w:r w:rsidRPr="00DB7E31">
              <w:rPr>
                <w:rFonts w:ascii="Arial" w:eastAsia="Times New Roman" w:hAnsi="Arial" w:cs="Arial"/>
                <w:bCs/>
                <w:kern w:val="1"/>
                <w:sz w:val="18"/>
                <w:szCs w:val="18"/>
                <w:lang w:val="es-MX" w:eastAsia="ar-SA"/>
              </w:rPr>
              <w:t>Six</w:t>
            </w:r>
            <w:proofErr w:type="spellEnd"/>
            <w:r w:rsidRPr="00DB7E31">
              <w:rPr>
                <w:rFonts w:ascii="Arial" w:eastAsia="Times New Roman" w:hAnsi="Arial" w:cs="Arial"/>
                <w:bCs/>
                <w:kern w:val="1"/>
                <w:sz w:val="18"/>
                <w:szCs w:val="18"/>
                <w:lang w:val="es-MX" w:eastAsia="ar-SA"/>
              </w:rPr>
              <w:t xml:space="preserve"> Móvil (Hip Cricket de México, S.A. </w:t>
            </w:r>
            <w:r>
              <w:rPr>
                <w:rFonts w:ascii="Arial" w:eastAsia="Times New Roman" w:hAnsi="Arial" w:cs="Arial"/>
                <w:bCs/>
                <w:kern w:val="1"/>
                <w:sz w:val="18"/>
                <w:szCs w:val="18"/>
                <w:lang w:val="es-MX" w:eastAsia="ar-SA"/>
              </w:rPr>
              <w:t>de</w:t>
            </w:r>
            <w:r w:rsidRPr="00DB7E31">
              <w:rPr>
                <w:rFonts w:ascii="Arial" w:eastAsia="Times New Roman" w:hAnsi="Arial" w:cs="Arial"/>
                <w:bCs/>
                <w:kern w:val="1"/>
                <w:sz w:val="18"/>
                <w:szCs w:val="18"/>
                <w:lang w:val="es-MX" w:eastAsia="ar-SA"/>
              </w:rPr>
              <w:t xml:space="preserve"> C.V.)</w:t>
            </w:r>
          </w:p>
        </w:tc>
        <w:tc>
          <w:tcPr>
            <w:tcW w:w="2301" w:type="dxa"/>
            <w:hideMark/>
          </w:tcPr>
          <w:p w14:paraId="4EECD8BB" w14:textId="77777777" w:rsidR="00516CE5" w:rsidRPr="00DB7E31" w:rsidRDefault="00516CE5">
            <w:pPr>
              <w:spacing w:after="0"/>
              <w:contextualSpacing/>
              <w:mirrorIndents/>
              <w:jc w:val="center"/>
              <w:rPr>
                <w:rFonts w:ascii="Arial" w:eastAsia="Times New Roman" w:hAnsi="Arial" w:cs="Arial"/>
                <w:bCs/>
                <w:kern w:val="1"/>
                <w:sz w:val="18"/>
                <w:szCs w:val="18"/>
                <w:lang w:val="es-MX" w:eastAsia="ar-SA"/>
              </w:rPr>
            </w:pPr>
            <w:r w:rsidRPr="00DB7E31">
              <w:rPr>
                <w:rFonts w:ascii="Arial" w:eastAsia="Times New Roman" w:hAnsi="Arial" w:cs="Arial"/>
                <w:bCs/>
                <w:kern w:val="1"/>
                <w:sz w:val="18"/>
                <w:szCs w:val="18"/>
                <w:lang w:val="es-MX" w:eastAsia="ar-SA"/>
              </w:rPr>
              <w:t>15 de agosto de 2018</w:t>
            </w:r>
          </w:p>
        </w:tc>
        <w:tc>
          <w:tcPr>
            <w:tcW w:w="1393" w:type="dxa"/>
          </w:tcPr>
          <w:p w14:paraId="6F436050" w14:textId="77777777" w:rsidR="00516CE5" w:rsidRPr="00DB7E31" w:rsidRDefault="00516CE5">
            <w:pPr>
              <w:spacing w:after="0"/>
              <w:contextualSpacing/>
              <w:mirrorIndents/>
              <w:jc w:val="center"/>
              <w:rPr>
                <w:rFonts w:ascii="Arial" w:eastAsia="Times New Roman" w:hAnsi="Arial" w:cs="Arial"/>
                <w:bCs/>
                <w:kern w:val="1"/>
                <w:sz w:val="18"/>
                <w:szCs w:val="18"/>
                <w:lang w:val="es-MX" w:eastAsia="ar-SA"/>
              </w:rPr>
            </w:pPr>
            <w:r>
              <w:rPr>
                <w:rFonts w:ascii="Arial" w:eastAsia="Times New Roman" w:hAnsi="Arial" w:cs="Arial"/>
                <w:bCs/>
                <w:kern w:val="1"/>
                <w:sz w:val="18"/>
                <w:szCs w:val="18"/>
                <w:lang w:val="es-MX" w:eastAsia="ar-SA"/>
              </w:rPr>
              <w:t>Vigente</w:t>
            </w:r>
          </w:p>
        </w:tc>
        <w:tc>
          <w:tcPr>
            <w:tcW w:w="1662" w:type="dxa"/>
            <w:hideMark/>
          </w:tcPr>
          <w:p w14:paraId="06D2C9DD" w14:textId="77777777" w:rsidR="00516CE5" w:rsidRPr="00DB7E31" w:rsidRDefault="00516CE5">
            <w:pPr>
              <w:spacing w:after="0"/>
              <w:contextualSpacing/>
              <w:mirrorIndents/>
              <w:jc w:val="center"/>
              <w:rPr>
                <w:rFonts w:ascii="Arial" w:eastAsia="Times New Roman" w:hAnsi="Arial" w:cs="Arial"/>
                <w:bCs/>
                <w:kern w:val="1"/>
                <w:sz w:val="18"/>
                <w:szCs w:val="18"/>
                <w:lang w:val="es-MX" w:eastAsia="ar-SA"/>
              </w:rPr>
            </w:pPr>
            <w:r w:rsidRPr="00DB7E31">
              <w:rPr>
                <w:rFonts w:ascii="Arial" w:eastAsia="Times New Roman" w:hAnsi="Arial" w:cs="Arial"/>
                <w:bCs/>
                <w:kern w:val="1"/>
                <w:sz w:val="18"/>
                <w:szCs w:val="18"/>
                <w:lang w:val="es-MX" w:eastAsia="ar-SA"/>
              </w:rPr>
              <w:t>682</w:t>
            </w:r>
          </w:p>
        </w:tc>
        <w:tc>
          <w:tcPr>
            <w:tcW w:w="2341" w:type="dxa"/>
            <w:hideMark/>
          </w:tcPr>
          <w:p w14:paraId="5F96CCDE" w14:textId="77777777" w:rsidR="00516CE5" w:rsidRPr="00DB7E31" w:rsidRDefault="00516CE5">
            <w:pPr>
              <w:spacing w:after="0"/>
              <w:contextualSpacing/>
              <w:mirrorIndents/>
              <w:jc w:val="center"/>
              <w:rPr>
                <w:rFonts w:ascii="Arial" w:eastAsia="Times New Roman" w:hAnsi="Arial" w:cs="Arial"/>
                <w:bCs/>
                <w:kern w:val="1"/>
                <w:sz w:val="18"/>
                <w:szCs w:val="18"/>
                <w:lang w:val="es-MX" w:eastAsia="ar-SA"/>
              </w:rPr>
            </w:pPr>
            <w:r w:rsidRPr="00DB7E31">
              <w:rPr>
                <w:rFonts w:ascii="Arial" w:eastAsia="Times New Roman" w:hAnsi="Arial" w:cs="Arial"/>
                <w:bCs/>
                <w:kern w:val="1"/>
                <w:sz w:val="18"/>
                <w:szCs w:val="18"/>
                <w:lang w:val="es-MX" w:eastAsia="ar-SA"/>
              </w:rPr>
              <w:t>2</w:t>
            </w:r>
          </w:p>
        </w:tc>
      </w:tr>
    </w:tbl>
    <w:p w14:paraId="6DFF8969" w14:textId="77777777" w:rsidR="00516CE5" w:rsidRPr="003C4FB1" w:rsidRDefault="00516CE5" w:rsidP="00516CE5">
      <w:pPr>
        <w:spacing w:after="0"/>
        <w:jc w:val="center"/>
        <w:rPr>
          <w:rFonts w:ascii="Arial" w:eastAsia="Times New Roman" w:hAnsi="Arial" w:cs="Arial"/>
          <w:bCs/>
          <w:kern w:val="1"/>
          <w:sz w:val="18"/>
          <w:szCs w:val="18"/>
          <w:lang w:eastAsia="ar-SA"/>
        </w:rPr>
      </w:pPr>
      <w:r w:rsidRPr="003C4FB1">
        <w:rPr>
          <w:rFonts w:ascii="Arial" w:eastAsia="Times New Roman" w:hAnsi="Arial" w:cs="Arial"/>
          <w:bCs/>
          <w:kern w:val="1"/>
          <w:sz w:val="18"/>
          <w:szCs w:val="18"/>
          <w:lang w:eastAsia="ar-SA"/>
        </w:rPr>
        <w:t>Fuente: Elaboración propia con información de</w:t>
      </w:r>
      <w:r>
        <w:rPr>
          <w:rFonts w:ascii="Arial" w:eastAsia="Times New Roman" w:hAnsi="Arial" w:cs="Arial"/>
          <w:bCs/>
          <w:kern w:val="1"/>
          <w:sz w:val="18"/>
          <w:szCs w:val="18"/>
          <w:lang w:eastAsia="ar-SA"/>
        </w:rPr>
        <w:t>l</w:t>
      </w:r>
      <w:r w:rsidRPr="003C4FB1">
        <w:rPr>
          <w:rFonts w:ascii="Arial" w:eastAsia="Times New Roman" w:hAnsi="Arial" w:cs="Arial"/>
          <w:bCs/>
          <w:kern w:val="1"/>
          <w:sz w:val="18"/>
          <w:szCs w:val="18"/>
          <w:lang w:eastAsia="ar-SA"/>
        </w:rPr>
        <w:t xml:space="preserve"> </w:t>
      </w:r>
      <w:r>
        <w:rPr>
          <w:rFonts w:ascii="Arial" w:eastAsia="Times New Roman" w:hAnsi="Arial" w:cs="Arial"/>
          <w:bCs/>
          <w:kern w:val="1"/>
          <w:sz w:val="18"/>
          <w:szCs w:val="18"/>
          <w:lang w:eastAsia="ar-SA"/>
        </w:rPr>
        <w:t>Administrador de la Base de Datos de portabilidad numérica</w:t>
      </w:r>
      <w:r w:rsidRPr="003C4FB1">
        <w:rPr>
          <w:rFonts w:ascii="Arial" w:eastAsia="Times New Roman" w:hAnsi="Arial" w:cs="Arial"/>
          <w:bCs/>
          <w:kern w:val="1"/>
          <w:sz w:val="18"/>
          <w:szCs w:val="18"/>
          <w:lang w:eastAsia="ar-SA"/>
        </w:rPr>
        <w:t>.</w:t>
      </w:r>
    </w:p>
    <w:p w14:paraId="7F476AA4" w14:textId="77777777" w:rsidR="00516CE5" w:rsidRDefault="00516CE5" w:rsidP="00516CE5">
      <w:pPr>
        <w:spacing w:after="0"/>
        <w:contextualSpacing/>
        <w:mirrorIndents/>
        <w:jc w:val="both"/>
        <w:rPr>
          <w:rFonts w:ascii="Arial" w:eastAsia="Times New Roman" w:hAnsi="Arial" w:cs="Arial"/>
          <w:bCs/>
          <w:kern w:val="1"/>
          <w:lang w:val="es-MX" w:eastAsia="ar-SA"/>
        </w:rPr>
      </w:pPr>
    </w:p>
    <w:p w14:paraId="71D30C30" w14:textId="77777777" w:rsidR="00516CE5" w:rsidRPr="00C52531" w:rsidRDefault="00516CE5" w:rsidP="00516CE5">
      <w:pPr>
        <w:spacing w:after="0"/>
        <w:contextualSpacing/>
        <w:mirrorIndents/>
        <w:jc w:val="both"/>
        <w:rPr>
          <w:rFonts w:ascii="Arial" w:eastAsia="Times New Roman" w:hAnsi="Arial" w:cs="Arial"/>
          <w:bCs/>
          <w:kern w:val="1"/>
          <w:lang w:eastAsia="ar-SA"/>
        </w:rPr>
      </w:pPr>
      <w:r w:rsidRPr="00C52531">
        <w:rPr>
          <w:rFonts w:ascii="Arial" w:eastAsia="Times New Roman" w:hAnsi="Arial" w:cs="Arial"/>
          <w:bCs/>
          <w:kern w:val="1"/>
          <w:lang w:eastAsia="ar-SA"/>
        </w:rPr>
        <w:t xml:space="preserve">Por otra parte, </w:t>
      </w:r>
      <w:r>
        <w:rPr>
          <w:rFonts w:ascii="Arial" w:eastAsia="Times New Roman" w:hAnsi="Arial" w:cs="Arial"/>
          <w:bCs/>
          <w:kern w:val="1"/>
          <w:lang w:eastAsia="ar-SA"/>
        </w:rPr>
        <w:t xml:space="preserve">en el Registro Público de Concesiones, obran constancias de la inscripción de </w:t>
      </w:r>
      <w:r w:rsidRPr="00C52531">
        <w:rPr>
          <w:rFonts w:ascii="Arial" w:eastAsia="Times New Roman" w:hAnsi="Arial" w:cs="Arial"/>
          <w:bCs/>
          <w:kern w:val="1"/>
          <w:lang w:eastAsia="ar-SA"/>
        </w:rPr>
        <w:t xml:space="preserve">sanciones </w:t>
      </w:r>
      <w:r>
        <w:rPr>
          <w:rFonts w:ascii="Arial" w:eastAsia="Times New Roman" w:hAnsi="Arial" w:cs="Arial"/>
          <w:bCs/>
          <w:kern w:val="1"/>
          <w:lang w:eastAsia="ar-SA"/>
        </w:rPr>
        <w:t xml:space="preserve">impuestas por el Instituto </w:t>
      </w:r>
      <w:r w:rsidRPr="00C52531">
        <w:rPr>
          <w:rFonts w:ascii="Arial" w:eastAsia="Times New Roman" w:hAnsi="Arial" w:cs="Arial"/>
          <w:bCs/>
          <w:kern w:val="1"/>
          <w:lang w:eastAsia="ar-SA"/>
        </w:rPr>
        <w:t>a distintos OMV, por incumplimiento</w:t>
      </w:r>
      <w:r>
        <w:rPr>
          <w:rFonts w:ascii="Arial" w:eastAsia="Times New Roman" w:hAnsi="Arial" w:cs="Arial"/>
          <w:bCs/>
          <w:kern w:val="1"/>
          <w:lang w:eastAsia="ar-SA"/>
        </w:rPr>
        <w:t>s</w:t>
      </w:r>
      <w:r w:rsidRPr="00C52531">
        <w:rPr>
          <w:rFonts w:ascii="Arial" w:eastAsia="Times New Roman" w:hAnsi="Arial" w:cs="Arial"/>
          <w:bCs/>
          <w:kern w:val="1"/>
          <w:lang w:eastAsia="ar-SA"/>
        </w:rPr>
        <w:t xml:space="preserve"> a </w:t>
      </w:r>
      <w:r>
        <w:rPr>
          <w:rFonts w:ascii="Arial" w:eastAsia="Times New Roman" w:hAnsi="Arial" w:cs="Arial"/>
          <w:bCs/>
          <w:kern w:val="1"/>
          <w:lang w:eastAsia="ar-SA"/>
        </w:rPr>
        <w:t>las</w:t>
      </w:r>
      <w:r w:rsidRPr="00C52531">
        <w:rPr>
          <w:rFonts w:ascii="Arial" w:eastAsia="Times New Roman" w:hAnsi="Arial" w:cs="Arial"/>
          <w:bCs/>
          <w:kern w:val="1"/>
          <w:lang w:eastAsia="ar-SA"/>
        </w:rPr>
        <w:t xml:space="preserve"> obligaciones relacionadas con la terminación anticipada de su autorización</w:t>
      </w:r>
      <w:r w:rsidRPr="00C52531">
        <w:rPr>
          <w:vertAlign w:val="superscript"/>
        </w:rPr>
        <w:footnoteReference w:id="4"/>
      </w:r>
      <w:r w:rsidRPr="00C52531">
        <w:rPr>
          <w:rFonts w:ascii="Arial" w:eastAsia="Times New Roman" w:hAnsi="Arial" w:cs="Arial"/>
          <w:bCs/>
          <w:kern w:val="1"/>
          <w:lang w:eastAsia="ar-SA"/>
        </w:rPr>
        <w:t>, así como por incumplimiento</w:t>
      </w:r>
      <w:r>
        <w:rPr>
          <w:rFonts w:ascii="Arial" w:eastAsia="Times New Roman" w:hAnsi="Arial" w:cs="Arial"/>
          <w:bCs/>
          <w:kern w:val="1"/>
          <w:lang w:eastAsia="ar-SA"/>
        </w:rPr>
        <w:t>s</w:t>
      </w:r>
      <w:r w:rsidRPr="00C52531">
        <w:rPr>
          <w:rFonts w:ascii="Arial" w:eastAsia="Times New Roman" w:hAnsi="Arial" w:cs="Arial"/>
          <w:bCs/>
          <w:kern w:val="1"/>
          <w:lang w:eastAsia="ar-SA"/>
        </w:rPr>
        <w:t xml:space="preserve"> </w:t>
      </w:r>
      <w:r>
        <w:rPr>
          <w:rFonts w:ascii="Arial" w:eastAsia="Times New Roman" w:hAnsi="Arial" w:cs="Arial"/>
          <w:bCs/>
          <w:kern w:val="1"/>
          <w:lang w:eastAsia="ar-SA"/>
        </w:rPr>
        <w:t xml:space="preserve">a las obligaciones referentes a </w:t>
      </w:r>
      <w:r w:rsidRPr="00C52531">
        <w:rPr>
          <w:rFonts w:ascii="Arial" w:eastAsia="Times New Roman" w:hAnsi="Arial" w:cs="Arial"/>
          <w:bCs/>
          <w:kern w:val="1"/>
          <w:lang w:eastAsia="ar-SA"/>
        </w:rPr>
        <w:t xml:space="preserve">garantizar </w:t>
      </w:r>
      <w:r>
        <w:rPr>
          <w:rFonts w:ascii="Arial" w:eastAsia="Times New Roman" w:hAnsi="Arial" w:cs="Arial"/>
          <w:bCs/>
          <w:kern w:val="1"/>
          <w:lang w:eastAsia="ar-SA"/>
        </w:rPr>
        <w:t xml:space="preserve">que los </w:t>
      </w:r>
      <w:r w:rsidRPr="00C52531">
        <w:rPr>
          <w:rFonts w:ascii="Arial" w:eastAsia="Times New Roman" w:hAnsi="Arial" w:cs="Arial"/>
          <w:bCs/>
          <w:kern w:val="1"/>
          <w:lang w:eastAsia="ar-SA"/>
        </w:rPr>
        <w:t xml:space="preserve">servicios </w:t>
      </w:r>
      <w:r>
        <w:rPr>
          <w:rFonts w:ascii="Arial" w:eastAsia="Times New Roman" w:hAnsi="Arial" w:cs="Arial"/>
          <w:bCs/>
          <w:kern w:val="1"/>
          <w:lang w:eastAsia="ar-SA"/>
        </w:rPr>
        <w:t xml:space="preserve">de telecomunicaciones </w:t>
      </w:r>
      <w:r w:rsidRPr="00C52531">
        <w:rPr>
          <w:rFonts w:ascii="Arial" w:eastAsia="Times New Roman" w:hAnsi="Arial" w:cs="Arial"/>
          <w:bCs/>
          <w:kern w:val="1"/>
          <w:lang w:eastAsia="ar-SA"/>
        </w:rPr>
        <w:t>se presten de forma continua y eficiente de conformidad con la legislación aplicable</w:t>
      </w:r>
      <w:r>
        <w:rPr>
          <w:rStyle w:val="Refdenotaalpie"/>
          <w:rFonts w:ascii="Arial" w:eastAsia="Times New Roman" w:hAnsi="Arial" w:cs="Arial"/>
          <w:bCs/>
          <w:kern w:val="1"/>
          <w:lang w:eastAsia="ar-SA"/>
        </w:rPr>
        <w:footnoteReference w:id="5"/>
      </w:r>
      <w:r>
        <w:rPr>
          <w:rFonts w:ascii="Arial" w:eastAsia="Times New Roman" w:hAnsi="Arial" w:cs="Arial"/>
          <w:bCs/>
          <w:kern w:val="1"/>
          <w:lang w:eastAsia="ar-SA"/>
        </w:rPr>
        <w:t>, conductas que resultan en afectaciones graves a los usuarios, al limitar su acceso a servicios públicos de telecomunicaciones y/o a la posibilidad de ejercer su derecho a la portabilidad numérica</w:t>
      </w:r>
      <w:r w:rsidRPr="00C52531">
        <w:rPr>
          <w:rFonts w:ascii="Arial" w:eastAsia="Times New Roman" w:hAnsi="Arial" w:cs="Arial"/>
          <w:bCs/>
          <w:kern w:val="1"/>
          <w:lang w:eastAsia="ar-SA"/>
        </w:rPr>
        <w:t xml:space="preserve">. </w:t>
      </w:r>
    </w:p>
    <w:p w14:paraId="48877BF5" w14:textId="77777777" w:rsidR="00516CE5" w:rsidRDefault="00516CE5" w:rsidP="00516CE5">
      <w:pPr>
        <w:spacing w:after="0"/>
        <w:contextualSpacing/>
        <w:mirrorIndents/>
        <w:jc w:val="both"/>
        <w:rPr>
          <w:rFonts w:ascii="Arial" w:eastAsia="Times New Roman" w:hAnsi="Arial" w:cs="Arial"/>
          <w:bCs/>
          <w:kern w:val="1"/>
          <w:lang w:eastAsia="ar-SA"/>
        </w:rPr>
      </w:pPr>
    </w:p>
    <w:p w14:paraId="10AB3CD9" w14:textId="77777777" w:rsidR="00516CE5" w:rsidRDefault="00516CE5" w:rsidP="00516CE5">
      <w:pPr>
        <w:spacing w:after="0"/>
        <w:contextualSpacing/>
        <w:mirrorIndents/>
        <w:jc w:val="both"/>
        <w:rPr>
          <w:rFonts w:ascii="Arial" w:eastAsia="Times New Roman" w:hAnsi="Arial" w:cs="Arial"/>
          <w:bCs/>
          <w:kern w:val="1"/>
          <w:lang w:eastAsia="ar-SA"/>
        </w:rPr>
      </w:pPr>
      <w:r>
        <w:rPr>
          <w:rFonts w:ascii="Arial" w:eastAsia="Times New Roman" w:hAnsi="Arial" w:cs="Arial"/>
          <w:bCs/>
          <w:kern w:val="1"/>
          <w:lang w:eastAsia="ar-SA"/>
        </w:rPr>
        <w:t>En este sentido, se advierte que los usuarios finales de aquellos OMV que han detenido operaciones y con ello la comercialización de servicios de telecomunicaciones, ya sea por un cese de operaciones programado o por una interrupción abrupta, no siempre son migrados oportunamente hacia otros prestadores de servicios, poniendo en riesgo la continuidad de la conectividad de los usuarios y limitando su derecho al uso de servicios de telecomunicaciones, al no existir mecanismos claros que enfrenten dicha situación, como asegurar que los usuarios cuenten con información suficiente y oportuna para el ejercicio de su derecho a la portabilidad numérica.</w:t>
      </w:r>
    </w:p>
    <w:p w14:paraId="144A1851" w14:textId="77777777" w:rsidR="00516CE5" w:rsidRPr="004350C0" w:rsidRDefault="00516CE5" w:rsidP="00516CE5">
      <w:pPr>
        <w:spacing w:after="0"/>
        <w:contextualSpacing/>
        <w:mirrorIndents/>
        <w:jc w:val="both"/>
        <w:rPr>
          <w:rFonts w:ascii="Arial" w:eastAsia="Times New Roman" w:hAnsi="Arial" w:cs="Arial"/>
          <w:bCs/>
          <w:kern w:val="1"/>
          <w:lang w:eastAsia="ar-SA"/>
        </w:rPr>
      </w:pPr>
    </w:p>
    <w:p w14:paraId="799399D6" w14:textId="77777777" w:rsidR="00516CE5" w:rsidRDefault="00516CE5" w:rsidP="00516CE5">
      <w:pPr>
        <w:suppressAutoHyphens/>
        <w:spacing w:after="0"/>
        <w:ind w:right="49"/>
        <w:contextualSpacing/>
        <w:mirrorIndents/>
        <w:jc w:val="both"/>
        <w:rPr>
          <w:rFonts w:ascii="Arial" w:eastAsia="Times New Roman" w:hAnsi="Arial" w:cs="Arial"/>
          <w:bCs/>
          <w:kern w:val="1"/>
          <w:lang w:eastAsia="ar-SA"/>
        </w:rPr>
      </w:pPr>
      <w:r>
        <w:rPr>
          <w:rFonts w:ascii="Arial" w:eastAsia="Times New Roman" w:hAnsi="Arial" w:cs="Arial"/>
          <w:b/>
          <w:bCs/>
          <w:kern w:val="1"/>
          <w:lang w:eastAsia="ar-SA"/>
        </w:rPr>
        <w:t>Quinto</w:t>
      </w:r>
      <w:r w:rsidRPr="00D56C8B">
        <w:rPr>
          <w:rFonts w:ascii="Arial" w:eastAsia="Times New Roman" w:hAnsi="Arial" w:cs="Arial"/>
          <w:b/>
          <w:bCs/>
          <w:kern w:val="1"/>
          <w:lang w:eastAsia="ar-SA"/>
        </w:rPr>
        <w:t xml:space="preserve">.- Modificación </w:t>
      </w:r>
      <w:r>
        <w:rPr>
          <w:rFonts w:ascii="Arial" w:eastAsia="Times New Roman" w:hAnsi="Arial" w:cs="Arial"/>
          <w:b/>
          <w:bCs/>
          <w:kern w:val="1"/>
          <w:lang w:eastAsia="ar-SA"/>
        </w:rPr>
        <w:t xml:space="preserve">de los </w:t>
      </w:r>
      <w:r w:rsidRPr="00D56C8B">
        <w:rPr>
          <w:rFonts w:ascii="Arial" w:eastAsia="Times New Roman" w:hAnsi="Arial" w:cs="Arial"/>
          <w:b/>
          <w:bCs/>
          <w:kern w:val="1"/>
          <w:lang w:eastAsia="ar-SA"/>
        </w:rPr>
        <w:t xml:space="preserve">Lineamientos de OMV. </w:t>
      </w:r>
      <w:r>
        <w:rPr>
          <w:rFonts w:ascii="Arial" w:eastAsia="Times New Roman" w:hAnsi="Arial" w:cs="Arial"/>
          <w:bCs/>
          <w:kern w:val="1"/>
          <w:lang w:eastAsia="ar-SA"/>
        </w:rPr>
        <w:t>En los Lineamientos de OMV se han establecido diversas reglas asociadas a la relación que se tiene entre los Concesionarios Mayoristas Móviles y los OMV para la prestación de servicios por y/o a través de estos. Sin embargo, de un análisis a dichos lineamientos, se observa que estos no establecen lo aplicable en el caso de que un OMV que deja de prestar servicios, no dé</w:t>
      </w:r>
      <w:r w:rsidRPr="004B2266">
        <w:rPr>
          <w:rFonts w:ascii="Arial" w:eastAsia="Times New Roman" w:hAnsi="Arial" w:cs="Arial"/>
          <w:bCs/>
          <w:kern w:val="1"/>
          <w:lang w:eastAsia="ar-SA"/>
        </w:rPr>
        <w:t xml:space="preserve"> aviso </w:t>
      </w:r>
      <w:r>
        <w:rPr>
          <w:rFonts w:ascii="Arial" w:eastAsia="Times New Roman" w:hAnsi="Arial" w:cs="Arial"/>
          <w:bCs/>
          <w:kern w:val="1"/>
          <w:lang w:eastAsia="ar-SA"/>
        </w:rPr>
        <w:t xml:space="preserve">oportuno </w:t>
      </w:r>
      <w:r w:rsidRPr="004B2266">
        <w:rPr>
          <w:rFonts w:ascii="Arial" w:eastAsia="Times New Roman" w:hAnsi="Arial" w:cs="Arial"/>
          <w:bCs/>
          <w:kern w:val="1"/>
          <w:lang w:eastAsia="ar-SA"/>
        </w:rPr>
        <w:t>a</w:t>
      </w:r>
      <w:r>
        <w:rPr>
          <w:rFonts w:ascii="Arial" w:eastAsia="Times New Roman" w:hAnsi="Arial" w:cs="Arial"/>
          <w:bCs/>
          <w:kern w:val="1"/>
          <w:lang w:eastAsia="ar-SA"/>
        </w:rPr>
        <w:t xml:space="preserve"> </w:t>
      </w:r>
      <w:r w:rsidRPr="004B2266">
        <w:rPr>
          <w:rFonts w:ascii="Arial" w:eastAsia="Times New Roman" w:hAnsi="Arial" w:cs="Arial"/>
          <w:bCs/>
          <w:kern w:val="1"/>
          <w:lang w:eastAsia="ar-SA"/>
        </w:rPr>
        <w:t>l</w:t>
      </w:r>
      <w:r>
        <w:rPr>
          <w:rFonts w:ascii="Arial" w:eastAsia="Times New Roman" w:hAnsi="Arial" w:cs="Arial"/>
          <w:bCs/>
          <w:kern w:val="1"/>
          <w:lang w:eastAsia="ar-SA"/>
        </w:rPr>
        <w:t>os</w:t>
      </w:r>
      <w:r w:rsidRPr="004B2266">
        <w:rPr>
          <w:rFonts w:ascii="Arial" w:eastAsia="Times New Roman" w:hAnsi="Arial" w:cs="Arial"/>
          <w:bCs/>
          <w:kern w:val="1"/>
          <w:lang w:eastAsia="ar-SA"/>
        </w:rPr>
        <w:t xml:space="preserve"> usuario</w:t>
      </w:r>
      <w:r>
        <w:rPr>
          <w:rFonts w:ascii="Arial" w:eastAsia="Times New Roman" w:hAnsi="Arial" w:cs="Arial"/>
          <w:bCs/>
          <w:kern w:val="1"/>
          <w:lang w:eastAsia="ar-SA"/>
        </w:rPr>
        <w:t>s</w:t>
      </w:r>
      <w:r w:rsidRPr="004B2266">
        <w:rPr>
          <w:rFonts w:ascii="Arial" w:eastAsia="Times New Roman" w:hAnsi="Arial" w:cs="Arial"/>
          <w:bCs/>
          <w:kern w:val="1"/>
          <w:lang w:eastAsia="ar-SA"/>
        </w:rPr>
        <w:t xml:space="preserve"> final</w:t>
      </w:r>
      <w:r>
        <w:rPr>
          <w:rFonts w:ascii="Arial" w:eastAsia="Times New Roman" w:hAnsi="Arial" w:cs="Arial"/>
          <w:bCs/>
          <w:kern w:val="1"/>
          <w:lang w:eastAsia="ar-SA"/>
        </w:rPr>
        <w:t>es</w:t>
      </w:r>
      <w:r w:rsidRPr="004B2266">
        <w:rPr>
          <w:rFonts w:ascii="Arial" w:eastAsia="Times New Roman" w:hAnsi="Arial" w:cs="Arial"/>
          <w:bCs/>
          <w:kern w:val="1"/>
          <w:lang w:eastAsia="ar-SA"/>
        </w:rPr>
        <w:t xml:space="preserve"> </w:t>
      </w:r>
      <w:r>
        <w:rPr>
          <w:rFonts w:ascii="Arial" w:eastAsia="Times New Roman" w:hAnsi="Arial" w:cs="Arial"/>
          <w:bCs/>
          <w:kern w:val="1"/>
          <w:lang w:eastAsia="ar-SA"/>
        </w:rPr>
        <w:t xml:space="preserve">sobre </w:t>
      </w:r>
      <w:r w:rsidRPr="004B2266">
        <w:rPr>
          <w:rFonts w:ascii="Arial" w:eastAsia="Times New Roman" w:hAnsi="Arial" w:cs="Arial"/>
          <w:bCs/>
          <w:kern w:val="1"/>
          <w:lang w:eastAsia="ar-SA"/>
        </w:rPr>
        <w:t>el cese de prestación de los servicios contratados por ést</w:t>
      </w:r>
      <w:r>
        <w:rPr>
          <w:rFonts w:ascii="Arial" w:eastAsia="Times New Roman" w:hAnsi="Arial" w:cs="Arial"/>
          <w:bCs/>
          <w:kern w:val="1"/>
          <w:lang w:eastAsia="ar-SA"/>
        </w:rPr>
        <w:t xml:space="preserve">os, ni qué sucederá con aquellos usuarios finales que ante la falta de información suficiente para el ejercicio de sus derechos, como el derecho a la portabilidad, no hayan establecido previamente una relación contractual con algún otro prestador de servicios de telecomunicaciones móviles, lo cual genera </w:t>
      </w:r>
      <w:r>
        <w:rPr>
          <w:rFonts w:ascii="Arial" w:eastAsia="Times New Roman" w:hAnsi="Arial" w:cs="Arial"/>
          <w:bCs/>
          <w:kern w:val="1"/>
          <w:lang w:eastAsia="ar-SA"/>
        </w:rPr>
        <w:lastRenderedPageBreak/>
        <w:t>incertidumbre sobre la continuidad de la conexión de dichos usuarios en las redes públicas de telecomunicaciones.</w:t>
      </w:r>
    </w:p>
    <w:p w14:paraId="2E81B2B6" w14:textId="77777777" w:rsidR="00516CE5" w:rsidRDefault="00516CE5" w:rsidP="00516CE5">
      <w:pPr>
        <w:suppressAutoHyphens/>
        <w:spacing w:after="0"/>
        <w:ind w:right="49"/>
        <w:contextualSpacing/>
        <w:mirrorIndents/>
        <w:jc w:val="both"/>
        <w:rPr>
          <w:rFonts w:ascii="Arial" w:eastAsia="Times New Roman" w:hAnsi="Arial" w:cs="Arial"/>
          <w:bCs/>
          <w:kern w:val="1"/>
          <w:lang w:eastAsia="ar-SA"/>
        </w:rPr>
      </w:pPr>
    </w:p>
    <w:p w14:paraId="40B1AF48" w14:textId="77777777" w:rsidR="00516CE5" w:rsidRDefault="00516CE5" w:rsidP="00516CE5">
      <w:pPr>
        <w:suppressAutoHyphens/>
        <w:spacing w:after="0"/>
        <w:ind w:right="49"/>
        <w:contextualSpacing/>
        <w:mirrorIndents/>
        <w:jc w:val="both"/>
        <w:rPr>
          <w:rFonts w:ascii="Arial" w:eastAsia="Times New Roman" w:hAnsi="Arial" w:cs="Arial"/>
          <w:bCs/>
          <w:kern w:val="1"/>
          <w:lang w:eastAsia="ar-SA"/>
        </w:rPr>
      </w:pPr>
      <w:r w:rsidRPr="006F46A0">
        <w:rPr>
          <w:rFonts w:ascii="Arial" w:eastAsia="Times New Roman" w:hAnsi="Arial" w:cs="Arial"/>
          <w:bCs/>
          <w:kern w:val="1"/>
          <w:lang w:eastAsia="ar-SA"/>
        </w:rPr>
        <w:t xml:space="preserve">Por lo anterior, este Instituto considera necesario realizar modificaciones a los Lineamientos de OMV, mediante las cuales se prevea este escenario y se tenga una alternativa que permita mantener la conectividad de las líneas de </w:t>
      </w:r>
      <w:r>
        <w:rPr>
          <w:rFonts w:ascii="Arial" w:eastAsia="Times New Roman" w:hAnsi="Arial" w:cs="Arial"/>
          <w:bCs/>
          <w:kern w:val="1"/>
          <w:lang w:eastAsia="ar-SA"/>
        </w:rPr>
        <w:t>los</w:t>
      </w:r>
      <w:r w:rsidRPr="006F46A0">
        <w:rPr>
          <w:rFonts w:ascii="Arial" w:eastAsia="Times New Roman" w:hAnsi="Arial" w:cs="Arial"/>
          <w:bCs/>
          <w:kern w:val="1"/>
          <w:lang w:eastAsia="ar-SA"/>
        </w:rPr>
        <w:t xml:space="preserve"> usuarios</w:t>
      </w:r>
      <w:r>
        <w:rPr>
          <w:rFonts w:ascii="Arial" w:eastAsia="Times New Roman" w:hAnsi="Arial" w:cs="Arial"/>
          <w:bCs/>
          <w:kern w:val="1"/>
          <w:lang w:eastAsia="ar-SA"/>
        </w:rPr>
        <w:t xml:space="preserve"> de estos OMV</w:t>
      </w:r>
      <w:r w:rsidRPr="006F46A0">
        <w:rPr>
          <w:rFonts w:ascii="Arial" w:eastAsia="Times New Roman" w:hAnsi="Arial" w:cs="Arial"/>
          <w:bCs/>
          <w:kern w:val="1"/>
          <w:lang w:eastAsia="ar-SA"/>
        </w:rPr>
        <w:t>, con los principales objetivos de salvaguardar el acceso a servicios de telecomunicaciones considerados de interés general y</w:t>
      </w:r>
      <w:r>
        <w:rPr>
          <w:rFonts w:ascii="Arial" w:eastAsia="Times New Roman" w:hAnsi="Arial" w:cs="Arial"/>
          <w:bCs/>
          <w:kern w:val="1"/>
          <w:lang w:eastAsia="ar-SA"/>
        </w:rPr>
        <w:t xml:space="preserve"> así</w:t>
      </w:r>
      <w:r w:rsidRPr="006F46A0">
        <w:rPr>
          <w:rFonts w:ascii="Arial" w:eastAsia="Times New Roman" w:hAnsi="Arial" w:cs="Arial"/>
          <w:bCs/>
          <w:kern w:val="1"/>
          <w:lang w:eastAsia="ar-SA"/>
        </w:rPr>
        <w:t xml:space="preserve"> garantizar </w:t>
      </w:r>
      <w:r>
        <w:rPr>
          <w:rFonts w:ascii="Arial" w:eastAsia="Times New Roman" w:hAnsi="Arial" w:cs="Arial"/>
          <w:bCs/>
          <w:kern w:val="1"/>
          <w:lang w:eastAsia="ar-SA"/>
        </w:rPr>
        <w:t>su</w:t>
      </w:r>
      <w:r w:rsidRPr="006F46A0">
        <w:rPr>
          <w:rFonts w:ascii="Arial" w:eastAsia="Times New Roman" w:hAnsi="Arial" w:cs="Arial"/>
          <w:bCs/>
          <w:kern w:val="1"/>
          <w:lang w:eastAsia="ar-SA"/>
        </w:rPr>
        <w:t xml:space="preserve"> continuidad, a través del establecimiento de un periodo en el cual</w:t>
      </w:r>
      <w:r>
        <w:rPr>
          <w:rFonts w:ascii="Arial" w:eastAsia="Times New Roman" w:hAnsi="Arial" w:cs="Arial"/>
          <w:bCs/>
          <w:kern w:val="1"/>
          <w:lang w:eastAsia="ar-SA"/>
        </w:rPr>
        <w:t>,</w:t>
      </w:r>
      <w:r w:rsidRPr="006F46A0">
        <w:rPr>
          <w:rFonts w:ascii="Arial" w:eastAsia="Times New Roman" w:hAnsi="Arial" w:cs="Arial"/>
          <w:bCs/>
          <w:kern w:val="1"/>
          <w:lang w:eastAsia="ar-SA"/>
        </w:rPr>
        <w:t xml:space="preserve"> </w:t>
      </w:r>
      <w:r>
        <w:rPr>
          <w:rFonts w:ascii="Arial" w:eastAsia="Times New Roman" w:hAnsi="Arial" w:cs="Arial"/>
          <w:bCs/>
          <w:kern w:val="1"/>
          <w:lang w:eastAsia="ar-SA"/>
        </w:rPr>
        <w:t>la red d</w:t>
      </w:r>
      <w:r w:rsidRPr="006F46A0">
        <w:rPr>
          <w:rFonts w:ascii="Arial" w:eastAsia="Times New Roman" w:hAnsi="Arial" w:cs="Arial"/>
          <w:bCs/>
          <w:kern w:val="1"/>
          <w:lang w:eastAsia="ar-SA"/>
        </w:rPr>
        <w:t xml:space="preserve">el Concesionario Mayorista Móvil </w:t>
      </w:r>
      <w:r>
        <w:rPr>
          <w:rFonts w:ascii="Arial" w:eastAsia="Times New Roman" w:hAnsi="Arial" w:cs="Arial"/>
          <w:bCs/>
          <w:kern w:val="1"/>
          <w:lang w:eastAsia="ar-SA"/>
        </w:rPr>
        <w:t>en la cual se encuentren conectados estos usuarios, dé continuidad únicamente a las funcionalidades necesarias para la ejecución de la portabilidad numérica,</w:t>
      </w:r>
      <w:r w:rsidRPr="006F46A0">
        <w:rPr>
          <w:rFonts w:ascii="Arial" w:eastAsia="Times New Roman" w:hAnsi="Arial" w:cs="Arial"/>
          <w:bCs/>
          <w:kern w:val="1"/>
          <w:lang w:eastAsia="ar-SA"/>
        </w:rPr>
        <w:t xml:space="preserve"> así como</w:t>
      </w:r>
      <w:r>
        <w:rPr>
          <w:rFonts w:ascii="Arial" w:eastAsia="Times New Roman" w:hAnsi="Arial" w:cs="Arial"/>
          <w:bCs/>
          <w:kern w:val="1"/>
          <w:lang w:eastAsia="ar-SA"/>
        </w:rPr>
        <w:t xml:space="preserve"> para el </w:t>
      </w:r>
      <w:r w:rsidRPr="006F46A0">
        <w:rPr>
          <w:rFonts w:ascii="Arial" w:eastAsia="Times New Roman" w:hAnsi="Arial" w:cs="Arial"/>
          <w:bCs/>
          <w:kern w:val="1"/>
          <w:lang w:eastAsia="ar-SA"/>
        </w:rPr>
        <w:t>tr</w:t>
      </w:r>
      <w:r>
        <w:rPr>
          <w:rFonts w:ascii="Arial" w:eastAsia="Times New Roman" w:hAnsi="Arial" w:cs="Arial"/>
          <w:bCs/>
          <w:kern w:val="1"/>
          <w:lang w:eastAsia="ar-SA"/>
        </w:rPr>
        <w:t>á</w:t>
      </w:r>
      <w:r w:rsidRPr="006F46A0">
        <w:rPr>
          <w:rFonts w:ascii="Arial" w:eastAsia="Times New Roman" w:hAnsi="Arial" w:cs="Arial"/>
          <w:bCs/>
          <w:kern w:val="1"/>
          <w:lang w:eastAsia="ar-SA"/>
        </w:rPr>
        <w:t>mit</w:t>
      </w:r>
      <w:r>
        <w:rPr>
          <w:rFonts w:ascii="Arial" w:eastAsia="Times New Roman" w:hAnsi="Arial" w:cs="Arial"/>
          <w:bCs/>
          <w:kern w:val="1"/>
          <w:lang w:eastAsia="ar-SA"/>
        </w:rPr>
        <w:t>e</w:t>
      </w:r>
      <w:r w:rsidRPr="006F46A0">
        <w:rPr>
          <w:rFonts w:ascii="Arial" w:eastAsia="Times New Roman" w:hAnsi="Arial" w:cs="Arial"/>
          <w:bCs/>
          <w:kern w:val="1"/>
          <w:lang w:eastAsia="ar-SA"/>
        </w:rPr>
        <w:t xml:space="preserve"> </w:t>
      </w:r>
      <w:r>
        <w:rPr>
          <w:rFonts w:ascii="Arial" w:eastAsia="Times New Roman" w:hAnsi="Arial" w:cs="Arial"/>
          <w:bCs/>
          <w:kern w:val="1"/>
          <w:lang w:eastAsia="ar-SA"/>
        </w:rPr>
        <w:t>de</w:t>
      </w:r>
      <w:r w:rsidRPr="006F46A0">
        <w:rPr>
          <w:rFonts w:ascii="Arial" w:eastAsia="Times New Roman" w:hAnsi="Arial" w:cs="Arial"/>
          <w:bCs/>
          <w:kern w:val="1"/>
          <w:lang w:eastAsia="ar-SA"/>
        </w:rPr>
        <w:t xml:space="preserve"> comunicaciones destinadas a número</w:t>
      </w:r>
      <w:r>
        <w:rPr>
          <w:rFonts w:ascii="Arial" w:eastAsia="Times New Roman" w:hAnsi="Arial" w:cs="Arial"/>
          <w:bCs/>
          <w:kern w:val="1"/>
          <w:lang w:eastAsia="ar-SA"/>
        </w:rPr>
        <w:t>s</w:t>
      </w:r>
      <w:r w:rsidRPr="006F46A0">
        <w:rPr>
          <w:rFonts w:ascii="Arial" w:eastAsia="Times New Roman" w:hAnsi="Arial" w:cs="Arial"/>
          <w:bCs/>
          <w:kern w:val="1"/>
          <w:lang w:eastAsia="ar-SA"/>
        </w:rPr>
        <w:t xml:space="preserve"> de emergencia</w:t>
      </w:r>
      <w:r w:rsidRPr="006F46A0">
        <w:rPr>
          <w:rFonts w:ascii="Arial" w:eastAsia="Times New Roman" w:hAnsi="Arial" w:cs="Arial"/>
          <w:kern w:val="1"/>
          <w:lang w:eastAsia="ar-SA"/>
        </w:rPr>
        <w:t>.</w:t>
      </w:r>
      <w:r>
        <w:rPr>
          <w:rFonts w:ascii="Arial" w:eastAsia="Times New Roman" w:hAnsi="Arial" w:cs="Arial"/>
          <w:bCs/>
          <w:kern w:val="1"/>
          <w:lang w:eastAsia="ar-SA"/>
        </w:rPr>
        <w:t xml:space="preserve">  </w:t>
      </w:r>
    </w:p>
    <w:p w14:paraId="7B9E3BB6" w14:textId="77777777" w:rsidR="00516CE5" w:rsidRDefault="00516CE5" w:rsidP="00516CE5">
      <w:pPr>
        <w:suppressAutoHyphens/>
        <w:spacing w:after="0"/>
        <w:ind w:right="49"/>
        <w:contextualSpacing/>
        <w:mirrorIndents/>
        <w:jc w:val="both"/>
        <w:rPr>
          <w:rFonts w:ascii="Arial" w:eastAsia="Times New Roman" w:hAnsi="Arial" w:cs="Arial"/>
          <w:bCs/>
          <w:kern w:val="1"/>
          <w:lang w:eastAsia="ar-SA"/>
        </w:rPr>
      </w:pPr>
    </w:p>
    <w:p w14:paraId="0646C241" w14:textId="6BECEF0F" w:rsidR="005A6EFD" w:rsidRPr="003B4276" w:rsidRDefault="005A6EFD" w:rsidP="005A6EFD">
      <w:pPr>
        <w:suppressAutoHyphens/>
        <w:spacing w:after="0"/>
        <w:ind w:right="49"/>
        <w:contextualSpacing/>
        <w:mirrorIndents/>
        <w:jc w:val="both"/>
        <w:rPr>
          <w:rFonts w:ascii="Arial" w:eastAsia="Times New Roman" w:hAnsi="Arial" w:cs="Arial"/>
          <w:kern w:val="1"/>
          <w:lang w:eastAsia="ar-SA"/>
        </w:rPr>
      </w:pPr>
      <w:r>
        <w:rPr>
          <w:rFonts w:ascii="Arial" w:eastAsia="Times New Roman" w:hAnsi="Arial" w:cs="Arial"/>
          <w:b/>
          <w:bCs/>
          <w:kern w:val="1"/>
          <w:lang w:eastAsia="ar-SA"/>
        </w:rPr>
        <w:t>Sexto</w:t>
      </w:r>
      <w:r w:rsidRPr="005A6EFD">
        <w:rPr>
          <w:rFonts w:ascii="Arial" w:eastAsia="Times New Roman" w:hAnsi="Arial" w:cs="Arial"/>
          <w:b/>
          <w:bCs/>
          <w:kern w:val="1"/>
          <w:lang w:eastAsia="ar-SA"/>
        </w:rPr>
        <w:t xml:space="preserve">.- Consulta pública y Análisis de Impacto Regulatorio. </w:t>
      </w:r>
      <w:r w:rsidRPr="003B4276">
        <w:rPr>
          <w:rFonts w:ascii="Arial" w:eastAsia="Times New Roman" w:hAnsi="Arial" w:cs="Arial"/>
          <w:kern w:val="1"/>
          <w:lang w:eastAsia="ar-SA"/>
        </w:rPr>
        <w:t xml:space="preserve">El artículo 51 de la LFTR establece que para la emisión y modificación de reglas, lineamientos o disposiciones administrativas de carácter general, así como en cualquier caso que determine el Pleno, el Instituto deberá realizar consultas públicas bajo los principios de transparencia y participación ciudadana; asimismo señala que previamente a la emisión de reglas, lineamientos o disposiciones administrativas de carácter general de que se trate, el Instituto deberá realizar y hacer público un análisis de impacto regulatorio. </w:t>
      </w:r>
    </w:p>
    <w:p w14:paraId="6396E22C" w14:textId="77777777" w:rsidR="005A6EFD" w:rsidRPr="003B4276" w:rsidRDefault="005A6EFD" w:rsidP="005A6EFD">
      <w:pPr>
        <w:suppressAutoHyphens/>
        <w:spacing w:after="0"/>
        <w:ind w:right="49"/>
        <w:contextualSpacing/>
        <w:mirrorIndents/>
        <w:jc w:val="both"/>
        <w:rPr>
          <w:rFonts w:ascii="Arial" w:eastAsia="Times New Roman" w:hAnsi="Arial" w:cs="Arial"/>
          <w:kern w:val="1"/>
          <w:lang w:eastAsia="ar-SA"/>
        </w:rPr>
      </w:pPr>
      <w:r w:rsidRPr="003B4276">
        <w:rPr>
          <w:rFonts w:ascii="Arial" w:eastAsia="Times New Roman" w:hAnsi="Arial" w:cs="Arial"/>
          <w:kern w:val="1"/>
          <w:lang w:eastAsia="ar-SA"/>
        </w:rPr>
        <w:t xml:space="preserve">  </w:t>
      </w:r>
    </w:p>
    <w:p w14:paraId="2E6F926B" w14:textId="77777777" w:rsidR="005A6EFD" w:rsidRPr="003B4276" w:rsidRDefault="005A6EFD" w:rsidP="005A6EFD">
      <w:pPr>
        <w:suppressAutoHyphens/>
        <w:spacing w:after="0"/>
        <w:ind w:right="49"/>
        <w:contextualSpacing/>
        <w:mirrorIndents/>
        <w:jc w:val="both"/>
        <w:rPr>
          <w:rFonts w:ascii="Arial" w:eastAsia="Times New Roman" w:hAnsi="Arial" w:cs="Arial"/>
          <w:kern w:val="1"/>
          <w:lang w:eastAsia="ar-SA"/>
        </w:rPr>
      </w:pPr>
      <w:r w:rsidRPr="003B4276">
        <w:rPr>
          <w:rFonts w:ascii="Arial" w:eastAsia="Times New Roman" w:hAnsi="Arial" w:cs="Arial"/>
          <w:kern w:val="1"/>
          <w:lang w:eastAsia="ar-SA"/>
        </w:rPr>
        <w:t xml:space="preserve">En este sentido, el Pleno del Instituto estimó conveniente someter a consulta pública el Anteproyecto de Lineamientos. Al efecto, una vez concluido el plazo de consulta respectivo, se publicaron en el portal de Internet del Instituto todos y cada uno de los comentarios, opiniones y propuestas concretas recibidas respecto del Anteproyecto materia de dicha consulta pública. </w:t>
      </w:r>
    </w:p>
    <w:p w14:paraId="0950E3F2" w14:textId="77777777" w:rsidR="005A6EFD" w:rsidRPr="003B4276" w:rsidRDefault="005A6EFD" w:rsidP="005A6EFD">
      <w:pPr>
        <w:suppressAutoHyphens/>
        <w:spacing w:after="0"/>
        <w:ind w:right="49"/>
        <w:contextualSpacing/>
        <w:mirrorIndents/>
        <w:jc w:val="both"/>
        <w:rPr>
          <w:rFonts w:ascii="Arial" w:eastAsia="Times New Roman" w:hAnsi="Arial" w:cs="Arial"/>
          <w:kern w:val="1"/>
          <w:lang w:eastAsia="ar-SA"/>
        </w:rPr>
      </w:pPr>
      <w:r w:rsidRPr="003B4276">
        <w:rPr>
          <w:rFonts w:ascii="Arial" w:eastAsia="Times New Roman" w:hAnsi="Arial" w:cs="Arial"/>
          <w:kern w:val="1"/>
          <w:lang w:eastAsia="ar-SA"/>
        </w:rPr>
        <w:t xml:space="preserve">  </w:t>
      </w:r>
    </w:p>
    <w:p w14:paraId="7F4582EB" w14:textId="77777777" w:rsidR="005A6EFD" w:rsidRPr="003B4276" w:rsidRDefault="005A6EFD" w:rsidP="005A6EFD">
      <w:pPr>
        <w:suppressAutoHyphens/>
        <w:spacing w:after="0"/>
        <w:ind w:right="49"/>
        <w:contextualSpacing/>
        <w:mirrorIndents/>
        <w:jc w:val="both"/>
        <w:rPr>
          <w:rFonts w:ascii="Arial" w:eastAsia="Times New Roman" w:hAnsi="Arial" w:cs="Arial"/>
          <w:kern w:val="1"/>
          <w:lang w:eastAsia="ar-SA"/>
        </w:rPr>
      </w:pPr>
      <w:r w:rsidRPr="003B4276">
        <w:rPr>
          <w:rFonts w:ascii="Arial" w:eastAsia="Times New Roman" w:hAnsi="Arial" w:cs="Arial"/>
          <w:kern w:val="1"/>
          <w:lang w:eastAsia="ar-SA"/>
        </w:rPr>
        <w:t xml:space="preserve">De las manifestaciones y propuestas realizadas, el Instituto identificó oportunidades de precisión y mejora del instrumento regulatorio de mérito, logrando clarificar y robustecer su contenido. Las respuestas y comentarios a las participaciones recibidas del público durante el periodo de consulta pública se encuentran disponibles en la página de Internet del Instituto. </w:t>
      </w:r>
    </w:p>
    <w:p w14:paraId="28BC6091" w14:textId="77777777" w:rsidR="005A6EFD" w:rsidRPr="003B4276" w:rsidRDefault="005A6EFD" w:rsidP="005A6EFD">
      <w:pPr>
        <w:suppressAutoHyphens/>
        <w:spacing w:after="0"/>
        <w:ind w:right="49"/>
        <w:contextualSpacing/>
        <w:mirrorIndents/>
        <w:jc w:val="both"/>
        <w:rPr>
          <w:rFonts w:ascii="Arial" w:eastAsia="Times New Roman" w:hAnsi="Arial" w:cs="Arial"/>
          <w:kern w:val="1"/>
          <w:lang w:eastAsia="ar-SA"/>
        </w:rPr>
      </w:pPr>
      <w:r w:rsidRPr="003B4276">
        <w:rPr>
          <w:rFonts w:ascii="Arial" w:eastAsia="Times New Roman" w:hAnsi="Arial" w:cs="Arial"/>
          <w:kern w:val="1"/>
          <w:lang w:eastAsia="ar-SA"/>
        </w:rPr>
        <w:t xml:space="preserve">  </w:t>
      </w:r>
    </w:p>
    <w:p w14:paraId="5DD1636E" w14:textId="77777777" w:rsidR="005A6EFD" w:rsidRPr="003B4276" w:rsidRDefault="005A6EFD" w:rsidP="005A6EFD">
      <w:pPr>
        <w:suppressAutoHyphens/>
        <w:spacing w:after="0"/>
        <w:ind w:right="49"/>
        <w:contextualSpacing/>
        <w:mirrorIndents/>
        <w:jc w:val="both"/>
        <w:rPr>
          <w:rFonts w:ascii="Arial" w:eastAsia="Times New Roman" w:hAnsi="Arial" w:cs="Arial"/>
          <w:kern w:val="1"/>
          <w:lang w:eastAsia="ar-SA"/>
        </w:rPr>
      </w:pPr>
      <w:r w:rsidRPr="003B4276">
        <w:rPr>
          <w:rFonts w:ascii="Arial" w:eastAsia="Times New Roman" w:hAnsi="Arial" w:cs="Arial"/>
          <w:kern w:val="1"/>
          <w:lang w:eastAsia="ar-SA"/>
        </w:rPr>
        <w:t xml:space="preserve">Por otra parte, la Unidad de Política Regulatoria del Instituto realizó el Análisis de Impacto Regulatorio correspondiente, mismo que fue sometido formalmente a opinión no vinculante de la Coordinación General de Mejora Regulatoria del propio Instituto. </w:t>
      </w:r>
    </w:p>
    <w:p w14:paraId="44E05B1C" w14:textId="77777777" w:rsidR="005A6EFD" w:rsidRPr="003B4276" w:rsidRDefault="005A6EFD" w:rsidP="005A6EFD">
      <w:pPr>
        <w:suppressAutoHyphens/>
        <w:spacing w:after="0"/>
        <w:ind w:right="49"/>
        <w:contextualSpacing/>
        <w:mirrorIndents/>
        <w:jc w:val="both"/>
        <w:rPr>
          <w:rFonts w:ascii="Arial" w:eastAsia="Times New Roman" w:hAnsi="Arial" w:cs="Arial"/>
          <w:kern w:val="1"/>
          <w:lang w:eastAsia="ar-SA"/>
        </w:rPr>
      </w:pPr>
      <w:r w:rsidRPr="003B4276">
        <w:rPr>
          <w:rFonts w:ascii="Arial" w:eastAsia="Times New Roman" w:hAnsi="Arial" w:cs="Arial"/>
          <w:kern w:val="1"/>
          <w:lang w:eastAsia="ar-SA"/>
        </w:rPr>
        <w:t xml:space="preserve">  </w:t>
      </w:r>
    </w:p>
    <w:p w14:paraId="6E142D71" w14:textId="6E15B21C" w:rsidR="005A6EFD" w:rsidRPr="00EF1F2F" w:rsidRDefault="005A6EFD" w:rsidP="005A6EFD">
      <w:pPr>
        <w:suppressAutoHyphens/>
        <w:spacing w:after="0"/>
        <w:ind w:right="49"/>
        <w:contextualSpacing/>
        <w:mirrorIndents/>
        <w:jc w:val="both"/>
        <w:rPr>
          <w:rFonts w:ascii="Arial" w:eastAsia="Times New Roman" w:hAnsi="Arial" w:cs="Arial"/>
          <w:kern w:val="1"/>
          <w:lang w:eastAsia="ar-SA"/>
        </w:rPr>
      </w:pPr>
      <w:r w:rsidRPr="003B4276">
        <w:rPr>
          <w:rFonts w:ascii="Arial" w:eastAsia="Times New Roman" w:hAnsi="Arial" w:cs="Arial"/>
          <w:kern w:val="1"/>
          <w:lang w:eastAsia="ar-SA"/>
        </w:rPr>
        <w:t>Como consecuencia de lo anterior, mediante oficio IFT/211/CGMR/XXX/XXXX del XX de XXXXXX de XXXX, la Coordinación General de Mejora Regulatoria emitió la opinión no vinculante respecto del "</w:t>
      </w:r>
      <w:r w:rsidR="004343C8" w:rsidRPr="004343C8">
        <w:rPr>
          <w:rFonts w:ascii="Arial" w:eastAsia="Times New Roman" w:hAnsi="Arial" w:cs="Arial"/>
          <w:kern w:val="1"/>
          <w:lang w:eastAsia="ar-SA"/>
        </w:rPr>
        <w:t>Anteproyecto de Acuerdo mediante el cual el Pleno del Instituto Federal de Telecomunicaciones modifica los Lineamientos para la comercialización de servicios móviles por parte de operadores móviles virtuales</w:t>
      </w:r>
      <w:r w:rsidRPr="00EF1F2F">
        <w:rPr>
          <w:rFonts w:ascii="Arial" w:eastAsia="Times New Roman" w:hAnsi="Arial" w:cs="Arial"/>
          <w:kern w:val="1"/>
          <w:lang w:eastAsia="ar-SA"/>
        </w:rPr>
        <w:t xml:space="preserve">". </w:t>
      </w:r>
    </w:p>
    <w:p w14:paraId="172033F3" w14:textId="77777777" w:rsidR="005A6EFD" w:rsidRPr="00EF1F2F" w:rsidRDefault="005A6EFD" w:rsidP="005A6EFD">
      <w:pPr>
        <w:suppressAutoHyphens/>
        <w:spacing w:after="0"/>
        <w:ind w:right="49"/>
        <w:contextualSpacing/>
        <w:mirrorIndents/>
        <w:jc w:val="both"/>
        <w:rPr>
          <w:rFonts w:ascii="Arial" w:eastAsia="Times New Roman" w:hAnsi="Arial" w:cs="Arial"/>
          <w:kern w:val="1"/>
          <w:lang w:eastAsia="ar-SA"/>
        </w:rPr>
      </w:pPr>
      <w:r w:rsidRPr="00EF1F2F">
        <w:rPr>
          <w:rFonts w:ascii="Arial" w:eastAsia="Times New Roman" w:hAnsi="Arial" w:cs="Arial"/>
          <w:kern w:val="1"/>
          <w:lang w:eastAsia="ar-SA"/>
        </w:rPr>
        <w:t xml:space="preserve">  </w:t>
      </w:r>
    </w:p>
    <w:p w14:paraId="7DC44AAF" w14:textId="0F7F2FBA" w:rsidR="0016235C" w:rsidRDefault="005A6EFD" w:rsidP="005A6EFD">
      <w:pPr>
        <w:suppressAutoHyphens/>
        <w:spacing w:after="0"/>
        <w:ind w:right="49"/>
        <w:contextualSpacing/>
        <w:mirrorIndents/>
        <w:jc w:val="both"/>
        <w:rPr>
          <w:rFonts w:ascii="Arial" w:eastAsia="Times New Roman" w:hAnsi="Arial" w:cs="Arial"/>
          <w:kern w:val="1"/>
          <w:lang w:eastAsia="ar-SA"/>
        </w:rPr>
      </w:pPr>
      <w:r w:rsidRPr="00EF1F2F">
        <w:rPr>
          <w:rFonts w:ascii="Arial" w:eastAsia="Times New Roman" w:hAnsi="Arial" w:cs="Arial"/>
          <w:kern w:val="1"/>
          <w:lang w:eastAsia="ar-SA"/>
        </w:rPr>
        <w:t>El Análisis de Impacto Regulatorio del "</w:t>
      </w:r>
      <w:r w:rsidR="009C4032" w:rsidRPr="004343C8">
        <w:rPr>
          <w:rFonts w:ascii="Arial" w:eastAsia="Times New Roman" w:hAnsi="Arial" w:cs="Arial"/>
          <w:kern w:val="1"/>
          <w:lang w:eastAsia="ar-SA"/>
        </w:rPr>
        <w:t>Anteproyecto de Acuerdo mediante el cual el Pleno del Instituto Federal de Telecomunicaciones modifica los Lineamientos para la comercialización de servicios móviles por parte de operadores móviles virtuales</w:t>
      </w:r>
      <w:r w:rsidRPr="00EF1F2F">
        <w:rPr>
          <w:rFonts w:ascii="Arial" w:eastAsia="Times New Roman" w:hAnsi="Arial" w:cs="Arial"/>
          <w:kern w:val="1"/>
          <w:lang w:eastAsia="ar-SA"/>
        </w:rPr>
        <w:t xml:space="preserve">", fue debidamente publicado en la </w:t>
      </w:r>
      <w:r w:rsidRPr="00EF1F2F">
        <w:rPr>
          <w:rFonts w:ascii="Arial" w:eastAsia="Times New Roman" w:hAnsi="Arial" w:cs="Arial"/>
          <w:kern w:val="1"/>
          <w:lang w:eastAsia="ar-SA"/>
        </w:rPr>
        <w:lastRenderedPageBreak/>
        <w:t>página de Internet del Instituto, en el espacio destinado para los procesos de consultas públicas, a efecto de darle debida publicidad.</w:t>
      </w:r>
    </w:p>
    <w:p w14:paraId="402D74E9" w14:textId="77777777" w:rsidR="005A6EFD" w:rsidRPr="00EF1F2F" w:rsidRDefault="005A6EFD" w:rsidP="005A6EFD">
      <w:pPr>
        <w:suppressAutoHyphens/>
        <w:spacing w:after="0"/>
        <w:ind w:right="49"/>
        <w:contextualSpacing/>
        <w:mirrorIndents/>
        <w:jc w:val="both"/>
        <w:rPr>
          <w:rFonts w:ascii="Arial" w:eastAsia="Times New Roman" w:hAnsi="Arial" w:cs="Arial"/>
          <w:kern w:val="1"/>
          <w:lang w:val="es-MX" w:eastAsia="ar-SA"/>
        </w:rPr>
      </w:pPr>
    </w:p>
    <w:p w14:paraId="6E720AFD" w14:textId="3F6D026B" w:rsidR="0016235C" w:rsidRPr="00D56C8B" w:rsidRDefault="0016235C" w:rsidP="0016235C">
      <w:pPr>
        <w:suppressAutoHyphens/>
        <w:spacing w:after="0"/>
        <w:ind w:right="49"/>
        <w:contextualSpacing/>
        <w:mirrorIndents/>
        <w:jc w:val="both"/>
        <w:rPr>
          <w:rFonts w:ascii="Arial" w:eastAsia="Times New Roman" w:hAnsi="Arial" w:cs="Arial"/>
          <w:bCs/>
          <w:kern w:val="1"/>
          <w:lang w:eastAsia="ar-SA"/>
        </w:rPr>
      </w:pPr>
      <w:r w:rsidRPr="00D56C8B">
        <w:rPr>
          <w:rFonts w:ascii="Arial" w:eastAsia="Times New Roman" w:hAnsi="Arial" w:cs="Arial"/>
          <w:bCs/>
          <w:kern w:val="1"/>
          <w:lang w:eastAsia="ar-SA"/>
        </w:rPr>
        <w:t>Por lo anterior, con fundamento en los artículos 28, párrafos décimo quinto, décimo sexto y vigésimo fracción IV de la Constitución Política de los Estados Unidos Mexicanos; 1, 2, 7, 15 fracciones I y</w:t>
      </w:r>
      <w:r w:rsidR="000C3DEC" w:rsidRPr="000C3DEC">
        <w:rPr>
          <w:rFonts w:ascii="Arial" w:eastAsia="Times New Roman" w:hAnsi="Arial" w:cs="Arial"/>
          <w:bCs/>
          <w:kern w:val="1"/>
          <w:lang w:eastAsia="ar-SA"/>
        </w:rPr>
        <w:t xml:space="preserve"> </w:t>
      </w:r>
      <w:r w:rsidR="000C3DEC" w:rsidRPr="00D56C8B">
        <w:rPr>
          <w:rFonts w:ascii="Arial" w:eastAsia="Times New Roman" w:hAnsi="Arial" w:cs="Arial"/>
          <w:bCs/>
          <w:kern w:val="1"/>
          <w:lang w:eastAsia="ar-SA"/>
        </w:rPr>
        <w:t>L</w:t>
      </w:r>
      <w:r w:rsidR="000C3DEC">
        <w:rPr>
          <w:rFonts w:ascii="Arial" w:eastAsia="Times New Roman" w:hAnsi="Arial" w:cs="Arial"/>
          <w:bCs/>
          <w:kern w:val="1"/>
          <w:lang w:eastAsia="ar-SA"/>
        </w:rPr>
        <w:t>VI y</w:t>
      </w:r>
      <w:r w:rsidR="000C3DEC" w:rsidRPr="00D56C8B">
        <w:rPr>
          <w:rFonts w:ascii="Arial" w:eastAsia="Times New Roman" w:hAnsi="Arial" w:cs="Arial"/>
          <w:bCs/>
          <w:kern w:val="1"/>
          <w:lang w:eastAsia="ar-SA"/>
        </w:rPr>
        <w:t xml:space="preserve"> 51</w:t>
      </w:r>
      <w:r w:rsidR="000C3DEC">
        <w:rPr>
          <w:rFonts w:ascii="Arial" w:eastAsia="Times New Roman" w:hAnsi="Arial" w:cs="Arial"/>
          <w:bCs/>
          <w:kern w:val="1"/>
          <w:lang w:eastAsia="ar-SA"/>
        </w:rPr>
        <w:t xml:space="preserve"> </w:t>
      </w:r>
      <w:r w:rsidR="000C3DEC" w:rsidRPr="00D56C8B">
        <w:rPr>
          <w:rFonts w:ascii="Arial" w:eastAsia="Times New Roman" w:hAnsi="Arial" w:cs="Arial"/>
          <w:bCs/>
          <w:kern w:val="1"/>
          <w:lang w:eastAsia="ar-SA"/>
        </w:rPr>
        <w:t xml:space="preserve">de la Ley Federal de Telecomunicaciones y Radiodifusión; </w:t>
      </w:r>
      <w:r w:rsidR="000C3DEC" w:rsidRPr="00C83F88">
        <w:rPr>
          <w:rFonts w:ascii="Arial" w:eastAsia="Times New Roman" w:hAnsi="Arial" w:cs="Arial"/>
          <w:bCs/>
          <w:kern w:val="1"/>
          <w:lang w:eastAsia="ar-SA"/>
        </w:rPr>
        <w:t>1, 4, </w:t>
      </w:r>
      <w:r w:rsidR="000C3DEC" w:rsidRPr="00D56C8B">
        <w:rPr>
          <w:rFonts w:ascii="Arial" w:eastAsia="Times New Roman" w:hAnsi="Arial" w:cs="Arial"/>
          <w:bCs/>
          <w:kern w:val="1"/>
          <w:lang w:eastAsia="ar-SA"/>
        </w:rPr>
        <w:t>fracción</w:t>
      </w:r>
      <w:r w:rsidR="000C3DEC" w:rsidRPr="00C83F88">
        <w:rPr>
          <w:rFonts w:ascii="Arial" w:eastAsia="Times New Roman" w:hAnsi="Arial" w:cs="Arial"/>
          <w:bCs/>
          <w:kern w:val="1"/>
          <w:lang w:eastAsia="ar-SA"/>
        </w:rPr>
        <w:t> I </w:t>
      </w:r>
      <w:r w:rsidR="000C3DEC" w:rsidRPr="00D56C8B">
        <w:rPr>
          <w:rFonts w:ascii="Arial" w:eastAsia="Times New Roman" w:hAnsi="Arial" w:cs="Arial"/>
          <w:bCs/>
          <w:kern w:val="1"/>
          <w:lang w:eastAsia="ar-SA"/>
        </w:rPr>
        <w:t>y</w:t>
      </w:r>
      <w:r w:rsidR="000C3DEC" w:rsidRPr="00C83F88">
        <w:rPr>
          <w:rFonts w:ascii="Arial" w:eastAsia="Times New Roman" w:hAnsi="Arial" w:cs="Arial"/>
          <w:bCs/>
          <w:kern w:val="1"/>
          <w:lang w:eastAsia="ar-SA"/>
        </w:rPr>
        <w:t> 6 fracciones I </w:t>
      </w:r>
      <w:r w:rsidR="000C3DEC" w:rsidRPr="00D56C8B">
        <w:rPr>
          <w:rFonts w:ascii="Arial" w:eastAsia="Times New Roman" w:hAnsi="Arial" w:cs="Arial"/>
          <w:bCs/>
          <w:kern w:val="1"/>
          <w:lang w:eastAsia="ar-SA"/>
        </w:rPr>
        <w:t>y</w:t>
      </w:r>
      <w:r w:rsidR="000C3DEC" w:rsidRPr="00C83F88">
        <w:rPr>
          <w:rFonts w:ascii="Arial" w:eastAsia="Times New Roman" w:hAnsi="Arial" w:cs="Arial"/>
          <w:bCs/>
          <w:kern w:val="1"/>
          <w:lang w:eastAsia="ar-SA"/>
        </w:rPr>
        <w:t> XXV </w:t>
      </w:r>
      <w:r w:rsidR="000C3DEC" w:rsidRPr="00D56C8B">
        <w:rPr>
          <w:rFonts w:ascii="Arial" w:eastAsia="Times New Roman" w:hAnsi="Arial" w:cs="Arial"/>
          <w:bCs/>
          <w:kern w:val="1"/>
          <w:lang w:eastAsia="ar-SA"/>
        </w:rPr>
        <w:t>del</w:t>
      </w:r>
      <w:r w:rsidR="000C3DEC" w:rsidRPr="00C83F88">
        <w:rPr>
          <w:rFonts w:ascii="Arial" w:eastAsia="Times New Roman" w:hAnsi="Arial" w:cs="Arial"/>
          <w:bCs/>
          <w:kern w:val="1"/>
          <w:lang w:eastAsia="ar-SA"/>
        </w:rPr>
        <w:t> Estatuto Orgánico</w:t>
      </w:r>
      <w:r w:rsidRPr="00D56C8B">
        <w:rPr>
          <w:rFonts w:ascii="Arial" w:eastAsia="Times New Roman" w:hAnsi="Arial" w:cs="Arial"/>
          <w:bCs/>
          <w:kern w:val="1"/>
          <w:lang w:eastAsia="ar-SA"/>
        </w:rPr>
        <w:t>, el Pleno de este Instituto expide el siguiente:</w:t>
      </w:r>
    </w:p>
    <w:p w14:paraId="62B9831C" w14:textId="77777777" w:rsidR="00772825" w:rsidRPr="00D56C8B" w:rsidRDefault="00772825" w:rsidP="00772825">
      <w:pPr>
        <w:suppressAutoHyphens/>
        <w:spacing w:after="0"/>
        <w:ind w:right="49"/>
        <w:contextualSpacing/>
        <w:mirrorIndents/>
        <w:jc w:val="center"/>
        <w:rPr>
          <w:rFonts w:ascii="Arial" w:eastAsia="Times New Roman" w:hAnsi="Arial" w:cs="Arial"/>
          <w:bCs/>
          <w:kern w:val="1"/>
          <w:lang w:eastAsia="ar-SA"/>
        </w:rPr>
      </w:pPr>
    </w:p>
    <w:p w14:paraId="01E7A3EA" w14:textId="77777777" w:rsidR="00772825" w:rsidRPr="00D56C8B" w:rsidRDefault="00772825" w:rsidP="00772825">
      <w:pPr>
        <w:suppressAutoHyphens/>
        <w:spacing w:after="0"/>
        <w:ind w:right="49"/>
        <w:contextualSpacing/>
        <w:mirrorIndents/>
        <w:jc w:val="center"/>
        <w:rPr>
          <w:rFonts w:ascii="Arial" w:eastAsia="Times New Roman" w:hAnsi="Arial" w:cs="Arial"/>
          <w:bCs/>
          <w:kern w:val="1"/>
          <w:lang w:eastAsia="ar-SA"/>
        </w:rPr>
      </w:pPr>
    </w:p>
    <w:p w14:paraId="2E87FA36" w14:textId="77777777" w:rsidR="00772825" w:rsidRPr="00D56C8B" w:rsidRDefault="00772825" w:rsidP="00772825">
      <w:pPr>
        <w:spacing w:after="0"/>
        <w:contextualSpacing/>
        <w:mirrorIndents/>
        <w:jc w:val="center"/>
        <w:rPr>
          <w:rFonts w:ascii="Arial" w:hAnsi="Arial" w:cs="Arial"/>
          <w:b/>
          <w:bCs/>
          <w:color w:val="000000"/>
          <w:sz w:val="26"/>
          <w:szCs w:val="26"/>
          <w:lang w:eastAsia="es-MX"/>
        </w:rPr>
      </w:pPr>
      <w:r w:rsidRPr="00D56C8B">
        <w:rPr>
          <w:rFonts w:ascii="Arial" w:hAnsi="Arial" w:cs="Arial"/>
          <w:b/>
          <w:bCs/>
          <w:color w:val="000000"/>
          <w:sz w:val="26"/>
          <w:szCs w:val="26"/>
          <w:lang w:eastAsia="es-MX"/>
        </w:rPr>
        <w:t>Acuerdo</w:t>
      </w:r>
    </w:p>
    <w:p w14:paraId="3196B7EC" w14:textId="77777777" w:rsidR="00772825" w:rsidRPr="00D56C8B" w:rsidRDefault="00772825" w:rsidP="00772825">
      <w:pPr>
        <w:spacing w:after="0"/>
        <w:contextualSpacing/>
        <w:mirrorIndents/>
        <w:jc w:val="center"/>
        <w:rPr>
          <w:rFonts w:ascii="Arial" w:hAnsi="Arial" w:cs="Arial"/>
          <w:b/>
          <w:bCs/>
          <w:color w:val="000000"/>
          <w:lang w:eastAsia="es-MX"/>
        </w:rPr>
      </w:pPr>
    </w:p>
    <w:p w14:paraId="7E1A9C17" w14:textId="77777777" w:rsidR="00772825" w:rsidRPr="00D56C8B" w:rsidRDefault="00772825" w:rsidP="00772825">
      <w:pPr>
        <w:spacing w:after="0"/>
        <w:contextualSpacing/>
        <w:mirrorIndents/>
        <w:jc w:val="center"/>
        <w:rPr>
          <w:rFonts w:ascii="Arial" w:hAnsi="Arial" w:cs="Arial"/>
          <w:b/>
          <w:bCs/>
          <w:color w:val="000000"/>
          <w:lang w:eastAsia="es-MX"/>
        </w:rPr>
      </w:pPr>
    </w:p>
    <w:p w14:paraId="63E1F1B6" w14:textId="2C88730F" w:rsidR="003B1A3E" w:rsidRDefault="003B1A3E" w:rsidP="008139C2">
      <w:pPr>
        <w:pStyle w:val="Default"/>
        <w:tabs>
          <w:tab w:val="left" w:pos="426"/>
        </w:tabs>
        <w:spacing w:line="276" w:lineRule="auto"/>
        <w:jc w:val="both"/>
        <w:rPr>
          <w:rFonts w:ascii="Arial" w:hAnsi="Arial" w:cs="Arial"/>
          <w:color w:val="auto"/>
          <w:sz w:val="22"/>
          <w:szCs w:val="22"/>
          <w:lang w:val="es-ES"/>
        </w:rPr>
      </w:pPr>
      <w:proofErr w:type="gramStart"/>
      <w:r w:rsidRPr="00B46D47">
        <w:rPr>
          <w:rFonts w:ascii="Arial" w:hAnsi="Arial" w:cs="Arial"/>
          <w:b/>
          <w:color w:val="auto"/>
          <w:sz w:val="22"/>
          <w:szCs w:val="22"/>
          <w:lang w:val="es-ES"/>
        </w:rPr>
        <w:t>Único.-</w:t>
      </w:r>
      <w:proofErr w:type="gramEnd"/>
      <w:r w:rsidRPr="00B46D47">
        <w:rPr>
          <w:rFonts w:ascii="Arial" w:hAnsi="Arial" w:cs="Arial"/>
          <w:color w:val="auto"/>
          <w:sz w:val="22"/>
          <w:szCs w:val="22"/>
          <w:lang w:val="es-ES"/>
        </w:rPr>
        <w:t xml:space="preserve">  Se </w:t>
      </w:r>
      <w:r w:rsidRPr="00B46D47">
        <w:rPr>
          <w:rFonts w:ascii="Arial" w:hAnsi="Arial" w:cs="Arial"/>
          <w:color w:val="404040" w:themeColor="text1" w:themeTint="BF"/>
          <w:sz w:val="22"/>
          <w:szCs w:val="22"/>
          <w:lang w:val="es-ES"/>
        </w:rPr>
        <w:t>ADICIONA</w:t>
      </w:r>
      <w:r w:rsidR="00D7519D">
        <w:rPr>
          <w:rFonts w:ascii="Arial" w:hAnsi="Arial" w:cs="Arial"/>
          <w:color w:val="404040" w:themeColor="text1" w:themeTint="BF"/>
          <w:sz w:val="22"/>
          <w:szCs w:val="22"/>
          <w:lang w:val="es-ES"/>
        </w:rPr>
        <w:t>N</w:t>
      </w:r>
      <w:r w:rsidRPr="00B46D47">
        <w:rPr>
          <w:rFonts w:ascii="Arial" w:hAnsi="Arial" w:cs="Arial"/>
          <w:color w:val="404040" w:themeColor="text1" w:themeTint="BF"/>
          <w:sz w:val="22"/>
          <w:szCs w:val="22"/>
          <w:lang w:val="es-ES"/>
        </w:rPr>
        <w:t xml:space="preserve"> </w:t>
      </w:r>
      <w:r w:rsidRPr="00B46D47">
        <w:rPr>
          <w:rFonts w:ascii="Arial" w:hAnsi="Arial" w:cs="Arial"/>
          <w:color w:val="auto"/>
          <w:sz w:val="22"/>
          <w:szCs w:val="22"/>
          <w:lang w:val="es-ES"/>
        </w:rPr>
        <w:t xml:space="preserve">la fracción XIII al artículo 8 y el </w:t>
      </w:r>
      <w:r w:rsidRPr="00B46D47">
        <w:rPr>
          <w:rFonts w:ascii="Arial" w:hAnsi="Arial" w:cs="Arial"/>
          <w:color w:val="404040" w:themeColor="text1" w:themeTint="BF"/>
          <w:sz w:val="22"/>
          <w:szCs w:val="22"/>
          <w:lang w:val="es-ES"/>
        </w:rPr>
        <w:t>Capítulo VI “De la Continuidad de</w:t>
      </w:r>
      <w:r w:rsidR="00CD541F" w:rsidRPr="00B46D47">
        <w:rPr>
          <w:rFonts w:ascii="Arial" w:hAnsi="Arial" w:cs="Arial"/>
          <w:color w:val="404040" w:themeColor="text1" w:themeTint="BF"/>
          <w:sz w:val="22"/>
          <w:szCs w:val="22"/>
          <w:lang w:val="es-ES"/>
        </w:rPr>
        <w:t xml:space="preserve"> </w:t>
      </w:r>
      <w:r w:rsidR="00B46D47" w:rsidRPr="00B46D47">
        <w:rPr>
          <w:rFonts w:ascii="Arial" w:hAnsi="Arial" w:cs="Arial"/>
          <w:color w:val="404040" w:themeColor="text1" w:themeTint="BF"/>
          <w:sz w:val="22"/>
          <w:szCs w:val="22"/>
          <w:lang w:val="es-ES"/>
        </w:rPr>
        <w:t>F</w:t>
      </w:r>
      <w:r w:rsidR="00CD541F" w:rsidRPr="00B46D47">
        <w:rPr>
          <w:rFonts w:ascii="Arial" w:hAnsi="Arial" w:cs="Arial"/>
          <w:color w:val="404040" w:themeColor="text1" w:themeTint="BF"/>
          <w:sz w:val="22"/>
          <w:szCs w:val="22"/>
          <w:lang w:val="es-ES"/>
        </w:rPr>
        <w:t>uncionalidades</w:t>
      </w:r>
      <w:r w:rsidRPr="00B46D47">
        <w:rPr>
          <w:rFonts w:ascii="Arial" w:hAnsi="Arial" w:cs="Arial"/>
          <w:color w:val="404040" w:themeColor="text1" w:themeTint="BF"/>
          <w:sz w:val="22"/>
          <w:szCs w:val="22"/>
          <w:lang w:val="es-ES"/>
        </w:rPr>
        <w:t xml:space="preserve">” </w:t>
      </w:r>
      <w:r w:rsidRPr="00B46D47">
        <w:rPr>
          <w:rFonts w:ascii="Arial" w:hAnsi="Arial" w:cs="Arial"/>
          <w:color w:val="auto"/>
          <w:sz w:val="22"/>
          <w:szCs w:val="22"/>
          <w:lang w:val="es-ES"/>
        </w:rPr>
        <w:t>con los artículos 22, 23, 24 y 25</w:t>
      </w:r>
      <w:r w:rsidRPr="00B46D47">
        <w:rPr>
          <w:rFonts w:ascii="Arial" w:hAnsi="Arial" w:cs="Arial"/>
          <w:color w:val="404040" w:themeColor="text1" w:themeTint="BF"/>
          <w:sz w:val="22"/>
          <w:szCs w:val="22"/>
          <w:lang w:val="es-ES"/>
        </w:rPr>
        <w:t xml:space="preserve"> </w:t>
      </w:r>
      <w:r w:rsidRPr="00B46D47">
        <w:rPr>
          <w:rFonts w:ascii="Arial" w:hAnsi="Arial" w:cs="Arial"/>
          <w:color w:val="auto"/>
          <w:sz w:val="22"/>
          <w:szCs w:val="22"/>
          <w:lang w:val="es-ES"/>
        </w:rPr>
        <w:t xml:space="preserve">y se </w:t>
      </w:r>
      <w:r w:rsidRPr="00B46D47">
        <w:rPr>
          <w:rFonts w:ascii="Arial" w:hAnsi="Arial" w:cs="Arial"/>
          <w:sz w:val="22"/>
          <w:szCs w:val="22"/>
          <w:lang w:val="es-ES"/>
        </w:rPr>
        <w:t>MODIFICA el</w:t>
      </w:r>
      <w:r w:rsidRPr="00B46D47">
        <w:rPr>
          <w:rFonts w:ascii="Arial" w:hAnsi="Arial" w:cs="Arial"/>
          <w:color w:val="auto"/>
          <w:sz w:val="22"/>
          <w:szCs w:val="22"/>
          <w:lang w:val="es-ES"/>
        </w:rPr>
        <w:t xml:space="preserve"> artículo 18, fracción VIII de los Lineamientos para la comercialización de servicios móviles por parte de Operadores Móviles Virtuales, para quedar como sigue:</w:t>
      </w:r>
    </w:p>
    <w:p w14:paraId="6E02B5A5" w14:textId="77777777" w:rsidR="003B1A3E" w:rsidRPr="000C036A" w:rsidRDefault="003B1A3E" w:rsidP="008139C2">
      <w:pPr>
        <w:pStyle w:val="Default"/>
        <w:tabs>
          <w:tab w:val="left" w:pos="426"/>
        </w:tabs>
        <w:spacing w:line="276" w:lineRule="auto"/>
        <w:jc w:val="both"/>
        <w:rPr>
          <w:rFonts w:ascii="Arial" w:hAnsi="Arial" w:cs="Arial"/>
          <w:bCs/>
          <w:color w:val="auto"/>
          <w:sz w:val="22"/>
          <w:szCs w:val="22"/>
        </w:rPr>
      </w:pPr>
    </w:p>
    <w:p w14:paraId="78FF75AC" w14:textId="77777777" w:rsidR="003B1A3E" w:rsidRPr="001A246F" w:rsidRDefault="003B1A3E" w:rsidP="008139C2">
      <w:pPr>
        <w:pStyle w:val="Texto"/>
        <w:tabs>
          <w:tab w:val="left" w:pos="426"/>
        </w:tabs>
        <w:spacing w:after="0" w:line="276" w:lineRule="auto"/>
        <w:ind w:left="567" w:right="615" w:firstLine="0"/>
        <w:rPr>
          <w:szCs w:val="18"/>
        </w:rPr>
      </w:pPr>
      <w:r w:rsidRPr="001A246F">
        <w:rPr>
          <w:b/>
          <w:bCs/>
          <w:szCs w:val="18"/>
        </w:rPr>
        <w:t>Artículo 8.</w:t>
      </w:r>
      <w:r w:rsidRPr="001A246F">
        <w:rPr>
          <w:szCs w:val="18"/>
        </w:rPr>
        <w:t xml:space="preserve"> Los Concesionarios Mayoristas Móviles que presten Servicios Mayoristas de Telecomunicaciones Móviles deberán:</w:t>
      </w:r>
    </w:p>
    <w:p w14:paraId="7B5235B3" w14:textId="77777777" w:rsidR="003B1A3E" w:rsidRPr="001A246F" w:rsidRDefault="003B1A3E" w:rsidP="008139C2">
      <w:pPr>
        <w:pStyle w:val="Texto"/>
        <w:tabs>
          <w:tab w:val="left" w:pos="426"/>
        </w:tabs>
        <w:spacing w:after="0" w:line="276" w:lineRule="auto"/>
        <w:ind w:left="567" w:right="615" w:firstLine="0"/>
        <w:rPr>
          <w:szCs w:val="18"/>
        </w:rPr>
      </w:pPr>
    </w:p>
    <w:p w14:paraId="1BE31BBA" w14:textId="77777777" w:rsidR="003B1A3E" w:rsidRPr="001A246F" w:rsidRDefault="003B1A3E" w:rsidP="008139C2">
      <w:pPr>
        <w:pStyle w:val="Texto"/>
        <w:tabs>
          <w:tab w:val="left" w:pos="426"/>
        </w:tabs>
        <w:spacing w:after="0" w:line="276" w:lineRule="auto"/>
        <w:ind w:left="567" w:right="615" w:firstLine="0"/>
        <w:rPr>
          <w:b/>
          <w:szCs w:val="18"/>
        </w:rPr>
      </w:pPr>
      <w:r w:rsidRPr="001A246F">
        <w:rPr>
          <w:b/>
          <w:bCs/>
          <w:szCs w:val="18"/>
        </w:rPr>
        <w:t>I a la XII.</w:t>
      </w:r>
      <w:r w:rsidRPr="001A246F">
        <w:rPr>
          <w:b/>
          <w:szCs w:val="18"/>
        </w:rPr>
        <w:t xml:space="preserve"> …</w:t>
      </w:r>
    </w:p>
    <w:p w14:paraId="72AB603F" w14:textId="77777777" w:rsidR="003B1A3E" w:rsidRPr="001A246F" w:rsidRDefault="003B1A3E" w:rsidP="008139C2">
      <w:pPr>
        <w:pStyle w:val="Texto"/>
        <w:tabs>
          <w:tab w:val="left" w:pos="426"/>
        </w:tabs>
        <w:spacing w:after="0" w:line="276" w:lineRule="auto"/>
        <w:ind w:left="567" w:right="615" w:firstLine="0"/>
        <w:rPr>
          <w:b/>
          <w:szCs w:val="18"/>
        </w:rPr>
      </w:pPr>
    </w:p>
    <w:p w14:paraId="33983B23" w14:textId="664522A1" w:rsidR="003B1A3E" w:rsidRPr="001A246F" w:rsidRDefault="003B1A3E" w:rsidP="008139C2">
      <w:pPr>
        <w:pStyle w:val="Texto"/>
        <w:tabs>
          <w:tab w:val="left" w:pos="426"/>
        </w:tabs>
        <w:spacing w:after="0" w:line="276" w:lineRule="auto"/>
        <w:ind w:left="567" w:right="615" w:firstLine="0"/>
        <w:rPr>
          <w:b/>
          <w:szCs w:val="18"/>
        </w:rPr>
      </w:pPr>
      <w:r w:rsidRPr="001A246F">
        <w:rPr>
          <w:b/>
          <w:szCs w:val="18"/>
        </w:rPr>
        <w:t>XIII. Realizar las acciones necesarias para ejecutar el mecanismo establecido en el Capítulo VI de los presentes Lineamientos con la finalidad de</w:t>
      </w:r>
      <w:r w:rsidRPr="00241745">
        <w:rPr>
          <w:b/>
          <w:szCs w:val="18"/>
        </w:rPr>
        <w:t xml:space="preserve"> </w:t>
      </w:r>
      <w:r>
        <w:rPr>
          <w:b/>
          <w:szCs w:val="18"/>
        </w:rPr>
        <w:t>mantener provisionalmente la conectividad de los usuarios en las redes públicas de telecomunicaciones, así como</w:t>
      </w:r>
      <w:r w:rsidRPr="001A246F">
        <w:rPr>
          <w:b/>
          <w:szCs w:val="18"/>
        </w:rPr>
        <w:t xml:space="preserve"> proteger y salvaguardar </w:t>
      </w:r>
      <w:r w:rsidR="00B95906">
        <w:rPr>
          <w:b/>
          <w:szCs w:val="18"/>
        </w:rPr>
        <w:t>sus derechos</w:t>
      </w:r>
      <w:r w:rsidRPr="001A246F">
        <w:rPr>
          <w:b/>
          <w:szCs w:val="18"/>
        </w:rPr>
        <w:t>.</w:t>
      </w:r>
    </w:p>
    <w:p w14:paraId="72217711" w14:textId="77777777" w:rsidR="003B1A3E" w:rsidRPr="001A246F" w:rsidRDefault="003B1A3E" w:rsidP="008139C2">
      <w:pPr>
        <w:pStyle w:val="Texto"/>
        <w:tabs>
          <w:tab w:val="left" w:pos="426"/>
        </w:tabs>
        <w:spacing w:after="0" w:line="276" w:lineRule="auto"/>
        <w:ind w:left="567" w:right="615" w:firstLine="0"/>
        <w:rPr>
          <w:bCs/>
          <w:szCs w:val="18"/>
        </w:rPr>
      </w:pPr>
    </w:p>
    <w:p w14:paraId="08E1C0B7" w14:textId="77777777" w:rsidR="003B1A3E" w:rsidRPr="001A246F" w:rsidRDefault="003B1A3E" w:rsidP="008139C2">
      <w:pPr>
        <w:pStyle w:val="Texto"/>
        <w:tabs>
          <w:tab w:val="left" w:pos="426"/>
        </w:tabs>
        <w:spacing w:after="0" w:line="276" w:lineRule="auto"/>
        <w:ind w:left="567" w:right="615" w:firstLine="0"/>
        <w:rPr>
          <w:szCs w:val="18"/>
        </w:rPr>
      </w:pPr>
      <w:r w:rsidRPr="001A246F">
        <w:rPr>
          <w:b/>
          <w:szCs w:val="18"/>
        </w:rPr>
        <w:t xml:space="preserve">Artículo 18. </w:t>
      </w:r>
      <w:r w:rsidRPr="001A246F">
        <w:rPr>
          <w:szCs w:val="18"/>
        </w:rPr>
        <w:t>Los Contratos de Servicios Mayoristas de Telecomunicaciones Móviles suscritos entre las partes deberán contener, sin perjuicio de los acuerdos adicionales que convengan las partes, al menos lo siguiente:</w:t>
      </w:r>
    </w:p>
    <w:p w14:paraId="57AAD192" w14:textId="77777777" w:rsidR="003B1A3E" w:rsidRPr="001A246F" w:rsidRDefault="003B1A3E" w:rsidP="008139C2">
      <w:pPr>
        <w:pStyle w:val="Texto"/>
        <w:tabs>
          <w:tab w:val="left" w:pos="426"/>
        </w:tabs>
        <w:spacing w:after="0" w:line="276" w:lineRule="auto"/>
        <w:ind w:left="567" w:right="615" w:firstLine="0"/>
        <w:rPr>
          <w:szCs w:val="18"/>
        </w:rPr>
      </w:pPr>
    </w:p>
    <w:p w14:paraId="4F36A481" w14:textId="77777777" w:rsidR="003B1A3E" w:rsidRPr="001A246F" w:rsidRDefault="003B1A3E" w:rsidP="008139C2">
      <w:pPr>
        <w:pStyle w:val="Texto"/>
        <w:tabs>
          <w:tab w:val="left" w:pos="426"/>
        </w:tabs>
        <w:spacing w:after="0" w:line="276" w:lineRule="auto"/>
        <w:ind w:left="567" w:right="615" w:firstLine="0"/>
        <w:rPr>
          <w:szCs w:val="18"/>
        </w:rPr>
      </w:pPr>
      <w:r w:rsidRPr="001A246F">
        <w:rPr>
          <w:b/>
          <w:bCs/>
          <w:szCs w:val="18"/>
        </w:rPr>
        <w:t>I a VII.</w:t>
      </w:r>
      <w:r w:rsidRPr="001A246F">
        <w:rPr>
          <w:b/>
          <w:szCs w:val="18"/>
        </w:rPr>
        <w:t xml:space="preserve"> …</w:t>
      </w:r>
      <w:r w:rsidRPr="001A246F">
        <w:rPr>
          <w:szCs w:val="18"/>
        </w:rPr>
        <w:t>;</w:t>
      </w:r>
    </w:p>
    <w:p w14:paraId="7E51DA3A" w14:textId="77777777" w:rsidR="003B1A3E" w:rsidRPr="001A246F" w:rsidRDefault="003B1A3E" w:rsidP="008139C2">
      <w:pPr>
        <w:pStyle w:val="ROMANOS"/>
        <w:tabs>
          <w:tab w:val="clear" w:pos="720"/>
          <w:tab w:val="left" w:pos="426"/>
        </w:tabs>
        <w:spacing w:after="0" w:line="276" w:lineRule="auto"/>
        <w:ind w:left="567" w:right="615" w:firstLine="0"/>
        <w:rPr>
          <w:b/>
        </w:rPr>
      </w:pPr>
    </w:p>
    <w:p w14:paraId="252DDC75" w14:textId="2CC78AE3" w:rsidR="003B1A3E" w:rsidRPr="001A246F" w:rsidRDefault="003B1A3E" w:rsidP="008139C2">
      <w:pPr>
        <w:pStyle w:val="ROMANOS"/>
        <w:tabs>
          <w:tab w:val="clear" w:pos="720"/>
          <w:tab w:val="left" w:pos="426"/>
        </w:tabs>
        <w:spacing w:after="0" w:line="276" w:lineRule="auto"/>
        <w:ind w:left="567" w:right="615" w:firstLine="0"/>
      </w:pPr>
      <w:r w:rsidRPr="001A246F">
        <w:rPr>
          <w:b/>
        </w:rPr>
        <w:t xml:space="preserve">VIII. Cláusula(s) en la(s) cual(es) el Concesionario Mayorista Móvil por un lado señale expresamente que dará cumplimiento a la obligación consistente en garantizar la continuidad </w:t>
      </w:r>
      <w:r w:rsidR="003C78A1">
        <w:rPr>
          <w:b/>
        </w:rPr>
        <w:t xml:space="preserve">de funcionalidades </w:t>
      </w:r>
      <w:r w:rsidRPr="001A246F">
        <w:rPr>
          <w:b/>
        </w:rPr>
        <w:t>al usuario</w:t>
      </w:r>
      <w:r w:rsidR="003C71A8">
        <w:rPr>
          <w:b/>
        </w:rPr>
        <w:t>,</w:t>
      </w:r>
      <w:r w:rsidRPr="001A246F">
        <w:rPr>
          <w:b/>
        </w:rPr>
        <w:t xml:space="preserve"> de conformidad con lo establecido en el Capítulo VI de los presentes Lineamientos y, por otro lado, indique los </w:t>
      </w:r>
      <w:r w:rsidRPr="001A246F">
        <w:t>sistemas y procedimientos que se seguirán para la atención de fallas e incidencias, trabajos de emergencia, programación de los mantenimientos respectivos</w:t>
      </w:r>
      <w:r w:rsidR="00FE40C8">
        <w:t xml:space="preserve"> </w:t>
      </w:r>
      <w:r w:rsidR="00FE40C8" w:rsidRPr="00503C1C">
        <w:t>y cualquier otra que asegure la continuidad en la prestación de los Servicios Mayoristas de Telecomunicaciones Móviles y de los Servicios Móviles al usuario final;</w:t>
      </w:r>
    </w:p>
    <w:p w14:paraId="6B6F31DE" w14:textId="77777777" w:rsidR="003B1A3E" w:rsidRPr="001A246F" w:rsidRDefault="003B1A3E" w:rsidP="008139C2">
      <w:pPr>
        <w:pStyle w:val="ROMANOS"/>
        <w:tabs>
          <w:tab w:val="clear" w:pos="720"/>
          <w:tab w:val="left" w:pos="426"/>
        </w:tabs>
        <w:spacing w:after="0" w:line="276" w:lineRule="auto"/>
        <w:ind w:left="567" w:right="615" w:firstLine="0"/>
        <w:rPr>
          <w:b/>
        </w:rPr>
      </w:pPr>
    </w:p>
    <w:p w14:paraId="23D908C9" w14:textId="77777777" w:rsidR="003B1A3E" w:rsidRPr="001A246F" w:rsidRDefault="003B1A3E" w:rsidP="008139C2">
      <w:pPr>
        <w:pStyle w:val="ROMANOS"/>
        <w:tabs>
          <w:tab w:val="clear" w:pos="720"/>
          <w:tab w:val="left" w:pos="426"/>
        </w:tabs>
        <w:spacing w:after="0" w:line="276" w:lineRule="auto"/>
        <w:ind w:left="567" w:right="615" w:firstLine="0"/>
      </w:pPr>
      <w:r w:rsidRPr="001A246F">
        <w:rPr>
          <w:b/>
        </w:rPr>
        <w:t>IX. al XX. …</w:t>
      </w:r>
    </w:p>
    <w:p w14:paraId="5832D9AA" w14:textId="77777777" w:rsidR="003B1A3E" w:rsidRPr="001A246F" w:rsidRDefault="003B1A3E" w:rsidP="008139C2">
      <w:pPr>
        <w:pStyle w:val="ROMANOS"/>
        <w:tabs>
          <w:tab w:val="clear" w:pos="720"/>
          <w:tab w:val="left" w:pos="288"/>
          <w:tab w:val="left" w:pos="426"/>
        </w:tabs>
        <w:spacing w:after="0" w:line="276" w:lineRule="auto"/>
        <w:ind w:left="567" w:right="615" w:firstLine="0"/>
        <w:rPr>
          <w:b/>
          <w:bCs/>
        </w:rPr>
      </w:pPr>
      <w:r w:rsidRPr="001A246F">
        <w:rPr>
          <w:b/>
          <w:bCs/>
        </w:rPr>
        <w:t>…</w:t>
      </w:r>
    </w:p>
    <w:p w14:paraId="31D53603" w14:textId="77777777" w:rsidR="003B1A3E" w:rsidRPr="001A246F" w:rsidRDefault="003B1A3E" w:rsidP="008139C2">
      <w:pPr>
        <w:pStyle w:val="ROMANOS"/>
        <w:tabs>
          <w:tab w:val="clear" w:pos="720"/>
          <w:tab w:val="left" w:pos="288"/>
          <w:tab w:val="left" w:pos="426"/>
        </w:tabs>
        <w:spacing w:after="0" w:line="276" w:lineRule="auto"/>
        <w:ind w:left="567" w:right="615" w:firstLine="0"/>
        <w:rPr>
          <w:b/>
          <w:bCs/>
        </w:rPr>
      </w:pPr>
    </w:p>
    <w:p w14:paraId="5B85D01A" w14:textId="77777777" w:rsidR="003B1A3E" w:rsidRPr="001A246F" w:rsidRDefault="003B1A3E" w:rsidP="008139C2">
      <w:pPr>
        <w:pStyle w:val="Texto"/>
        <w:tabs>
          <w:tab w:val="left" w:pos="288"/>
          <w:tab w:val="left" w:pos="426"/>
        </w:tabs>
        <w:spacing w:after="0" w:line="276" w:lineRule="auto"/>
        <w:ind w:left="567" w:right="615" w:firstLine="0"/>
        <w:jc w:val="center"/>
        <w:rPr>
          <w:b/>
          <w:bCs/>
          <w:szCs w:val="18"/>
        </w:rPr>
      </w:pPr>
      <w:r w:rsidRPr="001A246F">
        <w:rPr>
          <w:b/>
          <w:bCs/>
          <w:szCs w:val="18"/>
        </w:rPr>
        <w:t>CAPÍTULO VI</w:t>
      </w:r>
    </w:p>
    <w:p w14:paraId="378D6C6F" w14:textId="20DB935F" w:rsidR="003B1A3E" w:rsidRPr="001A246F" w:rsidRDefault="003B1A3E" w:rsidP="008139C2">
      <w:pPr>
        <w:pStyle w:val="Texto"/>
        <w:tabs>
          <w:tab w:val="left" w:pos="288"/>
          <w:tab w:val="left" w:pos="426"/>
        </w:tabs>
        <w:spacing w:after="0" w:line="276" w:lineRule="auto"/>
        <w:ind w:left="567" w:right="615" w:firstLine="0"/>
        <w:jc w:val="center"/>
        <w:rPr>
          <w:b/>
          <w:bCs/>
          <w:szCs w:val="18"/>
        </w:rPr>
      </w:pPr>
      <w:r w:rsidRPr="00FF6A5A">
        <w:rPr>
          <w:b/>
          <w:bCs/>
          <w:szCs w:val="18"/>
        </w:rPr>
        <w:t>DE LA CONTINUIDAD DE</w:t>
      </w:r>
      <w:r w:rsidR="008824A7" w:rsidRPr="00FF6A5A">
        <w:rPr>
          <w:b/>
          <w:bCs/>
          <w:szCs w:val="18"/>
        </w:rPr>
        <w:t xml:space="preserve"> FUNCIONALIDADES</w:t>
      </w:r>
    </w:p>
    <w:p w14:paraId="4785A2E2" w14:textId="77777777" w:rsidR="003B1A3E" w:rsidRPr="001A246F" w:rsidRDefault="003B1A3E" w:rsidP="008139C2">
      <w:pPr>
        <w:pStyle w:val="ROMANOS"/>
        <w:tabs>
          <w:tab w:val="clear" w:pos="720"/>
          <w:tab w:val="left" w:pos="288"/>
          <w:tab w:val="left" w:pos="426"/>
        </w:tabs>
        <w:spacing w:after="0" w:line="276" w:lineRule="auto"/>
        <w:ind w:left="567" w:right="615"/>
        <w:rPr>
          <w:b/>
          <w:bCs/>
        </w:rPr>
      </w:pPr>
    </w:p>
    <w:p w14:paraId="6CC699A8" w14:textId="4C7246E2" w:rsidR="003B1A3E" w:rsidRDefault="003B1A3E" w:rsidP="008139C2">
      <w:pPr>
        <w:pStyle w:val="ROMANOS"/>
        <w:tabs>
          <w:tab w:val="clear" w:pos="720"/>
          <w:tab w:val="left" w:pos="288"/>
          <w:tab w:val="left" w:pos="426"/>
        </w:tabs>
        <w:spacing w:after="0" w:line="276" w:lineRule="auto"/>
        <w:ind w:left="567" w:right="615" w:firstLine="4"/>
        <w:rPr>
          <w:b/>
          <w:bCs/>
        </w:rPr>
      </w:pPr>
      <w:r w:rsidRPr="001A246F">
        <w:rPr>
          <w:b/>
          <w:bCs/>
        </w:rPr>
        <w:lastRenderedPageBreak/>
        <w:t xml:space="preserve">Artículo 22. </w:t>
      </w:r>
      <w:r>
        <w:rPr>
          <w:b/>
          <w:bCs/>
        </w:rPr>
        <w:t xml:space="preserve">Cuando un Operador Móvil Virtual suspenda definitivamente la prestación de servicios de telecomunicaciones a sus usuarios finales y no </w:t>
      </w:r>
      <w:r w:rsidR="000A21BC">
        <w:rPr>
          <w:b/>
          <w:bCs/>
        </w:rPr>
        <w:t xml:space="preserve">exista o no </w:t>
      </w:r>
      <w:r w:rsidR="00890993">
        <w:rPr>
          <w:b/>
          <w:bCs/>
        </w:rPr>
        <w:t>se haya llevado a cabo un</w:t>
      </w:r>
      <w:r w:rsidR="006F3466">
        <w:rPr>
          <w:b/>
          <w:bCs/>
        </w:rPr>
        <w:t>a</w:t>
      </w:r>
      <w:r>
        <w:rPr>
          <w:b/>
          <w:bCs/>
        </w:rPr>
        <w:t xml:space="preserve"> migración</w:t>
      </w:r>
      <w:r w:rsidR="00BF0B55">
        <w:rPr>
          <w:b/>
          <w:bCs/>
        </w:rPr>
        <w:t xml:space="preserve"> total</w:t>
      </w:r>
      <w:r>
        <w:rPr>
          <w:b/>
          <w:bCs/>
        </w:rPr>
        <w:t xml:space="preserve"> hacia otro</w:t>
      </w:r>
      <w:r w:rsidR="00821840">
        <w:rPr>
          <w:b/>
          <w:bCs/>
        </w:rPr>
        <w:t>s</w:t>
      </w:r>
      <w:r>
        <w:rPr>
          <w:b/>
          <w:bCs/>
        </w:rPr>
        <w:t xml:space="preserve"> concesionario</w:t>
      </w:r>
      <w:r w:rsidR="00821840">
        <w:rPr>
          <w:b/>
          <w:bCs/>
        </w:rPr>
        <w:t>s</w:t>
      </w:r>
      <w:r>
        <w:rPr>
          <w:b/>
          <w:bCs/>
        </w:rPr>
        <w:t xml:space="preserve"> u </w:t>
      </w:r>
      <w:proofErr w:type="spellStart"/>
      <w:r>
        <w:rPr>
          <w:b/>
          <w:bCs/>
        </w:rPr>
        <w:t>Operador</w:t>
      </w:r>
      <w:r w:rsidR="006518DB">
        <w:rPr>
          <w:b/>
          <w:bCs/>
        </w:rPr>
        <w:t>adores</w:t>
      </w:r>
      <w:proofErr w:type="spellEnd"/>
      <w:r>
        <w:rPr>
          <w:b/>
          <w:bCs/>
        </w:rPr>
        <w:t xml:space="preserve"> Móvil</w:t>
      </w:r>
      <w:r w:rsidR="006518DB">
        <w:rPr>
          <w:b/>
          <w:bCs/>
        </w:rPr>
        <w:t>es</w:t>
      </w:r>
      <w:r>
        <w:rPr>
          <w:b/>
          <w:bCs/>
        </w:rPr>
        <w:t xml:space="preserve"> Virtual</w:t>
      </w:r>
      <w:r w:rsidR="006518DB">
        <w:rPr>
          <w:b/>
          <w:bCs/>
        </w:rPr>
        <w:t>es</w:t>
      </w:r>
      <w:r>
        <w:rPr>
          <w:b/>
          <w:bCs/>
        </w:rPr>
        <w:t xml:space="preserve">, el Concesionario Mayorista Móvil con quien celebró un Contrato de Servicios Mayoristas de Telecomunicaciones Móviles </w:t>
      </w:r>
      <w:r w:rsidR="00A94BA2">
        <w:rPr>
          <w:b/>
          <w:bCs/>
        </w:rPr>
        <w:t xml:space="preserve">deberá brindar </w:t>
      </w:r>
      <w:r>
        <w:rPr>
          <w:b/>
          <w:bCs/>
        </w:rPr>
        <w:t xml:space="preserve">a aquellos usuarios las funcionalidades que permitan </w:t>
      </w:r>
      <w:r w:rsidRPr="00072CC8">
        <w:rPr>
          <w:b/>
          <w:bCs/>
        </w:rPr>
        <w:t>llevar a cabo la portabilidad</w:t>
      </w:r>
      <w:r w:rsidR="008345E4" w:rsidRPr="00072CC8">
        <w:rPr>
          <w:b/>
          <w:bCs/>
        </w:rPr>
        <w:t xml:space="preserve"> numérica</w:t>
      </w:r>
      <w:r w:rsidR="002C2984">
        <w:rPr>
          <w:b/>
          <w:bCs/>
        </w:rPr>
        <w:t>,</w:t>
      </w:r>
      <w:r w:rsidR="00ED38DB" w:rsidRPr="00072CC8">
        <w:rPr>
          <w:b/>
          <w:bCs/>
        </w:rPr>
        <w:t xml:space="preserve"> así como</w:t>
      </w:r>
      <w:r w:rsidR="007205F7" w:rsidRPr="00072CC8">
        <w:rPr>
          <w:b/>
          <w:bCs/>
        </w:rPr>
        <w:t xml:space="preserve"> </w:t>
      </w:r>
      <w:r w:rsidR="00C9216F" w:rsidRPr="00072CC8">
        <w:rPr>
          <w:b/>
          <w:bCs/>
        </w:rPr>
        <w:t xml:space="preserve">realizar </w:t>
      </w:r>
      <w:r w:rsidR="007205F7" w:rsidRPr="00072CC8">
        <w:rPr>
          <w:b/>
          <w:bCs/>
        </w:rPr>
        <w:t>llam</w:t>
      </w:r>
      <w:r w:rsidR="00B8500D" w:rsidRPr="00072CC8">
        <w:rPr>
          <w:b/>
          <w:bCs/>
        </w:rPr>
        <w:t>adas</w:t>
      </w:r>
      <w:r w:rsidR="00044A69" w:rsidRPr="00072CC8">
        <w:rPr>
          <w:b/>
          <w:bCs/>
        </w:rPr>
        <w:t xml:space="preserve"> a números</w:t>
      </w:r>
      <w:r w:rsidR="00B8500D" w:rsidRPr="00072CC8">
        <w:rPr>
          <w:b/>
          <w:bCs/>
        </w:rPr>
        <w:t xml:space="preserve"> de emergencia,</w:t>
      </w:r>
      <w:r w:rsidR="00E06616" w:rsidRPr="00072CC8">
        <w:rPr>
          <w:b/>
          <w:bCs/>
        </w:rPr>
        <w:t xml:space="preserve"> </w:t>
      </w:r>
      <w:r w:rsidRPr="00072CC8">
        <w:rPr>
          <w:b/>
          <w:bCs/>
        </w:rPr>
        <w:t xml:space="preserve">durante un periodo de </w:t>
      </w:r>
      <w:r w:rsidR="00A94BA2">
        <w:rPr>
          <w:b/>
          <w:bCs/>
        </w:rPr>
        <w:t>4</w:t>
      </w:r>
      <w:r w:rsidRPr="00072CC8">
        <w:rPr>
          <w:b/>
          <w:bCs/>
        </w:rPr>
        <w:t xml:space="preserve">0 días </w:t>
      </w:r>
      <w:r w:rsidR="00F878B9">
        <w:rPr>
          <w:b/>
          <w:bCs/>
        </w:rPr>
        <w:t>naturales</w:t>
      </w:r>
      <w:r w:rsidR="003844A1">
        <w:rPr>
          <w:b/>
          <w:bCs/>
        </w:rPr>
        <w:t>, contados a partir de</w:t>
      </w:r>
      <w:r w:rsidR="00DF78C9">
        <w:rPr>
          <w:b/>
          <w:bCs/>
        </w:rPr>
        <w:t xml:space="preserve"> la recisión </w:t>
      </w:r>
      <w:r w:rsidR="002E48F1">
        <w:rPr>
          <w:b/>
          <w:bCs/>
        </w:rPr>
        <w:t xml:space="preserve">o terminación </w:t>
      </w:r>
      <w:r w:rsidR="00DF78C9">
        <w:rPr>
          <w:b/>
          <w:bCs/>
        </w:rPr>
        <w:t>del contrato por la prestación de servicios mayoristas móviles con el</w:t>
      </w:r>
      <w:r w:rsidR="00DF78C9" w:rsidRPr="001A246F">
        <w:rPr>
          <w:b/>
          <w:bCs/>
        </w:rPr>
        <w:t xml:space="preserve"> Operador Móvil Virtual</w:t>
      </w:r>
      <w:r w:rsidRPr="00072CC8">
        <w:rPr>
          <w:b/>
          <w:bCs/>
        </w:rPr>
        <w:t>.</w:t>
      </w:r>
    </w:p>
    <w:p w14:paraId="012599FD" w14:textId="77777777" w:rsidR="00D30B19" w:rsidRDefault="00D30B19" w:rsidP="008139C2">
      <w:pPr>
        <w:pStyle w:val="ROMANOS"/>
        <w:tabs>
          <w:tab w:val="clear" w:pos="720"/>
          <w:tab w:val="left" w:pos="288"/>
          <w:tab w:val="left" w:pos="426"/>
        </w:tabs>
        <w:spacing w:after="0" w:line="276" w:lineRule="auto"/>
        <w:ind w:left="567" w:right="615" w:firstLine="4"/>
        <w:rPr>
          <w:b/>
          <w:bCs/>
        </w:rPr>
      </w:pPr>
    </w:p>
    <w:p w14:paraId="63EE1E0D" w14:textId="343DF51E" w:rsidR="00A05F3B" w:rsidRDefault="00A05F3B" w:rsidP="00625D68">
      <w:pPr>
        <w:pStyle w:val="ROMANOS"/>
        <w:tabs>
          <w:tab w:val="clear" w:pos="720"/>
          <w:tab w:val="left" w:pos="288"/>
          <w:tab w:val="left" w:pos="426"/>
        </w:tabs>
        <w:spacing w:after="0" w:line="276" w:lineRule="auto"/>
        <w:ind w:left="567" w:right="615" w:firstLine="4"/>
        <w:rPr>
          <w:b/>
          <w:bCs/>
        </w:rPr>
      </w:pPr>
      <w:r w:rsidRPr="009A451E">
        <w:rPr>
          <w:b/>
          <w:bCs/>
        </w:rPr>
        <w:t xml:space="preserve">Las funcionalidades </w:t>
      </w:r>
      <w:r w:rsidR="0073537D">
        <w:rPr>
          <w:b/>
          <w:bCs/>
        </w:rPr>
        <w:t xml:space="preserve">temporales </w:t>
      </w:r>
      <w:r w:rsidRPr="009A451E">
        <w:rPr>
          <w:b/>
          <w:bCs/>
        </w:rPr>
        <w:t>que deberá brindar el Concesionario Mayorista Móvil se limitarán a</w:t>
      </w:r>
      <w:r>
        <w:rPr>
          <w:b/>
          <w:bCs/>
        </w:rPr>
        <w:t xml:space="preserve"> l</w:t>
      </w:r>
      <w:r w:rsidR="009357D9">
        <w:rPr>
          <w:b/>
          <w:bCs/>
        </w:rPr>
        <w:t xml:space="preserve">a conexión </w:t>
      </w:r>
      <w:r w:rsidR="00747249">
        <w:rPr>
          <w:b/>
          <w:bCs/>
        </w:rPr>
        <w:t xml:space="preserve">en su red </w:t>
      </w:r>
      <w:r w:rsidR="009357D9">
        <w:rPr>
          <w:b/>
          <w:bCs/>
        </w:rPr>
        <w:t xml:space="preserve">del equipo terminal del usuario </w:t>
      </w:r>
      <w:r w:rsidR="00362595">
        <w:rPr>
          <w:b/>
          <w:bCs/>
        </w:rPr>
        <w:t>con los siguientes propósitos</w:t>
      </w:r>
      <w:r w:rsidR="00625DB2">
        <w:rPr>
          <w:b/>
          <w:bCs/>
        </w:rPr>
        <w:t>:</w:t>
      </w:r>
    </w:p>
    <w:p w14:paraId="3B027CB8" w14:textId="7A11FBDF" w:rsidR="00071416" w:rsidRDefault="00901CF7" w:rsidP="008139C2">
      <w:pPr>
        <w:pStyle w:val="ROMANOS"/>
        <w:numPr>
          <w:ilvl w:val="0"/>
          <w:numId w:val="23"/>
        </w:numPr>
        <w:tabs>
          <w:tab w:val="clear" w:pos="720"/>
          <w:tab w:val="left" w:pos="288"/>
          <w:tab w:val="left" w:pos="426"/>
        </w:tabs>
        <w:spacing w:after="0" w:line="276" w:lineRule="auto"/>
        <w:ind w:right="615"/>
        <w:rPr>
          <w:b/>
          <w:bCs/>
        </w:rPr>
      </w:pPr>
      <w:proofErr w:type="spellStart"/>
      <w:r>
        <w:rPr>
          <w:b/>
          <w:bCs/>
        </w:rPr>
        <w:t>Originación</w:t>
      </w:r>
      <w:proofErr w:type="spellEnd"/>
      <w:r>
        <w:rPr>
          <w:b/>
          <w:bCs/>
        </w:rPr>
        <w:t xml:space="preserve"> </w:t>
      </w:r>
      <w:r w:rsidRPr="00996619">
        <w:rPr>
          <w:b/>
          <w:bCs/>
        </w:rPr>
        <w:t xml:space="preserve">y terminación de </w:t>
      </w:r>
      <w:r w:rsidR="0089723A">
        <w:rPr>
          <w:b/>
          <w:bCs/>
        </w:rPr>
        <w:t xml:space="preserve">las </w:t>
      </w:r>
      <w:r w:rsidRPr="00996619">
        <w:rPr>
          <w:b/>
          <w:bCs/>
        </w:rPr>
        <w:t xml:space="preserve">llamadas y/o mensajes cortos </w:t>
      </w:r>
      <w:r w:rsidR="000A5BC2">
        <w:rPr>
          <w:b/>
          <w:bCs/>
        </w:rPr>
        <w:t>previstos</w:t>
      </w:r>
      <w:r w:rsidR="00AA5BC8" w:rsidRPr="00996619">
        <w:rPr>
          <w:b/>
          <w:bCs/>
        </w:rPr>
        <w:t xml:space="preserve"> en las Reglas de Porta</w:t>
      </w:r>
      <w:r w:rsidR="00996619" w:rsidRPr="00996619">
        <w:rPr>
          <w:b/>
          <w:bCs/>
        </w:rPr>
        <w:t>bilidad;</w:t>
      </w:r>
    </w:p>
    <w:p w14:paraId="2B0FE99B" w14:textId="77777777" w:rsidR="00CB67D5" w:rsidRPr="00996619" w:rsidRDefault="00CB67D5" w:rsidP="00CB67D5">
      <w:pPr>
        <w:pStyle w:val="ROMANOS"/>
        <w:tabs>
          <w:tab w:val="clear" w:pos="720"/>
          <w:tab w:val="left" w:pos="288"/>
          <w:tab w:val="left" w:pos="426"/>
        </w:tabs>
        <w:spacing w:after="0" w:line="276" w:lineRule="auto"/>
        <w:ind w:left="1291" w:right="615" w:firstLine="0"/>
        <w:rPr>
          <w:b/>
          <w:bCs/>
        </w:rPr>
      </w:pPr>
    </w:p>
    <w:p w14:paraId="434B7DA1" w14:textId="44498C04" w:rsidR="00996619" w:rsidRDefault="00996619" w:rsidP="008139C2">
      <w:pPr>
        <w:pStyle w:val="ROMANOS"/>
        <w:numPr>
          <w:ilvl w:val="0"/>
          <w:numId w:val="23"/>
        </w:numPr>
        <w:tabs>
          <w:tab w:val="clear" w:pos="720"/>
          <w:tab w:val="left" w:pos="426"/>
        </w:tabs>
        <w:spacing w:after="0" w:line="276" w:lineRule="auto"/>
        <w:ind w:right="615"/>
        <w:rPr>
          <w:b/>
          <w:bCs/>
        </w:rPr>
      </w:pPr>
      <w:proofErr w:type="spellStart"/>
      <w:r>
        <w:rPr>
          <w:b/>
          <w:bCs/>
        </w:rPr>
        <w:t>O</w:t>
      </w:r>
      <w:r w:rsidRPr="009A451E">
        <w:rPr>
          <w:b/>
          <w:bCs/>
        </w:rPr>
        <w:t>riginación</w:t>
      </w:r>
      <w:proofErr w:type="spellEnd"/>
      <w:r w:rsidRPr="009A451E">
        <w:rPr>
          <w:b/>
          <w:bCs/>
        </w:rPr>
        <w:t xml:space="preserve"> de llamadas con destino a los números de emergencia establecidos en los Lineamientos de Colaboración en Materia de Seguridad y Justicia</w:t>
      </w:r>
      <w:r w:rsidR="003A0155">
        <w:rPr>
          <w:b/>
          <w:bCs/>
        </w:rPr>
        <w:t xml:space="preserve"> y</w:t>
      </w:r>
    </w:p>
    <w:p w14:paraId="6AB850D5" w14:textId="77777777" w:rsidR="00CB67D5" w:rsidRDefault="00CB67D5" w:rsidP="00CB67D5">
      <w:pPr>
        <w:pStyle w:val="ROMANOS"/>
        <w:tabs>
          <w:tab w:val="clear" w:pos="720"/>
          <w:tab w:val="left" w:pos="426"/>
        </w:tabs>
        <w:spacing w:after="0" w:line="276" w:lineRule="auto"/>
        <w:ind w:left="1291" w:right="615" w:firstLine="0"/>
        <w:rPr>
          <w:b/>
          <w:bCs/>
        </w:rPr>
      </w:pPr>
    </w:p>
    <w:p w14:paraId="169F1EF4" w14:textId="68AF4808" w:rsidR="00C55478" w:rsidRPr="0076657C" w:rsidRDefault="00AE14B1" w:rsidP="008139C2">
      <w:pPr>
        <w:pStyle w:val="ROMANOS"/>
        <w:numPr>
          <w:ilvl w:val="0"/>
          <w:numId w:val="23"/>
        </w:numPr>
        <w:tabs>
          <w:tab w:val="clear" w:pos="720"/>
          <w:tab w:val="left" w:pos="288"/>
          <w:tab w:val="left" w:pos="426"/>
        </w:tabs>
        <w:spacing w:after="0" w:line="276" w:lineRule="auto"/>
        <w:ind w:right="615"/>
        <w:rPr>
          <w:b/>
          <w:bCs/>
          <w:shd w:val="clear" w:color="auto" w:fill="FFFFFF"/>
        </w:rPr>
      </w:pPr>
      <w:r w:rsidRPr="0076657C">
        <w:rPr>
          <w:b/>
          <w:bCs/>
        </w:rPr>
        <w:t xml:space="preserve">Cualquier comunicación con el usuario </w:t>
      </w:r>
      <w:r w:rsidR="00592115">
        <w:rPr>
          <w:b/>
          <w:bCs/>
        </w:rPr>
        <w:t xml:space="preserve">para </w:t>
      </w:r>
      <w:r w:rsidR="00250D65">
        <w:rPr>
          <w:b/>
          <w:bCs/>
        </w:rPr>
        <w:t xml:space="preserve">brindar </w:t>
      </w:r>
      <w:r w:rsidR="00592115">
        <w:rPr>
          <w:b/>
          <w:bCs/>
        </w:rPr>
        <w:t>información</w:t>
      </w:r>
      <w:r w:rsidR="005C72A9" w:rsidRPr="0076657C">
        <w:rPr>
          <w:b/>
          <w:bCs/>
        </w:rPr>
        <w:t xml:space="preserve"> relacionad</w:t>
      </w:r>
      <w:r w:rsidR="00090F6F">
        <w:rPr>
          <w:b/>
          <w:bCs/>
        </w:rPr>
        <w:t>a</w:t>
      </w:r>
      <w:r w:rsidR="005C72A9" w:rsidRPr="0076657C">
        <w:rPr>
          <w:b/>
          <w:bCs/>
        </w:rPr>
        <w:t xml:space="preserve"> con el trámite de portabilidad</w:t>
      </w:r>
      <w:r w:rsidR="007D10EC">
        <w:rPr>
          <w:b/>
          <w:bCs/>
        </w:rPr>
        <w:t xml:space="preserve"> numérica</w:t>
      </w:r>
      <w:r w:rsidR="00C55478" w:rsidRPr="0076657C">
        <w:rPr>
          <w:b/>
          <w:bCs/>
        </w:rPr>
        <w:t xml:space="preserve"> </w:t>
      </w:r>
      <w:r w:rsidR="00E4639B" w:rsidRPr="0076657C">
        <w:rPr>
          <w:b/>
          <w:bCs/>
          <w:shd w:val="clear" w:color="auto" w:fill="FFFFFF"/>
        </w:rPr>
        <w:t>y/o</w:t>
      </w:r>
      <w:r w:rsidR="00C55478" w:rsidRPr="0076657C">
        <w:rPr>
          <w:b/>
          <w:bCs/>
          <w:shd w:val="clear" w:color="auto" w:fill="FFFFFF"/>
        </w:rPr>
        <w:t xml:space="preserve"> </w:t>
      </w:r>
      <w:r w:rsidR="007D10EC">
        <w:rPr>
          <w:b/>
          <w:bCs/>
          <w:shd w:val="clear" w:color="auto" w:fill="FFFFFF"/>
        </w:rPr>
        <w:t xml:space="preserve">para la </w:t>
      </w:r>
      <w:r w:rsidR="00C55478" w:rsidRPr="0076657C">
        <w:rPr>
          <w:b/>
          <w:bCs/>
          <w:shd w:val="clear" w:color="auto" w:fill="FFFFFF"/>
        </w:rPr>
        <w:t xml:space="preserve">atención </w:t>
      </w:r>
      <w:r w:rsidR="007D10EC">
        <w:rPr>
          <w:b/>
          <w:bCs/>
          <w:shd w:val="clear" w:color="auto" w:fill="FFFFFF"/>
        </w:rPr>
        <w:t xml:space="preserve">de </w:t>
      </w:r>
      <w:r w:rsidR="0076657C" w:rsidRPr="000568A0">
        <w:rPr>
          <w:b/>
          <w:bCs/>
          <w:kern w:val="1"/>
          <w:lang w:eastAsia="ar-SA"/>
        </w:rPr>
        <w:t>cualquier tipo de consulta</w:t>
      </w:r>
      <w:r w:rsidR="00B16B6C">
        <w:rPr>
          <w:b/>
          <w:bCs/>
          <w:kern w:val="1"/>
          <w:lang w:eastAsia="ar-SA"/>
        </w:rPr>
        <w:t xml:space="preserve"> de los usuarios</w:t>
      </w:r>
      <w:r w:rsidR="0076657C" w:rsidRPr="000568A0">
        <w:rPr>
          <w:b/>
          <w:bCs/>
          <w:kern w:val="1"/>
          <w:lang w:eastAsia="ar-SA"/>
        </w:rPr>
        <w:t xml:space="preserve"> relacionada con </w:t>
      </w:r>
      <w:r w:rsidR="00521954">
        <w:rPr>
          <w:b/>
          <w:bCs/>
          <w:kern w:val="1"/>
          <w:lang w:eastAsia="ar-SA"/>
        </w:rPr>
        <w:t>su número</w:t>
      </w:r>
      <w:r w:rsidR="0076657C" w:rsidRPr="000568A0">
        <w:rPr>
          <w:b/>
          <w:bCs/>
          <w:kern w:val="1"/>
          <w:lang w:eastAsia="ar-SA"/>
        </w:rPr>
        <w:t>.</w:t>
      </w:r>
    </w:p>
    <w:p w14:paraId="6093BDAA" w14:textId="2C6D9858" w:rsidR="00D30B19" w:rsidRDefault="00D30B19" w:rsidP="008139C2">
      <w:pPr>
        <w:pStyle w:val="ROMANOS"/>
        <w:tabs>
          <w:tab w:val="clear" w:pos="720"/>
          <w:tab w:val="left" w:pos="288"/>
          <w:tab w:val="left" w:pos="426"/>
        </w:tabs>
        <w:spacing w:after="0" w:line="276" w:lineRule="auto"/>
        <w:ind w:left="567" w:right="615" w:firstLine="4"/>
        <w:rPr>
          <w:b/>
          <w:bCs/>
        </w:rPr>
      </w:pPr>
    </w:p>
    <w:p w14:paraId="4D9FAAE9" w14:textId="0BFC8706" w:rsidR="003B1A3E" w:rsidRPr="001A246F" w:rsidRDefault="003B1A3E" w:rsidP="008139C2">
      <w:pPr>
        <w:pStyle w:val="ROMANOS"/>
        <w:tabs>
          <w:tab w:val="clear" w:pos="720"/>
          <w:tab w:val="left" w:pos="288"/>
          <w:tab w:val="left" w:pos="426"/>
        </w:tabs>
        <w:spacing w:after="0" w:line="276" w:lineRule="auto"/>
        <w:ind w:left="567" w:right="615" w:firstLine="0"/>
        <w:rPr>
          <w:b/>
          <w:bCs/>
        </w:rPr>
      </w:pPr>
      <w:r w:rsidRPr="001A246F">
        <w:rPr>
          <w:b/>
          <w:bCs/>
        </w:rPr>
        <w:t xml:space="preserve">Artículo 23. </w:t>
      </w:r>
      <w:r w:rsidR="00FF2813">
        <w:rPr>
          <w:b/>
          <w:bCs/>
        </w:rPr>
        <w:t xml:space="preserve">A partir de la recisión </w:t>
      </w:r>
      <w:r w:rsidR="002E48F1">
        <w:rPr>
          <w:b/>
          <w:bCs/>
        </w:rPr>
        <w:t xml:space="preserve">o terminación </w:t>
      </w:r>
      <w:r w:rsidR="00FF2813">
        <w:rPr>
          <w:b/>
          <w:bCs/>
        </w:rPr>
        <w:t xml:space="preserve">del contrato </w:t>
      </w:r>
      <w:r w:rsidR="000D67F0">
        <w:rPr>
          <w:b/>
          <w:bCs/>
        </w:rPr>
        <w:t xml:space="preserve">por la prestación de servicios mayoristas móviles </w:t>
      </w:r>
      <w:r w:rsidR="003364CA">
        <w:rPr>
          <w:b/>
          <w:bCs/>
        </w:rPr>
        <w:t xml:space="preserve">con </w:t>
      </w:r>
      <w:r w:rsidR="000D67F0">
        <w:rPr>
          <w:b/>
          <w:bCs/>
        </w:rPr>
        <w:t>el</w:t>
      </w:r>
      <w:r w:rsidRPr="001A246F">
        <w:rPr>
          <w:b/>
          <w:bCs/>
        </w:rPr>
        <w:t xml:space="preserve"> Operador Móvil Virtual, </w:t>
      </w:r>
      <w:r w:rsidR="00CB0991">
        <w:rPr>
          <w:b/>
          <w:bCs/>
        </w:rPr>
        <w:t xml:space="preserve">el </w:t>
      </w:r>
      <w:r w:rsidR="00CB0991" w:rsidRPr="001A246F">
        <w:rPr>
          <w:b/>
          <w:bCs/>
        </w:rPr>
        <w:t xml:space="preserve">Concesionario Mayorista Móvil </w:t>
      </w:r>
      <w:r w:rsidR="00CB0991">
        <w:rPr>
          <w:b/>
          <w:bCs/>
        </w:rPr>
        <w:t xml:space="preserve">deberá </w:t>
      </w:r>
      <w:r w:rsidRPr="001A246F">
        <w:rPr>
          <w:b/>
          <w:bCs/>
        </w:rPr>
        <w:t xml:space="preserve">informar </w:t>
      </w:r>
      <w:r w:rsidR="00EF613E">
        <w:rPr>
          <w:b/>
          <w:bCs/>
        </w:rPr>
        <w:t xml:space="preserve">dicha circunstancia </w:t>
      </w:r>
      <w:r w:rsidRPr="001A246F">
        <w:rPr>
          <w:b/>
          <w:bCs/>
        </w:rPr>
        <w:t>al Instituto</w:t>
      </w:r>
      <w:r>
        <w:rPr>
          <w:b/>
          <w:bCs/>
        </w:rPr>
        <w:t xml:space="preserve"> </w:t>
      </w:r>
      <w:r w:rsidR="003C3F0E">
        <w:rPr>
          <w:b/>
          <w:bCs/>
        </w:rPr>
        <w:t xml:space="preserve">e iniciar con la prestación </w:t>
      </w:r>
      <w:r w:rsidR="00D45AD8">
        <w:rPr>
          <w:b/>
          <w:bCs/>
        </w:rPr>
        <w:t>de l</w:t>
      </w:r>
      <w:r w:rsidR="00D45AD8" w:rsidRPr="009A451E">
        <w:rPr>
          <w:b/>
          <w:bCs/>
        </w:rPr>
        <w:t xml:space="preserve">as funcionalidades </w:t>
      </w:r>
      <w:r w:rsidR="007B2542">
        <w:rPr>
          <w:b/>
          <w:bCs/>
        </w:rPr>
        <w:t xml:space="preserve">a las que se refiere el artículo anterior, </w:t>
      </w:r>
      <w:r>
        <w:rPr>
          <w:b/>
          <w:bCs/>
        </w:rPr>
        <w:t>a más tardar al día hábil siguiente</w:t>
      </w:r>
      <w:r w:rsidRPr="001A246F">
        <w:rPr>
          <w:b/>
          <w:bCs/>
        </w:rPr>
        <w:t>.</w:t>
      </w:r>
    </w:p>
    <w:p w14:paraId="016C8211" w14:textId="77777777" w:rsidR="003B1A3E" w:rsidRDefault="003B1A3E" w:rsidP="008139C2">
      <w:pPr>
        <w:pStyle w:val="ROMANOS"/>
        <w:tabs>
          <w:tab w:val="clear" w:pos="720"/>
          <w:tab w:val="left" w:pos="288"/>
          <w:tab w:val="left" w:pos="426"/>
        </w:tabs>
        <w:spacing w:after="0" w:line="276" w:lineRule="auto"/>
        <w:ind w:left="567" w:right="615" w:firstLine="0"/>
        <w:rPr>
          <w:b/>
          <w:bCs/>
        </w:rPr>
      </w:pPr>
    </w:p>
    <w:p w14:paraId="3AC67C59" w14:textId="782F9380" w:rsidR="003B1A3E" w:rsidRDefault="003B1A3E" w:rsidP="008139C2">
      <w:pPr>
        <w:pStyle w:val="ROMANOS"/>
        <w:tabs>
          <w:tab w:val="clear" w:pos="720"/>
          <w:tab w:val="left" w:pos="288"/>
          <w:tab w:val="left" w:pos="426"/>
        </w:tabs>
        <w:spacing w:after="0" w:line="276" w:lineRule="auto"/>
        <w:ind w:left="567" w:right="615" w:firstLine="0"/>
        <w:rPr>
          <w:b/>
          <w:bCs/>
        </w:rPr>
      </w:pPr>
      <w:r>
        <w:rPr>
          <w:b/>
          <w:bCs/>
        </w:rPr>
        <w:t xml:space="preserve">El aviso </w:t>
      </w:r>
      <w:r w:rsidR="00614025">
        <w:rPr>
          <w:b/>
          <w:bCs/>
        </w:rPr>
        <w:t xml:space="preserve">se realizará mediante escrito libre y </w:t>
      </w:r>
      <w:r>
        <w:rPr>
          <w:b/>
          <w:bCs/>
        </w:rPr>
        <w:t xml:space="preserve">deberá contener el nombre del Concesionario Mayorista Móvil, así como del Operador Móvil Virtual y la cantidad de usuarios finales a los que se les brindarán las funcionalidades </w:t>
      </w:r>
      <w:r w:rsidR="00027802">
        <w:rPr>
          <w:b/>
          <w:bCs/>
        </w:rPr>
        <w:t>a las que se refiere el artículo anterior</w:t>
      </w:r>
      <w:r w:rsidR="00A22AEE">
        <w:rPr>
          <w:b/>
          <w:bCs/>
        </w:rPr>
        <w:t>,</w:t>
      </w:r>
      <w:r w:rsidR="00027802">
        <w:rPr>
          <w:b/>
          <w:bCs/>
        </w:rPr>
        <w:t xml:space="preserve"> así como la</w:t>
      </w:r>
      <w:r w:rsidR="00A22AEE">
        <w:rPr>
          <w:b/>
          <w:bCs/>
        </w:rPr>
        <w:t xml:space="preserve"> </w:t>
      </w:r>
      <w:r w:rsidR="00A22AEE" w:rsidRPr="008F1B23">
        <w:rPr>
          <w:b/>
          <w:bCs/>
        </w:rPr>
        <w:t>descripción de los hechos que motiva</w:t>
      </w:r>
      <w:r w:rsidR="00027802">
        <w:rPr>
          <w:b/>
          <w:bCs/>
        </w:rPr>
        <w:t>n</w:t>
      </w:r>
      <w:r w:rsidR="005412E3">
        <w:rPr>
          <w:b/>
          <w:bCs/>
        </w:rPr>
        <w:t xml:space="preserve"> </w:t>
      </w:r>
      <w:r w:rsidR="003B1C81">
        <w:rPr>
          <w:b/>
          <w:bCs/>
        </w:rPr>
        <w:t xml:space="preserve">la continuidad de </w:t>
      </w:r>
      <w:r w:rsidR="00BD1B4F">
        <w:rPr>
          <w:b/>
          <w:bCs/>
        </w:rPr>
        <w:t>tales</w:t>
      </w:r>
      <w:r w:rsidR="003B1C81">
        <w:rPr>
          <w:b/>
          <w:bCs/>
        </w:rPr>
        <w:t xml:space="preserve"> funcionalidades</w:t>
      </w:r>
      <w:r>
        <w:rPr>
          <w:b/>
          <w:bCs/>
        </w:rPr>
        <w:t>.</w:t>
      </w:r>
    </w:p>
    <w:p w14:paraId="0B0849B9" w14:textId="77777777" w:rsidR="001F3410" w:rsidRDefault="001F3410" w:rsidP="008139C2">
      <w:pPr>
        <w:pStyle w:val="ROMANOS"/>
        <w:tabs>
          <w:tab w:val="clear" w:pos="720"/>
          <w:tab w:val="left" w:pos="288"/>
          <w:tab w:val="left" w:pos="426"/>
        </w:tabs>
        <w:spacing w:after="0" w:line="276" w:lineRule="auto"/>
        <w:ind w:left="567" w:right="615" w:firstLine="0"/>
        <w:rPr>
          <w:b/>
          <w:bCs/>
        </w:rPr>
      </w:pPr>
    </w:p>
    <w:p w14:paraId="0BFA4B87" w14:textId="1364979E" w:rsidR="003B1A3E" w:rsidRPr="001A246F" w:rsidRDefault="001F3410" w:rsidP="008139C2">
      <w:pPr>
        <w:pStyle w:val="ROMANOS"/>
        <w:tabs>
          <w:tab w:val="clear" w:pos="720"/>
          <w:tab w:val="left" w:pos="288"/>
          <w:tab w:val="left" w:pos="426"/>
        </w:tabs>
        <w:spacing w:after="0" w:line="276" w:lineRule="auto"/>
        <w:ind w:left="567" w:right="615" w:firstLine="0"/>
        <w:rPr>
          <w:b/>
          <w:bCs/>
        </w:rPr>
      </w:pPr>
      <w:r>
        <w:rPr>
          <w:b/>
          <w:bCs/>
        </w:rPr>
        <w:t>E</w:t>
      </w:r>
      <w:r w:rsidR="003B1A3E">
        <w:rPr>
          <w:b/>
          <w:bCs/>
        </w:rPr>
        <w:t xml:space="preserve">l Concesionario Mayorista Móvil deberá informar a los usuarios correspondientes, a través del envío de </w:t>
      </w:r>
      <w:r w:rsidR="00AA7063">
        <w:rPr>
          <w:b/>
          <w:bCs/>
        </w:rPr>
        <w:t>mensajes cortos</w:t>
      </w:r>
      <w:r w:rsidR="003B1A3E">
        <w:rPr>
          <w:b/>
          <w:bCs/>
        </w:rPr>
        <w:t>, sobre el estado que guarda</w:t>
      </w:r>
      <w:r w:rsidR="008F6384">
        <w:rPr>
          <w:b/>
          <w:bCs/>
        </w:rPr>
        <w:t xml:space="preserve"> la continuidad en</w:t>
      </w:r>
      <w:r w:rsidR="003B1A3E">
        <w:rPr>
          <w:b/>
          <w:bCs/>
        </w:rPr>
        <w:t xml:space="preserve"> su red y el plazo </w:t>
      </w:r>
      <w:r w:rsidR="00183DA4">
        <w:rPr>
          <w:b/>
          <w:bCs/>
        </w:rPr>
        <w:t>durante el cual estarán disponibles las funciona</w:t>
      </w:r>
      <w:r w:rsidR="00530570">
        <w:rPr>
          <w:b/>
          <w:bCs/>
        </w:rPr>
        <w:t>lidades que le permitan</w:t>
      </w:r>
      <w:r w:rsidR="00183DA4">
        <w:rPr>
          <w:b/>
          <w:bCs/>
        </w:rPr>
        <w:t xml:space="preserve"> </w:t>
      </w:r>
      <w:r w:rsidR="003B1A3E">
        <w:rPr>
          <w:b/>
          <w:bCs/>
        </w:rPr>
        <w:t xml:space="preserve">ejercer su derecho de portabilidad hacia otro Operador Móvil Virtual o Concesionario, además de señalar que posterior a dicho plazo su línea </w:t>
      </w:r>
      <w:r w:rsidR="003B1A3E" w:rsidRPr="006C242E">
        <w:rPr>
          <w:b/>
          <w:bCs/>
        </w:rPr>
        <w:t xml:space="preserve">telefónica </w:t>
      </w:r>
      <w:r w:rsidR="003B1A3E" w:rsidRPr="00CF14DA">
        <w:rPr>
          <w:b/>
          <w:bCs/>
        </w:rPr>
        <w:t xml:space="preserve">será </w:t>
      </w:r>
      <w:r w:rsidR="001A69A7" w:rsidRPr="00CF14DA">
        <w:rPr>
          <w:b/>
          <w:bCs/>
        </w:rPr>
        <w:t>desactivada</w:t>
      </w:r>
      <w:r w:rsidR="00E910A2" w:rsidRPr="006C242E">
        <w:rPr>
          <w:b/>
        </w:rPr>
        <w:t xml:space="preserve"> y</w:t>
      </w:r>
      <w:r w:rsidR="00E910A2">
        <w:rPr>
          <w:b/>
        </w:rPr>
        <w:t xml:space="preserve"> </w:t>
      </w:r>
      <w:r w:rsidR="00510168">
        <w:rPr>
          <w:b/>
        </w:rPr>
        <w:t xml:space="preserve">no </w:t>
      </w:r>
      <w:r w:rsidR="004B5898">
        <w:rPr>
          <w:b/>
        </w:rPr>
        <w:t>podrá</w:t>
      </w:r>
      <w:r w:rsidR="006C3C72">
        <w:rPr>
          <w:b/>
        </w:rPr>
        <w:t xml:space="preserve"> ejercer la portabilidad </w:t>
      </w:r>
      <w:r w:rsidR="00335507">
        <w:rPr>
          <w:b/>
        </w:rPr>
        <w:t>del número</w:t>
      </w:r>
      <w:r w:rsidR="003B1A3E">
        <w:rPr>
          <w:b/>
          <w:bCs/>
        </w:rPr>
        <w:t>.</w:t>
      </w:r>
      <w:r w:rsidR="00304884">
        <w:rPr>
          <w:b/>
          <w:bCs/>
        </w:rPr>
        <w:t xml:space="preserve"> </w:t>
      </w:r>
    </w:p>
    <w:p w14:paraId="1C302787" w14:textId="77777777" w:rsidR="003B1A3E" w:rsidRPr="001A246F" w:rsidRDefault="003B1A3E" w:rsidP="008139C2">
      <w:pPr>
        <w:pStyle w:val="ROMANOS"/>
        <w:tabs>
          <w:tab w:val="clear" w:pos="720"/>
          <w:tab w:val="left" w:pos="288"/>
          <w:tab w:val="left" w:pos="426"/>
        </w:tabs>
        <w:spacing w:after="0" w:line="276" w:lineRule="auto"/>
        <w:ind w:left="567" w:right="615" w:firstLine="0"/>
        <w:rPr>
          <w:b/>
          <w:bCs/>
          <w:shd w:val="clear" w:color="auto" w:fill="FFFFFF"/>
        </w:rPr>
      </w:pPr>
    </w:p>
    <w:p w14:paraId="7E692355" w14:textId="2AF294E6" w:rsidR="003B1A3E" w:rsidRPr="001A246F" w:rsidRDefault="003B1A3E" w:rsidP="008139C2">
      <w:pPr>
        <w:pStyle w:val="ROMANOS"/>
        <w:tabs>
          <w:tab w:val="clear" w:pos="720"/>
          <w:tab w:val="left" w:pos="288"/>
          <w:tab w:val="left" w:pos="426"/>
        </w:tabs>
        <w:spacing w:after="0" w:line="276" w:lineRule="auto"/>
        <w:ind w:left="567" w:right="615" w:firstLine="0"/>
        <w:rPr>
          <w:b/>
          <w:bCs/>
          <w:shd w:val="clear" w:color="auto" w:fill="FFFFFF"/>
        </w:rPr>
      </w:pPr>
      <w:r w:rsidRPr="001A246F">
        <w:rPr>
          <w:b/>
          <w:bCs/>
          <w:shd w:val="clear" w:color="auto" w:fill="FFFFFF"/>
        </w:rPr>
        <w:t xml:space="preserve">Artículo 24. </w:t>
      </w:r>
      <w:r>
        <w:rPr>
          <w:b/>
          <w:bCs/>
          <w:shd w:val="clear" w:color="auto" w:fill="FFFFFF"/>
        </w:rPr>
        <w:t xml:space="preserve">Durante el </w:t>
      </w:r>
      <w:r w:rsidR="00CE4C67">
        <w:rPr>
          <w:b/>
          <w:bCs/>
          <w:shd w:val="clear" w:color="auto" w:fill="FFFFFF"/>
        </w:rPr>
        <w:t xml:space="preserve">plazo </w:t>
      </w:r>
      <w:r>
        <w:rPr>
          <w:b/>
          <w:bCs/>
          <w:shd w:val="clear" w:color="auto" w:fill="FFFFFF"/>
        </w:rPr>
        <w:t>establecido en el artículo 22</w:t>
      </w:r>
      <w:r w:rsidRPr="001A246F">
        <w:rPr>
          <w:b/>
          <w:bCs/>
          <w:shd w:val="clear" w:color="auto" w:fill="FFFFFF"/>
        </w:rPr>
        <w:t xml:space="preserve">, el </w:t>
      </w:r>
      <w:r w:rsidRPr="001A246F">
        <w:rPr>
          <w:b/>
          <w:bCs/>
        </w:rPr>
        <w:t xml:space="preserve">Concesionario Mayorista Móvil deberá poner a disposición de los usuarios, a </w:t>
      </w:r>
      <w:r w:rsidRPr="001A246F">
        <w:rPr>
          <w:b/>
          <w:bCs/>
          <w:shd w:val="clear" w:color="auto" w:fill="FFFFFF"/>
        </w:rPr>
        <w:t>través de</w:t>
      </w:r>
      <w:r w:rsidR="0057646A">
        <w:rPr>
          <w:b/>
          <w:bCs/>
          <w:shd w:val="clear" w:color="auto" w:fill="FFFFFF"/>
        </w:rPr>
        <w:t xml:space="preserve"> mensajes cortos</w:t>
      </w:r>
      <w:r w:rsidR="004C4338" w:rsidRPr="001A246F">
        <w:rPr>
          <w:b/>
          <w:bCs/>
          <w:shd w:val="clear" w:color="auto" w:fill="FFFFFF"/>
        </w:rPr>
        <w:t>, toda</w:t>
      </w:r>
      <w:r w:rsidRPr="001A246F">
        <w:rPr>
          <w:b/>
          <w:bCs/>
          <w:shd w:val="clear" w:color="auto" w:fill="FFFFFF"/>
        </w:rPr>
        <w:t xml:space="preserve"> la información necesaria </w:t>
      </w:r>
      <w:r w:rsidR="00467FA9">
        <w:rPr>
          <w:b/>
          <w:bCs/>
          <w:shd w:val="clear" w:color="auto" w:fill="FFFFFF"/>
        </w:rPr>
        <w:t xml:space="preserve">para </w:t>
      </w:r>
      <w:r w:rsidR="00467FA9" w:rsidRPr="001A246F">
        <w:rPr>
          <w:b/>
          <w:bCs/>
          <w:shd w:val="clear" w:color="auto" w:fill="FFFFFF"/>
        </w:rPr>
        <w:t>ejercer</w:t>
      </w:r>
      <w:r w:rsidRPr="001A246F">
        <w:rPr>
          <w:b/>
          <w:bCs/>
          <w:shd w:val="clear" w:color="auto" w:fill="FFFFFF"/>
        </w:rPr>
        <w:t xml:space="preserve"> </w:t>
      </w:r>
      <w:r w:rsidR="0023282D">
        <w:rPr>
          <w:b/>
          <w:bCs/>
          <w:shd w:val="clear" w:color="auto" w:fill="FFFFFF"/>
        </w:rPr>
        <w:t>el</w:t>
      </w:r>
      <w:r w:rsidRPr="001A246F">
        <w:rPr>
          <w:b/>
          <w:bCs/>
          <w:shd w:val="clear" w:color="auto" w:fill="FFFFFF"/>
        </w:rPr>
        <w:t xml:space="preserve"> derecho a la portabilidad de manera informada</w:t>
      </w:r>
      <w:r w:rsidR="008077EE">
        <w:rPr>
          <w:b/>
          <w:bCs/>
          <w:shd w:val="clear" w:color="auto" w:fill="FFFFFF"/>
        </w:rPr>
        <w:t xml:space="preserve">, así como la información </w:t>
      </w:r>
      <w:r w:rsidR="00BA2024">
        <w:rPr>
          <w:b/>
          <w:bCs/>
          <w:shd w:val="clear" w:color="auto" w:fill="FFFFFF"/>
        </w:rPr>
        <w:t xml:space="preserve">referida en el último párrafo </w:t>
      </w:r>
      <w:r w:rsidR="009A1B95">
        <w:rPr>
          <w:b/>
          <w:bCs/>
          <w:shd w:val="clear" w:color="auto" w:fill="FFFFFF"/>
        </w:rPr>
        <w:t>del artículo 23</w:t>
      </w:r>
      <w:r w:rsidR="005734C3">
        <w:rPr>
          <w:b/>
          <w:bCs/>
          <w:shd w:val="clear" w:color="auto" w:fill="FFFFFF"/>
        </w:rPr>
        <w:t>, a través del siguiente procedimiento:</w:t>
      </w:r>
      <w:r w:rsidR="00222988">
        <w:rPr>
          <w:b/>
          <w:bCs/>
          <w:shd w:val="clear" w:color="auto" w:fill="FFFFFF"/>
        </w:rPr>
        <w:t xml:space="preserve"> </w:t>
      </w:r>
    </w:p>
    <w:p w14:paraId="07A0547F" w14:textId="77777777" w:rsidR="00F9709B" w:rsidRDefault="00F9709B" w:rsidP="008139C2">
      <w:pPr>
        <w:pStyle w:val="ROMANOS"/>
        <w:tabs>
          <w:tab w:val="clear" w:pos="720"/>
          <w:tab w:val="left" w:pos="288"/>
          <w:tab w:val="left" w:pos="426"/>
        </w:tabs>
        <w:spacing w:after="0" w:line="276" w:lineRule="auto"/>
        <w:ind w:left="567" w:right="615" w:firstLine="0"/>
        <w:rPr>
          <w:b/>
          <w:bCs/>
          <w:shd w:val="clear" w:color="auto" w:fill="FFFFFF"/>
        </w:rPr>
      </w:pPr>
    </w:p>
    <w:p w14:paraId="502EDC8C" w14:textId="4FCCEE67" w:rsidR="00F9709B" w:rsidRPr="00CF0270" w:rsidRDefault="00936F50" w:rsidP="00CF0270">
      <w:pPr>
        <w:pStyle w:val="ROMANOS"/>
        <w:numPr>
          <w:ilvl w:val="0"/>
          <w:numId w:val="24"/>
        </w:numPr>
        <w:tabs>
          <w:tab w:val="clear" w:pos="720"/>
          <w:tab w:val="left" w:pos="288"/>
          <w:tab w:val="left" w:pos="426"/>
        </w:tabs>
        <w:spacing w:after="0" w:line="276" w:lineRule="auto"/>
        <w:ind w:right="615"/>
        <w:rPr>
          <w:b/>
          <w:bCs/>
        </w:rPr>
      </w:pPr>
      <w:r w:rsidRPr="00CF0270">
        <w:rPr>
          <w:b/>
          <w:bCs/>
        </w:rPr>
        <w:t>El C</w:t>
      </w:r>
      <w:r w:rsidRPr="001A246F">
        <w:rPr>
          <w:b/>
          <w:bCs/>
        </w:rPr>
        <w:t xml:space="preserve">oncesionario Mayorista Móvil </w:t>
      </w:r>
      <w:r>
        <w:rPr>
          <w:b/>
          <w:bCs/>
        </w:rPr>
        <w:t xml:space="preserve">deberá enviar </w:t>
      </w:r>
      <w:r w:rsidR="008B783A" w:rsidRPr="00CF0270">
        <w:rPr>
          <w:b/>
          <w:bCs/>
        </w:rPr>
        <w:t>al menos</w:t>
      </w:r>
      <w:r w:rsidR="00F9709B" w:rsidRPr="00CF0270">
        <w:rPr>
          <w:b/>
          <w:bCs/>
        </w:rPr>
        <w:t xml:space="preserve"> un </w:t>
      </w:r>
      <w:r w:rsidR="009D2171" w:rsidRPr="00CF0270">
        <w:rPr>
          <w:b/>
          <w:bCs/>
        </w:rPr>
        <w:t>mensaje</w:t>
      </w:r>
      <w:r w:rsidR="00E13C4F">
        <w:rPr>
          <w:b/>
          <w:bCs/>
        </w:rPr>
        <w:t xml:space="preserve"> corto</w:t>
      </w:r>
      <w:r w:rsidR="009D2171" w:rsidRPr="00CF0270">
        <w:rPr>
          <w:b/>
          <w:bCs/>
        </w:rPr>
        <w:t xml:space="preserve"> </w:t>
      </w:r>
      <w:r w:rsidR="006F1A53" w:rsidRPr="00CF0270">
        <w:rPr>
          <w:b/>
          <w:bCs/>
        </w:rPr>
        <w:t xml:space="preserve">a los usuarios </w:t>
      </w:r>
      <w:r w:rsidR="00AB552C">
        <w:rPr>
          <w:b/>
          <w:bCs/>
        </w:rPr>
        <w:t xml:space="preserve">del Operador Móvil Virtual </w:t>
      </w:r>
      <w:r w:rsidR="00F9709B" w:rsidRPr="00CF0270">
        <w:rPr>
          <w:b/>
          <w:bCs/>
        </w:rPr>
        <w:t xml:space="preserve">dentro de los </w:t>
      </w:r>
      <w:r w:rsidR="005D3CCE" w:rsidRPr="00CF0270">
        <w:rPr>
          <w:b/>
          <w:bCs/>
        </w:rPr>
        <w:t>p</w:t>
      </w:r>
      <w:r w:rsidR="00433932" w:rsidRPr="00CF0270">
        <w:rPr>
          <w:b/>
          <w:bCs/>
        </w:rPr>
        <w:t>rimeros</w:t>
      </w:r>
      <w:r w:rsidR="005D3CCE" w:rsidRPr="00CF0270">
        <w:rPr>
          <w:b/>
          <w:bCs/>
        </w:rPr>
        <w:t xml:space="preserve"> 10</w:t>
      </w:r>
      <w:r w:rsidR="004D6749" w:rsidRPr="00CF0270">
        <w:rPr>
          <w:b/>
          <w:bCs/>
        </w:rPr>
        <w:t xml:space="preserve"> (diez)</w:t>
      </w:r>
      <w:r w:rsidR="005D3CCE" w:rsidRPr="00CF0270">
        <w:rPr>
          <w:b/>
          <w:bCs/>
        </w:rPr>
        <w:t xml:space="preserve"> día</w:t>
      </w:r>
      <w:r w:rsidR="004D6749" w:rsidRPr="00CF0270">
        <w:rPr>
          <w:b/>
          <w:bCs/>
        </w:rPr>
        <w:t>s</w:t>
      </w:r>
      <w:r w:rsidR="005D3CCE" w:rsidRPr="00CF0270">
        <w:rPr>
          <w:b/>
          <w:bCs/>
        </w:rPr>
        <w:t xml:space="preserve"> </w:t>
      </w:r>
      <w:r w:rsidR="00433932" w:rsidRPr="00CF0270">
        <w:rPr>
          <w:b/>
          <w:bCs/>
        </w:rPr>
        <w:t>hábiles</w:t>
      </w:r>
      <w:r w:rsidR="004D6749" w:rsidRPr="00CF0270">
        <w:rPr>
          <w:b/>
          <w:bCs/>
        </w:rPr>
        <w:t xml:space="preserve"> </w:t>
      </w:r>
      <w:r w:rsidR="005754D4">
        <w:rPr>
          <w:b/>
          <w:bCs/>
        </w:rPr>
        <w:t xml:space="preserve">contados </w:t>
      </w:r>
      <w:r w:rsidR="00071A8E">
        <w:rPr>
          <w:b/>
          <w:bCs/>
        </w:rPr>
        <w:t>a par</w:t>
      </w:r>
      <w:r w:rsidR="00B62D5F">
        <w:rPr>
          <w:b/>
          <w:bCs/>
        </w:rPr>
        <w:t>tir</w:t>
      </w:r>
      <w:r w:rsidR="001627F7" w:rsidRPr="00CF0270">
        <w:rPr>
          <w:b/>
          <w:bCs/>
        </w:rPr>
        <w:t xml:space="preserve"> </w:t>
      </w:r>
      <w:r w:rsidR="006E229F" w:rsidRPr="00CF0270">
        <w:rPr>
          <w:b/>
          <w:bCs/>
        </w:rPr>
        <w:t xml:space="preserve">de </w:t>
      </w:r>
      <w:r w:rsidR="00E457DC">
        <w:rPr>
          <w:b/>
          <w:bCs/>
        </w:rPr>
        <w:t xml:space="preserve">la </w:t>
      </w:r>
      <w:r w:rsidR="00794ACE">
        <w:rPr>
          <w:b/>
          <w:bCs/>
        </w:rPr>
        <w:t>suspensión</w:t>
      </w:r>
      <w:r w:rsidR="004D6749">
        <w:rPr>
          <w:b/>
          <w:bCs/>
        </w:rPr>
        <w:t xml:space="preserve"> definitiva de </w:t>
      </w:r>
      <w:r w:rsidR="00CC03D5">
        <w:rPr>
          <w:b/>
          <w:bCs/>
        </w:rPr>
        <w:t xml:space="preserve">los </w:t>
      </w:r>
      <w:r w:rsidR="004D6749">
        <w:rPr>
          <w:b/>
          <w:bCs/>
        </w:rPr>
        <w:t>servicios de telecomunicaciones</w:t>
      </w:r>
      <w:r w:rsidR="00E13C4F">
        <w:rPr>
          <w:b/>
          <w:bCs/>
        </w:rPr>
        <w:t xml:space="preserve"> por parte del Operador Móvil Virtual</w:t>
      </w:r>
      <w:r w:rsidR="008D348E">
        <w:rPr>
          <w:b/>
          <w:bCs/>
        </w:rPr>
        <w:t>;</w:t>
      </w:r>
    </w:p>
    <w:p w14:paraId="6F485066" w14:textId="77777777" w:rsidR="00AB13EB" w:rsidRDefault="00AB13EB" w:rsidP="00CF0270">
      <w:pPr>
        <w:pStyle w:val="ROMANOS"/>
        <w:tabs>
          <w:tab w:val="clear" w:pos="720"/>
          <w:tab w:val="left" w:pos="288"/>
          <w:tab w:val="left" w:pos="426"/>
        </w:tabs>
        <w:spacing w:after="0" w:line="276" w:lineRule="auto"/>
        <w:ind w:left="1291" w:right="615" w:firstLine="0"/>
        <w:rPr>
          <w:b/>
          <w:bCs/>
        </w:rPr>
      </w:pPr>
    </w:p>
    <w:p w14:paraId="5ED0AABC" w14:textId="4110E50E" w:rsidR="00297815" w:rsidRDefault="004F3320" w:rsidP="00CF0270">
      <w:pPr>
        <w:pStyle w:val="ROMANOS"/>
        <w:numPr>
          <w:ilvl w:val="0"/>
          <w:numId w:val="24"/>
        </w:numPr>
        <w:tabs>
          <w:tab w:val="clear" w:pos="720"/>
          <w:tab w:val="left" w:pos="288"/>
          <w:tab w:val="left" w:pos="426"/>
        </w:tabs>
        <w:spacing w:after="0" w:line="276" w:lineRule="auto"/>
        <w:ind w:right="615"/>
        <w:rPr>
          <w:b/>
          <w:bCs/>
        </w:rPr>
      </w:pPr>
      <w:r>
        <w:rPr>
          <w:b/>
          <w:bCs/>
        </w:rPr>
        <w:t>S</w:t>
      </w:r>
      <w:r w:rsidR="004A001D">
        <w:rPr>
          <w:b/>
          <w:bCs/>
        </w:rPr>
        <w:t xml:space="preserve">i </w:t>
      </w:r>
      <w:r w:rsidR="00421AB3">
        <w:rPr>
          <w:b/>
          <w:bCs/>
        </w:rPr>
        <w:t xml:space="preserve">aún </w:t>
      </w:r>
      <w:r w:rsidR="00F763E1">
        <w:rPr>
          <w:b/>
          <w:bCs/>
        </w:rPr>
        <w:t xml:space="preserve">existieran usuarios no </w:t>
      </w:r>
      <w:r w:rsidR="0036682F">
        <w:rPr>
          <w:b/>
          <w:bCs/>
        </w:rPr>
        <w:t xml:space="preserve">portados </w:t>
      </w:r>
      <w:r w:rsidR="005E5A80">
        <w:rPr>
          <w:b/>
          <w:bCs/>
        </w:rPr>
        <w:t>en</w:t>
      </w:r>
      <w:r w:rsidR="002B6022">
        <w:rPr>
          <w:b/>
          <w:bCs/>
        </w:rPr>
        <w:t xml:space="preserve"> </w:t>
      </w:r>
      <w:r w:rsidR="006D71B4">
        <w:rPr>
          <w:b/>
          <w:bCs/>
        </w:rPr>
        <w:t xml:space="preserve">el </w:t>
      </w:r>
      <w:r w:rsidR="00830A65">
        <w:rPr>
          <w:b/>
          <w:bCs/>
        </w:rPr>
        <w:t xml:space="preserve">día </w:t>
      </w:r>
      <w:r w:rsidR="00467FA9">
        <w:rPr>
          <w:b/>
          <w:bCs/>
        </w:rPr>
        <w:t>20</w:t>
      </w:r>
      <w:r w:rsidR="006D63E4">
        <w:rPr>
          <w:b/>
          <w:bCs/>
        </w:rPr>
        <w:t xml:space="preserve"> </w:t>
      </w:r>
      <w:r w:rsidR="00155A56">
        <w:rPr>
          <w:b/>
          <w:bCs/>
        </w:rPr>
        <w:t>(</w:t>
      </w:r>
      <w:r w:rsidR="00467FA9">
        <w:rPr>
          <w:b/>
          <w:bCs/>
        </w:rPr>
        <w:t>veinte</w:t>
      </w:r>
      <w:r w:rsidR="00155A56">
        <w:rPr>
          <w:b/>
          <w:bCs/>
        </w:rPr>
        <w:t>)</w:t>
      </w:r>
      <w:r w:rsidR="006D63E4">
        <w:rPr>
          <w:b/>
          <w:bCs/>
        </w:rPr>
        <w:t xml:space="preserve"> </w:t>
      </w:r>
      <w:r w:rsidR="007F55AF">
        <w:rPr>
          <w:b/>
          <w:bCs/>
        </w:rPr>
        <w:t xml:space="preserve">del </w:t>
      </w:r>
      <w:r w:rsidR="00421AB3">
        <w:rPr>
          <w:b/>
          <w:bCs/>
        </w:rPr>
        <w:t xml:space="preserve">plazo </w:t>
      </w:r>
      <w:r w:rsidR="007F55AF">
        <w:rPr>
          <w:b/>
          <w:bCs/>
        </w:rPr>
        <w:t>mencionado en el artículo 22</w:t>
      </w:r>
      <w:r w:rsidR="00A35EF5">
        <w:rPr>
          <w:b/>
          <w:bCs/>
        </w:rPr>
        <w:t xml:space="preserve">, </w:t>
      </w:r>
      <w:r w:rsidR="00A30A05">
        <w:rPr>
          <w:b/>
          <w:bCs/>
        </w:rPr>
        <w:t>e</w:t>
      </w:r>
      <w:r w:rsidR="00A30A05" w:rsidRPr="00CF0270">
        <w:rPr>
          <w:b/>
          <w:bCs/>
        </w:rPr>
        <w:t>l C</w:t>
      </w:r>
      <w:r w:rsidR="00A30A05" w:rsidRPr="001A246F">
        <w:rPr>
          <w:b/>
          <w:bCs/>
        </w:rPr>
        <w:t>oncesionario Mayorista Móvil</w:t>
      </w:r>
      <w:r w:rsidR="00A30A05">
        <w:rPr>
          <w:b/>
          <w:bCs/>
        </w:rPr>
        <w:t xml:space="preserve"> </w:t>
      </w:r>
      <w:r w:rsidR="00A35EF5">
        <w:rPr>
          <w:b/>
          <w:bCs/>
        </w:rPr>
        <w:t>deberá</w:t>
      </w:r>
      <w:r w:rsidR="00A30A05">
        <w:rPr>
          <w:b/>
          <w:bCs/>
        </w:rPr>
        <w:t xml:space="preserve"> enviar</w:t>
      </w:r>
      <w:r w:rsidR="00A35EF5">
        <w:rPr>
          <w:b/>
          <w:bCs/>
        </w:rPr>
        <w:t xml:space="preserve"> </w:t>
      </w:r>
      <w:r w:rsidR="00696CB6">
        <w:rPr>
          <w:b/>
          <w:bCs/>
        </w:rPr>
        <w:t>al menos</w:t>
      </w:r>
      <w:r w:rsidR="00A35EF5">
        <w:rPr>
          <w:b/>
          <w:bCs/>
        </w:rPr>
        <w:t xml:space="preserve"> otro </w:t>
      </w:r>
      <w:r w:rsidR="00E0482F">
        <w:rPr>
          <w:b/>
          <w:bCs/>
        </w:rPr>
        <w:t>mensaje corto</w:t>
      </w:r>
      <w:r w:rsidR="00250D90">
        <w:rPr>
          <w:b/>
          <w:bCs/>
        </w:rPr>
        <w:t xml:space="preserve"> con </w:t>
      </w:r>
      <w:r w:rsidR="00557C88">
        <w:rPr>
          <w:b/>
          <w:bCs/>
        </w:rPr>
        <w:t xml:space="preserve">la </w:t>
      </w:r>
      <w:r w:rsidR="00250D90">
        <w:rPr>
          <w:b/>
          <w:bCs/>
        </w:rPr>
        <w:t>información</w:t>
      </w:r>
      <w:r w:rsidR="00F95343">
        <w:rPr>
          <w:b/>
          <w:bCs/>
        </w:rPr>
        <w:t>,</w:t>
      </w:r>
      <w:r w:rsidR="00557C88">
        <w:rPr>
          <w:b/>
          <w:bCs/>
        </w:rPr>
        <w:t xml:space="preserve"> </w:t>
      </w:r>
      <w:r w:rsidR="00772FDA">
        <w:rPr>
          <w:b/>
          <w:bCs/>
        </w:rPr>
        <w:t>y</w:t>
      </w:r>
    </w:p>
    <w:p w14:paraId="5169B23B" w14:textId="77777777" w:rsidR="00297815" w:rsidRDefault="00297815" w:rsidP="00CF0270">
      <w:pPr>
        <w:pStyle w:val="ROMANOS"/>
        <w:tabs>
          <w:tab w:val="clear" w:pos="720"/>
          <w:tab w:val="left" w:pos="288"/>
          <w:tab w:val="left" w:pos="426"/>
        </w:tabs>
        <w:spacing w:after="0" w:line="276" w:lineRule="auto"/>
        <w:ind w:left="1291" w:right="615" w:firstLine="0"/>
        <w:rPr>
          <w:b/>
          <w:bCs/>
        </w:rPr>
      </w:pPr>
    </w:p>
    <w:p w14:paraId="20EF3187" w14:textId="2A534BD9" w:rsidR="00AB13EB" w:rsidRPr="00CF0270" w:rsidRDefault="00297815" w:rsidP="00CF0270">
      <w:pPr>
        <w:pStyle w:val="ROMANOS"/>
        <w:numPr>
          <w:ilvl w:val="0"/>
          <w:numId w:val="24"/>
        </w:numPr>
        <w:tabs>
          <w:tab w:val="clear" w:pos="720"/>
          <w:tab w:val="left" w:pos="288"/>
          <w:tab w:val="left" w:pos="426"/>
        </w:tabs>
        <w:spacing w:after="0" w:line="276" w:lineRule="auto"/>
        <w:ind w:right="615"/>
        <w:rPr>
          <w:b/>
          <w:bCs/>
        </w:rPr>
      </w:pPr>
      <w:r>
        <w:rPr>
          <w:b/>
          <w:bCs/>
        </w:rPr>
        <w:lastRenderedPageBreak/>
        <w:t xml:space="preserve">Se deberá </w:t>
      </w:r>
      <w:r w:rsidR="007500C8">
        <w:rPr>
          <w:b/>
          <w:bCs/>
        </w:rPr>
        <w:t>mandar</w:t>
      </w:r>
      <w:r w:rsidR="00F526E1">
        <w:rPr>
          <w:b/>
          <w:bCs/>
        </w:rPr>
        <w:t xml:space="preserve"> al </w:t>
      </w:r>
      <w:r w:rsidR="00E3621C">
        <w:rPr>
          <w:b/>
          <w:bCs/>
        </w:rPr>
        <w:t xml:space="preserve">menos </w:t>
      </w:r>
      <w:r w:rsidR="007500C8">
        <w:rPr>
          <w:b/>
          <w:bCs/>
        </w:rPr>
        <w:t xml:space="preserve">un </w:t>
      </w:r>
      <w:r w:rsidR="00C70A4A">
        <w:rPr>
          <w:b/>
          <w:bCs/>
        </w:rPr>
        <w:t>mensaje corto</w:t>
      </w:r>
      <w:r w:rsidR="007500C8">
        <w:rPr>
          <w:b/>
          <w:bCs/>
        </w:rPr>
        <w:t xml:space="preserve"> </w:t>
      </w:r>
      <w:r w:rsidR="00F526E1">
        <w:rPr>
          <w:b/>
          <w:bCs/>
        </w:rPr>
        <w:t xml:space="preserve">a los usuarios no </w:t>
      </w:r>
      <w:r w:rsidR="00DA2174">
        <w:rPr>
          <w:b/>
          <w:bCs/>
        </w:rPr>
        <w:t xml:space="preserve">portados </w:t>
      </w:r>
      <w:r w:rsidR="00EB2CF6">
        <w:rPr>
          <w:b/>
          <w:bCs/>
        </w:rPr>
        <w:t>72 horas</w:t>
      </w:r>
      <w:r w:rsidR="00F526E1">
        <w:rPr>
          <w:b/>
          <w:bCs/>
        </w:rPr>
        <w:t xml:space="preserve"> antes de </w:t>
      </w:r>
      <w:r w:rsidR="00052618">
        <w:rPr>
          <w:b/>
          <w:bCs/>
        </w:rPr>
        <w:t xml:space="preserve">que se </w:t>
      </w:r>
      <w:r w:rsidR="003D2A88">
        <w:rPr>
          <w:b/>
          <w:bCs/>
        </w:rPr>
        <w:t>desactive</w:t>
      </w:r>
      <w:r w:rsidR="00052618">
        <w:rPr>
          <w:b/>
          <w:bCs/>
        </w:rPr>
        <w:t xml:space="preserve"> </w:t>
      </w:r>
      <w:r w:rsidR="00043609">
        <w:rPr>
          <w:b/>
          <w:bCs/>
        </w:rPr>
        <w:t>la línea</w:t>
      </w:r>
      <w:r w:rsidR="003E0AA8">
        <w:rPr>
          <w:b/>
          <w:bCs/>
        </w:rPr>
        <w:t>, indicando</w:t>
      </w:r>
      <w:r w:rsidR="00DB2EDB">
        <w:rPr>
          <w:b/>
          <w:bCs/>
        </w:rPr>
        <w:t>, además de la información</w:t>
      </w:r>
      <w:r w:rsidR="00FE3B49">
        <w:rPr>
          <w:b/>
          <w:bCs/>
        </w:rPr>
        <w:t xml:space="preserve"> relativa a la portabilidad numérica</w:t>
      </w:r>
      <w:r w:rsidR="00DB2EDB">
        <w:rPr>
          <w:b/>
          <w:bCs/>
        </w:rPr>
        <w:t>,</w:t>
      </w:r>
      <w:r w:rsidR="003E0AA8">
        <w:rPr>
          <w:b/>
          <w:bCs/>
        </w:rPr>
        <w:t xml:space="preserve"> </w:t>
      </w:r>
      <w:r w:rsidR="00351744">
        <w:rPr>
          <w:b/>
          <w:bCs/>
        </w:rPr>
        <w:t xml:space="preserve">la próxima </w:t>
      </w:r>
      <w:r w:rsidR="000D62C4">
        <w:rPr>
          <w:b/>
          <w:bCs/>
        </w:rPr>
        <w:t>desactivación</w:t>
      </w:r>
      <w:r w:rsidR="00976521">
        <w:rPr>
          <w:b/>
          <w:bCs/>
        </w:rPr>
        <w:t xml:space="preserve"> de la línea</w:t>
      </w:r>
      <w:r w:rsidR="00981EC1">
        <w:rPr>
          <w:b/>
          <w:bCs/>
        </w:rPr>
        <w:t xml:space="preserve"> y la </w:t>
      </w:r>
      <w:r w:rsidR="00421AB3">
        <w:rPr>
          <w:b/>
          <w:bCs/>
        </w:rPr>
        <w:t xml:space="preserve">pérdida </w:t>
      </w:r>
      <w:r w:rsidR="00981EC1">
        <w:rPr>
          <w:b/>
          <w:bCs/>
        </w:rPr>
        <w:t>de número</w:t>
      </w:r>
      <w:r w:rsidR="00351744">
        <w:rPr>
          <w:b/>
          <w:bCs/>
        </w:rPr>
        <w:t>.</w:t>
      </w:r>
    </w:p>
    <w:p w14:paraId="227D640C" w14:textId="77777777" w:rsidR="003B1A3E" w:rsidRPr="001A246F" w:rsidRDefault="003B1A3E" w:rsidP="008139C2">
      <w:pPr>
        <w:pStyle w:val="ROMANOS"/>
        <w:tabs>
          <w:tab w:val="clear" w:pos="720"/>
          <w:tab w:val="left" w:pos="288"/>
          <w:tab w:val="left" w:pos="426"/>
        </w:tabs>
        <w:spacing w:after="0" w:line="276" w:lineRule="auto"/>
        <w:ind w:left="567" w:right="615" w:firstLine="0"/>
        <w:rPr>
          <w:b/>
          <w:bCs/>
          <w:shd w:val="clear" w:color="auto" w:fill="FFFFFF"/>
        </w:rPr>
      </w:pPr>
    </w:p>
    <w:p w14:paraId="3F73F70D" w14:textId="3749F557" w:rsidR="003B1A3E" w:rsidRPr="001A246F" w:rsidRDefault="003B1A3E" w:rsidP="008139C2">
      <w:pPr>
        <w:pStyle w:val="ROMANOS"/>
        <w:tabs>
          <w:tab w:val="clear" w:pos="720"/>
          <w:tab w:val="left" w:pos="288"/>
          <w:tab w:val="left" w:pos="426"/>
        </w:tabs>
        <w:spacing w:after="0" w:line="276" w:lineRule="auto"/>
        <w:ind w:left="567" w:right="615" w:firstLine="0"/>
        <w:rPr>
          <w:b/>
          <w:bCs/>
          <w:shd w:val="clear" w:color="auto" w:fill="FFFFFF"/>
        </w:rPr>
      </w:pPr>
      <w:r w:rsidRPr="001A246F">
        <w:rPr>
          <w:b/>
          <w:bCs/>
          <w:shd w:val="clear" w:color="auto" w:fill="FFFFFF"/>
        </w:rPr>
        <w:t xml:space="preserve">Adicionalmente, el Concesionario Mayorista Móvil </w:t>
      </w:r>
      <w:r w:rsidR="00FE056D">
        <w:rPr>
          <w:b/>
          <w:bCs/>
          <w:shd w:val="clear" w:color="auto" w:fill="FFFFFF"/>
        </w:rPr>
        <w:t>deberá</w:t>
      </w:r>
      <w:r w:rsidR="00FE056D" w:rsidRPr="001A246F">
        <w:rPr>
          <w:b/>
          <w:bCs/>
          <w:shd w:val="clear" w:color="auto" w:fill="FFFFFF"/>
        </w:rPr>
        <w:t xml:space="preserve"> </w:t>
      </w:r>
      <w:r w:rsidRPr="001A246F">
        <w:rPr>
          <w:b/>
          <w:bCs/>
          <w:shd w:val="clear" w:color="auto" w:fill="FFFFFF"/>
        </w:rPr>
        <w:t xml:space="preserve">habilitar, durante el plazo establecido para la portabilidad de los usuarios del </w:t>
      </w:r>
      <w:r w:rsidR="00A33ABF">
        <w:rPr>
          <w:b/>
          <w:bCs/>
          <w:shd w:val="clear" w:color="auto" w:fill="FFFFFF"/>
        </w:rPr>
        <w:t>Operador Móvil Virtual</w:t>
      </w:r>
      <w:r w:rsidRPr="001A246F">
        <w:rPr>
          <w:b/>
          <w:bCs/>
          <w:shd w:val="clear" w:color="auto" w:fill="FFFFFF"/>
        </w:rPr>
        <w:t>, un sistema de atención gratuita de consultas de los usuarios afectados.</w:t>
      </w:r>
    </w:p>
    <w:p w14:paraId="5ED98DA1" w14:textId="77777777" w:rsidR="003B1A3E" w:rsidRPr="001A246F" w:rsidRDefault="003B1A3E" w:rsidP="008139C2">
      <w:pPr>
        <w:pStyle w:val="ROMANOS"/>
        <w:tabs>
          <w:tab w:val="clear" w:pos="720"/>
          <w:tab w:val="left" w:pos="288"/>
          <w:tab w:val="left" w:pos="426"/>
        </w:tabs>
        <w:spacing w:after="0" w:line="276" w:lineRule="auto"/>
        <w:ind w:left="567" w:right="615" w:firstLine="0"/>
        <w:rPr>
          <w:b/>
          <w:bCs/>
          <w:shd w:val="clear" w:color="auto" w:fill="FFFFFF"/>
        </w:rPr>
      </w:pPr>
    </w:p>
    <w:p w14:paraId="5B1B4682" w14:textId="0DA6E2D5" w:rsidR="003B1A3E" w:rsidRPr="001A246F" w:rsidRDefault="003B1A3E" w:rsidP="008139C2">
      <w:pPr>
        <w:pStyle w:val="ROMANOS"/>
        <w:tabs>
          <w:tab w:val="clear" w:pos="720"/>
        </w:tabs>
        <w:spacing w:after="0" w:line="276" w:lineRule="auto"/>
        <w:ind w:left="567" w:right="615" w:firstLine="0"/>
        <w:rPr>
          <w:b/>
          <w:bCs/>
        </w:rPr>
      </w:pPr>
      <w:r w:rsidRPr="0039028D">
        <w:rPr>
          <w:b/>
          <w:bCs/>
          <w:shd w:val="clear" w:color="auto" w:fill="FFFFFF"/>
        </w:rPr>
        <w:t xml:space="preserve">Una vez concluido el periodo </w:t>
      </w:r>
      <w:r w:rsidR="00B31C5E">
        <w:rPr>
          <w:b/>
          <w:bCs/>
          <w:shd w:val="clear" w:color="auto" w:fill="FFFFFF"/>
        </w:rPr>
        <w:t>de funcionalidades temporales</w:t>
      </w:r>
      <w:r w:rsidRPr="0039028D">
        <w:rPr>
          <w:b/>
          <w:bCs/>
          <w:shd w:val="clear" w:color="auto" w:fill="FFFFFF"/>
        </w:rPr>
        <w:t xml:space="preserve">, el </w:t>
      </w:r>
      <w:r w:rsidRPr="0039028D">
        <w:rPr>
          <w:b/>
          <w:bCs/>
        </w:rPr>
        <w:t xml:space="preserve">Concesionario Mayorista Móvil deberá </w:t>
      </w:r>
      <w:r w:rsidR="0039028D" w:rsidRPr="0039028D">
        <w:rPr>
          <w:b/>
          <w:bCs/>
        </w:rPr>
        <w:t>desactivar</w:t>
      </w:r>
      <w:r w:rsidRPr="0039028D">
        <w:rPr>
          <w:b/>
          <w:bCs/>
        </w:rPr>
        <w:t xml:space="preserve"> las líneas de aquellos usuarios que no ejercieron su derecho de portabilidad y deberá informar al Instituto el número de usuarios </w:t>
      </w:r>
      <w:r w:rsidR="00E4448C">
        <w:rPr>
          <w:b/>
          <w:bCs/>
        </w:rPr>
        <w:t>no portados</w:t>
      </w:r>
      <w:r w:rsidRPr="0039028D">
        <w:rPr>
          <w:b/>
          <w:bCs/>
        </w:rPr>
        <w:t xml:space="preserve"> a más tardar 15 (quince) días hábiles posteriores a la terminación del periodo establecido.</w:t>
      </w:r>
    </w:p>
    <w:p w14:paraId="2DB4A6D9" w14:textId="77777777" w:rsidR="00E8714E" w:rsidRDefault="00E8714E" w:rsidP="00D16362">
      <w:pPr>
        <w:pStyle w:val="ROMANOS"/>
        <w:tabs>
          <w:tab w:val="clear" w:pos="720"/>
          <w:tab w:val="left" w:pos="426"/>
        </w:tabs>
        <w:spacing w:after="0" w:line="276" w:lineRule="auto"/>
        <w:ind w:left="0" w:right="615" w:firstLine="0"/>
        <w:rPr>
          <w:b/>
          <w:bCs/>
        </w:rPr>
      </w:pPr>
    </w:p>
    <w:p w14:paraId="53C03DE5" w14:textId="3C133746" w:rsidR="00E8714E" w:rsidRDefault="00E8714E" w:rsidP="008139C2">
      <w:pPr>
        <w:pStyle w:val="ROMANOS"/>
        <w:tabs>
          <w:tab w:val="clear" w:pos="720"/>
          <w:tab w:val="left" w:pos="426"/>
        </w:tabs>
        <w:spacing w:after="0" w:line="276" w:lineRule="auto"/>
        <w:ind w:left="567" w:right="615" w:firstLine="0"/>
        <w:rPr>
          <w:b/>
          <w:bCs/>
          <w:lang w:val="es-ES"/>
        </w:rPr>
      </w:pPr>
      <w:r>
        <w:rPr>
          <w:b/>
          <w:bCs/>
        </w:rPr>
        <w:t xml:space="preserve">Los mensajes y comunicaciones a que se refiere este artículo 24 deberán limitarse exclusivamente a información sobre portabilidad, por lo que el </w:t>
      </w:r>
      <w:r w:rsidRPr="001A246F">
        <w:rPr>
          <w:b/>
          <w:bCs/>
        </w:rPr>
        <w:t>Concesionario Mayorista Móvil</w:t>
      </w:r>
      <w:r>
        <w:rPr>
          <w:b/>
          <w:bCs/>
        </w:rPr>
        <w:t xml:space="preserve"> no podrá ofrecer ni comercializar servicios propios o de terceros.</w:t>
      </w:r>
    </w:p>
    <w:p w14:paraId="2EFAF82D" w14:textId="77777777" w:rsidR="00E8714E" w:rsidRPr="007B577A" w:rsidRDefault="00E8714E" w:rsidP="008139C2">
      <w:pPr>
        <w:pStyle w:val="ROMANOS"/>
        <w:tabs>
          <w:tab w:val="clear" w:pos="720"/>
          <w:tab w:val="left" w:pos="426"/>
        </w:tabs>
        <w:spacing w:after="0" w:line="276" w:lineRule="auto"/>
        <w:ind w:left="567" w:right="615" w:firstLine="0"/>
        <w:rPr>
          <w:b/>
          <w:bCs/>
        </w:rPr>
      </w:pPr>
    </w:p>
    <w:p w14:paraId="292AC1D7" w14:textId="752AB490" w:rsidR="003B1A3E" w:rsidRDefault="003B1A3E" w:rsidP="008139C2">
      <w:pPr>
        <w:pStyle w:val="ROMANOS"/>
        <w:tabs>
          <w:tab w:val="clear" w:pos="720"/>
          <w:tab w:val="left" w:pos="426"/>
        </w:tabs>
        <w:spacing w:after="0" w:line="276" w:lineRule="auto"/>
        <w:ind w:left="567" w:right="615" w:firstLine="0"/>
        <w:rPr>
          <w:b/>
          <w:bCs/>
        </w:rPr>
      </w:pPr>
      <w:r w:rsidRPr="001A246F">
        <w:rPr>
          <w:b/>
          <w:bCs/>
          <w:shd w:val="clear" w:color="auto" w:fill="FFFFFF"/>
        </w:rPr>
        <w:t xml:space="preserve">Artículo 25. En ningún caso, </w:t>
      </w:r>
      <w:r w:rsidR="00B32841">
        <w:rPr>
          <w:b/>
          <w:bCs/>
          <w:shd w:val="clear" w:color="auto" w:fill="FFFFFF"/>
        </w:rPr>
        <w:t>la continuidad de funcionalidades</w:t>
      </w:r>
      <w:r w:rsidRPr="001A246F">
        <w:rPr>
          <w:b/>
          <w:bCs/>
          <w:shd w:val="clear" w:color="auto" w:fill="FFFFFF"/>
        </w:rPr>
        <w:t xml:space="preserve"> habilitará al </w:t>
      </w:r>
      <w:r w:rsidRPr="001A246F">
        <w:rPr>
          <w:b/>
          <w:bCs/>
        </w:rPr>
        <w:t xml:space="preserve">Concesionario Mayorista Móvil a </w:t>
      </w:r>
      <w:r w:rsidR="00924EC0">
        <w:rPr>
          <w:b/>
          <w:bCs/>
        </w:rPr>
        <w:t>ofrecer</w:t>
      </w:r>
      <w:r w:rsidRPr="001A246F">
        <w:rPr>
          <w:b/>
          <w:bCs/>
        </w:rPr>
        <w:t xml:space="preserve"> servicios de telecomunicaciones a los usuarios finales del Operador Móvil Virtual o Concesionario; el mecanismo propuesto únicamente se limita al ejercicio de los derechos mínimos de los usuarios y no a la comercialización de los servicios de telecomunicaciones.</w:t>
      </w:r>
    </w:p>
    <w:p w14:paraId="65AF3B9C" w14:textId="77777777" w:rsidR="003B1A3E" w:rsidRPr="000C036A" w:rsidRDefault="003B1A3E" w:rsidP="008139C2">
      <w:pPr>
        <w:pStyle w:val="ROMANOS"/>
        <w:tabs>
          <w:tab w:val="clear" w:pos="720"/>
        </w:tabs>
        <w:spacing w:after="0" w:line="276" w:lineRule="auto"/>
        <w:ind w:left="284" w:right="333" w:firstLine="0"/>
        <w:rPr>
          <w:b/>
          <w:bCs/>
          <w:sz w:val="22"/>
          <w:szCs w:val="22"/>
        </w:rPr>
      </w:pPr>
    </w:p>
    <w:p w14:paraId="0E8EB880" w14:textId="77777777" w:rsidR="003B1A3E" w:rsidRPr="000C036A" w:rsidRDefault="003B1A3E" w:rsidP="008139C2">
      <w:pPr>
        <w:spacing w:after="0"/>
        <w:ind w:left="284"/>
        <w:jc w:val="center"/>
        <w:rPr>
          <w:rFonts w:ascii="Arial" w:eastAsia="MS Mincho" w:hAnsi="Arial" w:cs="Arial"/>
          <w:b/>
          <w:lang w:eastAsia="es-MX"/>
        </w:rPr>
      </w:pPr>
      <w:r w:rsidRPr="000C036A">
        <w:rPr>
          <w:rFonts w:ascii="Arial" w:eastAsia="MS Mincho" w:hAnsi="Arial" w:cs="Arial"/>
          <w:b/>
          <w:lang w:eastAsia="es-MX"/>
        </w:rPr>
        <w:t>Transitorios</w:t>
      </w:r>
    </w:p>
    <w:p w14:paraId="1448BE66" w14:textId="77777777" w:rsidR="003B1A3E" w:rsidRPr="000C036A" w:rsidRDefault="003B1A3E" w:rsidP="008139C2">
      <w:pPr>
        <w:spacing w:after="0"/>
        <w:ind w:left="284"/>
        <w:rPr>
          <w:rFonts w:ascii="Arial" w:hAnsi="Arial" w:cs="Arial"/>
        </w:rPr>
      </w:pPr>
    </w:p>
    <w:p w14:paraId="45BD15DD" w14:textId="77777777" w:rsidR="003B1A3E" w:rsidRDefault="003B1A3E" w:rsidP="008139C2">
      <w:pPr>
        <w:tabs>
          <w:tab w:val="left" w:pos="851"/>
        </w:tabs>
        <w:spacing w:after="0"/>
        <w:jc w:val="both"/>
        <w:rPr>
          <w:rFonts w:ascii="Arial" w:hAnsi="Arial" w:cs="Arial"/>
        </w:rPr>
      </w:pPr>
      <w:r w:rsidRPr="000C036A">
        <w:rPr>
          <w:rFonts w:ascii="Arial" w:hAnsi="Arial" w:cs="Arial"/>
          <w:b/>
        </w:rPr>
        <w:t>Primero.-</w:t>
      </w:r>
      <w:r w:rsidRPr="000C036A">
        <w:rPr>
          <w:rFonts w:ascii="Arial" w:hAnsi="Arial" w:cs="Arial"/>
        </w:rPr>
        <w:t xml:space="preserve"> Publíquese el presente Acuerdo en el Diario Oficial de la Federación.</w:t>
      </w:r>
    </w:p>
    <w:p w14:paraId="01FC8BB7" w14:textId="77777777" w:rsidR="003B1A3E" w:rsidRPr="000C036A" w:rsidRDefault="003B1A3E" w:rsidP="008139C2">
      <w:pPr>
        <w:tabs>
          <w:tab w:val="left" w:pos="851"/>
        </w:tabs>
        <w:spacing w:after="0"/>
        <w:jc w:val="both"/>
        <w:rPr>
          <w:rFonts w:ascii="Arial" w:hAnsi="Arial" w:cs="Arial"/>
        </w:rPr>
      </w:pPr>
    </w:p>
    <w:p w14:paraId="5088A972" w14:textId="77777777" w:rsidR="003B1A3E" w:rsidRPr="000C036A" w:rsidRDefault="003B1A3E" w:rsidP="008139C2">
      <w:pPr>
        <w:tabs>
          <w:tab w:val="left" w:pos="851"/>
        </w:tabs>
        <w:spacing w:after="0"/>
        <w:jc w:val="both"/>
        <w:rPr>
          <w:rFonts w:ascii="Arial" w:hAnsi="Arial" w:cs="Arial"/>
        </w:rPr>
      </w:pPr>
      <w:r w:rsidRPr="000C036A">
        <w:rPr>
          <w:rFonts w:ascii="Arial" w:hAnsi="Arial" w:cs="Arial"/>
          <w:b/>
          <w:bCs/>
        </w:rPr>
        <w:t>Segundo.-</w:t>
      </w:r>
      <w:r w:rsidRPr="000C036A">
        <w:rPr>
          <w:rFonts w:ascii="Arial" w:hAnsi="Arial" w:cs="Arial"/>
        </w:rPr>
        <w:t xml:space="preserve"> El presente Acuerdo entrará en vigor</w:t>
      </w:r>
      <w:r>
        <w:rPr>
          <w:rFonts w:ascii="Arial" w:hAnsi="Arial" w:cs="Arial"/>
        </w:rPr>
        <w:t xml:space="preserve"> a los 60 (sesenta) días naturales siguientes</w:t>
      </w:r>
      <w:r w:rsidRPr="000C036A">
        <w:rPr>
          <w:rFonts w:ascii="Arial" w:hAnsi="Arial" w:cs="Arial"/>
        </w:rPr>
        <w:t xml:space="preserve"> al día de su publicación en el Diario Oficial de la Federación.</w:t>
      </w:r>
    </w:p>
    <w:p w14:paraId="04244FA1" w14:textId="77777777" w:rsidR="00BD06AD" w:rsidRPr="00D56C8B" w:rsidRDefault="00BD06AD" w:rsidP="008139C2">
      <w:pPr>
        <w:spacing w:after="0"/>
        <w:jc w:val="both"/>
        <w:rPr>
          <w:rFonts w:ascii="Arial" w:eastAsia="Times New Roman" w:hAnsi="Arial" w:cs="Arial"/>
          <w:bCs/>
          <w:kern w:val="1"/>
          <w:lang w:eastAsia="ar-SA"/>
        </w:rPr>
      </w:pPr>
    </w:p>
    <w:sectPr w:rsidR="00BD06AD" w:rsidRPr="00D56C8B" w:rsidSect="00137B05">
      <w:headerReference w:type="even" r:id="rId8"/>
      <w:headerReference w:type="default" r:id="rId9"/>
      <w:footerReference w:type="default" r:id="rId10"/>
      <w:headerReference w:type="first" r:id="rId11"/>
      <w:pgSz w:w="12240" w:h="15840"/>
      <w:pgMar w:top="2098" w:right="1418" w:bottom="1134" w:left="1418" w:header="709" w:footer="8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18FB4C" w14:textId="77777777" w:rsidR="00591FD3" w:rsidRDefault="00591FD3" w:rsidP="000F1667">
      <w:pPr>
        <w:spacing w:after="0" w:line="240" w:lineRule="auto"/>
      </w:pPr>
      <w:r>
        <w:separator/>
      </w:r>
    </w:p>
  </w:endnote>
  <w:endnote w:type="continuationSeparator" w:id="0">
    <w:p w14:paraId="6C0B7C55" w14:textId="77777777" w:rsidR="00591FD3" w:rsidRDefault="00591FD3" w:rsidP="000F1667">
      <w:pPr>
        <w:spacing w:after="0" w:line="240" w:lineRule="auto"/>
      </w:pPr>
      <w:r>
        <w:continuationSeparator/>
      </w:r>
    </w:p>
  </w:endnote>
  <w:endnote w:type="continuationNotice" w:id="1">
    <w:p w14:paraId="1484705E" w14:textId="77777777" w:rsidR="00591FD3" w:rsidRDefault="00591F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8"/>
      </w:rPr>
      <w:id w:val="-366610312"/>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155F76B5" w14:textId="58D22E43" w:rsidR="00EF3BAA" w:rsidRPr="00BB6A0B" w:rsidRDefault="00EF3BAA" w:rsidP="00BB6A0B">
            <w:pPr>
              <w:pStyle w:val="Piedepgina"/>
              <w:jc w:val="right"/>
              <w:rPr>
                <w:rFonts w:ascii="Arial" w:hAnsi="Arial" w:cs="Arial"/>
                <w:sz w:val="18"/>
                <w:szCs w:val="18"/>
              </w:rPr>
            </w:pPr>
            <w:r w:rsidRPr="00BB6A0B">
              <w:rPr>
                <w:rFonts w:ascii="Arial" w:hAnsi="Arial" w:cs="Arial"/>
                <w:sz w:val="18"/>
                <w:szCs w:val="18"/>
              </w:rPr>
              <w:t xml:space="preserve">Página </w:t>
            </w:r>
            <w:r w:rsidRPr="00BB6A0B">
              <w:rPr>
                <w:rFonts w:ascii="Arial" w:hAnsi="Arial" w:cs="Arial"/>
                <w:bCs/>
                <w:sz w:val="18"/>
                <w:szCs w:val="18"/>
              </w:rPr>
              <w:fldChar w:fldCharType="begin"/>
            </w:r>
            <w:r w:rsidRPr="00BB6A0B">
              <w:rPr>
                <w:rFonts w:ascii="Arial" w:hAnsi="Arial" w:cs="Arial"/>
                <w:bCs/>
                <w:sz w:val="18"/>
                <w:szCs w:val="18"/>
              </w:rPr>
              <w:instrText>PAGE</w:instrText>
            </w:r>
            <w:r w:rsidRPr="00BB6A0B">
              <w:rPr>
                <w:rFonts w:ascii="Arial" w:hAnsi="Arial" w:cs="Arial"/>
                <w:bCs/>
                <w:sz w:val="18"/>
                <w:szCs w:val="18"/>
              </w:rPr>
              <w:fldChar w:fldCharType="separate"/>
            </w:r>
            <w:r>
              <w:rPr>
                <w:rFonts w:ascii="Arial" w:hAnsi="Arial" w:cs="Arial"/>
                <w:bCs/>
                <w:noProof/>
                <w:sz w:val="18"/>
                <w:szCs w:val="18"/>
              </w:rPr>
              <w:t>10</w:t>
            </w:r>
            <w:r w:rsidRPr="00BB6A0B">
              <w:rPr>
                <w:rFonts w:ascii="Arial" w:hAnsi="Arial" w:cs="Arial"/>
                <w:bCs/>
                <w:sz w:val="18"/>
                <w:szCs w:val="18"/>
              </w:rPr>
              <w:fldChar w:fldCharType="end"/>
            </w:r>
            <w:r w:rsidRPr="00BB6A0B">
              <w:rPr>
                <w:rFonts w:ascii="Arial" w:hAnsi="Arial" w:cs="Arial"/>
                <w:sz w:val="18"/>
                <w:szCs w:val="18"/>
              </w:rPr>
              <w:t xml:space="preserve"> de </w:t>
            </w:r>
            <w:r w:rsidRPr="00BB6A0B">
              <w:rPr>
                <w:rFonts w:ascii="Arial" w:hAnsi="Arial" w:cs="Arial"/>
                <w:bCs/>
                <w:sz w:val="18"/>
                <w:szCs w:val="18"/>
              </w:rPr>
              <w:fldChar w:fldCharType="begin"/>
            </w:r>
            <w:r w:rsidRPr="00BB6A0B">
              <w:rPr>
                <w:rFonts w:ascii="Arial" w:hAnsi="Arial" w:cs="Arial"/>
                <w:bCs/>
                <w:sz w:val="18"/>
                <w:szCs w:val="18"/>
              </w:rPr>
              <w:instrText>NUMPAGES</w:instrText>
            </w:r>
            <w:r w:rsidRPr="00BB6A0B">
              <w:rPr>
                <w:rFonts w:ascii="Arial" w:hAnsi="Arial" w:cs="Arial"/>
                <w:bCs/>
                <w:sz w:val="18"/>
                <w:szCs w:val="18"/>
              </w:rPr>
              <w:fldChar w:fldCharType="separate"/>
            </w:r>
            <w:r>
              <w:rPr>
                <w:rFonts w:ascii="Arial" w:hAnsi="Arial" w:cs="Arial"/>
                <w:bCs/>
                <w:noProof/>
                <w:sz w:val="18"/>
                <w:szCs w:val="18"/>
              </w:rPr>
              <w:t>10</w:t>
            </w:r>
            <w:r w:rsidRPr="00BB6A0B">
              <w:rPr>
                <w:rFonts w:ascii="Arial" w:hAnsi="Arial" w:cs="Arial"/>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2E8271" w14:textId="77777777" w:rsidR="00591FD3" w:rsidRDefault="00591FD3" w:rsidP="000F1667">
      <w:pPr>
        <w:spacing w:after="0" w:line="240" w:lineRule="auto"/>
      </w:pPr>
      <w:r>
        <w:separator/>
      </w:r>
    </w:p>
  </w:footnote>
  <w:footnote w:type="continuationSeparator" w:id="0">
    <w:p w14:paraId="2F1DCE4C" w14:textId="77777777" w:rsidR="00591FD3" w:rsidRDefault="00591FD3" w:rsidP="000F1667">
      <w:pPr>
        <w:spacing w:after="0" w:line="240" w:lineRule="auto"/>
      </w:pPr>
      <w:r>
        <w:continuationSeparator/>
      </w:r>
    </w:p>
  </w:footnote>
  <w:footnote w:type="continuationNotice" w:id="1">
    <w:p w14:paraId="3C0CC4BF" w14:textId="77777777" w:rsidR="00591FD3" w:rsidRDefault="00591FD3">
      <w:pPr>
        <w:spacing w:after="0" w:line="240" w:lineRule="auto"/>
      </w:pPr>
    </w:p>
  </w:footnote>
  <w:footnote w:id="2">
    <w:p w14:paraId="5027C35B" w14:textId="77777777" w:rsidR="00516CE5" w:rsidRPr="006351AE" w:rsidRDefault="00516CE5" w:rsidP="00516CE5">
      <w:pPr>
        <w:pStyle w:val="Textonotapie"/>
        <w:rPr>
          <w:rFonts w:ascii="Arial" w:hAnsi="Arial" w:cs="Arial"/>
          <w:sz w:val="16"/>
          <w:szCs w:val="16"/>
          <w:lang w:val="es-MX"/>
        </w:rPr>
      </w:pPr>
      <w:r w:rsidRPr="006351AE">
        <w:rPr>
          <w:rStyle w:val="Refdenotaalpie"/>
          <w:rFonts w:ascii="Arial" w:hAnsi="Arial" w:cs="Arial"/>
          <w:sz w:val="16"/>
          <w:szCs w:val="16"/>
        </w:rPr>
        <w:footnoteRef/>
      </w:r>
      <w:r w:rsidRPr="006351AE">
        <w:rPr>
          <w:rFonts w:ascii="Arial" w:hAnsi="Arial" w:cs="Arial"/>
          <w:sz w:val="16"/>
          <w:szCs w:val="16"/>
        </w:rPr>
        <w:t xml:space="preserve"> </w:t>
      </w:r>
      <w:hyperlink r:id="rId1" w:history="1">
        <w:r w:rsidRPr="006351AE">
          <w:rPr>
            <w:rStyle w:val="Hipervnculo"/>
            <w:rFonts w:ascii="Arial" w:hAnsi="Arial" w:cs="Arial"/>
            <w:sz w:val="16"/>
            <w:szCs w:val="16"/>
          </w:rPr>
          <w:t>https://www.ift.org.mx/sites/default/files/contenidogeneral/estadisticas/omvs2023.pdf</w:t>
        </w:r>
      </w:hyperlink>
      <w:r w:rsidRPr="006351AE">
        <w:rPr>
          <w:rFonts w:ascii="Arial" w:hAnsi="Arial" w:cs="Arial"/>
          <w:sz w:val="16"/>
          <w:szCs w:val="16"/>
        </w:rPr>
        <w:t xml:space="preserve"> </w:t>
      </w:r>
    </w:p>
  </w:footnote>
  <w:footnote w:id="3">
    <w:p w14:paraId="207E6702" w14:textId="77777777" w:rsidR="00516CE5" w:rsidRPr="00D1558B" w:rsidRDefault="00516CE5" w:rsidP="00516CE5">
      <w:pPr>
        <w:pStyle w:val="Textonotapie"/>
        <w:rPr>
          <w:rFonts w:ascii="Arial" w:hAnsi="Arial" w:cs="Arial"/>
          <w:sz w:val="16"/>
          <w:szCs w:val="16"/>
          <w:lang w:val="es-MX"/>
        </w:rPr>
      </w:pPr>
      <w:r w:rsidRPr="00D1558B">
        <w:rPr>
          <w:rStyle w:val="Refdenotaalpie"/>
          <w:rFonts w:ascii="Arial" w:hAnsi="Arial" w:cs="Arial"/>
          <w:sz w:val="16"/>
          <w:szCs w:val="16"/>
        </w:rPr>
        <w:footnoteRef/>
      </w:r>
      <w:r w:rsidRPr="00D1558B">
        <w:rPr>
          <w:rFonts w:ascii="Arial" w:hAnsi="Arial" w:cs="Arial"/>
          <w:sz w:val="16"/>
          <w:szCs w:val="16"/>
        </w:rPr>
        <w:t xml:space="preserve"> De acuerdo con las Reglas de Portabilidad, el plazo máximo de recuperación de un número mediante el proceso de portabilidad son 40 días naturales contados a partir de la cancelación del servicio.</w:t>
      </w:r>
    </w:p>
  </w:footnote>
  <w:footnote w:id="4">
    <w:p w14:paraId="2C426F40" w14:textId="77777777" w:rsidR="00516CE5" w:rsidRPr="00C52531" w:rsidRDefault="00516CE5" w:rsidP="00516CE5">
      <w:pPr>
        <w:pStyle w:val="Textonotapie"/>
        <w:rPr>
          <w:lang w:val="es-MX"/>
        </w:rPr>
      </w:pPr>
      <w:r w:rsidRPr="00C52531">
        <w:rPr>
          <w:rStyle w:val="Refdenotaalpie"/>
        </w:rPr>
        <w:footnoteRef/>
      </w:r>
      <w:r w:rsidRPr="00C52531">
        <w:rPr>
          <w:rFonts w:ascii="Arial" w:hAnsi="Arial" w:cs="Arial"/>
          <w:sz w:val="16"/>
          <w:szCs w:val="16"/>
          <w:vertAlign w:val="superscript"/>
        </w:rPr>
        <w:t xml:space="preserve"> </w:t>
      </w:r>
      <w:r w:rsidRPr="00C52531">
        <w:rPr>
          <w:rFonts w:ascii="Arial" w:hAnsi="Arial" w:cs="Arial"/>
          <w:sz w:val="16"/>
          <w:szCs w:val="16"/>
        </w:rPr>
        <w:t>https://sert.ift.org.mx/tarifasVE/publish/pdfs/informes/71636_6518_230711192018.pdf</w:t>
      </w:r>
    </w:p>
  </w:footnote>
  <w:footnote w:id="5">
    <w:p w14:paraId="0BB2B495" w14:textId="77777777" w:rsidR="00516CE5" w:rsidRPr="00C52531" w:rsidRDefault="00516CE5" w:rsidP="00516CE5">
      <w:pPr>
        <w:pStyle w:val="Textonotapie"/>
        <w:rPr>
          <w:lang w:val="es-MX"/>
        </w:rPr>
      </w:pPr>
      <w:r w:rsidRPr="00C52531">
        <w:rPr>
          <w:rFonts w:ascii="Arial" w:hAnsi="Arial" w:cs="Arial"/>
          <w:sz w:val="16"/>
          <w:szCs w:val="16"/>
          <w:vertAlign w:val="superscript"/>
        </w:rPr>
        <w:footnoteRef/>
      </w:r>
      <w:r w:rsidRPr="00C52531">
        <w:rPr>
          <w:rFonts w:ascii="Arial" w:hAnsi="Arial" w:cs="Arial"/>
          <w:sz w:val="16"/>
          <w:szCs w:val="16"/>
        </w:rPr>
        <w:t xml:space="preserve"> https://sert.ift.org.mx/tarifasVE/publish/pdfs/informes/71086_4106_230626200547.pdf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D1D82" w14:textId="192A8CE6" w:rsidR="00482FD0" w:rsidRDefault="006E54B1">
    <w:pPr>
      <w:pStyle w:val="Encabezado"/>
    </w:pPr>
    <w:r>
      <w:rPr>
        <w:noProof/>
      </w:rPr>
      <w:pict w14:anchorId="245CDA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5948188" o:spid="_x0000_s2056" type="#_x0000_t136" style="position:absolute;margin-left:0;margin-top:0;width:530.3pt;height:132.55pt;rotation:315;z-index:-251655168;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0B478" w14:textId="4FCC313A" w:rsidR="00EF3BAA" w:rsidRDefault="006E54B1">
    <w:pPr>
      <w:pStyle w:val="Encabezado"/>
    </w:pPr>
    <w:r>
      <w:rPr>
        <w:noProof/>
      </w:rPr>
      <w:pict w14:anchorId="44EDAE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2058" type="#_x0000_t75" alt="hoja membretada s dir-01" style="position:absolute;margin-left:-74pt;margin-top:-116.05pt;width:612pt;height:808pt;z-index:-251658241;visibility:visible;mso-wrap-edited:f;mso-position-horizontal-relative:margin;mso-position-vertical-relative:margin" o:allowincell="f">
          <v:imagedata r:id="rId1" o:title="hoja membretada s dir-01"/>
          <w10:wrap anchorx="margin" anchory="margin"/>
        </v:shape>
      </w:pict>
    </w:r>
    <w:r>
      <w:rPr>
        <w:noProof/>
      </w:rPr>
      <w:pict w14:anchorId="0EC108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5948189" o:spid="_x0000_s2057" type="#_x0000_t136" style="position:absolute;margin-left:0;margin-top:0;width:530.3pt;height:132.55pt;rotation:315;z-index:-251653120;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04B56" w14:textId="0D7C1FD6" w:rsidR="00482FD0" w:rsidRDefault="006E54B1">
    <w:pPr>
      <w:pStyle w:val="Encabezado"/>
    </w:pPr>
    <w:r>
      <w:rPr>
        <w:noProof/>
      </w:rPr>
      <w:pict w14:anchorId="1AA6D6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5948187" o:spid="_x0000_s2055" type="#_x0000_t136" style="position:absolute;margin-left:0;margin-top:0;width:530.3pt;height:132.55pt;rotation:315;z-index:-251657216;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25DFF"/>
    <w:multiLevelType w:val="hybridMultilevel"/>
    <w:tmpl w:val="7354E3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0F3F6B"/>
    <w:multiLevelType w:val="hybridMultilevel"/>
    <w:tmpl w:val="FFFFFFFF"/>
    <w:lvl w:ilvl="0" w:tplc="54D25C7A">
      <w:start w:val="1"/>
      <w:numFmt w:val="upperRoman"/>
      <w:lvlText w:val="%1."/>
      <w:lvlJc w:val="left"/>
      <w:pPr>
        <w:ind w:left="720" w:hanging="360"/>
      </w:pPr>
    </w:lvl>
    <w:lvl w:ilvl="1" w:tplc="4DA41E48">
      <w:start w:val="1"/>
      <w:numFmt w:val="lowerLetter"/>
      <w:lvlText w:val="%2."/>
      <w:lvlJc w:val="left"/>
      <w:pPr>
        <w:ind w:left="1440" w:hanging="360"/>
      </w:pPr>
    </w:lvl>
    <w:lvl w:ilvl="2" w:tplc="229C1412">
      <w:start w:val="1"/>
      <w:numFmt w:val="lowerRoman"/>
      <w:lvlText w:val="%3."/>
      <w:lvlJc w:val="right"/>
      <w:pPr>
        <w:ind w:left="2160" w:hanging="180"/>
      </w:pPr>
    </w:lvl>
    <w:lvl w:ilvl="3" w:tplc="5CF8041C">
      <w:start w:val="1"/>
      <w:numFmt w:val="decimal"/>
      <w:lvlText w:val="%4."/>
      <w:lvlJc w:val="left"/>
      <w:pPr>
        <w:ind w:left="2880" w:hanging="360"/>
      </w:pPr>
    </w:lvl>
    <w:lvl w:ilvl="4" w:tplc="ED601424">
      <w:start w:val="1"/>
      <w:numFmt w:val="lowerLetter"/>
      <w:lvlText w:val="%5."/>
      <w:lvlJc w:val="left"/>
      <w:pPr>
        <w:ind w:left="3600" w:hanging="360"/>
      </w:pPr>
    </w:lvl>
    <w:lvl w:ilvl="5" w:tplc="1E88C246">
      <w:start w:val="1"/>
      <w:numFmt w:val="lowerRoman"/>
      <w:lvlText w:val="%6."/>
      <w:lvlJc w:val="right"/>
      <w:pPr>
        <w:ind w:left="4320" w:hanging="180"/>
      </w:pPr>
    </w:lvl>
    <w:lvl w:ilvl="6" w:tplc="77EE8362">
      <w:start w:val="1"/>
      <w:numFmt w:val="decimal"/>
      <w:lvlText w:val="%7."/>
      <w:lvlJc w:val="left"/>
      <w:pPr>
        <w:ind w:left="5040" w:hanging="360"/>
      </w:pPr>
    </w:lvl>
    <w:lvl w:ilvl="7" w:tplc="E618EBE8">
      <w:start w:val="1"/>
      <w:numFmt w:val="lowerLetter"/>
      <w:lvlText w:val="%8."/>
      <w:lvlJc w:val="left"/>
      <w:pPr>
        <w:ind w:left="5760" w:hanging="360"/>
      </w:pPr>
    </w:lvl>
    <w:lvl w:ilvl="8" w:tplc="B6C2B5E0">
      <w:start w:val="1"/>
      <w:numFmt w:val="lowerRoman"/>
      <w:lvlText w:val="%9."/>
      <w:lvlJc w:val="right"/>
      <w:pPr>
        <w:ind w:left="6480" w:hanging="180"/>
      </w:pPr>
    </w:lvl>
  </w:abstractNum>
  <w:abstractNum w:abstractNumId="2" w15:restartNumberingAfterBreak="0">
    <w:nsid w:val="04AC6C82"/>
    <w:multiLevelType w:val="hybridMultilevel"/>
    <w:tmpl w:val="149C15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3E33ED"/>
    <w:multiLevelType w:val="hybridMultilevel"/>
    <w:tmpl w:val="8C0E938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8D041B1"/>
    <w:multiLevelType w:val="hybridMultilevel"/>
    <w:tmpl w:val="D79C2932"/>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E5D2A75"/>
    <w:multiLevelType w:val="hybridMultilevel"/>
    <w:tmpl w:val="1B88826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DC0F04"/>
    <w:multiLevelType w:val="hybridMultilevel"/>
    <w:tmpl w:val="8C0E938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9977D59"/>
    <w:multiLevelType w:val="hybridMultilevel"/>
    <w:tmpl w:val="BA222C48"/>
    <w:lvl w:ilvl="0" w:tplc="080A001B">
      <w:start w:val="1"/>
      <w:numFmt w:val="lowerRoman"/>
      <w:lvlText w:val="%1."/>
      <w:lvlJc w:val="right"/>
      <w:pPr>
        <w:ind w:left="1077" w:hanging="360"/>
      </w:pPr>
      <w:rPr>
        <w:rFonts w:hint="default"/>
      </w:r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8" w15:restartNumberingAfterBreak="0">
    <w:nsid w:val="1A7B0928"/>
    <w:multiLevelType w:val="hybridMultilevel"/>
    <w:tmpl w:val="FA6458A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EA95FBC"/>
    <w:multiLevelType w:val="hybridMultilevel"/>
    <w:tmpl w:val="084A7944"/>
    <w:lvl w:ilvl="0" w:tplc="4EEE5C3E">
      <w:start w:val="1"/>
      <w:numFmt w:val="upperRoman"/>
      <w:lvlText w:val="%1."/>
      <w:lvlJc w:val="left"/>
      <w:pPr>
        <w:ind w:left="2148" w:hanging="720"/>
      </w:pPr>
      <w:rPr>
        <w:rFonts w:hint="default"/>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10" w15:restartNumberingAfterBreak="0">
    <w:nsid w:val="1EBB299E"/>
    <w:multiLevelType w:val="hybridMultilevel"/>
    <w:tmpl w:val="7CA65808"/>
    <w:lvl w:ilvl="0" w:tplc="AD704414">
      <w:start w:val="1"/>
      <w:numFmt w:val="lowerRoman"/>
      <w:lvlText w:val="%1."/>
      <w:lvlJc w:val="left"/>
      <w:pPr>
        <w:ind w:left="1429" w:hanging="720"/>
      </w:pPr>
      <w:rPr>
        <w:rFonts w:ascii="Arial" w:eastAsia="Times New Roman" w:hAnsi="Arial" w:cs="Arial"/>
        <w:b/>
        <w:bCs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25F72AD6"/>
    <w:multiLevelType w:val="hybridMultilevel"/>
    <w:tmpl w:val="37BCB11E"/>
    <w:lvl w:ilvl="0" w:tplc="080A0013">
      <w:start w:val="1"/>
      <w:numFmt w:val="upperRoman"/>
      <w:lvlText w:val="%1."/>
      <w:lvlJc w:val="right"/>
      <w:pPr>
        <w:ind w:left="786"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70A5E69"/>
    <w:multiLevelType w:val="hybridMultilevel"/>
    <w:tmpl w:val="47A052D0"/>
    <w:lvl w:ilvl="0" w:tplc="B970A8F4">
      <w:numFmt w:val="bullet"/>
      <w:lvlText w:val=""/>
      <w:lvlJc w:val="left"/>
      <w:pPr>
        <w:ind w:left="720" w:hanging="360"/>
      </w:pPr>
      <w:rPr>
        <w:rFonts w:ascii="Wingdings" w:eastAsia="Calibri" w:hAnsi="Wingdings" w:cs="Arial" w:hint="default"/>
        <w:color w:val="00000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B017653"/>
    <w:multiLevelType w:val="hybridMultilevel"/>
    <w:tmpl w:val="0FD60270"/>
    <w:lvl w:ilvl="0" w:tplc="080A000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DE3253B"/>
    <w:multiLevelType w:val="hybridMultilevel"/>
    <w:tmpl w:val="85C09414"/>
    <w:lvl w:ilvl="0" w:tplc="85D48B40">
      <w:start w:val="1"/>
      <w:numFmt w:val="upperRoman"/>
      <w:lvlText w:val="%1."/>
      <w:lvlJc w:val="left"/>
      <w:pPr>
        <w:ind w:left="1291" w:hanging="720"/>
      </w:pPr>
      <w:rPr>
        <w:rFonts w:hint="default"/>
      </w:rPr>
    </w:lvl>
    <w:lvl w:ilvl="1" w:tplc="080A0019" w:tentative="1">
      <w:start w:val="1"/>
      <w:numFmt w:val="lowerLetter"/>
      <w:lvlText w:val="%2."/>
      <w:lvlJc w:val="left"/>
      <w:pPr>
        <w:ind w:left="1651" w:hanging="360"/>
      </w:pPr>
    </w:lvl>
    <w:lvl w:ilvl="2" w:tplc="080A001B" w:tentative="1">
      <w:start w:val="1"/>
      <w:numFmt w:val="lowerRoman"/>
      <w:lvlText w:val="%3."/>
      <w:lvlJc w:val="right"/>
      <w:pPr>
        <w:ind w:left="2371" w:hanging="180"/>
      </w:pPr>
    </w:lvl>
    <w:lvl w:ilvl="3" w:tplc="080A000F" w:tentative="1">
      <w:start w:val="1"/>
      <w:numFmt w:val="decimal"/>
      <w:lvlText w:val="%4."/>
      <w:lvlJc w:val="left"/>
      <w:pPr>
        <w:ind w:left="3091" w:hanging="360"/>
      </w:pPr>
    </w:lvl>
    <w:lvl w:ilvl="4" w:tplc="080A0019" w:tentative="1">
      <w:start w:val="1"/>
      <w:numFmt w:val="lowerLetter"/>
      <w:lvlText w:val="%5."/>
      <w:lvlJc w:val="left"/>
      <w:pPr>
        <w:ind w:left="3811" w:hanging="360"/>
      </w:pPr>
    </w:lvl>
    <w:lvl w:ilvl="5" w:tplc="080A001B" w:tentative="1">
      <w:start w:val="1"/>
      <w:numFmt w:val="lowerRoman"/>
      <w:lvlText w:val="%6."/>
      <w:lvlJc w:val="right"/>
      <w:pPr>
        <w:ind w:left="4531" w:hanging="180"/>
      </w:pPr>
    </w:lvl>
    <w:lvl w:ilvl="6" w:tplc="080A000F" w:tentative="1">
      <w:start w:val="1"/>
      <w:numFmt w:val="decimal"/>
      <w:lvlText w:val="%7."/>
      <w:lvlJc w:val="left"/>
      <w:pPr>
        <w:ind w:left="5251" w:hanging="360"/>
      </w:pPr>
    </w:lvl>
    <w:lvl w:ilvl="7" w:tplc="080A0019" w:tentative="1">
      <w:start w:val="1"/>
      <w:numFmt w:val="lowerLetter"/>
      <w:lvlText w:val="%8."/>
      <w:lvlJc w:val="left"/>
      <w:pPr>
        <w:ind w:left="5971" w:hanging="360"/>
      </w:pPr>
    </w:lvl>
    <w:lvl w:ilvl="8" w:tplc="080A001B" w:tentative="1">
      <w:start w:val="1"/>
      <w:numFmt w:val="lowerRoman"/>
      <w:lvlText w:val="%9."/>
      <w:lvlJc w:val="right"/>
      <w:pPr>
        <w:ind w:left="6691" w:hanging="180"/>
      </w:pPr>
    </w:lvl>
  </w:abstractNum>
  <w:abstractNum w:abstractNumId="15" w15:restartNumberingAfterBreak="0">
    <w:nsid w:val="34030FA2"/>
    <w:multiLevelType w:val="hybridMultilevel"/>
    <w:tmpl w:val="E16C8014"/>
    <w:lvl w:ilvl="0" w:tplc="080A0001">
      <w:start w:val="1"/>
      <w:numFmt w:val="bullet"/>
      <w:lvlText w:val=""/>
      <w:lvlJc w:val="left"/>
      <w:pPr>
        <w:ind w:left="8766" w:hanging="360"/>
      </w:pPr>
      <w:rPr>
        <w:rFonts w:ascii="Symbol" w:hAnsi="Symbol" w:hint="default"/>
      </w:rPr>
    </w:lvl>
    <w:lvl w:ilvl="1" w:tplc="080A0003" w:tentative="1">
      <w:start w:val="1"/>
      <w:numFmt w:val="bullet"/>
      <w:lvlText w:val="o"/>
      <w:lvlJc w:val="left"/>
      <w:pPr>
        <w:ind w:left="1482" w:hanging="360"/>
      </w:pPr>
      <w:rPr>
        <w:rFonts w:ascii="Courier New" w:hAnsi="Courier New" w:cs="Courier New" w:hint="default"/>
      </w:rPr>
    </w:lvl>
    <w:lvl w:ilvl="2" w:tplc="080A0005" w:tentative="1">
      <w:start w:val="1"/>
      <w:numFmt w:val="bullet"/>
      <w:lvlText w:val=""/>
      <w:lvlJc w:val="left"/>
      <w:pPr>
        <w:ind w:left="2202" w:hanging="360"/>
      </w:pPr>
      <w:rPr>
        <w:rFonts w:ascii="Wingdings" w:hAnsi="Wingdings" w:hint="default"/>
      </w:rPr>
    </w:lvl>
    <w:lvl w:ilvl="3" w:tplc="080A0001" w:tentative="1">
      <w:start w:val="1"/>
      <w:numFmt w:val="bullet"/>
      <w:lvlText w:val=""/>
      <w:lvlJc w:val="left"/>
      <w:pPr>
        <w:ind w:left="2922" w:hanging="360"/>
      </w:pPr>
      <w:rPr>
        <w:rFonts w:ascii="Symbol" w:hAnsi="Symbol" w:hint="default"/>
      </w:rPr>
    </w:lvl>
    <w:lvl w:ilvl="4" w:tplc="080A0003" w:tentative="1">
      <w:start w:val="1"/>
      <w:numFmt w:val="bullet"/>
      <w:lvlText w:val="o"/>
      <w:lvlJc w:val="left"/>
      <w:pPr>
        <w:ind w:left="3642" w:hanging="360"/>
      </w:pPr>
      <w:rPr>
        <w:rFonts w:ascii="Courier New" w:hAnsi="Courier New" w:cs="Courier New" w:hint="default"/>
      </w:rPr>
    </w:lvl>
    <w:lvl w:ilvl="5" w:tplc="080A0005" w:tentative="1">
      <w:start w:val="1"/>
      <w:numFmt w:val="bullet"/>
      <w:lvlText w:val=""/>
      <w:lvlJc w:val="left"/>
      <w:pPr>
        <w:ind w:left="4362" w:hanging="360"/>
      </w:pPr>
      <w:rPr>
        <w:rFonts w:ascii="Wingdings" w:hAnsi="Wingdings" w:hint="default"/>
      </w:rPr>
    </w:lvl>
    <w:lvl w:ilvl="6" w:tplc="080A0001" w:tentative="1">
      <w:start w:val="1"/>
      <w:numFmt w:val="bullet"/>
      <w:lvlText w:val=""/>
      <w:lvlJc w:val="left"/>
      <w:pPr>
        <w:ind w:left="5082" w:hanging="360"/>
      </w:pPr>
      <w:rPr>
        <w:rFonts w:ascii="Symbol" w:hAnsi="Symbol" w:hint="default"/>
      </w:rPr>
    </w:lvl>
    <w:lvl w:ilvl="7" w:tplc="080A0003" w:tentative="1">
      <w:start w:val="1"/>
      <w:numFmt w:val="bullet"/>
      <w:lvlText w:val="o"/>
      <w:lvlJc w:val="left"/>
      <w:pPr>
        <w:ind w:left="5802" w:hanging="360"/>
      </w:pPr>
      <w:rPr>
        <w:rFonts w:ascii="Courier New" w:hAnsi="Courier New" w:cs="Courier New" w:hint="default"/>
      </w:rPr>
    </w:lvl>
    <w:lvl w:ilvl="8" w:tplc="080A0005" w:tentative="1">
      <w:start w:val="1"/>
      <w:numFmt w:val="bullet"/>
      <w:lvlText w:val=""/>
      <w:lvlJc w:val="left"/>
      <w:pPr>
        <w:ind w:left="6522" w:hanging="360"/>
      </w:pPr>
      <w:rPr>
        <w:rFonts w:ascii="Wingdings" w:hAnsi="Wingdings" w:hint="default"/>
      </w:rPr>
    </w:lvl>
  </w:abstractNum>
  <w:abstractNum w:abstractNumId="16" w15:restartNumberingAfterBreak="0">
    <w:nsid w:val="3BF60A53"/>
    <w:multiLevelType w:val="hybridMultilevel"/>
    <w:tmpl w:val="644E62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C886503"/>
    <w:multiLevelType w:val="hybridMultilevel"/>
    <w:tmpl w:val="0A62B07C"/>
    <w:lvl w:ilvl="0" w:tplc="080A0001">
      <w:start w:val="1"/>
      <w:numFmt w:val="bullet"/>
      <w:lvlText w:val=""/>
      <w:lvlJc w:val="left"/>
      <w:pPr>
        <w:ind w:left="8724" w:hanging="360"/>
      </w:pPr>
      <w:rPr>
        <w:rFonts w:ascii="Symbol" w:hAnsi="Symbol" w:hint="default"/>
      </w:rPr>
    </w:lvl>
    <w:lvl w:ilvl="1" w:tplc="080A0003">
      <w:start w:val="1"/>
      <w:numFmt w:val="bullet"/>
      <w:lvlText w:val="o"/>
      <w:lvlJc w:val="left"/>
      <w:pPr>
        <w:ind w:left="8735" w:hanging="360"/>
      </w:pPr>
      <w:rPr>
        <w:rFonts w:ascii="Courier New" w:hAnsi="Courier New" w:cs="Courier New" w:hint="default"/>
      </w:rPr>
    </w:lvl>
    <w:lvl w:ilvl="2" w:tplc="080A0005" w:tentative="1">
      <w:start w:val="1"/>
      <w:numFmt w:val="bullet"/>
      <w:lvlText w:val=""/>
      <w:lvlJc w:val="left"/>
      <w:pPr>
        <w:ind w:left="9455" w:hanging="360"/>
      </w:pPr>
      <w:rPr>
        <w:rFonts w:ascii="Wingdings" w:hAnsi="Wingdings" w:hint="default"/>
      </w:rPr>
    </w:lvl>
    <w:lvl w:ilvl="3" w:tplc="080A0001" w:tentative="1">
      <w:start w:val="1"/>
      <w:numFmt w:val="bullet"/>
      <w:lvlText w:val=""/>
      <w:lvlJc w:val="left"/>
      <w:pPr>
        <w:ind w:left="10175" w:hanging="360"/>
      </w:pPr>
      <w:rPr>
        <w:rFonts w:ascii="Symbol" w:hAnsi="Symbol" w:hint="default"/>
      </w:rPr>
    </w:lvl>
    <w:lvl w:ilvl="4" w:tplc="080A0003">
      <w:start w:val="1"/>
      <w:numFmt w:val="bullet"/>
      <w:lvlText w:val="o"/>
      <w:lvlJc w:val="left"/>
      <w:pPr>
        <w:ind w:left="10895" w:hanging="360"/>
      </w:pPr>
      <w:rPr>
        <w:rFonts w:ascii="Courier New" w:hAnsi="Courier New" w:cs="Courier New" w:hint="default"/>
      </w:rPr>
    </w:lvl>
    <w:lvl w:ilvl="5" w:tplc="080A0005" w:tentative="1">
      <w:start w:val="1"/>
      <w:numFmt w:val="bullet"/>
      <w:lvlText w:val=""/>
      <w:lvlJc w:val="left"/>
      <w:pPr>
        <w:ind w:left="11615" w:hanging="360"/>
      </w:pPr>
      <w:rPr>
        <w:rFonts w:ascii="Wingdings" w:hAnsi="Wingdings" w:hint="default"/>
      </w:rPr>
    </w:lvl>
    <w:lvl w:ilvl="6" w:tplc="080A0001" w:tentative="1">
      <w:start w:val="1"/>
      <w:numFmt w:val="bullet"/>
      <w:lvlText w:val=""/>
      <w:lvlJc w:val="left"/>
      <w:pPr>
        <w:ind w:left="12335" w:hanging="360"/>
      </w:pPr>
      <w:rPr>
        <w:rFonts w:ascii="Symbol" w:hAnsi="Symbol" w:hint="default"/>
      </w:rPr>
    </w:lvl>
    <w:lvl w:ilvl="7" w:tplc="080A0003" w:tentative="1">
      <w:start w:val="1"/>
      <w:numFmt w:val="bullet"/>
      <w:lvlText w:val="o"/>
      <w:lvlJc w:val="left"/>
      <w:pPr>
        <w:ind w:left="13055" w:hanging="360"/>
      </w:pPr>
      <w:rPr>
        <w:rFonts w:ascii="Courier New" w:hAnsi="Courier New" w:cs="Courier New" w:hint="default"/>
      </w:rPr>
    </w:lvl>
    <w:lvl w:ilvl="8" w:tplc="080A0005" w:tentative="1">
      <w:start w:val="1"/>
      <w:numFmt w:val="bullet"/>
      <w:lvlText w:val=""/>
      <w:lvlJc w:val="left"/>
      <w:pPr>
        <w:ind w:left="13775" w:hanging="360"/>
      </w:pPr>
      <w:rPr>
        <w:rFonts w:ascii="Wingdings" w:hAnsi="Wingdings" w:hint="default"/>
      </w:rPr>
    </w:lvl>
  </w:abstractNum>
  <w:abstractNum w:abstractNumId="18" w15:restartNumberingAfterBreak="0">
    <w:nsid w:val="3F2A687D"/>
    <w:multiLevelType w:val="hybridMultilevel"/>
    <w:tmpl w:val="AC06EC32"/>
    <w:lvl w:ilvl="0" w:tplc="D780CC4C">
      <w:start w:val="1"/>
      <w:numFmt w:val="upperRoman"/>
      <w:lvlText w:val="%1."/>
      <w:lvlJc w:val="left"/>
      <w:pPr>
        <w:ind w:left="720" w:hanging="360"/>
      </w:pPr>
    </w:lvl>
    <w:lvl w:ilvl="1" w:tplc="1C2E6A40">
      <w:start w:val="1"/>
      <w:numFmt w:val="lowerLetter"/>
      <w:lvlText w:val="%2."/>
      <w:lvlJc w:val="left"/>
      <w:pPr>
        <w:ind w:left="1440" w:hanging="360"/>
      </w:pPr>
    </w:lvl>
    <w:lvl w:ilvl="2" w:tplc="BB985AA4">
      <w:start w:val="1"/>
      <w:numFmt w:val="lowerRoman"/>
      <w:lvlText w:val="%3."/>
      <w:lvlJc w:val="right"/>
      <w:pPr>
        <w:ind w:left="2160" w:hanging="180"/>
      </w:pPr>
    </w:lvl>
    <w:lvl w:ilvl="3" w:tplc="C5C822CC">
      <w:start w:val="1"/>
      <w:numFmt w:val="decimal"/>
      <w:lvlText w:val="%4."/>
      <w:lvlJc w:val="left"/>
      <w:pPr>
        <w:ind w:left="2880" w:hanging="360"/>
      </w:pPr>
    </w:lvl>
    <w:lvl w:ilvl="4" w:tplc="4DE25EBC">
      <w:start w:val="1"/>
      <w:numFmt w:val="lowerLetter"/>
      <w:lvlText w:val="%5."/>
      <w:lvlJc w:val="left"/>
      <w:pPr>
        <w:ind w:left="3600" w:hanging="360"/>
      </w:pPr>
    </w:lvl>
    <w:lvl w:ilvl="5" w:tplc="AC1060AC">
      <w:start w:val="1"/>
      <w:numFmt w:val="lowerRoman"/>
      <w:lvlText w:val="%6."/>
      <w:lvlJc w:val="right"/>
      <w:pPr>
        <w:ind w:left="4320" w:hanging="180"/>
      </w:pPr>
    </w:lvl>
    <w:lvl w:ilvl="6" w:tplc="075A7D94">
      <w:start w:val="1"/>
      <w:numFmt w:val="decimal"/>
      <w:lvlText w:val="%7."/>
      <w:lvlJc w:val="left"/>
      <w:pPr>
        <w:ind w:left="5040" w:hanging="360"/>
      </w:pPr>
    </w:lvl>
    <w:lvl w:ilvl="7" w:tplc="F954C4F0">
      <w:start w:val="1"/>
      <w:numFmt w:val="lowerLetter"/>
      <w:lvlText w:val="%8."/>
      <w:lvlJc w:val="left"/>
      <w:pPr>
        <w:ind w:left="5760" w:hanging="360"/>
      </w:pPr>
    </w:lvl>
    <w:lvl w:ilvl="8" w:tplc="C2AA79CC">
      <w:start w:val="1"/>
      <w:numFmt w:val="lowerRoman"/>
      <w:lvlText w:val="%9."/>
      <w:lvlJc w:val="right"/>
      <w:pPr>
        <w:ind w:left="6480" w:hanging="180"/>
      </w:pPr>
    </w:lvl>
  </w:abstractNum>
  <w:abstractNum w:abstractNumId="19" w15:restartNumberingAfterBreak="0">
    <w:nsid w:val="41D8448D"/>
    <w:multiLevelType w:val="hybridMultilevel"/>
    <w:tmpl w:val="85C09414"/>
    <w:lvl w:ilvl="0" w:tplc="FFFFFFFF">
      <w:start w:val="1"/>
      <w:numFmt w:val="upperRoman"/>
      <w:lvlText w:val="%1."/>
      <w:lvlJc w:val="left"/>
      <w:pPr>
        <w:ind w:left="1291" w:hanging="720"/>
      </w:pPr>
      <w:rPr>
        <w:rFonts w:hint="default"/>
      </w:rPr>
    </w:lvl>
    <w:lvl w:ilvl="1" w:tplc="FFFFFFFF" w:tentative="1">
      <w:start w:val="1"/>
      <w:numFmt w:val="lowerLetter"/>
      <w:lvlText w:val="%2."/>
      <w:lvlJc w:val="left"/>
      <w:pPr>
        <w:ind w:left="1651" w:hanging="360"/>
      </w:pPr>
    </w:lvl>
    <w:lvl w:ilvl="2" w:tplc="FFFFFFFF" w:tentative="1">
      <w:start w:val="1"/>
      <w:numFmt w:val="lowerRoman"/>
      <w:lvlText w:val="%3."/>
      <w:lvlJc w:val="right"/>
      <w:pPr>
        <w:ind w:left="2371" w:hanging="180"/>
      </w:pPr>
    </w:lvl>
    <w:lvl w:ilvl="3" w:tplc="FFFFFFFF" w:tentative="1">
      <w:start w:val="1"/>
      <w:numFmt w:val="decimal"/>
      <w:lvlText w:val="%4."/>
      <w:lvlJc w:val="left"/>
      <w:pPr>
        <w:ind w:left="3091" w:hanging="360"/>
      </w:pPr>
    </w:lvl>
    <w:lvl w:ilvl="4" w:tplc="FFFFFFFF" w:tentative="1">
      <w:start w:val="1"/>
      <w:numFmt w:val="lowerLetter"/>
      <w:lvlText w:val="%5."/>
      <w:lvlJc w:val="left"/>
      <w:pPr>
        <w:ind w:left="3811" w:hanging="360"/>
      </w:pPr>
    </w:lvl>
    <w:lvl w:ilvl="5" w:tplc="FFFFFFFF" w:tentative="1">
      <w:start w:val="1"/>
      <w:numFmt w:val="lowerRoman"/>
      <w:lvlText w:val="%6."/>
      <w:lvlJc w:val="right"/>
      <w:pPr>
        <w:ind w:left="4531" w:hanging="180"/>
      </w:pPr>
    </w:lvl>
    <w:lvl w:ilvl="6" w:tplc="FFFFFFFF" w:tentative="1">
      <w:start w:val="1"/>
      <w:numFmt w:val="decimal"/>
      <w:lvlText w:val="%7."/>
      <w:lvlJc w:val="left"/>
      <w:pPr>
        <w:ind w:left="5251" w:hanging="360"/>
      </w:pPr>
    </w:lvl>
    <w:lvl w:ilvl="7" w:tplc="FFFFFFFF" w:tentative="1">
      <w:start w:val="1"/>
      <w:numFmt w:val="lowerLetter"/>
      <w:lvlText w:val="%8."/>
      <w:lvlJc w:val="left"/>
      <w:pPr>
        <w:ind w:left="5971" w:hanging="360"/>
      </w:pPr>
    </w:lvl>
    <w:lvl w:ilvl="8" w:tplc="FFFFFFFF" w:tentative="1">
      <w:start w:val="1"/>
      <w:numFmt w:val="lowerRoman"/>
      <w:lvlText w:val="%9."/>
      <w:lvlJc w:val="right"/>
      <w:pPr>
        <w:ind w:left="6691" w:hanging="180"/>
      </w:pPr>
    </w:lvl>
  </w:abstractNum>
  <w:abstractNum w:abstractNumId="20" w15:restartNumberingAfterBreak="0">
    <w:nsid w:val="43310112"/>
    <w:multiLevelType w:val="hybridMultilevel"/>
    <w:tmpl w:val="23283F3C"/>
    <w:lvl w:ilvl="0" w:tplc="98B27C1E">
      <w:numFmt w:val="bullet"/>
      <w:lvlText w:val=""/>
      <w:lvlJc w:val="left"/>
      <w:pPr>
        <w:ind w:left="720" w:hanging="360"/>
      </w:pPr>
      <w:rPr>
        <w:rFonts w:ascii="Wingdings" w:eastAsia="Calibri" w:hAnsi="Wingdings" w:cs="Arial" w:hint="default"/>
        <w:color w:val="000000"/>
        <w:sz w:val="18"/>
        <w:u w:val="singl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5EE7362"/>
    <w:multiLevelType w:val="hybridMultilevel"/>
    <w:tmpl w:val="21CC11F4"/>
    <w:lvl w:ilvl="0" w:tplc="141CDD56">
      <w:start w:val="1"/>
      <w:numFmt w:val="upperRoman"/>
      <w:lvlText w:val="%1."/>
      <w:lvlJc w:val="left"/>
      <w:pPr>
        <w:ind w:left="72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14E3DF4"/>
    <w:multiLevelType w:val="hybridMultilevel"/>
    <w:tmpl w:val="BD305890"/>
    <w:lvl w:ilvl="0" w:tplc="FB662B36">
      <w:start w:val="1"/>
      <w:numFmt w:val="upperRoman"/>
      <w:lvlText w:val="%1."/>
      <w:lvlJc w:val="left"/>
      <w:pPr>
        <w:ind w:left="1080" w:hanging="720"/>
      </w:pPr>
      <w:rPr>
        <w:rFonts w:ascii="Arial" w:hAnsi="Arial" w:cs="Arial" w:hint="default"/>
        <w:b/>
        <w:bCs/>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3D53491"/>
    <w:multiLevelType w:val="hybridMultilevel"/>
    <w:tmpl w:val="BFC09FD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4" w15:restartNumberingAfterBreak="0">
    <w:nsid w:val="6E3F265B"/>
    <w:multiLevelType w:val="multilevel"/>
    <w:tmpl w:val="784A3626"/>
    <w:lvl w:ilvl="0">
      <w:start w:val="3"/>
      <w:numFmt w:val="upperRoman"/>
      <w:pStyle w:val="Ttulo2"/>
      <w:lvlText w:val="%1."/>
      <w:lvlJc w:val="right"/>
      <w:pPr>
        <w:ind w:left="720" w:hanging="360"/>
      </w:pPr>
      <w:rPr>
        <w:rFonts w:ascii="ITC Avant Garde" w:hAnsi="ITC Avant Garde" w:hint="default"/>
        <w:b/>
        <w:sz w:val="22"/>
      </w:rPr>
    </w:lvl>
    <w:lvl w:ilvl="1">
      <w:start w:val="1"/>
      <w:numFmt w:val="decimal"/>
      <w:suff w:val="space"/>
      <w:lvlText w:val="%1.%2. "/>
      <w:lvlJc w:val="left"/>
      <w:pPr>
        <w:ind w:left="5747"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75190FF2"/>
    <w:multiLevelType w:val="hybridMultilevel"/>
    <w:tmpl w:val="67BAE47A"/>
    <w:lvl w:ilvl="0" w:tplc="44E458A6">
      <w:start w:val="1"/>
      <w:numFmt w:val="bullet"/>
      <w:lvlText w:val="-"/>
      <w:lvlJc w:val="left"/>
      <w:pPr>
        <w:ind w:left="1080" w:hanging="360"/>
      </w:pPr>
      <w:rPr>
        <w:rFonts w:ascii="ITC Avant Garde" w:eastAsia="Calibri" w:hAnsi="ITC Avant Garde" w:cs="Times New Roman" w:hint="default"/>
        <w:b w:val="0"/>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21"/>
  </w:num>
  <w:num w:numId="2">
    <w:abstractNumId w:val="4"/>
  </w:num>
  <w:num w:numId="3">
    <w:abstractNumId w:val="7"/>
  </w:num>
  <w:num w:numId="4">
    <w:abstractNumId w:val="9"/>
  </w:num>
  <w:num w:numId="5">
    <w:abstractNumId w:val="11"/>
  </w:num>
  <w:num w:numId="6">
    <w:abstractNumId w:val="24"/>
  </w:num>
  <w:num w:numId="7">
    <w:abstractNumId w:val="17"/>
  </w:num>
  <w:num w:numId="8">
    <w:abstractNumId w:val="15"/>
  </w:num>
  <w:num w:numId="9">
    <w:abstractNumId w:val="2"/>
  </w:num>
  <w:num w:numId="10">
    <w:abstractNumId w:val="23"/>
  </w:num>
  <w:num w:numId="11">
    <w:abstractNumId w:val="22"/>
  </w:num>
  <w:num w:numId="12">
    <w:abstractNumId w:val="18"/>
  </w:num>
  <w:num w:numId="13">
    <w:abstractNumId w:val="1"/>
  </w:num>
  <w:num w:numId="14">
    <w:abstractNumId w:val="5"/>
  </w:num>
  <w:num w:numId="15">
    <w:abstractNumId w:val="0"/>
  </w:num>
  <w:num w:numId="16">
    <w:abstractNumId w:val="3"/>
  </w:num>
  <w:num w:numId="17">
    <w:abstractNumId w:val="16"/>
  </w:num>
  <w:num w:numId="18">
    <w:abstractNumId w:val="20"/>
  </w:num>
  <w:num w:numId="19">
    <w:abstractNumId w:val="12"/>
  </w:num>
  <w:num w:numId="20">
    <w:abstractNumId w:val="10"/>
  </w:num>
  <w:num w:numId="21">
    <w:abstractNumId w:val="8"/>
  </w:num>
  <w:num w:numId="22">
    <w:abstractNumId w:val="6"/>
  </w:num>
  <w:num w:numId="23">
    <w:abstractNumId w:val="14"/>
  </w:num>
  <w:num w:numId="24">
    <w:abstractNumId w:val="19"/>
  </w:num>
  <w:num w:numId="25">
    <w:abstractNumId w:val="25"/>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59"/>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1DD"/>
    <w:rsid w:val="000015E5"/>
    <w:rsid w:val="000021D1"/>
    <w:rsid w:val="000029B5"/>
    <w:rsid w:val="00003514"/>
    <w:rsid w:val="00003C92"/>
    <w:rsid w:val="00004092"/>
    <w:rsid w:val="0000448E"/>
    <w:rsid w:val="000047C3"/>
    <w:rsid w:val="00004C93"/>
    <w:rsid w:val="000066F5"/>
    <w:rsid w:val="0000708C"/>
    <w:rsid w:val="000075EE"/>
    <w:rsid w:val="00010D48"/>
    <w:rsid w:val="00011227"/>
    <w:rsid w:val="000113B5"/>
    <w:rsid w:val="00011A69"/>
    <w:rsid w:val="0001246A"/>
    <w:rsid w:val="000134BE"/>
    <w:rsid w:val="00014C89"/>
    <w:rsid w:val="00014D9E"/>
    <w:rsid w:val="00015C2E"/>
    <w:rsid w:val="00015DC8"/>
    <w:rsid w:val="00016A8A"/>
    <w:rsid w:val="00016ECE"/>
    <w:rsid w:val="00017499"/>
    <w:rsid w:val="000209EF"/>
    <w:rsid w:val="00022A8C"/>
    <w:rsid w:val="00022EC6"/>
    <w:rsid w:val="0002322F"/>
    <w:rsid w:val="00024EF0"/>
    <w:rsid w:val="00025152"/>
    <w:rsid w:val="000251B4"/>
    <w:rsid w:val="0002633F"/>
    <w:rsid w:val="0002767D"/>
    <w:rsid w:val="00027802"/>
    <w:rsid w:val="00027A00"/>
    <w:rsid w:val="000312A3"/>
    <w:rsid w:val="00031318"/>
    <w:rsid w:val="0003146E"/>
    <w:rsid w:val="000319FF"/>
    <w:rsid w:val="00032BEF"/>
    <w:rsid w:val="00033638"/>
    <w:rsid w:val="000341E4"/>
    <w:rsid w:val="00034293"/>
    <w:rsid w:val="00034E14"/>
    <w:rsid w:val="00036160"/>
    <w:rsid w:val="000366FE"/>
    <w:rsid w:val="00036C98"/>
    <w:rsid w:val="00037381"/>
    <w:rsid w:val="00037BBC"/>
    <w:rsid w:val="000402D8"/>
    <w:rsid w:val="000404A2"/>
    <w:rsid w:val="00041260"/>
    <w:rsid w:val="000416D5"/>
    <w:rsid w:val="00041CD8"/>
    <w:rsid w:val="00043609"/>
    <w:rsid w:val="00044A69"/>
    <w:rsid w:val="00047124"/>
    <w:rsid w:val="0004749E"/>
    <w:rsid w:val="00050A90"/>
    <w:rsid w:val="00050FA7"/>
    <w:rsid w:val="000512F6"/>
    <w:rsid w:val="00052618"/>
    <w:rsid w:val="000544E0"/>
    <w:rsid w:val="00055597"/>
    <w:rsid w:val="00056257"/>
    <w:rsid w:val="0005626B"/>
    <w:rsid w:val="000563B4"/>
    <w:rsid w:val="00056688"/>
    <w:rsid w:val="000568A0"/>
    <w:rsid w:val="00057579"/>
    <w:rsid w:val="000577B5"/>
    <w:rsid w:val="00057B21"/>
    <w:rsid w:val="00057EFE"/>
    <w:rsid w:val="0006009A"/>
    <w:rsid w:val="0006065D"/>
    <w:rsid w:val="000619B3"/>
    <w:rsid w:val="00062CB1"/>
    <w:rsid w:val="0006304F"/>
    <w:rsid w:val="00063427"/>
    <w:rsid w:val="00063436"/>
    <w:rsid w:val="0006397A"/>
    <w:rsid w:val="00064062"/>
    <w:rsid w:val="00065A68"/>
    <w:rsid w:val="00065DA5"/>
    <w:rsid w:val="0006647C"/>
    <w:rsid w:val="000665CD"/>
    <w:rsid w:val="00067BCE"/>
    <w:rsid w:val="00067FB7"/>
    <w:rsid w:val="000708F1"/>
    <w:rsid w:val="00071316"/>
    <w:rsid w:val="00071416"/>
    <w:rsid w:val="00071534"/>
    <w:rsid w:val="00071A8E"/>
    <w:rsid w:val="00071E6D"/>
    <w:rsid w:val="00071F88"/>
    <w:rsid w:val="00072454"/>
    <w:rsid w:val="00072CC8"/>
    <w:rsid w:val="00074A55"/>
    <w:rsid w:val="00074B54"/>
    <w:rsid w:val="00075763"/>
    <w:rsid w:val="00076AFD"/>
    <w:rsid w:val="00077A7D"/>
    <w:rsid w:val="00081414"/>
    <w:rsid w:val="00081520"/>
    <w:rsid w:val="00081A79"/>
    <w:rsid w:val="000822F0"/>
    <w:rsid w:val="0008296C"/>
    <w:rsid w:val="00082D21"/>
    <w:rsid w:val="0008462D"/>
    <w:rsid w:val="00085A79"/>
    <w:rsid w:val="000862CF"/>
    <w:rsid w:val="000863E9"/>
    <w:rsid w:val="0008680C"/>
    <w:rsid w:val="00086F4B"/>
    <w:rsid w:val="0008723A"/>
    <w:rsid w:val="00087D45"/>
    <w:rsid w:val="00090132"/>
    <w:rsid w:val="00090F6F"/>
    <w:rsid w:val="00090F84"/>
    <w:rsid w:val="00091129"/>
    <w:rsid w:val="00092AA4"/>
    <w:rsid w:val="00092B4A"/>
    <w:rsid w:val="00092E2C"/>
    <w:rsid w:val="00093720"/>
    <w:rsid w:val="00093ADD"/>
    <w:rsid w:val="00095EB5"/>
    <w:rsid w:val="000962EA"/>
    <w:rsid w:val="000A0E2A"/>
    <w:rsid w:val="000A12C4"/>
    <w:rsid w:val="000A18C3"/>
    <w:rsid w:val="000A1997"/>
    <w:rsid w:val="000A21BC"/>
    <w:rsid w:val="000A2410"/>
    <w:rsid w:val="000A27D6"/>
    <w:rsid w:val="000A4BFF"/>
    <w:rsid w:val="000A596B"/>
    <w:rsid w:val="000A5BC2"/>
    <w:rsid w:val="000B01C5"/>
    <w:rsid w:val="000B0DAD"/>
    <w:rsid w:val="000B1395"/>
    <w:rsid w:val="000B18A3"/>
    <w:rsid w:val="000B257D"/>
    <w:rsid w:val="000B259C"/>
    <w:rsid w:val="000B26A0"/>
    <w:rsid w:val="000B2C3E"/>
    <w:rsid w:val="000B33AD"/>
    <w:rsid w:val="000B58EC"/>
    <w:rsid w:val="000B6D14"/>
    <w:rsid w:val="000B6FEC"/>
    <w:rsid w:val="000B7488"/>
    <w:rsid w:val="000B7B28"/>
    <w:rsid w:val="000C0DB0"/>
    <w:rsid w:val="000C0F63"/>
    <w:rsid w:val="000C2E63"/>
    <w:rsid w:val="000C30A5"/>
    <w:rsid w:val="000C3DA9"/>
    <w:rsid w:val="000C3DEC"/>
    <w:rsid w:val="000C48BC"/>
    <w:rsid w:val="000C5DA3"/>
    <w:rsid w:val="000C5EA8"/>
    <w:rsid w:val="000C653A"/>
    <w:rsid w:val="000C7303"/>
    <w:rsid w:val="000C73C9"/>
    <w:rsid w:val="000C7997"/>
    <w:rsid w:val="000C7A58"/>
    <w:rsid w:val="000D0289"/>
    <w:rsid w:val="000D0414"/>
    <w:rsid w:val="000D06FF"/>
    <w:rsid w:val="000D0E7D"/>
    <w:rsid w:val="000D0FB9"/>
    <w:rsid w:val="000D1089"/>
    <w:rsid w:val="000D2649"/>
    <w:rsid w:val="000D27F1"/>
    <w:rsid w:val="000D321D"/>
    <w:rsid w:val="000D521B"/>
    <w:rsid w:val="000D58E6"/>
    <w:rsid w:val="000D59F2"/>
    <w:rsid w:val="000D62C4"/>
    <w:rsid w:val="000D630C"/>
    <w:rsid w:val="000D67F0"/>
    <w:rsid w:val="000D6CF2"/>
    <w:rsid w:val="000E0987"/>
    <w:rsid w:val="000E0F2B"/>
    <w:rsid w:val="000E2460"/>
    <w:rsid w:val="000E273E"/>
    <w:rsid w:val="000E2E56"/>
    <w:rsid w:val="000E302C"/>
    <w:rsid w:val="000E3155"/>
    <w:rsid w:val="000E330E"/>
    <w:rsid w:val="000E3932"/>
    <w:rsid w:val="000E3994"/>
    <w:rsid w:val="000E7836"/>
    <w:rsid w:val="000F016D"/>
    <w:rsid w:val="000F069D"/>
    <w:rsid w:val="000F1667"/>
    <w:rsid w:val="000F2005"/>
    <w:rsid w:val="000F2220"/>
    <w:rsid w:val="000F3651"/>
    <w:rsid w:val="000F3963"/>
    <w:rsid w:val="000F40CA"/>
    <w:rsid w:val="000F45D7"/>
    <w:rsid w:val="000F7BBB"/>
    <w:rsid w:val="001002FD"/>
    <w:rsid w:val="001008F5"/>
    <w:rsid w:val="001010B3"/>
    <w:rsid w:val="001019CF"/>
    <w:rsid w:val="001030B1"/>
    <w:rsid w:val="00103957"/>
    <w:rsid w:val="00103F72"/>
    <w:rsid w:val="001041F5"/>
    <w:rsid w:val="0010495D"/>
    <w:rsid w:val="00105959"/>
    <w:rsid w:val="0010621C"/>
    <w:rsid w:val="001062F5"/>
    <w:rsid w:val="001064D9"/>
    <w:rsid w:val="0010650B"/>
    <w:rsid w:val="001067AC"/>
    <w:rsid w:val="0010785E"/>
    <w:rsid w:val="0011024D"/>
    <w:rsid w:val="001104A4"/>
    <w:rsid w:val="00110809"/>
    <w:rsid w:val="00111A44"/>
    <w:rsid w:val="00112AE2"/>
    <w:rsid w:val="0011347F"/>
    <w:rsid w:val="00113C4B"/>
    <w:rsid w:val="00114F1F"/>
    <w:rsid w:val="00115970"/>
    <w:rsid w:val="00115AFA"/>
    <w:rsid w:val="00116E7E"/>
    <w:rsid w:val="00117976"/>
    <w:rsid w:val="00117D68"/>
    <w:rsid w:val="001202E1"/>
    <w:rsid w:val="00121620"/>
    <w:rsid w:val="00122E95"/>
    <w:rsid w:val="00123290"/>
    <w:rsid w:val="001237EA"/>
    <w:rsid w:val="00123E5D"/>
    <w:rsid w:val="00127C1C"/>
    <w:rsid w:val="00127E7C"/>
    <w:rsid w:val="001301C0"/>
    <w:rsid w:val="001302C2"/>
    <w:rsid w:val="00131140"/>
    <w:rsid w:val="00131377"/>
    <w:rsid w:val="00131E57"/>
    <w:rsid w:val="0013315B"/>
    <w:rsid w:val="00134897"/>
    <w:rsid w:val="001348BB"/>
    <w:rsid w:val="00135649"/>
    <w:rsid w:val="00135C16"/>
    <w:rsid w:val="001361F6"/>
    <w:rsid w:val="0013672C"/>
    <w:rsid w:val="00136CE2"/>
    <w:rsid w:val="00136D23"/>
    <w:rsid w:val="00137B05"/>
    <w:rsid w:val="00137E61"/>
    <w:rsid w:val="001408C8"/>
    <w:rsid w:val="001408F0"/>
    <w:rsid w:val="0014141C"/>
    <w:rsid w:val="00141738"/>
    <w:rsid w:val="0014174C"/>
    <w:rsid w:val="0014255F"/>
    <w:rsid w:val="00142C05"/>
    <w:rsid w:val="0014383E"/>
    <w:rsid w:val="001446C7"/>
    <w:rsid w:val="001446F2"/>
    <w:rsid w:val="001461F4"/>
    <w:rsid w:val="00146C27"/>
    <w:rsid w:val="00146F0E"/>
    <w:rsid w:val="00147605"/>
    <w:rsid w:val="0015002D"/>
    <w:rsid w:val="001506B7"/>
    <w:rsid w:val="00150AFE"/>
    <w:rsid w:val="00151542"/>
    <w:rsid w:val="00151F0B"/>
    <w:rsid w:val="00152847"/>
    <w:rsid w:val="001529A6"/>
    <w:rsid w:val="00152F4A"/>
    <w:rsid w:val="00153294"/>
    <w:rsid w:val="001532CF"/>
    <w:rsid w:val="001538EE"/>
    <w:rsid w:val="00153CF6"/>
    <w:rsid w:val="00154E19"/>
    <w:rsid w:val="001555DF"/>
    <w:rsid w:val="00155A56"/>
    <w:rsid w:val="00155D85"/>
    <w:rsid w:val="00155F9B"/>
    <w:rsid w:val="00156AEE"/>
    <w:rsid w:val="00156D23"/>
    <w:rsid w:val="00160221"/>
    <w:rsid w:val="00160B90"/>
    <w:rsid w:val="0016154B"/>
    <w:rsid w:val="001622CE"/>
    <w:rsid w:val="0016235C"/>
    <w:rsid w:val="001627F7"/>
    <w:rsid w:val="00162DAC"/>
    <w:rsid w:val="00164D90"/>
    <w:rsid w:val="00164E72"/>
    <w:rsid w:val="00165090"/>
    <w:rsid w:val="0016553B"/>
    <w:rsid w:val="001661B4"/>
    <w:rsid w:val="001669A4"/>
    <w:rsid w:val="001671A9"/>
    <w:rsid w:val="00167252"/>
    <w:rsid w:val="0016763F"/>
    <w:rsid w:val="00167DF7"/>
    <w:rsid w:val="00170698"/>
    <w:rsid w:val="001726AD"/>
    <w:rsid w:val="0017321D"/>
    <w:rsid w:val="00173F38"/>
    <w:rsid w:val="00174E4E"/>
    <w:rsid w:val="00175535"/>
    <w:rsid w:val="00175AA8"/>
    <w:rsid w:val="00177827"/>
    <w:rsid w:val="00180472"/>
    <w:rsid w:val="00180EBE"/>
    <w:rsid w:val="00180F33"/>
    <w:rsid w:val="0018163F"/>
    <w:rsid w:val="00181DDC"/>
    <w:rsid w:val="00181F0C"/>
    <w:rsid w:val="00183B9F"/>
    <w:rsid w:val="00183DA4"/>
    <w:rsid w:val="00184886"/>
    <w:rsid w:val="00185085"/>
    <w:rsid w:val="001861A2"/>
    <w:rsid w:val="0018676F"/>
    <w:rsid w:val="00186774"/>
    <w:rsid w:val="0018741C"/>
    <w:rsid w:val="00187997"/>
    <w:rsid w:val="0019042A"/>
    <w:rsid w:val="00190FEE"/>
    <w:rsid w:val="00191B31"/>
    <w:rsid w:val="00191B4D"/>
    <w:rsid w:val="00191DF4"/>
    <w:rsid w:val="00191FF8"/>
    <w:rsid w:val="00192F49"/>
    <w:rsid w:val="00193B5A"/>
    <w:rsid w:val="00194520"/>
    <w:rsid w:val="001951B5"/>
    <w:rsid w:val="00195AAD"/>
    <w:rsid w:val="00195B4B"/>
    <w:rsid w:val="001968BD"/>
    <w:rsid w:val="0019757E"/>
    <w:rsid w:val="001A0321"/>
    <w:rsid w:val="001A10C4"/>
    <w:rsid w:val="001A191D"/>
    <w:rsid w:val="001A1ECF"/>
    <w:rsid w:val="001A2230"/>
    <w:rsid w:val="001A22E4"/>
    <w:rsid w:val="001A36C2"/>
    <w:rsid w:val="001A37C2"/>
    <w:rsid w:val="001A3ECD"/>
    <w:rsid w:val="001A40FD"/>
    <w:rsid w:val="001A474B"/>
    <w:rsid w:val="001A4B54"/>
    <w:rsid w:val="001A4C7F"/>
    <w:rsid w:val="001A69A7"/>
    <w:rsid w:val="001A6FBA"/>
    <w:rsid w:val="001A7934"/>
    <w:rsid w:val="001B0222"/>
    <w:rsid w:val="001B08AB"/>
    <w:rsid w:val="001B163B"/>
    <w:rsid w:val="001B3A81"/>
    <w:rsid w:val="001B5182"/>
    <w:rsid w:val="001B57F9"/>
    <w:rsid w:val="001B6076"/>
    <w:rsid w:val="001B6E17"/>
    <w:rsid w:val="001B7414"/>
    <w:rsid w:val="001B7CA3"/>
    <w:rsid w:val="001C04D3"/>
    <w:rsid w:val="001C1001"/>
    <w:rsid w:val="001C1D7F"/>
    <w:rsid w:val="001C1E94"/>
    <w:rsid w:val="001C21CE"/>
    <w:rsid w:val="001C3150"/>
    <w:rsid w:val="001C3501"/>
    <w:rsid w:val="001C3616"/>
    <w:rsid w:val="001C3876"/>
    <w:rsid w:val="001C40E9"/>
    <w:rsid w:val="001C458E"/>
    <w:rsid w:val="001C5392"/>
    <w:rsid w:val="001C58EC"/>
    <w:rsid w:val="001C6BC2"/>
    <w:rsid w:val="001D0D53"/>
    <w:rsid w:val="001D1124"/>
    <w:rsid w:val="001D12CA"/>
    <w:rsid w:val="001D133C"/>
    <w:rsid w:val="001D2663"/>
    <w:rsid w:val="001D2884"/>
    <w:rsid w:val="001D7237"/>
    <w:rsid w:val="001D7299"/>
    <w:rsid w:val="001D76B3"/>
    <w:rsid w:val="001E0FDA"/>
    <w:rsid w:val="001E3D34"/>
    <w:rsid w:val="001E3E5E"/>
    <w:rsid w:val="001E4075"/>
    <w:rsid w:val="001E4C67"/>
    <w:rsid w:val="001E4DF6"/>
    <w:rsid w:val="001E5DEE"/>
    <w:rsid w:val="001E67A9"/>
    <w:rsid w:val="001E7269"/>
    <w:rsid w:val="001E796A"/>
    <w:rsid w:val="001F16BD"/>
    <w:rsid w:val="001F1CEB"/>
    <w:rsid w:val="001F29C9"/>
    <w:rsid w:val="001F2AAF"/>
    <w:rsid w:val="001F31EE"/>
    <w:rsid w:val="001F3410"/>
    <w:rsid w:val="001F3C97"/>
    <w:rsid w:val="001F4912"/>
    <w:rsid w:val="001F509A"/>
    <w:rsid w:val="001F5C62"/>
    <w:rsid w:val="001F73A4"/>
    <w:rsid w:val="00200E4B"/>
    <w:rsid w:val="00201116"/>
    <w:rsid w:val="00201744"/>
    <w:rsid w:val="00202341"/>
    <w:rsid w:val="002032F8"/>
    <w:rsid w:val="00203845"/>
    <w:rsid w:val="00203ACC"/>
    <w:rsid w:val="00204775"/>
    <w:rsid w:val="002068FC"/>
    <w:rsid w:val="00206A9D"/>
    <w:rsid w:val="002075A2"/>
    <w:rsid w:val="00207D93"/>
    <w:rsid w:val="00207EE9"/>
    <w:rsid w:val="00207F64"/>
    <w:rsid w:val="00210C83"/>
    <w:rsid w:val="0021129A"/>
    <w:rsid w:val="00211312"/>
    <w:rsid w:val="00211FA1"/>
    <w:rsid w:val="0021222C"/>
    <w:rsid w:val="00213A4B"/>
    <w:rsid w:val="00214F24"/>
    <w:rsid w:val="002151C0"/>
    <w:rsid w:val="00215524"/>
    <w:rsid w:val="0021602A"/>
    <w:rsid w:val="00216370"/>
    <w:rsid w:val="0021704D"/>
    <w:rsid w:val="00217271"/>
    <w:rsid w:val="00221B6A"/>
    <w:rsid w:val="002220C6"/>
    <w:rsid w:val="00222988"/>
    <w:rsid w:val="00226536"/>
    <w:rsid w:val="00226FC1"/>
    <w:rsid w:val="00231400"/>
    <w:rsid w:val="0023189A"/>
    <w:rsid w:val="00231EF2"/>
    <w:rsid w:val="00232268"/>
    <w:rsid w:val="002322A9"/>
    <w:rsid w:val="0023282D"/>
    <w:rsid w:val="00233CEC"/>
    <w:rsid w:val="00234024"/>
    <w:rsid w:val="00234933"/>
    <w:rsid w:val="00234A25"/>
    <w:rsid w:val="00234FF5"/>
    <w:rsid w:val="0023662A"/>
    <w:rsid w:val="00236C08"/>
    <w:rsid w:val="00240A73"/>
    <w:rsid w:val="00240DDE"/>
    <w:rsid w:val="00241BD0"/>
    <w:rsid w:val="00241D6B"/>
    <w:rsid w:val="00242298"/>
    <w:rsid w:val="0024255F"/>
    <w:rsid w:val="002431D7"/>
    <w:rsid w:val="002432F3"/>
    <w:rsid w:val="00243AF8"/>
    <w:rsid w:val="00243D81"/>
    <w:rsid w:val="0024408B"/>
    <w:rsid w:val="002447C6"/>
    <w:rsid w:val="00244C22"/>
    <w:rsid w:val="002450AB"/>
    <w:rsid w:val="00245399"/>
    <w:rsid w:val="00246046"/>
    <w:rsid w:val="00247F9A"/>
    <w:rsid w:val="002509C4"/>
    <w:rsid w:val="00250D65"/>
    <w:rsid w:val="00250D90"/>
    <w:rsid w:val="00251BF8"/>
    <w:rsid w:val="00251E9E"/>
    <w:rsid w:val="0025283D"/>
    <w:rsid w:val="0025304E"/>
    <w:rsid w:val="0025339D"/>
    <w:rsid w:val="00253BEC"/>
    <w:rsid w:val="00253C92"/>
    <w:rsid w:val="00253F6B"/>
    <w:rsid w:val="00254D2C"/>
    <w:rsid w:val="00256555"/>
    <w:rsid w:val="00257138"/>
    <w:rsid w:val="002579D4"/>
    <w:rsid w:val="00260D4C"/>
    <w:rsid w:val="00261556"/>
    <w:rsid w:val="002638F8"/>
    <w:rsid w:val="0026480E"/>
    <w:rsid w:val="00264F53"/>
    <w:rsid w:val="00267CB9"/>
    <w:rsid w:val="0027085C"/>
    <w:rsid w:val="00270E18"/>
    <w:rsid w:val="00270EDD"/>
    <w:rsid w:val="00270FBA"/>
    <w:rsid w:val="002724FB"/>
    <w:rsid w:val="0027391A"/>
    <w:rsid w:val="00274458"/>
    <w:rsid w:val="00276522"/>
    <w:rsid w:val="00276AA1"/>
    <w:rsid w:val="00277EAB"/>
    <w:rsid w:val="002800EA"/>
    <w:rsid w:val="00282A18"/>
    <w:rsid w:val="002841FF"/>
    <w:rsid w:val="0028497D"/>
    <w:rsid w:val="00285F4B"/>
    <w:rsid w:val="002866AE"/>
    <w:rsid w:val="00286C74"/>
    <w:rsid w:val="0028705D"/>
    <w:rsid w:val="00290BDC"/>
    <w:rsid w:val="00290CAF"/>
    <w:rsid w:val="00290CC3"/>
    <w:rsid w:val="00290EFD"/>
    <w:rsid w:val="00291316"/>
    <w:rsid w:val="00291CF9"/>
    <w:rsid w:val="002937CD"/>
    <w:rsid w:val="002968CD"/>
    <w:rsid w:val="00296B9B"/>
    <w:rsid w:val="00297815"/>
    <w:rsid w:val="00297909"/>
    <w:rsid w:val="00297A60"/>
    <w:rsid w:val="002A05A7"/>
    <w:rsid w:val="002A0E3D"/>
    <w:rsid w:val="002A1BCB"/>
    <w:rsid w:val="002A20C9"/>
    <w:rsid w:val="002A2DF5"/>
    <w:rsid w:val="002A3397"/>
    <w:rsid w:val="002A3456"/>
    <w:rsid w:val="002A3C3A"/>
    <w:rsid w:val="002A43F0"/>
    <w:rsid w:val="002A485A"/>
    <w:rsid w:val="002A4D51"/>
    <w:rsid w:val="002A5EE9"/>
    <w:rsid w:val="002A6C7F"/>
    <w:rsid w:val="002A6DB2"/>
    <w:rsid w:val="002A725E"/>
    <w:rsid w:val="002B1CFF"/>
    <w:rsid w:val="002B31C9"/>
    <w:rsid w:val="002B3558"/>
    <w:rsid w:val="002B3E17"/>
    <w:rsid w:val="002B40AA"/>
    <w:rsid w:val="002B5FB2"/>
    <w:rsid w:val="002B6022"/>
    <w:rsid w:val="002B6754"/>
    <w:rsid w:val="002B6D65"/>
    <w:rsid w:val="002B71B5"/>
    <w:rsid w:val="002C1E17"/>
    <w:rsid w:val="002C2984"/>
    <w:rsid w:val="002C3AD8"/>
    <w:rsid w:val="002C3F21"/>
    <w:rsid w:val="002C3F7E"/>
    <w:rsid w:val="002C560A"/>
    <w:rsid w:val="002C6265"/>
    <w:rsid w:val="002C6CF7"/>
    <w:rsid w:val="002C707A"/>
    <w:rsid w:val="002D3061"/>
    <w:rsid w:val="002D3123"/>
    <w:rsid w:val="002D33CD"/>
    <w:rsid w:val="002D4073"/>
    <w:rsid w:val="002D4717"/>
    <w:rsid w:val="002D4FE4"/>
    <w:rsid w:val="002D5901"/>
    <w:rsid w:val="002D7217"/>
    <w:rsid w:val="002D72DB"/>
    <w:rsid w:val="002D7605"/>
    <w:rsid w:val="002E0C4A"/>
    <w:rsid w:val="002E0F3B"/>
    <w:rsid w:val="002E0F52"/>
    <w:rsid w:val="002E1959"/>
    <w:rsid w:val="002E19D8"/>
    <w:rsid w:val="002E2320"/>
    <w:rsid w:val="002E2525"/>
    <w:rsid w:val="002E267D"/>
    <w:rsid w:val="002E48F1"/>
    <w:rsid w:val="002E4B1C"/>
    <w:rsid w:val="002E522E"/>
    <w:rsid w:val="002E6594"/>
    <w:rsid w:val="002E70B9"/>
    <w:rsid w:val="002E74A9"/>
    <w:rsid w:val="002F0353"/>
    <w:rsid w:val="002F0593"/>
    <w:rsid w:val="002F16BB"/>
    <w:rsid w:val="002F1B88"/>
    <w:rsid w:val="002F30F0"/>
    <w:rsid w:val="002F36D2"/>
    <w:rsid w:val="002F3ED2"/>
    <w:rsid w:val="002F48C4"/>
    <w:rsid w:val="002F4FA2"/>
    <w:rsid w:val="002F5C2B"/>
    <w:rsid w:val="002F5DD5"/>
    <w:rsid w:val="002F5F11"/>
    <w:rsid w:val="002F675C"/>
    <w:rsid w:val="002F70C1"/>
    <w:rsid w:val="00301288"/>
    <w:rsid w:val="003019C6"/>
    <w:rsid w:val="003031F5"/>
    <w:rsid w:val="00303340"/>
    <w:rsid w:val="00303C49"/>
    <w:rsid w:val="0030436E"/>
    <w:rsid w:val="0030468A"/>
    <w:rsid w:val="00304884"/>
    <w:rsid w:val="00304BF2"/>
    <w:rsid w:val="00304BF8"/>
    <w:rsid w:val="0030502A"/>
    <w:rsid w:val="0030517E"/>
    <w:rsid w:val="0030650E"/>
    <w:rsid w:val="003073F0"/>
    <w:rsid w:val="00307A2C"/>
    <w:rsid w:val="00310A87"/>
    <w:rsid w:val="00313442"/>
    <w:rsid w:val="00313D6F"/>
    <w:rsid w:val="0031638B"/>
    <w:rsid w:val="00317165"/>
    <w:rsid w:val="00317192"/>
    <w:rsid w:val="003173FD"/>
    <w:rsid w:val="00317527"/>
    <w:rsid w:val="00320691"/>
    <w:rsid w:val="003216EE"/>
    <w:rsid w:val="00321734"/>
    <w:rsid w:val="00321BC8"/>
    <w:rsid w:val="00323EAF"/>
    <w:rsid w:val="003246DA"/>
    <w:rsid w:val="003257F5"/>
    <w:rsid w:val="0032652D"/>
    <w:rsid w:val="00326EEF"/>
    <w:rsid w:val="00327663"/>
    <w:rsid w:val="00332082"/>
    <w:rsid w:val="00333507"/>
    <w:rsid w:val="00333891"/>
    <w:rsid w:val="00333AC9"/>
    <w:rsid w:val="0033402E"/>
    <w:rsid w:val="003346CB"/>
    <w:rsid w:val="003350CF"/>
    <w:rsid w:val="003352AD"/>
    <w:rsid w:val="00335338"/>
    <w:rsid w:val="00335507"/>
    <w:rsid w:val="003364CA"/>
    <w:rsid w:val="0033731B"/>
    <w:rsid w:val="0033735A"/>
    <w:rsid w:val="0033766C"/>
    <w:rsid w:val="0034075D"/>
    <w:rsid w:val="00340F7D"/>
    <w:rsid w:val="003426D5"/>
    <w:rsid w:val="00343069"/>
    <w:rsid w:val="003434A9"/>
    <w:rsid w:val="00343617"/>
    <w:rsid w:val="00343A78"/>
    <w:rsid w:val="003446FB"/>
    <w:rsid w:val="00344ACC"/>
    <w:rsid w:val="003456EE"/>
    <w:rsid w:val="00346475"/>
    <w:rsid w:val="00346BCE"/>
    <w:rsid w:val="00351653"/>
    <w:rsid w:val="00351744"/>
    <w:rsid w:val="00353031"/>
    <w:rsid w:val="00354983"/>
    <w:rsid w:val="00356DF6"/>
    <w:rsid w:val="00357B01"/>
    <w:rsid w:val="0036239D"/>
    <w:rsid w:val="00362595"/>
    <w:rsid w:val="00362F4C"/>
    <w:rsid w:val="00363559"/>
    <w:rsid w:val="00363566"/>
    <w:rsid w:val="00363E50"/>
    <w:rsid w:val="00364C76"/>
    <w:rsid w:val="00365595"/>
    <w:rsid w:val="003659F5"/>
    <w:rsid w:val="00365A38"/>
    <w:rsid w:val="0036682F"/>
    <w:rsid w:val="003677AA"/>
    <w:rsid w:val="003701EC"/>
    <w:rsid w:val="003723D4"/>
    <w:rsid w:val="00373588"/>
    <w:rsid w:val="00374EDB"/>
    <w:rsid w:val="0037590D"/>
    <w:rsid w:val="003778E4"/>
    <w:rsid w:val="00377CBA"/>
    <w:rsid w:val="0038056F"/>
    <w:rsid w:val="0038079C"/>
    <w:rsid w:val="00380C24"/>
    <w:rsid w:val="00382B34"/>
    <w:rsid w:val="003836B6"/>
    <w:rsid w:val="0038376D"/>
    <w:rsid w:val="003844A1"/>
    <w:rsid w:val="0038455A"/>
    <w:rsid w:val="00384745"/>
    <w:rsid w:val="00384A5C"/>
    <w:rsid w:val="00384CAC"/>
    <w:rsid w:val="00385EBE"/>
    <w:rsid w:val="00386600"/>
    <w:rsid w:val="003869DE"/>
    <w:rsid w:val="00387A8C"/>
    <w:rsid w:val="00387AC5"/>
    <w:rsid w:val="0039028D"/>
    <w:rsid w:val="00390698"/>
    <w:rsid w:val="00391061"/>
    <w:rsid w:val="003913D9"/>
    <w:rsid w:val="00391A18"/>
    <w:rsid w:val="00393350"/>
    <w:rsid w:val="0039531C"/>
    <w:rsid w:val="003953DA"/>
    <w:rsid w:val="00395D6B"/>
    <w:rsid w:val="00396075"/>
    <w:rsid w:val="00396FF6"/>
    <w:rsid w:val="00397B9B"/>
    <w:rsid w:val="003A0155"/>
    <w:rsid w:val="003A0266"/>
    <w:rsid w:val="003A0378"/>
    <w:rsid w:val="003A1E43"/>
    <w:rsid w:val="003A2053"/>
    <w:rsid w:val="003A293C"/>
    <w:rsid w:val="003A3058"/>
    <w:rsid w:val="003A3188"/>
    <w:rsid w:val="003A35DA"/>
    <w:rsid w:val="003A3AF9"/>
    <w:rsid w:val="003A5036"/>
    <w:rsid w:val="003A50DE"/>
    <w:rsid w:val="003A5CA2"/>
    <w:rsid w:val="003A6194"/>
    <w:rsid w:val="003A6770"/>
    <w:rsid w:val="003A70B6"/>
    <w:rsid w:val="003A7C6F"/>
    <w:rsid w:val="003B054B"/>
    <w:rsid w:val="003B07BF"/>
    <w:rsid w:val="003B13A0"/>
    <w:rsid w:val="003B1A3E"/>
    <w:rsid w:val="003B1C81"/>
    <w:rsid w:val="003B27A2"/>
    <w:rsid w:val="003B37CC"/>
    <w:rsid w:val="003B4276"/>
    <w:rsid w:val="003B4B3A"/>
    <w:rsid w:val="003B6505"/>
    <w:rsid w:val="003B6CEE"/>
    <w:rsid w:val="003B6F29"/>
    <w:rsid w:val="003B708C"/>
    <w:rsid w:val="003C0268"/>
    <w:rsid w:val="003C09E1"/>
    <w:rsid w:val="003C0E22"/>
    <w:rsid w:val="003C1771"/>
    <w:rsid w:val="003C1959"/>
    <w:rsid w:val="003C2D41"/>
    <w:rsid w:val="003C31F7"/>
    <w:rsid w:val="003C3D99"/>
    <w:rsid w:val="003C3E2F"/>
    <w:rsid w:val="003C3F0E"/>
    <w:rsid w:val="003C48D9"/>
    <w:rsid w:val="003C4FB1"/>
    <w:rsid w:val="003C4FE6"/>
    <w:rsid w:val="003C5644"/>
    <w:rsid w:val="003C64E6"/>
    <w:rsid w:val="003C69DF"/>
    <w:rsid w:val="003C6D81"/>
    <w:rsid w:val="003C71A8"/>
    <w:rsid w:val="003C78A1"/>
    <w:rsid w:val="003C795A"/>
    <w:rsid w:val="003C7C0C"/>
    <w:rsid w:val="003D0F53"/>
    <w:rsid w:val="003D1520"/>
    <w:rsid w:val="003D18D3"/>
    <w:rsid w:val="003D2861"/>
    <w:rsid w:val="003D2A88"/>
    <w:rsid w:val="003D51ED"/>
    <w:rsid w:val="003D5AFB"/>
    <w:rsid w:val="003D640E"/>
    <w:rsid w:val="003D66E5"/>
    <w:rsid w:val="003D6EEF"/>
    <w:rsid w:val="003E0AA8"/>
    <w:rsid w:val="003E0DFA"/>
    <w:rsid w:val="003E12F2"/>
    <w:rsid w:val="003E2331"/>
    <w:rsid w:val="003E25EF"/>
    <w:rsid w:val="003E2D38"/>
    <w:rsid w:val="003E2FCA"/>
    <w:rsid w:val="003E43DE"/>
    <w:rsid w:val="003E4FFA"/>
    <w:rsid w:val="003E5F25"/>
    <w:rsid w:val="003E6265"/>
    <w:rsid w:val="003E62AF"/>
    <w:rsid w:val="003E6738"/>
    <w:rsid w:val="003E735B"/>
    <w:rsid w:val="003E75DF"/>
    <w:rsid w:val="003E7A17"/>
    <w:rsid w:val="003F0E74"/>
    <w:rsid w:val="003F1697"/>
    <w:rsid w:val="003F1F15"/>
    <w:rsid w:val="003F27C0"/>
    <w:rsid w:val="003F44E3"/>
    <w:rsid w:val="003F4542"/>
    <w:rsid w:val="003F461F"/>
    <w:rsid w:val="003F4C73"/>
    <w:rsid w:val="003F5473"/>
    <w:rsid w:val="003F5998"/>
    <w:rsid w:val="003F5CA5"/>
    <w:rsid w:val="003F6892"/>
    <w:rsid w:val="003F7773"/>
    <w:rsid w:val="003F7D54"/>
    <w:rsid w:val="004000AD"/>
    <w:rsid w:val="00400CDE"/>
    <w:rsid w:val="00400E88"/>
    <w:rsid w:val="00401260"/>
    <w:rsid w:val="004014C9"/>
    <w:rsid w:val="00401D9E"/>
    <w:rsid w:val="004024F8"/>
    <w:rsid w:val="00403B01"/>
    <w:rsid w:val="00404C0B"/>
    <w:rsid w:val="00405B9B"/>
    <w:rsid w:val="00405BE0"/>
    <w:rsid w:val="0040628E"/>
    <w:rsid w:val="004062BC"/>
    <w:rsid w:val="00406684"/>
    <w:rsid w:val="00407604"/>
    <w:rsid w:val="004102C1"/>
    <w:rsid w:val="00410F99"/>
    <w:rsid w:val="00412A99"/>
    <w:rsid w:val="00413E8B"/>
    <w:rsid w:val="00415E1F"/>
    <w:rsid w:val="00416680"/>
    <w:rsid w:val="00417BFB"/>
    <w:rsid w:val="00417FCD"/>
    <w:rsid w:val="00420DB5"/>
    <w:rsid w:val="004216A3"/>
    <w:rsid w:val="0042175C"/>
    <w:rsid w:val="00421A24"/>
    <w:rsid w:val="00421AB3"/>
    <w:rsid w:val="0042220A"/>
    <w:rsid w:val="0042281A"/>
    <w:rsid w:val="0042338F"/>
    <w:rsid w:val="00424BF2"/>
    <w:rsid w:val="00425091"/>
    <w:rsid w:val="004257D0"/>
    <w:rsid w:val="00427048"/>
    <w:rsid w:val="004304BB"/>
    <w:rsid w:val="00430A06"/>
    <w:rsid w:val="00430C4F"/>
    <w:rsid w:val="004317F3"/>
    <w:rsid w:val="00433932"/>
    <w:rsid w:val="004343C8"/>
    <w:rsid w:val="004345A5"/>
    <w:rsid w:val="00434F6C"/>
    <w:rsid w:val="004350C0"/>
    <w:rsid w:val="00435B8F"/>
    <w:rsid w:val="00436584"/>
    <w:rsid w:val="00440BAF"/>
    <w:rsid w:val="00441757"/>
    <w:rsid w:val="004424C8"/>
    <w:rsid w:val="004425CD"/>
    <w:rsid w:val="00442923"/>
    <w:rsid w:val="004436FA"/>
    <w:rsid w:val="00443815"/>
    <w:rsid w:val="004438AB"/>
    <w:rsid w:val="00443C5D"/>
    <w:rsid w:val="00443F15"/>
    <w:rsid w:val="0044459D"/>
    <w:rsid w:val="00444A54"/>
    <w:rsid w:val="00445406"/>
    <w:rsid w:val="0044569C"/>
    <w:rsid w:val="00445DC6"/>
    <w:rsid w:val="00446121"/>
    <w:rsid w:val="00446E58"/>
    <w:rsid w:val="00447178"/>
    <w:rsid w:val="00447EAE"/>
    <w:rsid w:val="00450734"/>
    <w:rsid w:val="004515A3"/>
    <w:rsid w:val="0045270B"/>
    <w:rsid w:val="0045349B"/>
    <w:rsid w:val="00453B68"/>
    <w:rsid w:val="00453EB7"/>
    <w:rsid w:val="00454CA3"/>
    <w:rsid w:val="004553EA"/>
    <w:rsid w:val="0045683E"/>
    <w:rsid w:val="004571DF"/>
    <w:rsid w:val="00457A8B"/>
    <w:rsid w:val="004601F5"/>
    <w:rsid w:val="004616EA"/>
    <w:rsid w:val="00461D76"/>
    <w:rsid w:val="004626EF"/>
    <w:rsid w:val="0046413B"/>
    <w:rsid w:val="004649C0"/>
    <w:rsid w:val="004652D3"/>
    <w:rsid w:val="0046547A"/>
    <w:rsid w:val="00466589"/>
    <w:rsid w:val="0046682B"/>
    <w:rsid w:val="0046732B"/>
    <w:rsid w:val="00467B64"/>
    <w:rsid w:val="00467FA9"/>
    <w:rsid w:val="00470347"/>
    <w:rsid w:val="004721C1"/>
    <w:rsid w:val="00472412"/>
    <w:rsid w:val="004726DF"/>
    <w:rsid w:val="00472F7F"/>
    <w:rsid w:val="00473376"/>
    <w:rsid w:val="00473AA9"/>
    <w:rsid w:val="0047485B"/>
    <w:rsid w:val="004756B8"/>
    <w:rsid w:val="004765F0"/>
    <w:rsid w:val="00476E8E"/>
    <w:rsid w:val="00477903"/>
    <w:rsid w:val="004779E3"/>
    <w:rsid w:val="00477ACD"/>
    <w:rsid w:val="00481E7D"/>
    <w:rsid w:val="00482254"/>
    <w:rsid w:val="00482B38"/>
    <w:rsid w:val="00482FA1"/>
    <w:rsid w:val="00482FD0"/>
    <w:rsid w:val="00484643"/>
    <w:rsid w:val="004858B2"/>
    <w:rsid w:val="004863A5"/>
    <w:rsid w:val="00486F89"/>
    <w:rsid w:val="004870B1"/>
    <w:rsid w:val="00490112"/>
    <w:rsid w:val="00491344"/>
    <w:rsid w:val="00491AF5"/>
    <w:rsid w:val="00491BA0"/>
    <w:rsid w:val="00491BC3"/>
    <w:rsid w:val="004928A5"/>
    <w:rsid w:val="00493105"/>
    <w:rsid w:val="00494D08"/>
    <w:rsid w:val="00494E93"/>
    <w:rsid w:val="00497425"/>
    <w:rsid w:val="0049785F"/>
    <w:rsid w:val="00497A71"/>
    <w:rsid w:val="004A001D"/>
    <w:rsid w:val="004A126B"/>
    <w:rsid w:val="004A18B0"/>
    <w:rsid w:val="004A2986"/>
    <w:rsid w:val="004A3540"/>
    <w:rsid w:val="004A3DB0"/>
    <w:rsid w:val="004A4B2A"/>
    <w:rsid w:val="004A5636"/>
    <w:rsid w:val="004A659A"/>
    <w:rsid w:val="004A697B"/>
    <w:rsid w:val="004A6CE0"/>
    <w:rsid w:val="004A7B41"/>
    <w:rsid w:val="004A7E44"/>
    <w:rsid w:val="004B2266"/>
    <w:rsid w:val="004B34AF"/>
    <w:rsid w:val="004B3E73"/>
    <w:rsid w:val="004B5898"/>
    <w:rsid w:val="004C13DF"/>
    <w:rsid w:val="004C25FE"/>
    <w:rsid w:val="004C299F"/>
    <w:rsid w:val="004C3F70"/>
    <w:rsid w:val="004C4338"/>
    <w:rsid w:val="004C4598"/>
    <w:rsid w:val="004C45DF"/>
    <w:rsid w:val="004C53E0"/>
    <w:rsid w:val="004C55B1"/>
    <w:rsid w:val="004C58D4"/>
    <w:rsid w:val="004C60A7"/>
    <w:rsid w:val="004C6867"/>
    <w:rsid w:val="004C6BEA"/>
    <w:rsid w:val="004C7FD7"/>
    <w:rsid w:val="004D073E"/>
    <w:rsid w:val="004D1824"/>
    <w:rsid w:val="004D2741"/>
    <w:rsid w:val="004D374D"/>
    <w:rsid w:val="004D3B47"/>
    <w:rsid w:val="004D3BA7"/>
    <w:rsid w:val="004D4998"/>
    <w:rsid w:val="004D51CD"/>
    <w:rsid w:val="004D5C8C"/>
    <w:rsid w:val="004D63A0"/>
    <w:rsid w:val="004D6749"/>
    <w:rsid w:val="004D6750"/>
    <w:rsid w:val="004D6D52"/>
    <w:rsid w:val="004D759D"/>
    <w:rsid w:val="004D77C4"/>
    <w:rsid w:val="004E08F0"/>
    <w:rsid w:val="004E091E"/>
    <w:rsid w:val="004E169C"/>
    <w:rsid w:val="004E2287"/>
    <w:rsid w:val="004E343B"/>
    <w:rsid w:val="004E365A"/>
    <w:rsid w:val="004E40AE"/>
    <w:rsid w:val="004E4428"/>
    <w:rsid w:val="004E46C4"/>
    <w:rsid w:val="004E58F0"/>
    <w:rsid w:val="004E6B86"/>
    <w:rsid w:val="004E7CB5"/>
    <w:rsid w:val="004F0AE2"/>
    <w:rsid w:val="004F107B"/>
    <w:rsid w:val="004F1B97"/>
    <w:rsid w:val="004F2383"/>
    <w:rsid w:val="004F2A06"/>
    <w:rsid w:val="004F3263"/>
    <w:rsid w:val="004F3320"/>
    <w:rsid w:val="004F43F4"/>
    <w:rsid w:val="004F4487"/>
    <w:rsid w:val="004F5288"/>
    <w:rsid w:val="004F5BB2"/>
    <w:rsid w:val="004F60C5"/>
    <w:rsid w:val="004F6F80"/>
    <w:rsid w:val="004F714D"/>
    <w:rsid w:val="004F7707"/>
    <w:rsid w:val="005002AA"/>
    <w:rsid w:val="00500FB2"/>
    <w:rsid w:val="00501A9B"/>
    <w:rsid w:val="0050203F"/>
    <w:rsid w:val="00502BDB"/>
    <w:rsid w:val="00503256"/>
    <w:rsid w:val="00503494"/>
    <w:rsid w:val="00503BF2"/>
    <w:rsid w:val="00503C1C"/>
    <w:rsid w:val="005057F2"/>
    <w:rsid w:val="00505937"/>
    <w:rsid w:val="0050665A"/>
    <w:rsid w:val="00507A21"/>
    <w:rsid w:val="00507AA4"/>
    <w:rsid w:val="00507C01"/>
    <w:rsid w:val="00510168"/>
    <w:rsid w:val="00510228"/>
    <w:rsid w:val="005105C3"/>
    <w:rsid w:val="0051079D"/>
    <w:rsid w:val="00510892"/>
    <w:rsid w:val="00511DA9"/>
    <w:rsid w:val="005124C8"/>
    <w:rsid w:val="005124D9"/>
    <w:rsid w:val="005125B1"/>
    <w:rsid w:val="00513C6D"/>
    <w:rsid w:val="00514418"/>
    <w:rsid w:val="00514F24"/>
    <w:rsid w:val="00515333"/>
    <w:rsid w:val="0051669A"/>
    <w:rsid w:val="005166FD"/>
    <w:rsid w:val="00516B37"/>
    <w:rsid w:val="00516CE5"/>
    <w:rsid w:val="0052086C"/>
    <w:rsid w:val="005216CA"/>
    <w:rsid w:val="00521954"/>
    <w:rsid w:val="00521DF1"/>
    <w:rsid w:val="00521E19"/>
    <w:rsid w:val="00522CC9"/>
    <w:rsid w:val="00522D16"/>
    <w:rsid w:val="00522E71"/>
    <w:rsid w:val="005231AD"/>
    <w:rsid w:val="00523C06"/>
    <w:rsid w:val="00524975"/>
    <w:rsid w:val="005273B8"/>
    <w:rsid w:val="00530570"/>
    <w:rsid w:val="00531735"/>
    <w:rsid w:val="005317DD"/>
    <w:rsid w:val="00531D14"/>
    <w:rsid w:val="00532325"/>
    <w:rsid w:val="00532950"/>
    <w:rsid w:val="0053321B"/>
    <w:rsid w:val="005337DF"/>
    <w:rsid w:val="005337F9"/>
    <w:rsid w:val="0053477C"/>
    <w:rsid w:val="00534E79"/>
    <w:rsid w:val="0053580D"/>
    <w:rsid w:val="00537EB4"/>
    <w:rsid w:val="005409D5"/>
    <w:rsid w:val="00540D9E"/>
    <w:rsid w:val="00540EB8"/>
    <w:rsid w:val="005412E3"/>
    <w:rsid w:val="00541C14"/>
    <w:rsid w:val="00542062"/>
    <w:rsid w:val="005422A1"/>
    <w:rsid w:val="00542C18"/>
    <w:rsid w:val="00542F5F"/>
    <w:rsid w:val="00544CA0"/>
    <w:rsid w:val="00545AC6"/>
    <w:rsid w:val="005463BE"/>
    <w:rsid w:val="00546508"/>
    <w:rsid w:val="0054788D"/>
    <w:rsid w:val="00547F4D"/>
    <w:rsid w:val="005500B7"/>
    <w:rsid w:val="005502C7"/>
    <w:rsid w:val="00551846"/>
    <w:rsid w:val="005520FA"/>
    <w:rsid w:val="005535F9"/>
    <w:rsid w:val="00553E37"/>
    <w:rsid w:val="00554AF4"/>
    <w:rsid w:val="00555F67"/>
    <w:rsid w:val="00556D95"/>
    <w:rsid w:val="005576DD"/>
    <w:rsid w:val="00557C88"/>
    <w:rsid w:val="00560A16"/>
    <w:rsid w:val="00561307"/>
    <w:rsid w:val="00561C49"/>
    <w:rsid w:val="00562107"/>
    <w:rsid w:val="005621B6"/>
    <w:rsid w:val="0056233C"/>
    <w:rsid w:val="00562F66"/>
    <w:rsid w:val="005642DD"/>
    <w:rsid w:val="00564657"/>
    <w:rsid w:val="00566593"/>
    <w:rsid w:val="005672BE"/>
    <w:rsid w:val="00570191"/>
    <w:rsid w:val="005702F6"/>
    <w:rsid w:val="0057143B"/>
    <w:rsid w:val="0057201C"/>
    <w:rsid w:val="00572132"/>
    <w:rsid w:val="00572737"/>
    <w:rsid w:val="005729F2"/>
    <w:rsid w:val="005734C3"/>
    <w:rsid w:val="00573D58"/>
    <w:rsid w:val="00573EDA"/>
    <w:rsid w:val="00574172"/>
    <w:rsid w:val="005754D4"/>
    <w:rsid w:val="00575D04"/>
    <w:rsid w:val="0057646A"/>
    <w:rsid w:val="005768F2"/>
    <w:rsid w:val="00576E08"/>
    <w:rsid w:val="005774BA"/>
    <w:rsid w:val="005777FE"/>
    <w:rsid w:val="00577BFE"/>
    <w:rsid w:val="00580129"/>
    <w:rsid w:val="005803D5"/>
    <w:rsid w:val="00582C24"/>
    <w:rsid w:val="005843B0"/>
    <w:rsid w:val="00584A6A"/>
    <w:rsid w:val="00584CFD"/>
    <w:rsid w:val="00584E87"/>
    <w:rsid w:val="00585E56"/>
    <w:rsid w:val="00586BFA"/>
    <w:rsid w:val="00587571"/>
    <w:rsid w:val="005877A2"/>
    <w:rsid w:val="00587D76"/>
    <w:rsid w:val="00590B69"/>
    <w:rsid w:val="00591084"/>
    <w:rsid w:val="00591C54"/>
    <w:rsid w:val="00591FD3"/>
    <w:rsid w:val="00592115"/>
    <w:rsid w:val="00592208"/>
    <w:rsid w:val="00592391"/>
    <w:rsid w:val="00592E22"/>
    <w:rsid w:val="0059393E"/>
    <w:rsid w:val="00593C1B"/>
    <w:rsid w:val="00594F1F"/>
    <w:rsid w:val="00595151"/>
    <w:rsid w:val="005951F7"/>
    <w:rsid w:val="005973EB"/>
    <w:rsid w:val="00597857"/>
    <w:rsid w:val="005A00EA"/>
    <w:rsid w:val="005A0171"/>
    <w:rsid w:val="005A058F"/>
    <w:rsid w:val="005A07DD"/>
    <w:rsid w:val="005A1955"/>
    <w:rsid w:val="005A1EE3"/>
    <w:rsid w:val="005A234F"/>
    <w:rsid w:val="005A2445"/>
    <w:rsid w:val="005A3C5D"/>
    <w:rsid w:val="005A57CD"/>
    <w:rsid w:val="005A600E"/>
    <w:rsid w:val="005A6EFD"/>
    <w:rsid w:val="005B03CA"/>
    <w:rsid w:val="005B0FD5"/>
    <w:rsid w:val="005B116A"/>
    <w:rsid w:val="005B13C8"/>
    <w:rsid w:val="005B15CB"/>
    <w:rsid w:val="005B26CE"/>
    <w:rsid w:val="005B32A8"/>
    <w:rsid w:val="005B3BE5"/>
    <w:rsid w:val="005B53CA"/>
    <w:rsid w:val="005B6B5B"/>
    <w:rsid w:val="005B721E"/>
    <w:rsid w:val="005B7DEB"/>
    <w:rsid w:val="005C0A68"/>
    <w:rsid w:val="005C14D7"/>
    <w:rsid w:val="005C1E5F"/>
    <w:rsid w:val="005C2C56"/>
    <w:rsid w:val="005C2FC1"/>
    <w:rsid w:val="005C3873"/>
    <w:rsid w:val="005C3B17"/>
    <w:rsid w:val="005C47A7"/>
    <w:rsid w:val="005C6543"/>
    <w:rsid w:val="005C7276"/>
    <w:rsid w:val="005C72A9"/>
    <w:rsid w:val="005C736F"/>
    <w:rsid w:val="005C7383"/>
    <w:rsid w:val="005C765A"/>
    <w:rsid w:val="005D15B3"/>
    <w:rsid w:val="005D1983"/>
    <w:rsid w:val="005D29F0"/>
    <w:rsid w:val="005D2CA1"/>
    <w:rsid w:val="005D3B79"/>
    <w:rsid w:val="005D3CCE"/>
    <w:rsid w:val="005D3DD7"/>
    <w:rsid w:val="005D4C14"/>
    <w:rsid w:val="005D56D4"/>
    <w:rsid w:val="005D59BC"/>
    <w:rsid w:val="005D624D"/>
    <w:rsid w:val="005D695F"/>
    <w:rsid w:val="005D6F29"/>
    <w:rsid w:val="005D7345"/>
    <w:rsid w:val="005E28D3"/>
    <w:rsid w:val="005E2B7A"/>
    <w:rsid w:val="005E3474"/>
    <w:rsid w:val="005E36C3"/>
    <w:rsid w:val="005E544B"/>
    <w:rsid w:val="005E5A80"/>
    <w:rsid w:val="005E5E09"/>
    <w:rsid w:val="005E7462"/>
    <w:rsid w:val="005E7BBE"/>
    <w:rsid w:val="005F0C0A"/>
    <w:rsid w:val="005F1711"/>
    <w:rsid w:val="005F2090"/>
    <w:rsid w:val="005F305F"/>
    <w:rsid w:val="005F345C"/>
    <w:rsid w:val="005F38B0"/>
    <w:rsid w:val="005F3C70"/>
    <w:rsid w:val="005F4213"/>
    <w:rsid w:val="005F6334"/>
    <w:rsid w:val="005F653C"/>
    <w:rsid w:val="005F7929"/>
    <w:rsid w:val="005F7C7D"/>
    <w:rsid w:val="005F7CA2"/>
    <w:rsid w:val="005F7FF0"/>
    <w:rsid w:val="006003DF"/>
    <w:rsid w:val="006017C0"/>
    <w:rsid w:val="00601CAA"/>
    <w:rsid w:val="006020AE"/>
    <w:rsid w:val="00602398"/>
    <w:rsid w:val="00602A59"/>
    <w:rsid w:val="0060382F"/>
    <w:rsid w:val="00603CFB"/>
    <w:rsid w:val="006051DD"/>
    <w:rsid w:val="00606051"/>
    <w:rsid w:val="00606067"/>
    <w:rsid w:val="00606CB2"/>
    <w:rsid w:val="00607BEA"/>
    <w:rsid w:val="00610821"/>
    <w:rsid w:val="0061387F"/>
    <w:rsid w:val="00614025"/>
    <w:rsid w:val="0061478C"/>
    <w:rsid w:val="00615091"/>
    <w:rsid w:val="006166C1"/>
    <w:rsid w:val="0062194D"/>
    <w:rsid w:val="0062285F"/>
    <w:rsid w:val="00623B4A"/>
    <w:rsid w:val="00624FE0"/>
    <w:rsid w:val="00625D68"/>
    <w:rsid w:val="00625D80"/>
    <w:rsid w:val="00625DB2"/>
    <w:rsid w:val="0062637F"/>
    <w:rsid w:val="00626B37"/>
    <w:rsid w:val="00631199"/>
    <w:rsid w:val="0063135D"/>
    <w:rsid w:val="006314C5"/>
    <w:rsid w:val="00631528"/>
    <w:rsid w:val="00632575"/>
    <w:rsid w:val="00632FE2"/>
    <w:rsid w:val="00633057"/>
    <w:rsid w:val="006333C0"/>
    <w:rsid w:val="0063343A"/>
    <w:rsid w:val="00633620"/>
    <w:rsid w:val="00633A5E"/>
    <w:rsid w:val="00633BB0"/>
    <w:rsid w:val="0063479D"/>
    <w:rsid w:val="00634A23"/>
    <w:rsid w:val="006351AE"/>
    <w:rsid w:val="0063527F"/>
    <w:rsid w:val="00635534"/>
    <w:rsid w:val="006424BD"/>
    <w:rsid w:val="006427D2"/>
    <w:rsid w:val="00643434"/>
    <w:rsid w:val="00643554"/>
    <w:rsid w:val="00643BEC"/>
    <w:rsid w:val="006445AE"/>
    <w:rsid w:val="00646000"/>
    <w:rsid w:val="00646089"/>
    <w:rsid w:val="00646771"/>
    <w:rsid w:val="0065021E"/>
    <w:rsid w:val="00650609"/>
    <w:rsid w:val="00650BE9"/>
    <w:rsid w:val="00651732"/>
    <w:rsid w:val="006518DB"/>
    <w:rsid w:val="0065232A"/>
    <w:rsid w:val="00652A3F"/>
    <w:rsid w:val="00652D24"/>
    <w:rsid w:val="00653AB1"/>
    <w:rsid w:val="00654CA6"/>
    <w:rsid w:val="00655608"/>
    <w:rsid w:val="006566CB"/>
    <w:rsid w:val="0065736B"/>
    <w:rsid w:val="0065786B"/>
    <w:rsid w:val="00660BAA"/>
    <w:rsid w:val="00660D63"/>
    <w:rsid w:val="00661320"/>
    <w:rsid w:val="006613C7"/>
    <w:rsid w:val="00661C52"/>
    <w:rsid w:val="00662090"/>
    <w:rsid w:val="00662258"/>
    <w:rsid w:val="00662E53"/>
    <w:rsid w:val="0066338F"/>
    <w:rsid w:val="0066343C"/>
    <w:rsid w:val="006639CB"/>
    <w:rsid w:val="00663B54"/>
    <w:rsid w:val="00663DAB"/>
    <w:rsid w:val="00664140"/>
    <w:rsid w:val="00665304"/>
    <w:rsid w:val="00665E7D"/>
    <w:rsid w:val="00666B11"/>
    <w:rsid w:val="00667344"/>
    <w:rsid w:val="00667C66"/>
    <w:rsid w:val="00672CBA"/>
    <w:rsid w:val="00672D0A"/>
    <w:rsid w:val="006732EE"/>
    <w:rsid w:val="006749C8"/>
    <w:rsid w:val="0067512C"/>
    <w:rsid w:val="0067587C"/>
    <w:rsid w:val="006761E5"/>
    <w:rsid w:val="0067624A"/>
    <w:rsid w:val="0067713B"/>
    <w:rsid w:val="006775C9"/>
    <w:rsid w:val="006803EE"/>
    <w:rsid w:val="006804AB"/>
    <w:rsid w:val="0068054F"/>
    <w:rsid w:val="006815DF"/>
    <w:rsid w:val="00681C66"/>
    <w:rsid w:val="006827A0"/>
    <w:rsid w:val="006831BF"/>
    <w:rsid w:val="00683AAA"/>
    <w:rsid w:val="00683AF4"/>
    <w:rsid w:val="006846C5"/>
    <w:rsid w:val="00686246"/>
    <w:rsid w:val="00687112"/>
    <w:rsid w:val="006873AD"/>
    <w:rsid w:val="00687718"/>
    <w:rsid w:val="0068783C"/>
    <w:rsid w:val="00687AE3"/>
    <w:rsid w:val="00690E8C"/>
    <w:rsid w:val="0069106A"/>
    <w:rsid w:val="006911FF"/>
    <w:rsid w:val="00691B80"/>
    <w:rsid w:val="00692C6F"/>
    <w:rsid w:val="006945B5"/>
    <w:rsid w:val="00695E49"/>
    <w:rsid w:val="00696410"/>
    <w:rsid w:val="006964EE"/>
    <w:rsid w:val="00696CB6"/>
    <w:rsid w:val="0069753B"/>
    <w:rsid w:val="006A020E"/>
    <w:rsid w:val="006A041A"/>
    <w:rsid w:val="006A1080"/>
    <w:rsid w:val="006A2707"/>
    <w:rsid w:val="006A2849"/>
    <w:rsid w:val="006A2918"/>
    <w:rsid w:val="006A3534"/>
    <w:rsid w:val="006A47B1"/>
    <w:rsid w:val="006A636D"/>
    <w:rsid w:val="006A6CA5"/>
    <w:rsid w:val="006A6EA3"/>
    <w:rsid w:val="006A744A"/>
    <w:rsid w:val="006A7A77"/>
    <w:rsid w:val="006A7D53"/>
    <w:rsid w:val="006B026C"/>
    <w:rsid w:val="006B1A46"/>
    <w:rsid w:val="006B22C4"/>
    <w:rsid w:val="006B22E9"/>
    <w:rsid w:val="006B41E1"/>
    <w:rsid w:val="006B4F89"/>
    <w:rsid w:val="006B5437"/>
    <w:rsid w:val="006B568E"/>
    <w:rsid w:val="006B5788"/>
    <w:rsid w:val="006B5E6F"/>
    <w:rsid w:val="006B72B6"/>
    <w:rsid w:val="006B7383"/>
    <w:rsid w:val="006B7BEE"/>
    <w:rsid w:val="006B7D41"/>
    <w:rsid w:val="006B7DD0"/>
    <w:rsid w:val="006C015C"/>
    <w:rsid w:val="006C090D"/>
    <w:rsid w:val="006C10D7"/>
    <w:rsid w:val="006C1E54"/>
    <w:rsid w:val="006C2273"/>
    <w:rsid w:val="006C23FC"/>
    <w:rsid w:val="006C242E"/>
    <w:rsid w:val="006C2B31"/>
    <w:rsid w:val="006C37C9"/>
    <w:rsid w:val="006C3C72"/>
    <w:rsid w:val="006C3D02"/>
    <w:rsid w:val="006C3FEF"/>
    <w:rsid w:val="006C4812"/>
    <w:rsid w:val="006C4DD2"/>
    <w:rsid w:val="006C585A"/>
    <w:rsid w:val="006C6827"/>
    <w:rsid w:val="006C6ADB"/>
    <w:rsid w:val="006C6E8B"/>
    <w:rsid w:val="006D0363"/>
    <w:rsid w:val="006D04B6"/>
    <w:rsid w:val="006D1D50"/>
    <w:rsid w:val="006D3517"/>
    <w:rsid w:val="006D3672"/>
    <w:rsid w:val="006D39E1"/>
    <w:rsid w:val="006D4843"/>
    <w:rsid w:val="006D4891"/>
    <w:rsid w:val="006D4CEA"/>
    <w:rsid w:val="006D63E4"/>
    <w:rsid w:val="006D70E3"/>
    <w:rsid w:val="006D71B4"/>
    <w:rsid w:val="006E0CF6"/>
    <w:rsid w:val="006E0D1C"/>
    <w:rsid w:val="006E12CB"/>
    <w:rsid w:val="006E1C75"/>
    <w:rsid w:val="006E2278"/>
    <w:rsid w:val="006E229F"/>
    <w:rsid w:val="006E2316"/>
    <w:rsid w:val="006E24BA"/>
    <w:rsid w:val="006E2710"/>
    <w:rsid w:val="006E3969"/>
    <w:rsid w:val="006E44AF"/>
    <w:rsid w:val="006E44E6"/>
    <w:rsid w:val="006E4A33"/>
    <w:rsid w:val="006E54B1"/>
    <w:rsid w:val="006E5AE8"/>
    <w:rsid w:val="006E619E"/>
    <w:rsid w:val="006E7FF5"/>
    <w:rsid w:val="006F0421"/>
    <w:rsid w:val="006F0830"/>
    <w:rsid w:val="006F0FDB"/>
    <w:rsid w:val="006F1A53"/>
    <w:rsid w:val="006F20C9"/>
    <w:rsid w:val="006F2136"/>
    <w:rsid w:val="006F3466"/>
    <w:rsid w:val="006F3C65"/>
    <w:rsid w:val="006F45F0"/>
    <w:rsid w:val="006F46A0"/>
    <w:rsid w:val="006F4860"/>
    <w:rsid w:val="006F5E01"/>
    <w:rsid w:val="006F673F"/>
    <w:rsid w:val="006F6B8C"/>
    <w:rsid w:val="006F6D8C"/>
    <w:rsid w:val="006F72CA"/>
    <w:rsid w:val="007002C0"/>
    <w:rsid w:val="00700BF1"/>
    <w:rsid w:val="00700E21"/>
    <w:rsid w:val="007024A8"/>
    <w:rsid w:val="00702E46"/>
    <w:rsid w:val="00704B0C"/>
    <w:rsid w:val="00704F51"/>
    <w:rsid w:val="00705A6E"/>
    <w:rsid w:val="0070614C"/>
    <w:rsid w:val="00706D49"/>
    <w:rsid w:val="00707105"/>
    <w:rsid w:val="0070778E"/>
    <w:rsid w:val="00707ED0"/>
    <w:rsid w:val="00707F37"/>
    <w:rsid w:val="00710B64"/>
    <w:rsid w:val="007116F1"/>
    <w:rsid w:val="00712EB9"/>
    <w:rsid w:val="0071366E"/>
    <w:rsid w:val="00714E27"/>
    <w:rsid w:val="00715CAB"/>
    <w:rsid w:val="00716F6F"/>
    <w:rsid w:val="00717413"/>
    <w:rsid w:val="00717673"/>
    <w:rsid w:val="007205F7"/>
    <w:rsid w:val="00720624"/>
    <w:rsid w:val="00720B7F"/>
    <w:rsid w:val="00721257"/>
    <w:rsid w:val="00721C3A"/>
    <w:rsid w:val="00721FC4"/>
    <w:rsid w:val="007225DD"/>
    <w:rsid w:val="007228D7"/>
    <w:rsid w:val="00723BFB"/>
    <w:rsid w:val="007242C1"/>
    <w:rsid w:val="007242CF"/>
    <w:rsid w:val="007243B7"/>
    <w:rsid w:val="00725497"/>
    <w:rsid w:val="007255B5"/>
    <w:rsid w:val="0072589E"/>
    <w:rsid w:val="00726AC2"/>
    <w:rsid w:val="007279BD"/>
    <w:rsid w:val="00727A75"/>
    <w:rsid w:val="00730F3C"/>
    <w:rsid w:val="00731366"/>
    <w:rsid w:val="00731453"/>
    <w:rsid w:val="007317C6"/>
    <w:rsid w:val="007328C6"/>
    <w:rsid w:val="00732C6E"/>
    <w:rsid w:val="00734409"/>
    <w:rsid w:val="0073537D"/>
    <w:rsid w:val="00735972"/>
    <w:rsid w:val="007376E4"/>
    <w:rsid w:val="00737DCB"/>
    <w:rsid w:val="00737ED5"/>
    <w:rsid w:val="00740689"/>
    <w:rsid w:val="00740B2D"/>
    <w:rsid w:val="00742E7C"/>
    <w:rsid w:val="007439FE"/>
    <w:rsid w:val="007448D0"/>
    <w:rsid w:val="00744A44"/>
    <w:rsid w:val="00744FF0"/>
    <w:rsid w:val="007453F1"/>
    <w:rsid w:val="00745DCA"/>
    <w:rsid w:val="007464F2"/>
    <w:rsid w:val="00747249"/>
    <w:rsid w:val="007500C8"/>
    <w:rsid w:val="007514EC"/>
    <w:rsid w:val="0075153F"/>
    <w:rsid w:val="007524C5"/>
    <w:rsid w:val="00752B5D"/>
    <w:rsid w:val="00752DF0"/>
    <w:rsid w:val="00753289"/>
    <w:rsid w:val="00754233"/>
    <w:rsid w:val="00755A47"/>
    <w:rsid w:val="0075651C"/>
    <w:rsid w:val="00757679"/>
    <w:rsid w:val="00757F77"/>
    <w:rsid w:val="00757F87"/>
    <w:rsid w:val="00760818"/>
    <w:rsid w:val="00761F15"/>
    <w:rsid w:val="0076481A"/>
    <w:rsid w:val="00765EFC"/>
    <w:rsid w:val="0076657C"/>
    <w:rsid w:val="007670A0"/>
    <w:rsid w:val="00772825"/>
    <w:rsid w:val="007729A6"/>
    <w:rsid w:val="00772AAB"/>
    <w:rsid w:val="00772FDA"/>
    <w:rsid w:val="00773906"/>
    <w:rsid w:val="00773EF4"/>
    <w:rsid w:val="007751DE"/>
    <w:rsid w:val="00775445"/>
    <w:rsid w:val="007764EC"/>
    <w:rsid w:val="00777CA7"/>
    <w:rsid w:val="00777FF9"/>
    <w:rsid w:val="00780AAC"/>
    <w:rsid w:val="00782441"/>
    <w:rsid w:val="007837F8"/>
    <w:rsid w:val="0078430E"/>
    <w:rsid w:val="00784CFD"/>
    <w:rsid w:val="00785455"/>
    <w:rsid w:val="00785C5F"/>
    <w:rsid w:val="00786694"/>
    <w:rsid w:val="0078757D"/>
    <w:rsid w:val="0078795B"/>
    <w:rsid w:val="00790F88"/>
    <w:rsid w:val="00791651"/>
    <w:rsid w:val="00792959"/>
    <w:rsid w:val="0079489F"/>
    <w:rsid w:val="00794ACE"/>
    <w:rsid w:val="00795DDE"/>
    <w:rsid w:val="00795FF6"/>
    <w:rsid w:val="00797443"/>
    <w:rsid w:val="00797872"/>
    <w:rsid w:val="00797908"/>
    <w:rsid w:val="007A0238"/>
    <w:rsid w:val="007A03A7"/>
    <w:rsid w:val="007A0EDF"/>
    <w:rsid w:val="007A1353"/>
    <w:rsid w:val="007A165B"/>
    <w:rsid w:val="007A25F0"/>
    <w:rsid w:val="007A2DC9"/>
    <w:rsid w:val="007A2DF4"/>
    <w:rsid w:val="007A3803"/>
    <w:rsid w:val="007A38B9"/>
    <w:rsid w:val="007A3D35"/>
    <w:rsid w:val="007A4CF0"/>
    <w:rsid w:val="007A5662"/>
    <w:rsid w:val="007A5746"/>
    <w:rsid w:val="007A6145"/>
    <w:rsid w:val="007A6461"/>
    <w:rsid w:val="007A76A9"/>
    <w:rsid w:val="007A78AE"/>
    <w:rsid w:val="007B11CF"/>
    <w:rsid w:val="007B1221"/>
    <w:rsid w:val="007B2542"/>
    <w:rsid w:val="007B28AB"/>
    <w:rsid w:val="007B3E59"/>
    <w:rsid w:val="007B48DB"/>
    <w:rsid w:val="007B52AA"/>
    <w:rsid w:val="007B577A"/>
    <w:rsid w:val="007B5E1F"/>
    <w:rsid w:val="007B5EEB"/>
    <w:rsid w:val="007B6244"/>
    <w:rsid w:val="007B6724"/>
    <w:rsid w:val="007B6B56"/>
    <w:rsid w:val="007C02A9"/>
    <w:rsid w:val="007C097F"/>
    <w:rsid w:val="007C0FAF"/>
    <w:rsid w:val="007C1133"/>
    <w:rsid w:val="007C178B"/>
    <w:rsid w:val="007C1880"/>
    <w:rsid w:val="007C19EF"/>
    <w:rsid w:val="007C32A0"/>
    <w:rsid w:val="007C3476"/>
    <w:rsid w:val="007C39E1"/>
    <w:rsid w:val="007C4160"/>
    <w:rsid w:val="007C453E"/>
    <w:rsid w:val="007C4563"/>
    <w:rsid w:val="007C4C5D"/>
    <w:rsid w:val="007C533B"/>
    <w:rsid w:val="007C5500"/>
    <w:rsid w:val="007C62C0"/>
    <w:rsid w:val="007C7B99"/>
    <w:rsid w:val="007D010A"/>
    <w:rsid w:val="007D066A"/>
    <w:rsid w:val="007D10EC"/>
    <w:rsid w:val="007D11D6"/>
    <w:rsid w:val="007D2B36"/>
    <w:rsid w:val="007D31FF"/>
    <w:rsid w:val="007D4019"/>
    <w:rsid w:val="007D44A2"/>
    <w:rsid w:val="007D4E11"/>
    <w:rsid w:val="007D66A1"/>
    <w:rsid w:val="007D6E3B"/>
    <w:rsid w:val="007D76DB"/>
    <w:rsid w:val="007D7E35"/>
    <w:rsid w:val="007E0392"/>
    <w:rsid w:val="007E0FFD"/>
    <w:rsid w:val="007E23CC"/>
    <w:rsid w:val="007E50F9"/>
    <w:rsid w:val="007E5938"/>
    <w:rsid w:val="007E5D12"/>
    <w:rsid w:val="007E6F69"/>
    <w:rsid w:val="007E780E"/>
    <w:rsid w:val="007F0997"/>
    <w:rsid w:val="007F1615"/>
    <w:rsid w:val="007F4C65"/>
    <w:rsid w:val="007F55AF"/>
    <w:rsid w:val="007F58A8"/>
    <w:rsid w:val="007F70B7"/>
    <w:rsid w:val="007F7BE7"/>
    <w:rsid w:val="007F7FF8"/>
    <w:rsid w:val="00800986"/>
    <w:rsid w:val="0080268B"/>
    <w:rsid w:val="008029F0"/>
    <w:rsid w:val="00804A21"/>
    <w:rsid w:val="00804C84"/>
    <w:rsid w:val="008052A4"/>
    <w:rsid w:val="008052BB"/>
    <w:rsid w:val="008053B3"/>
    <w:rsid w:val="008055EB"/>
    <w:rsid w:val="008077EE"/>
    <w:rsid w:val="00810953"/>
    <w:rsid w:val="00812D26"/>
    <w:rsid w:val="00813212"/>
    <w:rsid w:val="008139C2"/>
    <w:rsid w:val="0081402D"/>
    <w:rsid w:val="00814316"/>
    <w:rsid w:val="00814FE3"/>
    <w:rsid w:val="00815392"/>
    <w:rsid w:val="00815A44"/>
    <w:rsid w:val="008162B4"/>
    <w:rsid w:val="008166DC"/>
    <w:rsid w:val="00817837"/>
    <w:rsid w:val="00820752"/>
    <w:rsid w:val="00821840"/>
    <w:rsid w:val="008227DB"/>
    <w:rsid w:val="00822891"/>
    <w:rsid w:val="00823067"/>
    <w:rsid w:val="0082331D"/>
    <w:rsid w:val="00824574"/>
    <w:rsid w:val="00824A3E"/>
    <w:rsid w:val="00824CB1"/>
    <w:rsid w:val="00824D90"/>
    <w:rsid w:val="008253F1"/>
    <w:rsid w:val="0082612D"/>
    <w:rsid w:val="0082755C"/>
    <w:rsid w:val="00830A65"/>
    <w:rsid w:val="0083110A"/>
    <w:rsid w:val="0083204C"/>
    <w:rsid w:val="00832B65"/>
    <w:rsid w:val="00832EF5"/>
    <w:rsid w:val="00833078"/>
    <w:rsid w:val="008332E3"/>
    <w:rsid w:val="00834550"/>
    <w:rsid w:val="008345E4"/>
    <w:rsid w:val="008354A6"/>
    <w:rsid w:val="00835832"/>
    <w:rsid w:val="00835A66"/>
    <w:rsid w:val="00836D79"/>
    <w:rsid w:val="00837AFF"/>
    <w:rsid w:val="0084081D"/>
    <w:rsid w:val="00840890"/>
    <w:rsid w:val="008414E5"/>
    <w:rsid w:val="008420C6"/>
    <w:rsid w:val="00842C9A"/>
    <w:rsid w:val="00842E55"/>
    <w:rsid w:val="008451DD"/>
    <w:rsid w:val="00845912"/>
    <w:rsid w:val="00845C39"/>
    <w:rsid w:val="00845C4C"/>
    <w:rsid w:val="008464C5"/>
    <w:rsid w:val="00846907"/>
    <w:rsid w:val="00846978"/>
    <w:rsid w:val="0085037C"/>
    <w:rsid w:val="00850D27"/>
    <w:rsid w:val="00851B4D"/>
    <w:rsid w:val="0085439B"/>
    <w:rsid w:val="008563FC"/>
    <w:rsid w:val="00856D44"/>
    <w:rsid w:val="00857075"/>
    <w:rsid w:val="0085741B"/>
    <w:rsid w:val="00857588"/>
    <w:rsid w:val="00857FE4"/>
    <w:rsid w:val="008623A9"/>
    <w:rsid w:val="00862C38"/>
    <w:rsid w:val="00863FED"/>
    <w:rsid w:val="00864970"/>
    <w:rsid w:val="00865B28"/>
    <w:rsid w:val="008664EB"/>
    <w:rsid w:val="0086742E"/>
    <w:rsid w:val="00870E36"/>
    <w:rsid w:val="00871907"/>
    <w:rsid w:val="00871B71"/>
    <w:rsid w:val="00872B92"/>
    <w:rsid w:val="00872EE8"/>
    <w:rsid w:val="00872FB9"/>
    <w:rsid w:val="00873589"/>
    <w:rsid w:val="008747F2"/>
    <w:rsid w:val="00874F9F"/>
    <w:rsid w:val="00875037"/>
    <w:rsid w:val="00875C25"/>
    <w:rsid w:val="008760F2"/>
    <w:rsid w:val="00880498"/>
    <w:rsid w:val="00880628"/>
    <w:rsid w:val="0088063C"/>
    <w:rsid w:val="008806CB"/>
    <w:rsid w:val="00880785"/>
    <w:rsid w:val="00880AB9"/>
    <w:rsid w:val="00880B96"/>
    <w:rsid w:val="00881037"/>
    <w:rsid w:val="0088208F"/>
    <w:rsid w:val="008824A7"/>
    <w:rsid w:val="008849E7"/>
    <w:rsid w:val="00884DDC"/>
    <w:rsid w:val="00885C4D"/>
    <w:rsid w:val="008869AC"/>
    <w:rsid w:val="00886A86"/>
    <w:rsid w:val="00890993"/>
    <w:rsid w:val="00890DE4"/>
    <w:rsid w:val="00891DE3"/>
    <w:rsid w:val="00892AAB"/>
    <w:rsid w:val="00893CDC"/>
    <w:rsid w:val="00894749"/>
    <w:rsid w:val="00894EE0"/>
    <w:rsid w:val="00896556"/>
    <w:rsid w:val="00897177"/>
    <w:rsid w:val="0089723A"/>
    <w:rsid w:val="00897391"/>
    <w:rsid w:val="00897CEA"/>
    <w:rsid w:val="008A0FF6"/>
    <w:rsid w:val="008A1675"/>
    <w:rsid w:val="008A1BD1"/>
    <w:rsid w:val="008A2002"/>
    <w:rsid w:val="008A2BC9"/>
    <w:rsid w:val="008A31DA"/>
    <w:rsid w:val="008A34B6"/>
    <w:rsid w:val="008A3B92"/>
    <w:rsid w:val="008A44BF"/>
    <w:rsid w:val="008A4741"/>
    <w:rsid w:val="008A4A80"/>
    <w:rsid w:val="008A5C76"/>
    <w:rsid w:val="008A5F86"/>
    <w:rsid w:val="008A64B5"/>
    <w:rsid w:val="008A67CF"/>
    <w:rsid w:val="008A6DB0"/>
    <w:rsid w:val="008A7219"/>
    <w:rsid w:val="008B02A6"/>
    <w:rsid w:val="008B0873"/>
    <w:rsid w:val="008B11A4"/>
    <w:rsid w:val="008B3403"/>
    <w:rsid w:val="008B4683"/>
    <w:rsid w:val="008B4E8A"/>
    <w:rsid w:val="008B783A"/>
    <w:rsid w:val="008B7E78"/>
    <w:rsid w:val="008B7F11"/>
    <w:rsid w:val="008C16DC"/>
    <w:rsid w:val="008C1FC3"/>
    <w:rsid w:val="008C20CC"/>
    <w:rsid w:val="008C234E"/>
    <w:rsid w:val="008C3065"/>
    <w:rsid w:val="008C4578"/>
    <w:rsid w:val="008C59D2"/>
    <w:rsid w:val="008C5D54"/>
    <w:rsid w:val="008C657B"/>
    <w:rsid w:val="008C6A0A"/>
    <w:rsid w:val="008C6BC8"/>
    <w:rsid w:val="008D14F6"/>
    <w:rsid w:val="008D2742"/>
    <w:rsid w:val="008D300C"/>
    <w:rsid w:val="008D348E"/>
    <w:rsid w:val="008D44B0"/>
    <w:rsid w:val="008D4BCD"/>
    <w:rsid w:val="008D51EC"/>
    <w:rsid w:val="008D5CAC"/>
    <w:rsid w:val="008D5D28"/>
    <w:rsid w:val="008D6142"/>
    <w:rsid w:val="008D63E4"/>
    <w:rsid w:val="008D6449"/>
    <w:rsid w:val="008D77E9"/>
    <w:rsid w:val="008D7AE1"/>
    <w:rsid w:val="008D7C7C"/>
    <w:rsid w:val="008D7C7F"/>
    <w:rsid w:val="008D7FB8"/>
    <w:rsid w:val="008E046C"/>
    <w:rsid w:val="008E09A8"/>
    <w:rsid w:val="008E0AF6"/>
    <w:rsid w:val="008E27ED"/>
    <w:rsid w:val="008E3425"/>
    <w:rsid w:val="008E3753"/>
    <w:rsid w:val="008E499B"/>
    <w:rsid w:val="008E608E"/>
    <w:rsid w:val="008E6791"/>
    <w:rsid w:val="008E7222"/>
    <w:rsid w:val="008F0D71"/>
    <w:rsid w:val="008F100B"/>
    <w:rsid w:val="008F10A5"/>
    <w:rsid w:val="008F2665"/>
    <w:rsid w:val="008F29A5"/>
    <w:rsid w:val="008F2E47"/>
    <w:rsid w:val="008F38CE"/>
    <w:rsid w:val="008F44F5"/>
    <w:rsid w:val="008F619A"/>
    <w:rsid w:val="008F6384"/>
    <w:rsid w:val="008F63F8"/>
    <w:rsid w:val="008F6593"/>
    <w:rsid w:val="008F6A07"/>
    <w:rsid w:val="008F7017"/>
    <w:rsid w:val="008F70B1"/>
    <w:rsid w:val="0090162C"/>
    <w:rsid w:val="00901CF7"/>
    <w:rsid w:val="00902CEF"/>
    <w:rsid w:val="0090321B"/>
    <w:rsid w:val="00903576"/>
    <w:rsid w:val="0090484B"/>
    <w:rsid w:val="009050A2"/>
    <w:rsid w:val="009074FE"/>
    <w:rsid w:val="0090755E"/>
    <w:rsid w:val="00910543"/>
    <w:rsid w:val="009109E0"/>
    <w:rsid w:val="00911776"/>
    <w:rsid w:val="00911A9A"/>
    <w:rsid w:val="00911B52"/>
    <w:rsid w:val="00912BC2"/>
    <w:rsid w:val="00912C6C"/>
    <w:rsid w:val="00913D98"/>
    <w:rsid w:val="00913E46"/>
    <w:rsid w:val="00914B46"/>
    <w:rsid w:val="00914E98"/>
    <w:rsid w:val="009165CA"/>
    <w:rsid w:val="009209DE"/>
    <w:rsid w:val="00921712"/>
    <w:rsid w:val="00921BBC"/>
    <w:rsid w:val="00921E70"/>
    <w:rsid w:val="00922172"/>
    <w:rsid w:val="00922F3C"/>
    <w:rsid w:val="00923C42"/>
    <w:rsid w:val="00924EC0"/>
    <w:rsid w:val="00925397"/>
    <w:rsid w:val="00926290"/>
    <w:rsid w:val="0092646A"/>
    <w:rsid w:val="00926C63"/>
    <w:rsid w:val="00926E28"/>
    <w:rsid w:val="009308C5"/>
    <w:rsid w:val="00932D3F"/>
    <w:rsid w:val="00934F65"/>
    <w:rsid w:val="009357D9"/>
    <w:rsid w:val="00936F50"/>
    <w:rsid w:val="00941C94"/>
    <w:rsid w:val="009433D5"/>
    <w:rsid w:val="0094341C"/>
    <w:rsid w:val="00943F30"/>
    <w:rsid w:val="0094411D"/>
    <w:rsid w:val="00945128"/>
    <w:rsid w:val="009458DC"/>
    <w:rsid w:val="00945D25"/>
    <w:rsid w:val="00946078"/>
    <w:rsid w:val="00946A05"/>
    <w:rsid w:val="0094739A"/>
    <w:rsid w:val="00947CD1"/>
    <w:rsid w:val="00950568"/>
    <w:rsid w:val="009510FE"/>
    <w:rsid w:val="009523D9"/>
    <w:rsid w:val="00952D4C"/>
    <w:rsid w:val="00954349"/>
    <w:rsid w:val="0095442D"/>
    <w:rsid w:val="009544D4"/>
    <w:rsid w:val="009548DB"/>
    <w:rsid w:val="00954C67"/>
    <w:rsid w:val="00955058"/>
    <w:rsid w:val="0095575F"/>
    <w:rsid w:val="00955B9A"/>
    <w:rsid w:val="00956AEE"/>
    <w:rsid w:val="00956C73"/>
    <w:rsid w:val="00957265"/>
    <w:rsid w:val="00957772"/>
    <w:rsid w:val="009577A4"/>
    <w:rsid w:val="00957AFE"/>
    <w:rsid w:val="00960430"/>
    <w:rsid w:val="00960DB2"/>
    <w:rsid w:val="009611FC"/>
    <w:rsid w:val="00961ACF"/>
    <w:rsid w:val="009628A4"/>
    <w:rsid w:val="0096301E"/>
    <w:rsid w:val="0096340A"/>
    <w:rsid w:val="00964041"/>
    <w:rsid w:val="00964ABE"/>
    <w:rsid w:val="00964EE3"/>
    <w:rsid w:val="0096595F"/>
    <w:rsid w:val="0096698C"/>
    <w:rsid w:val="009672C8"/>
    <w:rsid w:val="00967769"/>
    <w:rsid w:val="00967E7A"/>
    <w:rsid w:val="00970835"/>
    <w:rsid w:val="009710DF"/>
    <w:rsid w:val="009716AC"/>
    <w:rsid w:val="00971E2C"/>
    <w:rsid w:val="00971E80"/>
    <w:rsid w:val="00972170"/>
    <w:rsid w:val="00972B52"/>
    <w:rsid w:val="00973B2F"/>
    <w:rsid w:val="00973E95"/>
    <w:rsid w:val="0097475E"/>
    <w:rsid w:val="00974E6C"/>
    <w:rsid w:val="0097529C"/>
    <w:rsid w:val="00976521"/>
    <w:rsid w:val="00977C67"/>
    <w:rsid w:val="00977D30"/>
    <w:rsid w:val="009803C0"/>
    <w:rsid w:val="00980E4C"/>
    <w:rsid w:val="00981472"/>
    <w:rsid w:val="0098193B"/>
    <w:rsid w:val="00981EC1"/>
    <w:rsid w:val="00983960"/>
    <w:rsid w:val="00984C92"/>
    <w:rsid w:val="009856ED"/>
    <w:rsid w:val="00985BF5"/>
    <w:rsid w:val="00985D08"/>
    <w:rsid w:val="00985EF2"/>
    <w:rsid w:val="009863CC"/>
    <w:rsid w:val="009904AC"/>
    <w:rsid w:val="00990D5D"/>
    <w:rsid w:val="0099192E"/>
    <w:rsid w:val="00991C50"/>
    <w:rsid w:val="00992334"/>
    <w:rsid w:val="00993DC0"/>
    <w:rsid w:val="00994DAA"/>
    <w:rsid w:val="009950A8"/>
    <w:rsid w:val="0099557A"/>
    <w:rsid w:val="0099577B"/>
    <w:rsid w:val="00995A32"/>
    <w:rsid w:val="00996619"/>
    <w:rsid w:val="00996C5C"/>
    <w:rsid w:val="0099709E"/>
    <w:rsid w:val="009979E5"/>
    <w:rsid w:val="009A073C"/>
    <w:rsid w:val="009A0EEC"/>
    <w:rsid w:val="009A1127"/>
    <w:rsid w:val="009A1B95"/>
    <w:rsid w:val="009A2614"/>
    <w:rsid w:val="009A4496"/>
    <w:rsid w:val="009A588B"/>
    <w:rsid w:val="009A5CD8"/>
    <w:rsid w:val="009A6822"/>
    <w:rsid w:val="009A694F"/>
    <w:rsid w:val="009A6CE2"/>
    <w:rsid w:val="009A712E"/>
    <w:rsid w:val="009A719D"/>
    <w:rsid w:val="009A721D"/>
    <w:rsid w:val="009A74FA"/>
    <w:rsid w:val="009A7990"/>
    <w:rsid w:val="009B0891"/>
    <w:rsid w:val="009B10B4"/>
    <w:rsid w:val="009B1463"/>
    <w:rsid w:val="009B34E0"/>
    <w:rsid w:val="009B34E5"/>
    <w:rsid w:val="009B43AB"/>
    <w:rsid w:val="009B4468"/>
    <w:rsid w:val="009B5CEE"/>
    <w:rsid w:val="009B5E9D"/>
    <w:rsid w:val="009B6027"/>
    <w:rsid w:val="009B6CBD"/>
    <w:rsid w:val="009C0291"/>
    <w:rsid w:val="009C096A"/>
    <w:rsid w:val="009C161E"/>
    <w:rsid w:val="009C2DC7"/>
    <w:rsid w:val="009C4032"/>
    <w:rsid w:val="009C420D"/>
    <w:rsid w:val="009C52CF"/>
    <w:rsid w:val="009C5BF5"/>
    <w:rsid w:val="009C73F1"/>
    <w:rsid w:val="009D03DC"/>
    <w:rsid w:val="009D0FC1"/>
    <w:rsid w:val="009D10A8"/>
    <w:rsid w:val="009D1822"/>
    <w:rsid w:val="009D2171"/>
    <w:rsid w:val="009D37A9"/>
    <w:rsid w:val="009D3A99"/>
    <w:rsid w:val="009D52EE"/>
    <w:rsid w:val="009D5402"/>
    <w:rsid w:val="009D5667"/>
    <w:rsid w:val="009D588D"/>
    <w:rsid w:val="009D5EE8"/>
    <w:rsid w:val="009D727E"/>
    <w:rsid w:val="009E01FC"/>
    <w:rsid w:val="009E125E"/>
    <w:rsid w:val="009E137B"/>
    <w:rsid w:val="009E13BB"/>
    <w:rsid w:val="009E22EE"/>
    <w:rsid w:val="009E3BBF"/>
    <w:rsid w:val="009E4F6D"/>
    <w:rsid w:val="009E5085"/>
    <w:rsid w:val="009E5515"/>
    <w:rsid w:val="009E57F9"/>
    <w:rsid w:val="009F0378"/>
    <w:rsid w:val="009F070A"/>
    <w:rsid w:val="009F148B"/>
    <w:rsid w:val="009F175C"/>
    <w:rsid w:val="009F2651"/>
    <w:rsid w:val="009F27AE"/>
    <w:rsid w:val="009F2D9A"/>
    <w:rsid w:val="009F32B2"/>
    <w:rsid w:val="009F32D9"/>
    <w:rsid w:val="009F32FB"/>
    <w:rsid w:val="009F525E"/>
    <w:rsid w:val="009F700E"/>
    <w:rsid w:val="00A00830"/>
    <w:rsid w:val="00A00A27"/>
    <w:rsid w:val="00A00B38"/>
    <w:rsid w:val="00A00E28"/>
    <w:rsid w:val="00A00F4B"/>
    <w:rsid w:val="00A01937"/>
    <w:rsid w:val="00A01958"/>
    <w:rsid w:val="00A01CC3"/>
    <w:rsid w:val="00A02C91"/>
    <w:rsid w:val="00A02CD0"/>
    <w:rsid w:val="00A05AA9"/>
    <w:rsid w:val="00A05F3B"/>
    <w:rsid w:val="00A06315"/>
    <w:rsid w:val="00A06593"/>
    <w:rsid w:val="00A0704A"/>
    <w:rsid w:val="00A073B3"/>
    <w:rsid w:val="00A077C2"/>
    <w:rsid w:val="00A100FA"/>
    <w:rsid w:val="00A10C05"/>
    <w:rsid w:val="00A10E8C"/>
    <w:rsid w:val="00A123AB"/>
    <w:rsid w:val="00A12506"/>
    <w:rsid w:val="00A13393"/>
    <w:rsid w:val="00A13728"/>
    <w:rsid w:val="00A13A15"/>
    <w:rsid w:val="00A1421C"/>
    <w:rsid w:val="00A14388"/>
    <w:rsid w:val="00A14A6B"/>
    <w:rsid w:val="00A157AC"/>
    <w:rsid w:val="00A16729"/>
    <w:rsid w:val="00A16853"/>
    <w:rsid w:val="00A16BDD"/>
    <w:rsid w:val="00A2129A"/>
    <w:rsid w:val="00A21986"/>
    <w:rsid w:val="00A22AEE"/>
    <w:rsid w:val="00A23260"/>
    <w:rsid w:val="00A23737"/>
    <w:rsid w:val="00A2484F"/>
    <w:rsid w:val="00A24E93"/>
    <w:rsid w:val="00A266C6"/>
    <w:rsid w:val="00A26AC1"/>
    <w:rsid w:val="00A270F6"/>
    <w:rsid w:val="00A2787B"/>
    <w:rsid w:val="00A3043C"/>
    <w:rsid w:val="00A30A05"/>
    <w:rsid w:val="00A30CE7"/>
    <w:rsid w:val="00A32364"/>
    <w:rsid w:val="00A323D4"/>
    <w:rsid w:val="00A33347"/>
    <w:rsid w:val="00A33ABF"/>
    <w:rsid w:val="00A33E44"/>
    <w:rsid w:val="00A34101"/>
    <w:rsid w:val="00A35C38"/>
    <w:rsid w:val="00A35EF5"/>
    <w:rsid w:val="00A360D0"/>
    <w:rsid w:val="00A36EB4"/>
    <w:rsid w:val="00A3782F"/>
    <w:rsid w:val="00A40DF8"/>
    <w:rsid w:val="00A41613"/>
    <w:rsid w:val="00A425B5"/>
    <w:rsid w:val="00A42B43"/>
    <w:rsid w:val="00A43444"/>
    <w:rsid w:val="00A43666"/>
    <w:rsid w:val="00A438A6"/>
    <w:rsid w:val="00A45194"/>
    <w:rsid w:val="00A4572F"/>
    <w:rsid w:val="00A4573D"/>
    <w:rsid w:val="00A461DF"/>
    <w:rsid w:val="00A467FC"/>
    <w:rsid w:val="00A47261"/>
    <w:rsid w:val="00A506CE"/>
    <w:rsid w:val="00A5070B"/>
    <w:rsid w:val="00A51AB1"/>
    <w:rsid w:val="00A51E41"/>
    <w:rsid w:val="00A52B16"/>
    <w:rsid w:val="00A53DE8"/>
    <w:rsid w:val="00A53E61"/>
    <w:rsid w:val="00A54135"/>
    <w:rsid w:val="00A54503"/>
    <w:rsid w:val="00A55EA0"/>
    <w:rsid w:val="00A60460"/>
    <w:rsid w:val="00A6168D"/>
    <w:rsid w:val="00A61DB7"/>
    <w:rsid w:val="00A6241E"/>
    <w:rsid w:val="00A63E8F"/>
    <w:rsid w:val="00A666E4"/>
    <w:rsid w:val="00A66D35"/>
    <w:rsid w:val="00A6711F"/>
    <w:rsid w:val="00A71497"/>
    <w:rsid w:val="00A716FE"/>
    <w:rsid w:val="00A72DCD"/>
    <w:rsid w:val="00A7313F"/>
    <w:rsid w:val="00A7368E"/>
    <w:rsid w:val="00A7496A"/>
    <w:rsid w:val="00A760D1"/>
    <w:rsid w:val="00A763BE"/>
    <w:rsid w:val="00A76464"/>
    <w:rsid w:val="00A77356"/>
    <w:rsid w:val="00A77AD7"/>
    <w:rsid w:val="00A80583"/>
    <w:rsid w:val="00A80731"/>
    <w:rsid w:val="00A81297"/>
    <w:rsid w:val="00A81360"/>
    <w:rsid w:val="00A83B6C"/>
    <w:rsid w:val="00A84016"/>
    <w:rsid w:val="00A842F2"/>
    <w:rsid w:val="00A856CE"/>
    <w:rsid w:val="00A86973"/>
    <w:rsid w:val="00A8704D"/>
    <w:rsid w:val="00A877E8"/>
    <w:rsid w:val="00A90976"/>
    <w:rsid w:val="00A91380"/>
    <w:rsid w:val="00A913F2"/>
    <w:rsid w:val="00A92990"/>
    <w:rsid w:val="00A93062"/>
    <w:rsid w:val="00A9416D"/>
    <w:rsid w:val="00A94BA2"/>
    <w:rsid w:val="00A96DF1"/>
    <w:rsid w:val="00A9737A"/>
    <w:rsid w:val="00A97CF2"/>
    <w:rsid w:val="00AA06D1"/>
    <w:rsid w:val="00AA1790"/>
    <w:rsid w:val="00AA1919"/>
    <w:rsid w:val="00AA28C1"/>
    <w:rsid w:val="00AA2FB2"/>
    <w:rsid w:val="00AA39E6"/>
    <w:rsid w:val="00AA3D60"/>
    <w:rsid w:val="00AA56FC"/>
    <w:rsid w:val="00AA5A42"/>
    <w:rsid w:val="00AA5BC8"/>
    <w:rsid w:val="00AA5BC9"/>
    <w:rsid w:val="00AA5FB9"/>
    <w:rsid w:val="00AA620D"/>
    <w:rsid w:val="00AA6417"/>
    <w:rsid w:val="00AA69CF"/>
    <w:rsid w:val="00AA7063"/>
    <w:rsid w:val="00AA71A5"/>
    <w:rsid w:val="00AB074F"/>
    <w:rsid w:val="00AB13EB"/>
    <w:rsid w:val="00AB19C0"/>
    <w:rsid w:val="00AB2D36"/>
    <w:rsid w:val="00AB39A6"/>
    <w:rsid w:val="00AB3CFA"/>
    <w:rsid w:val="00AB453C"/>
    <w:rsid w:val="00AB46AF"/>
    <w:rsid w:val="00AB552C"/>
    <w:rsid w:val="00AB5730"/>
    <w:rsid w:val="00AB59AB"/>
    <w:rsid w:val="00AB6A01"/>
    <w:rsid w:val="00AB6C3C"/>
    <w:rsid w:val="00AB7BB6"/>
    <w:rsid w:val="00AC0524"/>
    <w:rsid w:val="00AC098C"/>
    <w:rsid w:val="00AC1138"/>
    <w:rsid w:val="00AC138E"/>
    <w:rsid w:val="00AC178A"/>
    <w:rsid w:val="00AC2CD7"/>
    <w:rsid w:val="00AC2D32"/>
    <w:rsid w:val="00AC309E"/>
    <w:rsid w:val="00AC3BFC"/>
    <w:rsid w:val="00AC3F3D"/>
    <w:rsid w:val="00AC44ED"/>
    <w:rsid w:val="00AC5875"/>
    <w:rsid w:val="00AC79E4"/>
    <w:rsid w:val="00AD03FB"/>
    <w:rsid w:val="00AD0F0F"/>
    <w:rsid w:val="00AD1388"/>
    <w:rsid w:val="00AD14E9"/>
    <w:rsid w:val="00AD2627"/>
    <w:rsid w:val="00AD28A4"/>
    <w:rsid w:val="00AD2EA3"/>
    <w:rsid w:val="00AD38DA"/>
    <w:rsid w:val="00AD4047"/>
    <w:rsid w:val="00AD5617"/>
    <w:rsid w:val="00AD5C05"/>
    <w:rsid w:val="00AD5EF9"/>
    <w:rsid w:val="00AD617A"/>
    <w:rsid w:val="00AD6AF0"/>
    <w:rsid w:val="00AD73C2"/>
    <w:rsid w:val="00AD75D8"/>
    <w:rsid w:val="00AD7866"/>
    <w:rsid w:val="00AE00E1"/>
    <w:rsid w:val="00AE03C7"/>
    <w:rsid w:val="00AE065D"/>
    <w:rsid w:val="00AE0DEA"/>
    <w:rsid w:val="00AE14B1"/>
    <w:rsid w:val="00AE167D"/>
    <w:rsid w:val="00AE1EF9"/>
    <w:rsid w:val="00AE4D2E"/>
    <w:rsid w:val="00AE4FE6"/>
    <w:rsid w:val="00AE5399"/>
    <w:rsid w:val="00AE57B9"/>
    <w:rsid w:val="00AE6D48"/>
    <w:rsid w:val="00AE72D0"/>
    <w:rsid w:val="00AE7353"/>
    <w:rsid w:val="00AF0389"/>
    <w:rsid w:val="00AF0691"/>
    <w:rsid w:val="00AF261D"/>
    <w:rsid w:val="00AF2A88"/>
    <w:rsid w:val="00AF3BA9"/>
    <w:rsid w:val="00AF3D6E"/>
    <w:rsid w:val="00AF42A4"/>
    <w:rsid w:val="00AF4817"/>
    <w:rsid w:val="00AF4945"/>
    <w:rsid w:val="00AF52A3"/>
    <w:rsid w:val="00AF6385"/>
    <w:rsid w:val="00AF6E2D"/>
    <w:rsid w:val="00B003AE"/>
    <w:rsid w:val="00B00E77"/>
    <w:rsid w:val="00B010BD"/>
    <w:rsid w:val="00B015AF"/>
    <w:rsid w:val="00B016A2"/>
    <w:rsid w:val="00B01E93"/>
    <w:rsid w:val="00B01FA7"/>
    <w:rsid w:val="00B024C7"/>
    <w:rsid w:val="00B025D1"/>
    <w:rsid w:val="00B043DB"/>
    <w:rsid w:val="00B04C3E"/>
    <w:rsid w:val="00B06906"/>
    <w:rsid w:val="00B06D04"/>
    <w:rsid w:val="00B10574"/>
    <w:rsid w:val="00B10F2C"/>
    <w:rsid w:val="00B111A3"/>
    <w:rsid w:val="00B11E23"/>
    <w:rsid w:val="00B12C89"/>
    <w:rsid w:val="00B12D00"/>
    <w:rsid w:val="00B13481"/>
    <w:rsid w:val="00B150F6"/>
    <w:rsid w:val="00B16958"/>
    <w:rsid w:val="00B16B6C"/>
    <w:rsid w:val="00B16C42"/>
    <w:rsid w:val="00B172DE"/>
    <w:rsid w:val="00B17365"/>
    <w:rsid w:val="00B175D2"/>
    <w:rsid w:val="00B17A2A"/>
    <w:rsid w:val="00B17D47"/>
    <w:rsid w:val="00B17EB0"/>
    <w:rsid w:val="00B20DF6"/>
    <w:rsid w:val="00B21424"/>
    <w:rsid w:val="00B21719"/>
    <w:rsid w:val="00B231CE"/>
    <w:rsid w:val="00B257BB"/>
    <w:rsid w:val="00B25979"/>
    <w:rsid w:val="00B25F03"/>
    <w:rsid w:val="00B26349"/>
    <w:rsid w:val="00B26D9B"/>
    <w:rsid w:val="00B2759B"/>
    <w:rsid w:val="00B31C5E"/>
    <w:rsid w:val="00B32841"/>
    <w:rsid w:val="00B33898"/>
    <w:rsid w:val="00B34218"/>
    <w:rsid w:val="00B359C1"/>
    <w:rsid w:val="00B364E4"/>
    <w:rsid w:val="00B37828"/>
    <w:rsid w:val="00B37C85"/>
    <w:rsid w:val="00B404EC"/>
    <w:rsid w:val="00B4280D"/>
    <w:rsid w:val="00B42A66"/>
    <w:rsid w:val="00B43408"/>
    <w:rsid w:val="00B435DE"/>
    <w:rsid w:val="00B43E91"/>
    <w:rsid w:val="00B44397"/>
    <w:rsid w:val="00B44B90"/>
    <w:rsid w:val="00B44CAC"/>
    <w:rsid w:val="00B44DB0"/>
    <w:rsid w:val="00B44F2F"/>
    <w:rsid w:val="00B458E3"/>
    <w:rsid w:val="00B46098"/>
    <w:rsid w:val="00B4648C"/>
    <w:rsid w:val="00B469D2"/>
    <w:rsid w:val="00B46D47"/>
    <w:rsid w:val="00B4708D"/>
    <w:rsid w:val="00B47564"/>
    <w:rsid w:val="00B47D62"/>
    <w:rsid w:val="00B501DA"/>
    <w:rsid w:val="00B50371"/>
    <w:rsid w:val="00B50BF2"/>
    <w:rsid w:val="00B511D2"/>
    <w:rsid w:val="00B51B95"/>
    <w:rsid w:val="00B51D95"/>
    <w:rsid w:val="00B52913"/>
    <w:rsid w:val="00B53C5D"/>
    <w:rsid w:val="00B54A6B"/>
    <w:rsid w:val="00B54E70"/>
    <w:rsid w:val="00B54F43"/>
    <w:rsid w:val="00B550DB"/>
    <w:rsid w:val="00B55913"/>
    <w:rsid w:val="00B5596E"/>
    <w:rsid w:val="00B55EF9"/>
    <w:rsid w:val="00B57D0C"/>
    <w:rsid w:val="00B61F08"/>
    <w:rsid w:val="00B62C8E"/>
    <w:rsid w:val="00B62D5F"/>
    <w:rsid w:val="00B64112"/>
    <w:rsid w:val="00B6412E"/>
    <w:rsid w:val="00B653B0"/>
    <w:rsid w:val="00B67564"/>
    <w:rsid w:val="00B70590"/>
    <w:rsid w:val="00B70BD3"/>
    <w:rsid w:val="00B72C88"/>
    <w:rsid w:val="00B72ED0"/>
    <w:rsid w:val="00B7307D"/>
    <w:rsid w:val="00B73159"/>
    <w:rsid w:val="00B748AA"/>
    <w:rsid w:val="00B7567C"/>
    <w:rsid w:val="00B77FD1"/>
    <w:rsid w:val="00B83070"/>
    <w:rsid w:val="00B83333"/>
    <w:rsid w:val="00B83E13"/>
    <w:rsid w:val="00B849EB"/>
    <w:rsid w:val="00B8500D"/>
    <w:rsid w:val="00B854ED"/>
    <w:rsid w:val="00B8632E"/>
    <w:rsid w:val="00B866B7"/>
    <w:rsid w:val="00B86E6D"/>
    <w:rsid w:val="00B87303"/>
    <w:rsid w:val="00B905D4"/>
    <w:rsid w:val="00B91058"/>
    <w:rsid w:val="00B9197E"/>
    <w:rsid w:val="00B94251"/>
    <w:rsid w:val="00B954A0"/>
    <w:rsid w:val="00B95906"/>
    <w:rsid w:val="00B95930"/>
    <w:rsid w:val="00B96D3F"/>
    <w:rsid w:val="00BA04AB"/>
    <w:rsid w:val="00BA0B3D"/>
    <w:rsid w:val="00BA2024"/>
    <w:rsid w:val="00BA24E9"/>
    <w:rsid w:val="00BA263C"/>
    <w:rsid w:val="00BA2DAD"/>
    <w:rsid w:val="00BA3AEE"/>
    <w:rsid w:val="00BA3B1D"/>
    <w:rsid w:val="00BA67F1"/>
    <w:rsid w:val="00BA6E5D"/>
    <w:rsid w:val="00BA7417"/>
    <w:rsid w:val="00BA77F6"/>
    <w:rsid w:val="00BB020E"/>
    <w:rsid w:val="00BB0D9E"/>
    <w:rsid w:val="00BB18B2"/>
    <w:rsid w:val="00BB1EE0"/>
    <w:rsid w:val="00BB244A"/>
    <w:rsid w:val="00BB2803"/>
    <w:rsid w:val="00BB52E3"/>
    <w:rsid w:val="00BB5451"/>
    <w:rsid w:val="00BB617D"/>
    <w:rsid w:val="00BB6A0B"/>
    <w:rsid w:val="00BC0239"/>
    <w:rsid w:val="00BC1593"/>
    <w:rsid w:val="00BC1BFA"/>
    <w:rsid w:val="00BC1BFF"/>
    <w:rsid w:val="00BC200F"/>
    <w:rsid w:val="00BC2262"/>
    <w:rsid w:val="00BC26C8"/>
    <w:rsid w:val="00BC2DB7"/>
    <w:rsid w:val="00BC2E73"/>
    <w:rsid w:val="00BC70BF"/>
    <w:rsid w:val="00BC7A0E"/>
    <w:rsid w:val="00BD023D"/>
    <w:rsid w:val="00BD06AD"/>
    <w:rsid w:val="00BD0782"/>
    <w:rsid w:val="00BD0C83"/>
    <w:rsid w:val="00BD1370"/>
    <w:rsid w:val="00BD1B4F"/>
    <w:rsid w:val="00BD256C"/>
    <w:rsid w:val="00BD3DBB"/>
    <w:rsid w:val="00BD3E32"/>
    <w:rsid w:val="00BD44BD"/>
    <w:rsid w:val="00BD47C0"/>
    <w:rsid w:val="00BD49CA"/>
    <w:rsid w:val="00BD4B2D"/>
    <w:rsid w:val="00BD5CA8"/>
    <w:rsid w:val="00BD621F"/>
    <w:rsid w:val="00BD6A67"/>
    <w:rsid w:val="00BE0826"/>
    <w:rsid w:val="00BE13D3"/>
    <w:rsid w:val="00BE1D0D"/>
    <w:rsid w:val="00BE21FA"/>
    <w:rsid w:val="00BE33BB"/>
    <w:rsid w:val="00BE4527"/>
    <w:rsid w:val="00BE6E72"/>
    <w:rsid w:val="00BE77CA"/>
    <w:rsid w:val="00BF05B1"/>
    <w:rsid w:val="00BF0B55"/>
    <w:rsid w:val="00BF4032"/>
    <w:rsid w:val="00BF4681"/>
    <w:rsid w:val="00BF4EE4"/>
    <w:rsid w:val="00BF54F1"/>
    <w:rsid w:val="00BF670A"/>
    <w:rsid w:val="00BF7E1A"/>
    <w:rsid w:val="00C007CC"/>
    <w:rsid w:val="00C014AD"/>
    <w:rsid w:val="00C02491"/>
    <w:rsid w:val="00C03CD0"/>
    <w:rsid w:val="00C04F5B"/>
    <w:rsid w:val="00C05286"/>
    <w:rsid w:val="00C06D0D"/>
    <w:rsid w:val="00C07048"/>
    <w:rsid w:val="00C0721E"/>
    <w:rsid w:val="00C07296"/>
    <w:rsid w:val="00C07E6D"/>
    <w:rsid w:val="00C101A6"/>
    <w:rsid w:val="00C1100B"/>
    <w:rsid w:val="00C11B39"/>
    <w:rsid w:val="00C121FC"/>
    <w:rsid w:val="00C13C1B"/>
    <w:rsid w:val="00C14A46"/>
    <w:rsid w:val="00C14C6D"/>
    <w:rsid w:val="00C15052"/>
    <w:rsid w:val="00C157F2"/>
    <w:rsid w:val="00C166E6"/>
    <w:rsid w:val="00C17976"/>
    <w:rsid w:val="00C202F2"/>
    <w:rsid w:val="00C20651"/>
    <w:rsid w:val="00C20DE5"/>
    <w:rsid w:val="00C2160A"/>
    <w:rsid w:val="00C2261F"/>
    <w:rsid w:val="00C23230"/>
    <w:rsid w:val="00C2427B"/>
    <w:rsid w:val="00C26B36"/>
    <w:rsid w:val="00C26F3E"/>
    <w:rsid w:val="00C270A0"/>
    <w:rsid w:val="00C273B9"/>
    <w:rsid w:val="00C27847"/>
    <w:rsid w:val="00C27A1E"/>
    <w:rsid w:val="00C27E6B"/>
    <w:rsid w:val="00C31405"/>
    <w:rsid w:val="00C33B04"/>
    <w:rsid w:val="00C348BC"/>
    <w:rsid w:val="00C3575B"/>
    <w:rsid w:val="00C37ABD"/>
    <w:rsid w:val="00C37C39"/>
    <w:rsid w:val="00C37F72"/>
    <w:rsid w:val="00C40C29"/>
    <w:rsid w:val="00C4103F"/>
    <w:rsid w:val="00C41766"/>
    <w:rsid w:val="00C42966"/>
    <w:rsid w:val="00C43624"/>
    <w:rsid w:val="00C47033"/>
    <w:rsid w:val="00C500CF"/>
    <w:rsid w:val="00C505BD"/>
    <w:rsid w:val="00C51F88"/>
    <w:rsid w:val="00C522F9"/>
    <w:rsid w:val="00C52531"/>
    <w:rsid w:val="00C52D41"/>
    <w:rsid w:val="00C531FF"/>
    <w:rsid w:val="00C53D39"/>
    <w:rsid w:val="00C54313"/>
    <w:rsid w:val="00C54EFA"/>
    <w:rsid w:val="00C55478"/>
    <w:rsid w:val="00C560AA"/>
    <w:rsid w:val="00C56A1D"/>
    <w:rsid w:val="00C56C63"/>
    <w:rsid w:val="00C600F4"/>
    <w:rsid w:val="00C6033F"/>
    <w:rsid w:val="00C6074A"/>
    <w:rsid w:val="00C60903"/>
    <w:rsid w:val="00C62E95"/>
    <w:rsid w:val="00C63300"/>
    <w:rsid w:val="00C639F5"/>
    <w:rsid w:val="00C649D9"/>
    <w:rsid w:val="00C64C8A"/>
    <w:rsid w:val="00C65032"/>
    <w:rsid w:val="00C66BCA"/>
    <w:rsid w:val="00C66DF9"/>
    <w:rsid w:val="00C70A4A"/>
    <w:rsid w:val="00C71464"/>
    <w:rsid w:val="00C7146B"/>
    <w:rsid w:val="00C71DA1"/>
    <w:rsid w:val="00C71DFD"/>
    <w:rsid w:val="00C73249"/>
    <w:rsid w:val="00C73589"/>
    <w:rsid w:val="00C73676"/>
    <w:rsid w:val="00C74475"/>
    <w:rsid w:val="00C74AC5"/>
    <w:rsid w:val="00C755EF"/>
    <w:rsid w:val="00C768FD"/>
    <w:rsid w:val="00C7770E"/>
    <w:rsid w:val="00C77BC6"/>
    <w:rsid w:val="00C81FA4"/>
    <w:rsid w:val="00C822C1"/>
    <w:rsid w:val="00C833A0"/>
    <w:rsid w:val="00C83540"/>
    <w:rsid w:val="00C8377C"/>
    <w:rsid w:val="00C83F88"/>
    <w:rsid w:val="00C84E51"/>
    <w:rsid w:val="00C853F1"/>
    <w:rsid w:val="00C8657F"/>
    <w:rsid w:val="00C86B00"/>
    <w:rsid w:val="00C8703D"/>
    <w:rsid w:val="00C87C2C"/>
    <w:rsid w:val="00C87DEE"/>
    <w:rsid w:val="00C9018C"/>
    <w:rsid w:val="00C9216F"/>
    <w:rsid w:val="00C92C1B"/>
    <w:rsid w:val="00C94337"/>
    <w:rsid w:val="00C9468F"/>
    <w:rsid w:val="00C9609C"/>
    <w:rsid w:val="00C96114"/>
    <w:rsid w:val="00C9742C"/>
    <w:rsid w:val="00C97499"/>
    <w:rsid w:val="00C9799C"/>
    <w:rsid w:val="00C97BAA"/>
    <w:rsid w:val="00CA055B"/>
    <w:rsid w:val="00CA0D3B"/>
    <w:rsid w:val="00CA1787"/>
    <w:rsid w:val="00CA2117"/>
    <w:rsid w:val="00CA491E"/>
    <w:rsid w:val="00CA7147"/>
    <w:rsid w:val="00CA7E9D"/>
    <w:rsid w:val="00CB0991"/>
    <w:rsid w:val="00CB1786"/>
    <w:rsid w:val="00CB20FA"/>
    <w:rsid w:val="00CB2290"/>
    <w:rsid w:val="00CB2315"/>
    <w:rsid w:val="00CB2C68"/>
    <w:rsid w:val="00CB38BF"/>
    <w:rsid w:val="00CB4920"/>
    <w:rsid w:val="00CB588D"/>
    <w:rsid w:val="00CB59CB"/>
    <w:rsid w:val="00CB6252"/>
    <w:rsid w:val="00CB67D5"/>
    <w:rsid w:val="00CB7DEA"/>
    <w:rsid w:val="00CC03D5"/>
    <w:rsid w:val="00CC0E72"/>
    <w:rsid w:val="00CC1349"/>
    <w:rsid w:val="00CC33A4"/>
    <w:rsid w:val="00CC40E1"/>
    <w:rsid w:val="00CC570A"/>
    <w:rsid w:val="00CC6222"/>
    <w:rsid w:val="00CC7211"/>
    <w:rsid w:val="00CC74C3"/>
    <w:rsid w:val="00CC7DEC"/>
    <w:rsid w:val="00CD09F7"/>
    <w:rsid w:val="00CD1A0B"/>
    <w:rsid w:val="00CD1C37"/>
    <w:rsid w:val="00CD208B"/>
    <w:rsid w:val="00CD2284"/>
    <w:rsid w:val="00CD2760"/>
    <w:rsid w:val="00CD385F"/>
    <w:rsid w:val="00CD4452"/>
    <w:rsid w:val="00CD541F"/>
    <w:rsid w:val="00CD5B43"/>
    <w:rsid w:val="00CD5F9E"/>
    <w:rsid w:val="00CD626E"/>
    <w:rsid w:val="00CD642F"/>
    <w:rsid w:val="00CD64E6"/>
    <w:rsid w:val="00CD7A9C"/>
    <w:rsid w:val="00CD7B35"/>
    <w:rsid w:val="00CE049F"/>
    <w:rsid w:val="00CE11DD"/>
    <w:rsid w:val="00CE2439"/>
    <w:rsid w:val="00CE2D5F"/>
    <w:rsid w:val="00CE3118"/>
    <w:rsid w:val="00CE3222"/>
    <w:rsid w:val="00CE446E"/>
    <w:rsid w:val="00CE4C67"/>
    <w:rsid w:val="00CE4F7E"/>
    <w:rsid w:val="00CE5C9D"/>
    <w:rsid w:val="00CE658B"/>
    <w:rsid w:val="00CE659B"/>
    <w:rsid w:val="00CE7A10"/>
    <w:rsid w:val="00CE7ACA"/>
    <w:rsid w:val="00CE7B20"/>
    <w:rsid w:val="00CE7D6F"/>
    <w:rsid w:val="00CE7E65"/>
    <w:rsid w:val="00CF0270"/>
    <w:rsid w:val="00CF14DA"/>
    <w:rsid w:val="00CF1566"/>
    <w:rsid w:val="00CF18DF"/>
    <w:rsid w:val="00CF28CA"/>
    <w:rsid w:val="00CF3C57"/>
    <w:rsid w:val="00CF3F5E"/>
    <w:rsid w:val="00CF403F"/>
    <w:rsid w:val="00CF45C5"/>
    <w:rsid w:val="00CF6593"/>
    <w:rsid w:val="00CF682F"/>
    <w:rsid w:val="00CF720C"/>
    <w:rsid w:val="00CF7248"/>
    <w:rsid w:val="00CF7856"/>
    <w:rsid w:val="00D002FD"/>
    <w:rsid w:val="00D00C27"/>
    <w:rsid w:val="00D00F96"/>
    <w:rsid w:val="00D016AB"/>
    <w:rsid w:val="00D02058"/>
    <w:rsid w:val="00D024A4"/>
    <w:rsid w:val="00D02CED"/>
    <w:rsid w:val="00D0304E"/>
    <w:rsid w:val="00D03B8C"/>
    <w:rsid w:val="00D03FE7"/>
    <w:rsid w:val="00D06A6B"/>
    <w:rsid w:val="00D06BBF"/>
    <w:rsid w:val="00D0712A"/>
    <w:rsid w:val="00D07159"/>
    <w:rsid w:val="00D10314"/>
    <w:rsid w:val="00D10BA2"/>
    <w:rsid w:val="00D1134A"/>
    <w:rsid w:val="00D11F57"/>
    <w:rsid w:val="00D123FD"/>
    <w:rsid w:val="00D1286E"/>
    <w:rsid w:val="00D144CC"/>
    <w:rsid w:val="00D14A3D"/>
    <w:rsid w:val="00D15292"/>
    <w:rsid w:val="00D1558B"/>
    <w:rsid w:val="00D15A1F"/>
    <w:rsid w:val="00D15C07"/>
    <w:rsid w:val="00D15DCA"/>
    <w:rsid w:val="00D16362"/>
    <w:rsid w:val="00D16731"/>
    <w:rsid w:val="00D16888"/>
    <w:rsid w:val="00D16A93"/>
    <w:rsid w:val="00D1792A"/>
    <w:rsid w:val="00D17B0E"/>
    <w:rsid w:val="00D20180"/>
    <w:rsid w:val="00D204CD"/>
    <w:rsid w:val="00D20BE7"/>
    <w:rsid w:val="00D20CF7"/>
    <w:rsid w:val="00D20FDD"/>
    <w:rsid w:val="00D220A7"/>
    <w:rsid w:val="00D23218"/>
    <w:rsid w:val="00D233AB"/>
    <w:rsid w:val="00D24084"/>
    <w:rsid w:val="00D2471F"/>
    <w:rsid w:val="00D24A3F"/>
    <w:rsid w:val="00D24BA8"/>
    <w:rsid w:val="00D25B79"/>
    <w:rsid w:val="00D269EB"/>
    <w:rsid w:val="00D26DA5"/>
    <w:rsid w:val="00D30182"/>
    <w:rsid w:val="00D3061A"/>
    <w:rsid w:val="00D30B19"/>
    <w:rsid w:val="00D30EA3"/>
    <w:rsid w:val="00D3284A"/>
    <w:rsid w:val="00D32C12"/>
    <w:rsid w:val="00D35FB5"/>
    <w:rsid w:val="00D362C1"/>
    <w:rsid w:val="00D36DC0"/>
    <w:rsid w:val="00D3782A"/>
    <w:rsid w:val="00D37C48"/>
    <w:rsid w:val="00D37DB2"/>
    <w:rsid w:val="00D403CE"/>
    <w:rsid w:val="00D41B91"/>
    <w:rsid w:val="00D428A4"/>
    <w:rsid w:val="00D4362A"/>
    <w:rsid w:val="00D43B6B"/>
    <w:rsid w:val="00D43DB7"/>
    <w:rsid w:val="00D44432"/>
    <w:rsid w:val="00D453C7"/>
    <w:rsid w:val="00D45AD8"/>
    <w:rsid w:val="00D45FF0"/>
    <w:rsid w:val="00D46B92"/>
    <w:rsid w:val="00D46CDA"/>
    <w:rsid w:val="00D47898"/>
    <w:rsid w:val="00D47A61"/>
    <w:rsid w:val="00D50D73"/>
    <w:rsid w:val="00D512EF"/>
    <w:rsid w:val="00D51AE0"/>
    <w:rsid w:val="00D51D85"/>
    <w:rsid w:val="00D526A5"/>
    <w:rsid w:val="00D54491"/>
    <w:rsid w:val="00D549FC"/>
    <w:rsid w:val="00D54D64"/>
    <w:rsid w:val="00D54D73"/>
    <w:rsid w:val="00D55092"/>
    <w:rsid w:val="00D556EC"/>
    <w:rsid w:val="00D55DEE"/>
    <w:rsid w:val="00D564BE"/>
    <w:rsid w:val="00D564D3"/>
    <w:rsid w:val="00D56942"/>
    <w:rsid w:val="00D56C8B"/>
    <w:rsid w:val="00D56D88"/>
    <w:rsid w:val="00D57EC7"/>
    <w:rsid w:val="00D57EF7"/>
    <w:rsid w:val="00D60CCE"/>
    <w:rsid w:val="00D61233"/>
    <w:rsid w:val="00D61D12"/>
    <w:rsid w:val="00D6252A"/>
    <w:rsid w:val="00D62CAA"/>
    <w:rsid w:val="00D62EB9"/>
    <w:rsid w:val="00D6393E"/>
    <w:rsid w:val="00D63DE5"/>
    <w:rsid w:val="00D65394"/>
    <w:rsid w:val="00D65F61"/>
    <w:rsid w:val="00D6685D"/>
    <w:rsid w:val="00D67699"/>
    <w:rsid w:val="00D700FB"/>
    <w:rsid w:val="00D703A2"/>
    <w:rsid w:val="00D708B0"/>
    <w:rsid w:val="00D71304"/>
    <w:rsid w:val="00D718BA"/>
    <w:rsid w:val="00D732BD"/>
    <w:rsid w:val="00D73E33"/>
    <w:rsid w:val="00D7519D"/>
    <w:rsid w:val="00D76D2E"/>
    <w:rsid w:val="00D77051"/>
    <w:rsid w:val="00D802BB"/>
    <w:rsid w:val="00D81166"/>
    <w:rsid w:val="00D81FE0"/>
    <w:rsid w:val="00D823E2"/>
    <w:rsid w:val="00D82951"/>
    <w:rsid w:val="00D839DA"/>
    <w:rsid w:val="00D84210"/>
    <w:rsid w:val="00D8448E"/>
    <w:rsid w:val="00D84664"/>
    <w:rsid w:val="00D84DB1"/>
    <w:rsid w:val="00D87833"/>
    <w:rsid w:val="00D900C0"/>
    <w:rsid w:val="00D90279"/>
    <w:rsid w:val="00D916E3"/>
    <w:rsid w:val="00D918A6"/>
    <w:rsid w:val="00D91FCA"/>
    <w:rsid w:val="00D923EE"/>
    <w:rsid w:val="00D9503D"/>
    <w:rsid w:val="00D97369"/>
    <w:rsid w:val="00DA0414"/>
    <w:rsid w:val="00DA0576"/>
    <w:rsid w:val="00DA0E35"/>
    <w:rsid w:val="00DA112C"/>
    <w:rsid w:val="00DA14B2"/>
    <w:rsid w:val="00DA2107"/>
    <w:rsid w:val="00DA2174"/>
    <w:rsid w:val="00DA25DE"/>
    <w:rsid w:val="00DA428A"/>
    <w:rsid w:val="00DA4300"/>
    <w:rsid w:val="00DA45B3"/>
    <w:rsid w:val="00DA46A0"/>
    <w:rsid w:val="00DA4AC1"/>
    <w:rsid w:val="00DA4F0D"/>
    <w:rsid w:val="00DA50EE"/>
    <w:rsid w:val="00DA52CA"/>
    <w:rsid w:val="00DA6153"/>
    <w:rsid w:val="00DA6EB8"/>
    <w:rsid w:val="00DB03C7"/>
    <w:rsid w:val="00DB10E2"/>
    <w:rsid w:val="00DB1B39"/>
    <w:rsid w:val="00DB1BA8"/>
    <w:rsid w:val="00DB1C4E"/>
    <w:rsid w:val="00DB1E3E"/>
    <w:rsid w:val="00DB20A2"/>
    <w:rsid w:val="00DB21B1"/>
    <w:rsid w:val="00DB2222"/>
    <w:rsid w:val="00DB267A"/>
    <w:rsid w:val="00DB2695"/>
    <w:rsid w:val="00DB2C8B"/>
    <w:rsid w:val="00DB2E4C"/>
    <w:rsid w:val="00DB2EDB"/>
    <w:rsid w:val="00DB4908"/>
    <w:rsid w:val="00DB4AEE"/>
    <w:rsid w:val="00DB5979"/>
    <w:rsid w:val="00DB6BA5"/>
    <w:rsid w:val="00DB7765"/>
    <w:rsid w:val="00DB7E31"/>
    <w:rsid w:val="00DC01CE"/>
    <w:rsid w:val="00DC0B93"/>
    <w:rsid w:val="00DC1015"/>
    <w:rsid w:val="00DC1229"/>
    <w:rsid w:val="00DC1393"/>
    <w:rsid w:val="00DC1A0F"/>
    <w:rsid w:val="00DC1EC2"/>
    <w:rsid w:val="00DC2058"/>
    <w:rsid w:val="00DC2701"/>
    <w:rsid w:val="00DC2714"/>
    <w:rsid w:val="00DC29DE"/>
    <w:rsid w:val="00DC2A37"/>
    <w:rsid w:val="00DC3199"/>
    <w:rsid w:val="00DC6E1E"/>
    <w:rsid w:val="00DC71C9"/>
    <w:rsid w:val="00DC7592"/>
    <w:rsid w:val="00DD07FE"/>
    <w:rsid w:val="00DD092B"/>
    <w:rsid w:val="00DD156F"/>
    <w:rsid w:val="00DD2F6B"/>
    <w:rsid w:val="00DD455A"/>
    <w:rsid w:val="00DD5700"/>
    <w:rsid w:val="00DD5848"/>
    <w:rsid w:val="00DD5A0B"/>
    <w:rsid w:val="00DD5E68"/>
    <w:rsid w:val="00DD6F88"/>
    <w:rsid w:val="00DE0A5E"/>
    <w:rsid w:val="00DE0E5A"/>
    <w:rsid w:val="00DE154F"/>
    <w:rsid w:val="00DE229E"/>
    <w:rsid w:val="00DE2A85"/>
    <w:rsid w:val="00DE2F52"/>
    <w:rsid w:val="00DE41BF"/>
    <w:rsid w:val="00DE4961"/>
    <w:rsid w:val="00DE5111"/>
    <w:rsid w:val="00DE65AD"/>
    <w:rsid w:val="00DE679E"/>
    <w:rsid w:val="00DE6B02"/>
    <w:rsid w:val="00DE6D86"/>
    <w:rsid w:val="00DE7652"/>
    <w:rsid w:val="00DF0F22"/>
    <w:rsid w:val="00DF1421"/>
    <w:rsid w:val="00DF2CCB"/>
    <w:rsid w:val="00DF3870"/>
    <w:rsid w:val="00DF3BE9"/>
    <w:rsid w:val="00DF3DD0"/>
    <w:rsid w:val="00DF5923"/>
    <w:rsid w:val="00DF66F6"/>
    <w:rsid w:val="00DF744A"/>
    <w:rsid w:val="00DF78C9"/>
    <w:rsid w:val="00DF7C05"/>
    <w:rsid w:val="00E023C3"/>
    <w:rsid w:val="00E03173"/>
    <w:rsid w:val="00E03226"/>
    <w:rsid w:val="00E0482F"/>
    <w:rsid w:val="00E0484F"/>
    <w:rsid w:val="00E05147"/>
    <w:rsid w:val="00E054B0"/>
    <w:rsid w:val="00E06616"/>
    <w:rsid w:val="00E06DC1"/>
    <w:rsid w:val="00E073DB"/>
    <w:rsid w:val="00E07D5E"/>
    <w:rsid w:val="00E103CC"/>
    <w:rsid w:val="00E106F7"/>
    <w:rsid w:val="00E10A23"/>
    <w:rsid w:val="00E11369"/>
    <w:rsid w:val="00E11946"/>
    <w:rsid w:val="00E12B01"/>
    <w:rsid w:val="00E13303"/>
    <w:rsid w:val="00E13653"/>
    <w:rsid w:val="00E1368C"/>
    <w:rsid w:val="00E13C4F"/>
    <w:rsid w:val="00E13E74"/>
    <w:rsid w:val="00E1420B"/>
    <w:rsid w:val="00E14A00"/>
    <w:rsid w:val="00E151C5"/>
    <w:rsid w:val="00E153EF"/>
    <w:rsid w:val="00E1555C"/>
    <w:rsid w:val="00E16AF6"/>
    <w:rsid w:val="00E20ECB"/>
    <w:rsid w:val="00E219E9"/>
    <w:rsid w:val="00E21BB7"/>
    <w:rsid w:val="00E22A43"/>
    <w:rsid w:val="00E22AF9"/>
    <w:rsid w:val="00E22C74"/>
    <w:rsid w:val="00E23B51"/>
    <w:rsid w:val="00E2481E"/>
    <w:rsid w:val="00E253FE"/>
    <w:rsid w:val="00E2665A"/>
    <w:rsid w:val="00E26B10"/>
    <w:rsid w:val="00E2771B"/>
    <w:rsid w:val="00E27F1C"/>
    <w:rsid w:val="00E27F76"/>
    <w:rsid w:val="00E30DF9"/>
    <w:rsid w:val="00E31071"/>
    <w:rsid w:val="00E312F4"/>
    <w:rsid w:val="00E31682"/>
    <w:rsid w:val="00E318CA"/>
    <w:rsid w:val="00E31B27"/>
    <w:rsid w:val="00E332D0"/>
    <w:rsid w:val="00E33750"/>
    <w:rsid w:val="00E3388A"/>
    <w:rsid w:val="00E33C81"/>
    <w:rsid w:val="00E34F0D"/>
    <w:rsid w:val="00E3621C"/>
    <w:rsid w:val="00E365DD"/>
    <w:rsid w:val="00E3668D"/>
    <w:rsid w:val="00E366E5"/>
    <w:rsid w:val="00E379B1"/>
    <w:rsid w:val="00E409A4"/>
    <w:rsid w:val="00E41EC4"/>
    <w:rsid w:val="00E42602"/>
    <w:rsid w:val="00E44145"/>
    <w:rsid w:val="00E4448C"/>
    <w:rsid w:val="00E44A4D"/>
    <w:rsid w:val="00E457DC"/>
    <w:rsid w:val="00E4639B"/>
    <w:rsid w:val="00E46D7E"/>
    <w:rsid w:val="00E47B82"/>
    <w:rsid w:val="00E501DC"/>
    <w:rsid w:val="00E502A3"/>
    <w:rsid w:val="00E51588"/>
    <w:rsid w:val="00E51608"/>
    <w:rsid w:val="00E51681"/>
    <w:rsid w:val="00E51CC3"/>
    <w:rsid w:val="00E52679"/>
    <w:rsid w:val="00E52F99"/>
    <w:rsid w:val="00E54532"/>
    <w:rsid w:val="00E54559"/>
    <w:rsid w:val="00E55775"/>
    <w:rsid w:val="00E5768B"/>
    <w:rsid w:val="00E60AF4"/>
    <w:rsid w:val="00E60B0B"/>
    <w:rsid w:val="00E612D5"/>
    <w:rsid w:val="00E617E8"/>
    <w:rsid w:val="00E621CB"/>
    <w:rsid w:val="00E62370"/>
    <w:rsid w:val="00E64094"/>
    <w:rsid w:val="00E644DD"/>
    <w:rsid w:val="00E64999"/>
    <w:rsid w:val="00E65BB1"/>
    <w:rsid w:val="00E67E92"/>
    <w:rsid w:val="00E67ED7"/>
    <w:rsid w:val="00E716D0"/>
    <w:rsid w:val="00E71F96"/>
    <w:rsid w:val="00E727A8"/>
    <w:rsid w:val="00E72CE5"/>
    <w:rsid w:val="00E72F1B"/>
    <w:rsid w:val="00E7508F"/>
    <w:rsid w:val="00E75FEC"/>
    <w:rsid w:val="00E77E24"/>
    <w:rsid w:val="00E80841"/>
    <w:rsid w:val="00E811A7"/>
    <w:rsid w:val="00E817B1"/>
    <w:rsid w:val="00E86BA7"/>
    <w:rsid w:val="00E86FC1"/>
    <w:rsid w:val="00E8714E"/>
    <w:rsid w:val="00E87419"/>
    <w:rsid w:val="00E91056"/>
    <w:rsid w:val="00E910A2"/>
    <w:rsid w:val="00E91614"/>
    <w:rsid w:val="00E97383"/>
    <w:rsid w:val="00EA00D2"/>
    <w:rsid w:val="00EA0AC8"/>
    <w:rsid w:val="00EA1515"/>
    <w:rsid w:val="00EA1CEE"/>
    <w:rsid w:val="00EA1F31"/>
    <w:rsid w:val="00EA2396"/>
    <w:rsid w:val="00EA37C2"/>
    <w:rsid w:val="00EA39E7"/>
    <w:rsid w:val="00EA3C36"/>
    <w:rsid w:val="00EA4170"/>
    <w:rsid w:val="00EA51A7"/>
    <w:rsid w:val="00EA643B"/>
    <w:rsid w:val="00EA6F75"/>
    <w:rsid w:val="00EA750A"/>
    <w:rsid w:val="00EA7BD7"/>
    <w:rsid w:val="00EB0CE4"/>
    <w:rsid w:val="00EB23DC"/>
    <w:rsid w:val="00EB2BA2"/>
    <w:rsid w:val="00EB2CF6"/>
    <w:rsid w:val="00EB2E88"/>
    <w:rsid w:val="00EB35B6"/>
    <w:rsid w:val="00EB43C5"/>
    <w:rsid w:val="00EB5739"/>
    <w:rsid w:val="00EB62B6"/>
    <w:rsid w:val="00EB7419"/>
    <w:rsid w:val="00EB75B7"/>
    <w:rsid w:val="00EB7A55"/>
    <w:rsid w:val="00EC0FB6"/>
    <w:rsid w:val="00EC122F"/>
    <w:rsid w:val="00EC139B"/>
    <w:rsid w:val="00EC1718"/>
    <w:rsid w:val="00EC1898"/>
    <w:rsid w:val="00EC1DD5"/>
    <w:rsid w:val="00EC1FA8"/>
    <w:rsid w:val="00EC27E6"/>
    <w:rsid w:val="00EC2A50"/>
    <w:rsid w:val="00EC2C63"/>
    <w:rsid w:val="00EC3261"/>
    <w:rsid w:val="00EC35F4"/>
    <w:rsid w:val="00EC400E"/>
    <w:rsid w:val="00EC6A2C"/>
    <w:rsid w:val="00EC6EC0"/>
    <w:rsid w:val="00EC6F45"/>
    <w:rsid w:val="00EC7A86"/>
    <w:rsid w:val="00EC7E5E"/>
    <w:rsid w:val="00EC7EEF"/>
    <w:rsid w:val="00ED0EBA"/>
    <w:rsid w:val="00ED1FDE"/>
    <w:rsid w:val="00ED2C6D"/>
    <w:rsid w:val="00ED38DB"/>
    <w:rsid w:val="00ED3AE2"/>
    <w:rsid w:val="00ED419E"/>
    <w:rsid w:val="00ED4215"/>
    <w:rsid w:val="00ED4720"/>
    <w:rsid w:val="00EE0F4F"/>
    <w:rsid w:val="00EE143B"/>
    <w:rsid w:val="00EE1C2D"/>
    <w:rsid w:val="00EE2F79"/>
    <w:rsid w:val="00EE2FF8"/>
    <w:rsid w:val="00EE3318"/>
    <w:rsid w:val="00EE33AB"/>
    <w:rsid w:val="00EE3732"/>
    <w:rsid w:val="00EE494A"/>
    <w:rsid w:val="00EE4BAE"/>
    <w:rsid w:val="00EE54BE"/>
    <w:rsid w:val="00EE780C"/>
    <w:rsid w:val="00EF0C4D"/>
    <w:rsid w:val="00EF0E0C"/>
    <w:rsid w:val="00EF1061"/>
    <w:rsid w:val="00EF162E"/>
    <w:rsid w:val="00EF1F2F"/>
    <w:rsid w:val="00EF2081"/>
    <w:rsid w:val="00EF2474"/>
    <w:rsid w:val="00EF2ECE"/>
    <w:rsid w:val="00EF3760"/>
    <w:rsid w:val="00EF398A"/>
    <w:rsid w:val="00EF3A54"/>
    <w:rsid w:val="00EF3BAA"/>
    <w:rsid w:val="00EF4D97"/>
    <w:rsid w:val="00EF5389"/>
    <w:rsid w:val="00EF54D8"/>
    <w:rsid w:val="00EF613E"/>
    <w:rsid w:val="00EF761B"/>
    <w:rsid w:val="00EF7951"/>
    <w:rsid w:val="00F00AFF"/>
    <w:rsid w:val="00F01253"/>
    <w:rsid w:val="00F01673"/>
    <w:rsid w:val="00F0179A"/>
    <w:rsid w:val="00F01BCC"/>
    <w:rsid w:val="00F029B6"/>
    <w:rsid w:val="00F0310B"/>
    <w:rsid w:val="00F04DD9"/>
    <w:rsid w:val="00F051A6"/>
    <w:rsid w:val="00F057E0"/>
    <w:rsid w:val="00F0662F"/>
    <w:rsid w:val="00F1030E"/>
    <w:rsid w:val="00F106A3"/>
    <w:rsid w:val="00F12705"/>
    <w:rsid w:val="00F135EA"/>
    <w:rsid w:val="00F14386"/>
    <w:rsid w:val="00F167ED"/>
    <w:rsid w:val="00F169EA"/>
    <w:rsid w:val="00F16C02"/>
    <w:rsid w:val="00F17365"/>
    <w:rsid w:val="00F20449"/>
    <w:rsid w:val="00F20A3A"/>
    <w:rsid w:val="00F20E7C"/>
    <w:rsid w:val="00F21279"/>
    <w:rsid w:val="00F225F6"/>
    <w:rsid w:val="00F22CF8"/>
    <w:rsid w:val="00F237F5"/>
    <w:rsid w:val="00F23E87"/>
    <w:rsid w:val="00F247F9"/>
    <w:rsid w:val="00F24D80"/>
    <w:rsid w:val="00F24DD7"/>
    <w:rsid w:val="00F25026"/>
    <w:rsid w:val="00F25421"/>
    <w:rsid w:val="00F301EC"/>
    <w:rsid w:val="00F3045B"/>
    <w:rsid w:val="00F31DB8"/>
    <w:rsid w:val="00F32751"/>
    <w:rsid w:val="00F33CBE"/>
    <w:rsid w:val="00F33ED4"/>
    <w:rsid w:val="00F35944"/>
    <w:rsid w:val="00F365C3"/>
    <w:rsid w:val="00F3709A"/>
    <w:rsid w:val="00F37C41"/>
    <w:rsid w:val="00F40078"/>
    <w:rsid w:val="00F42894"/>
    <w:rsid w:val="00F42EB1"/>
    <w:rsid w:val="00F43F7C"/>
    <w:rsid w:val="00F44990"/>
    <w:rsid w:val="00F4500A"/>
    <w:rsid w:val="00F4580C"/>
    <w:rsid w:val="00F4599D"/>
    <w:rsid w:val="00F45F8A"/>
    <w:rsid w:val="00F46DF2"/>
    <w:rsid w:val="00F473C0"/>
    <w:rsid w:val="00F476B5"/>
    <w:rsid w:val="00F50781"/>
    <w:rsid w:val="00F51347"/>
    <w:rsid w:val="00F519FE"/>
    <w:rsid w:val="00F526E1"/>
    <w:rsid w:val="00F54810"/>
    <w:rsid w:val="00F54AE0"/>
    <w:rsid w:val="00F54D85"/>
    <w:rsid w:val="00F557C8"/>
    <w:rsid w:val="00F55C92"/>
    <w:rsid w:val="00F5735B"/>
    <w:rsid w:val="00F605E7"/>
    <w:rsid w:val="00F607B3"/>
    <w:rsid w:val="00F6204A"/>
    <w:rsid w:val="00F63054"/>
    <w:rsid w:val="00F63564"/>
    <w:rsid w:val="00F64001"/>
    <w:rsid w:val="00F66229"/>
    <w:rsid w:val="00F7031D"/>
    <w:rsid w:val="00F71BDF"/>
    <w:rsid w:val="00F721FC"/>
    <w:rsid w:val="00F72B6D"/>
    <w:rsid w:val="00F73233"/>
    <w:rsid w:val="00F732D7"/>
    <w:rsid w:val="00F75813"/>
    <w:rsid w:val="00F75D05"/>
    <w:rsid w:val="00F76379"/>
    <w:rsid w:val="00F763E1"/>
    <w:rsid w:val="00F76D2C"/>
    <w:rsid w:val="00F80F96"/>
    <w:rsid w:val="00F82247"/>
    <w:rsid w:val="00F82A66"/>
    <w:rsid w:val="00F83232"/>
    <w:rsid w:val="00F83603"/>
    <w:rsid w:val="00F83C09"/>
    <w:rsid w:val="00F852AA"/>
    <w:rsid w:val="00F85B39"/>
    <w:rsid w:val="00F85B60"/>
    <w:rsid w:val="00F85E7D"/>
    <w:rsid w:val="00F85F61"/>
    <w:rsid w:val="00F878B9"/>
    <w:rsid w:val="00F8795C"/>
    <w:rsid w:val="00F90021"/>
    <w:rsid w:val="00F901BA"/>
    <w:rsid w:val="00F9027D"/>
    <w:rsid w:val="00F916F9"/>
    <w:rsid w:val="00F918A1"/>
    <w:rsid w:val="00F92533"/>
    <w:rsid w:val="00F9284E"/>
    <w:rsid w:val="00F93FC6"/>
    <w:rsid w:val="00F94276"/>
    <w:rsid w:val="00F9439D"/>
    <w:rsid w:val="00F94E11"/>
    <w:rsid w:val="00F9533F"/>
    <w:rsid w:val="00F95343"/>
    <w:rsid w:val="00F954FF"/>
    <w:rsid w:val="00F955BF"/>
    <w:rsid w:val="00F95D57"/>
    <w:rsid w:val="00F96BC3"/>
    <w:rsid w:val="00F96CAF"/>
    <w:rsid w:val="00F9709B"/>
    <w:rsid w:val="00F976B9"/>
    <w:rsid w:val="00FA03DC"/>
    <w:rsid w:val="00FA1490"/>
    <w:rsid w:val="00FA2162"/>
    <w:rsid w:val="00FA3866"/>
    <w:rsid w:val="00FA391E"/>
    <w:rsid w:val="00FA5281"/>
    <w:rsid w:val="00FA64DC"/>
    <w:rsid w:val="00FA6DB2"/>
    <w:rsid w:val="00FA7825"/>
    <w:rsid w:val="00FA7AF7"/>
    <w:rsid w:val="00FB0D99"/>
    <w:rsid w:val="00FB1063"/>
    <w:rsid w:val="00FB372B"/>
    <w:rsid w:val="00FB3922"/>
    <w:rsid w:val="00FB4034"/>
    <w:rsid w:val="00FB43AF"/>
    <w:rsid w:val="00FB51A1"/>
    <w:rsid w:val="00FB658E"/>
    <w:rsid w:val="00FB7A41"/>
    <w:rsid w:val="00FC05E7"/>
    <w:rsid w:val="00FC0FBD"/>
    <w:rsid w:val="00FC12F7"/>
    <w:rsid w:val="00FC1E0A"/>
    <w:rsid w:val="00FC30D3"/>
    <w:rsid w:val="00FC3579"/>
    <w:rsid w:val="00FC4064"/>
    <w:rsid w:val="00FC6047"/>
    <w:rsid w:val="00FC672E"/>
    <w:rsid w:val="00FC6BE9"/>
    <w:rsid w:val="00FD1B88"/>
    <w:rsid w:val="00FD1EDB"/>
    <w:rsid w:val="00FD283D"/>
    <w:rsid w:val="00FD2C7E"/>
    <w:rsid w:val="00FD5F9A"/>
    <w:rsid w:val="00FD67EF"/>
    <w:rsid w:val="00FD6EED"/>
    <w:rsid w:val="00FD7B6D"/>
    <w:rsid w:val="00FE015E"/>
    <w:rsid w:val="00FE056D"/>
    <w:rsid w:val="00FE088E"/>
    <w:rsid w:val="00FE12D2"/>
    <w:rsid w:val="00FE26DE"/>
    <w:rsid w:val="00FE30B6"/>
    <w:rsid w:val="00FE3293"/>
    <w:rsid w:val="00FE3723"/>
    <w:rsid w:val="00FE3B49"/>
    <w:rsid w:val="00FE4051"/>
    <w:rsid w:val="00FE4065"/>
    <w:rsid w:val="00FE40C8"/>
    <w:rsid w:val="00FE55E0"/>
    <w:rsid w:val="00FE63D9"/>
    <w:rsid w:val="00FE65BF"/>
    <w:rsid w:val="00FE6A3E"/>
    <w:rsid w:val="00FE73B3"/>
    <w:rsid w:val="00FF1803"/>
    <w:rsid w:val="00FF1937"/>
    <w:rsid w:val="00FF1C4F"/>
    <w:rsid w:val="00FF2175"/>
    <w:rsid w:val="00FF2240"/>
    <w:rsid w:val="00FF2813"/>
    <w:rsid w:val="00FF2C73"/>
    <w:rsid w:val="00FF44CF"/>
    <w:rsid w:val="00FF6113"/>
    <w:rsid w:val="00FF6592"/>
    <w:rsid w:val="00FF6A5A"/>
    <w:rsid w:val="00FF791B"/>
    <w:rsid w:val="5CB523F8"/>
    <w:rsid w:val="72718244"/>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0E588ABE"/>
  <w15:chartTrackingRefBased/>
  <w15:docId w15:val="{C76A759C-BA81-45A9-88CC-137631828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567C"/>
    <w:pPr>
      <w:spacing w:after="200" w:line="276" w:lineRule="auto"/>
    </w:pPr>
    <w:rPr>
      <w:rFonts w:ascii="Calibri" w:eastAsia="Calibri" w:hAnsi="Calibri" w:cs="Times New Roman"/>
      <w:lang w:val="es-ES"/>
    </w:rPr>
  </w:style>
  <w:style w:type="paragraph" w:styleId="Ttulo1">
    <w:name w:val="heading 1"/>
    <w:basedOn w:val="Normal"/>
    <w:next w:val="Normal"/>
    <w:link w:val="Ttulo1Car"/>
    <w:uiPriority w:val="9"/>
    <w:qFormat/>
    <w:rsid w:val="000F16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626B37"/>
    <w:pPr>
      <w:keepNext/>
      <w:numPr>
        <w:numId w:val="6"/>
      </w:numPr>
      <w:spacing w:before="240" w:after="120"/>
      <w:jc w:val="both"/>
      <w:outlineLvl w:val="1"/>
    </w:pPr>
    <w:rPr>
      <w:rFonts w:ascii="ITC Avant Garde" w:eastAsia="Times New Roman" w:hAnsi="ITC Avant Garde"/>
      <w:b/>
      <w:color w:val="000000"/>
      <w:lang w:eastAsia="es-MX"/>
    </w:rPr>
  </w:style>
  <w:style w:type="paragraph" w:styleId="Ttulo6">
    <w:name w:val="heading 6"/>
    <w:basedOn w:val="Normal"/>
    <w:next w:val="Normal"/>
    <w:link w:val="Ttulo6Car"/>
    <w:uiPriority w:val="9"/>
    <w:semiHidden/>
    <w:unhideWhenUsed/>
    <w:qFormat/>
    <w:rsid w:val="00037BBC"/>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30">
    <w:name w:val="estilo30"/>
    <w:basedOn w:val="Normal"/>
    <w:rsid w:val="00CE11DD"/>
    <w:pPr>
      <w:spacing w:before="100" w:beforeAutospacing="1" w:after="100" w:afterAutospacing="1" w:line="240" w:lineRule="auto"/>
    </w:pPr>
    <w:rPr>
      <w:rFonts w:ascii="Times New Roman" w:eastAsia="Times New Roman" w:hAnsi="Times New Roman"/>
      <w:sz w:val="24"/>
      <w:szCs w:val="24"/>
      <w:lang w:eastAsia="es-MX"/>
    </w:rPr>
  </w:style>
  <w:style w:type="paragraph" w:styleId="Prrafodelista">
    <w:name w:val="List Paragraph"/>
    <w:aliases w:val="Bullet List,FooterText,numbered,List Paragraph1,Paragraphe de liste1,Bulletr List Paragraph,列出段落,列出段落1,Cuadros,Lista general,Numeración 1,Cuadrícula media 1 - Énfasis 21,4 Viñ 1nivel,Footnote,Llista Nivell1,Lista de nivel 1"/>
    <w:basedOn w:val="Normal"/>
    <w:link w:val="PrrafodelistaCar"/>
    <w:uiPriority w:val="34"/>
    <w:qFormat/>
    <w:rsid w:val="00CE11DD"/>
    <w:pPr>
      <w:spacing w:after="0" w:line="240" w:lineRule="auto"/>
      <w:ind w:left="708"/>
    </w:pPr>
    <w:rPr>
      <w:rFonts w:ascii="Arial" w:eastAsia="Times New Roman" w:hAnsi="Arial"/>
      <w:sz w:val="24"/>
      <w:szCs w:val="20"/>
      <w:lang w:eastAsia="es-ES"/>
    </w:rPr>
  </w:style>
  <w:style w:type="character" w:customStyle="1" w:styleId="apple-converted-space">
    <w:name w:val="apple-converted-space"/>
    <w:basedOn w:val="Fuentedeprrafopredeter"/>
    <w:rsid w:val="00CE11DD"/>
  </w:style>
  <w:style w:type="paragraph" w:styleId="Textoindependiente">
    <w:name w:val="Body Text"/>
    <w:basedOn w:val="Normal"/>
    <w:link w:val="TextoindependienteCar"/>
    <w:uiPriority w:val="99"/>
    <w:unhideWhenUsed/>
    <w:rsid w:val="00CE11DD"/>
    <w:pPr>
      <w:spacing w:after="120"/>
    </w:pPr>
  </w:style>
  <w:style w:type="character" w:customStyle="1" w:styleId="TextoindependienteCar">
    <w:name w:val="Texto independiente Car"/>
    <w:basedOn w:val="Fuentedeprrafopredeter"/>
    <w:link w:val="Textoindependiente"/>
    <w:uiPriority w:val="99"/>
    <w:rsid w:val="00CE11DD"/>
    <w:rPr>
      <w:rFonts w:ascii="Calibri" w:eastAsia="Calibri" w:hAnsi="Calibri" w:cs="Times New Roman"/>
    </w:r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Numeración 1 Car,Cuadrícula media 1 - Énfasis 21 Car,Footnote Car"/>
    <w:link w:val="Prrafodelista"/>
    <w:uiPriority w:val="34"/>
    <w:rsid w:val="00CE11DD"/>
    <w:rPr>
      <w:rFonts w:ascii="Arial" w:eastAsia="Times New Roman" w:hAnsi="Arial" w:cs="Times New Roman"/>
      <w:sz w:val="24"/>
      <w:szCs w:val="20"/>
      <w:lang w:val="es-ES" w:eastAsia="es-ES"/>
    </w:rPr>
  </w:style>
  <w:style w:type="paragraph" w:styleId="Textoindependiente2">
    <w:name w:val="Body Text 2"/>
    <w:basedOn w:val="Normal"/>
    <w:link w:val="Textoindependiente2Car"/>
    <w:uiPriority w:val="99"/>
    <w:unhideWhenUsed/>
    <w:rsid w:val="00626B37"/>
    <w:pPr>
      <w:spacing w:after="120" w:line="480" w:lineRule="auto"/>
    </w:pPr>
  </w:style>
  <w:style w:type="character" w:customStyle="1" w:styleId="Textoindependiente2Car">
    <w:name w:val="Texto independiente 2 Car"/>
    <w:basedOn w:val="Fuentedeprrafopredeter"/>
    <w:link w:val="Textoindependiente2"/>
    <w:uiPriority w:val="99"/>
    <w:rsid w:val="00626B37"/>
    <w:rPr>
      <w:rFonts w:ascii="Calibri" w:eastAsia="Calibri" w:hAnsi="Calibri" w:cs="Times New Roman"/>
    </w:rPr>
  </w:style>
  <w:style w:type="character" w:customStyle="1" w:styleId="Ttulo2Car">
    <w:name w:val="Título 2 Car"/>
    <w:basedOn w:val="Fuentedeprrafopredeter"/>
    <w:link w:val="Ttulo2"/>
    <w:uiPriority w:val="9"/>
    <w:rsid w:val="00626B37"/>
    <w:rPr>
      <w:rFonts w:ascii="ITC Avant Garde" w:eastAsia="Times New Roman" w:hAnsi="ITC Avant Garde" w:cs="Times New Roman"/>
      <w:b/>
      <w:color w:val="000000"/>
      <w:lang w:eastAsia="es-MX"/>
    </w:rPr>
  </w:style>
  <w:style w:type="table" w:styleId="Tablaconcuadrcula">
    <w:name w:val="Table Grid"/>
    <w:basedOn w:val="Tablanormal"/>
    <w:rsid w:val="00626B37"/>
    <w:pPr>
      <w:spacing w:after="0" w:line="240" w:lineRule="auto"/>
    </w:pPr>
    <w:rPr>
      <w:rFonts w:ascii="Calibri" w:eastAsia="Calibri" w:hAnsi="Calibri" w:cs="Times New Roman"/>
      <w:bCs/>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ente">
    <w:name w:val="Fuente"/>
    <w:basedOn w:val="Prrafodelista"/>
    <w:link w:val="FuenteChar"/>
    <w:qFormat/>
    <w:rsid w:val="00626B37"/>
    <w:pPr>
      <w:spacing w:after="200" w:line="276" w:lineRule="auto"/>
      <w:ind w:left="851"/>
      <w:contextualSpacing/>
      <w:jc w:val="both"/>
    </w:pPr>
    <w:rPr>
      <w:rFonts w:asciiTheme="minorHAnsi" w:eastAsiaTheme="minorEastAsia" w:hAnsiTheme="minorHAnsi" w:cstheme="minorBidi"/>
      <w:sz w:val="16"/>
      <w:szCs w:val="16"/>
      <w:lang w:val="es-MX" w:eastAsia="en-US" w:bidi="en-US"/>
    </w:rPr>
  </w:style>
  <w:style w:type="character" w:customStyle="1" w:styleId="FuenteChar">
    <w:name w:val="Fuente Char"/>
    <w:basedOn w:val="Fuentedeprrafopredeter"/>
    <w:link w:val="Fuente"/>
    <w:rsid w:val="00626B37"/>
    <w:rPr>
      <w:rFonts w:eastAsiaTheme="minorEastAsia"/>
      <w:sz w:val="16"/>
      <w:szCs w:val="16"/>
      <w:lang w:bidi="en-US"/>
    </w:rPr>
  </w:style>
  <w:style w:type="character" w:customStyle="1" w:styleId="Ttulo1Car">
    <w:name w:val="Título 1 Car"/>
    <w:basedOn w:val="Fuentedeprrafopredeter"/>
    <w:link w:val="Ttulo1"/>
    <w:uiPriority w:val="9"/>
    <w:rsid w:val="000F1667"/>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0F1667"/>
    <w:pPr>
      <w:ind w:left="283" w:hanging="283"/>
      <w:contextualSpacing/>
    </w:pPr>
  </w:style>
  <w:style w:type="paragraph" w:styleId="Lista2">
    <w:name w:val="List 2"/>
    <w:basedOn w:val="Normal"/>
    <w:uiPriority w:val="99"/>
    <w:unhideWhenUsed/>
    <w:rsid w:val="000F1667"/>
    <w:pPr>
      <w:ind w:left="566" w:hanging="283"/>
      <w:contextualSpacing/>
    </w:pPr>
  </w:style>
  <w:style w:type="paragraph" w:styleId="Sangradetextonormal">
    <w:name w:val="Body Text Indent"/>
    <w:basedOn w:val="Normal"/>
    <w:link w:val="SangradetextonormalCar"/>
    <w:uiPriority w:val="99"/>
    <w:unhideWhenUsed/>
    <w:rsid w:val="000F1667"/>
    <w:pPr>
      <w:spacing w:after="120"/>
      <w:ind w:left="283"/>
    </w:pPr>
  </w:style>
  <w:style w:type="character" w:customStyle="1" w:styleId="SangradetextonormalCar">
    <w:name w:val="Sangría de texto normal Car"/>
    <w:basedOn w:val="Fuentedeprrafopredeter"/>
    <w:link w:val="Sangradetextonormal"/>
    <w:uiPriority w:val="99"/>
    <w:rsid w:val="000F1667"/>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0F1667"/>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0F1667"/>
    <w:rPr>
      <w:rFonts w:ascii="Calibri" w:eastAsia="Calibri" w:hAnsi="Calibri" w:cs="Times New Roman"/>
    </w:rPr>
  </w:style>
  <w:style w:type="paragraph" w:styleId="Textonotapie">
    <w:name w:val="footnote text"/>
    <w:basedOn w:val="Normal"/>
    <w:link w:val="TextonotapieCar"/>
    <w:uiPriority w:val="99"/>
    <w:unhideWhenUsed/>
    <w:rsid w:val="000F1667"/>
    <w:pPr>
      <w:spacing w:after="0" w:line="240" w:lineRule="auto"/>
    </w:pPr>
    <w:rPr>
      <w:sz w:val="20"/>
      <w:szCs w:val="20"/>
    </w:rPr>
  </w:style>
  <w:style w:type="character" w:customStyle="1" w:styleId="TextonotapieCar">
    <w:name w:val="Texto nota pie Car"/>
    <w:basedOn w:val="Fuentedeprrafopredeter"/>
    <w:link w:val="Textonotapie"/>
    <w:uiPriority w:val="99"/>
    <w:rsid w:val="000F1667"/>
    <w:rPr>
      <w:rFonts w:ascii="Calibri" w:eastAsia="Calibri" w:hAnsi="Calibri" w:cs="Times New Roman"/>
      <w:sz w:val="20"/>
      <w:szCs w:val="20"/>
    </w:rPr>
  </w:style>
  <w:style w:type="character" w:styleId="Refdenotaalpie">
    <w:name w:val="footnote reference"/>
    <w:basedOn w:val="Fuentedeprrafopredeter"/>
    <w:uiPriority w:val="99"/>
    <w:unhideWhenUsed/>
    <w:rsid w:val="000F1667"/>
    <w:rPr>
      <w:vertAlign w:val="superscript"/>
    </w:rPr>
  </w:style>
  <w:style w:type="character" w:styleId="Hipervnculo">
    <w:name w:val="Hyperlink"/>
    <w:basedOn w:val="Fuentedeprrafopredeter"/>
    <w:uiPriority w:val="99"/>
    <w:unhideWhenUsed/>
    <w:rsid w:val="00BD4B2D"/>
    <w:rPr>
      <w:color w:val="0563C1" w:themeColor="hyperlink"/>
      <w:u w:val="single"/>
    </w:rPr>
  </w:style>
  <w:style w:type="paragraph" w:styleId="Sinespaciado">
    <w:name w:val="No Spacing"/>
    <w:aliases w:val="~BaseStyle"/>
    <w:uiPriority w:val="1"/>
    <w:qFormat/>
    <w:rsid w:val="00B25979"/>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EE373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E3732"/>
    <w:rPr>
      <w:rFonts w:ascii="Segoe UI" w:eastAsia="Calibri" w:hAnsi="Segoe UI" w:cs="Segoe UI"/>
      <w:sz w:val="18"/>
      <w:szCs w:val="18"/>
    </w:rPr>
  </w:style>
  <w:style w:type="paragraph" w:styleId="Encabezado">
    <w:name w:val="header"/>
    <w:basedOn w:val="Normal"/>
    <w:link w:val="EncabezadoCar"/>
    <w:uiPriority w:val="99"/>
    <w:unhideWhenUsed/>
    <w:rsid w:val="00BB6A0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B6A0B"/>
    <w:rPr>
      <w:rFonts w:ascii="Calibri" w:eastAsia="Calibri" w:hAnsi="Calibri" w:cs="Times New Roman"/>
    </w:rPr>
  </w:style>
  <w:style w:type="paragraph" w:styleId="Piedepgina">
    <w:name w:val="footer"/>
    <w:basedOn w:val="Normal"/>
    <w:link w:val="PiedepginaCar"/>
    <w:uiPriority w:val="99"/>
    <w:unhideWhenUsed/>
    <w:rsid w:val="00BB6A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B6A0B"/>
    <w:rPr>
      <w:rFonts w:ascii="Calibri" w:eastAsia="Calibri" w:hAnsi="Calibri" w:cs="Times New Roman"/>
    </w:rPr>
  </w:style>
  <w:style w:type="character" w:customStyle="1" w:styleId="N1IFTCar">
    <w:name w:val="N1 IFT Car"/>
    <w:basedOn w:val="Fuentedeprrafopredeter"/>
    <w:link w:val="N1IFT"/>
    <w:locked/>
    <w:rsid w:val="00EB7A55"/>
    <w:rPr>
      <w:rFonts w:ascii="ITC Avant Garde" w:hAnsi="ITC Avant Garde"/>
      <w:b/>
      <w:bCs/>
      <w:color w:val="000000"/>
      <w:lang w:eastAsia="es-ES"/>
    </w:rPr>
  </w:style>
  <w:style w:type="paragraph" w:customStyle="1" w:styleId="N1IFT">
    <w:name w:val="N1 IFT"/>
    <w:basedOn w:val="Normal"/>
    <w:link w:val="N1IFTCar"/>
    <w:rsid w:val="00EB7A55"/>
    <w:pPr>
      <w:jc w:val="both"/>
    </w:pPr>
    <w:rPr>
      <w:rFonts w:ascii="ITC Avant Garde" w:eastAsiaTheme="minorHAnsi" w:hAnsi="ITC Avant Garde" w:cstheme="minorBidi"/>
      <w:b/>
      <w:bCs/>
      <w:color w:val="000000"/>
      <w:lang w:eastAsia="es-ES"/>
    </w:rPr>
  </w:style>
  <w:style w:type="paragraph" w:customStyle="1" w:styleId="Enfasisnegrita">
    <w:name w:val="* Enfasis negrita"/>
    <w:basedOn w:val="Normal"/>
    <w:link w:val="EnfasisnegritaCar"/>
    <w:qFormat/>
    <w:rsid w:val="00037BBC"/>
    <w:pPr>
      <w:spacing w:before="120" w:after="120"/>
      <w:ind w:right="51"/>
      <w:jc w:val="both"/>
    </w:pPr>
    <w:rPr>
      <w:rFonts w:ascii="Arial" w:eastAsiaTheme="minorHAnsi" w:hAnsi="Arial" w:cs="Arial"/>
      <w:b/>
      <w:lang w:val="es-MX"/>
    </w:rPr>
  </w:style>
  <w:style w:type="character" w:customStyle="1" w:styleId="EnfasisnegritaCar">
    <w:name w:val="* Enfasis negrita Car"/>
    <w:basedOn w:val="Fuentedeprrafopredeter"/>
    <w:link w:val="Enfasisnegrita"/>
    <w:rsid w:val="00037BBC"/>
    <w:rPr>
      <w:rFonts w:ascii="Arial" w:hAnsi="Arial" w:cs="Arial"/>
      <w:b/>
    </w:rPr>
  </w:style>
  <w:style w:type="paragraph" w:customStyle="1" w:styleId="6Ttulo">
    <w:name w:val="* 6 Título"/>
    <w:basedOn w:val="Ttulo6"/>
    <w:link w:val="6TtuloCar"/>
    <w:qFormat/>
    <w:rsid w:val="00037BBC"/>
    <w:pPr>
      <w:spacing w:before="200" w:after="120"/>
      <w:ind w:right="51"/>
      <w:jc w:val="both"/>
    </w:pPr>
    <w:rPr>
      <w:rFonts w:ascii="Arial" w:hAnsi="Arial"/>
      <w:b/>
      <w:iCs/>
      <w:lang w:val="es-ES_tradnl" w:eastAsia="es-ES"/>
    </w:rPr>
  </w:style>
  <w:style w:type="character" w:customStyle="1" w:styleId="6TtuloCar">
    <w:name w:val="* 6 Título Car"/>
    <w:basedOn w:val="Ttulo6Car"/>
    <w:link w:val="6Ttulo"/>
    <w:rsid w:val="00037BBC"/>
    <w:rPr>
      <w:rFonts w:ascii="Arial" w:eastAsiaTheme="majorEastAsia" w:hAnsi="Arial" w:cstheme="majorBidi"/>
      <w:b/>
      <w:iCs/>
      <w:color w:val="1F4D78" w:themeColor="accent1" w:themeShade="7F"/>
      <w:lang w:val="es-ES_tradnl" w:eastAsia="es-ES"/>
    </w:rPr>
  </w:style>
  <w:style w:type="character" w:customStyle="1" w:styleId="Ttulo6Car">
    <w:name w:val="Título 6 Car"/>
    <w:basedOn w:val="Fuentedeprrafopredeter"/>
    <w:link w:val="Ttulo6"/>
    <w:uiPriority w:val="9"/>
    <w:semiHidden/>
    <w:rsid w:val="00037BBC"/>
    <w:rPr>
      <w:rFonts w:asciiTheme="majorHAnsi" w:eastAsiaTheme="majorEastAsia" w:hAnsiTheme="majorHAnsi" w:cstheme="majorBidi"/>
      <w:color w:val="1F4D78" w:themeColor="accent1" w:themeShade="7F"/>
      <w:lang w:val="es-ES"/>
    </w:rPr>
  </w:style>
  <w:style w:type="character" w:styleId="Refdecomentario">
    <w:name w:val="annotation reference"/>
    <w:basedOn w:val="Fuentedeprrafopredeter"/>
    <w:uiPriority w:val="99"/>
    <w:semiHidden/>
    <w:unhideWhenUsed/>
    <w:rsid w:val="0051079D"/>
    <w:rPr>
      <w:sz w:val="16"/>
      <w:szCs w:val="16"/>
    </w:rPr>
  </w:style>
  <w:style w:type="paragraph" w:styleId="Textocomentario">
    <w:name w:val="annotation text"/>
    <w:basedOn w:val="Normal"/>
    <w:link w:val="TextocomentarioCar"/>
    <w:uiPriority w:val="99"/>
    <w:unhideWhenUsed/>
    <w:rsid w:val="0051079D"/>
    <w:pPr>
      <w:spacing w:line="240" w:lineRule="auto"/>
    </w:pPr>
    <w:rPr>
      <w:sz w:val="20"/>
      <w:szCs w:val="20"/>
    </w:rPr>
  </w:style>
  <w:style w:type="character" w:customStyle="1" w:styleId="TextocomentarioCar">
    <w:name w:val="Texto comentario Car"/>
    <w:basedOn w:val="Fuentedeprrafopredeter"/>
    <w:link w:val="Textocomentario"/>
    <w:uiPriority w:val="99"/>
    <w:rsid w:val="0051079D"/>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51079D"/>
    <w:rPr>
      <w:b/>
      <w:bCs/>
    </w:rPr>
  </w:style>
  <w:style w:type="character" w:customStyle="1" w:styleId="AsuntodelcomentarioCar">
    <w:name w:val="Asunto del comentario Car"/>
    <w:basedOn w:val="TextocomentarioCar"/>
    <w:link w:val="Asuntodelcomentario"/>
    <w:uiPriority w:val="99"/>
    <w:semiHidden/>
    <w:rsid w:val="0051079D"/>
    <w:rPr>
      <w:rFonts w:ascii="Calibri" w:eastAsia="Calibri" w:hAnsi="Calibri" w:cs="Times New Roman"/>
      <w:b/>
      <w:bCs/>
      <w:sz w:val="20"/>
      <w:szCs w:val="20"/>
      <w:lang w:val="es-ES"/>
    </w:rPr>
  </w:style>
  <w:style w:type="paragraph" w:customStyle="1" w:styleId="Default">
    <w:name w:val="Default"/>
    <w:link w:val="DefaultCar"/>
    <w:rsid w:val="00071534"/>
    <w:pPr>
      <w:autoSpaceDE w:val="0"/>
      <w:autoSpaceDN w:val="0"/>
      <w:adjustRightInd w:val="0"/>
      <w:spacing w:after="0" w:line="240" w:lineRule="auto"/>
    </w:pPr>
    <w:rPr>
      <w:rFonts w:ascii="ITC Avant Garde" w:hAnsi="ITC Avant Garde" w:cs="ITC Avant Garde"/>
      <w:color w:val="000000"/>
      <w:sz w:val="24"/>
      <w:szCs w:val="24"/>
    </w:rPr>
  </w:style>
  <w:style w:type="character" w:styleId="Hipervnculovisitado">
    <w:name w:val="FollowedHyperlink"/>
    <w:basedOn w:val="Fuentedeprrafopredeter"/>
    <w:uiPriority w:val="99"/>
    <w:semiHidden/>
    <w:unhideWhenUsed/>
    <w:rsid w:val="00505937"/>
    <w:rPr>
      <w:color w:val="954F72" w:themeColor="followedHyperlink"/>
      <w:u w:val="single"/>
    </w:rPr>
  </w:style>
  <w:style w:type="paragraph" w:styleId="HTMLconformatoprevio">
    <w:name w:val="HTML Preformatted"/>
    <w:basedOn w:val="Normal"/>
    <w:link w:val="HTMLconformatoprevioCar"/>
    <w:uiPriority w:val="99"/>
    <w:semiHidden/>
    <w:unhideWhenUsed/>
    <w:rsid w:val="00EB7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semiHidden/>
    <w:rsid w:val="00EB75B7"/>
    <w:rPr>
      <w:rFonts w:ascii="Courier New" w:eastAsia="Times New Roman" w:hAnsi="Courier New" w:cs="Courier New"/>
      <w:sz w:val="20"/>
      <w:szCs w:val="20"/>
      <w:lang w:eastAsia="es-MX"/>
    </w:rPr>
  </w:style>
  <w:style w:type="character" w:customStyle="1" w:styleId="y2iqfc">
    <w:name w:val="y2iqfc"/>
    <w:basedOn w:val="Fuentedeprrafopredeter"/>
    <w:rsid w:val="00EB75B7"/>
  </w:style>
  <w:style w:type="character" w:customStyle="1" w:styleId="liststyle1196043187level1">
    <w:name w:val="liststyle_1196043187_level_1"/>
    <w:basedOn w:val="Fuentedeprrafopredeter"/>
    <w:rsid w:val="00954349"/>
  </w:style>
  <w:style w:type="character" w:styleId="Mencinsinresolver">
    <w:name w:val="Unresolved Mention"/>
    <w:basedOn w:val="Fuentedeprrafopredeter"/>
    <w:uiPriority w:val="99"/>
    <w:semiHidden/>
    <w:unhideWhenUsed/>
    <w:rsid w:val="00871907"/>
    <w:rPr>
      <w:color w:val="605E5C"/>
      <w:shd w:val="clear" w:color="auto" w:fill="E1DFDD"/>
    </w:rPr>
  </w:style>
  <w:style w:type="character" w:styleId="Textodelmarcadordeposicin">
    <w:name w:val="Placeholder Text"/>
    <w:basedOn w:val="Fuentedeprrafopredeter"/>
    <w:uiPriority w:val="99"/>
    <w:semiHidden/>
    <w:rsid w:val="003C09E1"/>
    <w:rPr>
      <w:color w:val="808080"/>
    </w:rPr>
  </w:style>
  <w:style w:type="paragraph" w:customStyle="1" w:styleId="Normal1">
    <w:name w:val="Normal1"/>
    <w:rsid w:val="00E23B51"/>
    <w:pPr>
      <w:spacing w:after="0" w:line="276" w:lineRule="auto"/>
    </w:pPr>
    <w:rPr>
      <w:rFonts w:ascii="Arial" w:eastAsia="Arial" w:hAnsi="Arial" w:cs="Arial"/>
      <w:color w:val="000000"/>
      <w:szCs w:val="24"/>
      <w:lang w:eastAsia="es-ES"/>
    </w:rPr>
  </w:style>
  <w:style w:type="paragraph" w:styleId="Revisin">
    <w:name w:val="Revision"/>
    <w:hidden/>
    <w:uiPriority w:val="99"/>
    <w:semiHidden/>
    <w:rsid w:val="00F6204A"/>
    <w:pPr>
      <w:spacing w:after="0" w:line="240" w:lineRule="auto"/>
    </w:pPr>
    <w:rPr>
      <w:rFonts w:ascii="Calibri" w:eastAsia="Calibri" w:hAnsi="Calibri" w:cs="Times New Roman"/>
      <w:lang w:val="es-ES"/>
    </w:rPr>
  </w:style>
  <w:style w:type="paragraph" w:customStyle="1" w:styleId="Texto">
    <w:name w:val="Texto"/>
    <w:basedOn w:val="Normal"/>
    <w:link w:val="TextoCar"/>
    <w:rsid w:val="003B1A3E"/>
    <w:pPr>
      <w:spacing w:after="101" w:line="216" w:lineRule="exact"/>
      <w:ind w:firstLine="288"/>
      <w:jc w:val="both"/>
    </w:pPr>
    <w:rPr>
      <w:rFonts w:ascii="Arial" w:eastAsia="Times New Roman" w:hAnsi="Arial" w:cs="Arial"/>
      <w:sz w:val="18"/>
      <w:szCs w:val="20"/>
      <w:lang w:val="es-MX" w:eastAsia="es-ES"/>
    </w:rPr>
  </w:style>
  <w:style w:type="character" w:customStyle="1" w:styleId="TextoCar">
    <w:name w:val="Texto Car"/>
    <w:link w:val="Texto"/>
    <w:locked/>
    <w:rsid w:val="003B1A3E"/>
    <w:rPr>
      <w:rFonts w:ascii="Arial" w:eastAsia="Times New Roman" w:hAnsi="Arial" w:cs="Arial"/>
      <w:sz w:val="18"/>
      <w:szCs w:val="20"/>
      <w:lang w:eastAsia="es-ES"/>
    </w:rPr>
  </w:style>
  <w:style w:type="character" w:customStyle="1" w:styleId="DefaultCar">
    <w:name w:val="Default Car"/>
    <w:basedOn w:val="Fuentedeprrafopredeter"/>
    <w:link w:val="Default"/>
    <w:rsid w:val="003B1A3E"/>
    <w:rPr>
      <w:rFonts w:ascii="ITC Avant Garde" w:hAnsi="ITC Avant Garde" w:cs="ITC Avant Garde"/>
      <w:color w:val="000000"/>
      <w:sz w:val="24"/>
      <w:szCs w:val="24"/>
    </w:rPr>
  </w:style>
  <w:style w:type="paragraph" w:customStyle="1" w:styleId="ROMANOS">
    <w:name w:val="ROMANOS"/>
    <w:basedOn w:val="Normal"/>
    <w:link w:val="ROMANOSCar"/>
    <w:rsid w:val="003B1A3E"/>
    <w:pPr>
      <w:tabs>
        <w:tab w:val="left" w:pos="720"/>
      </w:tabs>
      <w:spacing w:after="101" w:line="216" w:lineRule="exact"/>
      <w:ind w:left="720" w:hanging="432"/>
      <w:jc w:val="both"/>
    </w:pPr>
    <w:rPr>
      <w:rFonts w:ascii="Arial" w:eastAsia="Times New Roman" w:hAnsi="Arial" w:cs="Arial"/>
      <w:sz w:val="18"/>
      <w:szCs w:val="18"/>
      <w:lang w:val="es-MX" w:eastAsia="es-ES"/>
    </w:rPr>
  </w:style>
  <w:style w:type="character" w:customStyle="1" w:styleId="ROMANOSCar">
    <w:name w:val="ROMANOS Car"/>
    <w:link w:val="ROMANOS"/>
    <w:locked/>
    <w:rsid w:val="003B1A3E"/>
    <w:rPr>
      <w:rFonts w:ascii="Arial" w:eastAsia="Times New Roman" w:hAnsi="Arial" w:cs="Arial"/>
      <w:sz w:val="18"/>
      <w:szCs w:val="18"/>
      <w:lang w:eastAsia="es-ES"/>
    </w:rPr>
  </w:style>
  <w:style w:type="table" w:styleId="Tabladelista4-nfasis6">
    <w:name w:val="List Table 4 Accent 6"/>
    <w:basedOn w:val="Tablanormal"/>
    <w:uiPriority w:val="49"/>
    <w:rsid w:val="00AC113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324180">
      <w:bodyDiv w:val="1"/>
      <w:marLeft w:val="0"/>
      <w:marRight w:val="0"/>
      <w:marTop w:val="0"/>
      <w:marBottom w:val="0"/>
      <w:divBdr>
        <w:top w:val="none" w:sz="0" w:space="0" w:color="auto"/>
        <w:left w:val="none" w:sz="0" w:space="0" w:color="auto"/>
        <w:bottom w:val="none" w:sz="0" w:space="0" w:color="auto"/>
        <w:right w:val="none" w:sz="0" w:space="0" w:color="auto"/>
      </w:divBdr>
    </w:div>
    <w:div w:id="319844371">
      <w:bodyDiv w:val="1"/>
      <w:marLeft w:val="0"/>
      <w:marRight w:val="0"/>
      <w:marTop w:val="0"/>
      <w:marBottom w:val="0"/>
      <w:divBdr>
        <w:top w:val="none" w:sz="0" w:space="0" w:color="auto"/>
        <w:left w:val="none" w:sz="0" w:space="0" w:color="auto"/>
        <w:bottom w:val="none" w:sz="0" w:space="0" w:color="auto"/>
        <w:right w:val="none" w:sz="0" w:space="0" w:color="auto"/>
      </w:divBdr>
      <w:divsChild>
        <w:div w:id="1083070209">
          <w:marLeft w:val="0"/>
          <w:marRight w:val="0"/>
          <w:marTop w:val="0"/>
          <w:marBottom w:val="20"/>
          <w:divBdr>
            <w:top w:val="none" w:sz="0" w:space="0" w:color="auto"/>
            <w:left w:val="none" w:sz="0" w:space="0" w:color="auto"/>
            <w:bottom w:val="none" w:sz="0" w:space="0" w:color="auto"/>
            <w:right w:val="none" w:sz="0" w:space="0" w:color="auto"/>
          </w:divBdr>
        </w:div>
      </w:divsChild>
    </w:div>
    <w:div w:id="335037077">
      <w:bodyDiv w:val="1"/>
      <w:marLeft w:val="0"/>
      <w:marRight w:val="0"/>
      <w:marTop w:val="0"/>
      <w:marBottom w:val="0"/>
      <w:divBdr>
        <w:top w:val="none" w:sz="0" w:space="0" w:color="auto"/>
        <w:left w:val="none" w:sz="0" w:space="0" w:color="auto"/>
        <w:bottom w:val="none" w:sz="0" w:space="0" w:color="auto"/>
        <w:right w:val="none" w:sz="0" w:space="0" w:color="auto"/>
      </w:divBdr>
      <w:divsChild>
        <w:div w:id="590743189">
          <w:marLeft w:val="0"/>
          <w:marRight w:val="0"/>
          <w:marTop w:val="0"/>
          <w:marBottom w:val="101"/>
          <w:divBdr>
            <w:top w:val="none" w:sz="0" w:space="0" w:color="auto"/>
            <w:left w:val="none" w:sz="0" w:space="0" w:color="auto"/>
            <w:bottom w:val="none" w:sz="0" w:space="0" w:color="auto"/>
            <w:right w:val="none" w:sz="0" w:space="0" w:color="auto"/>
          </w:divBdr>
        </w:div>
      </w:divsChild>
    </w:div>
    <w:div w:id="389770328">
      <w:bodyDiv w:val="1"/>
      <w:marLeft w:val="0"/>
      <w:marRight w:val="0"/>
      <w:marTop w:val="0"/>
      <w:marBottom w:val="0"/>
      <w:divBdr>
        <w:top w:val="none" w:sz="0" w:space="0" w:color="auto"/>
        <w:left w:val="none" w:sz="0" w:space="0" w:color="auto"/>
        <w:bottom w:val="none" w:sz="0" w:space="0" w:color="auto"/>
        <w:right w:val="none" w:sz="0" w:space="0" w:color="auto"/>
      </w:divBdr>
      <w:divsChild>
        <w:div w:id="840853221">
          <w:marLeft w:val="0"/>
          <w:marRight w:val="0"/>
          <w:marTop w:val="0"/>
          <w:marBottom w:val="101"/>
          <w:divBdr>
            <w:top w:val="none" w:sz="0" w:space="0" w:color="auto"/>
            <w:left w:val="none" w:sz="0" w:space="0" w:color="auto"/>
            <w:bottom w:val="none" w:sz="0" w:space="0" w:color="auto"/>
            <w:right w:val="none" w:sz="0" w:space="0" w:color="auto"/>
          </w:divBdr>
        </w:div>
      </w:divsChild>
    </w:div>
    <w:div w:id="595677587">
      <w:bodyDiv w:val="1"/>
      <w:marLeft w:val="0"/>
      <w:marRight w:val="0"/>
      <w:marTop w:val="0"/>
      <w:marBottom w:val="0"/>
      <w:divBdr>
        <w:top w:val="none" w:sz="0" w:space="0" w:color="auto"/>
        <w:left w:val="none" w:sz="0" w:space="0" w:color="auto"/>
        <w:bottom w:val="none" w:sz="0" w:space="0" w:color="auto"/>
        <w:right w:val="none" w:sz="0" w:space="0" w:color="auto"/>
      </w:divBdr>
    </w:div>
    <w:div w:id="765267858">
      <w:bodyDiv w:val="1"/>
      <w:marLeft w:val="0"/>
      <w:marRight w:val="0"/>
      <w:marTop w:val="0"/>
      <w:marBottom w:val="0"/>
      <w:divBdr>
        <w:top w:val="none" w:sz="0" w:space="0" w:color="auto"/>
        <w:left w:val="none" w:sz="0" w:space="0" w:color="auto"/>
        <w:bottom w:val="none" w:sz="0" w:space="0" w:color="auto"/>
        <w:right w:val="none" w:sz="0" w:space="0" w:color="auto"/>
      </w:divBdr>
    </w:div>
    <w:div w:id="1158961018">
      <w:bodyDiv w:val="1"/>
      <w:marLeft w:val="0"/>
      <w:marRight w:val="0"/>
      <w:marTop w:val="0"/>
      <w:marBottom w:val="0"/>
      <w:divBdr>
        <w:top w:val="none" w:sz="0" w:space="0" w:color="auto"/>
        <w:left w:val="none" w:sz="0" w:space="0" w:color="auto"/>
        <w:bottom w:val="none" w:sz="0" w:space="0" w:color="auto"/>
        <w:right w:val="none" w:sz="0" w:space="0" w:color="auto"/>
      </w:divBdr>
    </w:div>
    <w:div w:id="1194030661">
      <w:bodyDiv w:val="1"/>
      <w:marLeft w:val="0"/>
      <w:marRight w:val="0"/>
      <w:marTop w:val="0"/>
      <w:marBottom w:val="0"/>
      <w:divBdr>
        <w:top w:val="none" w:sz="0" w:space="0" w:color="auto"/>
        <w:left w:val="none" w:sz="0" w:space="0" w:color="auto"/>
        <w:bottom w:val="none" w:sz="0" w:space="0" w:color="auto"/>
        <w:right w:val="none" w:sz="0" w:space="0" w:color="auto"/>
      </w:divBdr>
      <w:divsChild>
        <w:div w:id="1363477342">
          <w:marLeft w:val="0"/>
          <w:marRight w:val="0"/>
          <w:marTop w:val="0"/>
          <w:marBottom w:val="101"/>
          <w:divBdr>
            <w:top w:val="none" w:sz="0" w:space="0" w:color="auto"/>
            <w:left w:val="none" w:sz="0" w:space="0" w:color="auto"/>
            <w:bottom w:val="none" w:sz="0" w:space="0" w:color="auto"/>
            <w:right w:val="none" w:sz="0" w:space="0" w:color="auto"/>
          </w:divBdr>
        </w:div>
      </w:divsChild>
    </w:div>
    <w:div w:id="1200241214">
      <w:bodyDiv w:val="1"/>
      <w:marLeft w:val="0"/>
      <w:marRight w:val="0"/>
      <w:marTop w:val="0"/>
      <w:marBottom w:val="0"/>
      <w:divBdr>
        <w:top w:val="none" w:sz="0" w:space="0" w:color="auto"/>
        <w:left w:val="none" w:sz="0" w:space="0" w:color="auto"/>
        <w:bottom w:val="none" w:sz="0" w:space="0" w:color="auto"/>
        <w:right w:val="none" w:sz="0" w:space="0" w:color="auto"/>
      </w:divBdr>
      <w:divsChild>
        <w:div w:id="50157132">
          <w:marLeft w:val="1080"/>
          <w:marRight w:val="0"/>
          <w:marTop w:val="0"/>
          <w:marBottom w:val="101"/>
          <w:divBdr>
            <w:top w:val="none" w:sz="0" w:space="0" w:color="auto"/>
            <w:left w:val="none" w:sz="0" w:space="0" w:color="auto"/>
            <w:bottom w:val="none" w:sz="0" w:space="0" w:color="auto"/>
            <w:right w:val="none" w:sz="0" w:space="0" w:color="auto"/>
          </w:divBdr>
        </w:div>
        <w:div w:id="331874961">
          <w:marLeft w:val="1080"/>
          <w:marRight w:val="0"/>
          <w:marTop w:val="0"/>
          <w:marBottom w:val="101"/>
          <w:divBdr>
            <w:top w:val="none" w:sz="0" w:space="0" w:color="auto"/>
            <w:left w:val="none" w:sz="0" w:space="0" w:color="auto"/>
            <w:bottom w:val="none" w:sz="0" w:space="0" w:color="auto"/>
            <w:right w:val="none" w:sz="0" w:space="0" w:color="auto"/>
          </w:divBdr>
        </w:div>
      </w:divsChild>
    </w:div>
    <w:div w:id="1301496139">
      <w:bodyDiv w:val="1"/>
      <w:marLeft w:val="0"/>
      <w:marRight w:val="0"/>
      <w:marTop w:val="0"/>
      <w:marBottom w:val="0"/>
      <w:divBdr>
        <w:top w:val="none" w:sz="0" w:space="0" w:color="auto"/>
        <w:left w:val="none" w:sz="0" w:space="0" w:color="auto"/>
        <w:bottom w:val="none" w:sz="0" w:space="0" w:color="auto"/>
        <w:right w:val="none" w:sz="0" w:space="0" w:color="auto"/>
      </w:divBdr>
    </w:div>
    <w:div w:id="1331522755">
      <w:bodyDiv w:val="1"/>
      <w:marLeft w:val="0"/>
      <w:marRight w:val="0"/>
      <w:marTop w:val="0"/>
      <w:marBottom w:val="0"/>
      <w:divBdr>
        <w:top w:val="none" w:sz="0" w:space="0" w:color="auto"/>
        <w:left w:val="none" w:sz="0" w:space="0" w:color="auto"/>
        <w:bottom w:val="none" w:sz="0" w:space="0" w:color="auto"/>
        <w:right w:val="none" w:sz="0" w:space="0" w:color="auto"/>
      </w:divBdr>
      <w:divsChild>
        <w:div w:id="757336157">
          <w:marLeft w:val="720"/>
          <w:marRight w:val="0"/>
          <w:marTop w:val="0"/>
          <w:marBottom w:val="101"/>
          <w:divBdr>
            <w:top w:val="none" w:sz="0" w:space="0" w:color="auto"/>
            <w:left w:val="none" w:sz="0" w:space="0" w:color="auto"/>
            <w:bottom w:val="none" w:sz="0" w:space="0" w:color="auto"/>
            <w:right w:val="none" w:sz="0" w:space="0" w:color="auto"/>
          </w:divBdr>
        </w:div>
      </w:divsChild>
    </w:div>
    <w:div w:id="1395816320">
      <w:bodyDiv w:val="1"/>
      <w:marLeft w:val="0"/>
      <w:marRight w:val="0"/>
      <w:marTop w:val="0"/>
      <w:marBottom w:val="0"/>
      <w:divBdr>
        <w:top w:val="none" w:sz="0" w:space="0" w:color="auto"/>
        <w:left w:val="none" w:sz="0" w:space="0" w:color="auto"/>
        <w:bottom w:val="none" w:sz="0" w:space="0" w:color="auto"/>
        <w:right w:val="none" w:sz="0" w:space="0" w:color="auto"/>
      </w:divBdr>
    </w:div>
    <w:div w:id="1529830980">
      <w:bodyDiv w:val="1"/>
      <w:marLeft w:val="0"/>
      <w:marRight w:val="0"/>
      <w:marTop w:val="0"/>
      <w:marBottom w:val="0"/>
      <w:divBdr>
        <w:top w:val="none" w:sz="0" w:space="0" w:color="auto"/>
        <w:left w:val="none" w:sz="0" w:space="0" w:color="auto"/>
        <w:bottom w:val="none" w:sz="0" w:space="0" w:color="auto"/>
        <w:right w:val="none" w:sz="0" w:space="0" w:color="auto"/>
      </w:divBdr>
      <w:divsChild>
        <w:div w:id="2095203879">
          <w:marLeft w:val="0"/>
          <w:marRight w:val="0"/>
          <w:marTop w:val="240"/>
          <w:marBottom w:val="0"/>
          <w:divBdr>
            <w:top w:val="none" w:sz="0" w:space="0" w:color="auto"/>
            <w:left w:val="none" w:sz="0" w:space="0" w:color="auto"/>
            <w:bottom w:val="none" w:sz="0" w:space="0" w:color="auto"/>
            <w:right w:val="none" w:sz="0" w:space="0" w:color="auto"/>
          </w:divBdr>
          <w:divsChild>
            <w:div w:id="753935121">
              <w:marLeft w:val="0"/>
              <w:marRight w:val="0"/>
              <w:marTop w:val="0"/>
              <w:marBottom w:val="0"/>
              <w:divBdr>
                <w:top w:val="none" w:sz="0" w:space="0" w:color="auto"/>
                <w:left w:val="none" w:sz="0" w:space="0" w:color="auto"/>
                <w:bottom w:val="none" w:sz="0" w:space="0" w:color="auto"/>
                <w:right w:val="none" w:sz="0" w:space="0" w:color="auto"/>
              </w:divBdr>
              <w:divsChild>
                <w:div w:id="701519275">
                  <w:marLeft w:val="0"/>
                  <w:marRight w:val="0"/>
                  <w:marTop w:val="0"/>
                  <w:marBottom w:val="0"/>
                  <w:divBdr>
                    <w:top w:val="none" w:sz="0" w:space="0" w:color="auto"/>
                    <w:left w:val="none" w:sz="0" w:space="0" w:color="auto"/>
                    <w:bottom w:val="none" w:sz="0" w:space="0" w:color="auto"/>
                    <w:right w:val="none" w:sz="0" w:space="0" w:color="auto"/>
                  </w:divBdr>
                  <w:divsChild>
                    <w:div w:id="1891071311">
                      <w:marLeft w:val="144"/>
                      <w:marRight w:val="0"/>
                      <w:marTop w:val="0"/>
                      <w:marBottom w:val="101"/>
                      <w:divBdr>
                        <w:top w:val="none" w:sz="0" w:space="0" w:color="auto"/>
                        <w:left w:val="none" w:sz="0" w:space="0" w:color="auto"/>
                        <w:bottom w:val="single" w:sz="4" w:space="0" w:color="000000"/>
                        <w:right w:val="none" w:sz="0" w:space="0" w:color="auto"/>
                      </w:divBdr>
                    </w:div>
                  </w:divsChild>
                </w:div>
                <w:div w:id="1465351641">
                  <w:marLeft w:val="0"/>
                  <w:marRight w:val="0"/>
                  <w:marTop w:val="0"/>
                  <w:marBottom w:val="0"/>
                  <w:divBdr>
                    <w:top w:val="none" w:sz="0" w:space="0" w:color="auto"/>
                    <w:left w:val="none" w:sz="0" w:space="0" w:color="auto"/>
                    <w:bottom w:val="none" w:sz="0" w:space="0" w:color="auto"/>
                    <w:right w:val="none" w:sz="0" w:space="0" w:color="auto"/>
                  </w:divBdr>
                  <w:divsChild>
                    <w:div w:id="1475681418">
                      <w:marLeft w:val="0"/>
                      <w:marRight w:val="0"/>
                      <w:marTop w:val="0"/>
                      <w:marBottom w:val="54"/>
                      <w:divBdr>
                        <w:top w:val="none" w:sz="0" w:space="0" w:color="auto"/>
                        <w:left w:val="none" w:sz="0" w:space="0" w:color="auto"/>
                        <w:bottom w:val="none" w:sz="0" w:space="0" w:color="auto"/>
                        <w:right w:val="none" w:sz="0" w:space="0" w:color="auto"/>
                      </w:divBdr>
                    </w:div>
                    <w:div w:id="1631279302">
                      <w:marLeft w:val="720"/>
                      <w:marRight w:val="0"/>
                      <w:marTop w:val="0"/>
                      <w:marBottom w:val="54"/>
                      <w:divBdr>
                        <w:top w:val="none" w:sz="0" w:space="0" w:color="auto"/>
                        <w:left w:val="none" w:sz="0" w:space="0" w:color="auto"/>
                        <w:bottom w:val="none" w:sz="0" w:space="0" w:color="auto"/>
                        <w:right w:val="none" w:sz="0" w:space="0" w:color="auto"/>
                      </w:divBdr>
                    </w:div>
                    <w:div w:id="1700424600">
                      <w:marLeft w:val="0"/>
                      <w:marRight w:val="0"/>
                      <w:marTop w:val="0"/>
                      <w:marBottom w:val="54"/>
                      <w:divBdr>
                        <w:top w:val="none" w:sz="0" w:space="0" w:color="auto"/>
                        <w:left w:val="none" w:sz="0" w:space="0" w:color="auto"/>
                        <w:bottom w:val="none" w:sz="0" w:space="0" w:color="auto"/>
                        <w:right w:val="none" w:sz="0" w:space="0" w:color="auto"/>
                      </w:divBdr>
                    </w:div>
                    <w:div w:id="1818381330">
                      <w:marLeft w:val="0"/>
                      <w:marRight w:val="0"/>
                      <w:marTop w:val="0"/>
                      <w:marBottom w:val="54"/>
                      <w:divBdr>
                        <w:top w:val="none" w:sz="0" w:space="0" w:color="auto"/>
                        <w:left w:val="none" w:sz="0" w:space="0" w:color="auto"/>
                        <w:bottom w:val="none" w:sz="0" w:space="0" w:color="auto"/>
                        <w:right w:val="none" w:sz="0" w:space="0" w:color="auto"/>
                      </w:divBdr>
                    </w:div>
                  </w:divsChild>
                </w:div>
                <w:div w:id="1888881904">
                  <w:marLeft w:val="0"/>
                  <w:marRight w:val="0"/>
                  <w:marTop w:val="0"/>
                  <w:marBottom w:val="0"/>
                  <w:divBdr>
                    <w:top w:val="none" w:sz="0" w:space="0" w:color="auto"/>
                    <w:left w:val="none" w:sz="0" w:space="0" w:color="auto"/>
                    <w:bottom w:val="none" w:sz="0" w:space="0" w:color="auto"/>
                    <w:right w:val="none" w:sz="0" w:space="0" w:color="auto"/>
                  </w:divBdr>
                  <w:divsChild>
                    <w:div w:id="1398116">
                      <w:marLeft w:val="144"/>
                      <w:marRight w:val="0"/>
                      <w:marTop w:val="0"/>
                      <w:marBottom w:val="101"/>
                      <w:divBdr>
                        <w:top w:val="none" w:sz="0" w:space="0" w:color="auto"/>
                        <w:left w:val="none" w:sz="0" w:space="0" w:color="auto"/>
                        <w:bottom w:val="single" w:sz="4" w:space="0" w:color="000000"/>
                        <w:right w:val="none" w:sz="0" w:space="0" w:color="auto"/>
                      </w:divBdr>
                    </w:div>
                    <w:div w:id="116804076">
                      <w:marLeft w:val="720"/>
                      <w:marRight w:val="0"/>
                      <w:marTop w:val="0"/>
                      <w:marBottom w:val="101"/>
                      <w:divBdr>
                        <w:top w:val="none" w:sz="0" w:space="0" w:color="auto"/>
                        <w:left w:val="none" w:sz="0" w:space="0" w:color="auto"/>
                        <w:bottom w:val="none" w:sz="0" w:space="0" w:color="auto"/>
                        <w:right w:val="none" w:sz="0" w:space="0" w:color="auto"/>
                      </w:divBdr>
                    </w:div>
                    <w:div w:id="231038904">
                      <w:marLeft w:val="720"/>
                      <w:marRight w:val="0"/>
                      <w:marTop w:val="0"/>
                      <w:marBottom w:val="54"/>
                      <w:divBdr>
                        <w:top w:val="single" w:sz="4" w:space="0" w:color="000000"/>
                        <w:left w:val="none" w:sz="0" w:space="0" w:color="auto"/>
                        <w:bottom w:val="none" w:sz="0" w:space="0" w:color="auto"/>
                        <w:right w:val="none" w:sz="0" w:space="0" w:color="auto"/>
                      </w:divBdr>
                    </w:div>
                    <w:div w:id="231161489">
                      <w:marLeft w:val="720"/>
                      <w:marRight w:val="0"/>
                      <w:marTop w:val="0"/>
                      <w:marBottom w:val="54"/>
                      <w:divBdr>
                        <w:top w:val="none" w:sz="0" w:space="0" w:color="auto"/>
                        <w:left w:val="none" w:sz="0" w:space="0" w:color="auto"/>
                        <w:bottom w:val="none" w:sz="0" w:space="0" w:color="auto"/>
                        <w:right w:val="none" w:sz="0" w:space="0" w:color="auto"/>
                      </w:divBdr>
                    </w:div>
                    <w:div w:id="267467011">
                      <w:marLeft w:val="720"/>
                      <w:marRight w:val="0"/>
                      <w:marTop w:val="0"/>
                      <w:marBottom w:val="101"/>
                      <w:divBdr>
                        <w:top w:val="single" w:sz="4" w:space="0" w:color="000000"/>
                        <w:left w:val="none" w:sz="0" w:space="0" w:color="auto"/>
                        <w:bottom w:val="none" w:sz="0" w:space="0" w:color="auto"/>
                        <w:right w:val="none" w:sz="0" w:space="0" w:color="auto"/>
                      </w:divBdr>
                    </w:div>
                    <w:div w:id="340787325">
                      <w:marLeft w:val="720"/>
                      <w:marRight w:val="0"/>
                      <w:marTop w:val="0"/>
                      <w:marBottom w:val="54"/>
                      <w:divBdr>
                        <w:top w:val="none" w:sz="0" w:space="0" w:color="auto"/>
                        <w:left w:val="none" w:sz="0" w:space="0" w:color="auto"/>
                        <w:bottom w:val="none" w:sz="0" w:space="0" w:color="auto"/>
                        <w:right w:val="none" w:sz="0" w:space="0" w:color="auto"/>
                      </w:divBdr>
                    </w:div>
                    <w:div w:id="475954046">
                      <w:marLeft w:val="720"/>
                      <w:marRight w:val="0"/>
                      <w:marTop w:val="0"/>
                      <w:marBottom w:val="54"/>
                      <w:divBdr>
                        <w:top w:val="none" w:sz="0" w:space="0" w:color="auto"/>
                        <w:left w:val="none" w:sz="0" w:space="0" w:color="auto"/>
                        <w:bottom w:val="none" w:sz="0" w:space="0" w:color="auto"/>
                        <w:right w:val="none" w:sz="0" w:space="0" w:color="auto"/>
                      </w:divBdr>
                    </w:div>
                    <w:div w:id="490605856">
                      <w:marLeft w:val="720"/>
                      <w:marRight w:val="0"/>
                      <w:marTop w:val="0"/>
                      <w:marBottom w:val="54"/>
                      <w:divBdr>
                        <w:top w:val="none" w:sz="0" w:space="0" w:color="auto"/>
                        <w:left w:val="none" w:sz="0" w:space="0" w:color="auto"/>
                        <w:bottom w:val="none" w:sz="0" w:space="0" w:color="auto"/>
                        <w:right w:val="none" w:sz="0" w:space="0" w:color="auto"/>
                      </w:divBdr>
                    </w:div>
                    <w:div w:id="495651994">
                      <w:marLeft w:val="720"/>
                      <w:marRight w:val="0"/>
                      <w:marTop w:val="0"/>
                      <w:marBottom w:val="54"/>
                      <w:divBdr>
                        <w:top w:val="none" w:sz="0" w:space="0" w:color="auto"/>
                        <w:left w:val="none" w:sz="0" w:space="0" w:color="auto"/>
                        <w:bottom w:val="none" w:sz="0" w:space="0" w:color="auto"/>
                        <w:right w:val="none" w:sz="0" w:space="0" w:color="auto"/>
                      </w:divBdr>
                    </w:div>
                    <w:div w:id="506217902">
                      <w:marLeft w:val="1152"/>
                      <w:marRight w:val="0"/>
                      <w:marTop w:val="0"/>
                      <w:marBottom w:val="54"/>
                      <w:divBdr>
                        <w:top w:val="none" w:sz="0" w:space="0" w:color="auto"/>
                        <w:left w:val="none" w:sz="0" w:space="0" w:color="auto"/>
                        <w:bottom w:val="none" w:sz="0" w:space="0" w:color="auto"/>
                        <w:right w:val="none" w:sz="0" w:space="0" w:color="auto"/>
                      </w:divBdr>
                    </w:div>
                    <w:div w:id="735322170">
                      <w:marLeft w:val="720"/>
                      <w:marRight w:val="0"/>
                      <w:marTop w:val="0"/>
                      <w:marBottom w:val="101"/>
                      <w:divBdr>
                        <w:top w:val="none" w:sz="0" w:space="0" w:color="auto"/>
                        <w:left w:val="none" w:sz="0" w:space="0" w:color="auto"/>
                        <w:bottom w:val="none" w:sz="0" w:space="0" w:color="auto"/>
                        <w:right w:val="none" w:sz="0" w:space="0" w:color="auto"/>
                      </w:divBdr>
                    </w:div>
                    <w:div w:id="810828170">
                      <w:marLeft w:val="1152"/>
                      <w:marRight w:val="0"/>
                      <w:marTop w:val="0"/>
                      <w:marBottom w:val="54"/>
                      <w:divBdr>
                        <w:top w:val="none" w:sz="0" w:space="0" w:color="auto"/>
                        <w:left w:val="none" w:sz="0" w:space="0" w:color="auto"/>
                        <w:bottom w:val="none" w:sz="0" w:space="0" w:color="auto"/>
                        <w:right w:val="none" w:sz="0" w:space="0" w:color="auto"/>
                      </w:divBdr>
                    </w:div>
                    <w:div w:id="886113963">
                      <w:marLeft w:val="720"/>
                      <w:marRight w:val="0"/>
                      <w:marTop w:val="0"/>
                      <w:marBottom w:val="101"/>
                      <w:divBdr>
                        <w:top w:val="single" w:sz="4" w:space="0" w:color="000000"/>
                        <w:left w:val="none" w:sz="0" w:space="0" w:color="auto"/>
                        <w:bottom w:val="none" w:sz="0" w:space="0" w:color="auto"/>
                        <w:right w:val="none" w:sz="0" w:space="0" w:color="auto"/>
                      </w:divBdr>
                    </w:div>
                    <w:div w:id="1017273382">
                      <w:marLeft w:val="1152"/>
                      <w:marRight w:val="0"/>
                      <w:marTop w:val="0"/>
                      <w:marBottom w:val="54"/>
                      <w:divBdr>
                        <w:top w:val="none" w:sz="0" w:space="0" w:color="auto"/>
                        <w:left w:val="none" w:sz="0" w:space="0" w:color="auto"/>
                        <w:bottom w:val="none" w:sz="0" w:space="0" w:color="auto"/>
                        <w:right w:val="none" w:sz="0" w:space="0" w:color="auto"/>
                      </w:divBdr>
                    </w:div>
                    <w:div w:id="1019090707">
                      <w:marLeft w:val="720"/>
                      <w:marRight w:val="0"/>
                      <w:marTop w:val="0"/>
                      <w:marBottom w:val="101"/>
                      <w:divBdr>
                        <w:top w:val="none" w:sz="0" w:space="0" w:color="auto"/>
                        <w:left w:val="none" w:sz="0" w:space="0" w:color="auto"/>
                        <w:bottom w:val="none" w:sz="0" w:space="0" w:color="auto"/>
                        <w:right w:val="none" w:sz="0" w:space="0" w:color="auto"/>
                      </w:divBdr>
                    </w:div>
                    <w:div w:id="1035618419">
                      <w:marLeft w:val="720"/>
                      <w:marRight w:val="0"/>
                      <w:marTop w:val="0"/>
                      <w:marBottom w:val="54"/>
                      <w:divBdr>
                        <w:top w:val="none" w:sz="0" w:space="0" w:color="auto"/>
                        <w:left w:val="none" w:sz="0" w:space="0" w:color="auto"/>
                        <w:bottom w:val="none" w:sz="0" w:space="0" w:color="auto"/>
                        <w:right w:val="none" w:sz="0" w:space="0" w:color="auto"/>
                      </w:divBdr>
                    </w:div>
                    <w:div w:id="1082682814">
                      <w:marLeft w:val="1152"/>
                      <w:marRight w:val="0"/>
                      <w:marTop w:val="0"/>
                      <w:marBottom w:val="54"/>
                      <w:divBdr>
                        <w:top w:val="none" w:sz="0" w:space="0" w:color="auto"/>
                        <w:left w:val="none" w:sz="0" w:space="0" w:color="auto"/>
                        <w:bottom w:val="none" w:sz="0" w:space="0" w:color="auto"/>
                        <w:right w:val="none" w:sz="0" w:space="0" w:color="auto"/>
                      </w:divBdr>
                    </w:div>
                    <w:div w:id="1106995953">
                      <w:marLeft w:val="720"/>
                      <w:marRight w:val="0"/>
                      <w:marTop w:val="0"/>
                      <w:marBottom w:val="54"/>
                      <w:divBdr>
                        <w:top w:val="none" w:sz="0" w:space="0" w:color="auto"/>
                        <w:left w:val="none" w:sz="0" w:space="0" w:color="auto"/>
                        <w:bottom w:val="none" w:sz="0" w:space="0" w:color="auto"/>
                        <w:right w:val="none" w:sz="0" w:space="0" w:color="auto"/>
                      </w:divBdr>
                    </w:div>
                    <w:div w:id="1148322993">
                      <w:marLeft w:val="720"/>
                      <w:marRight w:val="0"/>
                      <w:marTop w:val="0"/>
                      <w:marBottom w:val="54"/>
                      <w:divBdr>
                        <w:top w:val="none" w:sz="0" w:space="0" w:color="auto"/>
                        <w:left w:val="none" w:sz="0" w:space="0" w:color="auto"/>
                        <w:bottom w:val="none" w:sz="0" w:space="0" w:color="auto"/>
                        <w:right w:val="none" w:sz="0" w:space="0" w:color="auto"/>
                      </w:divBdr>
                    </w:div>
                    <w:div w:id="1180658166">
                      <w:marLeft w:val="720"/>
                      <w:marRight w:val="0"/>
                      <w:marTop w:val="0"/>
                      <w:marBottom w:val="54"/>
                      <w:divBdr>
                        <w:top w:val="single" w:sz="4" w:space="0" w:color="000000"/>
                        <w:left w:val="none" w:sz="0" w:space="0" w:color="auto"/>
                        <w:bottom w:val="none" w:sz="0" w:space="0" w:color="auto"/>
                        <w:right w:val="none" w:sz="0" w:space="0" w:color="auto"/>
                      </w:divBdr>
                    </w:div>
                    <w:div w:id="1208571355">
                      <w:marLeft w:val="720"/>
                      <w:marRight w:val="0"/>
                      <w:marTop w:val="0"/>
                      <w:marBottom w:val="54"/>
                      <w:divBdr>
                        <w:top w:val="none" w:sz="0" w:space="0" w:color="auto"/>
                        <w:left w:val="none" w:sz="0" w:space="0" w:color="auto"/>
                        <w:bottom w:val="none" w:sz="0" w:space="0" w:color="auto"/>
                        <w:right w:val="none" w:sz="0" w:space="0" w:color="auto"/>
                      </w:divBdr>
                    </w:div>
                    <w:div w:id="1255240475">
                      <w:marLeft w:val="720"/>
                      <w:marRight w:val="0"/>
                      <w:marTop w:val="0"/>
                      <w:marBottom w:val="54"/>
                      <w:divBdr>
                        <w:top w:val="none" w:sz="0" w:space="0" w:color="auto"/>
                        <w:left w:val="none" w:sz="0" w:space="0" w:color="auto"/>
                        <w:bottom w:val="none" w:sz="0" w:space="0" w:color="auto"/>
                        <w:right w:val="none" w:sz="0" w:space="0" w:color="auto"/>
                      </w:divBdr>
                    </w:div>
                    <w:div w:id="1306549653">
                      <w:marLeft w:val="720"/>
                      <w:marRight w:val="0"/>
                      <w:marTop w:val="0"/>
                      <w:marBottom w:val="54"/>
                      <w:divBdr>
                        <w:top w:val="none" w:sz="0" w:space="0" w:color="auto"/>
                        <w:left w:val="none" w:sz="0" w:space="0" w:color="auto"/>
                        <w:bottom w:val="none" w:sz="0" w:space="0" w:color="auto"/>
                        <w:right w:val="none" w:sz="0" w:space="0" w:color="auto"/>
                      </w:divBdr>
                    </w:div>
                    <w:div w:id="1403065882">
                      <w:marLeft w:val="720"/>
                      <w:marRight w:val="0"/>
                      <w:marTop w:val="0"/>
                      <w:marBottom w:val="54"/>
                      <w:divBdr>
                        <w:top w:val="none" w:sz="0" w:space="0" w:color="auto"/>
                        <w:left w:val="none" w:sz="0" w:space="0" w:color="auto"/>
                        <w:bottom w:val="none" w:sz="0" w:space="0" w:color="auto"/>
                        <w:right w:val="none" w:sz="0" w:space="0" w:color="auto"/>
                      </w:divBdr>
                    </w:div>
                    <w:div w:id="1459491742">
                      <w:marLeft w:val="1152"/>
                      <w:marRight w:val="0"/>
                      <w:marTop w:val="0"/>
                      <w:marBottom w:val="54"/>
                      <w:divBdr>
                        <w:top w:val="none" w:sz="0" w:space="0" w:color="auto"/>
                        <w:left w:val="none" w:sz="0" w:space="0" w:color="auto"/>
                        <w:bottom w:val="none" w:sz="0" w:space="0" w:color="auto"/>
                        <w:right w:val="none" w:sz="0" w:space="0" w:color="auto"/>
                      </w:divBdr>
                    </w:div>
                    <w:div w:id="1495411475">
                      <w:marLeft w:val="720"/>
                      <w:marRight w:val="0"/>
                      <w:marTop w:val="0"/>
                      <w:marBottom w:val="101"/>
                      <w:divBdr>
                        <w:top w:val="none" w:sz="0" w:space="0" w:color="auto"/>
                        <w:left w:val="none" w:sz="0" w:space="0" w:color="auto"/>
                        <w:bottom w:val="none" w:sz="0" w:space="0" w:color="auto"/>
                        <w:right w:val="none" w:sz="0" w:space="0" w:color="auto"/>
                      </w:divBdr>
                    </w:div>
                    <w:div w:id="1547059645">
                      <w:marLeft w:val="1152"/>
                      <w:marRight w:val="0"/>
                      <w:marTop w:val="0"/>
                      <w:marBottom w:val="54"/>
                      <w:divBdr>
                        <w:top w:val="none" w:sz="0" w:space="0" w:color="auto"/>
                        <w:left w:val="none" w:sz="0" w:space="0" w:color="auto"/>
                        <w:bottom w:val="none" w:sz="0" w:space="0" w:color="auto"/>
                        <w:right w:val="none" w:sz="0" w:space="0" w:color="auto"/>
                      </w:divBdr>
                    </w:div>
                    <w:div w:id="1815637929">
                      <w:marLeft w:val="720"/>
                      <w:marRight w:val="0"/>
                      <w:marTop w:val="0"/>
                      <w:marBottom w:val="54"/>
                      <w:divBdr>
                        <w:top w:val="none" w:sz="0" w:space="0" w:color="auto"/>
                        <w:left w:val="none" w:sz="0" w:space="0" w:color="auto"/>
                        <w:bottom w:val="none" w:sz="0" w:space="0" w:color="auto"/>
                        <w:right w:val="none" w:sz="0" w:space="0" w:color="auto"/>
                      </w:divBdr>
                    </w:div>
                    <w:div w:id="1890259916">
                      <w:marLeft w:val="720"/>
                      <w:marRight w:val="0"/>
                      <w:marTop w:val="0"/>
                      <w:marBottom w:val="101"/>
                      <w:divBdr>
                        <w:top w:val="single" w:sz="4" w:space="0" w:color="000000"/>
                        <w:left w:val="none" w:sz="0" w:space="0" w:color="auto"/>
                        <w:bottom w:val="none" w:sz="0" w:space="0" w:color="auto"/>
                        <w:right w:val="none" w:sz="0" w:space="0" w:color="auto"/>
                      </w:divBdr>
                    </w:div>
                    <w:div w:id="1904296750">
                      <w:marLeft w:val="1152"/>
                      <w:marRight w:val="0"/>
                      <w:marTop w:val="0"/>
                      <w:marBottom w:val="54"/>
                      <w:divBdr>
                        <w:top w:val="none" w:sz="0" w:space="0" w:color="auto"/>
                        <w:left w:val="none" w:sz="0" w:space="0" w:color="auto"/>
                        <w:bottom w:val="none" w:sz="0" w:space="0" w:color="auto"/>
                        <w:right w:val="none" w:sz="0" w:space="0" w:color="auto"/>
                      </w:divBdr>
                    </w:div>
                    <w:div w:id="1944534127">
                      <w:marLeft w:val="720"/>
                      <w:marRight w:val="0"/>
                      <w:marTop w:val="0"/>
                      <w:marBottom w:val="54"/>
                      <w:divBdr>
                        <w:top w:val="none" w:sz="0" w:space="0" w:color="auto"/>
                        <w:left w:val="none" w:sz="0" w:space="0" w:color="auto"/>
                        <w:bottom w:val="none" w:sz="0" w:space="0" w:color="auto"/>
                        <w:right w:val="none" w:sz="0" w:space="0" w:color="auto"/>
                      </w:divBdr>
                    </w:div>
                    <w:div w:id="2009862720">
                      <w:marLeft w:val="720"/>
                      <w:marRight w:val="0"/>
                      <w:marTop w:val="0"/>
                      <w:marBottom w:val="54"/>
                      <w:divBdr>
                        <w:top w:val="single" w:sz="4" w:space="0" w:color="000000"/>
                        <w:left w:val="none" w:sz="0" w:space="0" w:color="auto"/>
                        <w:bottom w:val="none" w:sz="0" w:space="0" w:color="auto"/>
                        <w:right w:val="none" w:sz="0" w:space="0" w:color="auto"/>
                      </w:divBdr>
                    </w:div>
                    <w:div w:id="2019232010">
                      <w:marLeft w:val="1152"/>
                      <w:marRight w:val="0"/>
                      <w:marTop w:val="0"/>
                      <w:marBottom w:val="54"/>
                      <w:divBdr>
                        <w:top w:val="none" w:sz="0" w:space="0" w:color="auto"/>
                        <w:left w:val="none" w:sz="0" w:space="0" w:color="auto"/>
                        <w:bottom w:val="none" w:sz="0" w:space="0" w:color="auto"/>
                        <w:right w:val="none" w:sz="0" w:space="0" w:color="auto"/>
                      </w:divBdr>
                    </w:div>
                    <w:div w:id="2105298923">
                      <w:marLeft w:val="720"/>
                      <w:marRight w:val="0"/>
                      <w:marTop w:val="0"/>
                      <w:marBottom w:val="54"/>
                      <w:divBdr>
                        <w:top w:val="none" w:sz="0" w:space="0" w:color="auto"/>
                        <w:left w:val="none" w:sz="0" w:space="0" w:color="auto"/>
                        <w:bottom w:val="none" w:sz="0" w:space="0" w:color="auto"/>
                        <w:right w:val="none" w:sz="0" w:space="0" w:color="auto"/>
                      </w:divBdr>
                    </w:div>
                    <w:div w:id="2137022855">
                      <w:marLeft w:val="720"/>
                      <w:marRight w:val="0"/>
                      <w:marTop w:val="0"/>
                      <w:marBottom w:val="101"/>
                      <w:divBdr>
                        <w:top w:val="single" w:sz="4" w:space="0" w:color="000000"/>
                        <w:left w:val="none" w:sz="0" w:space="0" w:color="auto"/>
                        <w:bottom w:val="none" w:sz="0" w:space="0" w:color="auto"/>
                        <w:right w:val="none" w:sz="0" w:space="0" w:color="auto"/>
                      </w:divBdr>
                    </w:div>
                  </w:divsChild>
                </w:div>
              </w:divsChild>
            </w:div>
          </w:divsChild>
        </w:div>
      </w:divsChild>
    </w:div>
    <w:div w:id="1577087480">
      <w:bodyDiv w:val="1"/>
      <w:marLeft w:val="0"/>
      <w:marRight w:val="0"/>
      <w:marTop w:val="0"/>
      <w:marBottom w:val="0"/>
      <w:divBdr>
        <w:top w:val="none" w:sz="0" w:space="0" w:color="auto"/>
        <w:left w:val="none" w:sz="0" w:space="0" w:color="auto"/>
        <w:bottom w:val="none" w:sz="0" w:space="0" w:color="auto"/>
        <w:right w:val="none" w:sz="0" w:space="0" w:color="auto"/>
      </w:divBdr>
    </w:div>
    <w:div w:id="1660186163">
      <w:bodyDiv w:val="1"/>
      <w:marLeft w:val="0"/>
      <w:marRight w:val="0"/>
      <w:marTop w:val="0"/>
      <w:marBottom w:val="0"/>
      <w:divBdr>
        <w:top w:val="none" w:sz="0" w:space="0" w:color="auto"/>
        <w:left w:val="none" w:sz="0" w:space="0" w:color="auto"/>
        <w:bottom w:val="none" w:sz="0" w:space="0" w:color="auto"/>
        <w:right w:val="none" w:sz="0" w:space="0" w:color="auto"/>
      </w:divBdr>
      <w:divsChild>
        <w:div w:id="903680593">
          <w:marLeft w:val="0"/>
          <w:marRight w:val="0"/>
          <w:marTop w:val="0"/>
          <w:marBottom w:val="20"/>
          <w:divBdr>
            <w:top w:val="none" w:sz="0" w:space="0" w:color="auto"/>
            <w:left w:val="none" w:sz="0" w:space="0" w:color="auto"/>
            <w:bottom w:val="none" w:sz="0" w:space="0" w:color="auto"/>
            <w:right w:val="none" w:sz="0" w:space="0" w:color="auto"/>
          </w:divBdr>
        </w:div>
      </w:divsChild>
    </w:div>
    <w:div w:id="1689986475">
      <w:bodyDiv w:val="1"/>
      <w:marLeft w:val="0"/>
      <w:marRight w:val="0"/>
      <w:marTop w:val="0"/>
      <w:marBottom w:val="0"/>
      <w:divBdr>
        <w:top w:val="none" w:sz="0" w:space="0" w:color="auto"/>
        <w:left w:val="none" w:sz="0" w:space="0" w:color="auto"/>
        <w:bottom w:val="none" w:sz="0" w:space="0" w:color="auto"/>
        <w:right w:val="none" w:sz="0" w:space="0" w:color="auto"/>
      </w:divBdr>
    </w:div>
    <w:div w:id="1819806485">
      <w:bodyDiv w:val="1"/>
      <w:marLeft w:val="0"/>
      <w:marRight w:val="0"/>
      <w:marTop w:val="0"/>
      <w:marBottom w:val="0"/>
      <w:divBdr>
        <w:top w:val="none" w:sz="0" w:space="0" w:color="auto"/>
        <w:left w:val="none" w:sz="0" w:space="0" w:color="auto"/>
        <w:bottom w:val="none" w:sz="0" w:space="0" w:color="auto"/>
        <w:right w:val="none" w:sz="0" w:space="0" w:color="auto"/>
      </w:divBdr>
      <w:divsChild>
        <w:div w:id="34504541">
          <w:marLeft w:val="1080"/>
          <w:marRight w:val="0"/>
          <w:marTop w:val="0"/>
          <w:marBottom w:val="86"/>
          <w:divBdr>
            <w:top w:val="none" w:sz="0" w:space="0" w:color="auto"/>
            <w:left w:val="none" w:sz="0" w:space="0" w:color="auto"/>
            <w:bottom w:val="none" w:sz="0" w:space="0" w:color="auto"/>
            <w:right w:val="none" w:sz="0" w:space="0" w:color="auto"/>
          </w:divBdr>
        </w:div>
        <w:div w:id="55011390">
          <w:marLeft w:val="648"/>
          <w:marRight w:val="0"/>
          <w:marTop w:val="0"/>
          <w:marBottom w:val="86"/>
          <w:divBdr>
            <w:top w:val="none" w:sz="0" w:space="0" w:color="auto"/>
            <w:left w:val="none" w:sz="0" w:space="0" w:color="auto"/>
            <w:bottom w:val="none" w:sz="0" w:space="0" w:color="auto"/>
            <w:right w:val="none" w:sz="0" w:space="0" w:color="auto"/>
          </w:divBdr>
        </w:div>
        <w:div w:id="150028697">
          <w:marLeft w:val="576"/>
          <w:marRight w:val="0"/>
          <w:marTop w:val="0"/>
          <w:marBottom w:val="86"/>
          <w:divBdr>
            <w:top w:val="none" w:sz="0" w:space="0" w:color="auto"/>
            <w:left w:val="none" w:sz="0" w:space="0" w:color="auto"/>
            <w:bottom w:val="none" w:sz="0" w:space="0" w:color="auto"/>
            <w:right w:val="none" w:sz="0" w:space="0" w:color="auto"/>
          </w:divBdr>
        </w:div>
        <w:div w:id="216741841">
          <w:marLeft w:val="1080"/>
          <w:marRight w:val="0"/>
          <w:marTop w:val="0"/>
          <w:marBottom w:val="86"/>
          <w:divBdr>
            <w:top w:val="none" w:sz="0" w:space="0" w:color="auto"/>
            <w:left w:val="none" w:sz="0" w:space="0" w:color="auto"/>
            <w:bottom w:val="none" w:sz="0" w:space="0" w:color="auto"/>
            <w:right w:val="none" w:sz="0" w:space="0" w:color="auto"/>
          </w:divBdr>
        </w:div>
        <w:div w:id="279648813">
          <w:marLeft w:val="0"/>
          <w:marRight w:val="0"/>
          <w:marTop w:val="0"/>
          <w:marBottom w:val="86"/>
          <w:divBdr>
            <w:top w:val="none" w:sz="0" w:space="0" w:color="auto"/>
            <w:left w:val="none" w:sz="0" w:space="0" w:color="auto"/>
            <w:bottom w:val="none" w:sz="0" w:space="0" w:color="auto"/>
            <w:right w:val="none" w:sz="0" w:space="0" w:color="auto"/>
          </w:divBdr>
        </w:div>
        <w:div w:id="495807383">
          <w:marLeft w:val="576"/>
          <w:marRight w:val="0"/>
          <w:marTop w:val="0"/>
          <w:marBottom w:val="86"/>
          <w:divBdr>
            <w:top w:val="none" w:sz="0" w:space="0" w:color="auto"/>
            <w:left w:val="none" w:sz="0" w:space="0" w:color="auto"/>
            <w:bottom w:val="none" w:sz="0" w:space="0" w:color="auto"/>
            <w:right w:val="none" w:sz="0" w:space="0" w:color="auto"/>
          </w:divBdr>
        </w:div>
        <w:div w:id="500507015">
          <w:marLeft w:val="0"/>
          <w:marRight w:val="0"/>
          <w:marTop w:val="0"/>
          <w:marBottom w:val="86"/>
          <w:divBdr>
            <w:top w:val="none" w:sz="0" w:space="0" w:color="auto"/>
            <w:left w:val="none" w:sz="0" w:space="0" w:color="auto"/>
            <w:bottom w:val="none" w:sz="0" w:space="0" w:color="auto"/>
            <w:right w:val="none" w:sz="0" w:space="0" w:color="auto"/>
          </w:divBdr>
        </w:div>
        <w:div w:id="546645491">
          <w:marLeft w:val="648"/>
          <w:marRight w:val="0"/>
          <w:marTop w:val="0"/>
          <w:marBottom w:val="86"/>
          <w:divBdr>
            <w:top w:val="none" w:sz="0" w:space="0" w:color="auto"/>
            <w:left w:val="none" w:sz="0" w:space="0" w:color="auto"/>
            <w:bottom w:val="none" w:sz="0" w:space="0" w:color="auto"/>
            <w:right w:val="none" w:sz="0" w:space="0" w:color="auto"/>
          </w:divBdr>
        </w:div>
        <w:div w:id="553808073">
          <w:marLeft w:val="1080"/>
          <w:marRight w:val="0"/>
          <w:marTop w:val="0"/>
          <w:marBottom w:val="86"/>
          <w:divBdr>
            <w:top w:val="none" w:sz="0" w:space="0" w:color="auto"/>
            <w:left w:val="none" w:sz="0" w:space="0" w:color="auto"/>
            <w:bottom w:val="none" w:sz="0" w:space="0" w:color="auto"/>
            <w:right w:val="none" w:sz="0" w:space="0" w:color="auto"/>
          </w:divBdr>
        </w:div>
        <w:div w:id="583612462">
          <w:marLeft w:val="648"/>
          <w:marRight w:val="0"/>
          <w:marTop w:val="0"/>
          <w:marBottom w:val="86"/>
          <w:divBdr>
            <w:top w:val="none" w:sz="0" w:space="0" w:color="auto"/>
            <w:left w:val="none" w:sz="0" w:space="0" w:color="auto"/>
            <w:bottom w:val="none" w:sz="0" w:space="0" w:color="auto"/>
            <w:right w:val="none" w:sz="0" w:space="0" w:color="auto"/>
          </w:divBdr>
        </w:div>
        <w:div w:id="612596004">
          <w:marLeft w:val="576"/>
          <w:marRight w:val="0"/>
          <w:marTop w:val="0"/>
          <w:marBottom w:val="86"/>
          <w:divBdr>
            <w:top w:val="none" w:sz="0" w:space="0" w:color="auto"/>
            <w:left w:val="none" w:sz="0" w:space="0" w:color="auto"/>
            <w:bottom w:val="none" w:sz="0" w:space="0" w:color="auto"/>
            <w:right w:val="none" w:sz="0" w:space="0" w:color="auto"/>
          </w:divBdr>
        </w:div>
        <w:div w:id="694159908">
          <w:marLeft w:val="648"/>
          <w:marRight w:val="0"/>
          <w:marTop w:val="0"/>
          <w:marBottom w:val="86"/>
          <w:divBdr>
            <w:top w:val="none" w:sz="0" w:space="0" w:color="auto"/>
            <w:left w:val="none" w:sz="0" w:space="0" w:color="auto"/>
            <w:bottom w:val="none" w:sz="0" w:space="0" w:color="auto"/>
            <w:right w:val="none" w:sz="0" w:space="0" w:color="auto"/>
          </w:divBdr>
        </w:div>
        <w:div w:id="774247544">
          <w:marLeft w:val="576"/>
          <w:marRight w:val="0"/>
          <w:marTop w:val="0"/>
          <w:marBottom w:val="86"/>
          <w:divBdr>
            <w:top w:val="none" w:sz="0" w:space="0" w:color="auto"/>
            <w:left w:val="none" w:sz="0" w:space="0" w:color="auto"/>
            <w:bottom w:val="none" w:sz="0" w:space="0" w:color="auto"/>
            <w:right w:val="none" w:sz="0" w:space="0" w:color="auto"/>
          </w:divBdr>
        </w:div>
        <w:div w:id="796682243">
          <w:marLeft w:val="648"/>
          <w:marRight w:val="0"/>
          <w:marTop w:val="0"/>
          <w:marBottom w:val="86"/>
          <w:divBdr>
            <w:top w:val="none" w:sz="0" w:space="0" w:color="auto"/>
            <w:left w:val="none" w:sz="0" w:space="0" w:color="auto"/>
            <w:bottom w:val="none" w:sz="0" w:space="0" w:color="auto"/>
            <w:right w:val="none" w:sz="0" w:space="0" w:color="auto"/>
          </w:divBdr>
        </w:div>
        <w:div w:id="1002858451">
          <w:marLeft w:val="1080"/>
          <w:marRight w:val="0"/>
          <w:marTop w:val="0"/>
          <w:marBottom w:val="86"/>
          <w:divBdr>
            <w:top w:val="none" w:sz="0" w:space="0" w:color="auto"/>
            <w:left w:val="none" w:sz="0" w:space="0" w:color="auto"/>
            <w:bottom w:val="none" w:sz="0" w:space="0" w:color="auto"/>
            <w:right w:val="none" w:sz="0" w:space="0" w:color="auto"/>
          </w:divBdr>
        </w:div>
        <w:div w:id="1037776793">
          <w:marLeft w:val="0"/>
          <w:marRight w:val="0"/>
          <w:marTop w:val="0"/>
          <w:marBottom w:val="86"/>
          <w:divBdr>
            <w:top w:val="none" w:sz="0" w:space="0" w:color="auto"/>
            <w:left w:val="none" w:sz="0" w:space="0" w:color="auto"/>
            <w:bottom w:val="none" w:sz="0" w:space="0" w:color="auto"/>
            <w:right w:val="none" w:sz="0" w:space="0" w:color="auto"/>
          </w:divBdr>
        </w:div>
        <w:div w:id="1200623924">
          <w:marLeft w:val="648"/>
          <w:marRight w:val="0"/>
          <w:marTop w:val="0"/>
          <w:marBottom w:val="86"/>
          <w:divBdr>
            <w:top w:val="none" w:sz="0" w:space="0" w:color="auto"/>
            <w:left w:val="none" w:sz="0" w:space="0" w:color="auto"/>
            <w:bottom w:val="none" w:sz="0" w:space="0" w:color="auto"/>
            <w:right w:val="none" w:sz="0" w:space="0" w:color="auto"/>
          </w:divBdr>
        </w:div>
        <w:div w:id="1276211306">
          <w:marLeft w:val="648"/>
          <w:marRight w:val="0"/>
          <w:marTop w:val="0"/>
          <w:marBottom w:val="86"/>
          <w:divBdr>
            <w:top w:val="none" w:sz="0" w:space="0" w:color="auto"/>
            <w:left w:val="none" w:sz="0" w:space="0" w:color="auto"/>
            <w:bottom w:val="none" w:sz="0" w:space="0" w:color="auto"/>
            <w:right w:val="none" w:sz="0" w:space="0" w:color="auto"/>
          </w:divBdr>
        </w:div>
        <w:div w:id="1325013264">
          <w:marLeft w:val="576"/>
          <w:marRight w:val="0"/>
          <w:marTop w:val="0"/>
          <w:marBottom w:val="86"/>
          <w:divBdr>
            <w:top w:val="none" w:sz="0" w:space="0" w:color="auto"/>
            <w:left w:val="none" w:sz="0" w:space="0" w:color="auto"/>
            <w:bottom w:val="none" w:sz="0" w:space="0" w:color="auto"/>
            <w:right w:val="none" w:sz="0" w:space="0" w:color="auto"/>
          </w:divBdr>
        </w:div>
        <w:div w:id="1372069514">
          <w:marLeft w:val="0"/>
          <w:marRight w:val="0"/>
          <w:marTop w:val="0"/>
          <w:marBottom w:val="86"/>
          <w:divBdr>
            <w:top w:val="none" w:sz="0" w:space="0" w:color="auto"/>
            <w:left w:val="none" w:sz="0" w:space="0" w:color="auto"/>
            <w:bottom w:val="none" w:sz="0" w:space="0" w:color="auto"/>
            <w:right w:val="none" w:sz="0" w:space="0" w:color="auto"/>
          </w:divBdr>
        </w:div>
        <w:div w:id="1397556996">
          <w:marLeft w:val="1080"/>
          <w:marRight w:val="0"/>
          <w:marTop w:val="0"/>
          <w:marBottom w:val="86"/>
          <w:divBdr>
            <w:top w:val="none" w:sz="0" w:space="0" w:color="auto"/>
            <w:left w:val="none" w:sz="0" w:space="0" w:color="auto"/>
            <w:bottom w:val="none" w:sz="0" w:space="0" w:color="auto"/>
            <w:right w:val="none" w:sz="0" w:space="0" w:color="auto"/>
          </w:divBdr>
        </w:div>
        <w:div w:id="1436484410">
          <w:marLeft w:val="576"/>
          <w:marRight w:val="0"/>
          <w:marTop w:val="0"/>
          <w:marBottom w:val="86"/>
          <w:divBdr>
            <w:top w:val="none" w:sz="0" w:space="0" w:color="auto"/>
            <w:left w:val="none" w:sz="0" w:space="0" w:color="auto"/>
            <w:bottom w:val="none" w:sz="0" w:space="0" w:color="auto"/>
            <w:right w:val="none" w:sz="0" w:space="0" w:color="auto"/>
          </w:divBdr>
        </w:div>
        <w:div w:id="1526286081">
          <w:marLeft w:val="1080"/>
          <w:marRight w:val="0"/>
          <w:marTop w:val="0"/>
          <w:marBottom w:val="86"/>
          <w:divBdr>
            <w:top w:val="none" w:sz="0" w:space="0" w:color="auto"/>
            <w:left w:val="none" w:sz="0" w:space="0" w:color="auto"/>
            <w:bottom w:val="none" w:sz="0" w:space="0" w:color="auto"/>
            <w:right w:val="none" w:sz="0" w:space="0" w:color="auto"/>
          </w:divBdr>
        </w:div>
        <w:div w:id="1609005225">
          <w:marLeft w:val="576"/>
          <w:marRight w:val="0"/>
          <w:marTop w:val="0"/>
          <w:marBottom w:val="86"/>
          <w:divBdr>
            <w:top w:val="none" w:sz="0" w:space="0" w:color="auto"/>
            <w:left w:val="none" w:sz="0" w:space="0" w:color="auto"/>
            <w:bottom w:val="none" w:sz="0" w:space="0" w:color="auto"/>
            <w:right w:val="none" w:sz="0" w:space="0" w:color="auto"/>
          </w:divBdr>
        </w:div>
        <w:div w:id="1709842454">
          <w:marLeft w:val="1080"/>
          <w:marRight w:val="0"/>
          <w:marTop w:val="0"/>
          <w:marBottom w:val="86"/>
          <w:divBdr>
            <w:top w:val="none" w:sz="0" w:space="0" w:color="auto"/>
            <w:left w:val="none" w:sz="0" w:space="0" w:color="auto"/>
            <w:bottom w:val="none" w:sz="0" w:space="0" w:color="auto"/>
            <w:right w:val="none" w:sz="0" w:space="0" w:color="auto"/>
          </w:divBdr>
        </w:div>
        <w:div w:id="1813911784">
          <w:marLeft w:val="648"/>
          <w:marRight w:val="0"/>
          <w:marTop w:val="0"/>
          <w:marBottom w:val="86"/>
          <w:divBdr>
            <w:top w:val="none" w:sz="0" w:space="0" w:color="auto"/>
            <w:left w:val="none" w:sz="0" w:space="0" w:color="auto"/>
            <w:bottom w:val="none" w:sz="0" w:space="0" w:color="auto"/>
            <w:right w:val="none" w:sz="0" w:space="0" w:color="auto"/>
          </w:divBdr>
        </w:div>
        <w:div w:id="1852643499">
          <w:marLeft w:val="1080"/>
          <w:marRight w:val="0"/>
          <w:marTop w:val="0"/>
          <w:marBottom w:val="86"/>
          <w:divBdr>
            <w:top w:val="none" w:sz="0" w:space="0" w:color="auto"/>
            <w:left w:val="none" w:sz="0" w:space="0" w:color="auto"/>
            <w:bottom w:val="none" w:sz="0" w:space="0" w:color="auto"/>
            <w:right w:val="none" w:sz="0" w:space="0" w:color="auto"/>
          </w:divBdr>
        </w:div>
        <w:div w:id="2045907216">
          <w:marLeft w:val="648"/>
          <w:marRight w:val="0"/>
          <w:marTop w:val="0"/>
          <w:marBottom w:val="86"/>
          <w:divBdr>
            <w:top w:val="none" w:sz="0" w:space="0" w:color="auto"/>
            <w:left w:val="none" w:sz="0" w:space="0" w:color="auto"/>
            <w:bottom w:val="none" w:sz="0" w:space="0" w:color="auto"/>
            <w:right w:val="none" w:sz="0" w:space="0" w:color="auto"/>
          </w:divBdr>
        </w:div>
        <w:div w:id="2062442178">
          <w:marLeft w:val="576"/>
          <w:marRight w:val="0"/>
          <w:marTop w:val="0"/>
          <w:marBottom w:val="86"/>
          <w:divBdr>
            <w:top w:val="none" w:sz="0" w:space="0" w:color="auto"/>
            <w:left w:val="none" w:sz="0" w:space="0" w:color="auto"/>
            <w:bottom w:val="none" w:sz="0" w:space="0" w:color="auto"/>
            <w:right w:val="none" w:sz="0" w:space="0" w:color="auto"/>
          </w:divBdr>
        </w:div>
      </w:divsChild>
    </w:div>
    <w:div w:id="1907689077">
      <w:bodyDiv w:val="1"/>
      <w:marLeft w:val="0"/>
      <w:marRight w:val="0"/>
      <w:marTop w:val="0"/>
      <w:marBottom w:val="0"/>
      <w:divBdr>
        <w:top w:val="none" w:sz="0" w:space="0" w:color="auto"/>
        <w:left w:val="none" w:sz="0" w:space="0" w:color="auto"/>
        <w:bottom w:val="none" w:sz="0" w:space="0" w:color="auto"/>
        <w:right w:val="none" w:sz="0" w:space="0" w:color="auto"/>
      </w:divBdr>
    </w:div>
    <w:div w:id="1958750700">
      <w:bodyDiv w:val="1"/>
      <w:marLeft w:val="0"/>
      <w:marRight w:val="0"/>
      <w:marTop w:val="0"/>
      <w:marBottom w:val="0"/>
      <w:divBdr>
        <w:top w:val="none" w:sz="0" w:space="0" w:color="auto"/>
        <w:left w:val="none" w:sz="0" w:space="0" w:color="auto"/>
        <w:bottom w:val="none" w:sz="0" w:space="0" w:color="auto"/>
        <w:right w:val="none" w:sz="0" w:space="0" w:color="auto"/>
      </w:divBdr>
    </w:div>
    <w:div w:id="2043095898">
      <w:bodyDiv w:val="1"/>
      <w:marLeft w:val="0"/>
      <w:marRight w:val="0"/>
      <w:marTop w:val="0"/>
      <w:marBottom w:val="0"/>
      <w:divBdr>
        <w:top w:val="none" w:sz="0" w:space="0" w:color="auto"/>
        <w:left w:val="none" w:sz="0" w:space="0" w:color="auto"/>
        <w:bottom w:val="none" w:sz="0" w:space="0" w:color="auto"/>
        <w:right w:val="none" w:sz="0" w:space="0" w:color="auto"/>
      </w:divBdr>
      <w:divsChild>
        <w:div w:id="497775090">
          <w:marLeft w:val="0"/>
          <w:marRight w:val="0"/>
          <w:marTop w:val="240"/>
          <w:marBottom w:val="0"/>
          <w:divBdr>
            <w:top w:val="none" w:sz="0" w:space="0" w:color="auto"/>
            <w:left w:val="none" w:sz="0" w:space="0" w:color="auto"/>
            <w:bottom w:val="none" w:sz="0" w:space="0" w:color="auto"/>
            <w:right w:val="none" w:sz="0" w:space="0" w:color="auto"/>
          </w:divBdr>
          <w:divsChild>
            <w:div w:id="229779561">
              <w:marLeft w:val="0"/>
              <w:marRight w:val="0"/>
              <w:marTop w:val="0"/>
              <w:marBottom w:val="0"/>
              <w:divBdr>
                <w:top w:val="none" w:sz="0" w:space="0" w:color="auto"/>
                <w:left w:val="none" w:sz="0" w:space="0" w:color="auto"/>
                <w:bottom w:val="none" w:sz="0" w:space="0" w:color="auto"/>
                <w:right w:val="none" w:sz="0" w:space="0" w:color="auto"/>
              </w:divBdr>
              <w:divsChild>
                <w:div w:id="161593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592156">
      <w:bodyDiv w:val="1"/>
      <w:marLeft w:val="0"/>
      <w:marRight w:val="0"/>
      <w:marTop w:val="0"/>
      <w:marBottom w:val="0"/>
      <w:divBdr>
        <w:top w:val="none" w:sz="0" w:space="0" w:color="auto"/>
        <w:left w:val="none" w:sz="0" w:space="0" w:color="auto"/>
        <w:bottom w:val="none" w:sz="0" w:space="0" w:color="auto"/>
        <w:right w:val="none" w:sz="0" w:space="0" w:color="auto"/>
      </w:divBdr>
    </w:div>
    <w:div w:id="2116319795">
      <w:bodyDiv w:val="1"/>
      <w:marLeft w:val="0"/>
      <w:marRight w:val="0"/>
      <w:marTop w:val="0"/>
      <w:marBottom w:val="0"/>
      <w:divBdr>
        <w:top w:val="none" w:sz="0" w:space="0" w:color="auto"/>
        <w:left w:val="none" w:sz="0" w:space="0" w:color="auto"/>
        <w:bottom w:val="none" w:sz="0" w:space="0" w:color="auto"/>
        <w:right w:val="none" w:sz="0" w:space="0" w:color="auto"/>
      </w:divBdr>
      <w:divsChild>
        <w:div w:id="1507288992">
          <w:marLeft w:val="0"/>
          <w:marRight w:val="0"/>
          <w:marTop w:val="240"/>
          <w:marBottom w:val="0"/>
          <w:divBdr>
            <w:top w:val="none" w:sz="0" w:space="0" w:color="auto"/>
            <w:left w:val="none" w:sz="0" w:space="0" w:color="auto"/>
            <w:bottom w:val="none" w:sz="0" w:space="0" w:color="auto"/>
            <w:right w:val="none" w:sz="0" w:space="0" w:color="auto"/>
          </w:divBdr>
          <w:divsChild>
            <w:div w:id="647973788">
              <w:marLeft w:val="0"/>
              <w:marRight w:val="0"/>
              <w:marTop w:val="0"/>
              <w:marBottom w:val="0"/>
              <w:divBdr>
                <w:top w:val="none" w:sz="0" w:space="0" w:color="auto"/>
                <w:left w:val="none" w:sz="0" w:space="0" w:color="auto"/>
                <w:bottom w:val="none" w:sz="0" w:space="0" w:color="auto"/>
                <w:right w:val="none" w:sz="0" w:space="0" w:color="auto"/>
              </w:divBdr>
              <w:divsChild>
                <w:div w:id="596642627">
                  <w:marLeft w:val="0"/>
                  <w:marRight w:val="0"/>
                  <w:marTop w:val="0"/>
                  <w:marBottom w:val="0"/>
                  <w:divBdr>
                    <w:top w:val="none" w:sz="0" w:space="0" w:color="auto"/>
                    <w:left w:val="none" w:sz="0" w:space="0" w:color="auto"/>
                    <w:bottom w:val="none" w:sz="0" w:space="0" w:color="auto"/>
                    <w:right w:val="none" w:sz="0" w:space="0" w:color="auto"/>
                  </w:divBdr>
                  <w:divsChild>
                    <w:div w:id="1969625051">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ift.org.mx/sites/default/files/contenidogeneral/estadisticas/omvs2023.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3FB6B-6334-4EC8-8338-38BDFC89E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3830</Words>
  <Characters>21066</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24847</CharactersWithSpaces>
  <SharedDoc>false</SharedDoc>
  <HLinks>
    <vt:vector size="6" baseType="variant">
      <vt:variant>
        <vt:i4>4587546</vt:i4>
      </vt:variant>
      <vt:variant>
        <vt:i4>0</vt:i4>
      </vt:variant>
      <vt:variant>
        <vt:i4>0</vt:i4>
      </vt:variant>
      <vt:variant>
        <vt:i4>5</vt:i4>
      </vt:variant>
      <vt:variant>
        <vt:lpwstr>https://www.ift.org.mx/sites/default/files/contenidogeneral/estadisticas/omvs2023.pdf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Ignacio Reyes Sanchez</dc:creator>
  <cp:keywords/>
  <dc:description/>
  <cp:lastModifiedBy>Josue Teoyotl Calderón</cp:lastModifiedBy>
  <cp:revision>3</cp:revision>
  <cp:lastPrinted>2024-08-07T23:33:00Z</cp:lastPrinted>
  <dcterms:created xsi:type="dcterms:W3CDTF">2024-08-07T23:32:00Z</dcterms:created>
  <dcterms:modified xsi:type="dcterms:W3CDTF">2024-08-07T23:33:00Z</dcterms:modified>
</cp:coreProperties>
</file>