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58B7" w14:textId="173F5171" w:rsidR="00F811F5" w:rsidRPr="00326733" w:rsidRDefault="00C56520" w:rsidP="00CD47E5">
      <w:pPr>
        <w:spacing w:after="0"/>
        <w:jc w:val="both"/>
        <w:rPr>
          <w:rFonts w:ascii="ITC Avant Garde" w:hAnsi="ITC Avant Garde"/>
          <w:b/>
          <w:sz w:val="20"/>
          <w:szCs w:val="20"/>
        </w:rPr>
      </w:pPr>
      <w:r w:rsidRPr="00326733">
        <w:rPr>
          <w:rFonts w:ascii="ITC Avant Garde" w:hAnsi="ITC Avant Garde"/>
          <w:b/>
          <w:sz w:val="20"/>
          <w:szCs w:val="20"/>
        </w:rPr>
        <w:t xml:space="preserve">INFORME DE </w:t>
      </w:r>
      <w:r w:rsidR="008D6904" w:rsidRPr="00326733">
        <w:rPr>
          <w:rFonts w:ascii="ITC Avant Garde" w:hAnsi="ITC Avant Garde"/>
          <w:b/>
          <w:sz w:val="20"/>
          <w:szCs w:val="20"/>
        </w:rPr>
        <w:t>CONSIDERACIONES DE LOS C</w:t>
      </w:r>
      <w:r w:rsidR="002A7B20" w:rsidRPr="00326733">
        <w:rPr>
          <w:rFonts w:ascii="ITC Avant Garde" w:hAnsi="ITC Avant Garde"/>
          <w:b/>
          <w:sz w:val="20"/>
          <w:szCs w:val="20"/>
        </w:rPr>
        <w:t>OMENTARIOS, OBSERVACIONES, PROP</w:t>
      </w:r>
      <w:r w:rsidR="008D6904" w:rsidRPr="00326733">
        <w:rPr>
          <w:rFonts w:ascii="ITC Avant Garde" w:hAnsi="ITC Avant Garde"/>
          <w:b/>
          <w:sz w:val="20"/>
          <w:szCs w:val="20"/>
        </w:rPr>
        <w:t xml:space="preserve">UESTAS Y/O APORTACIONES RECIBIDAS </w:t>
      </w:r>
      <w:r w:rsidR="000F565A" w:rsidRPr="00326733">
        <w:rPr>
          <w:rFonts w:ascii="ITC Avant Garde" w:hAnsi="ITC Avant Garde"/>
          <w:b/>
          <w:sz w:val="20"/>
          <w:szCs w:val="20"/>
        </w:rPr>
        <w:t xml:space="preserve">DURANTE LA CONSULTA PÚBLICA </w:t>
      </w:r>
      <w:r w:rsidR="00AC78B6">
        <w:rPr>
          <w:rFonts w:ascii="ITC Avant Garde" w:hAnsi="ITC Avant Garde"/>
          <w:b/>
          <w:sz w:val="20"/>
          <w:szCs w:val="20"/>
        </w:rPr>
        <w:t>SOBRE EL</w:t>
      </w:r>
      <w:r w:rsidR="000F565A" w:rsidRPr="00326733">
        <w:rPr>
          <w:rFonts w:ascii="ITC Avant Garde" w:hAnsi="ITC Avant Garde"/>
          <w:b/>
          <w:sz w:val="20"/>
          <w:szCs w:val="20"/>
        </w:rPr>
        <w:t xml:space="preserve"> “</w:t>
      </w:r>
      <w:r w:rsidR="009A7088">
        <w:rPr>
          <w:rFonts w:ascii="ITC Avant Garde" w:hAnsi="ITC Avant Garde"/>
          <w:b/>
          <w:sz w:val="20"/>
          <w:szCs w:val="20"/>
        </w:rPr>
        <w:t>ANTEPROYECTO DE ACUERDO MEDIANTE EL CUAL EL PLENO DEL INSTITUTO FEDERAL DE TELECOMUNICACIONES MODIFICA EL CUADRO NACIONAL DE ATRIBUCIÓN DE FRECUENCIAS</w:t>
      </w:r>
      <w:r w:rsidR="000F565A" w:rsidRPr="00326733">
        <w:rPr>
          <w:rFonts w:ascii="ITC Avant Garde" w:hAnsi="ITC Avant Garde"/>
          <w:b/>
          <w:sz w:val="20"/>
          <w:szCs w:val="20"/>
        </w:rPr>
        <w:t>”</w:t>
      </w:r>
    </w:p>
    <w:p w14:paraId="44B728A8" w14:textId="77777777" w:rsidR="00CD47E5" w:rsidRPr="00326733" w:rsidRDefault="00CD47E5" w:rsidP="00CD47E5">
      <w:pPr>
        <w:spacing w:after="0"/>
        <w:jc w:val="both"/>
        <w:rPr>
          <w:rFonts w:ascii="ITC Avant Garde" w:hAnsi="ITC Avant Garde"/>
          <w:b/>
          <w:i/>
          <w:sz w:val="20"/>
          <w:szCs w:val="20"/>
        </w:rPr>
      </w:pPr>
    </w:p>
    <w:p w14:paraId="50B74906" w14:textId="77777777" w:rsidR="00835C6F" w:rsidRPr="00326733" w:rsidRDefault="008D6904" w:rsidP="00CD47E5">
      <w:pPr>
        <w:pStyle w:val="Prrafodelista"/>
        <w:numPr>
          <w:ilvl w:val="0"/>
          <w:numId w:val="1"/>
        </w:numPr>
        <w:spacing w:after="0"/>
        <w:ind w:left="567"/>
        <w:jc w:val="both"/>
        <w:rPr>
          <w:rFonts w:ascii="ITC Avant Garde" w:hAnsi="ITC Avant Garde"/>
          <w:b/>
          <w:sz w:val="20"/>
          <w:szCs w:val="20"/>
        </w:rPr>
      </w:pPr>
      <w:r w:rsidRPr="00326733">
        <w:rPr>
          <w:rFonts w:ascii="ITC Avant Garde" w:hAnsi="ITC Avant Garde"/>
          <w:b/>
          <w:sz w:val="20"/>
          <w:szCs w:val="20"/>
        </w:rPr>
        <w:t xml:space="preserve">Fecha de </w:t>
      </w:r>
      <w:r w:rsidR="004558C5" w:rsidRPr="00326733">
        <w:rPr>
          <w:rFonts w:ascii="ITC Avant Garde" w:hAnsi="ITC Avant Garde"/>
          <w:b/>
          <w:sz w:val="20"/>
          <w:szCs w:val="20"/>
        </w:rPr>
        <w:t>elaboración del presente Informe</w:t>
      </w:r>
      <w:r w:rsidR="009F0089" w:rsidRPr="00326733">
        <w:rPr>
          <w:rFonts w:ascii="ITC Avant Garde" w:hAnsi="ITC Avant Garde"/>
          <w:b/>
          <w:sz w:val="20"/>
          <w:szCs w:val="20"/>
        </w:rPr>
        <w:t xml:space="preserve"> </w:t>
      </w:r>
    </w:p>
    <w:p w14:paraId="4EA9367C" w14:textId="77777777" w:rsidR="00772A79" w:rsidRDefault="00772A79" w:rsidP="00CD47E5">
      <w:pPr>
        <w:spacing w:after="0"/>
        <w:jc w:val="both"/>
        <w:rPr>
          <w:rFonts w:ascii="ITC Avant Garde" w:hAnsi="ITC Avant Garde"/>
          <w:color w:val="000000"/>
          <w:sz w:val="20"/>
          <w:szCs w:val="20"/>
          <w:shd w:val="clear" w:color="auto" w:fill="FFFFFF"/>
        </w:rPr>
      </w:pPr>
    </w:p>
    <w:p w14:paraId="6C6D049D" w14:textId="64F5BB05" w:rsidR="009F0089" w:rsidRPr="00326733" w:rsidRDefault="009A7088" w:rsidP="00CD47E5">
      <w:pPr>
        <w:spacing w:after="0"/>
        <w:jc w:val="both"/>
        <w:rPr>
          <w:rFonts w:ascii="ITC Avant Garde" w:hAnsi="ITC Avant Garde"/>
          <w:color w:val="000000"/>
          <w:sz w:val="20"/>
          <w:szCs w:val="20"/>
          <w:shd w:val="clear" w:color="auto" w:fill="FFFFFF"/>
        </w:rPr>
      </w:pPr>
      <w:r w:rsidRPr="009E3FA4">
        <w:rPr>
          <w:rFonts w:ascii="ITC Avant Garde" w:hAnsi="ITC Avant Garde"/>
          <w:color w:val="000000"/>
          <w:sz w:val="20"/>
          <w:szCs w:val="20"/>
          <w:shd w:val="clear" w:color="auto" w:fill="FFFFFF"/>
        </w:rPr>
        <w:t>8</w:t>
      </w:r>
      <w:r w:rsidR="00895CF3" w:rsidRPr="009E3FA4">
        <w:rPr>
          <w:rFonts w:ascii="ITC Avant Garde" w:hAnsi="ITC Avant Garde"/>
          <w:color w:val="000000"/>
          <w:sz w:val="20"/>
          <w:szCs w:val="20"/>
          <w:shd w:val="clear" w:color="auto" w:fill="FFFFFF"/>
        </w:rPr>
        <w:t xml:space="preserve"> de julio</w:t>
      </w:r>
      <w:r w:rsidR="00AC78B6" w:rsidRPr="009E3FA4">
        <w:rPr>
          <w:rFonts w:ascii="ITC Avant Garde" w:hAnsi="ITC Avant Garde"/>
          <w:color w:val="000000"/>
          <w:sz w:val="20"/>
          <w:szCs w:val="20"/>
          <w:shd w:val="clear" w:color="auto" w:fill="FFFFFF"/>
        </w:rPr>
        <w:t xml:space="preserve"> de 2024.</w:t>
      </w:r>
    </w:p>
    <w:p w14:paraId="6B09BC16" w14:textId="77777777" w:rsidR="00E368E7" w:rsidRPr="00326733" w:rsidRDefault="00E368E7" w:rsidP="00CD47E5">
      <w:pPr>
        <w:pStyle w:val="Prrafodelista"/>
        <w:spacing w:after="0"/>
        <w:ind w:left="142"/>
        <w:jc w:val="both"/>
        <w:rPr>
          <w:rFonts w:ascii="ITC Avant Garde" w:hAnsi="ITC Avant Garde"/>
          <w:color w:val="000000"/>
          <w:sz w:val="20"/>
          <w:szCs w:val="20"/>
          <w:shd w:val="clear" w:color="auto" w:fill="FFFFFF"/>
        </w:rPr>
      </w:pPr>
    </w:p>
    <w:p w14:paraId="61E13EEA" w14:textId="4EB15B1F" w:rsidR="009F0089" w:rsidRPr="00326733" w:rsidRDefault="009F0089" w:rsidP="00CD47E5">
      <w:pPr>
        <w:pStyle w:val="Prrafodelista"/>
        <w:numPr>
          <w:ilvl w:val="0"/>
          <w:numId w:val="1"/>
        </w:numPr>
        <w:spacing w:after="0"/>
        <w:ind w:left="567"/>
        <w:jc w:val="both"/>
        <w:rPr>
          <w:rFonts w:ascii="ITC Avant Garde" w:hAnsi="ITC Avant Garde"/>
          <w:b/>
          <w:sz w:val="20"/>
          <w:szCs w:val="20"/>
        </w:rPr>
      </w:pPr>
      <w:r w:rsidRPr="00326733">
        <w:rPr>
          <w:rFonts w:ascii="ITC Avant Garde" w:hAnsi="ITC Avant Garde"/>
          <w:b/>
          <w:sz w:val="20"/>
          <w:szCs w:val="20"/>
        </w:rPr>
        <w:t>Área responsable de la</w:t>
      </w:r>
      <w:r w:rsidR="004645B6" w:rsidRPr="00326733">
        <w:rPr>
          <w:rFonts w:ascii="ITC Avant Garde" w:hAnsi="ITC Avant Garde"/>
          <w:b/>
          <w:sz w:val="20"/>
          <w:szCs w:val="20"/>
        </w:rPr>
        <w:t xml:space="preserve"> Consulta Pública</w:t>
      </w:r>
      <w:r w:rsidR="002331B2" w:rsidRPr="00326733">
        <w:rPr>
          <w:rFonts w:ascii="ITC Avant Garde" w:hAnsi="ITC Avant Garde"/>
          <w:b/>
          <w:sz w:val="20"/>
          <w:szCs w:val="20"/>
        </w:rPr>
        <w:t xml:space="preserve"> de </w:t>
      </w:r>
      <w:r w:rsidR="00E67C13" w:rsidRPr="00326733">
        <w:rPr>
          <w:rFonts w:ascii="ITC Avant Garde" w:hAnsi="ITC Avant Garde"/>
          <w:b/>
          <w:sz w:val="20"/>
          <w:szCs w:val="20"/>
        </w:rPr>
        <w:t>Anteproyecto</w:t>
      </w:r>
      <w:r w:rsidR="004645B6" w:rsidRPr="00326733">
        <w:rPr>
          <w:rFonts w:ascii="ITC Avant Garde" w:hAnsi="ITC Avant Garde"/>
          <w:b/>
          <w:sz w:val="20"/>
          <w:szCs w:val="20"/>
        </w:rPr>
        <w:t xml:space="preserve"> y de la </w:t>
      </w:r>
      <w:r w:rsidRPr="00326733">
        <w:rPr>
          <w:rFonts w:ascii="ITC Avant Garde" w:hAnsi="ITC Avant Garde"/>
          <w:b/>
          <w:sz w:val="20"/>
          <w:szCs w:val="20"/>
        </w:rPr>
        <w:t>elaboración del presente Informe.</w:t>
      </w:r>
    </w:p>
    <w:p w14:paraId="050C39C7" w14:textId="77777777" w:rsidR="00772A79" w:rsidRDefault="00772A79" w:rsidP="00CD47E5">
      <w:pPr>
        <w:spacing w:after="0"/>
        <w:jc w:val="both"/>
        <w:rPr>
          <w:rFonts w:ascii="ITC Avant Garde" w:hAnsi="ITC Avant Garde"/>
          <w:color w:val="000000"/>
          <w:sz w:val="20"/>
          <w:szCs w:val="20"/>
          <w:shd w:val="clear" w:color="auto" w:fill="FFFFFF"/>
        </w:rPr>
      </w:pPr>
    </w:p>
    <w:p w14:paraId="3BE3F6BB" w14:textId="18E42FD8" w:rsidR="004558C5" w:rsidRPr="00326733" w:rsidRDefault="00692C5F" w:rsidP="00CD47E5">
      <w:pPr>
        <w:spacing w:after="0"/>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 xml:space="preserve">Dirección General de Planeación del Espectro Radioeléctrico adscrita a la </w:t>
      </w:r>
      <w:r w:rsidR="009F0089" w:rsidRPr="00326733">
        <w:rPr>
          <w:rFonts w:ascii="ITC Avant Garde" w:hAnsi="ITC Avant Garde"/>
          <w:color w:val="000000"/>
          <w:sz w:val="20"/>
          <w:szCs w:val="20"/>
          <w:shd w:val="clear" w:color="auto" w:fill="FFFFFF"/>
        </w:rPr>
        <w:t>Unidad de Espectro Radioeléctrico</w:t>
      </w:r>
      <w:r w:rsidR="000259B9" w:rsidRPr="00326733">
        <w:rPr>
          <w:rFonts w:ascii="ITC Avant Garde" w:hAnsi="ITC Avant Garde"/>
          <w:color w:val="000000"/>
          <w:sz w:val="20"/>
          <w:szCs w:val="20"/>
          <w:shd w:val="clear" w:color="auto" w:fill="FFFFFF"/>
        </w:rPr>
        <w:t>.</w:t>
      </w:r>
    </w:p>
    <w:p w14:paraId="3C9AE211" w14:textId="77777777" w:rsidR="00E368E7" w:rsidRPr="00326733" w:rsidRDefault="00E368E7" w:rsidP="00E835EB">
      <w:pPr>
        <w:pStyle w:val="Prrafodelista"/>
        <w:ind w:left="142"/>
        <w:jc w:val="both"/>
        <w:rPr>
          <w:rFonts w:ascii="ITC Avant Garde" w:hAnsi="ITC Avant Garde"/>
          <w:color w:val="000000"/>
          <w:sz w:val="20"/>
          <w:szCs w:val="20"/>
          <w:shd w:val="clear" w:color="auto" w:fill="FFFFFF"/>
        </w:rPr>
      </w:pPr>
    </w:p>
    <w:p w14:paraId="40DDE1E7" w14:textId="2217EB31" w:rsidR="00E368E7" w:rsidRPr="00326733" w:rsidRDefault="00E368E7" w:rsidP="00CD47E5">
      <w:pPr>
        <w:pStyle w:val="Prrafodelista"/>
        <w:numPr>
          <w:ilvl w:val="0"/>
          <w:numId w:val="1"/>
        </w:numPr>
        <w:spacing w:after="0"/>
        <w:ind w:left="567"/>
        <w:jc w:val="both"/>
        <w:rPr>
          <w:rFonts w:ascii="ITC Avant Garde" w:hAnsi="ITC Avant Garde"/>
          <w:b/>
          <w:color w:val="000000"/>
          <w:sz w:val="20"/>
          <w:szCs w:val="20"/>
          <w:shd w:val="clear" w:color="auto" w:fill="FFFFFF"/>
        </w:rPr>
      </w:pPr>
      <w:r w:rsidRPr="00326733">
        <w:rPr>
          <w:rFonts w:ascii="ITC Avant Garde" w:hAnsi="ITC Avant Garde"/>
          <w:b/>
          <w:color w:val="000000"/>
          <w:sz w:val="20"/>
          <w:szCs w:val="20"/>
          <w:shd w:val="clear" w:color="auto" w:fill="FFFFFF"/>
        </w:rPr>
        <w:t>Antecedentes de la Consulta Pública</w:t>
      </w:r>
      <w:r w:rsidR="002331B2" w:rsidRPr="00326733">
        <w:rPr>
          <w:rFonts w:ascii="ITC Avant Garde" w:hAnsi="ITC Avant Garde"/>
          <w:b/>
          <w:color w:val="000000"/>
          <w:sz w:val="20"/>
          <w:szCs w:val="20"/>
          <w:shd w:val="clear" w:color="auto" w:fill="FFFFFF"/>
        </w:rPr>
        <w:t xml:space="preserve"> de </w:t>
      </w:r>
      <w:r w:rsidR="00C51A4F" w:rsidRPr="00326733">
        <w:rPr>
          <w:rFonts w:ascii="ITC Avant Garde" w:hAnsi="ITC Avant Garde"/>
          <w:b/>
          <w:color w:val="000000"/>
          <w:sz w:val="20"/>
          <w:szCs w:val="20"/>
          <w:shd w:val="clear" w:color="auto" w:fill="FFFFFF"/>
        </w:rPr>
        <w:t>Anteproyecto</w:t>
      </w:r>
      <w:r w:rsidRPr="00326733">
        <w:rPr>
          <w:rFonts w:ascii="ITC Avant Garde" w:hAnsi="ITC Avant Garde"/>
          <w:b/>
          <w:color w:val="000000"/>
          <w:sz w:val="20"/>
          <w:szCs w:val="20"/>
          <w:shd w:val="clear" w:color="auto" w:fill="FFFFFF"/>
        </w:rPr>
        <w:t>:</w:t>
      </w:r>
    </w:p>
    <w:p w14:paraId="1C05B6DA" w14:textId="77777777" w:rsidR="00772A79" w:rsidRDefault="00772A79" w:rsidP="005D59D9">
      <w:pPr>
        <w:spacing w:after="0"/>
        <w:jc w:val="both"/>
        <w:rPr>
          <w:rFonts w:ascii="ITC Avant Garde" w:hAnsi="ITC Avant Garde"/>
          <w:color w:val="000000"/>
          <w:sz w:val="20"/>
          <w:szCs w:val="20"/>
          <w:shd w:val="clear" w:color="auto" w:fill="FFFFFF"/>
        </w:rPr>
      </w:pPr>
    </w:p>
    <w:p w14:paraId="10168312" w14:textId="77BAF371" w:rsidR="00A475DC" w:rsidRDefault="005D09D5" w:rsidP="00CD47E5">
      <w:pPr>
        <w:spacing w:after="0"/>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En</w:t>
      </w:r>
      <w:r w:rsidR="009A7088">
        <w:rPr>
          <w:rFonts w:ascii="ITC Avant Garde" w:hAnsi="ITC Avant Garde"/>
          <w:color w:val="000000"/>
          <w:sz w:val="20"/>
          <w:szCs w:val="20"/>
          <w:shd w:val="clear" w:color="auto" w:fill="FFFFFF"/>
        </w:rPr>
        <w:t xml:space="preserve"> el marco de los proyectos y actividades </w:t>
      </w:r>
      <w:r w:rsidR="00755C25">
        <w:rPr>
          <w:rFonts w:ascii="ITC Avant Garde" w:hAnsi="ITC Avant Garde"/>
          <w:color w:val="000000"/>
          <w:sz w:val="20"/>
          <w:szCs w:val="20"/>
          <w:shd w:val="clear" w:color="auto" w:fill="FFFFFF"/>
        </w:rPr>
        <w:t>relacionadas con la adecuada planeación, administración y control del espectro radioeléctrico</w:t>
      </w:r>
      <w:r w:rsidR="002C42C9">
        <w:rPr>
          <w:rFonts w:ascii="ITC Avant Garde" w:hAnsi="ITC Avant Garde"/>
          <w:color w:val="000000"/>
          <w:sz w:val="20"/>
          <w:szCs w:val="20"/>
          <w:shd w:val="clear" w:color="auto" w:fill="FFFFFF"/>
        </w:rPr>
        <w:t xml:space="preserve"> para permitir su uso y aprovechamiento eficiente, el Instituto</w:t>
      </w:r>
      <w:r w:rsidR="003F5B6E">
        <w:rPr>
          <w:rFonts w:ascii="ITC Avant Garde" w:hAnsi="ITC Avant Garde"/>
          <w:color w:val="000000"/>
          <w:sz w:val="20"/>
          <w:szCs w:val="20"/>
          <w:shd w:val="clear" w:color="auto" w:fill="FFFFFF"/>
        </w:rPr>
        <w:t xml:space="preserve"> Federal de Telecomunicaciones (Instituto)</w:t>
      </w:r>
      <w:r w:rsidR="002C42C9">
        <w:rPr>
          <w:rFonts w:ascii="ITC Avant Garde" w:hAnsi="ITC Avant Garde"/>
          <w:color w:val="000000"/>
          <w:sz w:val="20"/>
          <w:szCs w:val="20"/>
          <w:shd w:val="clear" w:color="auto" w:fill="FFFFFF"/>
        </w:rPr>
        <w:t xml:space="preserve">, a través de </w:t>
      </w:r>
      <w:r w:rsidR="009A7088">
        <w:rPr>
          <w:rFonts w:ascii="ITC Avant Garde" w:hAnsi="ITC Avant Garde"/>
          <w:color w:val="000000"/>
          <w:sz w:val="20"/>
          <w:szCs w:val="20"/>
          <w:shd w:val="clear" w:color="auto" w:fill="FFFFFF"/>
        </w:rPr>
        <w:t>la Unidad de Espectro Radioeléctrico</w:t>
      </w:r>
      <w:r w:rsidR="003F5B6E">
        <w:rPr>
          <w:rFonts w:ascii="ITC Avant Garde" w:hAnsi="ITC Avant Garde"/>
          <w:color w:val="000000"/>
          <w:sz w:val="20"/>
          <w:szCs w:val="20"/>
          <w:shd w:val="clear" w:color="auto" w:fill="FFFFFF"/>
        </w:rPr>
        <w:t xml:space="preserve"> (UER)</w:t>
      </w:r>
      <w:r w:rsidR="002C42C9">
        <w:rPr>
          <w:rFonts w:ascii="ITC Avant Garde" w:hAnsi="ITC Avant Garde"/>
          <w:color w:val="000000"/>
          <w:sz w:val="20"/>
          <w:szCs w:val="20"/>
          <w:shd w:val="clear" w:color="auto" w:fill="FFFFFF"/>
        </w:rPr>
        <w:t xml:space="preserve">, </w:t>
      </w:r>
      <w:r w:rsidR="00755C25">
        <w:rPr>
          <w:rFonts w:ascii="ITC Avant Garde" w:hAnsi="ITC Avant Garde"/>
          <w:color w:val="000000"/>
          <w:sz w:val="20"/>
          <w:szCs w:val="20"/>
          <w:shd w:val="clear" w:color="auto" w:fill="FFFFFF"/>
        </w:rPr>
        <w:t>prop</w:t>
      </w:r>
      <w:r w:rsidR="005D50C4">
        <w:rPr>
          <w:rFonts w:ascii="ITC Avant Garde" w:hAnsi="ITC Avant Garde"/>
          <w:color w:val="000000"/>
          <w:sz w:val="20"/>
          <w:szCs w:val="20"/>
          <w:shd w:val="clear" w:color="auto" w:fill="FFFFFF"/>
        </w:rPr>
        <w:t xml:space="preserve">uso modificar el Cuadro Nacional de Atribución de Frecuencias (CNAF), mediante la realización de </w:t>
      </w:r>
      <w:r w:rsidR="002C42C9">
        <w:rPr>
          <w:rFonts w:ascii="ITC Avant Garde" w:hAnsi="ITC Avant Garde"/>
          <w:color w:val="000000"/>
          <w:sz w:val="20"/>
          <w:szCs w:val="20"/>
          <w:shd w:val="clear" w:color="auto" w:fill="FFFFFF"/>
        </w:rPr>
        <w:t xml:space="preserve">adecuaciones </w:t>
      </w:r>
      <w:r w:rsidR="006324D7">
        <w:rPr>
          <w:rFonts w:ascii="ITC Avant Garde" w:hAnsi="ITC Avant Garde"/>
          <w:color w:val="000000"/>
          <w:sz w:val="20"/>
          <w:szCs w:val="20"/>
          <w:shd w:val="clear" w:color="auto" w:fill="FFFFFF"/>
        </w:rPr>
        <w:t>que resultaron aplicables</w:t>
      </w:r>
      <w:r w:rsidR="005D50C4">
        <w:rPr>
          <w:rFonts w:ascii="ITC Avant Garde" w:hAnsi="ITC Avant Garde"/>
          <w:color w:val="000000"/>
          <w:sz w:val="20"/>
          <w:szCs w:val="20"/>
          <w:shd w:val="clear" w:color="auto" w:fill="FFFFFF"/>
        </w:rPr>
        <w:t xml:space="preserve"> </w:t>
      </w:r>
      <w:r w:rsidR="0057102A">
        <w:rPr>
          <w:rFonts w:ascii="ITC Avant Garde" w:hAnsi="ITC Avant Garde"/>
          <w:color w:val="000000"/>
          <w:sz w:val="20"/>
          <w:szCs w:val="20"/>
          <w:shd w:val="clear" w:color="auto" w:fill="FFFFFF"/>
        </w:rPr>
        <w:t>en</w:t>
      </w:r>
      <w:r w:rsidR="00A475DC" w:rsidRPr="00A475DC">
        <w:rPr>
          <w:rFonts w:ascii="ITC Avant Garde" w:hAnsi="ITC Avant Garde"/>
          <w:color w:val="000000"/>
          <w:sz w:val="20"/>
          <w:szCs w:val="20"/>
          <w:shd w:val="clear" w:color="auto" w:fill="FFFFFF"/>
        </w:rPr>
        <w:t xml:space="preserve"> la “Sección Tabla de Atribuciones” y en la “Sección de Notas Nacionales”</w:t>
      </w:r>
      <w:r w:rsidR="00C170E7">
        <w:rPr>
          <w:rFonts w:ascii="ITC Avant Garde" w:hAnsi="ITC Avant Garde"/>
          <w:color w:val="000000"/>
          <w:sz w:val="20"/>
          <w:szCs w:val="20"/>
          <w:shd w:val="clear" w:color="auto" w:fill="FFFFFF"/>
        </w:rPr>
        <w:t xml:space="preserve"> del CNAF</w:t>
      </w:r>
      <w:r w:rsidR="00A475DC" w:rsidRPr="00A475DC">
        <w:rPr>
          <w:rFonts w:ascii="ITC Avant Garde" w:hAnsi="ITC Avant Garde"/>
          <w:color w:val="000000"/>
          <w:sz w:val="20"/>
          <w:szCs w:val="20"/>
          <w:shd w:val="clear" w:color="auto" w:fill="FFFFFF"/>
        </w:rPr>
        <w:t xml:space="preserve">, </w:t>
      </w:r>
      <w:r w:rsidR="00F47586">
        <w:rPr>
          <w:rFonts w:ascii="ITC Avant Garde" w:hAnsi="ITC Avant Garde"/>
          <w:color w:val="000000"/>
          <w:sz w:val="20"/>
          <w:szCs w:val="20"/>
          <w:shd w:val="clear" w:color="auto" w:fill="FFFFFF"/>
        </w:rPr>
        <w:t>con el objeto de</w:t>
      </w:r>
      <w:r w:rsidR="005D50C4">
        <w:rPr>
          <w:rFonts w:ascii="ITC Avant Garde" w:hAnsi="ITC Avant Garde"/>
          <w:color w:val="000000"/>
          <w:sz w:val="20"/>
          <w:szCs w:val="20"/>
          <w:shd w:val="clear" w:color="auto" w:fill="FFFFFF"/>
        </w:rPr>
        <w:t xml:space="preserve"> </w:t>
      </w:r>
      <w:r w:rsidR="00A475DC" w:rsidRPr="00A475DC">
        <w:rPr>
          <w:rFonts w:ascii="ITC Avant Garde" w:hAnsi="ITC Avant Garde"/>
          <w:color w:val="000000"/>
          <w:sz w:val="20"/>
          <w:szCs w:val="20"/>
          <w:shd w:val="clear" w:color="auto" w:fill="FFFFFF"/>
        </w:rPr>
        <w:t xml:space="preserve">presentar de forma adecuada </w:t>
      </w:r>
      <w:r w:rsidR="00F02762">
        <w:rPr>
          <w:rFonts w:ascii="ITC Avant Garde" w:hAnsi="ITC Avant Garde"/>
          <w:color w:val="000000"/>
          <w:sz w:val="20"/>
          <w:szCs w:val="20"/>
          <w:shd w:val="clear" w:color="auto" w:fill="FFFFFF"/>
        </w:rPr>
        <w:t xml:space="preserve">las atribuciones e </w:t>
      </w:r>
      <w:r w:rsidR="00A475DC" w:rsidRPr="00A475DC">
        <w:rPr>
          <w:rFonts w:ascii="ITC Avant Garde" w:hAnsi="ITC Avant Garde"/>
          <w:color w:val="000000"/>
          <w:sz w:val="20"/>
          <w:szCs w:val="20"/>
          <w:shd w:val="clear" w:color="auto" w:fill="FFFFFF"/>
        </w:rPr>
        <w:t>información correspondiente a</w:t>
      </w:r>
      <w:r w:rsidR="00D5670E">
        <w:rPr>
          <w:rFonts w:ascii="ITC Avant Garde" w:hAnsi="ITC Avant Garde"/>
          <w:color w:val="000000"/>
          <w:sz w:val="20"/>
          <w:szCs w:val="20"/>
          <w:shd w:val="clear" w:color="auto" w:fill="FFFFFF"/>
        </w:rPr>
        <w:t>l uso</w:t>
      </w:r>
      <w:r w:rsidR="00B02C13">
        <w:rPr>
          <w:rFonts w:ascii="ITC Avant Garde" w:hAnsi="ITC Avant Garde"/>
          <w:color w:val="000000"/>
          <w:sz w:val="20"/>
          <w:szCs w:val="20"/>
          <w:shd w:val="clear" w:color="auto" w:fill="FFFFFF"/>
        </w:rPr>
        <w:t xml:space="preserve">, planificación y </w:t>
      </w:r>
      <w:r w:rsidR="00A475DC" w:rsidRPr="00A475DC">
        <w:rPr>
          <w:rFonts w:ascii="ITC Avant Garde" w:hAnsi="ITC Avant Garde"/>
          <w:color w:val="000000"/>
          <w:sz w:val="20"/>
          <w:szCs w:val="20"/>
          <w:shd w:val="clear" w:color="auto" w:fill="FFFFFF"/>
        </w:rPr>
        <w:t xml:space="preserve">atribución de </w:t>
      </w:r>
      <w:r w:rsidR="00F02762">
        <w:rPr>
          <w:rFonts w:ascii="ITC Avant Garde" w:hAnsi="ITC Avant Garde"/>
          <w:color w:val="000000"/>
          <w:sz w:val="20"/>
          <w:szCs w:val="20"/>
          <w:shd w:val="clear" w:color="auto" w:fill="FFFFFF"/>
        </w:rPr>
        <w:t xml:space="preserve">algunas </w:t>
      </w:r>
      <w:r w:rsidR="00A475DC" w:rsidRPr="00A475DC">
        <w:rPr>
          <w:rFonts w:ascii="ITC Avant Garde" w:hAnsi="ITC Avant Garde"/>
          <w:color w:val="000000"/>
          <w:sz w:val="20"/>
          <w:szCs w:val="20"/>
          <w:shd w:val="clear" w:color="auto" w:fill="FFFFFF"/>
        </w:rPr>
        <w:t>bandas de frecuencias a nivel nacional</w:t>
      </w:r>
      <w:r w:rsidR="00B02C13">
        <w:rPr>
          <w:rFonts w:ascii="ITC Avant Garde" w:hAnsi="ITC Avant Garde"/>
          <w:color w:val="000000"/>
          <w:sz w:val="20"/>
          <w:szCs w:val="20"/>
          <w:shd w:val="clear" w:color="auto" w:fill="FFFFFF"/>
        </w:rPr>
        <w:t xml:space="preserve"> e internacional</w:t>
      </w:r>
      <w:r w:rsidR="00A475DC" w:rsidRPr="00A475DC">
        <w:rPr>
          <w:rFonts w:ascii="ITC Avant Garde" w:hAnsi="ITC Avant Garde"/>
          <w:color w:val="000000"/>
          <w:sz w:val="20"/>
          <w:szCs w:val="20"/>
          <w:shd w:val="clear" w:color="auto" w:fill="FFFFFF"/>
        </w:rPr>
        <w:t xml:space="preserve">, </w:t>
      </w:r>
      <w:r w:rsidR="00C170E7">
        <w:rPr>
          <w:rFonts w:ascii="ITC Avant Garde" w:hAnsi="ITC Avant Garde"/>
          <w:color w:val="000000"/>
          <w:sz w:val="20"/>
          <w:szCs w:val="20"/>
          <w:shd w:val="clear" w:color="auto" w:fill="FFFFFF"/>
        </w:rPr>
        <w:t xml:space="preserve">de conformidad con </w:t>
      </w:r>
      <w:r w:rsidR="00B02C13">
        <w:rPr>
          <w:rFonts w:ascii="ITC Avant Garde" w:hAnsi="ITC Avant Garde"/>
          <w:color w:val="000000"/>
          <w:sz w:val="20"/>
          <w:szCs w:val="20"/>
          <w:shd w:val="clear" w:color="auto" w:fill="FFFFFF"/>
        </w:rPr>
        <w:t xml:space="preserve">los instrumentos bilaterales </w:t>
      </w:r>
      <w:r w:rsidR="006324D7">
        <w:rPr>
          <w:rFonts w:ascii="ITC Avant Garde" w:hAnsi="ITC Avant Garde"/>
          <w:color w:val="000000"/>
          <w:sz w:val="20"/>
          <w:szCs w:val="20"/>
          <w:shd w:val="clear" w:color="auto" w:fill="FFFFFF"/>
        </w:rPr>
        <w:t>e internacionales como lo es el</w:t>
      </w:r>
      <w:r w:rsidR="00C170E7">
        <w:rPr>
          <w:rFonts w:ascii="ITC Avant Garde" w:hAnsi="ITC Avant Garde"/>
          <w:color w:val="000000"/>
          <w:sz w:val="20"/>
          <w:szCs w:val="20"/>
          <w:shd w:val="clear" w:color="auto" w:fill="FFFFFF"/>
        </w:rPr>
        <w:t xml:space="preserve"> Reglamento de Radiocomunicaciones (RR) de la Unión Internacional de Telecomunicaciones (UIT)</w:t>
      </w:r>
      <w:r w:rsidR="00B02C13">
        <w:rPr>
          <w:rFonts w:ascii="ITC Avant Garde" w:hAnsi="ITC Avant Garde"/>
          <w:color w:val="000000"/>
          <w:sz w:val="20"/>
          <w:szCs w:val="20"/>
          <w:shd w:val="clear" w:color="auto" w:fill="FFFFFF"/>
        </w:rPr>
        <w:t xml:space="preserve"> vigente</w:t>
      </w:r>
      <w:r w:rsidR="00C170E7">
        <w:rPr>
          <w:rFonts w:ascii="ITC Avant Garde" w:hAnsi="ITC Avant Garde"/>
          <w:color w:val="000000"/>
          <w:sz w:val="20"/>
          <w:szCs w:val="20"/>
          <w:shd w:val="clear" w:color="auto" w:fill="FFFFFF"/>
        </w:rPr>
        <w:t>.</w:t>
      </w:r>
    </w:p>
    <w:p w14:paraId="4A10BBC7" w14:textId="77777777" w:rsidR="00A475DC" w:rsidRDefault="00A475DC" w:rsidP="00CD47E5">
      <w:pPr>
        <w:spacing w:after="0"/>
        <w:jc w:val="both"/>
        <w:rPr>
          <w:rFonts w:ascii="ITC Avant Garde" w:hAnsi="ITC Avant Garde"/>
          <w:color w:val="000000"/>
          <w:sz w:val="20"/>
          <w:szCs w:val="20"/>
          <w:shd w:val="clear" w:color="auto" w:fill="FFFFFF"/>
        </w:rPr>
      </w:pPr>
    </w:p>
    <w:p w14:paraId="6D25D09C" w14:textId="3725443F" w:rsidR="00A475DC" w:rsidRDefault="00A475DC" w:rsidP="00A475DC">
      <w:pPr>
        <w:spacing w:after="0"/>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De igual forma, el I</w:t>
      </w:r>
      <w:r w:rsidR="009E3FA4">
        <w:rPr>
          <w:rFonts w:ascii="ITC Avant Garde" w:hAnsi="ITC Avant Garde"/>
          <w:color w:val="000000"/>
          <w:sz w:val="20"/>
          <w:szCs w:val="20"/>
          <w:shd w:val="clear" w:color="auto" w:fill="FFFFFF"/>
        </w:rPr>
        <w:t>nstituto</w:t>
      </w:r>
      <w:r>
        <w:rPr>
          <w:rFonts w:ascii="ITC Avant Garde" w:hAnsi="ITC Avant Garde"/>
          <w:color w:val="000000"/>
          <w:sz w:val="20"/>
          <w:szCs w:val="20"/>
          <w:shd w:val="clear" w:color="auto" w:fill="FFFFFF"/>
        </w:rPr>
        <w:t xml:space="preserve"> propuso </w:t>
      </w:r>
      <w:r w:rsidR="005D50C4">
        <w:rPr>
          <w:rFonts w:ascii="ITC Avant Garde" w:hAnsi="ITC Avant Garde"/>
          <w:color w:val="000000"/>
          <w:sz w:val="20"/>
          <w:szCs w:val="20"/>
          <w:shd w:val="clear" w:color="auto" w:fill="FFFFFF"/>
        </w:rPr>
        <w:t xml:space="preserve">la adición de </w:t>
      </w:r>
      <w:r w:rsidRPr="00A475DC">
        <w:rPr>
          <w:rFonts w:ascii="ITC Avant Garde" w:hAnsi="ITC Avant Garde"/>
          <w:color w:val="000000"/>
          <w:sz w:val="20"/>
          <w:szCs w:val="20"/>
          <w:shd w:val="clear" w:color="auto" w:fill="FFFFFF"/>
        </w:rPr>
        <w:t>párrafos en la sección la “Sección Introductoria”</w:t>
      </w:r>
      <w:r w:rsidR="00C170E7">
        <w:rPr>
          <w:rFonts w:ascii="ITC Avant Garde" w:hAnsi="ITC Avant Garde"/>
          <w:color w:val="000000"/>
          <w:sz w:val="20"/>
          <w:szCs w:val="20"/>
          <w:shd w:val="clear" w:color="auto" w:fill="FFFFFF"/>
        </w:rPr>
        <w:t xml:space="preserve"> del CNAF</w:t>
      </w:r>
      <w:r w:rsidRPr="00A475DC">
        <w:rPr>
          <w:rFonts w:ascii="ITC Avant Garde" w:hAnsi="ITC Avant Garde"/>
          <w:color w:val="000000"/>
          <w:sz w:val="20"/>
          <w:szCs w:val="20"/>
          <w:shd w:val="clear" w:color="auto" w:fill="FFFFFF"/>
        </w:rPr>
        <w:t xml:space="preserve">, con el objeto de </w:t>
      </w:r>
      <w:r w:rsidR="00F02762">
        <w:rPr>
          <w:rFonts w:ascii="ITC Avant Garde" w:hAnsi="ITC Avant Garde"/>
          <w:color w:val="000000"/>
          <w:sz w:val="20"/>
          <w:szCs w:val="20"/>
          <w:shd w:val="clear" w:color="auto" w:fill="FFFFFF"/>
        </w:rPr>
        <w:t>reconocer la posibilidad d</w:t>
      </w:r>
      <w:r w:rsidR="00790171">
        <w:rPr>
          <w:rFonts w:ascii="ITC Avant Garde" w:hAnsi="ITC Avant Garde"/>
          <w:color w:val="000000"/>
          <w:sz w:val="20"/>
          <w:szCs w:val="20"/>
          <w:shd w:val="clear" w:color="auto" w:fill="FFFFFF"/>
        </w:rPr>
        <w:t>el uso y aprovechamiento de</w:t>
      </w:r>
      <w:r w:rsidRPr="00A475DC">
        <w:rPr>
          <w:rFonts w:ascii="ITC Avant Garde" w:hAnsi="ITC Avant Garde"/>
          <w:color w:val="000000"/>
          <w:sz w:val="20"/>
          <w:szCs w:val="20"/>
          <w:shd w:val="clear" w:color="auto" w:fill="FFFFFF"/>
        </w:rPr>
        <w:t xml:space="preserve"> bandas de frecuencias para cualquier servicio de radiocomunicación</w:t>
      </w:r>
      <w:r w:rsidR="00F02762">
        <w:rPr>
          <w:rFonts w:ascii="ITC Avant Garde" w:hAnsi="ITC Avant Garde"/>
          <w:color w:val="000000"/>
          <w:sz w:val="20"/>
          <w:szCs w:val="20"/>
          <w:shd w:val="clear" w:color="auto" w:fill="FFFFFF"/>
        </w:rPr>
        <w:t>,</w:t>
      </w:r>
      <w:r w:rsidR="005D50C4">
        <w:rPr>
          <w:rFonts w:ascii="ITC Avant Garde" w:hAnsi="ITC Avant Garde"/>
          <w:color w:val="000000"/>
          <w:sz w:val="20"/>
          <w:szCs w:val="20"/>
          <w:shd w:val="clear" w:color="auto" w:fill="FFFFFF"/>
        </w:rPr>
        <w:t xml:space="preserve"> </w:t>
      </w:r>
      <w:r w:rsidRPr="00A475DC">
        <w:rPr>
          <w:rFonts w:ascii="ITC Avant Garde" w:hAnsi="ITC Avant Garde"/>
          <w:color w:val="000000"/>
          <w:sz w:val="20"/>
          <w:szCs w:val="20"/>
          <w:shd w:val="clear" w:color="auto" w:fill="FFFFFF"/>
        </w:rPr>
        <w:t>a reserva de no causar interferencias perjudiciales</w:t>
      </w:r>
      <w:r w:rsidR="00C170E7">
        <w:rPr>
          <w:rFonts w:ascii="ITC Avant Garde" w:hAnsi="ITC Avant Garde"/>
          <w:color w:val="000000"/>
          <w:sz w:val="20"/>
          <w:szCs w:val="20"/>
          <w:shd w:val="clear" w:color="auto" w:fill="FFFFFF"/>
        </w:rPr>
        <w:t xml:space="preserve"> </w:t>
      </w:r>
      <w:r w:rsidR="005D50C4">
        <w:rPr>
          <w:rFonts w:ascii="ITC Avant Garde" w:hAnsi="ITC Avant Garde"/>
          <w:color w:val="000000"/>
          <w:sz w:val="20"/>
          <w:szCs w:val="20"/>
          <w:shd w:val="clear" w:color="auto" w:fill="FFFFFF"/>
        </w:rPr>
        <w:t xml:space="preserve">a los servicios atribuidos </w:t>
      </w:r>
      <w:r w:rsidR="00F02762">
        <w:rPr>
          <w:rFonts w:ascii="ITC Avant Garde" w:hAnsi="ITC Avant Garde"/>
          <w:color w:val="000000"/>
          <w:sz w:val="20"/>
          <w:szCs w:val="20"/>
          <w:shd w:val="clear" w:color="auto" w:fill="FFFFFF"/>
        </w:rPr>
        <w:t xml:space="preserve">en la Tabla de Atribuciones </w:t>
      </w:r>
      <w:r w:rsidR="005D50C4">
        <w:rPr>
          <w:rFonts w:ascii="ITC Avant Garde" w:hAnsi="ITC Avant Garde"/>
          <w:color w:val="000000"/>
          <w:sz w:val="20"/>
          <w:szCs w:val="20"/>
          <w:shd w:val="clear" w:color="auto" w:fill="FFFFFF"/>
        </w:rPr>
        <w:t xml:space="preserve">y </w:t>
      </w:r>
      <w:r w:rsidR="006324D7">
        <w:rPr>
          <w:rFonts w:ascii="ITC Avant Garde" w:hAnsi="ITC Avant Garde"/>
          <w:color w:val="000000"/>
          <w:sz w:val="20"/>
          <w:szCs w:val="20"/>
          <w:shd w:val="clear" w:color="auto" w:fill="FFFFFF"/>
        </w:rPr>
        <w:t xml:space="preserve">sin </w:t>
      </w:r>
      <w:r w:rsidR="00F02762">
        <w:rPr>
          <w:rFonts w:ascii="ITC Avant Garde" w:hAnsi="ITC Avant Garde"/>
          <w:color w:val="000000"/>
          <w:sz w:val="20"/>
          <w:szCs w:val="20"/>
          <w:shd w:val="clear" w:color="auto" w:fill="FFFFFF"/>
        </w:rPr>
        <w:t>posibilidad de</w:t>
      </w:r>
      <w:r w:rsidR="006324D7">
        <w:rPr>
          <w:rFonts w:ascii="ITC Avant Garde" w:hAnsi="ITC Avant Garde"/>
          <w:color w:val="000000"/>
          <w:sz w:val="20"/>
          <w:szCs w:val="20"/>
          <w:shd w:val="clear" w:color="auto" w:fill="FFFFFF"/>
        </w:rPr>
        <w:t xml:space="preserve"> </w:t>
      </w:r>
      <w:r w:rsidR="005D50C4">
        <w:rPr>
          <w:rFonts w:ascii="ITC Avant Garde" w:hAnsi="ITC Avant Garde"/>
          <w:color w:val="000000"/>
          <w:sz w:val="20"/>
          <w:szCs w:val="20"/>
          <w:shd w:val="clear" w:color="auto" w:fill="FFFFFF"/>
        </w:rPr>
        <w:t xml:space="preserve">reclamar </w:t>
      </w:r>
      <w:r w:rsidRPr="00A475DC">
        <w:rPr>
          <w:rFonts w:ascii="ITC Avant Garde" w:hAnsi="ITC Avant Garde"/>
          <w:color w:val="000000"/>
          <w:sz w:val="20"/>
          <w:szCs w:val="20"/>
          <w:shd w:val="clear" w:color="auto" w:fill="FFFFFF"/>
        </w:rPr>
        <w:t xml:space="preserve">protección contra interferencias perjudiciales causadas por </w:t>
      </w:r>
      <w:r w:rsidR="005D50C4">
        <w:rPr>
          <w:rFonts w:ascii="ITC Avant Garde" w:hAnsi="ITC Avant Garde"/>
          <w:color w:val="000000"/>
          <w:sz w:val="20"/>
          <w:szCs w:val="20"/>
          <w:shd w:val="clear" w:color="auto" w:fill="FFFFFF"/>
        </w:rPr>
        <w:t>dichos servicios</w:t>
      </w:r>
      <w:r w:rsidRPr="00A475DC">
        <w:rPr>
          <w:rFonts w:ascii="ITC Avant Garde" w:hAnsi="ITC Avant Garde"/>
          <w:color w:val="000000"/>
          <w:sz w:val="20"/>
          <w:szCs w:val="20"/>
          <w:shd w:val="clear" w:color="auto" w:fill="FFFFFF"/>
        </w:rPr>
        <w:t xml:space="preserve">. </w:t>
      </w:r>
      <w:r w:rsidR="00F02762">
        <w:rPr>
          <w:rFonts w:ascii="ITC Avant Garde" w:hAnsi="ITC Avant Garde"/>
          <w:color w:val="000000"/>
          <w:sz w:val="20"/>
          <w:szCs w:val="20"/>
          <w:shd w:val="clear" w:color="auto" w:fill="FFFFFF"/>
        </w:rPr>
        <w:t>Para ello</w:t>
      </w:r>
      <w:r w:rsidR="00AB6868">
        <w:rPr>
          <w:rFonts w:ascii="ITC Avant Garde" w:hAnsi="ITC Avant Garde"/>
          <w:color w:val="000000"/>
          <w:sz w:val="20"/>
          <w:szCs w:val="20"/>
          <w:shd w:val="clear" w:color="auto" w:fill="FFFFFF"/>
        </w:rPr>
        <w:t xml:space="preserve">, el Instituto </w:t>
      </w:r>
      <w:r w:rsidR="00B02C13">
        <w:rPr>
          <w:rFonts w:ascii="ITC Avant Garde" w:hAnsi="ITC Avant Garde"/>
          <w:color w:val="000000"/>
          <w:sz w:val="20"/>
          <w:szCs w:val="20"/>
          <w:shd w:val="clear" w:color="auto" w:fill="FFFFFF"/>
        </w:rPr>
        <w:t>evaluar</w:t>
      </w:r>
      <w:r w:rsidR="00F02762">
        <w:rPr>
          <w:rFonts w:ascii="ITC Avant Garde" w:hAnsi="ITC Avant Garde"/>
          <w:color w:val="000000"/>
          <w:sz w:val="20"/>
          <w:szCs w:val="20"/>
          <w:shd w:val="clear" w:color="auto" w:fill="FFFFFF"/>
        </w:rPr>
        <w:t>á</w:t>
      </w:r>
      <w:r w:rsidR="00B02C13">
        <w:rPr>
          <w:rFonts w:ascii="ITC Avant Garde" w:hAnsi="ITC Avant Garde"/>
          <w:color w:val="000000"/>
          <w:sz w:val="20"/>
          <w:szCs w:val="20"/>
          <w:shd w:val="clear" w:color="auto" w:fill="FFFFFF"/>
        </w:rPr>
        <w:t xml:space="preserve"> el </w:t>
      </w:r>
      <w:r w:rsidR="00F02762">
        <w:rPr>
          <w:rFonts w:ascii="ITC Avant Garde" w:hAnsi="ITC Avant Garde"/>
          <w:color w:val="000000"/>
          <w:sz w:val="20"/>
          <w:szCs w:val="20"/>
          <w:shd w:val="clear" w:color="auto" w:fill="FFFFFF"/>
        </w:rPr>
        <w:t>posible</w:t>
      </w:r>
      <w:r w:rsidR="00B02C13">
        <w:rPr>
          <w:rFonts w:ascii="ITC Avant Garde" w:hAnsi="ITC Avant Garde"/>
          <w:color w:val="000000"/>
          <w:sz w:val="20"/>
          <w:szCs w:val="20"/>
          <w:shd w:val="clear" w:color="auto" w:fill="FFFFFF"/>
        </w:rPr>
        <w:t xml:space="preserve"> otorgamiento de</w:t>
      </w:r>
      <w:r w:rsidR="00AB6868">
        <w:rPr>
          <w:rFonts w:ascii="ITC Avant Garde" w:hAnsi="ITC Avant Garde"/>
          <w:color w:val="000000"/>
          <w:sz w:val="20"/>
          <w:szCs w:val="20"/>
          <w:shd w:val="clear" w:color="auto" w:fill="FFFFFF"/>
        </w:rPr>
        <w:t xml:space="preserve"> </w:t>
      </w:r>
      <w:r w:rsidRPr="00A475DC">
        <w:rPr>
          <w:rFonts w:ascii="ITC Avant Garde" w:hAnsi="ITC Avant Garde"/>
          <w:color w:val="000000"/>
          <w:sz w:val="20"/>
          <w:szCs w:val="20"/>
          <w:shd w:val="clear" w:color="auto" w:fill="FFFFFF"/>
        </w:rPr>
        <w:t xml:space="preserve">concesiones para uso privado con propósitos de experimentación, comprobación de viabilidad técnica y económica de tecnologías en desarrollo o pruebas temporales de equipo, así como </w:t>
      </w:r>
      <w:r w:rsidR="00B02C13">
        <w:rPr>
          <w:rFonts w:ascii="ITC Avant Garde" w:hAnsi="ITC Avant Garde"/>
          <w:color w:val="000000"/>
          <w:sz w:val="20"/>
          <w:szCs w:val="20"/>
          <w:shd w:val="clear" w:color="auto" w:fill="FFFFFF"/>
        </w:rPr>
        <w:t xml:space="preserve">el otorgamiento de </w:t>
      </w:r>
      <w:r w:rsidRPr="00A475DC">
        <w:rPr>
          <w:rFonts w:ascii="ITC Avant Garde" w:hAnsi="ITC Avant Garde"/>
          <w:color w:val="000000"/>
          <w:sz w:val="20"/>
          <w:szCs w:val="20"/>
          <w:shd w:val="clear" w:color="auto" w:fill="FFFFFF"/>
        </w:rPr>
        <w:t>constancias de autorización para uso secundario del espectro radioeléctrico</w:t>
      </w:r>
      <w:r w:rsidR="00AB6868">
        <w:rPr>
          <w:rFonts w:ascii="ITC Avant Garde" w:hAnsi="ITC Avant Garde"/>
          <w:color w:val="000000"/>
          <w:sz w:val="20"/>
          <w:szCs w:val="20"/>
          <w:shd w:val="clear" w:color="auto" w:fill="FFFFFF"/>
        </w:rPr>
        <w:t xml:space="preserve"> en términos de la legislación aplicable</w:t>
      </w:r>
      <w:r w:rsidR="00F02762">
        <w:rPr>
          <w:rFonts w:ascii="ITC Avant Garde" w:hAnsi="ITC Avant Garde"/>
          <w:color w:val="000000"/>
          <w:sz w:val="20"/>
          <w:szCs w:val="20"/>
          <w:shd w:val="clear" w:color="auto" w:fill="FFFFFF"/>
        </w:rPr>
        <w:t xml:space="preserve"> y tomando en consideración factores adicionales </w:t>
      </w:r>
      <w:r w:rsidR="00F02762" w:rsidRPr="00A475DC">
        <w:rPr>
          <w:rFonts w:ascii="ITC Avant Garde" w:hAnsi="ITC Avant Garde"/>
          <w:color w:val="000000"/>
          <w:sz w:val="20"/>
          <w:szCs w:val="20"/>
          <w:shd w:val="clear" w:color="auto" w:fill="FFFFFF"/>
        </w:rPr>
        <w:t>con el objetivo de buscar la armonización en el uso del espectro radioeléctrico a nivel nacional, regional o internacional</w:t>
      </w:r>
      <w:r>
        <w:rPr>
          <w:rFonts w:ascii="ITC Avant Garde" w:hAnsi="ITC Avant Garde"/>
          <w:color w:val="000000"/>
          <w:sz w:val="20"/>
          <w:szCs w:val="20"/>
          <w:shd w:val="clear" w:color="auto" w:fill="FFFFFF"/>
        </w:rPr>
        <w:t>.</w:t>
      </w:r>
    </w:p>
    <w:p w14:paraId="1133BCB5" w14:textId="77777777" w:rsidR="00A475DC" w:rsidRPr="00A475DC" w:rsidRDefault="00A475DC" w:rsidP="00A475DC">
      <w:pPr>
        <w:spacing w:after="0"/>
        <w:jc w:val="both"/>
        <w:rPr>
          <w:rFonts w:ascii="ITC Avant Garde" w:hAnsi="ITC Avant Garde"/>
          <w:color w:val="000000"/>
          <w:sz w:val="20"/>
          <w:szCs w:val="20"/>
          <w:shd w:val="clear" w:color="auto" w:fill="FFFFFF"/>
        </w:rPr>
      </w:pPr>
    </w:p>
    <w:p w14:paraId="04342E19" w14:textId="31507BFA" w:rsidR="005D50C4" w:rsidRPr="00ED6984" w:rsidRDefault="005D50C4" w:rsidP="005D50C4">
      <w:pPr>
        <w:spacing w:after="0"/>
        <w:jc w:val="both"/>
        <w:rPr>
          <w:rFonts w:ascii="ITC Avant Garde" w:hAnsi="ITC Avant Garde"/>
          <w:i/>
          <w:color w:val="000000"/>
          <w:sz w:val="20"/>
          <w:szCs w:val="20"/>
          <w:shd w:val="clear" w:color="auto" w:fill="FFFFFF"/>
        </w:rPr>
      </w:pPr>
      <w:r>
        <w:rPr>
          <w:rFonts w:ascii="ITC Avant Garde" w:hAnsi="ITC Avant Garde"/>
          <w:color w:val="000000"/>
          <w:sz w:val="20"/>
          <w:szCs w:val="20"/>
          <w:shd w:val="clear" w:color="auto" w:fill="FFFFFF"/>
        </w:rPr>
        <w:t>Lo anterior</w:t>
      </w:r>
      <w:r w:rsidR="009E3FA4">
        <w:rPr>
          <w:rFonts w:ascii="ITC Avant Garde" w:hAnsi="ITC Avant Garde"/>
          <w:color w:val="000000"/>
          <w:sz w:val="20"/>
          <w:szCs w:val="20"/>
          <w:shd w:val="clear" w:color="auto" w:fill="FFFFFF"/>
        </w:rPr>
        <w:t xml:space="preserve"> toma en cuenta</w:t>
      </w:r>
      <w:r>
        <w:rPr>
          <w:rFonts w:ascii="ITC Avant Garde" w:hAnsi="ITC Avant Garde"/>
          <w:color w:val="000000"/>
          <w:sz w:val="20"/>
          <w:szCs w:val="20"/>
          <w:shd w:val="clear" w:color="auto" w:fill="FFFFFF"/>
        </w:rPr>
        <w:t xml:space="preserve"> la contribución aprobada por el Comité </w:t>
      </w:r>
      <w:r w:rsidR="009E3FA4">
        <w:rPr>
          <w:rFonts w:ascii="ITC Avant Garde" w:hAnsi="ITC Avant Garde"/>
          <w:color w:val="000000"/>
          <w:sz w:val="20"/>
          <w:szCs w:val="20"/>
          <w:shd w:val="clear" w:color="auto" w:fill="FFFFFF"/>
        </w:rPr>
        <w:t xml:space="preserve">Técnico en Materia de Despliegue de </w:t>
      </w:r>
      <w:r>
        <w:rPr>
          <w:rFonts w:ascii="ITC Avant Garde" w:hAnsi="ITC Avant Garde"/>
          <w:color w:val="000000"/>
          <w:sz w:val="20"/>
          <w:szCs w:val="20"/>
          <w:shd w:val="clear" w:color="auto" w:fill="FFFFFF"/>
        </w:rPr>
        <w:t>5G</w:t>
      </w:r>
      <w:r w:rsidR="009E3FA4">
        <w:rPr>
          <w:rFonts w:ascii="ITC Avant Garde" w:hAnsi="ITC Avant Garde"/>
          <w:color w:val="000000"/>
          <w:sz w:val="20"/>
          <w:szCs w:val="20"/>
          <w:shd w:val="clear" w:color="auto" w:fill="FFFFFF"/>
        </w:rPr>
        <w:t xml:space="preserve"> en México</w:t>
      </w:r>
      <w:r w:rsidR="00210068">
        <w:rPr>
          <w:rFonts w:ascii="ITC Avant Garde" w:hAnsi="ITC Avant Garde"/>
          <w:color w:val="000000"/>
          <w:sz w:val="20"/>
          <w:szCs w:val="20"/>
          <w:shd w:val="clear" w:color="auto" w:fill="FFFFFF"/>
        </w:rPr>
        <w:t xml:space="preserve"> (Comité 5G)</w:t>
      </w:r>
      <w:r>
        <w:rPr>
          <w:rFonts w:ascii="ITC Avant Garde" w:hAnsi="ITC Avant Garde"/>
          <w:color w:val="000000"/>
          <w:sz w:val="20"/>
          <w:szCs w:val="20"/>
          <w:shd w:val="clear" w:color="auto" w:fill="FFFFFF"/>
        </w:rPr>
        <w:t xml:space="preserve">, en específico, la </w:t>
      </w:r>
      <w:r w:rsidRPr="005272C9">
        <w:rPr>
          <w:rFonts w:ascii="ITC Avant Garde" w:hAnsi="ITC Avant Garde"/>
          <w:color w:val="000000"/>
          <w:sz w:val="20"/>
          <w:szCs w:val="20"/>
          <w:shd w:val="clear" w:color="auto" w:fill="FFFFFF"/>
        </w:rPr>
        <w:t xml:space="preserve">contribución denominada </w:t>
      </w:r>
      <w:r w:rsidR="009E3FA4" w:rsidRPr="009E3FA4">
        <w:rPr>
          <w:rFonts w:ascii="ITC Avant Garde" w:hAnsi="ITC Avant Garde"/>
          <w:i/>
          <w:iCs/>
          <w:color w:val="000000"/>
          <w:sz w:val="20"/>
          <w:szCs w:val="20"/>
          <w:shd w:val="clear" w:color="auto" w:fill="FFFFFF"/>
        </w:rPr>
        <w:t>Despliegue de Redes Privadas 5G</w:t>
      </w:r>
      <w:r w:rsidR="009E3FA4" w:rsidRPr="009E3FA4">
        <w:rPr>
          <w:rFonts w:ascii="ITC Avant Garde" w:hAnsi="ITC Avant Garde"/>
          <w:color w:val="000000"/>
          <w:sz w:val="20"/>
          <w:szCs w:val="20"/>
          <w:shd w:val="clear" w:color="auto" w:fill="FFFFFF"/>
        </w:rPr>
        <w:t xml:space="preserve">, relativa a la </w:t>
      </w:r>
      <w:r w:rsidRPr="005272C9">
        <w:rPr>
          <w:rFonts w:ascii="ITC Avant Garde" w:hAnsi="ITC Avant Garde"/>
          <w:i/>
          <w:color w:val="000000"/>
          <w:sz w:val="20"/>
          <w:szCs w:val="20"/>
          <w:shd w:val="clear" w:color="auto" w:fill="FFFFFF"/>
        </w:rPr>
        <w:t xml:space="preserve">“Propuesta para analizar e identificar áreas de oportunidad respecto de los Lineamientos de uso secundario del espectro radioeléctrico, las concesiones de uso experimental, el uso de </w:t>
      </w:r>
      <w:proofErr w:type="spellStart"/>
      <w:r w:rsidRPr="005272C9">
        <w:rPr>
          <w:rFonts w:ascii="ITC Avant Garde" w:hAnsi="ITC Avant Garde"/>
          <w:i/>
          <w:color w:val="000000"/>
          <w:sz w:val="20"/>
          <w:szCs w:val="20"/>
          <w:shd w:val="clear" w:color="auto" w:fill="FFFFFF"/>
        </w:rPr>
        <w:t>sandboxes</w:t>
      </w:r>
      <w:proofErr w:type="spellEnd"/>
      <w:r w:rsidRPr="005272C9">
        <w:rPr>
          <w:rFonts w:ascii="ITC Avant Garde" w:hAnsi="ITC Avant Garde"/>
          <w:i/>
          <w:color w:val="000000"/>
          <w:sz w:val="20"/>
          <w:szCs w:val="20"/>
          <w:shd w:val="clear" w:color="auto" w:fill="FFFFFF"/>
        </w:rPr>
        <w:t xml:space="preserve"> regulatorios, y la creación de un marco regulatorio que permita identificar y asignar espectro radioeléctrico exclusivo para redes privadas 5G</w:t>
      </w:r>
      <w:r w:rsidRPr="005272C9">
        <w:rPr>
          <w:rFonts w:ascii="ITC Avant Garde" w:hAnsi="ITC Avant Garde"/>
          <w:color w:val="000000"/>
          <w:sz w:val="20"/>
          <w:szCs w:val="20"/>
          <w:shd w:val="clear" w:color="auto" w:fill="FFFFFF"/>
        </w:rPr>
        <w:t>”</w:t>
      </w:r>
      <w:r w:rsidR="00ED6984" w:rsidRPr="00ED6984">
        <w:rPr>
          <w:rFonts w:ascii="ITC Avant Garde" w:hAnsi="ITC Avant Garde"/>
          <w:color w:val="000000"/>
          <w:sz w:val="20"/>
          <w:szCs w:val="20"/>
          <w:shd w:val="clear" w:color="auto" w:fill="FFFFFF"/>
        </w:rPr>
        <w:t xml:space="preserve">, </w:t>
      </w:r>
      <w:r w:rsidR="009E3FA4">
        <w:rPr>
          <w:rFonts w:ascii="ITC Avant Garde" w:hAnsi="ITC Avant Garde"/>
          <w:color w:val="000000"/>
          <w:sz w:val="20"/>
          <w:szCs w:val="20"/>
          <w:shd w:val="clear" w:color="auto" w:fill="FFFFFF"/>
        </w:rPr>
        <w:t>la</w:t>
      </w:r>
      <w:r w:rsidR="00ED6984">
        <w:rPr>
          <w:rFonts w:ascii="ITC Avant Garde" w:hAnsi="ITC Avant Garde"/>
          <w:color w:val="000000"/>
          <w:sz w:val="20"/>
          <w:szCs w:val="20"/>
          <w:shd w:val="clear" w:color="auto" w:fill="FFFFFF"/>
        </w:rPr>
        <w:t xml:space="preserve"> cual </w:t>
      </w:r>
      <w:r w:rsidR="00141B87">
        <w:rPr>
          <w:rFonts w:ascii="ITC Avant Garde" w:hAnsi="ITC Avant Garde"/>
          <w:color w:val="000000"/>
          <w:sz w:val="20"/>
          <w:szCs w:val="20"/>
          <w:shd w:val="clear" w:color="auto" w:fill="FFFFFF"/>
        </w:rPr>
        <w:t>plant</w:t>
      </w:r>
      <w:r w:rsidR="006324D7">
        <w:rPr>
          <w:rFonts w:ascii="ITC Avant Garde" w:hAnsi="ITC Avant Garde"/>
          <w:color w:val="000000"/>
          <w:sz w:val="20"/>
          <w:szCs w:val="20"/>
          <w:shd w:val="clear" w:color="auto" w:fill="FFFFFF"/>
        </w:rPr>
        <w:t>ea</w:t>
      </w:r>
      <w:r w:rsidR="00141B87">
        <w:rPr>
          <w:rFonts w:ascii="ITC Avant Garde" w:hAnsi="ITC Avant Garde"/>
          <w:color w:val="000000"/>
          <w:sz w:val="20"/>
          <w:szCs w:val="20"/>
          <w:shd w:val="clear" w:color="auto" w:fill="FFFFFF"/>
        </w:rPr>
        <w:t xml:space="preserve"> </w:t>
      </w:r>
      <w:r w:rsidR="00AB6868">
        <w:rPr>
          <w:rFonts w:ascii="ITC Avant Garde" w:hAnsi="ITC Avant Garde"/>
          <w:color w:val="000000"/>
          <w:sz w:val="20"/>
          <w:szCs w:val="20"/>
          <w:shd w:val="clear" w:color="auto" w:fill="FFFFFF"/>
        </w:rPr>
        <w:t>la necesidad de</w:t>
      </w:r>
      <w:r w:rsidR="00141B87">
        <w:rPr>
          <w:rFonts w:ascii="ITC Avant Garde" w:hAnsi="ITC Avant Garde"/>
          <w:color w:val="000000"/>
          <w:sz w:val="20"/>
          <w:szCs w:val="20"/>
          <w:shd w:val="clear" w:color="auto" w:fill="FFFFFF"/>
        </w:rPr>
        <w:t xml:space="preserve"> acceso a </w:t>
      </w:r>
      <w:r w:rsidR="00141B87" w:rsidRPr="00141B87">
        <w:rPr>
          <w:rFonts w:ascii="ITC Avant Garde" w:hAnsi="ITC Avant Garde"/>
          <w:color w:val="000000"/>
          <w:sz w:val="20"/>
          <w:szCs w:val="20"/>
          <w:shd w:val="clear" w:color="auto" w:fill="FFFFFF"/>
        </w:rPr>
        <w:t xml:space="preserve">diversas </w:t>
      </w:r>
      <w:r w:rsidR="00141B87" w:rsidRPr="00141B87">
        <w:rPr>
          <w:rFonts w:ascii="ITC Avant Garde" w:hAnsi="ITC Avant Garde"/>
          <w:color w:val="000000"/>
          <w:sz w:val="20"/>
          <w:szCs w:val="20"/>
          <w:shd w:val="clear" w:color="auto" w:fill="FFFFFF"/>
        </w:rPr>
        <w:lastRenderedPageBreak/>
        <w:t>bandas de frecuencias</w:t>
      </w:r>
      <w:r w:rsidR="00AB6868">
        <w:rPr>
          <w:rFonts w:ascii="ITC Avant Garde" w:hAnsi="ITC Avant Garde"/>
          <w:color w:val="000000"/>
          <w:sz w:val="20"/>
          <w:szCs w:val="20"/>
          <w:shd w:val="clear" w:color="auto" w:fill="FFFFFF"/>
        </w:rPr>
        <w:t xml:space="preserve"> y </w:t>
      </w:r>
      <w:r w:rsidR="00141B87" w:rsidRPr="00141B87">
        <w:rPr>
          <w:rFonts w:ascii="ITC Avant Garde" w:hAnsi="ITC Avant Garde"/>
          <w:color w:val="000000"/>
          <w:sz w:val="20"/>
          <w:szCs w:val="20"/>
          <w:shd w:val="clear" w:color="auto" w:fill="FFFFFF"/>
        </w:rPr>
        <w:t>evaluar la utilización de bandas de frecuencias del espectro radioeléctrico para servicios que no coincidan con la atribución del espectro radioeléctrico establecida en el CNAF.</w:t>
      </w:r>
    </w:p>
    <w:p w14:paraId="16AD91A6" w14:textId="1BB94FEB" w:rsidR="00CE1375" w:rsidRDefault="00CE1375" w:rsidP="005D50C4">
      <w:pPr>
        <w:spacing w:after="0"/>
        <w:jc w:val="both"/>
        <w:rPr>
          <w:rFonts w:ascii="ITC Avant Garde" w:hAnsi="ITC Avant Garde"/>
          <w:color w:val="000000"/>
          <w:sz w:val="20"/>
          <w:szCs w:val="20"/>
          <w:shd w:val="clear" w:color="auto" w:fill="FFFFFF"/>
        </w:rPr>
      </w:pPr>
    </w:p>
    <w:p w14:paraId="6A8F54F8" w14:textId="26858205" w:rsidR="00B02C13" w:rsidRDefault="00AB6868" w:rsidP="00CD47E5">
      <w:pPr>
        <w:spacing w:after="0"/>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 xml:space="preserve">Finalmente, no se omite mencionar </w:t>
      </w:r>
      <w:r w:rsidRPr="00AB6868">
        <w:rPr>
          <w:rFonts w:ascii="ITC Avant Garde" w:hAnsi="ITC Avant Garde"/>
          <w:color w:val="000000"/>
          <w:sz w:val="20"/>
          <w:szCs w:val="20"/>
          <w:shd w:val="clear" w:color="auto" w:fill="FFFFFF"/>
        </w:rPr>
        <w:t xml:space="preserve">que en la presente propuesta de modificación </w:t>
      </w:r>
      <w:r w:rsidR="00B02C13">
        <w:rPr>
          <w:rFonts w:ascii="ITC Avant Garde" w:hAnsi="ITC Avant Garde"/>
          <w:color w:val="000000"/>
          <w:sz w:val="20"/>
          <w:szCs w:val="20"/>
          <w:shd w:val="clear" w:color="auto" w:fill="FFFFFF"/>
        </w:rPr>
        <w:t xml:space="preserve">al CNAF </w:t>
      </w:r>
      <w:r w:rsidRPr="00AB6868">
        <w:rPr>
          <w:rFonts w:ascii="ITC Avant Garde" w:hAnsi="ITC Avant Garde"/>
          <w:color w:val="000000"/>
          <w:sz w:val="20"/>
          <w:szCs w:val="20"/>
          <w:shd w:val="clear" w:color="auto" w:fill="FFFFFF"/>
        </w:rPr>
        <w:t xml:space="preserve">no fueron considerados los resultados de la Conferencia Mundial de Radiocomunicaciones llevada a cabo durante los meses de noviembre y diciembre del de 2023 (CMR-23), derivado a que el Instituto actualmente se encuentra en proceso de revisión de las Actas Finales de la CMR-23 en las que se incluyen los cambios realizados al RR de la UIT, para una eventual actualización integral al CNAF, una vez que </w:t>
      </w:r>
      <w:r w:rsidR="00AB1E4F">
        <w:rPr>
          <w:rFonts w:ascii="ITC Avant Garde" w:hAnsi="ITC Avant Garde"/>
          <w:color w:val="000000"/>
          <w:sz w:val="20"/>
          <w:szCs w:val="20"/>
          <w:shd w:val="clear" w:color="auto" w:fill="FFFFFF"/>
        </w:rPr>
        <w:t>las</w:t>
      </w:r>
      <w:r w:rsidR="00AB1E4F" w:rsidRPr="00AB6868">
        <w:rPr>
          <w:rFonts w:ascii="ITC Avant Garde" w:hAnsi="ITC Avant Garde"/>
          <w:color w:val="000000"/>
          <w:sz w:val="20"/>
          <w:szCs w:val="20"/>
          <w:shd w:val="clear" w:color="auto" w:fill="FFFFFF"/>
        </w:rPr>
        <w:t xml:space="preserve"> </w:t>
      </w:r>
      <w:r w:rsidRPr="00AB6868">
        <w:rPr>
          <w:rFonts w:ascii="ITC Avant Garde" w:hAnsi="ITC Avant Garde"/>
          <w:color w:val="000000"/>
          <w:sz w:val="20"/>
          <w:szCs w:val="20"/>
          <w:shd w:val="clear" w:color="auto" w:fill="FFFFFF"/>
        </w:rPr>
        <w:t xml:space="preserve">modificaciones </w:t>
      </w:r>
      <w:r w:rsidR="00AB1E4F">
        <w:rPr>
          <w:rFonts w:ascii="ITC Avant Garde" w:hAnsi="ITC Avant Garde"/>
          <w:color w:val="000000"/>
          <w:sz w:val="20"/>
          <w:szCs w:val="20"/>
          <w:shd w:val="clear" w:color="auto" w:fill="FFFFFF"/>
        </w:rPr>
        <w:t>al RR</w:t>
      </w:r>
      <w:r w:rsidRPr="00AB6868">
        <w:rPr>
          <w:rFonts w:ascii="ITC Avant Garde" w:hAnsi="ITC Avant Garde"/>
          <w:color w:val="000000"/>
          <w:sz w:val="20"/>
          <w:szCs w:val="20"/>
          <w:shd w:val="clear" w:color="auto" w:fill="FFFFFF"/>
        </w:rPr>
        <w:t xml:space="preserve"> entren en vigor el 1 de enero de 2025</w:t>
      </w:r>
      <w:r w:rsidR="00B02C13">
        <w:rPr>
          <w:rFonts w:ascii="ITC Avant Garde" w:hAnsi="ITC Avant Garde"/>
          <w:color w:val="000000"/>
          <w:sz w:val="20"/>
          <w:szCs w:val="20"/>
          <w:shd w:val="clear" w:color="auto" w:fill="FFFFFF"/>
        </w:rPr>
        <w:t>.</w:t>
      </w:r>
    </w:p>
    <w:p w14:paraId="5EA17E67" w14:textId="77777777" w:rsidR="00B02C13" w:rsidRDefault="00B02C13" w:rsidP="00CD47E5">
      <w:pPr>
        <w:spacing w:after="0"/>
        <w:jc w:val="both"/>
        <w:rPr>
          <w:rFonts w:ascii="ITC Avant Garde" w:hAnsi="ITC Avant Garde"/>
          <w:color w:val="000000"/>
          <w:sz w:val="20"/>
          <w:szCs w:val="20"/>
          <w:shd w:val="clear" w:color="auto" w:fill="FFFFFF"/>
        </w:rPr>
      </w:pPr>
    </w:p>
    <w:p w14:paraId="679ABC62" w14:textId="664AC49C" w:rsidR="004558C5" w:rsidRPr="00326733" w:rsidRDefault="004558C5" w:rsidP="00FB0C05">
      <w:pPr>
        <w:pStyle w:val="Prrafodelista"/>
        <w:numPr>
          <w:ilvl w:val="0"/>
          <w:numId w:val="1"/>
        </w:numPr>
        <w:spacing w:after="0"/>
        <w:ind w:left="567"/>
        <w:jc w:val="both"/>
        <w:rPr>
          <w:rFonts w:ascii="ITC Avant Garde" w:hAnsi="ITC Avant Garde"/>
          <w:b/>
          <w:sz w:val="20"/>
          <w:szCs w:val="20"/>
        </w:rPr>
      </w:pPr>
      <w:r w:rsidRPr="00326733">
        <w:rPr>
          <w:rFonts w:ascii="ITC Avant Garde" w:hAnsi="ITC Avant Garde"/>
          <w:b/>
          <w:sz w:val="20"/>
          <w:szCs w:val="20"/>
        </w:rPr>
        <w:t>Descr</w:t>
      </w:r>
      <w:r w:rsidR="009F0089" w:rsidRPr="00326733">
        <w:rPr>
          <w:rFonts w:ascii="ITC Avant Garde" w:hAnsi="ITC Avant Garde"/>
          <w:b/>
          <w:sz w:val="20"/>
          <w:szCs w:val="20"/>
        </w:rPr>
        <w:t>ipción de la Consulta Pública</w:t>
      </w:r>
      <w:r w:rsidR="002331B2" w:rsidRPr="00326733">
        <w:rPr>
          <w:rFonts w:ascii="ITC Avant Garde" w:hAnsi="ITC Avant Garde"/>
          <w:b/>
          <w:sz w:val="20"/>
          <w:szCs w:val="20"/>
        </w:rPr>
        <w:t xml:space="preserve"> de </w:t>
      </w:r>
      <w:r w:rsidR="00C51A4F" w:rsidRPr="00326733">
        <w:rPr>
          <w:rFonts w:ascii="ITC Avant Garde" w:hAnsi="ITC Avant Garde"/>
          <w:b/>
          <w:sz w:val="20"/>
          <w:szCs w:val="20"/>
        </w:rPr>
        <w:t>Anteproyecto</w:t>
      </w:r>
      <w:r w:rsidR="004552F6" w:rsidRPr="00326733">
        <w:rPr>
          <w:rFonts w:ascii="ITC Avant Garde" w:hAnsi="ITC Avant Garde"/>
          <w:b/>
          <w:sz w:val="20"/>
          <w:szCs w:val="20"/>
        </w:rPr>
        <w:t>:</w:t>
      </w:r>
    </w:p>
    <w:p w14:paraId="59F14BC6" w14:textId="77777777" w:rsidR="00335CD2" w:rsidRDefault="00335CD2" w:rsidP="00335CD2">
      <w:pPr>
        <w:spacing w:after="0"/>
        <w:jc w:val="both"/>
        <w:rPr>
          <w:rFonts w:ascii="ITC Avant Garde" w:hAnsi="ITC Avant Garde"/>
          <w:color w:val="000000"/>
          <w:sz w:val="20"/>
          <w:szCs w:val="20"/>
          <w:shd w:val="clear" w:color="auto" w:fill="FFFFFF"/>
        </w:rPr>
      </w:pPr>
    </w:p>
    <w:p w14:paraId="3A49EED1" w14:textId="32C6A11C" w:rsidR="00772A79" w:rsidRDefault="00335CD2" w:rsidP="00FB0C05">
      <w:pPr>
        <w:spacing w:after="0"/>
        <w:jc w:val="both"/>
        <w:rPr>
          <w:rFonts w:ascii="ITC Avant Garde" w:hAnsi="ITC Avant Garde"/>
          <w:color w:val="000000"/>
          <w:sz w:val="20"/>
          <w:szCs w:val="20"/>
          <w:shd w:val="clear" w:color="auto" w:fill="FFFFFF"/>
        </w:rPr>
      </w:pPr>
      <w:r w:rsidRPr="00335CD2">
        <w:rPr>
          <w:rFonts w:ascii="ITC Avant Garde" w:hAnsi="ITC Avant Garde"/>
          <w:color w:val="000000"/>
          <w:sz w:val="20"/>
          <w:szCs w:val="20"/>
          <w:shd w:val="clear" w:color="auto" w:fill="FFFFFF"/>
        </w:rPr>
        <w:t xml:space="preserve">El </w:t>
      </w:r>
      <w:r w:rsidR="005272C9">
        <w:rPr>
          <w:rFonts w:ascii="ITC Avant Garde" w:hAnsi="ITC Avant Garde"/>
          <w:color w:val="000000"/>
          <w:sz w:val="20"/>
          <w:szCs w:val="20"/>
          <w:shd w:val="clear" w:color="auto" w:fill="FFFFFF"/>
        </w:rPr>
        <w:t xml:space="preserve">lunes </w:t>
      </w:r>
      <w:r w:rsidR="002E2B75">
        <w:rPr>
          <w:rFonts w:ascii="ITC Avant Garde" w:hAnsi="ITC Avant Garde"/>
          <w:color w:val="000000"/>
          <w:sz w:val="20"/>
          <w:szCs w:val="20"/>
          <w:shd w:val="clear" w:color="auto" w:fill="FFFFFF"/>
        </w:rPr>
        <w:t>3 de junio de 2024</w:t>
      </w:r>
      <w:r w:rsidRPr="00335CD2">
        <w:rPr>
          <w:rFonts w:ascii="ITC Avant Garde" w:hAnsi="ITC Avant Garde"/>
          <w:color w:val="000000"/>
          <w:sz w:val="20"/>
          <w:szCs w:val="20"/>
          <w:shd w:val="clear" w:color="auto" w:fill="FFFFFF"/>
        </w:rPr>
        <w:t xml:space="preserve"> el Instituto publicó a través de su página de Internet el proceso de consulta pública sobre el </w:t>
      </w:r>
      <w:r w:rsidRPr="00335CD2">
        <w:rPr>
          <w:rFonts w:ascii="ITC Avant Garde" w:hAnsi="ITC Avant Garde"/>
          <w:i/>
          <w:color w:val="000000"/>
          <w:sz w:val="20"/>
          <w:szCs w:val="20"/>
          <w:shd w:val="clear" w:color="auto" w:fill="FFFFFF"/>
        </w:rPr>
        <w:t xml:space="preserve">“Anteproyecto de Acuerdo mediante el cual el Pleno del Instituto Federal de Telecomunicaciones </w:t>
      </w:r>
      <w:r w:rsidR="002E2B75">
        <w:rPr>
          <w:rFonts w:ascii="ITC Avant Garde" w:hAnsi="ITC Avant Garde"/>
          <w:i/>
          <w:color w:val="000000"/>
          <w:sz w:val="20"/>
          <w:szCs w:val="20"/>
          <w:shd w:val="clear" w:color="auto" w:fill="FFFFFF"/>
        </w:rPr>
        <w:t>modifica el Cuadro Nacional de Atribución de Frecuencias</w:t>
      </w:r>
      <w:r w:rsidRPr="00335CD2">
        <w:rPr>
          <w:rFonts w:ascii="ITC Avant Garde" w:hAnsi="ITC Avant Garde"/>
          <w:i/>
          <w:color w:val="000000"/>
          <w:sz w:val="20"/>
          <w:szCs w:val="20"/>
          <w:shd w:val="clear" w:color="auto" w:fill="FFFFFF"/>
        </w:rPr>
        <w:t>”</w:t>
      </w:r>
      <w:r w:rsidRPr="00335CD2">
        <w:rPr>
          <w:rFonts w:ascii="ITC Avant Garde" w:hAnsi="ITC Avant Garde"/>
          <w:color w:val="000000"/>
          <w:sz w:val="20"/>
          <w:szCs w:val="20"/>
          <w:shd w:val="clear" w:color="auto" w:fill="FFFFFF"/>
        </w:rPr>
        <w:t xml:space="preserve"> (Consulta Pública del Anteproyecto de</w:t>
      </w:r>
      <w:r w:rsidR="002E2B75">
        <w:rPr>
          <w:rFonts w:ascii="ITC Avant Garde" w:hAnsi="ITC Avant Garde"/>
          <w:color w:val="000000"/>
          <w:sz w:val="20"/>
          <w:szCs w:val="20"/>
          <w:shd w:val="clear" w:color="auto" w:fill="FFFFFF"/>
        </w:rPr>
        <w:t xml:space="preserve"> CNAF</w:t>
      </w:r>
      <w:r w:rsidRPr="00335CD2">
        <w:rPr>
          <w:rFonts w:ascii="ITC Avant Garde" w:hAnsi="ITC Avant Garde"/>
          <w:color w:val="000000"/>
          <w:sz w:val="20"/>
          <w:szCs w:val="20"/>
          <w:shd w:val="clear" w:color="auto" w:fill="FFFFFF"/>
        </w:rPr>
        <w:t>)</w:t>
      </w:r>
      <w:r>
        <w:rPr>
          <w:rStyle w:val="Refdenotaalpie"/>
          <w:rFonts w:ascii="ITC Avant Garde" w:hAnsi="ITC Avant Garde"/>
          <w:color w:val="000000"/>
          <w:sz w:val="20"/>
          <w:szCs w:val="20"/>
          <w:shd w:val="clear" w:color="auto" w:fill="FFFFFF"/>
        </w:rPr>
        <w:footnoteReference w:id="2"/>
      </w:r>
      <w:r w:rsidRPr="00335CD2">
        <w:rPr>
          <w:rFonts w:ascii="ITC Avant Garde" w:hAnsi="ITC Avant Garde"/>
          <w:i/>
          <w:color w:val="000000"/>
          <w:sz w:val="20"/>
          <w:szCs w:val="20"/>
          <w:shd w:val="clear" w:color="auto" w:fill="FFFFFF"/>
        </w:rPr>
        <w:t>,</w:t>
      </w:r>
      <w:r w:rsidRPr="00335CD2">
        <w:rPr>
          <w:rFonts w:ascii="ITC Avant Garde" w:hAnsi="ITC Avant Garde"/>
          <w:color w:val="000000"/>
          <w:sz w:val="20"/>
          <w:szCs w:val="20"/>
          <w:shd w:val="clear" w:color="auto" w:fill="FFFFFF"/>
        </w:rPr>
        <w:t xml:space="preserve"> el cual tuvo un periodo abierto a la participación del </w:t>
      </w:r>
      <w:r w:rsidR="00627BC0">
        <w:rPr>
          <w:rFonts w:ascii="ITC Avant Garde" w:hAnsi="ITC Avant Garde"/>
          <w:color w:val="000000"/>
          <w:sz w:val="20"/>
          <w:szCs w:val="20"/>
          <w:shd w:val="clear" w:color="auto" w:fill="FFFFFF"/>
        </w:rPr>
        <w:t xml:space="preserve">3 al 28 de junio de 2024 </w:t>
      </w:r>
      <w:r w:rsidRPr="00335CD2">
        <w:rPr>
          <w:rFonts w:ascii="ITC Avant Garde" w:hAnsi="ITC Avant Garde"/>
          <w:color w:val="000000"/>
          <w:sz w:val="20"/>
          <w:szCs w:val="20"/>
          <w:shd w:val="clear" w:color="auto" w:fill="FFFFFF"/>
        </w:rPr>
        <w:t xml:space="preserve">(20 días hábiles), para la recepción de comentarios, observaciones, propuestas  y/o aportaciones sobre el contenido de dicho Anteproyecto </w:t>
      </w:r>
      <w:r w:rsidR="005272C9">
        <w:rPr>
          <w:rFonts w:ascii="ITC Avant Garde" w:hAnsi="ITC Avant Garde"/>
          <w:color w:val="000000"/>
          <w:sz w:val="20"/>
          <w:szCs w:val="20"/>
          <w:shd w:val="clear" w:color="auto" w:fill="FFFFFF"/>
        </w:rPr>
        <w:t>de Acuerdo, mediante el</w:t>
      </w:r>
      <w:r w:rsidRPr="00335CD2">
        <w:rPr>
          <w:rFonts w:ascii="ITC Avant Garde" w:hAnsi="ITC Avant Garde"/>
          <w:color w:val="000000"/>
          <w:sz w:val="20"/>
          <w:szCs w:val="20"/>
          <w:shd w:val="clear" w:color="auto" w:fill="FFFFFF"/>
        </w:rPr>
        <w:t xml:space="preserve"> correo electrónico </w:t>
      </w:r>
      <w:r w:rsidR="005272C9">
        <w:rPr>
          <w:rFonts w:ascii="ITC Avant Garde" w:hAnsi="ITC Avant Garde"/>
          <w:color w:val="000000"/>
          <w:sz w:val="20"/>
          <w:szCs w:val="20"/>
          <w:shd w:val="clear" w:color="auto" w:fill="FFFFFF"/>
        </w:rPr>
        <w:t>a</w:t>
      </w:r>
      <w:r w:rsidRPr="00335CD2">
        <w:rPr>
          <w:rFonts w:ascii="ITC Avant Garde" w:hAnsi="ITC Avant Garde"/>
          <w:color w:val="000000"/>
          <w:sz w:val="20"/>
          <w:szCs w:val="20"/>
          <w:shd w:val="clear" w:color="auto" w:fill="FFFFFF"/>
        </w:rPr>
        <w:t xml:space="preserve"> la cuenta</w:t>
      </w:r>
      <w:r w:rsidR="00627BC0">
        <w:rPr>
          <w:rFonts w:ascii="ITC Avant Garde" w:hAnsi="ITC Avant Garde"/>
          <w:color w:val="000000"/>
          <w:sz w:val="20"/>
          <w:szCs w:val="20"/>
          <w:shd w:val="clear" w:color="auto" w:fill="FFFFFF"/>
        </w:rPr>
        <w:t xml:space="preserve"> </w:t>
      </w:r>
      <w:hyperlink r:id="rId11" w:history="1">
        <w:r w:rsidR="00412FB6" w:rsidRPr="00155B1A">
          <w:rPr>
            <w:rStyle w:val="Hipervnculo"/>
            <w:rFonts w:ascii="ITC Avant Garde" w:hAnsi="ITC Avant Garde"/>
            <w:sz w:val="20"/>
            <w:szCs w:val="20"/>
            <w:shd w:val="clear" w:color="auto" w:fill="FFFFFF"/>
          </w:rPr>
          <w:t>consulta.cnaf@ift.org.mx</w:t>
        </w:r>
      </w:hyperlink>
      <w:r w:rsidRPr="00335CD2">
        <w:rPr>
          <w:rFonts w:ascii="ITC Avant Garde" w:hAnsi="ITC Avant Garde"/>
          <w:color w:val="000000"/>
          <w:sz w:val="20"/>
          <w:szCs w:val="20"/>
          <w:shd w:val="clear" w:color="auto" w:fill="FFFFFF"/>
        </w:rPr>
        <w:t xml:space="preserve">, o </w:t>
      </w:r>
      <w:r w:rsidR="00627BC0" w:rsidRPr="00627BC0">
        <w:rPr>
          <w:rFonts w:ascii="ITC Avant Garde" w:hAnsi="ITC Avant Garde"/>
          <w:color w:val="000000"/>
          <w:sz w:val="20"/>
          <w:szCs w:val="20"/>
          <w:shd w:val="clear" w:color="auto" w:fill="FFFFFF"/>
        </w:rPr>
        <w:t>mediante escrito presentado en la Oficialía de Partes Común del Instituto ubicada en Insurgentes Sur 1143, colonia Nochebuena, Demarcación Territorial Benito Juárez, C.P. 03720, Ciudad de México</w:t>
      </w:r>
      <w:r w:rsidR="00627BC0">
        <w:rPr>
          <w:rFonts w:ascii="ITC Avant Garde" w:hAnsi="ITC Avant Garde"/>
          <w:color w:val="000000"/>
          <w:sz w:val="20"/>
          <w:szCs w:val="20"/>
          <w:shd w:val="clear" w:color="auto" w:fill="FFFFFF"/>
        </w:rPr>
        <w:t>.</w:t>
      </w:r>
    </w:p>
    <w:p w14:paraId="340B5A94" w14:textId="77777777" w:rsidR="007779E6" w:rsidRPr="00326733" w:rsidRDefault="007779E6" w:rsidP="00FB0C05">
      <w:pPr>
        <w:spacing w:after="0"/>
        <w:jc w:val="both"/>
        <w:rPr>
          <w:rFonts w:ascii="ITC Avant Garde" w:hAnsi="ITC Avant Garde"/>
          <w:color w:val="000000"/>
          <w:sz w:val="20"/>
          <w:szCs w:val="20"/>
          <w:shd w:val="clear" w:color="auto" w:fill="FFFFFF"/>
        </w:rPr>
      </w:pPr>
    </w:p>
    <w:p w14:paraId="44D0DD7F" w14:textId="52B258C7" w:rsidR="004558C5" w:rsidRPr="00326733" w:rsidRDefault="004558C5" w:rsidP="001E4323">
      <w:pPr>
        <w:pStyle w:val="Prrafodelista"/>
        <w:numPr>
          <w:ilvl w:val="0"/>
          <w:numId w:val="1"/>
        </w:numPr>
        <w:spacing w:after="0"/>
        <w:ind w:left="567"/>
        <w:jc w:val="both"/>
        <w:rPr>
          <w:rFonts w:ascii="ITC Avant Garde" w:hAnsi="ITC Avant Garde"/>
          <w:b/>
          <w:sz w:val="20"/>
          <w:szCs w:val="20"/>
        </w:rPr>
      </w:pPr>
      <w:r w:rsidRPr="00326733">
        <w:rPr>
          <w:rFonts w:ascii="ITC Avant Garde" w:hAnsi="ITC Avant Garde"/>
          <w:b/>
          <w:sz w:val="20"/>
          <w:szCs w:val="20"/>
        </w:rPr>
        <w:t>Objetivo de la Consulta Pública</w:t>
      </w:r>
      <w:r w:rsidR="002331B2" w:rsidRPr="00326733">
        <w:rPr>
          <w:rFonts w:ascii="ITC Avant Garde" w:hAnsi="ITC Avant Garde"/>
          <w:b/>
          <w:sz w:val="20"/>
          <w:szCs w:val="20"/>
        </w:rPr>
        <w:t xml:space="preserve"> de</w:t>
      </w:r>
      <w:r w:rsidR="005006CE">
        <w:rPr>
          <w:rFonts w:ascii="ITC Avant Garde" w:hAnsi="ITC Avant Garde"/>
          <w:b/>
          <w:sz w:val="20"/>
          <w:szCs w:val="20"/>
        </w:rPr>
        <w:t>l</w:t>
      </w:r>
      <w:r w:rsidR="002331B2" w:rsidRPr="00326733">
        <w:rPr>
          <w:rFonts w:ascii="ITC Avant Garde" w:hAnsi="ITC Avant Garde"/>
          <w:b/>
          <w:sz w:val="20"/>
          <w:szCs w:val="20"/>
        </w:rPr>
        <w:t xml:space="preserve"> </w:t>
      </w:r>
      <w:r w:rsidR="00C51A4F" w:rsidRPr="00326733">
        <w:rPr>
          <w:rFonts w:ascii="ITC Avant Garde" w:hAnsi="ITC Avant Garde"/>
          <w:b/>
          <w:sz w:val="20"/>
          <w:szCs w:val="20"/>
        </w:rPr>
        <w:t>Anteproyecto</w:t>
      </w:r>
      <w:r w:rsidRPr="00326733">
        <w:rPr>
          <w:rFonts w:ascii="ITC Avant Garde" w:hAnsi="ITC Avant Garde"/>
          <w:b/>
          <w:sz w:val="20"/>
          <w:szCs w:val="20"/>
        </w:rPr>
        <w:t>:</w:t>
      </w:r>
    </w:p>
    <w:p w14:paraId="04F106F9" w14:textId="77777777" w:rsidR="003F5B6E" w:rsidRDefault="003F5B6E" w:rsidP="001E4323">
      <w:pPr>
        <w:spacing w:after="0"/>
        <w:jc w:val="both"/>
        <w:rPr>
          <w:rFonts w:ascii="ITC Avant Garde" w:hAnsi="ITC Avant Garde"/>
          <w:color w:val="000000"/>
          <w:sz w:val="20"/>
          <w:szCs w:val="20"/>
          <w:shd w:val="clear" w:color="auto" w:fill="FFFFFF"/>
        </w:rPr>
      </w:pPr>
    </w:p>
    <w:p w14:paraId="74DDBC6A" w14:textId="6ED20D46" w:rsidR="00772A79" w:rsidRDefault="003F5B6E" w:rsidP="001E4323">
      <w:pPr>
        <w:spacing w:after="0"/>
        <w:jc w:val="both"/>
        <w:rPr>
          <w:rFonts w:ascii="ITC Avant Garde" w:hAnsi="ITC Avant Garde"/>
          <w:color w:val="000000"/>
          <w:sz w:val="20"/>
          <w:szCs w:val="20"/>
          <w:shd w:val="clear" w:color="auto" w:fill="FFFFFF"/>
        </w:rPr>
      </w:pPr>
      <w:r w:rsidRPr="003F5B6E">
        <w:rPr>
          <w:rFonts w:ascii="ITC Avant Garde" w:hAnsi="ITC Avant Garde"/>
          <w:color w:val="000000"/>
          <w:sz w:val="20"/>
          <w:szCs w:val="20"/>
          <w:shd w:val="clear" w:color="auto" w:fill="FFFFFF"/>
        </w:rPr>
        <w:t>El Instituto</w:t>
      </w:r>
      <w:r w:rsidR="0034066F">
        <w:rPr>
          <w:rFonts w:ascii="ITC Avant Garde" w:hAnsi="ITC Avant Garde"/>
          <w:color w:val="000000"/>
          <w:sz w:val="20"/>
          <w:szCs w:val="20"/>
          <w:shd w:val="clear" w:color="auto" w:fill="FFFFFF"/>
        </w:rPr>
        <w:t>,</w:t>
      </w:r>
      <w:r w:rsidRPr="003F5B6E">
        <w:rPr>
          <w:rFonts w:ascii="ITC Avant Garde" w:hAnsi="ITC Avant Garde"/>
          <w:color w:val="000000"/>
          <w:sz w:val="20"/>
          <w:szCs w:val="20"/>
          <w:shd w:val="clear" w:color="auto" w:fill="FFFFFF"/>
        </w:rPr>
        <w:t xml:space="preserve"> convencido de la importancia y relevancia de transparentar su proceso de modificación de regulaciones, recibi</w:t>
      </w:r>
      <w:r w:rsidR="006A0F5B">
        <w:rPr>
          <w:rFonts w:ascii="ITC Avant Garde" w:hAnsi="ITC Avant Garde"/>
          <w:color w:val="000000"/>
          <w:sz w:val="20"/>
          <w:szCs w:val="20"/>
          <w:shd w:val="clear" w:color="auto" w:fill="FFFFFF"/>
        </w:rPr>
        <w:t>ó</w:t>
      </w:r>
      <w:r w:rsidRPr="003F5B6E">
        <w:rPr>
          <w:rFonts w:ascii="ITC Avant Garde" w:hAnsi="ITC Avant Garde"/>
          <w:color w:val="000000"/>
          <w:sz w:val="20"/>
          <w:szCs w:val="20"/>
          <w:shd w:val="clear" w:color="auto" w:fill="FFFFFF"/>
        </w:rPr>
        <w:t xml:space="preserve"> comentarios, opiniones y aportaciones de </w:t>
      </w:r>
      <w:r w:rsidR="006A0F5B">
        <w:rPr>
          <w:rFonts w:ascii="ITC Avant Garde" w:hAnsi="ITC Avant Garde"/>
          <w:color w:val="000000"/>
          <w:sz w:val="20"/>
          <w:szCs w:val="20"/>
          <w:shd w:val="clear" w:color="auto" w:fill="FFFFFF"/>
        </w:rPr>
        <w:t>diferentes</w:t>
      </w:r>
      <w:r w:rsidR="006A0F5B" w:rsidRPr="003F5B6E">
        <w:rPr>
          <w:rFonts w:ascii="ITC Avant Garde" w:hAnsi="ITC Avant Garde"/>
          <w:color w:val="000000"/>
          <w:sz w:val="20"/>
          <w:szCs w:val="20"/>
          <w:shd w:val="clear" w:color="auto" w:fill="FFFFFF"/>
        </w:rPr>
        <w:t xml:space="preserve"> </w:t>
      </w:r>
      <w:r w:rsidRPr="003F5B6E">
        <w:rPr>
          <w:rFonts w:ascii="ITC Avant Garde" w:hAnsi="ITC Avant Garde"/>
          <w:color w:val="000000"/>
          <w:sz w:val="20"/>
          <w:szCs w:val="20"/>
          <w:shd w:val="clear" w:color="auto" w:fill="FFFFFF"/>
        </w:rPr>
        <w:t>persona</w:t>
      </w:r>
      <w:r w:rsidR="006A0F5B">
        <w:rPr>
          <w:rFonts w:ascii="ITC Avant Garde" w:hAnsi="ITC Avant Garde"/>
          <w:color w:val="000000"/>
          <w:sz w:val="20"/>
          <w:szCs w:val="20"/>
          <w:shd w:val="clear" w:color="auto" w:fill="FFFFFF"/>
        </w:rPr>
        <w:t>s</w:t>
      </w:r>
      <w:r w:rsidRPr="003F5B6E">
        <w:rPr>
          <w:rFonts w:ascii="ITC Avant Garde" w:hAnsi="ITC Avant Garde"/>
          <w:color w:val="000000"/>
          <w:sz w:val="20"/>
          <w:szCs w:val="20"/>
          <w:shd w:val="clear" w:color="auto" w:fill="FFFFFF"/>
        </w:rPr>
        <w:t xml:space="preserve"> (física</w:t>
      </w:r>
      <w:r w:rsidR="006A0F5B">
        <w:rPr>
          <w:rFonts w:ascii="ITC Avant Garde" w:hAnsi="ITC Avant Garde"/>
          <w:color w:val="000000"/>
          <w:sz w:val="20"/>
          <w:szCs w:val="20"/>
          <w:shd w:val="clear" w:color="auto" w:fill="FFFFFF"/>
        </w:rPr>
        <w:t>s</w:t>
      </w:r>
      <w:r w:rsidRPr="003F5B6E">
        <w:rPr>
          <w:rFonts w:ascii="ITC Avant Garde" w:hAnsi="ITC Avant Garde"/>
          <w:color w:val="000000"/>
          <w:sz w:val="20"/>
          <w:szCs w:val="20"/>
          <w:shd w:val="clear" w:color="auto" w:fill="FFFFFF"/>
        </w:rPr>
        <w:t xml:space="preserve"> </w:t>
      </w:r>
      <w:r w:rsidR="006A0F5B">
        <w:rPr>
          <w:rFonts w:ascii="ITC Avant Garde" w:hAnsi="ITC Avant Garde"/>
          <w:color w:val="000000"/>
          <w:sz w:val="20"/>
          <w:szCs w:val="20"/>
          <w:shd w:val="clear" w:color="auto" w:fill="FFFFFF"/>
        </w:rPr>
        <w:t>y</w:t>
      </w:r>
      <w:r w:rsidRPr="003F5B6E">
        <w:rPr>
          <w:rFonts w:ascii="ITC Avant Garde" w:hAnsi="ITC Avant Garde"/>
          <w:color w:val="000000"/>
          <w:sz w:val="20"/>
          <w:szCs w:val="20"/>
          <w:shd w:val="clear" w:color="auto" w:fill="FFFFFF"/>
        </w:rPr>
        <w:t xml:space="preserve"> moral</w:t>
      </w:r>
      <w:r w:rsidR="006A0F5B">
        <w:rPr>
          <w:rFonts w:ascii="ITC Avant Garde" w:hAnsi="ITC Avant Garde"/>
          <w:color w:val="000000"/>
          <w:sz w:val="20"/>
          <w:szCs w:val="20"/>
          <w:shd w:val="clear" w:color="auto" w:fill="FFFFFF"/>
        </w:rPr>
        <w:t>es</w:t>
      </w:r>
      <w:r w:rsidRPr="003F5B6E">
        <w:rPr>
          <w:rFonts w:ascii="ITC Avant Garde" w:hAnsi="ITC Avant Garde"/>
          <w:color w:val="000000"/>
          <w:sz w:val="20"/>
          <w:szCs w:val="20"/>
          <w:shd w:val="clear" w:color="auto" w:fill="FFFFFF"/>
        </w:rPr>
        <w:t>) interesada</w:t>
      </w:r>
      <w:r w:rsidR="006A0F5B">
        <w:rPr>
          <w:rFonts w:ascii="ITC Avant Garde" w:hAnsi="ITC Avant Garde"/>
          <w:color w:val="000000"/>
          <w:sz w:val="20"/>
          <w:szCs w:val="20"/>
          <w:shd w:val="clear" w:color="auto" w:fill="FFFFFF"/>
        </w:rPr>
        <w:t>s</w:t>
      </w:r>
      <w:r w:rsidRPr="003F5B6E">
        <w:rPr>
          <w:rFonts w:ascii="ITC Avant Garde" w:hAnsi="ITC Avant Garde"/>
          <w:color w:val="000000"/>
          <w:sz w:val="20"/>
          <w:szCs w:val="20"/>
          <w:shd w:val="clear" w:color="auto" w:fill="FFFFFF"/>
        </w:rPr>
        <w:t xml:space="preserve"> </w:t>
      </w:r>
      <w:r w:rsidR="006A0F5B">
        <w:rPr>
          <w:rFonts w:ascii="ITC Avant Garde" w:hAnsi="ITC Avant Garde"/>
          <w:color w:val="000000"/>
          <w:sz w:val="20"/>
          <w:szCs w:val="20"/>
          <w:shd w:val="clear" w:color="auto" w:fill="FFFFFF"/>
        </w:rPr>
        <w:t xml:space="preserve">en </w:t>
      </w:r>
      <w:r w:rsidRPr="003F5B6E">
        <w:rPr>
          <w:rFonts w:ascii="ITC Avant Garde" w:hAnsi="ITC Avant Garde"/>
          <w:color w:val="000000"/>
          <w:sz w:val="20"/>
          <w:szCs w:val="20"/>
          <w:shd w:val="clear" w:color="auto" w:fill="FFFFFF"/>
        </w:rPr>
        <w:t>el "Anteproyecto de Acuerdo mediante el cual el Pleno del Instituto Federal de Telecomunicaciones modifica el Cuadro Nacional de Atribución de Frecuencias ", el cual se propone con base en lo establecido en los artículos 7, 15, fracciones I, III, XL y LVI, 51, 54, 55, 56, 57, 58 y 64 de la Ley Federal de Telecomunicaciones y Radiodifusión; 1, 4, fracción I, 6, fracciones I y XXXVIII, 27 y 30, fracción I, del Estatuto Orgánico del Instituto Federal de Telecomunicaciones; así como en los Lineamientos Primero, Tercero, fracción II, Cuarto, Séptimo, Octavo, Noveno, Décimo Primero y Vigésimo Primero de los Lineamientos de Consulta Pública y Análisis de Impacto Regulatorio del Instituto Federal de Telecomunicaciones.</w:t>
      </w:r>
    </w:p>
    <w:p w14:paraId="78BF7250" w14:textId="77777777" w:rsidR="001E4323" w:rsidRDefault="001E4323" w:rsidP="001E4323">
      <w:pPr>
        <w:spacing w:after="0"/>
        <w:jc w:val="both"/>
        <w:rPr>
          <w:rFonts w:ascii="ITC Avant Garde" w:hAnsi="ITC Avant Garde"/>
          <w:color w:val="000000"/>
          <w:sz w:val="20"/>
          <w:szCs w:val="20"/>
          <w:shd w:val="clear" w:color="auto" w:fill="FFFFFF"/>
        </w:rPr>
      </w:pPr>
    </w:p>
    <w:p w14:paraId="319E528C" w14:textId="0C64942E" w:rsidR="00621DA0" w:rsidRDefault="00FC440C" w:rsidP="001E4323">
      <w:pPr>
        <w:spacing w:after="0"/>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Es importante mencionar que</w:t>
      </w:r>
      <w:r w:rsidR="00621DA0" w:rsidRPr="00621DA0">
        <w:rPr>
          <w:rFonts w:ascii="ITC Avant Garde" w:hAnsi="ITC Avant Garde"/>
          <w:color w:val="000000"/>
          <w:sz w:val="20"/>
          <w:szCs w:val="20"/>
          <w:shd w:val="clear" w:color="auto" w:fill="FFFFFF"/>
        </w:rPr>
        <w:t>, los objetivos principales del Anteproyecto consisten en:</w:t>
      </w:r>
      <w:r w:rsidR="00621DA0" w:rsidRPr="00621DA0">
        <w:t xml:space="preserve"> </w:t>
      </w:r>
      <w:r w:rsidR="00621DA0" w:rsidRPr="00621DA0">
        <w:rPr>
          <w:rFonts w:ascii="ITC Avant Garde" w:hAnsi="ITC Avant Garde"/>
          <w:color w:val="000000"/>
          <w:sz w:val="20"/>
          <w:szCs w:val="20"/>
          <w:shd w:val="clear" w:color="auto" w:fill="FFFFFF"/>
        </w:rPr>
        <w:t xml:space="preserve">i) modernizar el marco normativo respecto al uso y aprovechamiento de bandas de frecuencias del espectro radioeléctrico, como resultado del análisis realizado por el Instituto, así como de la contribución resultante del trabajo realizado en el seno del Comité 5G y </w:t>
      </w:r>
      <w:proofErr w:type="spellStart"/>
      <w:r w:rsidR="00621DA0" w:rsidRPr="00621DA0">
        <w:rPr>
          <w:rFonts w:ascii="ITC Avant Garde" w:hAnsi="ITC Avant Garde"/>
          <w:color w:val="000000"/>
          <w:sz w:val="20"/>
          <w:szCs w:val="20"/>
          <w:shd w:val="clear" w:color="auto" w:fill="FFFFFF"/>
        </w:rPr>
        <w:t>ii</w:t>
      </w:r>
      <w:proofErr w:type="spellEnd"/>
      <w:r w:rsidR="00621DA0" w:rsidRPr="00621DA0">
        <w:rPr>
          <w:rFonts w:ascii="ITC Avant Garde" w:hAnsi="ITC Avant Garde"/>
          <w:color w:val="000000"/>
          <w:sz w:val="20"/>
          <w:szCs w:val="20"/>
          <w:shd w:val="clear" w:color="auto" w:fill="FFFFFF"/>
        </w:rPr>
        <w:t xml:space="preserve">) prever que el Instituto valore y, en su caso, conceda el uso y aprovechamiento de bandas de frecuencias del espectro radioeléctrico mediante el otorgamiento de concesiones para uso privado con propósitos de experimentación y autorizaciones para uso secundario para servicios distintos a los atribuidos en el </w:t>
      </w:r>
      <w:r w:rsidR="00140443">
        <w:rPr>
          <w:rFonts w:ascii="ITC Avant Garde" w:hAnsi="ITC Avant Garde"/>
          <w:color w:val="000000"/>
          <w:sz w:val="20"/>
          <w:szCs w:val="20"/>
          <w:shd w:val="clear" w:color="auto" w:fill="FFFFFF"/>
        </w:rPr>
        <w:t>CNAF</w:t>
      </w:r>
      <w:r w:rsidR="00621DA0" w:rsidRPr="00621DA0">
        <w:rPr>
          <w:rFonts w:ascii="ITC Avant Garde" w:hAnsi="ITC Avant Garde"/>
          <w:color w:val="000000"/>
          <w:sz w:val="20"/>
          <w:szCs w:val="20"/>
          <w:shd w:val="clear" w:color="auto" w:fill="FFFFFF"/>
        </w:rPr>
        <w:t>.</w:t>
      </w:r>
    </w:p>
    <w:p w14:paraId="115CA0B2" w14:textId="77777777" w:rsidR="00477FFA" w:rsidRDefault="00477FFA" w:rsidP="001E4323">
      <w:pPr>
        <w:spacing w:after="0"/>
        <w:jc w:val="both"/>
        <w:rPr>
          <w:rFonts w:ascii="ITC Avant Garde" w:hAnsi="ITC Avant Garde"/>
          <w:color w:val="000000"/>
          <w:sz w:val="20"/>
          <w:szCs w:val="20"/>
          <w:shd w:val="clear" w:color="auto" w:fill="FFFFFF"/>
        </w:rPr>
      </w:pPr>
    </w:p>
    <w:p w14:paraId="343799BA" w14:textId="504D5CFF" w:rsidR="00477FFA" w:rsidRPr="00326733" w:rsidRDefault="00477FFA" w:rsidP="001E4323">
      <w:pPr>
        <w:spacing w:after="0"/>
        <w:jc w:val="both"/>
        <w:rPr>
          <w:rFonts w:ascii="ITC Avant Garde" w:hAnsi="ITC Avant Garde"/>
          <w:color w:val="000000"/>
          <w:sz w:val="20"/>
          <w:szCs w:val="20"/>
          <w:shd w:val="clear" w:color="auto" w:fill="FFFFFF"/>
        </w:rPr>
      </w:pPr>
      <w:r w:rsidRPr="00CE1375">
        <w:rPr>
          <w:rFonts w:ascii="ITC Avant Garde" w:hAnsi="ITC Avant Garde"/>
          <w:color w:val="000000"/>
          <w:sz w:val="20"/>
          <w:szCs w:val="20"/>
          <w:shd w:val="clear" w:color="auto" w:fill="FFFFFF"/>
        </w:rPr>
        <w:t xml:space="preserve">En virtud de lo anterior, la Consulta Pública </w:t>
      </w:r>
      <w:r w:rsidR="00FE2BAF">
        <w:rPr>
          <w:rFonts w:ascii="ITC Avant Garde" w:hAnsi="ITC Avant Garde"/>
          <w:color w:val="000000"/>
          <w:sz w:val="20"/>
          <w:szCs w:val="20"/>
          <w:shd w:val="clear" w:color="auto" w:fill="FFFFFF"/>
        </w:rPr>
        <w:t xml:space="preserve">de referencia </w:t>
      </w:r>
      <w:r w:rsidRPr="00CE1375">
        <w:rPr>
          <w:rFonts w:ascii="ITC Avant Garde" w:hAnsi="ITC Avant Garde"/>
          <w:color w:val="000000"/>
          <w:sz w:val="20"/>
          <w:szCs w:val="20"/>
          <w:shd w:val="clear" w:color="auto" w:fill="FFFFFF"/>
        </w:rPr>
        <w:t>t</w:t>
      </w:r>
      <w:r w:rsidR="00CE1375" w:rsidRPr="00CE1375">
        <w:rPr>
          <w:rFonts w:ascii="ITC Avant Garde" w:hAnsi="ITC Avant Garde"/>
          <w:color w:val="000000"/>
          <w:sz w:val="20"/>
          <w:szCs w:val="20"/>
          <w:shd w:val="clear" w:color="auto" w:fill="FFFFFF"/>
        </w:rPr>
        <w:t>uvo</w:t>
      </w:r>
      <w:r w:rsidRPr="00CE1375">
        <w:rPr>
          <w:rFonts w:ascii="ITC Avant Garde" w:hAnsi="ITC Avant Garde"/>
          <w:color w:val="000000"/>
          <w:sz w:val="20"/>
          <w:szCs w:val="20"/>
          <w:shd w:val="clear" w:color="auto" w:fill="FFFFFF"/>
        </w:rPr>
        <w:t xml:space="preserve"> por objeto dar a conocer el Anteproyecto</w:t>
      </w:r>
      <w:r w:rsidR="00140443" w:rsidRPr="00CE1375">
        <w:rPr>
          <w:rFonts w:ascii="ITC Avant Garde" w:hAnsi="ITC Avant Garde"/>
          <w:color w:val="000000"/>
          <w:sz w:val="20"/>
          <w:szCs w:val="20"/>
          <w:shd w:val="clear" w:color="auto" w:fill="FFFFFF"/>
        </w:rPr>
        <w:t xml:space="preserve"> de Acuerdo de</w:t>
      </w:r>
      <w:r w:rsidR="00D66CF7">
        <w:rPr>
          <w:rFonts w:ascii="ITC Avant Garde" w:hAnsi="ITC Avant Garde"/>
          <w:color w:val="000000"/>
          <w:sz w:val="20"/>
          <w:szCs w:val="20"/>
          <w:shd w:val="clear" w:color="auto" w:fill="FFFFFF"/>
        </w:rPr>
        <w:t xml:space="preserve"> modificación a</w:t>
      </w:r>
      <w:r w:rsidR="00140443" w:rsidRPr="00CE1375">
        <w:rPr>
          <w:rFonts w:ascii="ITC Avant Garde" w:hAnsi="ITC Avant Garde"/>
          <w:color w:val="000000"/>
          <w:sz w:val="20"/>
          <w:szCs w:val="20"/>
          <w:shd w:val="clear" w:color="auto" w:fill="FFFFFF"/>
        </w:rPr>
        <w:t xml:space="preserve">l CNAF, </w:t>
      </w:r>
      <w:r w:rsidR="0028154E" w:rsidRPr="00CE1375">
        <w:rPr>
          <w:rFonts w:ascii="ITC Avant Garde" w:hAnsi="ITC Avant Garde"/>
          <w:color w:val="000000"/>
          <w:sz w:val="20"/>
          <w:szCs w:val="20"/>
          <w:shd w:val="clear" w:color="auto" w:fill="FFFFFF"/>
        </w:rPr>
        <w:t>el A</w:t>
      </w:r>
      <w:r w:rsidRPr="00CE1375">
        <w:rPr>
          <w:rFonts w:ascii="ITC Avant Garde" w:hAnsi="ITC Avant Garde"/>
          <w:color w:val="000000"/>
          <w:sz w:val="20"/>
          <w:szCs w:val="20"/>
          <w:shd w:val="clear" w:color="auto" w:fill="FFFFFF"/>
        </w:rPr>
        <w:t xml:space="preserve">nálisis de </w:t>
      </w:r>
      <w:r w:rsidR="0028154E" w:rsidRPr="00CE1375">
        <w:rPr>
          <w:rFonts w:ascii="ITC Avant Garde" w:hAnsi="ITC Avant Garde"/>
          <w:color w:val="000000"/>
          <w:sz w:val="20"/>
          <w:szCs w:val="20"/>
          <w:shd w:val="clear" w:color="auto" w:fill="FFFFFF"/>
        </w:rPr>
        <w:t>N</w:t>
      </w:r>
      <w:r w:rsidRPr="00CE1375">
        <w:rPr>
          <w:rFonts w:ascii="ITC Avant Garde" w:hAnsi="ITC Avant Garde"/>
          <w:color w:val="000000"/>
          <w:sz w:val="20"/>
          <w:szCs w:val="20"/>
          <w:shd w:val="clear" w:color="auto" w:fill="FFFFFF"/>
        </w:rPr>
        <w:t xml:space="preserve">ulo </w:t>
      </w:r>
      <w:r w:rsidR="0028154E" w:rsidRPr="00CE1375">
        <w:rPr>
          <w:rFonts w:ascii="ITC Avant Garde" w:hAnsi="ITC Avant Garde"/>
          <w:color w:val="000000"/>
          <w:sz w:val="20"/>
          <w:szCs w:val="20"/>
          <w:shd w:val="clear" w:color="auto" w:fill="FFFFFF"/>
        </w:rPr>
        <w:t>I</w:t>
      </w:r>
      <w:r w:rsidRPr="00CE1375">
        <w:rPr>
          <w:rFonts w:ascii="ITC Avant Garde" w:hAnsi="ITC Avant Garde"/>
          <w:color w:val="000000"/>
          <w:sz w:val="20"/>
          <w:szCs w:val="20"/>
          <w:shd w:val="clear" w:color="auto" w:fill="FFFFFF"/>
        </w:rPr>
        <w:t xml:space="preserve">mpacto </w:t>
      </w:r>
      <w:r w:rsidR="0028154E" w:rsidRPr="00CE1375">
        <w:rPr>
          <w:rFonts w:ascii="ITC Avant Garde" w:hAnsi="ITC Avant Garde"/>
          <w:color w:val="000000"/>
          <w:sz w:val="20"/>
          <w:szCs w:val="20"/>
          <w:shd w:val="clear" w:color="auto" w:fill="FFFFFF"/>
        </w:rPr>
        <w:t>R</w:t>
      </w:r>
      <w:r w:rsidRPr="00CE1375">
        <w:rPr>
          <w:rFonts w:ascii="ITC Avant Garde" w:hAnsi="ITC Avant Garde"/>
          <w:color w:val="000000"/>
          <w:sz w:val="20"/>
          <w:szCs w:val="20"/>
          <w:shd w:val="clear" w:color="auto" w:fill="FFFFFF"/>
        </w:rPr>
        <w:t>egulatorio</w:t>
      </w:r>
      <w:r w:rsidR="0028154E" w:rsidRPr="00CE1375">
        <w:rPr>
          <w:rFonts w:ascii="ITC Avant Garde" w:hAnsi="ITC Avant Garde"/>
          <w:color w:val="000000"/>
          <w:sz w:val="20"/>
          <w:szCs w:val="20"/>
          <w:shd w:val="clear" w:color="auto" w:fill="FFFFFF"/>
        </w:rPr>
        <w:t xml:space="preserve"> (ANIR)</w:t>
      </w:r>
      <w:r w:rsidRPr="00CE1375">
        <w:rPr>
          <w:rFonts w:ascii="ITC Avant Garde" w:hAnsi="ITC Avant Garde"/>
          <w:color w:val="000000"/>
          <w:sz w:val="20"/>
          <w:szCs w:val="20"/>
          <w:shd w:val="clear" w:color="auto" w:fill="FFFFFF"/>
        </w:rPr>
        <w:t>, así como un documento de referencia titulado “Cuadro Nacional de Atribución de Frecuencias”, el cual no se enc</w:t>
      </w:r>
      <w:r w:rsidR="00FE2BAF">
        <w:rPr>
          <w:rFonts w:ascii="ITC Avant Garde" w:hAnsi="ITC Avant Garde"/>
          <w:color w:val="000000"/>
          <w:sz w:val="20"/>
          <w:szCs w:val="20"/>
          <w:shd w:val="clear" w:color="auto" w:fill="FFFFFF"/>
        </w:rPr>
        <w:t>o</w:t>
      </w:r>
      <w:r w:rsidRPr="00CE1375">
        <w:rPr>
          <w:rFonts w:ascii="ITC Avant Garde" w:hAnsi="ITC Avant Garde"/>
          <w:color w:val="000000"/>
          <w:sz w:val="20"/>
          <w:szCs w:val="20"/>
          <w:shd w:val="clear" w:color="auto" w:fill="FFFFFF"/>
        </w:rPr>
        <w:t>ntra</w:t>
      </w:r>
      <w:r w:rsidR="00FE2BAF">
        <w:rPr>
          <w:rFonts w:ascii="ITC Avant Garde" w:hAnsi="ITC Avant Garde"/>
          <w:color w:val="000000"/>
          <w:sz w:val="20"/>
          <w:szCs w:val="20"/>
          <w:shd w:val="clear" w:color="auto" w:fill="FFFFFF"/>
        </w:rPr>
        <w:t>ba</w:t>
      </w:r>
      <w:r w:rsidRPr="00CE1375">
        <w:rPr>
          <w:rFonts w:ascii="ITC Avant Garde" w:hAnsi="ITC Avant Garde"/>
          <w:color w:val="000000"/>
          <w:sz w:val="20"/>
          <w:szCs w:val="20"/>
          <w:shd w:val="clear" w:color="auto" w:fill="FFFFFF"/>
        </w:rPr>
        <w:t xml:space="preserve"> propiamente en Consulta Pública, sino que a través del mismo, el Instituto brind</w:t>
      </w:r>
      <w:r w:rsidR="00FE2BAF">
        <w:rPr>
          <w:rFonts w:ascii="ITC Avant Garde" w:hAnsi="ITC Avant Garde"/>
          <w:color w:val="000000"/>
          <w:sz w:val="20"/>
          <w:szCs w:val="20"/>
          <w:shd w:val="clear" w:color="auto" w:fill="FFFFFF"/>
        </w:rPr>
        <w:t>ó</w:t>
      </w:r>
      <w:r w:rsidRPr="00CE1375">
        <w:rPr>
          <w:rFonts w:ascii="ITC Avant Garde" w:hAnsi="ITC Avant Garde"/>
          <w:color w:val="000000"/>
          <w:sz w:val="20"/>
          <w:szCs w:val="20"/>
          <w:shd w:val="clear" w:color="auto" w:fill="FFFFFF"/>
        </w:rPr>
        <w:t xml:space="preserve"> a las personas interesadas un panorama general sobre el Anteproyecto</w:t>
      </w:r>
      <w:r w:rsidRPr="00477FFA">
        <w:rPr>
          <w:rFonts w:ascii="ITC Avant Garde" w:hAnsi="ITC Avant Garde"/>
          <w:color w:val="000000"/>
          <w:sz w:val="20"/>
          <w:szCs w:val="20"/>
          <w:shd w:val="clear" w:color="auto" w:fill="FFFFFF"/>
        </w:rPr>
        <w:t xml:space="preserve"> y, a partir de ello, pud</w:t>
      </w:r>
      <w:r w:rsidR="00FE2BAF">
        <w:rPr>
          <w:rFonts w:ascii="ITC Avant Garde" w:hAnsi="ITC Avant Garde"/>
          <w:color w:val="000000"/>
          <w:sz w:val="20"/>
          <w:szCs w:val="20"/>
          <w:shd w:val="clear" w:color="auto" w:fill="FFFFFF"/>
        </w:rPr>
        <w:t>ier</w:t>
      </w:r>
      <w:r w:rsidRPr="00477FFA">
        <w:rPr>
          <w:rFonts w:ascii="ITC Avant Garde" w:hAnsi="ITC Avant Garde"/>
          <w:color w:val="000000"/>
          <w:sz w:val="20"/>
          <w:szCs w:val="20"/>
          <w:shd w:val="clear" w:color="auto" w:fill="FFFFFF"/>
        </w:rPr>
        <w:t>an formular a este órgano regulador sus comentarios, opiniones o aportaciones que permit</w:t>
      </w:r>
      <w:r w:rsidR="00FE2BAF">
        <w:rPr>
          <w:rFonts w:ascii="ITC Avant Garde" w:hAnsi="ITC Avant Garde"/>
          <w:color w:val="000000"/>
          <w:sz w:val="20"/>
          <w:szCs w:val="20"/>
          <w:shd w:val="clear" w:color="auto" w:fill="FFFFFF"/>
        </w:rPr>
        <w:t>ier</w:t>
      </w:r>
      <w:r w:rsidRPr="00477FFA">
        <w:rPr>
          <w:rFonts w:ascii="ITC Avant Garde" w:hAnsi="ITC Avant Garde"/>
          <w:color w:val="000000"/>
          <w:sz w:val="20"/>
          <w:szCs w:val="20"/>
          <w:shd w:val="clear" w:color="auto" w:fill="FFFFFF"/>
        </w:rPr>
        <w:t>an fortalecer dicha propuesta normativa, así como afinar con mayor precisión los posibles impactos que se desprendan a razón de su posible entrada en vigor.</w:t>
      </w:r>
    </w:p>
    <w:p w14:paraId="58BAFD1A" w14:textId="77777777" w:rsidR="005D0C84" w:rsidRPr="00326733" w:rsidRDefault="005D0C84" w:rsidP="000A25F5">
      <w:pPr>
        <w:spacing w:after="0" w:line="240" w:lineRule="auto"/>
        <w:jc w:val="both"/>
        <w:rPr>
          <w:rFonts w:ascii="ITC Avant Garde" w:hAnsi="ITC Avant Garde"/>
          <w:color w:val="000000"/>
          <w:sz w:val="20"/>
          <w:szCs w:val="20"/>
          <w:shd w:val="clear" w:color="auto" w:fill="FFFFFF"/>
        </w:rPr>
      </w:pPr>
    </w:p>
    <w:p w14:paraId="76C1EA40" w14:textId="46179917" w:rsidR="004645B6" w:rsidRPr="000A25F5" w:rsidRDefault="00E835EB" w:rsidP="000A25F5">
      <w:pPr>
        <w:pStyle w:val="Prrafodelista"/>
        <w:numPr>
          <w:ilvl w:val="0"/>
          <w:numId w:val="1"/>
        </w:numPr>
        <w:spacing w:after="0"/>
        <w:ind w:left="567"/>
        <w:jc w:val="both"/>
        <w:rPr>
          <w:rFonts w:ascii="ITC Avant Garde" w:hAnsi="ITC Avant Garde"/>
          <w:b/>
          <w:sz w:val="20"/>
          <w:szCs w:val="20"/>
        </w:rPr>
      </w:pPr>
      <w:r w:rsidRPr="000A25F5">
        <w:rPr>
          <w:rFonts w:ascii="ITC Avant Garde" w:hAnsi="ITC Avant Garde"/>
          <w:b/>
          <w:sz w:val="20"/>
          <w:szCs w:val="20"/>
        </w:rPr>
        <w:t>Participaciones recibidas durante la Consulta Pública</w:t>
      </w:r>
      <w:r w:rsidR="002331B2" w:rsidRPr="000A25F5">
        <w:rPr>
          <w:rFonts w:ascii="ITC Avant Garde" w:hAnsi="ITC Avant Garde"/>
          <w:b/>
          <w:sz w:val="20"/>
          <w:szCs w:val="20"/>
        </w:rPr>
        <w:t xml:space="preserve"> de </w:t>
      </w:r>
      <w:r w:rsidR="00C51A4F" w:rsidRPr="000A25F5">
        <w:rPr>
          <w:rFonts w:ascii="ITC Avant Garde" w:hAnsi="ITC Avant Garde"/>
          <w:b/>
          <w:sz w:val="20"/>
          <w:szCs w:val="20"/>
        </w:rPr>
        <w:t>Anteproyecto</w:t>
      </w:r>
      <w:r w:rsidR="004552F6" w:rsidRPr="000A25F5">
        <w:rPr>
          <w:rFonts w:ascii="ITC Avant Garde" w:hAnsi="ITC Avant Garde"/>
          <w:b/>
          <w:sz w:val="20"/>
          <w:szCs w:val="20"/>
        </w:rPr>
        <w:t>:</w:t>
      </w:r>
    </w:p>
    <w:p w14:paraId="679598AC" w14:textId="77777777" w:rsidR="00772A79" w:rsidRDefault="00772A79" w:rsidP="000A25F5">
      <w:pPr>
        <w:spacing w:after="0" w:line="240" w:lineRule="auto"/>
        <w:jc w:val="both"/>
        <w:rPr>
          <w:rFonts w:ascii="ITC Avant Garde" w:hAnsi="ITC Avant Garde"/>
          <w:color w:val="000000"/>
          <w:sz w:val="20"/>
          <w:szCs w:val="20"/>
          <w:shd w:val="clear" w:color="auto" w:fill="FFFFFF"/>
        </w:rPr>
      </w:pPr>
    </w:p>
    <w:p w14:paraId="6679C988" w14:textId="6FE3588E" w:rsidR="0028154E" w:rsidRDefault="004552F6" w:rsidP="000A25F5">
      <w:pPr>
        <w:spacing w:after="0" w:line="240" w:lineRule="auto"/>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En el marco del proceso c</w:t>
      </w:r>
      <w:r w:rsidR="00E62709" w:rsidRPr="00326733">
        <w:rPr>
          <w:rFonts w:ascii="ITC Avant Garde" w:hAnsi="ITC Avant Garde"/>
          <w:color w:val="000000"/>
          <w:sz w:val="20"/>
          <w:szCs w:val="20"/>
          <w:shd w:val="clear" w:color="auto" w:fill="FFFFFF"/>
        </w:rPr>
        <w:t xml:space="preserve">onsultivo, </w:t>
      </w:r>
      <w:r w:rsidR="004A38AD" w:rsidRPr="00326733">
        <w:rPr>
          <w:rFonts w:ascii="ITC Avant Garde" w:hAnsi="ITC Avant Garde"/>
          <w:color w:val="000000"/>
          <w:sz w:val="20"/>
          <w:szCs w:val="20"/>
          <w:shd w:val="clear" w:color="auto" w:fill="FFFFFF"/>
        </w:rPr>
        <w:t xml:space="preserve">durante el periodo de </w:t>
      </w:r>
      <w:r w:rsidR="00177D25" w:rsidRPr="00326733">
        <w:rPr>
          <w:rFonts w:ascii="ITC Avant Garde" w:hAnsi="ITC Avant Garde"/>
          <w:color w:val="000000"/>
          <w:sz w:val="20"/>
          <w:szCs w:val="20"/>
          <w:shd w:val="clear" w:color="auto" w:fill="FFFFFF"/>
        </w:rPr>
        <w:t>2</w:t>
      </w:r>
      <w:r w:rsidR="00333165" w:rsidRPr="00326733">
        <w:rPr>
          <w:rFonts w:ascii="ITC Avant Garde" w:hAnsi="ITC Avant Garde"/>
          <w:color w:val="000000"/>
          <w:sz w:val="20"/>
          <w:szCs w:val="20"/>
          <w:shd w:val="clear" w:color="auto" w:fill="FFFFFF"/>
        </w:rPr>
        <w:t>0</w:t>
      </w:r>
      <w:r w:rsidR="004A38AD" w:rsidRPr="00326733">
        <w:rPr>
          <w:rFonts w:ascii="ITC Avant Garde" w:hAnsi="ITC Avant Garde"/>
          <w:color w:val="000000"/>
          <w:sz w:val="20"/>
          <w:szCs w:val="20"/>
          <w:shd w:val="clear" w:color="auto" w:fill="FFFFFF"/>
        </w:rPr>
        <w:t xml:space="preserve"> días hábi</w:t>
      </w:r>
      <w:r w:rsidR="004A38AD" w:rsidRPr="00003428">
        <w:rPr>
          <w:rFonts w:ascii="ITC Avant Garde" w:hAnsi="ITC Avant Garde"/>
          <w:color w:val="000000"/>
          <w:sz w:val="20"/>
          <w:szCs w:val="20"/>
          <w:shd w:val="clear" w:color="auto" w:fill="FFFFFF"/>
        </w:rPr>
        <w:t>les</w:t>
      </w:r>
      <w:r w:rsidR="00BC39E4" w:rsidRPr="00003428">
        <w:rPr>
          <w:rFonts w:ascii="ITC Avant Garde" w:hAnsi="ITC Avant Garde"/>
          <w:color w:val="000000"/>
          <w:sz w:val="20"/>
          <w:szCs w:val="20"/>
          <w:shd w:val="clear" w:color="auto" w:fill="FFFFFF"/>
        </w:rPr>
        <w:t xml:space="preserve"> (del </w:t>
      </w:r>
      <w:r w:rsidR="00895CF3" w:rsidRPr="00003428">
        <w:rPr>
          <w:rFonts w:ascii="ITC Avant Garde" w:hAnsi="ITC Avant Garde"/>
          <w:color w:val="000000"/>
          <w:sz w:val="20"/>
          <w:szCs w:val="20"/>
          <w:shd w:val="clear" w:color="auto" w:fill="FFFFFF"/>
        </w:rPr>
        <w:t>3</w:t>
      </w:r>
      <w:r w:rsidR="000D1786" w:rsidRPr="00003428">
        <w:rPr>
          <w:rFonts w:ascii="ITC Avant Garde" w:hAnsi="ITC Avant Garde"/>
          <w:color w:val="000000"/>
          <w:sz w:val="20"/>
          <w:szCs w:val="20"/>
          <w:shd w:val="clear" w:color="auto" w:fill="FFFFFF"/>
        </w:rPr>
        <w:t xml:space="preserve"> </w:t>
      </w:r>
      <w:r w:rsidR="00177D25" w:rsidRPr="00003428">
        <w:rPr>
          <w:rFonts w:ascii="ITC Avant Garde" w:hAnsi="ITC Avant Garde"/>
          <w:color w:val="000000"/>
          <w:sz w:val="20"/>
          <w:szCs w:val="20"/>
          <w:shd w:val="clear" w:color="auto" w:fill="FFFFFF"/>
        </w:rPr>
        <w:t xml:space="preserve">de </w:t>
      </w:r>
      <w:r w:rsidR="00895CF3" w:rsidRPr="00003428">
        <w:rPr>
          <w:rFonts w:ascii="ITC Avant Garde" w:hAnsi="ITC Avant Garde"/>
          <w:color w:val="000000"/>
          <w:sz w:val="20"/>
          <w:szCs w:val="20"/>
          <w:shd w:val="clear" w:color="auto" w:fill="FFFFFF"/>
        </w:rPr>
        <w:t>junio</w:t>
      </w:r>
      <w:r w:rsidR="00177D25" w:rsidRPr="00003428">
        <w:rPr>
          <w:rFonts w:ascii="ITC Avant Garde" w:hAnsi="ITC Avant Garde"/>
          <w:color w:val="000000"/>
          <w:sz w:val="20"/>
          <w:szCs w:val="20"/>
          <w:shd w:val="clear" w:color="auto" w:fill="FFFFFF"/>
        </w:rPr>
        <w:t xml:space="preserve"> al 2</w:t>
      </w:r>
      <w:r w:rsidR="00895CF3" w:rsidRPr="00003428">
        <w:rPr>
          <w:rFonts w:ascii="ITC Avant Garde" w:hAnsi="ITC Avant Garde"/>
          <w:color w:val="000000"/>
          <w:sz w:val="20"/>
          <w:szCs w:val="20"/>
          <w:shd w:val="clear" w:color="auto" w:fill="FFFFFF"/>
        </w:rPr>
        <w:t>8</w:t>
      </w:r>
      <w:r w:rsidR="00177D25" w:rsidRPr="00003428">
        <w:rPr>
          <w:rFonts w:ascii="ITC Avant Garde" w:hAnsi="ITC Avant Garde"/>
          <w:color w:val="000000"/>
          <w:sz w:val="20"/>
          <w:szCs w:val="20"/>
          <w:shd w:val="clear" w:color="auto" w:fill="FFFFFF"/>
        </w:rPr>
        <w:t xml:space="preserve"> </w:t>
      </w:r>
      <w:r w:rsidR="000D1786" w:rsidRPr="00003428">
        <w:rPr>
          <w:rFonts w:ascii="ITC Avant Garde" w:hAnsi="ITC Avant Garde"/>
          <w:color w:val="000000"/>
          <w:sz w:val="20"/>
          <w:szCs w:val="20"/>
          <w:shd w:val="clear" w:color="auto" w:fill="FFFFFF"/>
        </w:rPr>
        <w:t xml:space="preserve">de </w:t>
      </w:r>
      <w:r w:rsidR="00177D25" w:rsidRPr="00003428">
        <w:rPr>
          <w:rFonts w:ascii="ITC Avant Garde" w:hAnsi="ITC Avant Garde"/>
          <w:color w:val="000000"/>
          <w:sz w:val="20"/>
          <w:szCs w:val="20"/>
          <w:shd w:val="clear" w:color="auto" w:fill="FFFFFF"/>
        </w:rPr>
        <w:t xml:space="preserve">marzo </w:t>
      </w:r>
      <w:r w:rsidR="0025681F" w:rsidRPr="00003428">
        <w:rPr>
          <w:rFonts w:ascii="ITC Avant Garde" w:hAnsi="ITC Avant Garde"/>
          <w:color w:val="000000"/>
          <w:sz w:val="20"/>
          <w:szCs w:val="20"/>
          <w:shd w:val="clear" w:color="auto" w:fill="FFFFFF"/>
        </w:rPr>
        <w:t>del 202</w:t>
      </w:r>
      <w:r w:rsidR="00895CF3" w:rsidRPr="00003428">
        <w:rPr>
          <w:rFonts w:ascii="ITC Avant Garde" w:hAnsi="ITC Avant Garde"/>
          <w:color w:val="000000"/>
          <w:sz w:val="20"/>
          <w:szCs w:val="20"/>
          <w:shd w:val="clear" w:color="auto" w:fill="FFFFFF"/>
        </w:rPr>
        <w:t>4</w:t>
      </w:r>
      <w:r w:rsidR="003F483F" w:rsidRPr="00003428">
        <w:rPr>
          <w:rFonts w:ascii="ITC Avant Garde" w:hAnsi="ITC Avant Garde"/>
          <w:color w:val="000000"/>
          <w:sz w:val="20"/>
          <w:szCs w:val="20"/>
          <w:shd w:val="clear" w:color="auto" w:fill="FFFFFF"/>
        </w:rPr>
        <w:t>)</w:t>
      </w:r>
      <w:r w:rsidR="00852C41" w:rsidRPr="00003428">
        <w:rPr>
          <w:rFonts w:ascii="ITC Avant Garde" w:hAnsi="ITC Avant Garde"/>
          <w:color w:val="000000"/>
          <w:sz w:val="20"/>
          <w:szCs w:val="20"/>
          <w:shd w:val="clear" w:color="auto" w:fill="FFFFFF"/>
        </w:rPr>
        <w:t xml:space="preserve">, </w:t>
      </w:r>
      <w:r w:rsidR="00E62709" w:rsidRPr="00003428">
        <w:rPr>
          <w:rFonts w:ascii="ITC Avant Garde" w:hAnsi="ITC Avant Garde"/>
          <w:color w:val="000000"/>
          <w:sz w:val="20"/>
          <w:szCs w:val="20"/>
          <w:shd w:val="clear" w:color="auto" w:fill="FFFFFF"/>
        </w:rPr>
        <w:t>fueron presentadas ante el Institut</w:t>
      </w:r>
      <w:r w:rsidR="000D1786" w:rsidRPr="00003428">
        <w:rPr>
          <w:rFonts w:ascii="ITC Avant Garde" w:hAnsi="ITC Avant Garde"/>
          <w:color w:val="000000"/>
          <w:sz w:val="20"/>
          <w:szCs w:val="20"/>
          <w:shd w:val="clear" w:color="auto" w:fill="FFFFFF"/>
        </w:rPr>
        <w:t xml:space="preserve">o un total de </w:t>
      </w:r>
      <w:r w:rsidR="00177D25" w:rsidRPr="00003428">
        <w:rPr>
          <w:rFonts w:ascii="ITC Avant Garde" w:hAnsi="ITC Avant Garde"/>
          <w:color w:val="000000"/>
          <w:sz w:val="20"/>
          <w:szCs w:val="20"/>
          <w:shd w:val="clear" w:color="auto" w:fill="FFFFFF"/>
        </w:rPr>
        <w:t>12</w:t>
      </w:r>
      <w:r w:rsidR="004A38AD" w:rsidRPr="00326733">
        <w:rPr>
          <w:rFonts w:ascii="ITC Avant Garde" w:hAnsi="ITC Avant Garde"/>
          <w:color w:val="000000"/>
          <w:sz w:val="20"/>
          <w:szCs w:val="20"/>
          <w:shd w:val="clear" w:color="auto" w:fill="FFFFFF"/>
        </w:rPr>
        <w:t xml:space="preserve"> participaciones</w:t>
      </w:r>
      <w:r w:rsidR="003F483F" w:rsidRPr="00326733">
        <w:rPr>
          <w:rFonts w:ascii="ITC Avant Garde" w:hAnsi="ITC Avant Garde"/>
          <w:color w:val="000000"/>
          <w:sz w:val="20"/>
          <w:szCs w:val="20"/>
          <w:shd w:val="clear" w:color="auto" w:fill="FFFFFF"/>
        </w:rPr>
        <w:t>,</w:t>
      </w:r>
      <w:r w:rsidR="004A38AD" w:rsidRPr="00326733">
        <w:rPr>
          <w:rFonts w:ascii="ITC Avant Garde" w:hAnsi="ITC Avant Garde"/>
          <w:color w:val="000000"/>
          <w:sz w:val="20"/>
          <w:szCs w:val="20"/>
          <w:shd w:val="clear" w:color="auto" w:fill="FFFFFF"/>
        </w:rPr>
        <w:t xml:space="preserve"> </w:t>
      </w:r>
      <w:r w:rsidR="009333E3" w:rsidRPr="00326733">
        <w:rPr>
          <w:rFonts w:ascii="ITC Avant Garde" w:hAnsi="ITC Avant Garde"/>
          <w:color w:val="000000"/>
          <w:sz w:val="20"/>
          <w:szCs w:val="20"/>
          <w:shd w:val="clear" w:color="auto" w:fill="FFFFFF"/>
        </w:rPr>
        <w:t>las cuales se encuentran</w:t>
      </w:r>
      <w:r w:rsidR="00E62709" w:rsidRPr="00326733">
        <w:rPr>
          <w:rFonts w:ascii="ITC Avant Garde" w:hAnsi="ITC Avant Garde"/>
          <w:color w:val="000000"/>
          <w:sz w:val="20"/>
          <w:szCs w:val="20"/>
          <w:shd w:val="clear" w:color="auto" w:fill="FFFFFF"/>
        </w:rPr>
        <w:t xml:space="preserve"> publicadas </w:t>
      </w:r>
      <w:r w:rsidR="004B0FC6" w:rsidRPr="00326733">
        <w:rPr>
          <w:rFonts w:ascii="ITC Avant Garde" w:hAnsi="ITC Avant Garde"/>
          <w:color w:val="000000"/>
          <w:sz w:val="20"/>
          <w:szCs w:val="20"/>
          <w:shd w:val="clear" w:color="auto" w:fill="FFFFFF"/>
        </w:rPr>
        <w:t xml:space="preserve">íntegramente </w:t>
      </w:r>
      <w:r w:rsidR="00E62709" w:rsidRPr="00326733">
        <w:rPr>
          <w:rFonts w:ascii="ITC Avant Garde" w:hAnsi="ITC Avant Garde"/>
          <w:color w:val="000000"/>
          <w:sz w:val="20"/>
          <w:szCs w:val="20"/>
          <w:shd w:val="clear" w:color="auto" w:fill="FFFFFF"/>
        </w:rPr>
        <w:t xml:space="preserve">en la página </w:t>
      </w:r>
      <w:r w:rsidR="00827A56">
        <w:rPr>
          <w:rFonts w:ascii="ITC Avant Garde" w:hAnsi="ITC Avant Garde"/>
          <w:color w:val="000000"/>
          <w:sz w:val="20"/>
          <w:szCs w:val="20"/>
          <w:shd w:val="clear" w:color="auto" w:fill="FFFFFF"/>
        </w:rPr>
        <w:t>de internet de la Consulta Pública en comento</w:t>
      </w:r>
      <w:r w:rsidR="00827A56">
        <w:rPr>
          <w:rStyle w:val="Refdenotaalpie"/>
          <w:rFonts w:ascii="ITC Avant Garde" w:hAnsi="ITC Avant Garde"/>
          <w:color w:val="000000"/>
          <w:sz w:val="20"/>
          <w:szCs w:val="20"/>
          <w:shd w:val="clear" w:color="auto" w:fill="FFFFFF"/>
        </w:rPr>
        <w:footnoteReference w:id="3"/>
      </w:r>
      <w:r w:rsidR="00827A56">
        <w:rPr>
          <w:rFonts w:ascii="ITC Avant Garde" w:hAnsi="ITC Avant Garde"/>
          <w:color w:val="000000"/>
          <w:sz w:val="20"/>
          <w:szCs w:val="20"/>
          <w:shd w:val="clear" w:color="auto" w:fill="FFFFFF"/>
        </w:rPr>
        <w:t xml:space="preserve">, o bien , en la página de internet del </w:t>
      </w:r>
      <w:r w:rsidR="00CE1375">
        <w:rPr>
          <w:rFonts w:ascii="ITC Avant Garde" w:hAnsi="ITC Avant Garde"/>
          <w:color w:val="000000"/>
          <w:sz w:val="20"/>
          <w:szCs w:val="20"/>
          <w:shd w:val="clear" w:color="auto" w:fill="FFFFFF"/>
        </w:rPr>
        <w:t xml:space="preserve">Buscador de </w:t>
      </w:r>
      <w:r w:rsidR="0028154E">
        <w:rPr>
          <w:rFonts w:ascii="ITC Avant Garde" w:hAnsi="ITC Avant Garde"/>
          <w:color w:val="000000"/>
          <w:sz w:val="20"/>
          <w:szCs w:val="20"/>
          <w:shd w:val="clear" w:color="auto" w:fill="FFFFFF"/>
        </w:rPr>
        <w:t>C</w:t>
      </w:r>
      <w:r w:rsidR="004B0FC6" w:rsidRPr="00326733">
        <w:rPr>
          <w:rFonts w:ascii="ITC Avant Garde" w:hAnsi="ITC Avant Garde"/>
          <w:color w:val="000000"/>
          <w:sz w:val="20"/>
          <w:szCs w:val="20"/>
          <w:shd w:val="clear" w:color="auto" w:fill="FFFFFF"/>
        </w:rPr>
        <w:t>onsulta</w:t>
      </w:r>
      <w:r w:rsidR="00BC39E4" w:rsidRPr="00326733">
        <w:rPr>
          <w:rFonts w:ascii="ITC Avant Garde" w:hAnsi="ITC Avant Garde"/>
          <w:color w:val="000000"/>
          <w:sz w:val="20"/>
          <w:szCs w:val="20"/>
          <w:shd w:val="clear" w:color="auto" w:fill="FFFFFF"/>
        </w:rPr>
        <w:t>s</w:t>
      </w:r>
      <w:r w:rsidR="004B0FC6" w:rsidRPr="00326733">
        <w:rPr>
          <w:rFonts w:ascii="ITC Avant Garde" w:hAnsi="ITC Avant Garde"/>
          <w:color w:val="000000"/>
          <w:sz w:val="20"/>
          <w:szCs w:val="20"/>
          <w:shd w:val="clear" w:color="auto" w:fill="FFFFFF"/>
        </w:rPr>
        <w:t xml:space="preserve"> </w:t>
      </w:r>
      <w:r w:rsidR="0028154E">
        <w:rPr>
          <w:rFonts w:ascii="ITC Avant Garde" w:hAnsi="ITC Avant Garde"/>
          <w:color w:val="000000"/>
          <w:sz w:val="20"/>
          <w:szCs w:val="20"/>
          <w:shd w:val="clear" w:color="auto" w:fill="FFFFFF"/>
        </w:rPr>
        <w:t>P</w:t>
      </w:r>
      <w:r w:rsidR="004B0FC6" w:rsidRPr="00326733">
        <w:rPr>
          <w:rFonts w:ascii="ITC Avant Garde" w:hAnsi="ITC Avant Garde"/>
          <w:color w:val="000000"/>
          <w:sz w:val="20"/>
          <w:szCs w:val="20"/>
          <w:shd w:val="clear" w:color="auto" w:fill="FFFFFF"/>
        </w:rPr>
        <w:t>úblicas</w:t>
      </w:r>
      <w:r w:rsidR="00827A56">
        <w:rPr>
          <w:rFonts w:ascii="ITC Avant Garde" w:hAnsi="ITC Avant Garde"/>
          <w:color w:val="000000"/>
          <w:sz w:val="20"/>
          <w:szCs w:val="20"/>
          <w:shd w:val="clear" w:color="auto" w:fill="FFFFFF"/>
        </w:rPr>
        <w:t xml:space="preserve"> del Instituto</w:t>
      </w:r>
      <w:r w:rsidR="00E62709" w:rsidRPr="00326733">
        <w:rPr>
          <w:rFonts w:ascii="ITC Avant Garde" w:hAnsi="ITC Avant Garde"/>
          <w:sz w:val="20"/>
          <w:vertAlign w:val="superscript"/>
        </w:rPr>
        <w:footnoteReference w:id="4"/>
      </w:r>
      <w:r w:rsidR="00E62709" w:rsidRPr="00326733">
        <w:rPr>
          <w:rFonts w:ascii="ITC Avant Garde" w:hAnsi="ITC Avant Garde"/>
          <w:color w:val="000000"/>
          <w:sz w:val="20"/>
          <w:szCs w:val="20"/>
          <w:shd w:val="clear" w:color="auto" w:fill="FFFFFF"/>
        </w:rPr>
        <w:t xml:space="preserve">. </w:t>
      </w:r>
    </w:p>
    <w:p w14:paraId="3DDE30C7" w14:textId="77777777" w:rsidR="0028154E" w:rsidRDefault="0028154E" w:rsidP="000A25F5">
      <w:pPr>
        <w:spacing w:after="0" w:line="240" w:lineRule="auto"/>
        <w:jc w:val="both"/>
        <w:rPr>
          <w:rFonts w:ascii="ITC Avant Garde" w:hAnsi="ITC Avant Garde"/>
          <w:color w:val="000000"/>
          <w:sz w:val="20"/>
          <w:szCs w:val="20"/>
          <w:shd w:val="clear" w:color="auto" w:fill="FFFFFF"/>
        </w:rPr>
      </w:pPr>
    </w:p>
    <w:p w14:paraId="32560C95" w14:textId="1779595A" w:rsidR="00E62709" w:rsidRDefault="0028154E" w:rsidP="000A25F5">
      <w:pPr>
        <w:spacing w:after="0" w:line="240" w:lineRule="auto"/>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 xml:space="preserve">A </w:t>
      </w:r>
      <w:r w:rsidR="00CE1375">
        <w:rPr>
          <w:rFonts w:ascii="ITC Avant Garde" w:hAnsi="ITC Avant Garde"/>
          <w:color w:val="000000"/>
          <w:sz w:val="20"/>
          <w:szCs w:val="20"/>
          <w:shd w:val="clear" w:color="auto" w:fill="FFFFFF"/>
        </w:rPr>
        <w:t>continuación,</w:t>
      </w:r>
      <w:r>
        <w:rPr>
          <w:rFonts w:ascii="ITC Avant Garde" w:hAnsi="ITC Avant Garde"/>
          <w:color w:val="000000"/>
          <w:sz w:val="20"/>
          <w:szCs w:val="20"/>
          <w:shd w:val="clear" w:color="auto" w:fill="FFFFFF"/>
        </w:rPr>
        <w:t xml:space="preserve"> se presenta una re</w:t>
      </w:r>
      <w:r w:rsidR="000D1786" w:rsidRPr="00326733">
        <w:rPr>
          <w:rFonts w:ascii="ITC Avant Garde" w:hAnsi="ITC Avant Garde"/>
          <w:color w:val="000000"/>
          <w:sz w:val="20"/>
          <w:szCs w:val="20"/>
          <w:shd w:val="clear" w:color="auto" w:fill="FFFFFF"/>
        </w:rPr>
        <w:t>lación del t</w:t>
      </w:r>
      <w:r w:rsidR="00DD0CED" w:rsidRPr="00326733">
        <w:rPr>
          <w:rFonts w:ascii="ITC Avant Garde" w:hAnsi="ITC Avant Garde"/>
          <w:color w:val="000000"/>
          <w:sz w:val="20"/>
          <w:szCs w:val="20"/>
          <w:shd w:val="clear" w:color="auto" w:fill="FFFFFF"/>
        </w:rPr>
        <w:t>otal de participac</w:t>
      </w:r>
      <w:r w:rsidR="000D1786" w:rsidRPr="00326733">
        <w:rPr>
          <w:rFonts w:ascii="ITC Avant Garde" w:hAnsi="ITC Avant Garde"/>
          <w:color w:val="000000"/>
          <w:sz w:val="20"/>
          <w:szCs w:val="20"/>
          <w:shd w:val="clear" w:color="auto" w:fill="FFFFFF"/>
        </w:rPr>
        <w:t xml:space="preserve">iones recibidas en la </w:t>
      </w:r>
      <w:r w:rsidR="0025469D">
        <w:rPr>
          <w:rFonts w:ascii="ITC Avant Garde" w:hAnsi="ITC Avant Garde"/>
          <w:color w:val="000000"/>
          <w:sz w:val="20"/>
          <w:szCs w:val="20"/>
          <w:shd w:val="clear" w:color="auto" w:fill="FFFFFF"/>
        </w:rPr>
        <w:t>C</w:t>
      </w:r>
      <w:r w:rsidR="000D1786" w:rsidRPr="00326733">
        <w:rPr>
          <w:rFonts w:ascii="ITC Avant Garde" w:hAnsi="ITC Avant Garde"/>
          <w:color w:val="000000"/>
          <w:sz w:val="20"/>
          <w:szCs w:val="20"/>
          <w:shd w:val="clear" w:color="auto" w:fill="FFFFFF"/>
        </w:rPr>
        <w:t xml:space="preserve">onsulta </w:t>
      </w:r>
      <w:r w:rsidR="0025469D">
        <w:rPr>
          <w:rFonts w:ascii="ITC Avant Garde" w:hAnsi="ITC Avant Garde"/>
          <w:color w:val="000000"/>
          <w:sz w:val="20"/>
          <w:szCs w:val="20"/>
          <w:shd w:val="clear" w:color="auto" w:fill="FFFFFF"/>
        </w:rPr>
        <w:t>P</w:t>
      </w:r>
      <w:r w:rsidR="00DD0CED" w:rsidRPr="00326733">
        <w:rPr>
          <w:rFonts w:ascii="ITC Avant Garde" w:hAnsi="ITC Avant Garde"/>
          <w:color w:val="000000"/>
          <w:sz w:val="20"/>
          <w:szCs w:val="20"/>
          <w:shd w:val="clear" w:color="auto" w:fill="FFFFFF"/>
        </w:rPr>
        <w:t>ública</w:t>
      </w:r>
      <w:r w:rsidR="00CE1375">
        <w:rPr>
          <w:rFonts w:ascii="ITC Avant Garde" w:hAnsi="ITC Avant Garde"/>
          <w:color w:val="000000"/>
          <w:sz w:val="20"/>
          <w:szCs w:val="20"/>
          <w:shd w:val="clear" w:color="auto" w:fill="FFFFFF"/>
        </w:rPr>
        <w:t xml:space="preserve"> de Anteproyecto</w:t>
      </w:r>
      <w:r>
        <w:rPr>
          <w:rFonts w:ascii="ITC Avant Garde" w:hAnsi="ITC Avant Garde"/>
          <w:color w:val="000000"/>
          <w:sz w:val="20"/>
          <w:szCs w:val="20"/>
          <w:shd w:val="clear" w:color="auto" w:fill="FFFFFF"/>
        </w:rPr>
        <w:t>, tal como se indica e</w:t>
      </w:r>
      <w:r w:rsidR="00DD0CED" w:rsidRPr="00326733">
        <w:rPr>
          <w:rFonts w:ascii="ITC Avant Garde" w:hAnsi="ITC Avant Garde"/>
          <w:color w:val="000000"/>
          <w:sz w:val="20"/>
          <w:szCs w:val="20"/>
          <w:shd w:val="clear" w:color="auto" w:fill="FFFFFF"/>
        </w:rPr>
        <w:t>n la Tabla 1</w:t>
      </w:r>
      <w:r w:rsidR="00177D25" w:rsidRPr="00326733">
        <w:rPr>
          <w:rFonts w:ascii="ITC Avant Garde" w:hAnsi="ITC Avant Garde"/>
          <w:color w:val="000000"/>
          <w:sz w:val="20"/>
          <w:szCs w:val="20"/>
          <w:shd w:val="clear" w:color="auto" w:fill="FFFFFF"/>
        </w:rPr>
        <w:t>.</w:t>
      </w:r>
    </w:p>
    <w:p w14:paraId="3E730ACE" w14:textId="77777777" w:rsidR="000A25F5" w:rsidRPr="00326733" w:rsidRDefault="000A25F5" w:rsidP="000A25F5">
      <w:pPr>
        <w:spacing w:after="0" w:line="240" w:lineRule="auto"/>
        <w:jc w:val="both"/>
        <w:rPr>
          <w:rFonts w:ascii="ITC Avant Garde" w:hAnsi="ITC Avant Garde"/>
          <w:color w:val="000000"/>
          <w:sz w:val="20"/>
          <w:szCs w:val="20"/>
          <w:shd w:val="clear" w:color="auto" w:fill="FFFFFF"/>
        </w:rPr>
      </w:pPr>
    </w:p>
    <w:tbl>
      <w:tblPr>
        <w:tblStyle w:val="Tabladelista4-nfasis6"/>
        <w:tblW w:w="9211" w:type="dxa"/>
        <w:jc w:val="center"/>
        <w:tblLook w:val="04A0" w:firstRow="1" w:lastRow="0" w:firstColumn="1" w:lastColumn="0" w:noHBand="0" w:noVBand="1"/>
      </w:tblPr>
      <w:tblGrid>
        <w:gridCol w:w="518"/>
        <w:gridCol w:w="1921"/>
        <w:gridCol w:w="2693"/>
        <w:gridCol w:w="1383"/>
        <w:gridCol w:w="1278"/>
        <w:gridCol w:w="1418"/>
      </w:tblGrid>
      <w:tr w:rsidR="00DD0CED" w:rsidRPr="00E05822" w14:paraId="0F625DE1" w14:textId="77777777" w:rsidTr="00E05822">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5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724B6F5" w14:textId="1E487CFF" w:rsidR="00DD0CED" w:rsidRPr="00E05822" w:rsidRDefault="00DD0CED" w:rsidP="00E835EB">
            <w:pPr>
              <w:jc w:val="center"/>
              <w:rPr>
                <w:rFonts w:ascii="ITC Avant Garde" w:eastAsia="Times New Roman" w:hAnsi="ITC Avant Garde" w:cs="Calibri"/>
                <w:bCs w:val="0"/>
                <w:color w:val="FFFFFF"/>
                <w:sz w:val="18"/>
                <w:szCs w:val="18"/>
                <w:lang w:eastAsia="es-MX"/>
              </w:rPr>
            </w:pPr>
            <w:r w:rsidRPr="00E05822">
              <w:rPr>
                <w:rFonts w:ascii="ITC Avant Garde" w:eastAsia="Times New Roman" w:hAnsi="ITC Avant Garde" w:cs="Calibri"/>
                <w:bCs w:val="0"/>
                <w:color w:val="FFFFFF"/>
                <w:sz w:val="18"/>
                <w:szCs w:val="18"/>
                <w:lang w:eastAsia="es-MX"/>
              </w:rPr>
              <w:t>No.</w:t>
            </w:r>
          </w:p>
        </w:tc>
        <w:tc>
          <w:tcPr>
            <w:tcW w:w="19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vAlign w:val="center"/>
            <w:hideMark/>
          </w:tcPr>
          <w:p w14:paraId="03E67320" w14:textId="14B0366D" w:rsidR="00DD0CED" w:rsidRPr="00E05822"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8"/>
                <w:szCs w:val="18"/>
                <w:lang w:eastAsia="es-MX"/>
              </w:rPr>
            </w:pPr>
            <w:r w:rsidRPr="00E05822">
              <w:rPr>
                <w:rFonts w:ascii="ITC Avant Garde" w:eastAsia="Times New Roman" w:hAnsi="ITC Avant Garde" w:cs="Calibri"/>
                <w:color w:val="FFFFFF"/>
                <w:sz w:val="18"/>
                <w:szCs w:val="18"/>
                <w:lang w:eastAsia="es-MX"/>
              </w:rPr>
              <w:t>Folio</w:t>
            </w:r>
          </w:p>
        </w:tc>
        <w:tc>
          <w:tcPr>
            <w:tcW w:w="26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vAlign w:val="center"/>
            <w:hideMark/>
          </w:tcPr>
          <w:p w14:paraId="3ADB352B" w14:textId="77777777" w:rsidR="00DD0CED" w:rsidRPr="00E05822"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8"/>
                <w:szCs w:val="18"/>
                <w:lang w:eastAsia="es-MX"/>
              </w:rPr>
            </w:pPr>
            <w:r w:rsidRPr="00E05822">
              <w:rPr>
                <w:rFonts w:ascii="ITC Avant Garde" w:eastAsia="Times New Roman" w:hAnsi="ITC Avant Garde" w:cs="Calibri"/>
                <w:color w:val="FFFFFF"/>
                <w:sz w:val="18"/>
                <w:szCs w:val="18"/>
                <w:lang w:eastAsia="es-MX"/>
              </w:rPr>
              <w:t>Nombre, razón o denominación social</w:t>
            </w:r>
          </w:p>
        </w:tc>
        <w:tc>
          <w:tcPr>
            <w:tcW w:w="138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61491C48" w14:textId="77777777" w:rsidR="00DD0CED" w:rsidRPr="00E05822"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8"/>
                <w:szCs w:val="18"/>
                <w:lang w:eastAsia="es-MX"/>
              </w:rPr>
            </w:pPr>
            <w:r w:rsidRPr="00E05822">
              <w:rPr>
                <w:rFonts w:ascii="ITC Avant Garde" w:eastAsia="Times New Roman" w:hAnsi="ITC Avant Garde" w:cs="Calibri"/>
                <w:color w:val="FFFFFF"/>
                <w:sz w:val="18"/>
                <w:szCs w:val="18"/>
                <w:lang w:eastAsia="es-MX"/>
              </w:rPr>
              <w:t>Medio de recepción</w:t>
            </w:r>
          </w:p>
        </w:tc>
        <w:tc>
          <w:tcPr>
            <w:tcW w:w="12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4CCEDE88" w14:textId="77777777" w:rsidR="00DD0CED" w:rsidRPr="00E05822"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8"/>
                <w:szCs w:val="18"/>
                <w:lang w:eastAsia="es-MX"/>
              </w:rPr>
            </w:pPr>
            <w:r w:rsidRPr="00E05822">
              <w:rPr>
                <w:rFonts w:ascii="ITC Avant Garde" w:eastAsia="Times New Roman" w:hAnsi="ITC Avant Garde" w:cs="Calibri"/>
                <w:color w:val="FFFFFF"/>
                <w:sz w:val="18"/>
                <w:szCs w:val="18"/>
                <w:lang w:eastAsia="es-MX"/>
              </w:rPr>
              <w:t>Fecha de recepción</w:t>
            </w:r>
          </w:p>
        </w:tc>
        <w:tc>
          <w:tcPr>
            <w:tcW w:w="14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373BE238" w14:textId="77777777" w:rsidR="00DD0CED" w:rsidRPr="00E05822"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8"/>
                <w:szCs w:val="18"/>
                <w:lang w:eastAsia="es-MX"/>
              </w:rPr>
            </w:pPr>
            <w:r w:rsidRPr="00E05822">
              <w:rPr>
                <w:rFonts w:ascii="ITC Avant Garde" w:eastAsia="Times New Roman" w:hAnsi="ITC Avant Garde" w:cs="Calibri"/>
                <w:color w:val="FFFFFF"/>
                <w:sz w:val="18"/>
                <w:szCs w:val="18"/>
                <w:lang w:eastAsia="es-MX"/>
              </w:rPr>
              <w:t>Hora de recepción</w:t>
            </w:r>
          </w:p>
        </w:tc>
      </w:tr>
      <w:tr w:rsidR="00CA0A46" w:rsidRPr="00E05822" w14:paraId="2A371A9F" w14:textId="77777777" w:rsidTr="00CA0A46">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518" w:type="dxa"/>
            <w:tcBorders>
              <w:top w:val="single" w:sz="12" w:space="0" w:color="FFFFFF" w:themeColor="background1"/>
              <w:left w:val="single" w:sz="4" w:space="0" w:color="70AD47" w:themeColor="accent6"/>
              <w:right w:val="single" w:sz="4" w:space="0" w:color="70AD47" w:themeColor="accent6"/>
            </w:tcBorders>
            <w:vAlign w:val="center"/>
          </w:tcPr>
          <w:p w14:paraId="1971729D" w14:textId="6277EB73" w:rsidR="00CA0A46" w:rsidRPr="00E05822" w:rsidRDefault="00CA0A46" w:rsidP="00CA0A46">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1</w:t>
            </w:r>
          </w:p>
        </w:tc>
        <w:tc>
          <w:tcPr>
            <w:tcW w:w="1921" w:type="dxa"/>
            <w:tcBorders>
              <w:top w:val="single" w:sz="12" w:space="0" w:color="FFFFFF" w:themeColor="background1"/>
              <w:left w:val="single" w:sz="4" w:space="0" w:color="70AD47" w:themeColor="accent6"/>
              <w:right w:val="single" w:sz="4" w:space="0" w:color="70AD47" w:themeColor="accent6"/>
            </w:tcBorders>
            <w:noWrap/>
          </w:tcPr>
          <w:p w14:paraId="4BB84AEB" w14:textId="1E529FBE"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hAnsi="ITC Avant Garde"/>
                <w:sz w:val="18"/>
                <w:szCs w:val="18"/>
              </w:rPr>
              <w:t>20240626-CP_CNAF-001</w:t>
            </w:r>
          </w:p>
        </w:tc>
        <w:tc>
          <w:tcPr>
            <w:tcW w:w="2693" w:type="dxa"/>
            <w:tcBorders>
              <w:top w:val="single" w:sz="12" w:space="0" w:color="FFFFFF" w:themeColor="background1"/>
              <w:left w:val="single" w:sz="4" w:space="0" w:color="70AD47" w:themeColor="accent6"/>
              <w:right w:val="single" w:sz="4" w:space="0" w:color="70AD47" w:themeColor="accent6"/>
            </w:tcBorders>
            <w:vAlign w:val="center"/>
          </w:tcPr>
          <w:p w14:paraId="781EEC77" w14:textId="068AAE1E"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 xml:space="preserve">SES </w:t>
            </w:r>
            <w:proofErr w:type="spellStart"/>
            <w:r w:rsidRPr="00E05822">
              <w:rPr>
                <w:rFonts w:ascii="ITC Avant Garde" w:hAnsi="ITC Avant Garde"/>
                <w:sz w:val="18"/>
                <w:szCs w:val="18"/>
              </w:rPr>
              <w:t>Mexico</w:t>
            </w:r>
            <w:proofErr w:type="spellEnd"/>
            <w:r w:rsidRPr="00E05822">
              <w:rPr>
                <w:rFonts w:ascii="ITC Avant Garde" w:hAnsi="ITC Avant Garde"/>
                <w:sz w:val="18"/>
                <w:szCs w:val="18"/>
              </w:rPr>
              <w:t>, S. de R.L. de C.V.</w:t>
            </w:r>
          </w:p>
        </w:tc>
        <w:tc>
          <w:tcPr>
            <w:tcW w:w="1383" w:type="dxa"/>
            <w:tcBorders>
              <w:top w:val="single" w:sz="12" w:space="0" w:color="FFFFFF" w:themeColor="background1"/>
              <w:left w:val="single" w:sz="4" w:space="0" w:color="70AD47" w:themeColor="accent6"/>
              <w:right w:val="single" w:sz="4" w:space="0" w:color="70AD47" w:themeColor="accent6"/>
            </w:tcBorders>
            <w:noWrap/>
            <w:vAlign w:val="center"/>
          </w:tcPr>
          <w:p w14:paraId="3177F968" w14:textId="7F283262"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eastAsia="Times New Roman" w:hAnsi="ITC Avant Garde" w:cs="Calibri"/>
                <w:color w:val="000000"/>
                <w:sz w:val="18"/>
                <w:szCs w:val="18"/>
                <w:lang w:eastAsia="es-MX"/>
              </w:rPr>
              <w:t>Correo electrónico</w:t>
            </w:r>
          </w:p>
        </w:tc>
        <w:tc>
          <w:tcPr>
            <w:tcW w:w="1278" w:type="dxa"/>
            <w:tcBorders>
              <w:top w:val="single" w:sz="12" w:space="0" w:color="FFFFFF" w:themeColor="background1"/>
              <w:left w:val="single" w:sz="4" w:space="0" w:color="70AD47" w:themeColor="accent6"/>
              <w:right w:val="single" w:sz="4" w:space="0" w:color="70AD47" w:themeColor="accent6"/>
            </w:tcBorders>
            <w:noWrap/>
            <w:vAlign w:val="center"/>
          </w:tcPr>
          <w:p w14:paraId="62A7E093" w14:textId="69893905"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26 de junio de 2024</w:t>
            </w:r>
          </w:p>
        </w:tc>
        <w:tc>
          <w:tcPr>
            <w:tcW w:w="1418" w:type="dxa"/>
            <w:tcBorders>
              <w:top w:val="single" w:sz="12" w:space="0" w:color="FFFFFF" w:themeColor="background1"/>
              <w:left w:val="single" w:sz="4" w:space="0" w:color="70AD47" w:themeColor="accent6"/>
              <w:right w:val="single" w:sz="4" w:space="0" w:color="70AD47" w:themeColor="accent6"/>
            </w:tcBorders>
            <w:noWrap/>
            <w:vAlign w:val="center"/>
          </w:tcPr>
          <w:p w14:paraId="5D5F406A" w14:textId="0B904860"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03:42 p. m.</w:t>
            </w:r>
          </w:p>
        </w:tc>
      </w:tr>
      <w:tr w:rsidR="00CA0A46" w:rsidRPr="00E05822" w14:paraId="38FDE3FC" w14:textId="77777777" w:rsidTr="00CA0A46">
        <w:trPr>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4D6BD312" w14:textId="2D907524" w:rsidR="00CA0A46" w:rsidRPr="00E05822" w:rsidRDefault="00CA0A46" w:rsidP="00CA0A46">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2</w:t>
            </w:r>
          </w:p>
        </w:tc>
        <w:tc>
          <w:tcPr>
            <w:tcW w:w="1921" w:type="dxa"/>
            <w:tcBorders>
              <w:left w:val="single" w:sz="4" w:space="0" w:color="70AD47" w:themeColor="accent6"/>
              <w:right w:val="single" w:sz="4" w:space="0" w:color="70AD47" w:themeColor="accent6"/>
            </w:tcBorders>
            <w:noWrap/>
          </w:tcPr>
          <w:p w14:paraId="3C8D480F" w14:textId="62C70681"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hAnsi="ITC Avant Garde"/>
                <w:sz w:val="18"/>
                <w:szCs w:val="18"/>
              </w:rPr>
              <w:t>20240626-CP_CNAF-002</w:t>
            </w:r>
          </w:p>
        </w:tc>
        <w:tc>
          <w:tcPr>
            <w:tcW w:w="2693" w:type="dxa"/>
            <w:tcBorders>
              <w:left w:val="single" w:sz="4" w:space="0" w:color="70AD47" w:themeColor="accent6"/>
              <w:right w:val="single" w:sz="4" w:space="0" w:color="70AD47" w:themeColor="accent6"/>
            </w:tcBorders>
            <w:vAlign w:val="center"/>
          </w:tcPr>
          <w:p w14:paraId="13123E38" w14:textId="114657F8" w:rsidR="00CA0A46" w:rsidRPr="00AE1BDF"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fr-FR"/>
              </w:rPr>
            </w:pPr>
            <w:r w:rsidRPr="00AE1BDF">
              <w:rPr>
                <w:rFonts w:ascii="ITC Avant Garde" w:hAnsi="ITC Avant Garde"/>
                <w:sz w:val="18"/>
                <w:szCs w:val="18"/>
                <w:lang w:val="fr-FR"/>
              </w:rPr>
              <w:t>QUETZSAT, S. DE R.L. DE C.V.</w:t>
            </w:r>
          </w:p>
        </w:tc>
        <w:tc>
          <w:tcPr>
            <w:tcW w:w="1383" w:type="dxa"/>
            <w:tcBorders>
              <w:left w:val="single" w:sz="4" w:space="0" w:color="70AD47" w:themeColor="accent6"/>
              <w:right w:val="single" w:sz="4" w:space="0" w:color="70AD47" w:themeColor="accent6"/>
            </w:tcBorders>
            <w:noWrap/>
          </w:tcPr>
          <w:p w14:paraId="3DE9AADC" w14:textId="3F40B83D"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val="fr-FR" w:eastAsia="es-MX"/>
              </w:rPr>
            </w:pPr>
            <w:r w:rsidRPr="008B6838">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484C7C75" w14:textId="4B92A1BB" w:rsidR="00CA0A46" w:rsidRPr="00CA0A46"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26 de junio de 2024</w:t>
            </w:r>
          </w:p>
        </w:tc>
        <w:tc>
          <w:tcPr>
            <w:tcW w:w="1418" w:type="dxa"/>
            <w:tcBorders>
              <w:left w:val="single" w:sz="4" w:space="0" w:color="70AD47" w:themeColor="accent6"/>
            </w:tcBorders>
            <w:noWrap/>
            <w:vAlign w:val="center"/>
          </w:tcPr>
          <w:p w14:paraId="394F79BC" w14:textId="74F924A8" w:rsidR="00CA0A46" w:rsidRPr="00CA0A46"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03:4</w:t>
            </w:r>
            <w:r>
              <w:rPr>
                <w:rFonts w:ascii="ITC Avant Garde" w:eastAsia="Times New Roman" w:hAnsi="ITC Avant Garde" w:cs="Calibri"/>
                <w:color w:val="000000"/>
                <w:sz w:val="18"/>
                <w:szCs w:val="18"/>
                <w:lang w:eastAsia="es-MX"/>
              </w:rPr>
              <w:t>3</w:t>
            </w:r>
            <w:r w:rsidRPr="00CA0A46">
              <w:rPr>
                <w:rFonts w:ascii="ITC Avant Garde" w:eastAsia="Times New Roman" w:hAnsi="ITC Avant Garde" w:cs="Calibri"/>
                <w:color w:val="000000"/>
                <w:sz w:val="18"/>
                <w:szCs w:val="18"/>
                <w:lang w:eastAsia="es-MX"/>
              </w:rPr>
              <w:t xml:space="preserve"> p. m.</w:t>
            </w:r>
          </w:p>
        </w:tc>
      </w:tr>
      <w:tr w:rsidR="00CA0A46" w:rsidRPr="00E05822" w14:paraId="1A930AAC" w14:textId="77777777" w:rsidTr="00CA0A46">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7D4C262B" w14:textId="4910F4A3" w:rsidR="00CA0A46" w:rsidRPr="00E05822" w:rsidRDefault="00CA0A46" w:rsidP="00CA0A46">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3</w:t>
            </w:r>
          </w:p>
        </w:tc>
        <w:tc>
          <w:tcPr>
            <w:tcW w:w="1921" w:type="dxa"/>
            <w:tcBorders>
              <w:left w:val="single" w:sz="4" w:space="0" w:color="70AD47" w:themeColor="accent6"/>
              <w:right w:val="single" w:sz="4" w:space="0" w:color="70AD47" w:themeColor="accent6"/>
            </w:tcBorders>
            <w:noWrap/>
          </w:tcPr>
          <w:p w14:paraId="6D6127FE" w14:textId="0851627A"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hAnsi="ITC Avant Garde"/>
                <w:sz w:val="18"/>
                <w:szCs w:val="18"/>
              </w:rPr>
              <w:t>20240626-CP_CNAF-003</w:t>
            </w:r>
          </w:p>
        </w:tc>
        <w:tc>
          <w:tcPr>
            <w:tcW w:w="2693" w:type="dxa"/>
            <w:tcBorders>
              <w:left w:val="single" w:sz="4" w:space="0" w:color="70AD47" w:themeColor="accent6"/>
              <w:right w:val="single" w:sz="4" w:space="0" w:color="70AD47" w:themeColor="accent6"/>
            </w:tcBorders>
            <w:vAlign w:val="center"/>
          </w:tcPr>
          <w:p w14:paraId="43483C86" w14:textId="52A978DE"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CANIETI</w:t>
            </w:r>
          </w:p>
        </w:tc>
        <w:tc>
          <w:tcPr>
            <w:tcW w:w="1383" w:type="dxa"/>
            <w:tcBorders>
              <w:left w:val="single" w:sz="4" w:space="0" w:color="70AD47" w:themeColor="accent6"/>
              <w:right w:val="single" w:sz="4" w:space="0" w:color="70AD47" w:themeColor="accent6"/>
            </w:tcBorders>
            <w:noWrap/>
          </w:tcPr>
          <w:p w14:paraId="4546C742" w14:textId="30E8E4FC"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8B6838">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4756FC01" w14:textId="535354C1"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26 de junio de 2024</w:t>
            </w:r>
          </w:p>
        </w:tc>
        <w:tc>
          <w:tcPr>
            <w:tcW w:w="1418" w:type="dxa"/>
            <w:tcBorders>
              <w:left w:val="single" w:sz="4" w:space="0" w:color="70AD47" w:themeColor="accent6"/>
            </w:tcBorders>
            <w:noWrap/>
            <w:vAlign w:val="center"/>
          </w:tcPr>
          <w:p w14:paraId="6F0E81B6" w14:textId="4FFA45AE"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03:4</w:t>
            </w:r>
            <w:r>
              <w:rPr>
                <w:rFonts w:ascii="ITC Avant Garde" w:eastAsia="Times New Roman" w:hAnsi="ITC Avant Garde" w:cs="Calibri"/>
                <w:color w:val="000000"/>
                <w:sz w:val="18"/>
                <w:szCs w:val="18"/>
                <w:lang w:eastAsia="es-MX"/>
              </w:rPr>
              <w:t>7</w:t>
            </w:r>
            <w:r w:rsidRPr="00CA0A46">
              <w:rPr>
                <w:rFonts w:ascii="ITC Avant Garde" w:eastAsia="Times New Roman" w:hAnsi="ITC Avant Garde" w:cs="Calibri"/>
                <w:color w:val="000000"/>
                <w:sz w:val="18"/>
                <w:szCs w:val="18"/>
                <w:lang w:eastAsia="es-MX"/>
              </w:rPr>
              <w:t xml:space="preserve"> p. m.</w:t>
            </w:r>
          </w:p>
        </w:tc>
      </w:tr>
      <w:tr w:rsidR="00CA0A46" w:rsidRPr="00E05822" w14:paraId="359E69BB" w14:textId="77777777" w:rsidTr="00CA0A46">
        <w:trPr>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643546E6" w14:textId="2A85F638" w:rsidR="00CA0A46" w:rsidRPr="00E05822" w:rsidRDefault="00CA0A46" w:rsidP="00CA0A46">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4</w:t>
            </w:r>
          </w:p>
        </w:tc>
        <w:tc>
          <w:tcPr>
            <w:tcW w:w="1921" w:type="dxa"/>
            <w:tcBorders>
              <w:left w:val="single" w:sz="4" w:space="0" w:color="70AD47" w:themeColor="accent6"/>
              <w:right w:val="single" w:sz="4" w:space="0" w:color="70AD47" w:themeColor="accent6"/>
            </w:tcBorders>
            <w:noWrap/>
          </w:tcPr>
          <w:p w14:paraId="6AEDD366" w14:textId="353B8D1B"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hAnsi="ITC Avant Garde"/>
                <w:sz w:val="18"/>
                <w:szCs w:val="18"/>
              </w:rPr>
              <w:t>20240627-CP_CNAF-004</w:t>
            </w:r>
          </w:p>
        </w:tc>
        <w:tc>
          <w:tcPr>
            <w:tcW w:w="2693" w:type="dxa"/>
            <w:tcBorders>
              <w:left w:val="single" w:sz="4" w:space="0" w:color="70AD47" w:themeColor="accent6"/>
              <w:right w:val="single" w:sz="4" w:space="0" w:color="70AD47" w:themeColor="accent6"/>
            </w:tcBorders>
            <w:vAlign w:val="center"/>
          </w:tcPr>
          <w:p w14:paraId="7BE674D6" w14:textId="77777777"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Matthew Evans</w:t>
            </w:r>
          </w:p>
          <w:p w14:paraId="40D3D4D5" w14:textId="531D21B7"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(Título Personal)</w:t>
            </w:r>
          </w:p>
        </w:tc>
        <w:tc>
          <w:tcPr>
            <w:tcW w:w="1383" w:type="dxa"/>
            <w:tcBorders>
              <w:left w:val="single" w:sz="4" w:space="0" w:color="70AD47" w:themeColor="accent6"/>
              <w:right w:val="single" w:sz="4" w:space="0" w:color="70AD47" w:themeColor="accent6"/>
            </w:tcBorders>
            <w:noWrap/>
          </w:tcPr>
          <w:p w14:paraId="1998D50F" w14:textId="71A575CE"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8B6838">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17326696" w14:textId="24C94117"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27 de junio de 2024</w:t>
            </w:r>
          </w:p>
        </w:tc>
        <w:tc>
          <w:tcPr>
            <w:tcW w:w="1418" w:type="dxa"/>
            <w:tcBorders>
              <w:left w:val="single" w:sz="4" w:space="0" w:color="70AD47" w:themeColor="accent6"/>
            </w:tcBorders>
            <w:noWrap/>
            <w:vAlign w:val="center"/>
          </w:tcPr>
          <w:p w14:paraId="03963C92" w14:textId="49F21139"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10:09 a. m.</w:t>
            </w:r>
          </w:p>
        </w:tc>
      </w:tr>
      <w:tr w:rsidR="00CA0A46" w:rsidRPr="00E05822" w14:paraId="68C2F7FA" w14:textId="77777777" w:rsidTr="00CA0A46">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2F9AE965" w14:textId="7043967C" w:rsidR="00CA0A46" w:rsidRPr="00E05822" w:rsidRDefault="00CA0A46" w:rsidP="00CA0A46">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5</w:t>
            </w:r>
          </w:p>
        </w:tc>
        <w:tc>
          <w:tcPr>
            <w:tcW w:w="1921" w:type="dxa"/>
            <w:tcBorders>
              <w:left w:val="single" w:sz="4" w:space="0" w:color="70AD47" w:themeColor="accent6"/>
              <w:right w:val="single" w:sz="4" w:space="0" w:color="70AD47" w:themeColor="accent6"/>
            </w:tcBorders>
            <w:noWrap/>
          </w:tcPr>
          <w:p w14:paraId="64F88B0D" w14:textId="48A113C8"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hAnsi="ITC Avant Garde"/>
                <w:sz w:val="18"/>
                <w:szCs w:val="18"/>
              </w:rPr>
              <w:t>20240628-CP_CNAF-005</w:t>
            </w:r>
          </w:p>
        </w:tc>
        <w:tc>
          <w:tcPr>
            <w:tcW w:w="2693" w:type="dxa"/>
            <w:tcBorders>
              <w:left w:val="single" w:sz="4" w:space="0" w:color="70AD47" w:themeColor="accent6"/>
              <w:right w:val="single" w:sz="4" w:space="0" w:color="70AD47" w:themeColor="accent6"/>
            </w:tcBorders>
            <w:vAlign w:val="center"/>
          </w:tcPr>
          <w:p w14:paraId="2DFB56E1" w14:textId="62EFA911"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roofErr w:type="spellStart"/>
            <w:r w:rsidRPr="00E05822">
              <w:rPr>
                <w:rFonts w:ascii="ITC Avant Garde" w:hAnsi="ITC Avant Garde"/>
                <w:sz w:val="18"/>
                <w:szCs w:val="18"/>
              </w:rPr>
              <w:t>Starlink</w:t>
            </w:r>
            <w:proofErr w:type="spellEnd"/>
            <w:r w:rsidRPr="00E05822">
              <w:rPr>
                <w:rFonts w:ascii="ITC Avant Garde" w:hAnsi="ITC Avant Garde"/>
                <w:sz w:val="18"/>
                <w:szCs w:val="18"/>
              </w:rPr>
              <w:t xml:space="preserve"> </w:t>
            </w:r>
            <w:proofErr w:type="spellStart"/>
            <w:r w:rsidRPr="00E05822">
              <w:rPr>
                <w:rFonts w:ascii="ITC Avant Garde" w:hAnsi="ITC Avant Garde"/>
                <w:sz w:val="18"/>
                <w:szCs w:val="18"/>
              </w:rPr>
              <w:t>Satellite</w:t>
            </w:r>
            <w:proofErr w:type="spellEnd"/>
            <w:r w:rsidRPr="00E05822">
              <w:rPr>
                <w:rFonts w:ascii="ITC Avant Garde" w:hAnsi="ITC Avant Garde"/>
                <w:sz w:val="18"/>
                <w:szCs w:val="18"/>
              </w:rPr>
              <w:t xml:space="preserve"> </w:t>
            </w:r>
            <w:proofErr w:type="spellStart"/>
            <w:r w:rsidRPr="00E05822">
              <w:rPr>
                <w:rFonts w:ascii="ITC Avant Garde" w:hAnsi="ITC Avant Garde"/>
                <w:sz w:val="18"/>
                <w:szCs w:val="18"/>
              </w:rPr>
              <w:t>Systems</w:t>
            </w:r>
            <w:proofErr w:type="spellEnd"/>
            <w:r w:rsidRPr="00E05822">
              <w:rPr>
                <w:rFonts w:ascii="ITC Avant Garde" w:hAnsi="ITC Avant Garde"/>
                <w:sz w:val="18"/>
                <w:szCs w:val="18"/>
              </w:rPr>
              <w:t xml:space="preserve"> México, S. De R.L. De C.V.</w:t>
            </w:r>
          </w:p>
        </w:tc>
        <w:tc>
          <w:tcPr>
            <w:tcW w:w="1383" w:type="dxa"/>
            <w:tcBorders>
              <w:left w:val="single" w:sz="4" w:space="0" w:color="70AD47" w:themeColor="accent6"/>
              <w:right w:val="single" w:sz="4" w:space="0" w:color="70AD47" w:themeColor="accent6"/>
            </w:tcBorders>
            <w:noWrap/>
          </w:tcPr>
          <w:p w14:paraId="1E40B175" w14:textId="73A54D01"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8B6838">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32E4A66D" w14:textId="0D255696"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28 de junio de 2024</w:t>
            </w:r>
          </w:p>
        </w:tc>
        <w:tc>
          <w:tcPr>
            <w:tcW w:w="1418" w:type="dxa"/>
            <w:tcBorders>
              <w:left w:val="single" w:sz="4" w:space="0" w:color="70AD47" w:themeColor="accent6"/>
            </w:tcBorders>
            <w:noWrap/>
            <w:vAlign w:val="center"/>
          </w:tcPr>
          <w:p w14:paraId="08D18409" w14:textId="701D8FB8" w:rsidR="00CA0A46" w:rsidRPr="00E05822" w:rsidRDefault="00CA0A46" w:rsidP="00CA0A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09:01 a. m.</w:t>
            </w:r>
          </w:p>
        </w:tc>
      </w:tr>
      <w:tr w:rsidR="00CA0A46" w:rsidRPr="00E05822" w14:paraId="4D6EB64E" w14:textId="77777777" w:rsidTr="00CA0A46">
        <w:trPr>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160CF385" w14:textId="6BF11293" w:rsidR="00CA0A46" w:rsidRPr="00E05822" w:rsidRDefault="00CA0A46" w:rsidP="00CA0A46">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6</w:t>
            </w:r>
          </w:p>
        </w:tc>
        <w:tc>
          <w:tcPr>
            <w:tcW w:w="1921" w:type="dxa"/>
            <w:tcBorders>
              <w:left w:val="single" w:sz="4" w:space="0" w:color="70AD47" w:themeColor="accent6"/>
              <w:right w:val="single" w:sz="4" w:space="0" w:color="70AD47" w:themeColor="accent6"/>
            </w:tcBorders>
            <w:noWrap/>
          </w:tcPr>
          <w:p w14:paraId="09E6F7A2" w14:textId="6680CABA"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hAnsi="ITC Avant Garde"/>
                <w:sz w:val="18"/>
                <w:szCs w:val="18"/>
              </w:rPr>
              <w:t>20240628-CP_CNAF-006</w:t>
            </w:r>
          </w:p>
        </w:tc>
        <w:tc>
          <w:tcPr>
            <w:tcW w:w="2693" w:type="dxa"/>
            <w:tcBorders>
              <w:left w:val="single" w:sz="4" w:space="0" w:color="70AD47" w:themeColor="accent6"/>
              <w:right w:val="single" w:sz="4" w:space="0" w:color="70AD47" w:themeColor="accent6"/>
            </w:tcBorders>
            <w:vAlign w:val="center"/>
          </w:tcPr>
          <w:p w14:paraId="7CB6ABCF" w14:textId="1F35E744"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AT&amp;T</w:t>
            </w:r>
          </w:p>
        </w:tc>
        <w:tc>
          <w:tcPr>
            <w:tcW w:w="1383" w:type="dxa"/>
            <w:tcBorders>
              <w:left w:val="single" w:sz="4" w:space="0" w:color="70AD47" w:themeColor="accent6"/>
              <w:right w:val="single" w:sz="4" w:space="0" w:color="70AD47" w:themeColor="accent6"/>
            </w:tcBorders>
            <w:noWrap/>
          </w:tcPr>
          <w:p w14:paraId="06EA199E" w14:textId="2788123B"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8B6838">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5DE567C9" w14:textId="31663E52"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28 de junio de 2024</w:t>
            </w:r>
          </w:p>
        </w:tc>
        <w:tc>
          <w:tcPr>
            <w:tcW w:w="1418" w:type="dxa"/>
            <w:tcBorders>
              <w:left w:val="single" w:sz="4" w:space="0" w:color="70AD47" w:themeColor="accent6"/>
            </w:tcBorders>
            <w:noWrap/>
            <w:vAlign w:val="center"/>
          </w:tcPr>
          <w:p w14:paraId="44CB7C5C" w14:textId="65C5835B" w:rsidR="00CA0A46" w:rsidRPr="00E05822" w:rsidRDefault="00CA0A46" w:rsidP="00CA0A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10:40 a. m.</w:t>
            </w:r>
          </w:p>
        </w:tc>
      </w:tr>
      <w:tr w:rsidR="00E05822" w:rsidRPr="00E05822" w14:paraId="0DD3ECD0" w14:textId="77777777" w:rsidTr="00E05822">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450FC514" w14:textId="1A62713D" w:rsidR="00E05822" w:rsidRPr="00E05822" w:rsidRDefault="00E05822" w:rsidP="00E05822">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7</w:t>
            </w:r>
          </w:p>
        </w:tc>
        <w:tc>
          <w:tcPr>
            <w:tcW w:w="1921" w:type="dxa"/>
            <w:tcBorders>
              <w:left w:val="single" w:sz="4" w:space="0" w:color="70AD47" w:themeColor="accent6"/>
              <w:right w:val="single" w:sz="4" w:space="0" w:color="70AD47" w:themeColor="accent6"/>
            </w:tcBorders>
            <w:noWrap/>
          </w:tcPr>
          <w:p w14:paraId="090874E6" w14:textId="2D21C2B9" w:rsidR="00E05822" w:rsidRPr="00E05822"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20240628-CP_CNAF-007</w:t>
            </w:r>
          </w:p>
        </w:tc>
        <w:tc>
          <w:tcPr>
            <w:tcW w:w="2693" w:type="dxa"/>
            <w:tcBorders>
              <w:left w:val="single" w:sz="4" w:space="0" w:color="70AD47" w:themeColor="accent6"/>
              <w:right w:val="single" w:sz="4" w:space="0" w:color="70AD47" w:themeColor="accent6"/>
            </w:tcBorders>
            <w:vAlign w:val="center"/>
          </w:tcPr>
          <w:p w14:paraId="247963DD" w14:textId="4FAA8AE1" w:rsidR="00E05822" w:rsidRPr="00E05822"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proofErr w:type="spellStart"/>
            <w:r w:rsidRPr="00E05822">
              <w:rPr>
                <w:rFonts w:ascii="ITC Avant Garde" w:eastAsia="Times New Roman" w:hAnsi="ITC Avant Garde" w:cs="Calibri"/>
                <w:color w:val="000000"/>
                <w:sz w:val="18"/>
                <w:szCs w:val="18"/>
                <w:lang w:eastAsia="es-MX"/>
              </w:rPr>
              <w:t>Satelites</w:t>
            </w:r>
            <w:proofErr w:type="spellEnd"/>
            <w:r w:rsidRPr="00E05822">
              <w:rPr>
                <w:rFonts w:ascii="ITC Avant Garde" w:eastAsia="Times New Roman" w:hAnsi="ITC Avant Garde" w:cs="Calibri"/>
                <w:color w:val="000000"/>
                <w:sz w:val="18"/>
                <w:szCs w:val="18"/>
                <w:lang w:eastAsia="es-MX"/>
              </w:rPr>
              <w:t xml:space="preserve"> Mexicanos, S.A. De C.V.</w:t>
            </w:r>
          </w:p>
        </w:tc>
        <w:tc>
          <w:tcPr>
            <w:tcW w:w="1383" w:type="dxa"/>
            <w:tcBorders>
              <w:left w:val="single" w:sz="4" w:space="0" w:color="70AD47" w:themeColor="accent6"/>
              <w:right w:val="single" w:sz="4" w:space="0" w:color="70AD47" w:themeColor="accent6"/>
            </w:tcBorders>
            <w:noWrap/>
            <w:vAlign w:val="center"/>
          </w:tcPr>
          <w:p w14:paraId="5FF8D3A0" w14:textId="6B0E10F9" w:rsidR="00E05822" w:rsidRPr="00E05822"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A95E7E">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67DB7FC2" w14:textId="5A711FAC" w:rsidR="00E05822" w:rsidRPr="00E05822" w:rsidRDefault="00CA0A46"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28 de junio de 2024</w:t>
            </w:r>
          </w:p>
        </w:tc>
        <w:tc>
          <w:tcPr>
            <w:tcW w:w="1418" w:type="dxa"/>
            <w:tcBorders>
              <w:left w:val="single" w:sz="4" w:space="0" w:color="70AD47" w:themeColor="accent6"/>
            </w:tcBorders>
            <w:noWrap/>
            <w:vAlign w:val="center"/>
          </w:tcPr>
          <w:p w14:paraId="6AC11F20" w14:textId="67E466FF" w:rsidR="00E05822" w:rsidRPr="00E05822" w:rsidRDefault="00CA0A46"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11:06 a. m.</w:t>
            </w:r>
          </w:p>
        </w:tc>
      </w:tr>
      <w:tr w:rsidR="00E05822" w:rsidRPr="00E05822" w14:paraId="399CC5A5" w14:textId="77777777" w:rsidTr="00E05822">
        <w:trPr>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2437925B" w14:textId="4BA3C987" w:rsidR="00E05822" w:rsidRPr="00E05822" w:rsidRDefault="00E05822" w:rsidP="00E05822">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8</w:t>
            </w:r>
          </w:p>
        </w:tc>
        <w:tc>
          <w:tcPr>
            <w:tcW w:w="1921" w:type="dxa"/>
            <w:tcBorders>
              <w:left w:val="single" w:sz="4" w:space="0" w:color="70AD47" w:themeColor="accent6"/>
              <w:right w:val="single" w:sz="4" w:space="0" w:color="70AD47" w:themeColor="accent6"/>
            </w:tcBorders>
            <w:noWrap/>
          </w:tcPr>
          <w:p w14:paraId="02F6700C" w14:textId="0337F7FF" w:rsidR="00E05822" w:rsidRPr="00E05822" w:rsidRDefault="00E05822" w:rsidP="00E0582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20240628-CP_CNAF-008</w:t>
            </w:r>
          </w:p>
        </w:tc>
        <w:tc>
          <w:tcPr>
            <w:tcW w:w="2693" w:type="dxa"/>
            <w:tcBorders>
              <w:left w:val="single" w:sz="4" w:space="0" w:color="70AD47" w:themeColor="accent6"/>
              <w:right w:val="single" w:sz="4" w:space="0" w:color="70AD47" w:themeColor="accent6"/>
            </w:tcBorders>
            <w:vAlign w:val="center"/>
          </w:tcPr>
          <w:p w14:paraId="43353EAC" w14:textId="5C9EAACF" w:rsidR="00E05822" w:rsidRPr="00E05822" w:rsidRDefault="00E05822"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proofErr w:type="spellStart"/>
            <w:r w:rsidRPr="00E05822">
              <w:rPr>
                <w:rFonts w:ascii="ITC Avant Garde" w:eastAsia="Times New Roman" w:hAnsi="ITC Avant Garde" w:cs="Calibri"/>
                <w:color w:val="000000"/>
                <w:sz w:val="18"/>
                <w:szCs w:val="18"/>
                <w:lang w:eastAsia="es-MX"/>
              </w:rPr>
              <w:t>Viasat</w:t>
            </w:r>
            <w:proofErr w:type="spellEnd"/>
            <w:r w:rsidRPr="00E05822">
              <w:rPr>
                <w:rFonts w:ascii="ITC Avant Garde" w:eastAsia="Times New Roman" w:hAnsi="ITC Avant Garde" w:cs="Calibri"/>
                <w:color w:val="000000"/>
                <w:sz w:val="18"/>
                <w:szCs w:val="18"/>
                <w:lang w:eastAsia="es-MX"/>
              </w:rPr>
              <w:t xml:space="preserve"> Tecnología, S.A. de C.V.</w:t>
            </w:r>
          </w:p>
        </w:tc>
        <w:tc>
          <w:tcPr>
            <w:tcW w:w="1383" w:type="dxa"/>
            <w:tcBorders>
              <w:left w:val="single" w:sz="4" w:space="0" w:color="70AD47" w:themeColor="accent6"/>
              <w:right w:val="single" w:sz="4" w:space="0" w:color="70AD47" w:themeColor="accent6"/>
            </w:tcBorders>
            <w:noWrap/>
            <w:vAlign w:val="center"/>
          </w:tcPr>
          <w:p w14:paraId="6CB21CCF" w14:textId="15AE1247" w:rsidR="00E05822" w:rsidRPr="00E05822" w:rsidRDefault="00E05822"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A95E7E">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08081741" w14:textId="40D8EC77" w:rsidR="00E05822" w:rsidRPr="00E05822" w:rsidRDefault="00CA0A46"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28 de junio de 2024</w:t>
            </w:r>
          </w:p>
        </w:tc>
        <w:tc>
          <w:tcPr>
            <w:tcW w:w="1418" w:type="dxa"/>
            <w:tcBorders>
              <w:left w:val="single" w:sz="4" w:space="0" w:color="70AD47" w:themeColor="accent6"/>
            </w:tcBorders>
            <w:noWrap/>
            <w:vAlign w:val="center"/>
          </w:tcPr>
          <w:p w14:paraId="3970DB60" w14:textId="05AFA3C4" w:rsidR="00E05822" w:rsidRPr="00E05822" w:rsidRDefault="00CA0A46"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12:09 p. m.</w:t>
            </w:r>
          </w:p>
        </w:tc>
      </w:tr>
      <w:tr w:rsidR="00E05822" w:rsidRPr="00E05822" w14:paraId="2FA52FB9" w14:textId="77777777" w:rsidTr="00E05822">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18D822B4" w14:textId="4B62F62A" w:rsidR="00E05822" w:rsidRPr="00E05822" w:rsidRDefault="00E05822" w:rsidP="00E05822">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9</w:t>
            </w:r>
          </w:p>
        </w:tc>
        <w:tc>
          <w:tcPr>
            <w:tcW w:w="1921" w:type="dxa"/>
            <w:tcBorders>
              <w:left w:val="single" w:sz="4" w:space="0" w:color="70AD47" w:themeColor="accent6"/>
              <w:right w:val="single" w:sz="4" w:space="0" w:color="70AD47" w:themeColor="accent6"/>
            </w:tcBorders>
            <w:noWrap/>
          </w:tcPr>
          <w:p w14:paraId="36B8091D" w14:textId="15319B60" w:rsidR="00E05822" w:rsidRPr="00E05822"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20240628-CP_CNAF-009</w:t>
            </w:r>
          </w:p>
        </w:tc>
        <w:tc>
          <w:tcPr>
            <w:tcW w:w="2693" w:type="dxa"/>
            <w:tcBorders>
              <w:left w:val="single" w:sz="4" w:space="0" w:color="70AD47" w:themeColor="accent6"/>
              <w:right w:val="single" w:sz="4" w:space="0" w:color="70AD47" w:themeColor="accent6"/>
            </w:tcBorders>
            <w:vAlign w:val="center"/>
          </w:tcPr>
          <w:p w14:paraId="4D428071" w14:textId="4E0BB591" w:rsidR="00E05822" w:rsidRPr="009A7088"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val="en-US" w:eastAsia="es-MX"/>
              </w:rPr>
            </w:pPr>
            <w:r w:rsidRPr="009A7088">
              <w:rPr>
                <w:rFonts w:ascii="ITC Avant Garde" w:eastAsia="Times New Roman" w:hAnsi="ITC Avant Garde" w:cs="Calibri"/>
                <w:color w:val="000000"/>
                <w:sz w:val="18"/>
                <w:szCs w:val="18"/>
                <w:lang w:val="en-US" w:eastAsia="es-MX"/>
              </w:rPr>
              <w:t>Continental ADC Automotive Distance Control Systems GmbH</w:t>
            </w:r>
          </w:p>
        </w:tc>
        <w:tc>
          <w:tcPr>
            <w:tcW w:w="1383" w:type="dxa"/>
            <w:tcBorders>
              <w:left w:val="single" w:sz="4" w:space="0" w:color="70AD47" w:themeColor="accent6"/>
              <w:right w:val="single" w:sz="4" w:space="0" w:color="70AD47" w:themeColor="accent6"/>
            </w:tcBorders>
            <w:noWrap/>
            <w:vAlign w:val="center"/>
          </w:tcPr>
          <w:p w14:paraId="0B463FE7" w14:textId="51FFDDF9" w:rsidR="00E05822" w:rsidRPr="00E05822"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A95E7E">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210E3405" w14:textId="5CF4690C" w:rsidR="00E05822" w:rsidRPr="00E05822" w:rsidRDefault="00CA0A46"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28 de junio de 2024</w:t>
            </w:r>
          </w:p>
        </w:tc>
        <w:tc>
          <w:tcPr>
            <w:tcW w:w="1418" w:type="dxa"/>
            <w:tcBorders>
              <w:left w:val="single" w:sz="4" w:space="0" w:color="70AD47" w:themeColor="accent6"/>
            </w:tcBorders>
            <w:noWrap/>
            <w:vAlign w:val="center"/>
          </w:tcPr>
          <w:p w14:paraId="38EE7903" w14:textId="0CA9231F" w:rsidR="00E05822" w:rsidRPr="00E05822" w:rsidRDefault="00CA0A46"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12:52 p. m.</w:t>
            </w:r>
          </w:p>
        </w:tc>
      </w:tr>
      <w:tr w:rsidR="00E05822" w:rsidRPr="00E05822" w14:paraId="702777C0" w14:textId="77777777" w:rsidTr="00E05822">
        <w:trPr>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19D1FA25" w14:textId="16A561AD" w:rsidR="00E05822" w:rsidRPr="00E05822" w:rsidRDefault="00E05822" w:rsidP="00E05822">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lastRenderedPageBreak/>
              <w:t>10</w:t>
            </w:r>
          </w:p>
        </w:tc>
        <w:tc>
          <w:tcPr>
            <w:tcW w:w="1921" w:type="dxa"/>
            <w:tcBorders>
              <w:left w:val="single" w:sz="4" w:space="0" w:color="70AD47" w:themeColor="accent6"/>
              <w:right w:val="single" w:sz="4" w:space="0" w:color="70AD47" w:themeColor="accent6"/>
            </w:tcBorders>
            <w:noWrap/>
          </w:tcPr>
          <w:p w14:paraId="27761231" w14:textId="2B226C06" w:rsidR="00E05822" w:rsidRPr="00E05822" w:rsidRDefault="00E05822" w:rsidP="00E0582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20240628-CP_CNAF-010</w:t>
            </w:r>
          </w:p>
        </w:tc>
        <w:tc>
          <w:tcPr>
            <w:tcW w:w="2693" w:type="dxa"/>
            <w:tcBorders>
              <w:left w:val="single" w:sz="4" w:space="0" w:color="70AD47" w:themeColor="accent6"/>
              <w:right w:val="single" w:sz="4" w:space="0" w:color="70AD47" w:themeColor="accent6"/>
            </w:tcBorders>
            <w:vAlign w:val="center"/>
          </w:tcPr>
          <w:p w14:paraId="77A4B6D7" w14:textId="32416ADF" w:rsidR="00E05822" w:rsidRPr="00AE1BDF" w:rsidRDefault="00E05822"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val="fr-FR" w:eastAsia="es-MX"/>
              </w:rPr>
            </w:pPr>
            <w:proofErr w:type="spellStart"/>
            <w:r w:rsidRPr="00AE1BDF">
              <w:rPr>
                <w:rFonts w:ascii="ITC Avant Garde" w:eastAsia="Times New Roman" w:hAnsi="ITC Avant Garde" w:cs="Calibri"/>
                <w:color w:val="000000"/>
                <w:sz w:val="18"/>
                <w:szCs w:val="18"/>
                <w:lang w:val="fr-FR" w:eastAsia="es-MX"/>
              </w:rPr>
              <w:t>Satelio</w:t>
            </w:r>
            <w:proofErr w:type="spellEnd"/>
            <w:r w:rsidRPr="00AE1BDF">
              <w:rPr>
                <w:rFonts w:ascii="ITC Avant Garde" w:eastAsia="Times New Roman" w:hAnsi="ITC Avant Garde" w:cs="Calibri"/>
                <w:color w:val="000000"/>
                <w:sz w:val="18"/>
                <w:szCs w:val="18"/>
                <w:lang w:val="fr-FR" w:eastAsia="es-MX"/>
              </w:rPr>
              <w:t xml:space="preserve"> IoT Services, S.L</w:t>
            </w:r>
          </w:p>
        </w:tc>
        <w:tc>
          <w:tcPr>
            <w:tcW w:w="1383" w:type="dxa"/>
            <w:tcBorders>
              <w:left w:val="single" w:sz="4" w:space="0" w:color="70AD47" w:themeColor="accent6"/>
              <w:right w:val="single" w:sz="4" w:space="0" w:color="70AD47" w:themeColor="accent6"/>
            </w:tcBorders>
            <w:noWrap/>
            <w:vAlign w:val="center"/>
          </w:tcPr>
          <w:p w14:paraId="05075C88" w14:textId="5FF36B6D" w:rsidR="00E05822" w:rsidRPr="00E05822" w:rsidRDefault="00E05822"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A95E7E">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06757BCA" w14:textId="276EC6B4" w:rsidR="00E05822" w:rsidRPr="00E05822" w:rsidRDefault="00CA0A46"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28 de junio de 2024</w:t>
            </w:r>
          </w:p>
        </w:tc>
        <w:tc>
          <w:tcPr>
            <w:tcW w:w="1418" w:type="dxa"/>
            <w:tcBorders>
              <w:left w:val="single" w:sz="4" w:space="0" w:color="70AD47" w:themeColor="accent6"/>
            </w:tcBorders>
            <w:noWrap/>
            <w:vAlign w:val="center"/>
          </w:tcPr>
          <w:p w14:paraId="641AB891" w14:textId="38FFBC16" w:rsidR="00E05822" w:rsidRPr="00E05822" w:rsidRDefault="00CA0A46"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02:35 p. m.</w:t>
            </w:r>
          </w:p>
        </w:tc>
      </w:tr>
      <w:tr w:rsidR="00E05822" w:rsidRPr="00E05822" w14:paraId="0EC82391" w14:textId="77777777" w:rsidTr="00E05822">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76C77ADE" w14:textId="73F91D9E" w:rsidR="00E05822" w:rsidRPr="00E05822" w:rsidRDefault="00E05822" w:rsidP="00E05822">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11</w:t>
            </w:r>
          </w:p>
        </w:tc>
        <w:tc>
          <w:tcPr>
            <w:tcW w:w="1921" w:type="dxa"/>
            <w:tcBorders>
              <w:left w:val="single" w:sz="4" w:space="0" w:color="70AD47" w:themeColor="accent6"/>
              <w:right w:val="single" w:sz="4" w:space="0" w:color="70AD47" w:themeColor="accent6"/>
            </w:tcBorders>
            <w:noWrap/>
          </w:tcPr>
          <w:p w14:paraId="5DC19427" w14:textId="6296EADC" w:rsidR="00E05822" w:rsidRPr="00E05822"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20240628-CP_CNAF-011</w:t>
            </w:r>
          </w:p>
        </w:tc>
        <w:tc>
          <w:tcPr>
            <w:tcW w:w="2693" w:type="dxa"/>
            <w:tcBorders>
              <w:left w:val="single" w:sz="4" w:space="0" w:color="70AD47" w:themeColor="accent6"/>
              <w:right w:val="single" w:sz="4" w:space="0" w:color="70AD47" w:themeColor="accent6"/>
            </w:tcBorders>
            <w:vAlign w:val="center"/>
          </w:tcPr>
          <w:p w14:paraId="09A67694" w14:textId="77777777" w:rsidR="00E05822" w:rsidRPr="00E05822"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eastAsia="Times New Roman" w:hAnsi="ITC Avant Garde" w:cs="Calibri"/>
                <w:color w:val="000000"/>
                <w:sz w:val="18"/>
                <w:szCs w:val="18"/>
                <w:lang w:eastAsia="es-MX"/>
              </w:rPr>
              <w:t>Rigoberto Cruz</w:t>
            </w:r>
          </w:p>
          <w:p w14:paraId="665D7F99" w14:textId="521FC2D6" w:rsidR="00E05822" w:rsidRPr="00E05822"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eastAsia="Times New Roman" w:hAnsi="ITC Avant Garde" w:cs="Calibri"/>
                <w:color w:val="000000"/>
                <w:sz w:val="18"/>
                <w:szCs w:val="18"/>
                <w:lang w:eastAsia="es-MX"/>
              </w:rPr>
              <w:t>(Título Personal)</w:t>
            </w:r>
          </w:p>
        </w:tc>
        <w:tc>
          <w:tcPr>
            <w:tcW w:w="1383" w:type="dxa"/>
            <w:tcBorders>
              <w:left w:val="single" w:sz="4" w:space="0" w:color="70AD47" w:themeColor="accent6"/>
              <w:right w:val="single" w:sz="4" w:space="0" w:color="70AD47" w:themeColor="accent6"/>
            </w:tcBorders>
            <w:noWrap/>
            <w:vAlign w:val="center"/>
          </w:tcPr>
          <w:p w14:paraId="2BF4EBD9" w14:textId="186D29DD" w:rsidR="00E05822" w:rsidRPr="00E05822" w:rsidRDefault="00E05822"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A95E7E">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6E08A072" w14:textId="5FC9BCF5" w:rsidR="00E05822" w:rsidRPr="00E05822" w:rsidRDefault="00CA0A46"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28 de junio de 2024</w:t>
            </w:r>
          </w:p>
        </w:tc>
        <w:tc>
          <w:tcPr>
            <w:tcW w:w="1418" w:type="dxa"/>
            <w:tcBorders>
              <w:left w:val="single" w:sz="4" w:space="0" w:color="70AD47" w:themeColor="accent6"/>
            </w:tcBorders>
            <w:noWrap/>
            <w:vAlign w:val="center"/>
          </w:tcPr>
          <w:p w14:paraId="5C003398" w14:textId="44EAA6C3" w:rsidR="00E05822" w:rsidRPr="00E05822" w:rsidRDefault="00CA0A46" w:rsidP="00E0582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06:07 p. m.</w:t>
            </w:r>
          </w:p>
        </w:tc>
      </w:tr>
      <w:tr w:rsidR="00E05822" w:rsidRPr="00E05822" w14:paraId="7DB955BD" w14:textId="77777777" w:rsidTr="00E05822">
        <w:trPr>
          <w:trHeight w:val="621"/>
          <w:jc w:val="center"/>
        </w:trPr>
        <w:tc>
          <w:tcPr>
            <w:cnfStyle w:val="001000000000" w:firstRow="0" w:lastRow="0" w:firstColumn="1" w:lastColumn="0" w:oddVBand="0" w:evenVBand="0" w:oddHBand="0" w:evenHBand="0" w:firstRowFirstColumn="0" w:firstRowLastColumn="0" w:lastRowFirstColumn="0" w:lastRowLastColumn="0"/>
            <w:tcW w:w="518" w:type="dxa"/>
            <w:tcBorders>
              <w:right w:val="single" w:sz="4" w:space="0" w:color="70AD47" w:themeColor="accent6"/>
            </w:tcBorders>
            <w:vAlign w:val="center"/>
          </w:tcPr>
          <w:p w14:paraId="44546F5D" w14:textId="0EA88640" w:rsidR="00E05822" w:rsidRPr="00E05822" w:rsidRDefault="00E05822" w:rsidP="00E05822">
            <w:pPr>
              <w:jc w:val="center"/>
              <w:rPr>
                <w:rFonts w:ascii="ITC Avant Garde" w:eastAsia="Times New Roman" w:hAnsi="ITC Avant Garde" w:cs="Calibri"/>
                <w:b w:val="0"/>
                <w:sz w:val="18"/>
                <w:szCs w:val="18"/>
                <w:u w:val="single"/>
                <w:lang w:eastAsia="es-MX"/>
              </w:rPr>
            </w:pPr>
            <w:r w:rsidRPr="00E05822">
              <w:rPr>
                <w:rFonts w:ascii="ITC Avant Garde" w:eastAsia="Times New Roman" w:hAnsi="ITC Avant Garde" w:cs="Calibri"/>
                <w:b w:val="0"/>
                <w:sz w:val="18"/>
                <w:szCs w:val="18"/>
                <w:u w:val="single"/>
                <w:lang w:eastAsia="es-MX"/>
              </w:rPr>
              <w:t>12</w:t>
            </w:r>
          </w:p>
        </w:tc>
        <w:tc>
          <w:tcPr>
            <w:tcW w:w="1921" w:type="dxa"/>
            <w:tcBorders>
              <w:left w:val="single" w:sz="4" w:space="0" w:color="70AD47" w:themeColor="accent6"/>
              <w:right w:val="single" w:sz="4" w:space="0" w:color="70AD47" w:themeColor="accent6"/>
            </w:tcBorders>
            <w:noWrap/>
          </w:tcPr>
          <w:p w14:paraId="76410F6F" w14:textId="52BCDB1A" w:rsidR="00E05822" w:rsidRPr="00E05822" w:rsidRDefault="00E05822" w:rsidP="00E0582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E05822">
              <w:rPr>
                <w:rFonts w:ascii="ITC Avant Garde" w:hAnsi="ITC Avant Garde"/>
                <w:sz w:val="18"/>
                <w:szCs w:val="18"/>
              </w:rPr>
              <w:t>20240628-CP_CNAF-012</w:t>
            </w:r>
          </w:p>
        </w:tc>
        <w:tc>
          <w:tcPr>
            <w:tcW w:w="2693" w:type="dxa"/>
            <w:tcBorders>
              <w:left w:val="single" w:sz="4" w:space="0" w:color="70AD47" w:themeColor="accent6"/>
              <w:right w:val="single" w:sz="4" w:space="0" w:color="70AD47" w:themeColor="accent6"/>
            </w:tcBorders>
            <w:vAlign w:val="center"/>
          </w:tcPr>
          <w:p w14:paraId="38FA0E8F" w14:textId="6E81F51F" w:rsidR="00E05822" w:rsidRPr="00E05822" w:rsidRDefault="00E05822"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E05822">
              <w:rPr>
                <w:rFonts w:ascii="ITC Avant Garde" w:eastAsia="Times New Roman" w:hAnsi="ITC Avant Garde" w:cs="Calibri"/>
                <w:color w:val="000000"/>
                <w:sz w:val="18"/>
                <w:szCs w:val="18"/>
                <w:lang w:eastAsia="es-MX"/>
              </w:rPr>
              <w:t>Colegio de Ingenieros Mecánicos Electricistas y</w:t>
            </w:r>
            <w:r w:rsidR="00CA6056">
              <w:rPr>
                <w:rFonts w:ascii="ITC Avant Garde" w:eastAsia="Times New Roman" w:hAnsi="ITC Avant Garde" w:cs="Calibri"/>
                <w:color w:val="000000"/>
                <w:sz w:val="18"/>
                <w:szCs w:val="18"/>
                <w:lang w:eastAsia="es-MX"/>
              </w:rPr>
              <w:t xml:space="preserve"> Ramas Afines, A.C.</w:t>
            </w:r>
          </w:p>
        </w:tc>
        <w:tc>
          <w:tcPr>
            <w:tcW w:w="1383" w:type="dxa"/>
            <w:tcBorders>
              <w:left w:val="single" w:sz="4" w:space="0" w:color="70AD47" w:themeColor="accent6"/>
              <w:right w:val="single" w:sz="4" w:space="0" w:color="70AD47" w:themeColor="accent6"/>
            </w:tcBorders>
            <w:noWrap/>
            <w:vAlign w:val="center"/>
          </w:tcPr>
          <w:p w14:paraId="6C0D59E4" w14:textId="2EEBC107" w:rsidR="00E05822" w:rsidRPr="00E05822" w:rsidRDefault="00E05822"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A95E7E">
              <w:rPr>
                <w:rFonts w:ascii="ITC Avant Garde" w:eastAsia="Times New Roman" w:hAnsi="ITC Avant Garde" w:cs="Calibri"/>
                <w:color w:val="000000"/>
                <w:sz w:val="18"/>
                <w:szCs w:val="18"/>
                <w:lang w:eastAsia="es-MX"/>
              </w:rPr>
              <w:t>Correo electrónico</w:t>
            </w:r>
          </w:p>
        </w:tc>
        <w:tc>
          <w:tcPr>
            <w:tcW w:w="1278" w:type="dxa"/>
            <w:tcBorders>
              <w:left w:val="single" w:sz="4" w:space="0" w:color="70AD47" w:themeColor="accent6"/>
              <w:right w:val="single" w:sz="4" w:space="0" w:color="70AD47" w:themeColor="accent6"/>
            </w:tcBorders>
            <w:noWrap/>
            <w:vAlign w:val="center"/>
          </w:tcPr>
          <w:p w14:paraId="573E66C7" w14:textId="5962ED7A" w:rsidR="00E05822" w:rsidRPr="00E05822" w:rsidRDefault="00CA0A46"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28 de junio de 2024</w:t>
            </w:r>
          </w:p>
        </w:tc>
        <w:tc>
          <w:tcPr>
            <w:tcW w:w="1418" w:type="dxa"/>
            <w:tcBorders>
              <w:left w:val="single" w:sz="4" w:space="0" w:color="70AD47" w:themeColor="accent6"/>
            </w:tcBorders>
            <w:noWrap/>
            <w:vAlign w:val="center"/>
          </w:tcPr>
          <w:p w14:paraId="0FF9D050" w14:textId="2353058E" w:rsidR="00E05822" w:rsidRPr="00E05822" w:rsidRDefault="00CA0A46" w:rsidP="00E0582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CA0A46">
              <w:rPr>
                <w:rFonts w:ascii="ITC Avant Garde" w:eastAsia="Times New Roman" w:hAnsi="ITC Avant Garde" w:cs="Calibri"/>
                <w:color w:val="000000"/>
                <w:sz w:val="18"/>
                <w:szCs w:val="18"/>
                <w:lang w:eastAsia="es-MX"/>
              </w:rPr>
              <w:t>10:32 p. m.</w:t>
            </w:r>
          </w:p>
        </w:tc>
      </w:tr>
    </w:tbl>
    <w:p w14:paraId="310A7B58" w14:textId="69FD7F08" w:rsidR="00E62709" w:rsidRPr="00003428" w:rsidRDefault="000A225E" w:rsidP="000A25F5">
      <w:pPr>
        <w:pStyle w:val="Prrafodelista"/>
        <w:spacing w:after="0" w:line="240" w:lineRule="auto"/>
        <w:ind w:left="567"/>
        <w:contextualSpacing w:val="0"/>
        <w:jc w:val="center"/>
        <w:rPr>
          <w:rFonts w:ascii="ITC Avant Garde" w:hAnsi="ITC Avant Garde"/>
          <w:i/>
          <w:color w:val="000000"/>
          <w:sz w:val="18"/>
          <w:szCs w:val="20"/>
          <w:shd w:val="clear" w:color="auto" w:fill="FFFFFF"/>
        </w:rPr>
      </w:pPr>
      <w:r w:rsidRPr="00003428">
        <w:rPr>
          <w:rFonts w:ascii="ITC Avant Garde" w:hAnsi="ITC Avant Garde"/>
          <w:b/>
          <w:bCs/>
          <w:i/>
          <w:color w:val="000000"/>
          <w:sz w:val="18"/>
          <w:szCs w:val="20"/>
          <w:shd w:val="clear" w:color="auto" w:fill="FFFFFF"/>
        </w:rPr>
        <w:t>Tabla 1</w:t>
      </w:r>
      <w:r w:rsidRPr="00003428">
        <w:rPr>
          <w:rFonts w:ascii="ITC Avant Garde" w:hAnsi="ITC Avant Garde"/>
          <w:i/>
          <w:color w:val="000000"/>
          <w:sz w:val="18"/>
          <w:szCs w:val="20"/>
          <w:shd w:val="clear" w:color="auto" w:fill="FFFFFF"/>
        </w:rPr>
        <w:t xml:space="preserve">. </w:t>
      </w:r>
      <w:proofErr w:type="gramStart"/>
      <w:r w:rsidR="00003428" w:rsidRPr="00003428">
        <w:rPr>
          <w:rFonts w:ascii="ITC Avant Garde" w:hAnsi="ITC Avant Garde"/>
          <w:i/>
          <w:color w:val="000000"/>
          <w:sz w:val="18"/>
          <w:szCs w:val="20"/>
          <w:shd w:val="clear" w:color="auto" w:fill="FFFFFF"/>
        </w:rPr>
        <w:t>Total</w:t>
      </w:r>
      <w:proofErr w:type="gramEnd"/>
      <w:r w:rsidR="00003428" w:rsidRPr="00003428">
        <w:rPr>
          <w:rFonts w:ascii="ITC Avant Garde" w:hAnsi="ITC Avant Garde"/>
          <w:i/>
          <w:color w:val="000000"/>
          <w:sz w:val="18"/>
          <w:szCs w:val="20"/>
          <w:shd w:val="clear" w:color="auto" w:fill="FFFFFF"/>
        </w:rPr>
        <w:t xml:space="preserve"> </w:t>
      </w:r>
      <w:r w:rsidRPr="00003428">
        <w:rPr>
          <w:rFonts w:ascii="ITC Avant Garde" w:hAnsi="ITC Avant Garde"/>
          <w:i/>
          <w:color w:val="000000"/>
          <w:sz w:val="18"/>
          <w:szCs w:val="20"/>
          <w:shd w:val="clear" w:color="auto" w:fill="FFFFFF"/>
        </w:rPr>
        <w:t>de participantes en la Consulta Pública</w:t>
      </w:r>
      <w:r w:rsidR="002331B2" w:rsidRPr="00003428">
        <w:rPr>
          <w:rFonts w:ascii="ITC Avant Garde" w:hAnsi="ITC Avant Garde"/>
          <w:i/>
          <w:color w:val="000000"/>
          <w:sz w:val="18"/>
          <w:szCs w:val="20"/>
          <w:shd w:val="clear" w:color="auto" w:fill="FFFFFF"/>
        </w:rPr>
        <w:t xml:space="preserve"> de</w:t>
      </w:r>
      <w:r w:rsidR="00CE77DC" w:rsidRPr="00003428">
        <w:rPr>
          <w:rFonts w:ascii="ITC Avant Garde" w:hAnsi="ITC Avant Garde"/>
          <w:i/>
          <w:color w:val="000000"/>
          <w:sz w:val="18"/>
          <w:szCs w:val="20"/>
          <w:shd w:val="clear" w:color="auto" w:fill="FFFFFF"/>
        </w:rPr>
        <w:t>l</w:t>
      </w:r>
      <w:r w:rsidR="002331B2" w:rsidRPr="00003428">
        <w:rPr>
          <w:rFonts w:ascii="ITC Avant Garde" w:hAnsi="ITC Avant Garde"/>
          <w:i/>
          <w:color w:val="000000"/>
          <w:sz w:val="18"/>
          <w:szCs w:val="20"/>
          <w:shd w:val="clear" w:color="auto" w:fill="FFFFFF"/>
        </w:rPr>
        <w:t xml:space="preserve"> </w:t>
      </w:r>
      <w:r w:rsidR="00C51A4F" w:rsidRPr="00003428">
        <w:rPr>
          <w:rFonts w:ascii="ITC Avant Garde" w:hAnsi="ITC Avant Garde"/>
          <w:i/>
          <w:color w:val="000000"/>
          <w:sz w:val="18"/>
          <w:szCs w:val="20"/>
          <w:shd w:val="clear" w:color="auto" w:fill="FFFFFF"/>
        </w:rPr>
        <w:t>Anteproyecto</w:t>
      </w:r>
    </w:p>
    <w:p w14:paraId="4F2C1A7F" w14:textId="77777777" w:rsidR="00901641" w:rsidRPr="00772A79" w:rsidRDefault="00901641" w:rsidP="00772A79">
      <w:pPr>
        <w:spacing w:after="0" w:line="240" w:lineRule="auto"/>
        <w:jc w:val="both"/>
        <w:rPr>
          <w:rFonts w:ascii="ITC Avant Garde" w:hAnsi="ITC Avant Garde"/>
          <w:color w:val="000000"/>
          <w:sz w:val="20"/>
          <w:szCs w:val="20"/>
          <w:shd w:val="clear" w:color="auto" w:fill="FFFFFF"/>
        </w:rPr>
      </w:pPr>
    </w:p>
    <w:p w14:paraId="049547EF" w14:textId="7EDC972D" w:rsidR="00E62709" w:rsidRPr="00326733" w:rsidRDefault="00E835EB" w:rsidP="00901641">
      <w:pPr>
        <w:pStyle w:val="Prrafodelista"/>
        <w:numPr>
          <w:ilvl w:val="0"/>
          <w:numId w:val="1"/>
        </w:numPr>
        <w:spacing w:after="0" w:line="240" w:lineRule="auto"/>
        <w:ind w:left="714" w:hanging="357"/>
        <w:contextualSpacing w:val="0"/>
        <w:jc w:val="both"/>
        <w:rPr>
          <w:rFonts w:ascii="ITC Avant Garde" w:hAnsi="ITC Avant Garde"/>
          <w:color w:val="000000"/>
          <w:sz w:val="20"/>
          <w:szCs w:val="20"/>
          <w:shd w:val="clear" w:color="auto" w:fill="FFFFFF"/>
        </w:rPr>
      </w:pPr>
      <w:r w:rsidRPr="00326733">
        <w:rPr>
          <w:rFonts w:ascii="ITC Avant Garde" w:hAnsi="ITC Avant Garde"/>
          <w:b/>
          <w:color w:val="000000"/>
          <w:sz w:val="20"/>
          <w:szCs w:val="20"/>
          <w:shd w:val="clear" w:color="auto" w:fill="FFFFFF"/>
        </w:rPr>
        <w:t xml:space="preserve">Comentarios, observaciones, propuestas y/o aportaciones específicas sobre el </w:t>
      </w:r>
      <w:r w:rsidR="002331B2" w:rsidRPr="00326733">
        <w:rPr>
          <w:rFonts w:ascii="ITC Avant Garde" w:hAnsi="ITC Avant Garde"/>
          <w:b/>
          <w:color w:val="000000"/>
          <w:sz w:val="20"/>
          <w:szCs w:val="20"/>
          <w:shd w:val="clear" w:color="auto" w:fill="FFFFFF"/>
        </w:rPr>
        <w:t>Cuestionario</w:t>
      </w:r>
      <w:r w:rsidRPr="00326733">
        <w:rPr>
          <w:rFonts w:ascii="ITC Avant Garde" w:hAnsi="ITC Avant Garde"/>
          <w:b/>
          <w:color w:val="000000"/>
          <w:sz w:val="20"/>
          <w:szCs w:val="20"/>
          <w:shd w:val="clear" w:color="auto" w:fill="FFFFFF"/>
        </w:rPr>
        <w:t>:</w:t>
      </w:r>
    </w:p>
    <w:p w14:paraId="43FBBEE0" w14:textId="77777777" w:rsidR="00772A79" w:rsidRDefault="00772A79" w:rsidP="00901641">
      <w:pPr>
        <w:spacing w:after="0" w:line="240" w:lineRule="auto"/>
        <w:jc w:val="both"/>
        <w:rPr>
          <w:rFonts w:ascii="ITC Avant Garde" w:hAnsi="ITC Avant Garde"/>
          <w:color w:val="000000"/>
          <w:sz w:val="20"/>
          <w:szCs w:val="20"/>
          <w:shd w:val="clear" w:color="auto" w:fill="FFFFFF"/>
        </w:rPr>
      </w:pPr>
    </w:p>
    <w:p w14:paraId="56E6915C" w14:textId="37EFA3D4" w:rsidR="00003428" w:rsidRDefault="00003428" w:rsidP="00003428">
      <w:pPr>
        <w:spacing w:after="0" w:line="240" w:lineRule="auto"/>
        <w:jc w:val="both"/>
        <w:rPr>
          <w:rFonts w:ascii="ITC Avant Garde" w:hAnsi="ITC Avant Garde"/>
          <w:color w:val="000000"/>
          <w:sz w:val="20"/>
          <w:szCs w:val="20"/>
          <w:shd w:val="clear" w:color="auto" w:fill="FFFFFF"/>
        </w:rPr>
      </w:pPr>
      <w:r w:rsidRPr="00326733">
        <w:rPr>
          <w:rFonts w:ascii="ITC Avant Garde" w:hAnsi="ITC Avant Garde"/>
          <w:color w:val="000000"/>
          <w:sz w:val="20"/>
          <w:szCs w:val="20"/>
          <w:shd w:val="clear" w:color="auto" w:fill="FFFFFF"/>
        </w:rPr>
        <w:t xml:space="preserve">En la presente sección se hace una descripción general de </w:t>
      </w:r>
      <w:r>
        <w:rPr>
          <w:rFonts w:ascii="ITC Avant Garde" w:hAnsi="ITC Avant Garde"/>
          <w:color w:val="000000"/>
          <w:sz w:val="20"/>
          <w:szCs w:val="20"/>
          <w:shd w:val="clear" w:color="auto" w:fill="FFFFFF"/>
        </w:rPr>
        <w:t>los temas</w:t>
      </w:r>
      <w:r w:rsidRPr="00326733">
        <w:rPr>
          <w:rFonts w:ascii="ITC Avant Garde" w:hAnsi="ITC Avant Garde"/>
          <w:color w:val="000000"/>
          <w:sz w:val="20"/>
          <w:szCs w:val="20"/>
          <w:shd w:val="clear" w:color="auto" w:fill="FFFFFF"/>
        </w:rPr>
        <w:t xml:space="preserve"> que fueron de interés para los participantes y, conforme a lo establecido en el </w:t>
      </w:r>
      <w:r w:rsidRPr="002D6B6E">
        <w:rPr>
          <w:rFonts w:ascii="ITC Avant Garde" w:hAnsi="ITC Avant Garde"/>
          <w:color w:val="000000"/>
          <w:sz w:val="20"/>
          <w:szCs w:val="20"/>
          <w:shd w:val="clear" w:color="auto" w:fill="FFFFFF"/>
        </w:rPr>
        <w:t xml:space="preserve">numeral </w:t>
      </w:r>
      <w:r w:rsidR="00E15EC7" w:rsidRPr="002D6B6E">
        <w:rPr>
          <w:rFonts w:ascii="ITC Avant Garde" w:hAnsi="ITC Avant Garde"/>
          <w:color w:val="000000"/>
          <w:sz w:val="20"/>
          <w:szCs w:val="20"/>
          <w:shd w:val="clear" w:color="auto" w:fill="FFFFFF"/>
        </w:rPr>
        <w:t>QUINTO</w:t>
      </w:r>
      <w:r w:rsidRPr="002D6B6E">
        <w:rPr>
          <w:rFonts w:ascii="ITC Avant Garde" w:hAnsi="ITC Avant Garde"/>
          <w:color w:val="000000"/>
          <w:sz w:val="20"/>
          <w:szCs w:val="20"/>
          <w:shd w:val="clear" w:color="auto" w:fill="FFFFFF"/>
        </w:rPr>
        <w:t xml:space="preserve"> de los “Lineamientos de Consulta Pública y Análisis de Impacto Regulatorio del Instituto”, publicados en el DOF el </w:t>
      </w:r>
      <w:r w:rsidR="00DE00FB" w:rsidRPr="002D6B6E">
        <w:rPr>
          <w:rFonts w:ascii="ITC Avant Garde" w:hAnsi="ITC Avant Garde"/>
          <w:color w:val="000000"/>
          <w:sz w:val="20"/>
          <w:szCs w:val="20"/>
          <w:shd w:val="clear" w:color="auto" w:fill="FFFFFF"/>
        </w:rPr>
        <w:t>8</w:t>
      </w:r>
      <w:r w:rsidR="00E15EC7" w:rsidRPr="002D6B6E">
        <w:rPr>
          <w:rFonts w:ascii="ITC Avant Garde" w:hAnsi="ITC Avant Garde"/>
          <w:color w:val="000000"/>
          <w:sz w:val="20"/>
          <w:szCs w:val="20"/>
          <w:shd w:val="clear" w:color="auto" w:fill="FFFFFF"/>
        </w:rPr>
        <w:t xml:space="preserve"> de </w:t>
      </w:r>
      <w:r w:rsidR="00ED58F1" w:rsidRPr="002D6B6E">
        <w:rPr>
          <w:rFonts w:ascii="ITC Avant Garde" w:hAnsi="ITC Avant Garde"/>
          <w:color w:val="000000"/>
          <w:sz w:val="20"/>
          <w:szCs w:val="20"/>
          <w:shd w:val="clear" w:color="auto" w:fill="FFFFFF"/>
        </w:rPr>
        <w:t>noviembre</w:t>
      </w:r>
      <w:r w:rsidR="00E15EC7" w:rsidRPr="002D6B6E">
        <w:rPr>
          <w:rFonts w:ascii="ITC Avant Garde" w:hAnsi="ITC Avant Garde"/>
          <w:color w:val="000000"/>
          <w:sz w:val="20"/>
          <w:szCs w:val="20"/>
          <w:shd w:val="clear" w:color="auto" w:fill="FFFFFF"/>
        </w:rPr>
        <w:t xml:space="preserve"> de </w:t>
      </w:r>
      <w:r w:rsidR="00ED58F1" w:rsidRPr="002D6B6E">
        <w:rPr>
          <w:rFonts w:ascii="ITC Avant Garde" w:hAnsi="ITC Avant Garde"/>
          <w:color w:val="000000"/>
          <w:sz w:val="20"/>
          <w:szCs w:val="20"/>
          <w:shd w:val="clear" w:color="auto" w:fill="FFFFFF"/>
        </w:rPr>
        <w:t>20</w:t>
      </w:r>
      <w:r w:rsidR="00DE00FB" w:rsidRPr="002D6B6E">
        <w:rPr>
          <w:rFonts w:ascii="ITC Avant Garde" w:hAnsi="ITC Avant Garde"/>
          <w:color w:val="000000"/>
          <w:sz w:val="20"/>
          <w:szCs w:val="20"/>
          <w:shd w:val="clear" w:color="auto" w:fill="FFFFFF"/>
        </w:rPr>
        <w:t>17</w:t>
      </w:r>
      <w:r w:rsidRPr="002D6B6E">
        <w:rPr>
          <w:rFonts w:ascii="ITC Avant Garde" w:hAnsi="ITC Avant Garde"/>
          <w:color w:val="000000"/>
          <w:sz w:val="20"/>
          <w:szCs w:val="20"/>
          <w:shd w:val="clear" w:color="auto" w:fill="FFFFFF"/>
        </w:rPr>
        <w:t>,</w:t>
      </w:r>
      <w:r w:rsidRPr="00326733">
        <w:rPr>
          <w:rFonts w:ascii="ITC Avant Garde" w:hAnsi="ITC Avant Garde"/>
          <w:color w:val="000000"/>
          <w:sz w:val="20"/>
          <w:szCs w:val="20"/>
          <w:shd w:val="clear" w:color="auto" w:fill="FFFFFF"/>
        </w:rPr>
        <w:t xml:space="preserve"> se presenta una respuesta o posicionamiento de manera agrupada acerca de la información que los participantes aporta</w:t>
      </w:r>
      <w:r w:rsidR="004A5136">
        <w:rPr>
          <w:rFonts w:ascii="ITC Avant Garde" w:hAnsi="ITC Avant Garde"/>
          <w:color w:val="000000"/>
          <w:sz w:val="20"/>
          <w:szCs w:val="20"/>
          <w:shd w:val="clear" w:color="auto" w:fill="FFFFFF"/>
        </w:rPr>
        <w:t>r</w:t>
      </w:r>
      <w:r w:rsidRPr="00326733">
        <w:rPr>
          <w:rFonts w:ascii="ITC Avant Garde" w:hAnsi="ITC Avant Garde"/>
          <w:color w:val="000000"/>
          <w:sz w:val="20"/>
          <w:szCs w:val="20"/>
          <w:shd w:val="clear" w:color="auto" w:fill="FFFFFF"/>
        </w:rPr>
        <w:t>o</w:t>
      </w:r>
      <w:r w:rsidR="004A5136">
        <w:rPr>
          <w:rFonts w:ascii="ITC Avant Garde" w:hAnsi="ITC Avant Garde"/>
          <w:color w:val="000000"/>
          <w:sz w:val="20"/>
          <w:szCs w:val="20"/>
          <w:shd w:val="clear" w:color="auto" w:fill="FFFFFF"/>
        </w:rPr>
        <w:t>n</w:t>
      </w:r>
      <w:r w:rsidRPr="00326733">
        <w:rPr>
          <w:rFonts w:ascii="ITC Avant Garde" w:hAnsi="ITC Avant Garde"/>
          <w:color w:val="000000"/>
          <w:sz w:val="20"/>
          <w:szCs w:val="20"/>
          <w:shd w:val="clear" w:color="auto" w:fill="FFFFFF"/>
        </w:rPr>
        <w:t>.</w:t>
      </w:r>
    </w:p>
    <w:p w14:paraId="666347CB" w14:textId="77777777" w:rsidR="00003428" w:rsidRPr="00326733" w:rsidRDefault="00003428" w:rsidP="00003428">
      <w:pPr>
        <w:spacing w:after="0" w:line="240" w:lineRule="auto"/>
        <w:jc w:val="both"/>
        <w:rPr>
          <w:rFonts w:ascii="ITC Avant Garde" w:hAnsi="ITC Avant Garde"/>
          <w:color w:val="000000"/>
          <w:sz w:val="20"/>
          <w:szCs w:val="20"/>
          <w:shd w:val="clear" w:color="auto" w:fill="FFFFFF"/>
        </w:rPr>
      </w:pPr>
    </w:p>
    <w:p w14:paraId="09C61AA1" w14:textId="42F586D1" w:rsidR="00003428" w:rsidRPr="00326733" w:rsidRDefault="00695EFF" w:rsidP="00003428">
      <w:pPr>
        <w:spacing w:after="0" w:line="240" w:lineRule="auto"/>
        <w:jc w:val="both"/>
        <w:rPr>
          <w:rFonts w:ascii="ITC Avant Garde" w:hAnsi="ITC Avant Garde"/>
          <w:i/>
          <w:iCs/>
          <w:color w:val="000000"/>
          <w:sz w:val="20"/>
          <w:szCs w:val="20"/>
          <w:shd w:val="clear" w:color="auto" w:fill="FFFFFF"/>
        </w:rPr>
      </w:pPr>
      <w:r>
        <w:rPr>
          <w:rFonts w:ascii="ITC Avant Garde" w:hAnsi="ITC Avant Garde"/>
          <w:color w:val="000000"/>
          <w:sz w:val="20"/>
          <w:szCs w:val="20"/>
          <w:shd w:val="clear" w:color="auto" w:fill="FFFFFF"/>
        </w:rPr>
        <w:t>A este respecto, e</w:t>
      </w:r>
      <w:r w:rsidR="00003428" w:rsidRPr="00326733">
        <w:rPr>
          <w:rFonts w:ascii="ITC Avant Garde" w:hAnsi="ITC Avant Garde"/>
          <w:color w:val="000000"/>
          <w:sz w:val="20"/>
          <w:szCs w:val="20"/>
          <w:shd w:val="clear" w:color="auto" w:fill="FFFFFF"/>
        </w:rPr>
        <w:t xml:space="preserve">l Instituto agradece la participación de todos los interesados en la </w:t>
      </w:r>
      <w:r w:rsidR="00E15EC7" w:rsidRPr="00335CD2">
        <w:rPr>
          <w:rFonts w:ascii="ITC Avant Garde" w:hAnsi="ITC Avant Garde"/>
          <w:color w:val="000000"/>
          <w:sz w:val="20"/>
          <w:szCs w:val="20"/>
          <w:shd w:val="clear" w:color="auto" w:fill="FFFFFF"/>
        </w:rPr>
        <w:t>Consulta Pública del Anteproyecto de</w:t>
      </w:r>
      <w:r w:rsidR="00E15EC7">
        <w:rPr>
          <w:rFonts w:ascii="ITC Avant Garde" w:hAnsi="ITC Avant Garde"/>
          <w:color w:val="000000"/>
          <w:sz w:val="20"/>
          <w:szCs w:val="20"/>
          <w:shd w:val="clear" w:color="auto" w:fill="FFFFFF"/>
        </w:rPr>
        <w:t xml:space="preserve"> CNAF</w:t>
      </w:r>
      <w:r w:rsidR="0047304C">
        <w:rPr>
          <w:rFonts w:ascii="ITC Avant Garde" w:hAnsi="ITC Avant Garde"/>
          <w:color w:val="000000"/>
          <w:sz w:val="20"/>
          <w:szCs w:val="20"/>
          <w:shd w:val="clear" w:color="auto" w:fill="FFFFFF"/>
        </w:rPr>
        <w:t xml:space="preserve"> y reconoce su colaboración para buscar mantener la disposición administrativa de referencia como un instrumento actualizado, útil y vigente</w:t>
      </w:r>
      <w:r w:rsidR="00003428" w:rsidRPr="00326733">
        <w:rPr>
          <w:rFonts w:ascii="ITC Avant Garde" w:hAnsi="ITC Avant Garde"/>
          <w:i/>
          <w:iCs/>
          <w:color w:val="000000"/>
          <w:sz w:val="20"/>
          <w:szCs w:val="20"/>
          <w:shd w:val="clear" w:color="auto" w:fill="FFFFFF"/>
        </w:rPr>
        <w:t>.</w:t>
      </w:r>
    </w:p>
    <w:p w14:paraId="1212AE2F" w14:textId="77777777" w:rsidR="00115250" w:rsidRPr="00326733" w:rsidRDefault="00115250" w:rsidP="00115250">
      <w:pPr>
        <w:jc w:val="center"/>
        <w:rPr>
          <w:rFonts w:ascii="ITC Avant Garde" w:hAnsi="ITC Avant Garde"/>
          <w:b/>
          <w:color w:val="000000"/>
          <w:sz w:val="20"/>
          <w:szCs w:val="20"/>
          <w:shd w:val="clear" w:color="auto" w:fill="FFFFFF"/>
        </w:rPr>
        <w:sectPr w:rsidR="00115250" w:rsidRPr="00326733" w:rsidSect="00115250">
          <w:footerReference w:type="default" r:id="rId12"/>
          <w:pgSz w:w="12240" w:h="15840"/>
          <w:pgMar w:top="1134" w:right="1701" w:bottom="1417" w:left="1701" w:header="708" w:footer="708" w:gutter="0"/>
          <w:cols w:space="708"/>
          <w:docGrid w:linePitch="360"/>
        </w:sectPr>
      </w:pPr>
    </w:p>
    <w:p w14:paraId="6C007875" w14:textId="057523AA" w:rsidR="003347AE" w:rsidRPr="00326733" w:rsidRDefault="00A73240" w:rsidP="00436EB0">
      <w:pPr>
        <w:spacing w:after="0" w:line="240" w:lineRule="auto"/>
        <w:jc w:val="both"/>
        <w:rPr>
          <w:rFonts w:ascii="ITC Avant Garde" w:hAnsi="ITC Avant Garde"/>
          <w:b/>
          <w:i/>
          <w:color w:val="000000"/>
          <w:szCs w:val="20"/>
          <w:u w:val="single"/>
          <w:shd w:val="clear" w:color="auto" w:fill="FFFFFF"/>
        </w:rPr>
      </w:pPr>
      <w:r w:rsidRPr="00326733">
        <w:rPr>
          <w:rFonts w:ascii="ITC Avant Garde" w:hAnsi="ITC Avant Garde"/>
          <w:b/>
          <w:color w:val="000000"/>
          <w:szCs w:val="20"/>
          <w:u w:val="single"/>
          <w:shd w:val="clear" w:color="auto" w:fill="FFFFFF"/>
        </w:rPr>
        <w:lastRenderedPageBreak/>
        <w:t xml:space="preserve">Concentrado de comentarios, </w:t>
      </w:r>
      <w:r w:rsidR="00175436" w:rsidRPr="00326733">
        <w:rPr>
          <w:rFonts w:ascii="ITC Avant Garde" w:hAnsi="ITC Avant Garde"/>
          <w:b/>
          <w:color w:val="000000"/>
          <w:szCs w:val="20"/>
          <w:u w:val="single"/>
          <w:shd w:val="clear" w:color="auto" w:fill="FFFFFF"/>
        </w:rPr>
        <w:t xml:space="preserve">observaciones, propuestas </w:t>
      </w:r>
      <w:r w:rsidRPr="00326733">
        <w:rPr>
          <w:rFonts w:ascii="ITC Avant Garde" w:hAnsi="ITC Avant Garde"/>
          <w:b/>
          <w:color w:val="000000"/>
          <w:szCs w:val="20"/>
          <w:u w:val="single"/>
          <w:shd w:val="clear" w:color="auto" w:fill="FFFFFF"/>
        </w:rPr>
        <w:t xml:space="preserve">y/o aportaciones específicas </w:t>
      </w:r>
      <w:r w:rsidR="00175436" w:rsidRPr="00326733">
        <w:rPr>
          <w:rFonts w:ascii="ITC Avant Garde" w:hAnsi="ITC Avant Garde"/>
          <w:b/>
          <w:color w:val="000000"/>
          <w:szCs w:val="20"/>
          <w:u w:val="single"/>
          <w:shd w:val="clear" w:color="auto" w:fill="FFFFFF"/>
        </w:rPr>
        <w:t>o</w:t>
      </w:r>
      <w:r w:rsidRPr="00326733">
        <w:rPr>
          <w:rFonts w:ascii="ITC Avant Garde" w:hAnsi="ITC Avant Garde"/>
          <w:b/>
          <w:color w:val="000000"/>
          <w:szCs w:val="20"/>
          <w:u w:val="single"/>
          <w:shd w:val="clear" w:color="auto" w:fill="FFFFFF"/>
        </w:rPr>
        <w:t xml:space="preserve"> generales</w:t>
      </w:r>
      <w:r w:rsidR="0032692C" w:rsidRPr="00326733">
        <w:rPr>
          <w:rFonts w:ascii="ITC Avant Garde" w:hAnsi="ITC Avant Garde"/>
          <w:b/>
          <w:color w:val="000000"/>
          <w:szCs w:val="20"/>
          <w:u w:val="single"/>
          <w:shd w:val="clear" w:color="auto" w:fill="FFFFFF"/>
        </w:rPr>
        <w:t xml:space="preserve"> de los participantes</w:t>
      </w:r>
      <w:r w:rsidR="000C4B20" w:rsidRPr="00326733">
        <w:rPr>
          <w:rFonts w:ascii="ITC Avant Garde" w:hAnsi="ITC Avant Garde"/>
          <w:b/>
          <w:color w:val="000000"/>
          <w:szCs w:val="20"/>
          <w:u w:val="single"/>
          <w:shd w:val="clear" w:color="auto" w:fill="FFFFFF"/>
        </w:rPr>
        <w:t xml:space="preserve"> a la </w:t>
      </w:r>
      <w:r w:rsidR="00BE25E6" w:rsidRPr="00326733">
        <w:rPr>
          <w:rFonts w:ascii="ITC Avant Garde" w:hAnsi="ITC Avant Garde"/>
          <w:b/>
          <w:color w:val="000000"/>
          <w:szCs w:val="20"/>
          <w:u w:val="single"/>
          <w:shd w:val="clear" w:color="auto" w:fill="FFFFFF"/>
        </w:rPr>
        <w:t xml:space="preserve">Consulta Pública </w:t>
      </w:r>
      <w:r w:rsidR="00FB3489">
        <w:rPr>
          <w:rFonts w:ascii="ITC Avant Garde" w:hAnsi="ITC Avant Garde"/>
          <w:b/>
          <w:color w:val="000000"/>
          <w:szCs w:val="20"/>
          <w:u w:val="single"/>
          <w:shd w:val="clear" w:color="auto" w:fill="FFFFFF"/>
        </w:rPr>
        <w:t xml:space="preserve">sobre </w:t>
      </w:r>
      <w:r w:rsidR="00FB3489" w:rsidRPr="005738F1">
        <w:rPr>
          <w:rFonts w:ascii="ITC Avant Garde" w:hAnsi="ITC Avant Garde"/>
          <w:b/>
          <w:color w:val="000000"/>
          <w:szCs w:val="20"/>
          <w:u w:val="single"/>
          <w:shd w:val="clear" w:color="auto" w:fill="FFFFFF"/>
        </w:rPr>
        <w:t>el</w:t>
      </w:r>
      <w:r w:rsidR="005738F1" w:rsidRPr="005738F1">
        <w:rPr>
          <w:rFonts w:ascii="ITC Avant Garde" w:hAnsi="ITC Avant Garde"/>
          <w:b/>
          <w:color w:val="000000"/>
          <w:szCs w:val="20"/>
          <w:u w:val="single"/>
          <w:shd w:val="clear" w:color="auto" w:fill="FFFFFF"/>
        </w:rPr>
        <w:t xml:space="preserve"> “Anteproyecto de Acuerdo mediante el cual el Pleno del Instituto Federal de Telecomunicaciones modifica el Cuadro Nacional de Atribución de Frecuencias”</w:t>
      </w:r>
      <w:r w:rsidR="00BE25E6" w:rsidRPr="005738F1">
        <w:rPr>
          <w:rFonts w:ascii="ITC Avant Garde" w:hAnsi="ITC Avant Garde"/>
          <w:b/>
          <w:color w:val="000000"/>
          <w:szCs w:val="20"/>
          <w:u w:val="single"/>
          <w:shd w:val="clear" w:color="auto" w:fill="FFFFFF"/>
        </w:rPr>
        <w:t>.</w:t>
      </w:r>
    </w:p>
    <w:p w14:paraId="29B8BCAB" w14:textId="77777777" w:rsidR="00A71458" w:rsidRPr="00AF49A3" w:rsidRDefault="00A71458" w:rsidP="00436EB0">
      <w:pPr>
        <w:spacing w:after="0" w:line="240" w:lineRule="auto"/>
        <w:jc w:val="both"/>
        <w:rPr>
          <w:rFonts w:ascii="ITC Avant Garde" w:hAnsi="ITC Avant Garde"/>
          <w:b/>
          <w:i/>
          <w:color w:val="000000"/>
          <w:sz w:val="16"/>
          <w:szCs w:val="14"/>
          <w:u w:val="single"/>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4"/>
      </w:tblGrid>
      <w:tr w:rsidR="00320FC1" w:rsidRPr="00326733" w14:paraId="77AEC6BB" w14:textId="77777777" w:rsidTr="005738F1">
        <w:trPr>
          <w:trHeight w:val="816"/>
        </w:trPr>
        <w:tc>
          <w:tcPr>
            <w:tcW w:w="17564" w:type="dxa"/>
          </w:tcPr>
          <w:p w14:paraId="6D552D11" w14:textId="0C0DFA12" w:rsidR="00FB3489" w:rsidRPr="00FB3489" w:rsidRDefault="00320FC1" w:rsidP="00A94DEA">
            <w:pPr>
              <w:jc w:val="both"/>
              <w:rPr>
                <w:rFonts w:ascii="ITC Avant Garde" w:hAnsi="ITC Avant Garde"/>
                <w:sz w:val="16"/>
                <w:szCs w:val="20"/>
                <w:shd w:val="clear" w:color="auto" w:fill="FFFFFF"/>
              </w:rPr>
            </w:pPr>
            <w:r w:rsidRPr="00326733">
              <w:rPr>
                <w:rFonts w:ascii="ITC Avant Garde" w:hAnsi="ITC Avant Garde"/>
                <w:color w:val="000000"/>
                <w:sz w:val="16"/>
                <w:szCs w:val="20"/>
                <w:shd w:val="clear" w:color="auto" w:fill="FFFFFF"/>
              </w:rPr>
              <w:t>Los comentarios</w:t>
            </w:r>
            <w:r w:rsidR="00175436" w:rsidRPr="00326733">
              <w:rPr>
                <w:rFonts w:ascii="ITC Avant Garde" w:hAnsi="ITC Avant Garde"/>
                <w:color w:val="000000"/>
                <w:sz w:val="16"/>
                <w:szCs w:val="20"/>
                <w:shd w:val="clear" w:color="auto" w:fill="FFFFFF"/>
              </w:rPr>
              <w:t>, observaciones, propuesta</w:t>
            </w:r>
            <w:r w:rsidR="00FB3489">
              <w:rPr>
                <w:rFonts w:ascii="ITC Avant Garde" w:hAnsi="ITC Avant Garde"/>
                <w:color w:val="000000"/>
                <w:sz w:val="16"/>
                <w:szCs w:val="20"/>
                <w:shd w:val="clear" w:color="auto" w:fill="FFFFFF"/>
              </w:rPr>
              <w:t>s</w:t>
            </w:r>
            <w:r w:rsidR="0032692C" w:rsidRPr="00326733">
              <w:rPr>
                <w:rFonts w:ascii="ITC Avant Garde" w:hAnsi="ITC Avant Garde"/>
                <w:color w:val="000000"/>
                <w:sz w:val="16"/>
                <w:szCs w:val="20"/>
                <w:shd w:val="clear" w:color="auto" w:fill="FFFFFF"/>
              </w:rPr>
              <w:t xml:space="preserve"> y/o aportaciones específicas </w:t>
            </w:r>
            <w:r w:rsidR="00175436" w:rsidRPr="00326733">
              <w:rPr>
                <w:rFonts w:ascii="ITC Avant Garde" w:hAnsi="ITC Avant Garde"/>
                <w:color w:val="000000"/>
                <w:sz w:val="16"/>
                <w:szCs w:val="20"/>
                <w:shd w:val="clear" w:color="auto" w:fill="FFFFFF"/>
              </w:rPr>
              <w:t xml:space="preserve">o </w:t>
            </w:r>
            <w:r w:rsidR="0032692C" w:rsidRPr="00326733">
              <w:rPr>
                <w:rFonts w:ascii="ITC Avant Garde" w:hAnsi="ITC Avant Garde"/>
                <w:color w:val="000000"/>
                <w:sz w:val="16"/>
                <w:szCs w:val="20"/>
                <w:shd w:val="clear" w:color="auto" w:fill="FFFFFF"/>
              </w:rPr>
              <w:t>generales</w:t>
            </w:r>
            <w:r w:rsidRPr="00326733">
              <w:rPr>
                <w:rFonts w:ascii="ITC Avant Garde" w:hAnsi="ITC Avant Garde"/>
                <w:color w:val="000000"/>
                <w:sz w:val="16"/>
                <w:szCs w:val="20"/>
                <w:shd w:val="clear" w:color="auto" w:fill="FFFFFF"/>
              </w:rPr>
              <w:t xml:space="preserve"> contenidos en la presente tabla </w:t>
            </w:r>
            <w:r w:rsidR="007A60E7" w:rsidRPr="00326733">
              <w:rPr>
                <w:rFonts w:ascii="ITC Avant Garde" w:hAnsi="ITC Avant Garde"/>
                <w:color w:val="000000"/>
                <w:sz w:val="16"/>
                <w:szCs w:val="20"/>
                <w:shd w:val="clear" w:color="auto" w:fill="FFFFFF"/>
              </w:rPr>
              <w:t>son extractos</w:t>
            </w:r>
            <w:r w:rsidRPr="00326733">
              <w:rPr>
                <w:rFonts w:ascii="ITC Avant Garde" w:hAnsi="ITC Avant Garde"/>
                <w:color w:val="000000"/>
                <w:sz w:val="16"/>
                <w:szCs w:val="20"/>
                <w:shd w:val="clear" w:color="auto" w:fill="FFFFFF"/>
              </w:rPr>
              <w:t xml:space="preserve"> de los proporcionados por los participantes con relación </w:t>
            </w:r>
            <w:r w:rsidR="00175436" w:rsidRPr="00326733">
              <w:rPr>
                <w:rFonts w:ascii="ITC Avant Garde" w:hAnsi="ITC Avant Garde"/>
                <w:color w:val="000000"/>
                <w:sz w:val="16"/>
                <w:szCs w:val="20"/>
                <w:shd w:val="clear" w:color="auto" w:fill="FFFFFF"/>
              </w:rPr>
              <w:t>a los documentos e información materia del proceso consultivo.</w:t>
            </w:r>
            <w:r w:rsidRPr="00326733">
              <w:rPr>
                <w:rFonts w:ascii="ITC Avant Garde" w:hAnsi="ITC Avant Garde"/>
                <w:color w:val="000000"/>
                <w:sz w:val="16"/>
                <w:szCs w:val="20"/>
                <w:shd w:val="clear" w:color="auto" w:fill="FFFFFF"/>
              </w:rPr>
              <w:t xml:space="preserve"> La versión completa de los comentarios de cada uno de los participantes puede consultarse en el enlace web siguiente:</w:t>
            </w:r>
            <w:r w:rsidR="002D6B6E">
              <w:rPr>
                <w:rFonts w:ascii="ITC Avant Garde" w:hAnsi="ITC Avant Garde"/>
                <w:sz w:val="16"/>
                <w:szCs w:val="20"/>
                <w:shd w:val="clear" w:color="auto" w:fill="FFFFFF"/>
              </w:rPr>
              <w:t xml:space="preserve"> </w:t>
            </w:r>
            <w:hyperlink r:id="rId13" w:history="1">
              <w:r w:rsidR="00596831" w:rsidRPr="000B61C4">
                <w:rPr>
                  <w:rStyle w:val="Hipervnculo"/>
                  <w:rFonts w:ascii="ITC Avant Garde" w:hAnsi="ITC Avant Garde"/>
                  <w:sz w:val="16"/>
                  <w:szCs w:val="20"/>
                  <w:shd w:val="clear" w:color="auto" w:fill="FFFFFF"/>
                </w:rPr>
                <w:t>https://www.ift.org.mx/industria/consultas-publicas/consulta-publica-sobre-el-anteproyecto-de-acuerdo-de-modificacion-del-cuadro-nacional-de-atribucion</w:t>
              </w:r>
            </w:hyperlink>
            <w:r w:rsidR="00596831">
              <w:rPr>
                <w:rFonts w:ascii="ITC Avant Garde" w:hAnsi="ITC Avant Garde"/>
                <w:sz w:val="16"/>
                <w:szCs w:val="20"/>
                <w:shd w:val="clear" w:color="auto" w:fill="FFFFFF"/>
              </w:rPr>
              <w:t>.</w:t>
            </w:r>
          </w:p>
        </w:tc>
      </w:tr>
    </w:tbl>
    <w:tbl>
      <w:tblPr>
        <w:tblStyle w:val="Tabladelista4-nfasis6"/>
        <w:tblW w:w="5000" w:type="pct"/>
        <w:tblLayout w:type="fixed"/>
        <w:tblLook w:val="04A0" w:firstRow="1" w:lastRow="0" w:firstColumn="1" w:lastColumn="0" w:noHBand="0" w:noVBand="1"/>
      </w:tblPr>
      <w:tblGrid>
        <w:gridCol w:w="2403"/>
        <w:gridCol w:w="11"/>
        <w:gridCol w:w="10527"/>
        <w:gridCol w:w="1317"/>
        <w:gridCol w:w="3305"/>
      </w:tblGrid>
      <w:tr w:rsidR="00AA55D7" w:rsidRPr="00596831" w14:paraId="090DD081" w14:textId="77777777" w:rsidTr="00596831">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6CA644"/>
            <w:vAlign w:val="center"/>
          </w:tcPr>
          <w:p w14:paraId="10F10307" w14:textId="13F0C3C7" w:rsidR="00AA55D7" w:rsidRPr="00596831" w:rsidRDefault="005A09F7" w:rsidP="00596831">
            <w:pPr>
              <w:ind w:left="316"/>
              <w:jc w:val="center"/>
              <w:rPr>
                <w:rFonts w:ascii="ITC Avant Garde" w:hAnsi="ITC Avant Garde"/>
                <w:sz w:val="16"/>
                <w:szCs w:val="16"/>
                <w:lang w:eastAsia="es-MX"/>
              </w:rPr>
            </w:pPr>
            <w:bookmarkStart w:id="0" w:name="t1_75"/>
            <w:bookmarkEnd w:id="0"/>
            <w:r w:rsidRPr="00596831">
              <w:rPr>
                <w:rFonts w:ascii="ITC Avant Garde" w:hAnsi="ITC Avant Garde"/>
                <w:sz w:val="16"/>
                <w:szCs w:val="16"/>
                <w:lang w:eastAsia="es-MX"/>
              </w:rPr>
              <w:t xml:space="preserve">Comentarios, opiniones, propuestas y aportaciones específicos de la persona participante sobre el asunto en </w:t>
            </w:r>
            <w:r w:rsidR="0025469D" w:rsidRPr="00596831">
              <w:rPr>
                <w:rFonts w:ascii="ITC Avant Garde" w:hAnsi="ITC Avant Garde"/>
                <w:sz w:val="16"/>
                <w:szCs w:val="16"/>
                <w:lang w:eastAsia="es-MX"/>
              </w:rPr>
              <w:t>C</w:t>
            </w:r>
            <w:r w:rsidRPr="00596831">
              <w:rPr>
                <w:rFonts w:ascii="ITC Avant Garde" w:hAnsi="ITC Avant Garde"/>
                <w:sz w:val="16"/>
                <w:szCs w:val="16"/>
                <w:lang w:eastAsia="es-MX"/>
              </w:rPr>
              <w:t xml:space="preserve">onsulta </w:t>
            </w:r>
            <w:r w:rsidR="0025469D" w:rsidRPr="00596831">
              <w:rPr>
                <w:rFonts w:ascii="ITC Avant Garde" w:hAnsi="ITC Avant Garde"/>
                <w:sz w:val="16"/>
                <w:szCs w:val="16"/>
                <w:lang w:eastAsia="es-MX"/>
              </w:rPr>
              <w:t>P</w:t>
            </w:r>
            <w:r w:rsidRPr="00596831">
              <w:rPr>
                <w:rFonts w:ascii="ITC Avant Garde" w:hAnsi="ITC Avant Garde"/>
                <w:sz w:val="16"/>
                <w:szCs w:val="16"/>
                <w:lang w:eastAsia="es-MX"/>
              </w:rPr>
              <w:t>ública</w:t>
            </w:r>
          </w:p>
        </w:tc>
      </w:tr>
      <w:tr w:rsidR="005A09F7" w:rsidRPr="00AF49A3" w14:paraId="7EC09562" w14:textId="77777777" w:rsidTr="009A3CAB">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68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D4AE200" w14:textId="5EBC5253" w:rsidR="005A09F7" w:rsidRPr="00AF49A3" w:rsidRDefault="005A09F7" w:rsidP="00596831">
            <w:pPr>
              <w:ind w:left="316"/>
              <w:jc w:val="center"/>
              <w:rPr>
                <w:rFonts w:ascii="ITC Avant Garde" w:hAnsi="ITC Avant Garde"/>
                <w:sz w:val="16"/>
                <w:szCs w:val="16"/>
                <w:lang w:eastAsia="es-MX"/>
              </w:rPr>
            </w:pPr>
            <w:r w:rsidRPr="00AF49A3">
              <w:rPr>
                <w:rFonts w:ascii="ITC Avant Garde" w:hAnsi="ITC Avant Garde"/>
                <w:sz w:val="16"/>
                <w:szCs w:val="16"/>
                <w:lang w:eastAsia="es-MX"/>
              </w:rPr>
              <w:t>Participante</w:t>
            </w:r>
          </w:p>
        </w:tc>
        <w:tc>
          <w:tcPr>
            <w:tcW w:w="3000" w:type="pct"/>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1CCD1170" w14:textId="18B8D2C6" w:rsidR="005A09F7" w:rsidRPr="00AF49A3" w:rsidRDefault="009A3CAB" w:rsidP="009A3CAB">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6"/>
                <w:szCs w:val="16"/>
                <w:lang w:eastAsia="es-MX"/>
              </w:rPr>
            </w:pPr>
            <w:r w:rsidRPr="00AF49A3">
              <w:rPr>
                <w:rFonts w:ascii="ITC Avant Garde" w:hAnsi="ITC Avant Garde"/>
                <w:b w:val="0"/>
                <w:bCs w:val="0"/>
                <w:color w:val="000000" w:themeColor="text1"/>
                <w:sz w:val="16"/>
                <w:szCs w:val="16"/>
                <w:lang w:eastAsia="es-MX"/>
              </w:rPr>
              <w:t xml:space="preserve">SES </w:t>
            </w:r>
            <w:proofErr w:type="spellStart"/>
            <w:r w:rsidRPr="00AF49A3">
              <w:rPr>
                <w:rFonts w:ascii="ITC Avant Garde" w:hAnsi="ITC Avant Garde"/>
                <w:b w:val="0"/>
                <w:bCs w:val="0"/>
                <w:color w:val="000000" w:themeColor="text1"/>
                <w:sz w:val="16"/>
                <w:szCs w:val="16"/>
                <w:lang w:eastAsia="es-MX"/>
              </w:rPr>
              <w:t>Mexico</w:t>
            </w:r>
            <w:proofErr w:type="spellEnd"/>
            <w:r w:rsidRPr="00AF49A3">
              <w:rPr>
                <w:rFonts w:ascii="ITC Avant Garde" w:hAnsi="ITC Avant Garde"/>
                <w:b w:val="0"/>
                <w:bCs w:val="0"/>
                <w:color w:val="000000" w:themeColor="text1"/>
                <w:sz w:val="16"/>
                <w:szCs w:val="16"/>
                <w:lang w:eastAsia="es-MX"/>
              </w:rPr>
              <w:t>, S. de R.L. de C.V.</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222BDB3" w14:textId="4192B183" w:rsidR="005A09F7" w:rsidRPr="00AF49A3" w:rsidRDefault="005A09F7" w:rsidP="00436EB0">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6"/>
                <w:szCs w:val="16"/>
                <w:lang w:eastAsia="es-MX"/>
              </w:rPr>
            </w:pPr>
            <w:r w:rsidRPr="00AF49A3">
              <w:rPr>
                <w:rFonts w:ascii="ITC Avant Garde" w:hAnsi="ITC Avant Garde"/>
                <w:sz w:val="16"/>
                <w:szCs w:val="16"/>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57A20C59" w14:textId="52309035" w:rsidR="005A09F7" w:rsidRPr="00AF49A3" w:rsidRDefault="009A3CAB" w:rsidP="00436EB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6"/>
                <w:szCs w:val="16"/>
                <w:lang w:eastAsia="es-MX"/>
              </w:rPr>
            </w:pPr>
            <w:r w:rsidRPr="00AF49A3">
              <w:rPr>
                <w:rFonts w:ascii="ITC Avant Garde" w:hAnsi="ITC Avant Garde"/>
                <w:b w:val="0"/>
                <w:bCs w:val="0"/>
                <w:color w:val="000000" w:themeColor="text1"/>
                <w:sz w:val="16"/>
                <w:szCs w:val="16"/>
                <w:lang w:eastAsia="es-MX"/>
              </w:rPr>
              <w:t>20240626-CP_CNAF-001</w:t>
            </w:r>
          </w:p>
        </w:tc>
      </w:tr>
      <w:tr w:rsidR="00AA55D7" w:rsidRPr="00AF49A3" w14:paraId="299E1535" w14:textId="77777777" w:rsidTr="009A3C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 w:type="pct"/>
            <w:tcBorders>
              <w:top w:val="single" w:sz="18" w:space="0" w:color="FFFFFF" w:themeColor="background1"/>
              <w:right w:val="single" w:sz="4" w:space="0" w:color="70AD47" w:themeColor="accent6"/>
            </w:tcBorders>
            <w:shd w:val="clear" w:color="auto" w:fill="FFF2CC" w:themeFill="accent4" w:themeFillTint="33"/>
          </w:tcPr>
          <w:p w14:paraId="0461F147" w14:textId="1CD3397A" w:rsidR="00AA55D7" w:rsidRPr="00AF49A3" w:rsidRDefault="00B938A8" w:rsidP="00A94DEA">
            <w:pPr>
              <w:jc w:val="center"/>
              <w:rPr>
                <w:rFonts w:ascii="ITC Avant Garde" w:eastAsia="Times New Roman" w:hAnsi="ITC Avant Garde" w:cstheme="minorHAnsi"/>
                <w:bCs w:val="0"/>
                <w:color w:val="000000" w:themeColor="text1"/>
                <w:sz w:val="16"/>
                <w:szCs w:val="16"/>
                <w:lang w:eastAsia="es-MX"/>
              </w:rPr>
            </w:pPr>
            <w:r w:rsidRPr="00AF49A3">
              <w:rPr>
                <w:rFonts w:ascii="ITC Avant Garde" w:eastAsia="Times New Roman" w:hAnsi="ITC Avant Garde" w:cstheme="minorHAnsi"/>
                <w:bCs w:val="0"/>
                <w:color w:val="000000" w:themeColor="text1"/>
                <w:sz w:val="16"/>
                <w:szCs w:val="16"/>
                <w:lang w:eastAsia="es-MX"/>
              </w:rPr>
              <w:t>Artículo o apartado</w:t>
            </w:r>
          </w:p>
        </w:tc>
        <w:tc>
          <w:tcPr>
            <w:tcW w:w="3000" w:type="pct"/>
            <w:gridSpan w:val="2"/>
            <w:tcBorders>
              <w:top w:val="single" w:sz="18" w:space="0" w:color="FFFFFF" w:themeColor="background1"/>
              <w:right w:val="single" w:sz="4" w:space="0" w:color="70AD47" w:themeColor="accent6"/>
            </w:tcBorders>
            <w:shd w:val="clear" w:color="auto" w:fill="FFF2CC" w:themeFill="accent4" w:themeFillTint="33"/>
            <w:vAlign w:val="center"/>
          </w:tcPr>
          <w:p w14:paraId="720497BD" w14:textId="3A08F313" w:rsidR="00AA55D7" w:rsidRPr="00AF49A3" w:rsidRDefault="00AA55D7"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6"/>
                <w:szCs w:val="16"/>
                <w:lang w:eastAsia="es-MX"/>
              </w:rPr>
            </w:pPr>
            <w:r w:rsidRPr="00AF49A3">
              <w:rPr>
                <w:rFonts w:ascii="ITC Avant Garde" w:eastAsia="Times New Roman" w:hAnsi="ITC Avant Garde" w:cstheme="minorHAnsi"/>
                <w:bCs w:val="0"/>
                <w:color w:val="000000" w:themeColor="text1"/>
                <w:sz w:val="16"/>
                <w:szCs w:val="16"/>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353E1450" w14:textId="77777777" w:rsidR="00AA55D7" w:rsidRPr="00AF49A3" w:rsidRDefault="00AA55D7" w:rsidP="00436EB0">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6"/>
                <w:szCs w:val="16"/>
                <w:lang w:eastAsia="es-MX"/>
              </w:rPr>
            </w:pPr>
            <w:r w:rsidRPr="00AF49A3">
              <w:rPr>
                <w:rFonts w:ascii="ITC Avant Garde" w:eastAsia="Times New Roman" w:hAnsi="ITC Avant Garde" w:cstheme="minorHAnsi"/>
                <w:bCs w:val="0"/>
                <w:color w:val="000000" w:themeColor="text1"/>
                <w:sz w:val="16"/>
                <w:szCs w:val="16"/>
                <w:lang w:eastAsia="es-MX"/>
              </w:rPr>
              <w:t>Respuesta del Instituto</w:t>
            </w:r>
          </w:p>
        </w:tc>
      </w:tr>
      <w:tr w:rsidR="007D067A" w:rsidRPr="00AF49A3" w14:paraId="7C3B7C51" w14:textId="77777777" w:rsidTr="0028154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4" w:type="pct"/>
            <w:tcBorders>
              <w:bottom w:val="single" w:sz="4" w:space="0" w:color="A8D08D" w:themeColor="accent6" w:themeTint="99"/>
              <w:right w:val="single" w:sz="4" w:space="0" w:color="A8D08D" w:themeColor="accent6" w:themeTint="99"/>
            </w:tcBorders>
            <w:shd w:val="clear" w:color="auto" w:fill="auto"/>
            <w:vAlign w:val="center"/>
          </w:tcPr>
          <w:p w14:paraId="750E8D21" w14:textId="6E8F16A7" w:rsidR="007D067A" w:rsidRPr="00AF49A3" w:rsidRDefault="007D067A" w:rsidP="00436EB0">
            <w:pPr>
              <w:jc w:val="center"/>
              <w:rPr>
                <w:rFonts w:ascii="ITC Avant Garde" w:eastAsia="Times New Roman" w:hAnsi="ITC Avant Garde" w:cstheme="minorHAnsi"/>
                <w:b w:val="0"/>
                <w:sz w:val="16"/>
                <w:szCs w:val="16"/>
                <w:lang w:eastAsia="es-MX"/>
              </w:rPr>
            </w:pPr>
            <w:r w:rsidRPr="00AF49A3">
              <w:rPr>
                <w:rFonts w:ascii="ITC Avant Garde" w:eastAsia="Times New Roman" w:hAnsi="ITC Avant Garde" w:cstheme="minorHAnsi"/>
                <w:b w:val="0"/>
                <w:sz w:val="16"/>
                <w:szCs w:val="16"/>
                <w:lang w:eastAsia="es-MX"/>
              </w:rPr>
              <w:t>Sección introductoria</w:t>
            </w:r>
          </w:p>
        </w:tc>
        <w:tc>
          <w:tcPr>
            <w:tcW w:w="3000" w:type="pct"/>
            <w:gridSpan w:val="2"/>
            <w:tcBorders>
              <w:bottom w:val="single" w:sz="4" w:space="0" w:color="A8D08D" w:themeColor="accent6" w:themeTint="99"/>
              <w:right w:val="single" w:sz="4" w:space="0" w:color="A8D08D" w:themeColor="accent6" w:themeTint="99"/>
            </w:tcBorders>
            <w:shd w:val="clear" w:color="auto" w:fill="auto"/>
            <w:vAlign w:val="center"/>
          </w:tcPr>
          <w:p w14:paraId="4941C3FE" w14:textId="77777777" w:rsidR="007D067A" w:rsidRPr="00AF49A3" w:rsidRDefault="007D067A" w:rsidP="009A3CA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6"/>
                <w:szCs w:val="16"/>
                <w:lang w:eastAsia="es-MX"/>
              </w:rPr>
            </w:pPr>
            <w:r w:rsidRPr="00AF49A3">
              <w:rPr>
                <w:rFonts w:ascii="ITC Avant Garde" w:eastAsia="Times New Roman" w:hAnsi="ITC Avant Garde" w:cstheme="minorHAnsi"/>
                <w:b/>
                <w:bCs/>
                <w:sz w:val="16"/>
                <w:szCs w:val="16"/>
                <w:lang w:eastAsia="es-MX"/>
              </w:rPr>
              <w:t>Quinto</w:t>
            </w:r>
          </w:p>
          <w:p w14:paraId="7B08B0B3" w14:textId="77777777" w:rsidR="007D067A" w:rsidRPr="00AF49A3" w:rsidRDefault="007D067A" w:rsidP="009A3CA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AF49A3">
              <w:rPr>
                <w:rFonts w:ascii="ITC Avant Garde" w:eastAsia="Times New Roman" w:hAnsi="ITC Avant Garde" w:cstheme="minorHAnsi"/>
                <w:sz w:val="16"/>
                <w:szCs w:val="16"/>
                <w:lang w:eastAsia="es-MX"/>
              </w:rPr>
              <w:t>De acuerdo con lo previsto en los Artículos 15 Fracción III y el 56 de la LFTR, el Cuadro Nacional de Atribución de Frecuencias (“CNAF”) debe mantenerse actualizado con base en el interés general.  Además, el Articulo 51 de la LFTR establece que el IFT debe realizar consultas públicas para la emisión y modificación de reglas, lineamientos, o disposiciones administrativas de carácter general.</w:t>
            </w:r>
          </w:p>
          <w:p w14:paraId="176FC388" w14:textId="77777777" w:rsidR="007D067A" w:rsidRPr="00AF49A3" w:rsidRDefault="007D067A" w:rsidP="009A3CA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35ACFFAA" w14:textId="77777777" w:rsidR="007D067A" w:rsidRPr="00AF49A3" w:rsidRDefault="007D067A" w:rsidP="009A3CA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AF49A3">
              <w:rPr>
                <w:rFonts w:ascii="ITC Avant Garde" w:eastAsia="Times New Roman" w:hAnsi="ITC Avant Garde" w:cstheme="minorHAnsi"/>
                <w:sz w:val="16"/>
                <w:szCs w:val="16"/>
                <w:lang w:eastAsia="es-MX"/>
              </w:rPr>
              <w:t>La Conferencia Mundial de Radiocomunicaciones (CMR-23) terminó el 15 de diciembre de 2023, adoptando un nuevo Reglamento de Radiocomunicaciones que entra en vigor el 1ro de enero de 2025 y que modifica las atribuciones del Artículo 5 del RR.</w:t>
            </w:r>
          </w:p>
          <w:p w14:paraId="48D8ECA2" w14:textId="77777777" w:rsidR="007D067A" w:rsidRPr="00AF49A3" w:rsidRDefault="007D067A" w:rsidP="009A3CA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44FACE74" w14:textId="77777777" w:rsidR="007D067A" w:rsidRPr="00AF49A3" w:rsidRDefault="007D067A" w:rsidP="009A3CA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AF49A3">
              <w:rPr>
                <w:rFonts w:ascii="ITC Avant Garde" w:eastAsia="Times New Roman" w:hAnsi="ITC Avant Garde" w:cstheme="minorHAnsi"/>
                <w:sz w:val="16"/>
                <w:szCs w:val="16"/>
                <w:lang w:eastAsia="es-MX"/>
              </w:rPr>
              <w:t xml:space="preserve">Con el objetivo de lograr una actualización del CNAF que coincida con los tiempos establecidos por el Reglamento de Radiocomunicaciones, se solicita al Instituto considerar que la Consulta Pública actual incluya las modificaciones adoptadas por la CMR-23, o al menos aquella que se adoptó respecto a la atribución para el SFS de la banda 17.3-17.7 GHz en el sentido espacio-Tierra. </w:t>
            </w:r>
          </w:p>
          <w:p w14:paraId="64CF1C8B" w14:textId="77777777" w:rsidR="007D067A" w:rsidRPr="00AF49A3" w:rsidRDefault="007D067A" w:rsidP="009A3CA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35F94D11" w14:textId="7B2DDA3D" w:rsidR="007D067A" w:rsidRPr="00AF49A3" w:rsidRDefault="007D067A" w:rsidP="009A3CA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AF49A3">
              <w:rPr>
                <w:rFonts w:ascii="ITC Avant Garde" w:eastAsia="Times New Roman" w:hAnsi="ITC Avant Garde" w:cstheme="minorHAnsi"/>
                <w:sz w:val="16"/>
                <w:szCs w:val="16"/>
                <w:lang w:eastAsia="es-MX"/>
              </w:rPr>
              <w:t>Cabe mencionar que México ha sido por más de 4 años, uno de los principales proponentes de dicha atribución a nivel regional y la Administración que ha impulsado la recientemente adoptada Recomendación 69 (XLIII-24) de la CITEL (Montevideo- Abril 2024). Dicha Recomendación, en su considerando e), recalca “la adopción temprana de esta nueva atribución permitiría que sistemas de satélites geoestacionarios y no-geoestacionarios puedan proporcionar más servicios para cubrir extensas zonas en la Región 2, incluyendo áreas que únicamente tienen acceso a este tipo de servicios”.</w:t>
            </w:r>
          </w:p>
        </w:tc>
        <w:tc>
          <w:tcPr>
            <w:tcW w:w="1316" w:type="pct"/>
            <w:gridSpan w:val="2"/>
            <w:vMerge w:val="restart"/>
            <w:tcBorders>
              <w:left w:val="single" w:sz="4" w:space="0" w:color="A8D08D" w:themeColor="accent6" w:themeTint="99"/>
            </w:tcBorders>
            <w:shd w:val="clear" w:color="auto" w:fill="auto"/>
            <w:vAlign w:val="center"/>
          </w:tcPr>
          <w:p w14:paraId="7AB88F33" w14:textId="637DA632" w:rsidR="008776B5" w:rsidRPr="0046123E" w:rsidRDefault="007D067A" w:rsidP="005738F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46123E">
              <w:rPr>
                <w:rFonts w:ascii="ITC Avant Garde" w:eastAsia="Times New Roman" w:hAnsi="ITC Avant Garde" w:cstheme="minorHAnsi"/>
                <w:bCs/>
                <w:sz w:val="16"/>
                <w:szCs w:val="16"/>
                <w:lang w:eastAsia="es-MX"/>
              </w:rPr>
              <w:t xml:space="preserve">El Instituto </w:t>
            </w:r>
            <w:r w:rsidR="00B61DFF" w:rsidRPr="0046123E">
              <w:rPr>
                <w:rFonts w:ascii="ITC Avant Garde" w:eastAsia="Times New Roman" w:hAnsi="ITC Avant Garde" w:cstheme="minorHAnsi"/>
                <w:bCs/>
                <w:sz w:val="16"/>
                <w:szCs w:val="16"/>
                <w:lang w:eastAsia="es-MX"/>
              </w:rPr>
              <w:t xml:space="preserve">Federal de Telecomunicaciones </w:t>
            </w:r>
            <w:r w:rsidRPr="0046123E">
              <w:rPr>
                <w:rFonts w:ascii="ITC Avant Garde" w:eastAsia="Times New Roman" w:hAnsi="ITC Avant Garde" w:cstheme="minorHAnsi"/>
                <w:bCs/>
                <w:sz w:val="16"/>
                <w:szCs w:val="16"/>
                <w:lang w:eastAsia="es-MX"/>
              </w:rPr>
              <w:t>agradece l</w:t>
            </w:r>
            <w:r w:rsidR="008776B5" w:rsidRPr="0046123E">
              <w:rPr>
                <w:rFonts w:ascii="ITC Avant Garde" w:eastAsia="Times New Roman" w:hAnsi="ITC Avant Garde" w:cstheme="minorHAnsi"/>
                <w:bCs/>
                <w:sz w:val="16"/>
                <w:szCs w:val="16"/>
                <w:lang w:eastAsia="es-MX"/>
              </w:rPr>
              <w:t xml:space="preserve">a manifestación realizada por </w:t>
            </w:r>
            <w:r w:rsidR="00CF53BE" w:rsidRPr="0046123E">
              <w:rPr>
                <w:rFonts w:ascii="ITC Avant Garde" w:eastAsia="Times New Roman" w:hAnsi="ITC Avant Garde" w:cstheme="minorHAnsi"/>
                <w:bCs/>
                <w:sz w:val="16"/>
                <w:szCs w:val="16"/>
                <w:lang w:eastAsia="es-MX"/>
              </w:rPr>
              <w:t xml:space="preserve">la empresa </w:t>
            </w:r>
            <w:r w:rsidRPr="0046123E">
              <w:rPr>
                <w:rFonts w:ascii="ITC Avant Garde" w:eastAsia="Times New Roman" w:hAnsi="ITC Avant Garde" w:cstheme="minorHAnsi"/>
                <w:bCs/>
                <w:sz w:val="16"/>
                <w:szCs w:val="16"/>
                <w:lang w:eastAsia="es-MX"/>
              </w:rPr>
              <w:t xml:space="preserve">SES </w:t>
            </w:r>
            <w:proofErr w:type="spellStart"/>
            <w:r w:rsidRPr="0046123E">
              <w:rPr>
                <w:rFonts w:ascii="ITC Avant Garde" w:eastAsia="Times New Roman" w:hAnsi="ITC Avant Garde" w:cstheme="minorHAnsi"/>
                <w:bCs/>
                <w:sz w:val="16"/>
                <w:szCs w:val="16"/>
                <w:lang w:eastAsia="es-MX"/>
              </w:rPr>
              <w:t>Mexico</w:t>
            </w:r>
            <w:proofErr w:type="spellEnd"/>
            <w:r w:rsidRPr="0046123E">
              <w:rPr>
                <w:rFonts w:ascii="ITC Avant Garde" w:eastAsia="Times New Roman" w:hAnsi="ITC Avant Garde" w:cstheme="minorHAnsi"/>
                <w:bCs/>
                <w:sz w:val="16"/>
                <w:szCs w:val="16"/>
                <w:lang w:eastAsia="es-MX"/>
              </w:rPr>
              <w:t>, S. de R.L. de C.V.</w:t>
            </w:r>
            <w:r w:rsidR="008776B5" w:rsidRPr="0046123E">
              <w:rPr>
                <w:rFonts w:ascii="ITC Avant Garde" w:eastAsia="Times New Roman" w:hAnsi="ITC Avant Garde" w:cstheme="minorHAnsi"/>
                <w:bCs/>
                <w:sz w:val="16"/>
                <w:szCs w:val="16"/>
                <w:lang w:eastAsia="es-MX"/>
              </w:rPr>
              <w:t xml:space="preserve"> referente a </w:t>
            </w:r>
            <w:r w:rsidR="00B61DFF" w:rsidRPr="0046123E">
              <w:rPr>
                <w:rFonts w:ascii="ITC Avant Garde" w:eastAsia="Times New Roman" w:hAnsi="ITC Avant Garde" w:cstheme="minorHAnsi"/>
                <w:bCs/>
                <w:sz w:val="16"/>
                <w:szCs w:val="16"/>
                <w:lang w:eastAsia="es-MX"/>
              </w:rPr>
              <w:t xml:space="preserve">su </w:t>
            </w:r>
            <w:r w:rsidR="004D6CAC" w:rsidRPr="0046123E">
              <w:rPr>
                <w:rFonts w:ascii="ITC Avant Garde" w:eastAsia="Times New Roman" w:hAnsi="ITC Avant Garde" w:cstheme="minorHAnsi"/>
                <w:bCs/>
                <w:sz w:val="16"/>
                <w:szCs w:val="16"/>
                <w:lang w:eastAsia="es-MX"/>
              </w:rPr>
              <w:t>propuesta d</w:t>
            </w:r>
            <w:r w:rsidR="00B14781" w:rsidRPr="0046123E">
              <w:rPr>
                <w:rFonts w:ascii="ITC Avant Garde" w:eastAsia="Times New Roman" w:hAnsi="ITC Avant Garde" w:cstheme="minorHAnsi"/>
                <w:bCs/>
                <w:sz w:val="16"/>
                <w:szCs w:val="16"/>
                <w:lang w:eastAsia="es-MX"/>
              </w:rPr>
              <w:t>e</w:t>
            </w:r>
            <w:r w:rsidR="004D6CAC" w:rsidRPr="0046123E">
              <w:rPr>
                <w:rFonts w:ascii="ITC Avant Garde" w:eastAsia="Times New Roman" w:hAnsi="ITC Avant Garde" w:cstheme="minorHAnsi"/>
                <w:bCs/>
                <w:sz w:val="16"/>
                <w:szCs w:val="16"/>
                <w:lang w:eastAsia="es-MX"/>
              </w:rPr>
              <w:t xml:space="preserve"> </w:t>
            </w:r>
            <w:r w:rsidR="008776B5" w:rsidRPr="0046123E">
              <w:rPr>
                <w:rFonts w:ascii="ITC Avant Garde" w:eastAsia="Times New Roman" w:hAnsi="ITC Avant Garde" w:cstheme="minorHAnsi"/>
                <w:bCs/>
                <w:sz w:val="16"/>
                <w:szCs w:val="16"/>
                <w:lang w:eastAsia="es-MX"/>
              </w:rPr>
              <w:t xml:space="preserve">incluir </w:t>
            </w:r>
            <w:r w:rsidR="008E6BCC" w:rsidRPr="0046123E">
              <w:rPr>
                <w:rFonts w:ascii="ITC Avant Garde" w:eastAsia="Times New Roman" w:hAnsi="ITC Avant Garde" w:cstheme="minorHAnsi"/>
                <w:bCs/>
                <w:sz w:val="16"/>
                <w:szCs w:val="16"/>
                <w:lang w:eastAsia="es-MX"/>
              </w:rPr>
              <w:t xml:space="preserve">en el CNAF </w:t>
            </w:r>
            <w:r w:rsidR="008776B5" w:rsidRPr="0046123E">
              <w:rPr>
                <w:rFonts w:ascii="ITC Avant Garde" w:eastAsia="Times New Roman" w:hAnsi="ITC Avant Garde" w:cstheme="minorHAnsi"/>
                <w:bCs/>
                <w:sz w:val="16"/>
                <w:szCs w:val="16"/>
                <w:lang w:eastAsia="es-MX"/>
              </w:rPr>
              <w:t xml:space="preserve">la atribución </w:t>
            </w:r>
            <w:r w:rsidR="004D6CAC" w:rsidRPr="0046123E">
              <w:rPr>
                <w:rFonts w:ascii="ITC Avant Garde" w:eastAsia="Times New Roman" w:hAnsi="ITC Avant Garde" w:cstheme="minorHAnsi"/>
                <w:bCs/>
                <w:sz w:val="16"/>
                <w:szCs w:val="16"/>
                <w:lang w:eastAsia="es-MX"/>
              </w:rPr>
              <w:t xml:space="preserve">de la </w:t>
            </w:r>
            <w:r w:rsidR="008776B5" w:rsidRPr="0046123E">
              <w:rPr>
                <w:rFonts w:ascii="ITC Avant Garde" w:eastAsia="Times New Roman" w:hAnsi="ITC Avant Garde" w:cstheme="minorHAnsi"/>
                <w:bCs/>
                <w:sz w:val="16"/>
                <w:szCs w:val="16"/>
                <w:lang w:eastAsia="es-MX"/>
              </w:rPr>
              <w:t xml:space="preserve">banda </w:t>
            </w:r>
            <w:r w:rsidR="004D6CAC" w:rsidRPr="0046123E">
              <w:rPr>
                <w:rFonts w:ascii="ITC Avant Garde" w:eastAsia="Times New Roman" w:hAnsi="ITC Avant Garde" w:cstheme="minorHAnsi"/>
                <w:bCs/>
                <w:sz w:val="16"/>
                <w:szCs w:val="16"/>
                <w:lang w:eastAsia="es-MX"/>
              </w:rPr>
              <w:t xml:space="preserve">de frecuencias </w:t>
            </w:r>
            <w:r w:rsidR="008776B5" w:rsidRPr="0046123E">
              <w:rPr>
                <w:rFonts w:ascii="ITC Avant Garde" w:eastAsia="Times New Roman" w:hAnsi="ITC Avant Garde" w:cstheme="minorHAnsi"/>
                <w:bCs/>
                <w:sz w:val="16"/>
                <w:szCs w:val="16"/>
                <w:lang w:eastAsia="es-MX"/>
              </w:rPr>
              <w:t>17.3-17.7 GHz</w:t>
            </w:r>
            <w:r w:rsidR="00B61DFF" w:rsidRPr="0046123E">
              <w:rPr>
                <w:rFonts w:ascii="ITC Avant Garde" w:eastAsia="Times New Roman" w:hAnsi="ITC Avant Garde" w:cstheme="minorHAnsi"/>
                <w:bCs/>
                <w:sz w:val="16"/>
                <w:szCs w:val="16"/>
                <w:lang w:eastAsia="es-MX"/>
              </w:rPr>
              <w:t xml:space="preserve"> al </w:t>
            </w:r>
            <w:r w:rsidR="004D6CAC" w:rsidRPr="0046123E">
              <w:rPr>
                <w:rFonts w:ascii="ITC Avant Garde" w:eastAsia="Times New Roman" w:hAnsi="ITC Avant Garde" w:cstheme="minorHAnsi"/>
                <w:bCs/>
                <w:sz w:val="16"/>
                <w:szCs w:val="16"/>
                <w:lang w:eastAsia="es-MX"/>
              </w:rPr>
              <w:t xml:space="preserve">Servicio Fijo por </w:t>
            </w:r>
            <w:r w:rsidR="00280301" w:rsidRPr="0046123E">
              <w:rPr>
                <w:rFonts w:ascii="ITC Avant Garde" w:eastAsia="Times New Roman" w:hAnsi="ITC Avant Garde" w:cstheme="minorHAnsi"/>
                <w:bCs/>
                <w:sz w:val="16"/>
                <w:szCs w:val="16"/>
                <w:lang w:eastAsia="es-MX"/>
              </w:rPr>
              <w:t>Satélite</w:t>
            </w:r>
            <w:r w:rsidR="004D6CAC" w:rsidRPr="0046123E">
              <w:rPr>
                <w:rFonts w:ascii="ITC Avant Garde" w:eastAsia="Times New Roman" w:hAnsi="ITC Avant Garde" w:cstheme="minorHAnsi"/>
                <w:bCs/>
                <w:sz w:val="16"/>
                <w:szCs w:val="16"/>
                <w:lang w:eastAsia="es-MX"/>
              </w:rPr>
              <w:t xml:space="preserve"> en el </w:t>
            </w:r>
            <w:r w:rsidR="008776B5" w:rsidRPr="0046123E">
              <w:rPr>
                <w:rFonts w:ascii="ITC Avant Garde" w:eastAsia="Times New Roman" w:hAnsi="ITC Avant Garde" w:cstheme="minorHAnsi"/>
                <w:bCs/>
                <w:sz w:val="16"/>
                <w:szCs w:val="16"/>
                <w:lang w:eastAsia="es-MX"/>
              </w:rPr>
              <w:t>sentido (espacio-Tierra)</w:t>
            </w:r>
            <w:r w:rsidR="00527135" w:rsidRPr="0046123E">
              <w:rPr>
                <w:rFonts w:ascii="ITC Avant Garde" w:eastAsia="Times New Roman" w:hAnsi="ITC Avant Garde" w:cstheme="minorHAnsi"/>
                <w:bCs/>
                <w:sz w:val="16"/>
                <w:szCs w:val="16"/>
                <w:lang w:eastAsia="es-MX"/>
              </w:rPr>
              <w:t xml:space="preserve">, </w:t>
            </w:r>
            <w:r w:rsidR="008E6BCC" w:rsidRPr="0046123E">
              <w:rPr>
                <w:rFonts w:ascii="ITC Avant Garde" w:eastAsia="Times New Roman" w:hAnsi="ITC Avant Garde" w:cstheme="minorHAnsi"/>
                <w:bCs/>
                <w:sz w:val="16"/>
                <w:szCs w:val="16"/>
                <w:lang w:eastAsia="es-MX"/>
              </w:rPr>
              <w:t>así como</w:t>
            </w:r>
            <w:r w:rsidR="00527135" w:rsidRPr="0046123E">
              <w:rPr>
                <w:rFonts w:ascii="ITC Avant Garde" w:eastAsia="Times New Roman" w:hAnsi="ITC Avant Garde" w:cstheme="minorHAnsi"/>
                <w:bCs/>
                <w:sz w:val="16"/>
                <w:szCs w:val="16"/>
                <w:lang w:eastAsia="es-MX"/>
              </w:rPr>
              <w:t xml:space="preserve"> la </w:t>
            </w:r>
            <w:r w:rsidR="009A5444">
              <w:rPr>
                <w:rFonts w:ascii="ITC Avant Garde" w:eastAsia="Times New Roman" w:hAnsi="ITC Avant Garde" w:cstheme="minorHAnsi"/>
                <w:bCs/>
                <w:sz w:val="16"/>
                <w:szCs w:val="16"/>
                <w:lang w:eastAsia="es-MX"/>
              </w:rPr>
              <w:t>referencia</w:t>
            </w:r>
            <w:r w:rsidR="009A5444" w:rsidRPr="0046123E">
              <w:rPr>
                <w:rFonts w:ascii="ITC Avant Garde" w:eastAsia="Times New Roman" w:hAnsi="ITC Avant Garde" w:cstheme="minorHAnsi"/>
                <w:bCs/>
                <w:sz w:val="16"/>
                <w:szCs w:val="16"/>
                <w:lang w:eastAsia="es-MX"/>
              </w:rPr>
              <w:t xml:space="preserve"> </w:t>
            </w:r>
            <w:r w:rsidR="008E6BCC" w:rsidRPr="0046123E">
              <w:rPr>
                <w:rFonts w:ascii="ITC Avant Garde" w:eastAsia="Times New Roman" w:hAnsi="ITC Avant Garde" w:cstheme="minorHAnsi"/>
                <w:bCs/>
                <w:sz w:val="16"/>
                <w:szCs w:val="16"/>
                <w:lang w:eastAsia="es-MX"/>
              </w:rPr>
              <w:t xml:space="preserve">a las notas internacionales </w:t>
            </w:r>
            <w:r w:rsidR="009A5444">
              <w:rPr>
                <w:rFonts w:ascii="ITC Avant Garde" w:eastAsia="Times New Roman" w:hAnsi="ITC Avant Garde" w:cstheme="minorHAnsi"/>
                <w:bCs/>
                <w:sz w:val="16"/>
                <w:szCs w:val="16"/>
                <w:lang w:eastAsia="es-MX"/>
              </w:rPr>
              <w:t>aplicables</w:t>
            </w:r>
            <w:r w:rsidR="00B14781" w:rsidRPr="0046123E">
              <w:rPr>
                <w:rFonts w:ascii="ITC Avant Garde" w:eastAsia="Times New Roman" w:hAnsi="ITC Avant Garde" w:cstheme="minorHAnsi"/>
                <w:bCs/>
                <w:sz w:val="16"/>
                <w:szCs w:val="16"/>
                <w:lang w:eastAsia="es-MX"/>
              </w:rPr>
              <w:t xml:space="preserve">, de </w:t>
            </w:r>
            <w:r w:rsidR="00A94047" w:rsidRPr="0046123E">
              <w:rPr>
                <w:rFonts w:ascii="ITC Avant Garde" w:eastAsia="Times New Roman" w:hAnsi="ITC Avant Garde" w:cstheme="minorHAnsi"/>
                <w:bCs/>
                <w:sz w:val="16"/>
                <w:szCs w:val="16"/>
                <w:lang w:eastAsia="es-MX"/>
              </w:rPr>
              <w:t>acuerdo</w:t>
            </w:r>
            <w:r w:rsidR="00B14781" w:rsidRPr="0046123E">
              <w:rPr>
                <w:rFonts w:ascii="ITC Avant Garde" w:eastAsia="Times New Roman" w:hAnsi="ITC Avant Garde" w:cstheme="minorHAnsi"/>
                <w:bCs/>
                <w:sz w:val="16"/>
                <w:szCs w:val="16"/>
                <w:lang w:eastAsia="es-MX"/>
              </w:rPr>
              <w:t xml:space="preserve"> con las modificaciones adoptadas </w:t>
            </w:r>
            <w:r w:rsidR="00A94047" w:rsidRPr="0046123E">
              <w:rPr>
                <w:rFonts w:ascii="ITC Avant Garde" w:eastAsia="Times New Roman" w:hAnsi="ITC Avant Garde" w:cstheme="minorHAnsi"/>
                <w:bCs/>
                <w:sz w:val="16"/>
                <w:szCs w:val="16"/>
                <w:lang w:eastAsia="es-MX"/>
              </w:rPr>
              <w:t>en</w:t>
            </w:r>
            <w:r w:rsidR="00B14781" w:rsidRPr="0046123E">
              <w:rPr>
                <w:rFonts w:ascii="ITC Avant Garde" w:eastAsia="Times New Roman" w:hAnsi="ITC Avant Garde" w:cstheme="minorHAnsi"/>
                <w:bCs/>
                <w:sz w:val="16"/>
                <w:szCs w:val="16"/>
                <w:lang w:eastAsia="es-MX"/>
              </w:rPr>
              <w:t xml:space="preserve"> </w:t>
            </w:r>
            <w:r w:rsidR="008776B5" w:rsidRPr="0046123E">
              <w:rPr>
                <w:rFonts w:ascii="ITC Avant Garde" w:eastAsia="Times New Roman" w:hAnsi="ITC Avant Garde" w:cstheme="minorHAnsi"/>
                <w:bCs/>
                <w:sz w:val="16"/>
                <w:szCs w:val="16"/>
                <w:lang w:eastAsia="es-MX"/>
              </w:rPr>
              <w:t xml:space="preserve">la </w:t>
            </w:r>
            <w:r w:rsidR="00B61DFF" w:rsidRPr="0046123E">
              <w:rPr>
                <w:rFonts w:ascii="ITC Avant Garde" w:eastAsia="Times New Roman" w:hAnsi="ITC Avant Garde" w:cstheme="minorHAnsi"/>
                <w:bCs/>
                <w:sz w:val="16"/>
                <w:szCs w:val="16"/>
                <w:lang w:eastAsia="es-MX"/>
              </w:rPr>
              <w:t>pasada Conferencia Mundial de Radiocomunicaciones (</w:t>
            </w:r>
            <w:r w:rsidR="008776B5" w:rsidRPr="0046123E">
              <w:rPr>
                <w:rFonts w:ascii="ITC Avant Garde" w:eastAsia="Times New Roman" w:hAnsi="ITC Avant Garde" w:cstheme="minorHAnsi"/>
                <w:bCs/>
                <w:sz w:val="16"/>
                <w:szCs w:val="16"/>
                <w:lang w:eastAsia="es-MX"/>
              </w:rPr>
              <w:t>CMR-23</w:t>
            </w:r>
            <w:r w:rsidR="00B61DFF" w:rsidRPr="0046123E">
              <w:rPr>
                <w:rFonts w:ascii="ITC Avant Garde" w:eastAsia="Times New Roman" w:hAnsi="ITC Avant Garde" w:cstheme="minorHAnsi"/>
                <w:bCs/>
                <w:sz w:val="16"/>
                <w:szCs w:val="16"/>
                <w:lang w:eastAsia="es-MX"/>
              </w:rPr>
              <w:t>)</w:t>
            </w:r>
            <w:r w:rsidR="00174B60" w:rsidRPr="0046123E">
              <w:rPr>
                <w:rFonts w:ascii="ITC Avant Garde" w:eastAsia="Times New Roman" w:hAnsi="ITC Avant Garde" w:cstheme="minorHAnsi"/>
                <w:bCs/>
                <w:sz w:val="16"/>
                <w:szCs w:val="16"/>
                <w:lang w:eastAsia="es-MX"/>
              </w:rPr>
              <w:t>.</w:t>
            </w:r>
          </w:p>
          <w:p w14:paraId="4D7EF509" w14:textId="77777777" w:rsidR="008776B5" w:rsidRPr="0046123E" w:rsidRDefault="008776B5" w:rsidP="005738F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24749F0F" w14:textId="361FF336" w:rsidR="0069608F" w:rsidRPr="0046123E" w:rsidRDefault="004D6CAC" w:rsidP="006960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46123E">
              <w:rPr>
                <w:rFonts w:ascii="ITC Avant Garde" w:eastAsia="Times New Roman" w:hAnsi="ITC Avant Garde" w:cstheme="minorHAnsi"/>
                <w:bCs/>
                <w:sz w:val="16"/>
                <w:szCs w:val="16"/>
                <w:lang w:eastAsia="es-MX"/>
              </w:rPr>
              <w:t xml:space="preserve">En este sentido, </w:t>
            </w:r>
            <w:r w:rsidRPr="0046123E">
              <w:rPr>
                <w:rFonts w:ascii="ITC Avant Garde" w:eastAsia="Times New Roman" w:hAnsi="ITC Avant Garde" w:cstheme="minorHAnsi"/>
                <w:b/>
                <w:bCs/>
                <w:sz w:val="16"/>
                <w:szCs w:val="16"/>
                <w:lang w:eastAsia="es-MX"/>
              </w:rPr>
              <w:t>se considera procedente</w:t>
            </w:r>
            <w:r w:rsidRPr="0046123E">
              <w:rPr>
                <w:rFonts w:ascii="ITC Avant Garde" w:eastAsia="Times New Roman" w:hAnsi="ITC Avant Garde" w:cstheme="minorHAnsi"/>
                <w:bCs/>
                <w:sz w:val="16"/>
                <w:szCs w:val="16"/>
                <w:lang w:eastAsia="es-MX"/>
              </w:rPr>
              <w:t xml:space="preserve"> </w:t>
            </w:r>
            <w:r w:rsidR="004A5136">
              <w:rPr>
                <w:rFonts w:ascii="ITC Avant Garde" w:eastAsia="Times New Roman" w:hAnsi="ITC Avant Garde" w:cstheme="minorHAnsi"/>
                <w:bCs/>
                <w:sz w:val="16"/>
                <w:szCs w:val="16"/>
                <w:lang w:eastAsia="es-MX"/>
              </w:rPr>
              <w:t xml:space="preserve">reflejar </w:t>
            </w:r>
            <w:r w:rsidR="00026029" w:rsidRPr="0046123E">
              <w:rPr>
                <w:rFonts w:ascii="ITC Avant Garde" w:eastAsia="Times New Roman" w:hAnsi="ITC Avant Garde" w:cstheme="minorHAnsi"/>
                <w:bCs/>
                <w:sz w:val="16"/>
                <w:szCs w:val="16"/>
                <w:lang w:eastAsia="es-MX"/>
              </w:rPr>
              <w:t xml:space="preserve">la atribución de la banda de frecuencias 17.3-17.7 GHz al Servicio Fijo por </w:t>
            </w:r>
            <w:r w:rsidR="00280301" w:rsidRPr="0046123E">
              <w:rPr>
                <w:rFonts w:ascii="ITC Avant Garde" w:eastAsia="Times New Roman" w:hAnsi="ITC Avant Garde" w:cstheme="minorHAnsi"/>
                <w:bCs/>
                <w:sz w:val="16"/>
                <w:szCs w:val="16"/>
                <w:lang w:eastAsia="es-MX"/>
              </w:rPr>
              <w:t>Satélite</w:t>
            </w:r>
            <w:bookmarkStart w:id="1" w:name="_GoBack"/>
            <w:bookmarkEnd w:id="1"/>
            <w:r w:rsidR="00026029" w:rsidRPr="0046123E">
              <w:rPr>
                <w:rFonts w:ascii="ITC Avant Garde" w:eastAsia="Times New Roman" w:hAnsi="ITC Avant Garde" w:cstheme="minorHAnsi"/>
                <w:bCs/>
                <w:sz w:val="16"/>
                <w:szCs w:val="16"/>
                <w:lang w:eastAsia="es-MX"/>
              </w:rPr>
              <w:t xml:space="preserve"> en el sentido (espacio-Tierra) en la Región 2 y notas internacionales asociadas, así como la atribución en México para el SFS (espacio-Tierra) en la banda 17.3-17.7 GHz. </w:t>
            </w:r>
            <w:r w:rsidR="0069608F" w:rsidRPr="0046123E">
              <w:rPr>
                <w:rFonts w:ascii="ITC Avant Garde" w:eastAsia="Times New Roman" w:hAnsi="ITC Avant Garde" w:cstheme="minorHAnsi"/>
                <w:bCs/>
                <w:sz w:val="16"/>
                <w:szCs w:val="16"/>
                <w:lang w:eastAsia="es-MX"/>
              </w:rPr>
              <w:t xml:space="preserve">Sin embargo, en lo que respecta a la adición de las notas 5.484A, 5.517, 5.515A y 5.515B como notas nacionales </w:t>
            </w:r>
            <w:r w:rsidR="0069608F" w:rsidRPr="0046123E">
              <w:rPr>
                <w:rFonts w:ascii="ITC Avant Garde" w:eastAsia="Times New Roman" w:hAnsi="ITC Avant Garde" w:cstheme="minorHAnsi"/>
                <w:b/>
                <w:bCs/>
                <w:sz w:val="16"/>
                <w:szCs w:val="16"/>
                <w:lang w:eastAsia="es-MX"/>
              </w:rPr>
              <w:t>no</w:t>
            </w:r>
            <w:r w:rsidR="0069608F" w:rsidRPr="0046123E">
              <w:rPr>
                <w:rFonts w:ascii="ITC Avant Garde" w:eastAsia="Times New Roman" w:hAnsi="ITC Avant Garde" w:cstheme="minorHAnsi"/>
                <w:bCs/>
                <w:sz w:val="16"/>
                <w:szCs w:val="16"/>
                <w:lang w:eastAsia="es-MX"/>
              </w:rPr>
              <w:t xml:space="preserve"> </w:t>
            </w:r>
            <w:r w:rsidR="0069608F" w:rsidRPr="0046123E">
              <w:rPr>
                <w:rFonts w:ascii="ITC Avant Garde" w:eastAsia="Times New Roman" w:hAnsi="ITC Avant Garde" w:cstheme="minorHAnsi"/>
                <w:b/>
                <w:bCs/>
                <w:sz w:val="16"/>
                <w:szCs w:val="16"/>
                <w:lang w:eastAsia="es-MX"/>
              </w:rPr>
              <w:t>se considera procedente</w:t>
            </w:r>
            <w:r w:rsidR="0069608F" w:rsidRPr="0046123E">
              <w:rPr>
                <w:rFonts w:ascii="ITC Avant Garde" w:eastAsia="Times New Roman" w:hAnsi="ITC Avant Garde" w:cstheme="minorHAnsi"/>
                <w:bCs/>
                <w:sz w:val="16"/>
                <w:szCs w:val="16"/>
                <w:lang w:eastAsia="es-MX"/>
              </w:rPr>
              <w:t>, en virtud de que dichas notas internacionales no recaen en los supuestos de una atribución adicional o sustitutiva para nuestro país.</w:t>
            </w:r>
          </w:p>
          <w:p w14:paraId="1A6B2643" w14:textId="6B7DF17B" w:rsidR="0069608F" w:rsidRPr="0046123E" w:rsidRDefault="0069608F" w:rsidP="0064737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6D7D553A" w14:textId="101CF57E" w:rsidR="007D067A" w:rsidRPr="00AF49A3" w:rsidRDefault="0069608F" w:rsidP="006960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46123E">
              <w:rPr>
                <w:rFonts w:ascii="ITC Avant Garde" w:eastAsia="Times New Roman" w:hAnsi="ITC Avant Garde" w:cstheme="minorHAnsi"/>
                <w:bCs/>
                <w:sz w:val="16"/>
                <w:szCs w:val="16"/>
                <w:lang w:eastAsia="es-MX"/>
              </w:rPr>
              <w:t xml:space="preserve">Finalmente, es importante mencionar que la atribución en México para el SFS en sentido (espacio-Tierra) en la banda 17.3-17.7 GHz tendrá validez </w:t>
            </w:r>
            <w:r w:rsidR="004A5136">
              <w:rPr>
                <w:rFonts w:ascii="ITC Avant Garde" w:eastAsia="Times New Roman" w:hAnsi="ITC Avant Garde" w:cstheme="minorHAnsi"/>
                <w:bCs/>
                <w:sz w:val="16"/>
                <w:szCs w:val="16"/>
                <w:lang w:eastAsia="es-MX"/>
              </w:rPr>
              <w:t>a partir</w:t>
            </w:r>
            <w:r w:rsidR="00026029" w:rsidRPr="0046123E">
              <w:rPr>
                <w:rFonts w:ascii="ITC Avant Garde" w:eastAsia="Times New Roman" w:hAnsi="ITC Avant Garde" w:cstheme="minorHAnsi"/>
                <w:bCs/>
                <w:sz w:val="16"/>
                <w:szCs w:val="16"/>
                <w:lang w:eastAsia="es-MX"/>
              </w:rPr>
              <w:t xml:space="preserve"> </w:t>
            </w:r>
            <w:r w:rsidR="004A5136">
              <w:rPr>
                <w:rFonts w:ascii="ITC Avant Garde" w:eastAsia="Times New Roman" w:hAnsi="ITC Avant Garde" w:cstheme="minorHAnsi"/>
                <w:bCs/>
                <w:sz w:val="16"/>
                <w:szCs w:val="16"/>
                <w:lang w:eastAsia="es-MX"/>
              </w:rPr>
              <w:t>d</w:t>
            </w:r>
            <w:r w:rsidR="00026029" w:rsidRPr="0046123E">
              <w:rPr>
                <w:rFonts w:ascii="ITC Avant Garde" w:eastAsia="Times New Roman" w:hAnsi="ITC Avant Garde" w:cstheme="minorHAnsi"/>
                <w:bCs/>
                <w:sz w:val="16"/>
                <w:szCs w:val="16"/>
                <w:lang w:eastAsia="es-MX"/>
              </w:rPr>
              <w:t>el 1</w:t>
            </w:r>
            <w:r w:rsidR="004A5136">
              <w:rPr>
                <w:rFonts w:ascii="ITC Avant Garde" w:eastAsia="Times New Roman" w:hAnsi="ITC Avant Garde" w:cstheme="minorHAnsi"/>
                <w:bCs/>
                <w:sz w:val="16"/>
                <w:szCs w:val="16"/>
                <w:lang w:eastAsia="es-MX"/>
              </w:rPr>
              <w:t xml:space="preserve"> </w:t>
            </w:r>
            <w:r w:rsidR="00026029" w:rsidRPr="0046123E">
              <w:rPr>
                <w:rFonts w:ascii="ITC Avant Garde" w:eastAsia="Times New Roman" w:hAnsi="ITC Avant Garde" w:cstheme="minorHAnsi"/>
                <w:bCs/>
                <w:sz w:val="16"/>
                <w:szCs w:val="16"/>
                <w:lang w:eastAsia="es-MX"/>
              </w:rPr>
              <w:t>de enero de 2025</w:t>
            </w:r>
            <w:r w:rsidRPr="0046123E">
              <w:rPr>
                <w:rFonts w:ascii="ITC Avant Garde" w:eastAsia="Times New Roman" w:hAnsi="ITC Avant Garde" w:cstheme="minorHAnsi"/>
                <w:bCs/>
                <w:sz w:val="16"/>
                <w:szCs w:val="16"/>
                <w:lang w:eastAsia="es-MX"/>
              </w:rPr>
              <w:t>,</w:t>
            </w:r>
            <w:r w:rsidR="00026029" w:rsidRPr="0046123E">
              <w:rPr>
                <w:rFonts w:ascii="ITC Avant Garde" w:eastAsia="Times New Roman" w:hAnsi="ITC Avant Garde" w:cstheme="minorHAnsi"/>
                <w:bCs/>
                <w:sz w:val="16"/>
                <w:szCs w:val="16"/>
                <w:lang w:eastAsia="es-MX"/>
              </w:rPr>
              <w:t xml:space="preserve"> fecha de entrada en vigor de</w:t>
            </w:r>
            <w:r w:rsidR="003A4CD4">
              <w:rPr>
                <w:rFonts w:ascii="ITC Avant Garde" w:eastAsia="Times New Roman" w:hAnsi="ITC Avant Garde" w:cstheme="minorHAnsi"/>
                <w:bCs/>
                <w:sz w:val="16"/>
                <w:szCs w:val="16"/>
                <w:lang w:eastAsia="es-MX"/>
              </w:rPr>
              <w:t xml:space="preserve"> las modificaciones al</w:t>
            </w:r>
            <w:r w:rsidR="0064143D">
              <w:rPr>
                <w:rFonts w:ascii="ITC Avant Garde" w:eastAsia="Times New Roman" w:hAnsi="ITC Avant Garde" w:cstheme="minorHAnsi"/>
                <w:bCs/>
                <w:sz w:val="16"/>
                <w:szCs w:val="16"/>
                <w:lang w:eastAsia="es-MX"/>
              </w:rPr>
              <w:t xml:space="preserve"> </w:t>
            </w:r>
            <w:r w:rsidR="00026029" w:rsidRPr="0046123E">
              <w:rPr>
                <w:rFonts w:ascii="ITC Avant Garde" w:eastAsia="Times New Roman" w:hAnsi="ITC Avant Garde" w:cstheme="minorHAnsi"/>
                <w:bCs/>
                <w:sz w:val="16"/>
                <w:szCs w:val="16"/>
                <w:lang w:eastAsia="es-MX"/>
              </w:rPr>
              <w:t>Reglamento de Radiocomunicaciones</w:t>
            </w:r>
            <w:r w:rsidRPr="0046123E">
              <w:rPr>
                <w:rFonts w:ascii="ITC Avant Garde" w:eastAsia="Times New Roman" w:hAnsi="ITC Avant Garde" w:cstheme="minorHAnsi"/>
                <w:bCs/>
                <w:sz w:val="16"/>
                <w:szCs w:val="16"/>
                <w:lang w:eastAsia="es-MX"/>
              </w:rPr>
              <w:t xml:space="preserve"> de la Unión Internacional de Telecomunicaciones.</w:t>
            </w:r>
          </w:p>
        </w:tc>
      </w:tr>
      <w:tr w:rsidR="007D067A" w:rsidRPr="00AF49A3" w14:paraId="10C0BB7B" w14:textId="77777777" w:rsidTr="0028154E">
        <w:trPr>
          <w:trHeight w:val="77"/>
        </w:trPr>
        <w:tc>
          <w:tcPr>
            <w:cnfStyle w:val="001000000000" w:firstRow="0" w:lastRow="0" w:firstColumn="1" w:lastColumn="0" w:oddVBand="0" w:evenVBand="0" w:oddHBand="0" w:evenHBand="0" w:firstRowFirstColumn="0" w:firstRowLastColumn="0" w:lastRowFirstColumn="0" w:lastRowLastColumn="0"/>
            <w:tcW w:w="684" w:type="pct"/>
            <w:tcBorders>
              <w:bottom w:val="single" w:sz="4" w:space="0" w:color="A8D08D" w:themeColor="accent6" w:themeTint="99"/>
              <w:right w:val="single" w:sz="4" w:space="0" w:color="A8D08D" w:themeColor="accent6" w:themeTint="99"/>
            </w:tcBorders>
            <w:shd w:val="clear" w:color="auto" w:fill="auto"/>
            <w:vAlign w:val="center"/>
          </w:tcPr>
          <w:p w14:paraId="7769DCD2" w14:textId="63D135B1" w:rsidR="007D067A" w:rsidRPr="00AF49A3" w:rsidRDefault="007D067A" w:rsidP="00436EB0">
            <w:pPr>
              <w:jc w:val="center"/>
              <w:rPr>
                <w:rFonts w:ascii="ITC Avant Garde" w:eastAsia="Times New Roman" w:hAnsi="ITC Avant Garde" w:cstheme="minorHAnsi"/>
                <w:b w:val="0"/>
                <w:bCs w:val="0"/>
                <w:sz w:val="16"/>
                <w:szCs w:val="16"/>
                <w:lang w:eastAsia="es-MX"/>
              </w:rPr>
            </w:pPr>
            <w:r w:rsidRPr="00AF49A3">
              <w:rPr>
                <w:rFonts w:ascii="ITC Avant Garde" w:eastAsia="Times New Roman" w:hAnsi="ITC Avant Garde" w:cstheme="minorHAnsi"/>
                <w:b w:val="0"/>
                <w:bCs w:val="0"/>
                <w:sz w:val="16"/>
                <w:szCs w:val="16"/>
                <w:lang w:eastAsia="es-MX"/>
              </w:rPr>
              <w:t>Tabla de Atribuciones</w:t>
            </w:r>
          </w:p>
        </w:tc>
        <w:tc>
          <w:tcPr>
            <w:tcW w:w="3000" w:type="pct"/>
            <w:gridSpan w:val="2"/>
            <w:tcBorders>
              <w:bottom w:val="single" w:sz="4" w:space="0" w:color="A8D08D" w:themeColor="accent6" w:themeTint="99"/>
              <w:right w:val="single" w:sz="4" w:space="0" w:color="A8D08D" w:themeColor="accent6" w:themeTint="99"/>
            </w:tcBorders>
            <w:shd w:val="clear" w:color="auto" w:fill="auto"/>
            <w:vAlign w:val="center"/>
          </w:tcPr>
          <w:p w14:paraId="334952CF" w14:textId="0F20492A" w:rsidR="007D067A" w:rsidRPr="00AF49A3" w:rsidRDefault="007D067A" w:rsidP="009A3CAB">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AF49A3">
              <w:rPr>
                <w:rFonts w:ascii="ITC Avant Garde" w:eastAsia="Times New Roman" w:hAnsi="ITC Avant Garde" w:cstheme="minorHAnsi"/>
                <w:sz w:val="16"/>
                <w:szCs w:val="16"/>
                <w:lang w:eastAsia="es-MX"/>
              </w:rPr>
              <w:t>Ver Cuadro en sección III</w:t>
            </w:r>
          </w:p>
        </w:tc>
        <w:tc>
          <w:tcPr>
            <w:tcW w:w="1316" w:type="pct"/>
            <w:gridSpan w:val="2"/>
            <w:vMerge/>
            <w:tcBorders>
              <w:left w:val="single" w:sz="4" w:space="0" w:color="A8D08D" w:themeColor="accent6" w:themeTint="99"/>
            </w:tcBorders>
            <w:shd w:val="clear" w:color="auto" w:fill="auto"/>
            <w:vAlign w:val="center"/>
          </w:tcPr>
          <w:p w14:paraId="1EFAA60B" w14:textId="77777777" w:rsidR="007D067A" w:rsidRPr="00AF49A3" w:rsidRDefault="007D067A" w:rsidP="00436EB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6"/>
                <w:szCs w:val="16"/>
                <w:lang w:eastAsia="es-MX"/>
              </w:rPr>
            </w:pPr>
          </w:p>
        </w:tc>
      </w:tr>
      <w:tr w:rsidR="007D067A" w:rsidRPr="00AF49A3" w14:paraId="29D121AD" w14:textId="77777777" w:rsidTr="0028154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84" w:type="pct"/>
            <w:tcBorders>
              <w:bottom w:val="single" w:sz="6" w:space="0" w:color="70AD47" w:themeColor="accent6"/>
              <w:right w:val="single" w:sz="4" w:space="0" w:color="A8D08D" w:themeColor="accent6" w:themeTint="99"/>
            </w:tcBorders>
            <w:shd w:val="clear" w:color="auto" w:fill="auto"/>
            <w:vAlign w:val="center"/>
          </w:tcPr>
          <w:p w14:paraId="18E6A7EF" w14:textId="6366C355" w:rsidR="007D067A" w:rsidRPr="00AF49A3" w:rsidRDefault="007D067A" w:rsidP="00436EB0">
            <w:pPr>
              <w:jc w:val="center"/>
              <w:rPr>
                <w:rFonts w:ascii="ITC Avant Garde" w:eastAsia="Times New Roman" w:hAnsi="ITC Avant Garde" w:cstheme="minorHAnsi"/>
                <w:b w:val="0"/>
                <w:bCs w:val="0"/>
                <w:sz w:val="16"/>
                <w:szCs w:val="16"/>
                <w:lang w:eastAsia="es-MX"/>
              </w:rPr>
            </w:pPr>
            <w:r w:rsidRPr="00AF49A3">
              <w:rPr>
                <w:rFonts w:ascii="ITC Avant Garde" w:eastAsia="Times New Roman" w:hAnsi="ITC Avant Garde" w:cstheme="minorHAnsi"/>
                <w:b w:val="0"/>
                <w:bCs w:val="0"/>
                <w:sz w:val="16"/>
                <w:szCs w:val="16"/>
                <w:lang w:eastAsia="es-MX"/>
              </w:rPr>
              <w:t>Notas Nacionales</w:t>
            </w:r>
          </w:p>
        </w:tc>
        <w:tc>
          <w:tcPr>
            <w:tcW w:w="3000" w:type="pct"/>
            <w:gridSpan w:val="2"/>
            <w:tcBorders>
              <w:bottom w:val="single" w:sz="6" w:space="0" w:color="70AD47" w:themeColor="accent6"/>
              <w:right w:val="single" w:sz="4" w:space="0" w:color="A8D08D" w:themeColor="accent6" w:themeTint="99"/>
            </w:tcBorders>
            <w:shd w:val="clear" w:color="auto" w:fill="auto"/>
            <w:vAlign w:val="center"/>
          </w:tcPr>
          <w:p w14:paraId="63C54BD9" w14:textId="1C807451" w:rsidR="007D067A" w:rsidRPr="00AF49A3" w:rsidRDefault="007D067A" w:rsidP="009A3CA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AF49A3">
              <w:rPr>
                <w:rFonts w:ascii="ITC Avant Garde" w:eastAsia="Times New Roman" w:hAnsi="ITC Avant Garde" w:cstheme="minorHAnsi"/>
                <w:sz w:val="16"/>
                <w:szCs w:val="16"/>
                <w:lang w:eastAsia="es-MX"/>
              </w:rPr>
              <w:t>Actualizar las dos notas 5.484A y 5.517 modificadas durante la CMR-23 y añadir las notas nuevas 5.515A y 5.515B al CNAF como notas nacionales</w:t>
            </w:r>
          </w:p>
        </w:tc>
        <w:tc>
          <w:tcPr>
            <w:tcW w:w="1316" w:type="pct"/>
            <w:gridSpan w:val="2"/>
            <w:vMerge/>
            <w:tcBorders>
              <w:left w:val="single" w:sz="4" w:space="0" w:color="A8D08D" w:themeColor="accent6" w:themeTint="99"/>
            </w:tcBorders>
            <w:shd w:val="clear" w:color="auto" w:fill="auto"/>
            <w:vAlign w:val="center"/>
          </w:tcPr>
          <w:p w14:paraId="22FB9D60" w14:textId="77777777" w:rsidR="007D067A" w:rsidRPr="00AF49A3" w:rsidRDefault="007D067A"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tc>
      </w:tr>
      <w:tr w:rsidR="007D067A" w:rsidRPr="00AF49A3" w14:paraId="1C20422F" w14:textId="77777777" w:rsidTr="0028154E">
        <w:tblPrEx>
          <w:tblCellMar>
            <w:left w:w="70" w:type="dxa"/>
            <w:right w:w="70" w:type="dxa"/>
          </w:tblCellMar>
        </w:tblPrEx>
        <w:trPr>
          <w:trHeight w:val="77"/>
        </w:trPr>
        <w:tc>
          <w:tcPr>
            <w:cnfStyle w:val="001000000000" w:firstRow="0" w:lastRow="0" w:firstColumn="1" w:lastColumn="0" w:oddVBand="0" w:evenVBand="0" w:oddHBand="0" w:evenHBand="0" w:firstRowFirstColumn="0" w:firstRowLastColumn="0" w:lastRowFirstColumn="0" w:lastRowLastColumn="0"/>
            <w:tcW w:w="687" w:type="pct"/>
            <w:gridSpan w:val="2"/>
            <w:tcBorders>
              <w:top w:val="single" w:sz="6" w:space="0" w:color="70AD47" w:themeColor="accent6"/>
              <w:left w:val="single" w:sz="6" w:space="0" w:color="70AD47" w:themeColor="accent6"/>
              <w:bottom w:val="single" w:sz="6" w:space="0" w:color="70AD47" w:themeColor="accent6"/>
              <w:right w:val="single" w:sz="6" w:space="0" w:color="70AD47" w:themeColor="accent6"/>
            </w:tcBorders>
          </w:tcPr>
          <w:p w14:paraId="1B3F5461" w14:textId="2C63E48A" w:rsidR="007D067A" w:rsidRPr="00AF49A3" w:rsidRDefault="007D067A" w:rsidP="007055F5">
            <w:pPr>
              <w:ind w:hanging="91"/>
              <w:jc w:val="center"/>
              <w:rPr>
                <w:rFonts w:ascii="ITC Avant Garde" w:eastAsia="Times New Roman" w:hAnsi="ITC Avant Garde" w:cstheme="minorHAnsi"/>
                <w:b w:val="0"/>
                <w:bCs w:val="0"/>
                <w:sz w:val="16"/>
                <w:szCs w:val="16"/>
                <w:lang w:eastAsia="es-MX"/>
              </w:rPr>
            </w:pPr>
            <w:r w:rsidRPr="00AF49A3">
              <w:rPr>
                <w:rFonts w:ascii="ITC Avant Garde" w:eastAsia="Times New Roman" w:hAnsi="ITC Avant Garde" w:cstheme="minorHAnsi"/>
                <w:b w:val="0"/>
                <w:bCs w:val="0"/>
                <w:sz w:val="16"/>
                <w:szCs w:val="16"/>
                <w:lang w:eastAsia="es-MX"/>
              </w:rPr>
              <w:t>Observaciones generales</w:t>
            </w:r>
          </w:p>
        </w:tc>
        <w:tc>
          <w:tcPr>
            <w:tcW w:w="2997" w:type="pct"/>
            <w:tcBorders>
              <w:top w:val="single" w:sz="6" w:space="0" w:color="70AD47" w:themeColor="accent6"/>
              <w:left w:val="single" w:sz="6" w:space="0" w:color="70AD47" w:themeColor="accent6"/>
              <w:bottom w:val="single" w:sz="6" w:space="0" w:color="70AD47" w:themeColor="accent6"/>
              <w:right w:val="single" w:sz="4" w:space="0" w:color="A8D08D" w:themeColor="accent6" w:themeTint="99"/>
            </w:tcBorders>
          </w:tcPr>
          <w:p w14:paraId="33B1B525" w14:textId="7B6ABC9F" w:rsidR="007D067A" w:rsidRPr="00AF49A3" w:rsidRDefault="007D067A" w:rsidP="007055F5">
            <w:pPr>
              <w:cnfStyle w:val="000000000000" w:firstRow="0" w:lastRow="0" w:firstColumn="0" w:lastColumn="0" w:oddVBand="0" w:evenVBand="0" w:oddHBand="0" w:evenHBand="0" w:firstRowFirstColumn="0" w:firstRowLastColumn="0" w:lastRowFirstColumn="0" w:lastRowLastColumn="0"/>
              <w:rPr>
                <w:noProof/>
                <w:sz w:val="16"/>
                <w:szCs w:val="16"/>
              </w:rPr>
            </w:pPr>
            <w:r w:rsidRPr="00AF49A3">
              <w:rPr>
                <w:rFonts w:ascii="ITC Avant Garde" w:eastAsia="Times New Roman" w:hAnsi="ITC Avant Garde" w:cstheme="minorHAnsi"/>
                <w:sz w:val="16"/>
                <w:szCs w:val="16"/>
                <w:lang w:eastAsia="es-MX"/>
              </w:rPr>
              <w:t>Se propone incluir la modificación siguiente al CNAF de conformidad con las Actas Finales de la CMR-23:</w:t>
            </w:r>
            <w:r w:rsidRPr="00AF49A3">
              <w:rPr>
                <w:noProof/>
                <w:sz w:val="16"/>
                <w:szCs w:val="16"/>
              </w:rPr>
              <w:t xml:space="preserve"> </w:t>
            </w:r>
          </w:p>
          <w:p w14:paraId="5623E9C1" w14:textId="437F29BA" w:rsidR="007D067A" w:rsidRPr="00AF49A3" w:rsidRDefault="007D067A" w:rsidP="007D067A">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AF49A3">
              <w:rPr>
                <w:noProof/>
                <w:sz w:val="16"/>
                <w:szCs w:val="16"/>
              </w:rPr>
              <w:drawing>
                <wp:inline distT="0" distB="0" distL="0" distR="0" wp14:anchorId="0070A3E2" wp14:editId="7C4BCA5F">
                  <wp:extent cx="3001831" cy="1200150"/>
                  <wp:effectExtent l="0" t="0" r="8255" b="0"/>
                  <wp:docPr id="3" name="Imagen 2">
                    <a:extLst xmlns:a="http://schemas.openxmlformats.org/drawingml/2006/main">
                      <a:ext uri="{FF2B5EF4-FFF2-40B4-BE49-F238E27FC236}">
                        <a16:creationId xmlns:a16="http://schemas.microsoft.com/office/drawing/2014/main" id="{2FA019E6-3018-CBCE-FA4C-93E1F35C78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A019E6-3018-CBCE-FA4C-93E1F35C785E}"/>
                              </a:ext>
                            </a:extLst>
                          </pic:cNvPr>
                          <pic:cNvPicPr>
                            <a:picLocks noChangeAspect="1"/>
                          </pic:cNvPicPr>
                        </pic:nvPicPr>
                        <pic:blipFill>
                          <a:blip r:embed="rId14"/>
                          <a:stretch>
                            <a:fillRect/>
                          </a:stretch>
                        </pic:blipFill>
                        <pic:spPr>
                          <a:xfrm>
                            <a:off x="0" y="0"/>
                            <a:ext cx="3001831" cy="1200150"/>
                          </a:xfrm>
                          <a:prstGeom prst="rect">
                            <a:avLst/>
                          </a:prstGeom>
                        </pic:spPr>
                      </pic:pic>
                    </a:graphicData>
                  </a:graphic>
                </wp:inline>
              </w:drawing>
            </w:r>
          </w:p>
        </w:tc>
        <w:tc>
          <w:tcPr>
            <w:tcW w:w="1316" w:type="pct"/>
            <w:gridSpan w:val="2"/>
            <w:vMerge/>
            <w:tcBorders>
              <w:left w:val="single" w:sz="4" w:space="0" w:color="A8D08D" w:themeColor="accent6" w:themeTint="99"/>
              <w:bottom w:val="single" w:sz="6" w:space="0" w:color="70AD47" w:themeColor="accent6"/>
            </w:tcBorders>
          </w:tcPr>
          <w:p w14:paraId="23A56BAB" w14:textId="54B1E75A" w:rsidR="007D067A" w:rsidRPr="00AF49A3" w:rsidRDefault="007D067A" w:rsidP="00436EB0">
            <w:pPr>
              <w:ind w:left="432" w:hanging="425"/>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6"/>
                <w:szCs w:val="16"/>
                <w:lang w:eastAsia="es-MX"/>
              </w:rPr>
            </w:pPr>
          </w:p>
        </w:tc>
      </w:tr>
    </w:tbl>
    <w:p w14:paraId="11D5409D" w14:textId="789259FC" w:rsidR="008F18D7" w:rsidRDefault="008F18D7" w:rsidP="00436EB0">
      <w:pPr>
        <w:spacing w:after="0" w:line="240" w:lineRule="auto"/>
        <w:jc w:val="both"/>
        <w:rPr>
          <w:rFonts w:ascii="ITC Avant Garde" w:hAnsi="ITC Avant Garde"/>
          <w:color w:val="000000"/>
          <w:sz w:val="14"/>
          <w:szCs w:val="14"/>
          <w:shd w:val="clear" w:color="auto" w:fill="FFFFFF"/>
        </w:rPr>
      </w:pPr>
    </w:p>
    <w:p w14:paraId="3082028D" w14:textId="77777777" w:rsidR="009A3CAB" w:rsidRDefault="009A3CAB" w:rsidP="00436EB0">
      <w:pPr>
        <w:spacing w:after="0" w:line="240" w:lineRule="auto"/>
        <w:jc w:val="both"/>
        <w:rPr>
          <w:rFonts w:ascii="ITC Avant Garde" w:hAnsi="ITC Avant Garde"/>
          <w:color w:val="000000"/>
          <w:sz w:val="14"/>
          <w:szCs w:val="14"/>
          <w:shd w:val="clear" w:color="auto" w:fill="FFFFFF"/>
        </w:rPr>
      </w:pPr>
    </w:p>
    <w:p w14:paraId="59B9B7A3" w14:textId="77777777" w:rsidR="00CF53BE" w:rsidRDefault="00CF53BE" w:rsidP="00436EB0">
      <w:pPr>
        <w:spacing w:after="0" w:line="240" w:lineRule="auto"/>
        <w:jc w:val="both"/>
        <w:rPr>
          <w:rFonts w:ascii="ITC Avant Garde" w:hAnsi="ITC Avant Garde"/>
          <w:color w:val="000000"/>
          <w:sz w:val="14"/>
          <w:szCs w:val="14"/>
          <w:shd w:val="clear" w:color="auto" w:fill="FFFFFF"/>
        </w:rPr>
      </w:pPr>
    </w:p>
    <w:p w14:paraId="171B0FC1" w14:textId="77777777" w:rsidR="00CF53BE" w:rsidRDefault="00CF53BE" w:rsidP="00436EB0">
      <w:pPr>
        <w:spacing w:after="0" w:line="240" w:lineRule="auto"/>
        <w:jc w:val="both"/>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5B2959" w:rsidRPr="0046123E" w14:paraId="79372A32" w14:textId="77777777" w:rsidTr="00436EB0">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21DEBE4C" w14:textId="353880B0" w:rsidR="005B2959" w:rsidRPr="0046123E" w:rsidRDefault="005B2959" w:rsidP="00A94DEA">
            <w:pPr>
              <w:ind w:left="316"/>
              <w:jc w:val="center"/>
              <w:rPr>
                <w:rFonts w:ascii="ITC Avant Garde" w:hAnsi="ITC Avant Garde"/>
                <w:b w:val="0"/>
                <w:sz w:val="16"/>
                <w:szCs w:val="16"/>
                <w:lang w:eastAsia="es-MX"/>
              </w:rPr>
            </w:pPr>
            <w:r w:rsidRPr="0046123E">
              <w:rPr>
                <w:rFonts w:ascii="ITC Avant Garde" w:hAnsi="ITC Avant Garde"/>
                <w:sz w:val="16"/>
                <w:szCs w:val="16"/>
                <w:lang w:eastAsia="es-MX"/>
              </w:rPr>
              <w:lastRenderedPageBreak/>
              <w:t xml:space="preserve">Comentarios, opiniones, propuestas y aportaciones específicos de la persona participante sobre el asunto en </w:t>
            </w:r>
            <w:r w:rsidR="0025469D" w:rsidRPr="0046123E">
              <w:rPr>
                <w:rFonts w:ascii="ITC Avant Garde" w:hAnsi="ITC Avant Garde"/>
                <w:sz w:val="16"/>
                <w:szCs w:val="16"/>
                <w:lang w:eastAsia="es-MX"/>
              </w:rPr>
              <w:t>C</w:t>
            </w:r>
            <w:r w:rsidRPr="0046123E">
              <w:rPr>
                <w:rFonts w:ascii="ITC Avant Garde" w:hAnsi="ITC Avant Garde"/>
                <w:sz w:val="16"/>
                <w:szCs w:val="16"/>
                <w:lang w:eastAsia="es-MX"/>
              </w:rPr>
              <w:t xml:space="preserve">onsulta </w:t>
            </w:r>
            <w:r w:rsidR="0025469D" w:rsidRPr="0046123E">
              <w:rPr>
                <w:rFonts w:ascii="ITC Avant Garde" w:hAnsi="ITC Avant Garde"/>
                <w:sz w:val="16"/>
                <w:szCs w:val="16"/>
                <w:lang w:eastAsia="es-MX"/>
              </w:rPr>
              <w:t>P</w:t>
            </w:r>
            <w:r w:rsidRPr="0046123E">
              <w:rPr>
                <w:rFonts w:ascii="ITC Avant Garde" w:hAnsi="ITC Avant Garde"/>
                <w:sz w:val="16"/>
                <w:szCs w:val="16"/>
                <w:lang w:eastAsia="es-MX"/>
              </w:rPr>
              <w:t>ública</w:t>
            </w:r>
          </w:p>
        </w:tc>
      </w:tr>
      <w:tr w:rsidR="00A94DEA" w:rsidRPr="0046123E" w14:paraId="6AE61733" w14:textId="77777777" w:rsidTr="007D067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545AB008" w14:textId="77777777" w:rsidR="005B2959" w:rsidRPr="0046123E" w:rsidRDefault="005B2959" w:rsidP="00A94DEA">
            <w:pPr>
              <w:ind w:left="316"/>
              <w:rPr>
                <w:rFonts w:ascii="ITC Avant Garde" w:hAnsi="ITC Avant Garde"/>
                <w:sz w:val="16"/>
                <w:szCs w:val="16"/>
                <w:lang w:eastAsia="es-MX"/>
              </w:rPr>
            </w:pPr>
            <w:r w:rsidRPr="0046123E">
              <w:rPr>
                <w:rFonts w:ascii="ITC Avant Garde" w:hAnsi="ITC Avant Garde"/>
                <w:color w:val="FFFFFF" w:themeColor="background1"/>
                <w:sz w:val="16"/>
                <w:szCs w:val="16"/>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6200417" w14:textId="3ED43C10" w:rsidR="005B2959" w:rsidRPr="0046123E" w:rsidRDefault="007D067A" w:rsidP="00A94DEA">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lang w:val="fr-FR" w:eastAsia="es-MX"/>
              </w:rPr>
            </w:pPr>
            <w:r w:rsidRPr="0046123E">
              <w:rPr>
                <w:rFonts w:ascii="ITC Avant Garde" w:hAnsi="ITC Avant Garde"/>
                <w:sz w:val="16"/>
                <w:szCs w:val="16"/>
                <w:lang w:val="fr-FR" w:eastAsia="es-MX"/>
              </w:rPr>
              <w:t>QUETZSAT, S. de R.L. de C.V.</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0549B063" w14:textId="77777777" w:rsidR="005B2959" w:rsidRPr="0046123E" w:rsidRDefault="005B2959" w:rsidP="00436EB0">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sz w:val="16"/>
                <w:szCs w:val="16"/>
                <w:lang w:eastAsia="es-MX"/>
              </w:rPr>
            </w:pPr>
            <w:r w:rsidRPr="0046123E">
              <w:rPr>
                <w:rFonts w:ascii="ITC Avant Garde" w:hAnsi="ITC Avant Garde"/>
                <w:b/>
                <w:color w:val="FFFFFF" w:themeColor="background1"/>
                <w:sz w:val="16"/>
                <w:szCs w:val="16"/>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7008B1F" w14:textId="763229D7" w:rsidR="005B2959" w:rsidRPr="0046123E" w:rsidRDefault="007D067A" w:rsidP="00436EB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lang w:eastAsia="es-MX"/>
              </w:rPr>
            </w:pPr>
            <w:r w:rsidRPr="0046123E">
              <w:rPr>
                <w:rFonts w:ascii="ITC Avant Garde" w:hAnsi="ITC Avant Garde"/>
                <w:color w:val="000000" w:themeColor="text1"/>
                <w:sz w:val="16"/>
                <w:szCs w:val="16"/>
                <w:lang w:eastAsia="es-MX"/>
              </w:rPr>
              <w:t>20240626-CP_CNAF-002</w:t>
            </w:r>
          </w:p>
        </w:tc>
      </w:tr>
      <w:tr w:rsidR="005B2959" w:rsidRPr="0046123E" w14:paraId="50EE16FC" w14:textId="77777777" w:rsidTr="007D067A">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1814F1F2" w14:textId="77777777" w:rsidR="005B2959" w:rsidRPr="0046123E" w:rsidRDefault="005B2959" w:rsidP="00A94DEA">
            <w:pPr>
              <w:jc w:val="center"/>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76929279" w14:textId="77777777" w:rsidR="005B2959" w:rsidRPr="0046123E" w:rsidRDefault="005B2959"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46123E">
              <w:rPr>
                <w:rFonts w:ascii="ITC Avant Garde" w:eastAsia="Times New Roman" w:hAnsi="ITC Avant Garde" w:cstheme="minorHAnsi"/>
                <w:b/>
                <w:sz w:val="16"/>
                <w:szCs w:val="16"/>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700A29AF" w14:textId="77777777" w:rsidR="005B2959" w:rsidRPr="0046123E" w:rsidRDefault="005B2959" w:rsidP="00436EB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46123E">
              <w:rPr>
                <w:rFonts w:ascii="ITC Avant Garde" w:eastAsia="Times New Roman" w:hAnsi="ITC Avant Garde" w:cstheme="minorHAnsi"/>
                <w:b/>
                <w:sz w:val="16"/>
                <w:szCs w:val="16"/>
                <w:lang w:eastAsia="es-MX"/>
              </w:rPr>
              <w:t>Respuesta del Instituto</w:t>
            </w:r>
          </w:p>
        </w:tc>
      </w:tr>
      <w:tr w:rsidR="00AF49A3" w:rsidRPr="0046123E" w14:paraId="3707E86F" w14:textId="77777777" w:rsidTr="007D067A">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58F4977D" w14:textId="6E9C5014" w:rsidR="00AF49A3" w:rsidRPr="0046123E" w:rsidRDefault="00AF49A3" w:rsidP="00A94DEA">
            <w:pPr>
              <w:jc w:val="center"/>
              <w:rPr>
                <w:rFonts w:ascii="ITC Avant Garde" w:eastAsia="Times New Roman" w:hAnsi="ITC Avant Garde" w:cstheme="minorHAnsi"/>
                <w:b w:val="0"/>
                <w:sz w:val="16"/>
                <w:szCs w:val="16"/>
                <w:lang w:eastAsia="es-MX"/>
              </w:rPr>
            </w:pPr>
            <w:r w:rsidRPr="0046123E">
              <w:rPr>
                <w:rFonts w:ascii="ITC Avant Garde" w:eastAsia="Times New Roman" w:hAnsi="ITC Avant Garde" w:cstheme="minorHAnsi"/>
                <w:b w:val="0"/>
                <w:sz w:val="16"/>
                <w:szCs w:val="16"/>
                <w:lang w:eastAsia="es-MX"/>
              </w:rPr>
              <w:t>Sección introductoria</w:t>
            </w:r>
          </w:p>
        </w:tc>
        <w:tc>
          <w:tcPr>
            <w:tcW w:w="2964" w:type="pct"/>
            <w:tcBorders>
              <w:right w:val="single" w:sz="4" w:space="0" w:color="A8D08D" w:themeColor="accent6" w:themeTint="99"/>
            </w:tcBorders>
            <w:shd w:val="clear" w:color="auto" w:fill="auto"/>
            <w:vAlign w:val="center"/>
          </w:tcPr>
          <w:p w14:paraId="49B6C29C" w14:textId="77777777" w:rsidR="00AF49A3" w:rsidRPr="0046123E" w:rsidRDefault="00AF49A3"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sz w:val="16"/>
                <w:szCs w:val="16"/>
                <w:lang w:eastAsia="es-MX"/>
              </w:rPr>
            </w:pPr>
            <w:r w:rsidRPr="0046123E">
              <w:rPr>
                <w:rFonts w:ascii="ITC Avant Garde" w:eastAsia="Times New Roman" w:hAnsi="ITC Avant Garde" w:cstheme="minorHAnsi"/>
                <w:b/>
                <w:sz w:val="16"/>
                <w:szCs w:val="16"/>
                <w:lang w:eastAsia="es-MX"/>
              </w:rPr>
              <w:t>Quinto</w:t>
            </w:r>
          </w:p>
          <w:p w14:paraId="0354B5A4" w14:textId="77777777" w:rsidR="00AF49A3" w:rsidRPr="0046123E" w:rsidRDefault="00AF49A3"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QUETZSAT apoya los comentarios de SES México sobre la importancia de actualizar el Cuadro Nacional de Atribución de Frecuencias (CNAF) para que incluya las decisiones adoptadas durante la CMR-23 y coincida con la entrada en vigor, el 1º de enero de 2025, del nuevo Reglamento de Radiocomunicaciones.</w:t>
            </w:r>
          </w:p>
          <w:p w14:paraId="63C8F552" w14:textId="77777777" w:rsidR="00AF49A3" w:rsidRPr="0046123E" w:rsidRDefault="00AF49A3"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 </w:t>
            </w:r>
          </w:p>
          <w:p w14:paraId="2F783318" w14:textId="061F6785" w:rsidR="00AF49A3" w:rsidRPr="0046123E" w:rsidRDefault="00AF49A3"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Respecto a las operaciones en la nueva atribución 17,3-17,7 GHz al Servicio Fijo por Satélite (“SFS”) en la dirección espacio-Tierra, estas deberán cumplir con los parámetros técnicos de protección establecidos en las notas de pie de página 5.484A y 5.517 modificadas y las nuevas notas 5.515A y 5.515B, además de los parámetros aplicables del Reglamento de Radiocomunicaciones. </w:t>
            </w:r>
          </w:p>
          <w:p w14:paraId="314CE434" w14:textId="77777777" w:rsidR="00AF49A3" w:rsidRPr="0046123E" w:rsidRDefault="00AF49A3"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34EC46E6" w14:textId="6DDB797A" w:rsidR="00AF49A3" w:rsidRPr="0046123E" w:rsidRDefault="00AF49A3"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QUETZSAT considera que estas notas deberían reflejarse como notas nacionales en la versión actualizada del CNAF.</w:t>
            </w:r>
          </w:p>
        </w:tc>
        <w:tc>
          <w:tcPr>
            <w:tcW w:w="1316" w:type="pct"/>
            <w:gridSpan w:val="2"/>
            <w:vMerge w:val="restart"/>
            <w:tcBorders>
              <w:left w:val="single" w:sz="4" w:space="0" w:color="A8D08D" w:themeColor="accent6" w:themeTint="99"/>
            </w:tcBorders>
            <w:shd w:val="clear" w:color="auto" w:fill="auto"/>
            <w:vAlign w:val="center"/>
          </w:tcPr>
          <w:p w14:paraId="4070791A" w14:textId="6F3AACF6" w:rsidR="00127811" w:rsidRPr="0046123E" w:rsidRDefault="00026029" w:rsidP="0002602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46123E">
              <w:rPr>
                <w:rFonts w:ascii="ITC Avant Garde" w:eastAsia="Times New Roman" w:hAnsi="ITC Avant Garde" w:cstheme="minorHAnsi"/>
                <w:bCs/>
                <w:sz w:val="16"/>
                <w:szCs w:val="16"/>
                <w:lang w:eastAsia="es-MX"/>
              </w:rPr>
              <w:t xml:space="preserve">El Instituto Federal de Telecomunicaciones agradece la manifestación realizada por la empresa </w:t>
            </w:r>
            <w:r w:rsidR="00290A1C" w:rsidRPr="00DA18BF">
              <w:rPr>
                <w:rFonts w:ascii="ITC Avant Garde" w:eastAsia="Times New Roman" w:hAnsi="ITC Avant Garde" w:cstheme="minorHAnsi"/>
                <w:b/>
                <w:bCs/>
                <w:sz w:val="16"/>
                <w:szCs w:val="16"/>
                <w:lang w:eastAsia="es-MX"/>
              </w:rPr>
              <w:t>QUETZ</w:t>
            </w:r>
            <w:r w:rsidR="00280301">
              <w:rPr>
                <w:rFonts w:ascii="ITC Avant Garde" w:eastAsia="Times New Roman" w:hAnsi="ITC Avant Garde" w:cstheme="minorHAnsi"/>
                <w:b/>
                <w:bCs/>
                <w:sz w:val="16"/>
                <w:szCs w:val="16"/>
                <w:lang w:eastAsia="es-MX"/>
              </w:rPr>
              <w:t>S</w:t>
            </w:r>
            <w:r w:rsidR="00290A1C" w:rsidRPr="00DA18BF">
              <w:rPr>
                <w:rFonts w:ascii="ITC Avant Garde" w:eastAsia="Times New Roman" w:hAnsi="ITC Avant Garde" w:cstheme="minorHAnsi"/>
                <w:b/>
                <w:bCs/>
                <w:sz w:val="16"/>
                <w:szCs w:val="16"/>
                <w:lang w:eastAsia="es-MX"/>
              </w:rPr>
              <w:t xml:space="preserve">AT, </w:t>
            </w:r>
            <w:r w:rsidR="00127811" w:rsidRPr="00DA18BF">
              <w:rPr>
                <w:rFonts w:ascii="ITC Avant Garde" w:eastAsia="Times New Roman" w:hAnsi="ITC Avant Garde" w:cstheme="minorHAnsi"/>
                <w:b/>
                <w:bCs/>
                <w:sz w:val="16"/>
                <w:szCs w:val="16"/>
                <w:lang w:eastAsia="es-MX"/>
              </w:rPr>
              <w:t xml:space="preserve">S. </w:t>
            </w:r>
            <w:r w:rsidR="00290A1C" w:rsidRPr="00DA18BF">
              <w:rPr>
                <w:rFonts w:ascii="ITC Avant Garde" w:eastAsia="Times New Roman" w:hAnsi="ITC Avant Garde" w:cstheme="minorHAnsi"/>
                <w:b/>
                <w:bCs/>
                <w:sz w:val="16"/>
                <w:szCs w:val="16"/>
                <w:lang w:eastAsia="es-MX"/>
              </w:rPr>
              <w:t>de R.L. de C.V.</w:t>
            </w:r>
            <w:r w:rsidRPr="0046123E">
              <w:rPr>
                <w:rFonts w:ascii="ITC Avant Garde" w:eastAsia="Times New Roman" w:hAnsi="ITC Avant Garde" w:cstheme="minorHAnsi"/>
                <w:bCs/>
                <w:sz w:val="16"/>
                <w:szCs w:val="16"/>
                <w:lang w:eastAsia="es-MX"/>
              </w:rPr>
              <w:t xml:space="preserve"> referente a su propuesta de incluir en el CNAF la</w:t>
            </w:r>
            <w:r w:rsidR="00127811" w:rsidRPr="0046123E">
              <w:rPr>
                <w:rFonts w:ascii="ITC Avant Garde" w:eastAsia="Times New Roman" w:hAnsi="ITC Avant Garde" w:cstheme="minorHAnsi"/>
                <w:bCs/>
                <w:sz w:val="16"/>
                <w:szCs w:val="16"/>
                <w:lang w:eastAsia="es-MX"/>
              </w:rPr>
              <w:t xml:space="preserve">s decisiones adoptadas durante la CMR-23, en particular </w:t>
            </w:r>
            <w:r w:rsidR="00A10D71" w:rsidRPr="0046123E">
              <w:rPr>
                <w:rFonts w:ascii="ITC Avant Garde" w:eastAsia="Times New Roman" w:hAnsi="ITC Avant Garde" w:cstheme="minorHAnsi"/>
                <w:bCs/>
                <w:sz w:val="16"/>
                <w:szCs w:val="16"/>
                <w:lang w:eastAsia="es-MX"/>
              </w:rPr>
              <w:t xml:space="preserve">a la actualización de las </w:t>
            </w:r>
            <w:r w:rsidR="00127811" w:rsidRPr="0046123E">
              <w:rPr>
                <w:rFonts w:ascii="ITC Avant Garde" w:eastAsia="Times New Roman" w:hAnsi="ITC Avant Garde" w:cstheme="minorHAnsi"/>
                <w:bCs/>
                <w:sz w:val="16"/>
                <w:szCs w:val="16"/>
                <w:lang w:eastAsia="es-MX"/>
              </w:rPr>
              <w:t>notas internacionales 5.484A, 5.517, 5.515</w:t>
            </w:r>
            <w:r w:rsidR="00D45E1F" w:rsidRPr="0046123E">
              <w:rPr>
                <w:rFonts w:ascii="ITC Avant Garde" w:eastAsia="Times New Roman" w:hAnsi="ITC Avant Garde" w:cstheme="minorHAnsi"/>
                <w:bCs/>
                <w:sz w:val="16"/>
                <w:szCs w:val="16"/>
                <w:lang w:eastAsia="es-MX"/>
              </w:rPr>
              <w:t>A</w:t>
            </w:r>
            <w:r w:rsidR="00A10D71" w:rsidRPr="0046123E">
              <w:rPr>
                <w:rFonts w:ascii="ITC Avant Garde" w:eastAsia="Times New Roman" w:hAnsi="ITC Avant Garde" w:cstheme="minorHAnsi"/>
                <w:bCs/>
                <w:sz w:val="16"/>
                <w:szCs w:val="16"/>
                <w:lang w:eastAsia="es-MX"/>
              </w:rPr>
              <w:t xml:space="preserve">, </w:t>
            </w:r>
            <w:r w:rsidR="00127811" w:rsidRPr="0046123E">
              <w:rPr>
                <w:rFonts w:ascii="ITC Avant Garde" w:eastAsia="Times New Roman" w:hAnsi="ITC Avant Garde" w:cstheme="minorHAnsi"/>
                <w:bCs/>
                <w:sz w:val="16"/>
                <w:szCs w:val="16"/>
                <w:lang w:eastAsia="es-MX"/>
              </w:rPr>
              <w:t>5.515B</w:t>
            </w:r>
            <w:r w:rsidR="00A10D71" w:rsidRPr="0046123E">
              <w:rPr>
                <w:rFonts w:ascii="ITC Avant Garde" w:eastAsia="Times New Roman" w:hAnsi="ITC Avant Garde" w:cstheme="minorHAnsi"/>
                <w:bCs/>
                <w:sz w:val="16"/>
                <w:szCs w:val="16"/>
                <w:lang w:eastAsia="es-MX"/>
              </w:rPr>
              <w:t xml:space="preserve"> y que estas deban reflejarse </w:t>
            </w:r>
            <w:r w:rsidR="003A4CD4">
              <w:rPr>
                <w:rFonts w:ascii="ITC Avant Garde" w:eastAsia="Times New Roman" w:hAnsi="ITC Avant Garde" w:cstheme="minorHAnsi"/>
                <w:bCs/>
                <w:sz w:val="16"/>
                <w:szCs w:val="16"/>
                <w:lang w:eastAsia="es-MX"/>
              </w:rPr>
              <w:t>en el CNAF</w:t>
            </w:r>
            <w:r w:rsidR="00D4164E" w:rsidRPr="0046123E">
              <w:rPr>
                <w:rFonts w:ascii="ITC Avant Garde" w:eastAsia="Times New Roman" w:hAnsi="ITC Avant Garde" w:cstheme="minorHAnsi"/>
                <w:bCs/>
                <w:sz w:val="16"/>
                <w:szCs w:val="16"/>
                <w:lang w:eastAsia="es-MX"/>
              </w:rPr>
              <w:t xml:space="preserve">, así como </w:t>
            </w:r>
            <w:r w:rsidR="0069608F" w:rsidRPr="0046123E">
              <w:rPr>
                <w:rFonts w:ascii="ITC Avant Garde" w:eastAsia="Times New Roman" w:hAnsi="ITC Avant Garde" w:cstheme="minorHAnsi"/>
                <w:bCs/>
                <w:sz w:val="16"/>
                <w:szCs w:val="16"/>
                <w:lang w:eastAsia="es-MX"/>
              </w:rPr>
              <w:t xml:space="preserve">de su manifestación de apoyo a </w:t>
            </w:r>
            <w:r w:rsidR="00D4164E" w:rsidRPr="0046123E">
              <w:rPr>
                <w:rFonts w:ascii="ITC Avant Garde" w:eastAsia="Times New Roman" w:hAnsi="ITC Avant Garde" w:cstheme="minorHAnsi"/>
                <w:bCs/>
                <w:sz w:val="16"/>
                <w:szCs w:val="16"/>
                <w:lang w:eastAsia="es-MX"/>
              </w:rPr>
              <w:t>la propuesta de SES México indicado en el comentario anterior</w:t>
            </w:r>
          </w:p>
          <w:p w14:paraId="563F19C6" w14:textId="77777777" w:rsidR="00127811" w:rsidRPr="0046123E" w:rsidRDefault="00127811" w:rsidP="0002602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7558D3E3" w14:textId="5DB360DB" w:rsidR="0069608F" w:rsidRPr="0046123E" w:rsidRDefault="00026029" w:rsidP="006960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46123E">
              <w:rPr>
                <w:rFonts w:ascii="ITC Avant Garde" w:eastAsia="Times New Roman" w:hAnsi="ITC Avant Garde" w:cstheme="minorHAnsi"/>
                <w:bCs/>
                <w:sz w:val="16"/>
                <w:szCs w:val="16"/>
                <w:lang w:eastAsia="es-MX"/>
              </w:rPr>
              <w:t xml:space="preserve">En este sentido, </w:t>
            </w:r>
            <w:r w:rsidRPr="0046123E">
              <w:rPr>
                <w:rFonts w:ascii="ITC Avant Garde" w:eastAsia="Times New Roman" w:hAnsi="ITC Avant Garde" w:cstheme="minorHAnsi"/>
                <w:b/>
                <w:bCs/>
                <w:sz w:val="16"/>
                <w:szCs w:val="16"/>
                <w:lang w:eastAsia="es-MX"/>
              </w:rPr>
              <w:t>se considera procedente</w:t>
            </w:r>
            <w:r w:rsidRPr="0046123E">
              <w:rPr>
                <w:rFonts w:ascii="ITC Avant Garde" w:eastAsia="Times New Roman" w:hAnsi="ITC Avant Garde" w:cstheme="minorHAnsi"/>
                <w:bCs/>
                <w:sz w:val="16"/>
                <w:szCs w:val="16"/>
                <w:lang w:eastAsia="es-MX"/>
              </w:rPr>
              <w:t xml:space="preserve"> </w:t>
            </w:r>
            <w:r w:rsidR="00AF72C6">
              <w:rPr>
                <w:rFonts w:ascii="ITC Avant Garde" w:eastAsia="Times New Roman" w:hAnsi="ITC Avant Garde" w:cstheme="minorHAnsi"/>
                <w:bCs/>
                <w:sz w:val="16"/>
                <w:szCs w:val="16"/>
                <w:lang w:eastAsia="es-MX"/>
              </w:rPr>
              <w:t xml:space="preserve">reflejar </w:t>
            </w:r>
            <w:r w:rsidRPr="0046123E">
              <w:rPr>
                <w:rFonts w:ascii="ITC Avant Garde" w:eastAsia="Times New Roman" w:hAnsi="ITC Avant Garde" w:cstheme="minorHAnsi"/>
                <w:bCs/>
                <w:sz w:val="16"/>
                <w:szCs w:val="16"/>
                <w:lang w:eastAsia="es-MX"/>
              </w:rPr>
              <w:t xml:space="preserve">la atribución de la banda de frecuencias 17.3-17.7 GHz al Servicio Fijo por </w:t>
            </w:r>
            <w:r w:rsidR="00280301" w:rsidRPr="0046123E">
              <w:rPr>
                <w:rFonts w:ascii="ITC Avant Garde" w:eastAsia="Times New Roman" w:hAnsi="ITC Avant Garde" w:cstheme="minorHAnsi"/>
                <w:bCs/>
                <w:sz w:val="16"/>
                <w:szCs w:val="16"/>
                <w:lang w:eastAsia="es-MX"/>
              </w:rPr>
              <w:t>Satélite</w:t>
            </w:r>
            <w:r w:rsidRPr="0046123E">
              <w:rPr>
                <w:rFonts w:ascii="ITC Avant Garde" w:eastAsia="Times New Roman" w:hAnsi="ITC Avant Garde" w:cstheme="minorHAnsi"/>
                <w:bCs/>
                <w:sz w:val="16"/>
                <w:szCs w:val="16"/>
                <w:lang w:eastAsia="es-MX"/>
              </w:rPr>
              <w:t xml:space="preserve"> en el sentido (espacio-Tierra) en la Región 2 y notas internacionales asociadas, así como la atribución en México para el SFS (espacio-Tierra) en la banda 17.3-17.7 GHz. </w:t>
            </w:r>
            <w:r w:rsidR="0069608F" w:rsidRPr="0046123E">
              <w:rPr>
                <w:rFonts w:ascii="ITC Avant Garde" w:eastAsia="Times New Roman" w:hAnsi="ITC Avant Garde" w:cstheme="minorHAnsi"/>
                <w:bCs/>
                <w:sz w:val="16"/>
                <w:szCs w:val="16"/>
                <w:lang w:eastAsia="es-MX"/>
              </w:rPr>
              <w:t xml:space="preserve">Sin embargo, en lo que respecta a la adición de las notas 5.484A, 5.517, 5.515A y 5.515B como notas nacionales </w:t>
            </w:r>
            <w:r w:rsidR="0069608F" w:rsidRPr="0046123E">
              <w:rPr>
                <w:rFonts w:ascii="ITC Avant Garde" w:eastAsia="Times New Roman" w:hAnsi="ITC Avant Garde" w:cstheme="minorHAnsi"/>
                <w:b/>
                <w:bCs/>
                <w:sz w:val="16"/>
                <w:szCs w:val="16"/>
                <w:lang w:eastAsia="es-MX"/>
              </w:rPr>
              <w:t>no</w:t>
            </w:r>
            <w:r w:rsidR="0069608F" w:rsidRPr="0046123E">
              <w:rPr>
                <w:rFonts w:ascii="ITC Avant Garde" w:eastAsia="Times New Roman" w:hAnsi="ITC Avant Garde" w:cstheme="minorHAnsi"/>
                <w:bCs/>
                <w:sz w:val="16"/>
                <w:szCs w:val="16"/>
                <w:lang w:eastAsia="es-MX"/>
              </w:rPr>
              <w:t xml:space="preserve"> </w:t>
            </w:r>
            <w:r w:rsidR="0069608F" w:rsidRPr="0046123E">
              <w:rPr>
                <w:rFonts w:ascii="ITC Avant Garde" w:eastAsia="Times New Roman" w:hAnsi="ITC Avant Garde" w:cstheme="minorHAnsi"/>
                <w:b/>
                <w:bCs/>
                <w:sz w:val="16"/>
                <w:szCs w:val="16"/>
                <w:lang w:eastAsia="es-MX"/>
              </w:rPr>
              <w:t>se considera procedente</w:t>
            </w:r>
            <w:r w:rsidR="0069608F" w:rsidRPr="0046123E">
              <w:rPr>
                <w:rFonts w:ascii="ITC Avant Garde" w:eastAsia="Times New Roman" w:hAnsi="ITC Avant Garde" w:cstheme="minorHAnsi"/>
                <w:bCs/>
                <w:sz w:val="16"/>
                <w:szCs w:val="16"/>
                <w:lang w:eastAsia="es-MX"/>
              </w:rPr>
              <w:t>, en virtud de que dichas notas internacionales no recaen en los supuestos de una atribución adicional o sustitutiva para nuestro país.</w:t>
            </w:r>
          </w:p>
          <w:p w14:paraId="0B9FAE3F" w14:textId="77777777" w:rsidR="0069608F" w:rsidRPr="0046123E" w:rsidRDefault="0069608F" w:rsidP="0002602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6768B580" w14:textId="416D355C" w:rsidR="00AF49A3" w:rsidRPr="0046123E" w:rsidRDefault="00363D7C" w:rsidP="00436EB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bCs/>
                <w:sz w:val="16"/>
                <w:szCs w:val="16"/>
                <w:lang w:eastAsia="es-MX"/>
              </w:rPr>
              <w:t xml:space="preserve">Finalmente, es importante mencionar que la atribución en México para el SFS en sentido (espacio-Tierra) en la banda 17.3-17.7 GHz tendrá validez </w:t>
            </w:r>
            <w:r w:rsidR="00AF72C6">
              <w:rPr>
                <w:rFonts w:ascii="ITC Avant Garde" w:eastAsia="Times New Roman" w:hAnsi="ITC Avant Garde" w:cstheme="minorHAnsi"/>
                <w:bCs/>
                <w:sz w:val="16"/>
                <w:szCs w:val="16"/>
                <w:lang w:eastAsia="es-MX"/>
              </w:rPr>
              <w:t>a partir del 1</w:t>
            </w:r>
            <w:r w:rsidRPr="0046123E">
              <w:rPr>
                <w:rFonts w:ascii="ITC Avant Garde" w:eastAsia="Times New Roman" w:hAnsi="ITC Avant Garde" w:cstheme="minorHAnsi"/>
                <w:bCs/>
                <w:sz w:val="16"/>
                <w:szCs w:val="16"/>
                <w:lang w:eastAsia="es-MX"/>
              </w:rPr>
              <w:t xml:space="preserve"> de enero de 2025, fecha de entrada en vigor del nuevo Reglamento de Radiocomunicaciones de la Unión Internacional de Telecomunicaciones.</w:t>
            </w:r>
          </w:p>
        </w:tc>
      </w:tr>
      <w:tr w:rsidR="00AF49A3" w:rsidRPr="0046123E" w14:paraId="201D3B95" w14:textId="77777777" w:rsidTr="007D067A">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2F18E0D9" w14:textId="3F8CDA23" w:rsidR="00AF49A3" w:rsidRPr="0046123E" w:rsidRDefault="00AF49A3" w:rsidP="007D067A">
            <w:pPr>
              <w:jc w:val="center"/>
              <w:rPr>
                <w:rFonts w:ascii="ITC Avant Garde" w:eastAsia="Times New Roman" w:hAnsi="ITC Avant Garde" w:cstheme="minorHAnsi"/>
                <w:b w:val="0"/>
                <w:sz w:val="16"/>
                <w:szCs w:val="16"/>
                <w:lang w:eastAsia="es-MX"/>
              </w:rPr>
            </w:pPr>
            <w:r w:rsidRPr="0046123E">
              <w:rPr>
                <w:rFonts w:ascii="ITC Avant Garde" w:hAnsi="ITC Avant Garde"/>
                <w:b w:val="0"/>
                <w:sz w:val="16"/>
                <w:szCs w:val="16"/>
              </w:rPr>
              <w:t>Tabla de Atribuciones</w:t>
            </w:r>
          </w:p>
        </w:tc>
        <w:tc>
          <w:tcPr>
            <w:tcW w:w="2964" w:type="pct"/>
            <w:tcBorders>
              <w:right w:val="single" w:sz="4" w:space="0" w:color="A8D08D" w:themeColor="accent6" w:themeTint="99"/>
            </w:tcBorders>
            <w:shd w:val="clear" w:color="auto" w:fill="auto"/>
            <w:vAlign w:val="center"/>
          </w:tcPr>
          <w:p w14:paraId="6876C304" w14:textId="387CC796" w:rsidR="00AF49A3" w:rsidRPr="0046123E" w:rsidRDefault="00AF49A3"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Ver Cuadro en sección III</w:t>
            </w:r>
          </w:p>
        </w:tc>
        <w:tc>
          <w:tcPr>
            <w:tcW w:w="1316" w:type="pct"/>
            <w:gridSpan w:val="2"/>
            <w:vMerge/>
            <w:tcBorders>
              <w:left w:val="single" w:sz="4" w:space="0" w:color="A8D08D" w:themeColor="accent6" w:themeTint="99"/>
            </w:tcBorders>
            <w:shd w:val="clear" w:color="auto" w:fill="auto"/>
            <w:vAlign w:val="center"/>
          </w:tcPr>
          <w:p w14:paraId="2F2456A8" w14:textId="77777777" w:rsidR="00AF49A3" w:rsidRPr="0046123E" w:rsidRDefault="00AF49A3"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tc>
      </w:tr>
      <w:tr w:rsidR="00AF49A3" w:rsidRPr="0046123E" w14:paraId="1C79DBB6" w14:textId="77777777" w:rsidTr="007D067A">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6DE59D5F" w14:textId="19994DB4" w:rsidR="00AF49A3" w:rsidRPr="0046123E" w:rsidRDefault="00AF49A3" w:rsidP="007D067A">
            <w:pPr>
              <w:jc w:val="center"/>
              <w:rPr>
                <w:rFonts w:ascii="ITC Avant Garde" w:eastAsia="Times New Roman" w:hAnsi="ITC Avant Garde" w:cstheme="minorHAnsi"/>
                <w:b w:val="0"/>
                <w:sz w:val="16"/>
                <w:szCs w:val="16"/>
                <w:lang w:eastAsia="es-MX"/>
              </w:rPr>
            </w:pPr>
            <w:r w:rsidRPr="0046123E">
              <w:rPr>
                <w:rFonts w:ascii="ITC Avant Garde" w:hAnsi="ITC Avant Garde"/>
                <w:b w:val="0"/>
                <w:sz w:val="16"/>
                <w:szCs w:val="16"/>
              </w:rPr>
              <w:t>Notas Nacionales</w:t>
            </w:r>
          </w:p>
        </w:tc>
        <w:tc>
          <w:tcPr>
            <w:tcW w:w="2964" w:type="pct"/>
            <w:tcBorders>
              <w:right w:val="single" w:sz="4" w:space="0" w:color="A8D08D" w:themeColor="accent6" w:themeTint="99"/>
            </w:tcBorders>
            <w:shd w:val="clear" w:color="auto" w:fill="auto"/>
            <w:vAlign w:val="center"/>
          </w:tcPr>
          <w:p w14:paraId="1CD34378" w14:textId="11BE667A" w:rsidR="00AF49A3" w:rsidRPr="0046123E" w:rsidRDefault="00AF49A3"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Actualizar las dos notas modificadas 5.484A y 5.517 y añadir las notas 5.515A y 5.515B</w:t>
            </w:r>
          </w:p>
        </w:tc>
        <w:tc>
          <w:tcPr>
            <w:tcW w:w="1316" w:type="pct"/>
            <w:gridSpan w:val="2"/>
            <w:vMerge/>
            <w:tcBorders>
              <w:left w:val="single" w:sz="4" w:space="0" w:color="A8D08D" w:themeColor="accent6" w:themeTint="99"/>
            </w:tcBorders>
            <w:shd w:val="clear" w:color="auto" w:fill="auto"/>
            <w:vAlign w:val="center"/>
          </w:tcPr>
          <w:p w14:paraId="6FD0131B" w14:textId="77777777" w:rsidR="00AF49A3" w:rsidRPr="0046123E" w:rsidRDefault="00AF49A3"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tc>
      </w:tr>
      <w:tr w:rsidR="00AF49A3" w:rsidRPr="0046123E" w14:paraId="166F4BF3" w14:textId="77777777" w:rsidTr="007D067A">
        <w:trPr>
          <w:trHeight w:val="77"/>
        </w:trPr>
        <w:tc>
          <w:tcPr>
            <w:cnfStyle w:val="001000000000" w:firstRow="0" w:lastRow="0" w:firstColumn="1" w:lastColumn="0" w:oddVBand="0" w:evenVBand="0" w:oddHBand="0" w:evenHBand="0" w:firstRowFirstColumn="0" w:firstRowLastColumn="0" w:lastRowFirstColumn="0" w:lastRowLastColumn="0"/>
            <w:tcW w:w="720" w:type="pct"/>
            <w:tcBorders>
              <w:bottom w:val="single" w:sz="4" w:space="0" w:color="A8D08D" w:themeColor="accent6" w:themeTint="99"/>
              <w:right w:val="single" w:sz="4" w:space="0" w:color="A8D08D" w:themeColor="accent6" w:themeTint="99"/>
            </w:tcBorders>
            <w:shd w:val="clear" w:color="auto" w:fill="auto"/>
          </w:tcPr>
          <w:p w14:paraId="30625A91" w14:textId="113460BD" w:rsidR="00AF49A3" w:rsidRPr="0046123E" w:rsidRDefault="00AF49A3" w:rsidP="007D067A">
            <w:pPr>
              <w:jc w:val="center"/>
              <w:rPr>
                <w:rFonts w:ascii="ITC Avant Garde" w:hAnsi="ITC Avant Garde"/>
                <w:b w:val="0"/>
                <w:sz w:val="16"/>
                <w:szCs w:val="16"/>
              </w:rPr>
            </w:pPr>
            <w:r w:rsidRPr="0046123E">
              <w:rPr>
                <w:rFonts w:ascii="ITC Avant Garde" w:hAnsi="ITC Avant Garde"/>
                <w:b w:val="0"/>
                <w:sz w:val="16"/>
                <w:szCs w:val="16"/>
              </w:rPr>
              <w:t>Observaciones generales</w:t>
            </w:r>
          </w:p>
        </w:tc>
        <w:tc>
          <w:tcPr>
            <w:tcW w:w="2964" w:type="pct"/>
            <w:tcBorders>
              <w:bottom w:val="single" w:sz="4" w:space="0" w:color="A8D08D" w:themeColor="accent6" w:themeTint="99"/>
              <w:right w:val="single" w:sz="4" w:space="0" w:color="A8D08D" w:themeColor="accent6" w:themeTint="99"/>
            </w:tcBorders>
            <w:shd w:val="clear" w:color="auto" w:fill="auto"/>
            <w:vAlign w:val="center"/>
          </w:tcPr>
          <w:p w14:paraId="4E3E27FD" w14:textId="44C137DF" w:rsidR="00AF49A3" w:rsidRPr="0046123E" w:rsidRDefault="00AF49A3"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QUETZSAT apoya la propuesta de SES México en el sentido de modificar el actual CNAF de conformidad con el Artículo 5 del Reglamento de Radiocomunicaciones tal como establecido en las Actas Finales de la CMR-23.</w:t>
            </w:r>
          </w:p>
          <w:p w14:paraId="483937D4" w14:textId="2446D49F" w:rsidR="00AF49A3" w:rsidRPr="0046123E" w:rsidRDefault="00AF49A3" w:rsidP="00AF49A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46123E">
              <w:rPr>
                <w:noProof/>
                <w:sz w:val="16"/>
                <w:szCs w:val="16"/>
              </w:rPr>
              <w:drawing>
                <wp:inline distT="0" distB="0" distL="0" distR="0" wp14:anchorId="4C57962D" wp14:editId="2E2ED013">
                  <wp:extent cx="3450566" cy="1378873"/>
                  <wp:effectExtent l="0" t="0" r="0" b="0"/>
                  <wp:docPr id="4142600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60093" name=""/>
                          <pic:cNvPicPr/>
                        </pic:nvPicPr>
                        <pic:blipFill>
                          <a:blip r:embed="rId15"/>
                          <a:stretch>
                            <a:fillRect/>
                          </a:stretch>
                        </pic:blipFill>
                        <pic:spPr>
                          <a:xfrm>
                            <a:off x="0" y="0"/>
                            <a:ext cx="3470502" cy="1386840"/>
                          </a:xfrm>
                          <a:prstGeom prst="rect">
                            <a:avLst/>
                          </a:prstGeom>
                        </pic:spPr>
                      </pic:pic>
                    </a:graphicData>
                  </a:graphic>
                </wp:inline>
              </w:drawing>
            </w:r>
          </w:p>
        </w:tc>
        <w:tc>
          <w:tcPr>
            <w:tcW w:w="1316" w:type="pct"/>
            <w:gridSpan w:val="2"/>
            <w:vMerge/>
            <w:tcBorders>
              <w:left w:val="single" w:sz="4" w:space="0" w:color="A8D08D" w:themeColor="accent6" w:themeTint="99"/>
              <w:bottom w:val="single" w:sz="4" w:space="0" w:color="A8D08D" w:themeColor="accent6" w:themeTint="99"/>
            </w:tcBorders>
            <w:shd w:val="clear" w:color="auto" w:fill="auto"/>
            <w:vAlign w:val="center"/>
          </w:tcPr>
          <w:p w14:paraId="561FA0F9" w14:textId="77777777" w:rsidR="00AF49A3" w:rsidRPr="0046123E" w:rsidRDefault="00AF49A3"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tc>
      </w:tr>
    </w:tbl>
    <w:p w14:paraId="6C1BBB2B" w14:textId="4ECC804E" w:rsidR="0008498A" w:rsidRDefault="0008498A" w:rsidP="007D067A">
      <w:pPr>
        <w:spacing w:after="0" w:line="240" w:lineRule="auto"/>
        <w:rPr>
          <w:rFonts w:ascii="ITC Avant Garde" w:hAnsi="ITC Avant Garde"/>
          <w:color w:val="000000"/>
          <w:sz w:val="14"/>
          <w:szCs w:val="14"/>
          <w:shd w:val="clear" w:color="auto" w:fill="FFFFFF"/>
        </w:rPr>
      </w:pPr>
    </w:p>
    <w:p w14:paraId="6A254518" w14:textId="77777777" w:rsidR="007D067A" w:rsidRDefault="007D067A" w:rsidP="007D067A">
      <w:pPr>
        <w:spacing w:after="0" w:line="240" w:lineRule="auto"/>
        <w:rPr>
          <w:rFonts w:ascii="ITC Avant Garde" w:hAnsi="ITC Avant Garde"/>
          <w:color w:val="000000"/>
          <w:sz w:val="14"/>
          <w:szCs w:val="14"/>
          <w:shd w:val="clear" w:color="auto" w:fill="FFFFFF"/>
        </w:rPr>
      </w:pPr>
    </w:p>
    <w:p w14:paraId="39276082" w14:textId="77777777" w:rsidR="007D067A" w:rsidRDefault="007D067A" w:rsidP="007D067A">
      <w:pPr>
        <w:spacing w:after="0" w:line="240" w:lineRule="auto"/>
        <w:rPr>
          <w:rFonts w:ascii="ITC Avant Garde" w:hAnsi="ITC Avant Garde"/>
          <w:color w:val="000000"/>
          <w:sz w:val="14"/>
          <w:szCs w:val="14"/>
          <w:shd w:val="clear" w:color="auto" w:fill="FFFFFF"/>
        </w:rPr>
      </w:pPr>
    </w:p>
    <w:p w14:paraId="42FF8E36" w14:textId="77777777" w:rsidR="00AF49A3" w:rsidRDefault="00AF49A3" w:rsidP="007D067A">
      <w:pPr>
        <w:spacing w:after="0" w:line="240" w:lineRule="auto"/>
        <w:rPr>
          <w:rFonts w:ascii="ITC Avant Garde" w:hAnsi="ITC Avant Garde"/>
          <w:color w:val="000000"/>
          <w:sz w:val="14"/>
          <w:szCs w:val="14"/>
          <w:shd w:val="clear" w:color="auto" w:fill="FFFFFF"/>
        </w:rPr>
      </w:pPr>
    </w:p>
    <w:p w14:paraId="3D4DFB38" w14:textId="77777777" w:rsidR="00AF49A3" w:rsidRDefault="00AF49A3" w:rsidP="007D067A">
      <w:pPr>
        <w:spacing w:after="0" w:line="240" w:lineRule="auto"/>
        <w:rPr>
          <w:rFonts w:ascii="ITC Avant Garde" w:hAnsi="ITC Avant Garde"/>
          <w:color w:val="000000"/>
          <w:sz w:val="14"/>
          <w:szCs w:val="14"/>
          <w:shd w:val="clear" w:color="auto" w:fill="FFFFFF"/>
        </w:rPr>
      </w:pPr>
    </w:p>
    <w:p w14:paraId="13A7F448" w14:textId="77777777" w:rsidR="00AF49A3" w:rsidRDefault="00AF49A3" w:rsidP="007D067A">
      <w:pPr>
        <w:spacing w:after="0" w:line="240" w:lineRule="auto"/>
        <w:rPr>
          <w:rFonts w:ascii="ITC Avant Garde" w:hAnsi="ITC Avant Garde"/>
          <w:color w:val="000000"/>
          <w:sz w:val="14"/>
          <w:szCs w:val="14"/>
          <w:shd w:val="clear" w:color="auto" w:fill="FFFFFF"/>
        </w:rPr>
      </w:pPr>
    </w:p>
    <w:p w14:paraId="697792EF" w14:textId="77777777" w:rsidR="00AF49A3" w:rsidRDefault="00AF49A3" w:rsidP="007D067A">
      <w:pPr>
        <w:spacing w:after="0" w:line="240" w:lineRule="auto"/>
        <w:rPr>
          <w:rFonts w:ascii="ITC Avant Garde" w:hAnsi="ITC Avant Garde"/>
          <w:color w:val="000000"/>
          <w:sz w:val="14"/>
          <w:szCs w:val="14"/>
          <w:shd w:val="clear" w:color="auto" w:fill="FFFFFF"/>
        </w:rPr>
      </w:pPr>
    </w:p>
    <w:p w14:paraId="3D8FB7D2" w14:textId="77777777" w:rsidR="00AF49A3" w:rsidRDefault="00AF49A3" w:rsidP="007D067A">
      <w:pPr>
        <w:spacing w:after="0" w:line="240" w:lineRule="auto"/>
        <w:rPr>
          <w:rFonts w:ascii="ITC Avant Garde" w:hAnsi="ITC Avant Garde"/>
          <w:color w:val="000000"/>
          <w:sz w:val="14"/>
          <w:szCs w:val="14"/>
          <w:shd w:val="clear" w:color="auto" w:fill="FFFFFF"/>
        </w:rPr>
      </w:pPr>
    </w:p>
    <w:p w14:paraId="6AA7C496" w14:textId="77777777" w:rsidR="00CF53BE" w:rsidRDefault="00CF53BE" w:rsidP="007D067A">
      <w:pPr>
        <w:spacing w:after="0" w:line="240" w:lineRule="auto"/>
        <w:rPr>
          <w:rFonts w:ascii="ITC Avant Garde" w:hAnsi="ITC Avant Garde"/>
          <w:color w:val="000000"/>
          <w:sz w:val="14"/>
          <w:szCs w:val="14"/>
          <w:shd w:val="clear" w:color="auto" w:fill="FFFFFF"/>
        </w:rPr>
      </w:pPr>
    </w:p>
    <w:p w14:paraId="7A255F26" w14:textId="77777777" w:rsidR="00CF53BE" w:rsidRDefault="00CF53BE" w:rsidP="007D067A">
      <w:pPr>
        <w:spacing w:after="0" w:line="240" w:lineRule="auto"/>
        <w:rPr>
          <w:rFonts w:ascii="ITC Avant Garde" w:hAnsi="ITC Avant Garde"/>
          <w:color w:val="000000"/>
          <w:sz w:val="14"/>
          <w:szCs w:val="14"/>
          <w:shd w:val="clear" w:color="auto" w:fill="FFFFFF"/>
        </w:rPr>
      </w:pPr>
    </w:p>
    <w:p w14:paraId="15377111" w14:textId="77777777" w:rsidR="00CF53BE" w:rsidRDefault="00CF53BE" w:rsidP="007D067A">
      <w:pPr>
        <w:spacing w:after="0" w:line="240" w:lineRule="auto"/>
        <w:rPr>
          <w:rFonts w:ascii="ITC Avant Garde" w:hAnsi="ITC Avant Garde"/>
          <w:color w:val="000000"/>
          <w:sz w:val="14"/>
          <w:szCs w:val="14"/>
          <w:shd w:val="clear" w:color="auto" w:fill="FFFFFF"/>
        </w:rPr>
      </w:pPr>
    </w:p>
    <w:p w14:paraId="17B9A2F5" w14:textId="77777777" w:rsidR="00CF53BE" w:rsidRDefault="00CF53BE" w:rsidP="007D067A">
      <w:pPr>
        <w:spacing w:after="0" w:line="240" w:lineRule="auto"/>
        <w:rPr>
          <w:rFonts w:ascii="ITC Avant Garde" w:hAnsi="ITC Avant Garde"/>
          <w:color w:val="000000"/>
          <w:sz w:val="14"/>
          <w:szCs w:val="14"/>
          <w:shd w:val="clear" w:color="auto" w:fill="FFFFFF"/>
        </w:rPr>
      </w:pPr>
    </w:p>
    <w:p w14:paraId="5DE3CBF3" w14:textId="77777777" w:rsidR="00CF53BE" w:rsidRDefault="00CF53BE" w:rsidP="007D067A">
      <w:pPr>
        <w:spacing w:after="0" w:line="240" w:lineRule="auto"/>
        <w:rPr>
          <w:rFonts w:ascii="ITC Avant Garde" w:hAnsi="ITC Avant Garde"/>
          <w:color w:val="000000"/>
          <w:sz w:val="14"/>
          <w:szCs w:val="14"/>
          <w:shd w:val="clear" w:color="auto" w:fill="FFFFFF"/>
        </w:rPr>
      </w:pPr>
    </w:p>
    <w:p w14:paraId="25D1072F" w14:textId="77777777" w:rsidR="00CF53BE" w:rsidRDefault="00CF53BE" w:rsidP="007D067A">
      <w:pPr>
        <w:spacing w:after="0" w:line="240" w:lineRule="auto"/>
        <w:rPr>
          <w:rFonts w:ascii="ITC Avant Garde" w:hAnsi="ITC Avant Garde"/>
          <w:color w:val="000000"/>
          <w:sz w:val="14"/>
          <w:szCs w:val="14"/>
          <w:shd w:val="clear" w:color="auto" w:fill="FFFFFF"/>
        </w:rPr>
      </w:pPr>
    </w:p>
    <w:p w14:paraId="1F9FABCC" w14:textId="77777777" w:rsidR="00CF53BE" w:rsidRDefault="00CF53BE" w:rsidP="007D067A">
      <w:pPr>
        <w:spacing w:after="0" w:line="240" w:lineRule="auto"/>
        <w:rPr>
          <w:rFonts w:ascii="ITC Avant Garde" w:hAnsi="ITC Avant Garde"/>
          <w:color w:val="000000"/>
          <w:sz w:val="14"/>
          <w:szCs w:val="14"/>
          <w:shd w:val="clear" w:color="auto" w:fill="FFFFFF"/>
        </w:rPr>
      </w:pPr>
    </w:p>
    <w:p w14:paraId="32C3A880" w14:textId="77777777" w:rsidR="00CF53BE" w:rsidRDefault="00CF53BE" w:rsidP="007D067A">
      <w:pPr>
        <w:spacing w:after="0" w:line="240" w:lineRule="auto"/>
        <w:rPr>
          <w:rFonts w:ascii="ITC Avant Garde" w:hAnsi="ITC Avant Garde"/>
          <w:color w:val="000000"/>
          <w:sz w:val="14"/>
          <w:szCs w:val="14"/>
          <w:shd w:val="clear" w:color="auto" w:fill="FFFFFF"/>
        </w:rPr>
      </w:pPr>
    </w:p>
    <w:p w14:paraId="061E4A1D" w14:textId="77777777" w:rsidR="00AF49A3" w:rsidRDefault="00AF49A3" w:rsidP="007D067A">
      <w:pPr>
        <w:spacing w:after="0" w:line="240" w:lineRule="auto"/>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7D067A" w:rsidRPr="00AF49A3" w14:paraId="06EB7566" w14:textId="77777777" w:rsidTr="0028154E">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4ED61B8B" w14:textId="77777777" w:rsidR="007D067A" w:rsidRPr="003D0FB4" w:rsidRDefault="007D067A" w:rsidP="007D067A">
            <w:pPr>
              <w:ind w:left="316"/>
              <w:jc w:val="center"/>
              <w:rPr>
                <w:rFonts w:ascii="ITC Avant Garde" w:hAnsi="ITC Avant Garde"/>
                <w:b w:val="0"/>
                <w:sz w:val="16"/>
                <w:szCs w:val="16"/>
                <w:lang w:eastAsia="es-MX"/>
              </w:rPr>
            </w:pPr>
            <w:r w:rsidRPr="003D0FB4">
              <w:rPr>
                <w:rFonts w:ascii="ITC Avant Garde" w:hAnsi="ITC Avant Garde"/>
                <w:bCs w:val="0"/>
                <w:sz w:val="16"/>
                <w:szCs w:val="16"/>
                <w:lang w:eastAsia="es-MX"/>
              </w:rPr>
              <w:lastRenderedPageBreak/>
              <w:t>Comentarios, opiniones, propuestas y aportaciones específicos de la persona participante sobre el asunto en Consulta Pública</w:t>
            </w:r>
          </w:p>
        </w:tc>
      </w:tr>
      <w:tr w:rsidR="007D067A" w:rsidRPr="00AF49A3" w14:paraId="4186719D" w14:textId="77777777" w:rsidTr="007D067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12036BA0" w14:textId="77777777" w:rsidR="007D067A" w:rsidRPr="00AF49A3" w:rsidRDefault="007D067A" w:rsidP="0028154E">
            <w:pPr>
              <w:ind w:left="316"/>
              <w:rPr>
                <w:rFonts w:ascii="ITC Avant Garde" w:hAnsi="ITC Avant Garde"/>
                <w:sz w:val="18"/>
                <w:szCs w:val="18"/>
                <w:lang w:eastAsia="es-MX"/>
              </w:rPr>
            </w:pPr>
            <w:r w:rsidRPr="00AF49A3">
              <w:rPr>
                <w:rFonts w:ascii="ITC Avant Garde" w:hAnsi="ITC Avant Garde"/>
                <w:color w:val="FFFFFF" w:themeColor="background1"/>
                <w:sz w:val="18"/>
                <w:szCs w:val="18"/>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8449AFD" w14:textId="007803FD" w:rsidR="007D067A" w:rsidRPr="003D0FB4" w:rsidRDefault="00AF49A3" w:rsidP="0028154E">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lang w:eastAsia="es-MX"/>
              </w:rPr>
            </w:pPr>
            <w:r w:rsidRPr="003D0FB4">
              <w:rPr>
                <w:rFonts w:ascii="ITC Avant Garde" w:hAnsi="ITC Avant Garde"/>
                <w:sz w:val="16"/>
                <w:szCs w:val="16"/>
                <w:lang w:eastAsia="es-MX"/>
              </w:rPr>
              <w:t>Cámara Nacional de la Industria Electrónica, de Telecomunicaciones y Tecnologías de la Información</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6AFAA8C9" w14:textId="77777777" w:rsidR="007D067A" w:rsidRPr="00AF49A3" w:rsidRDefault="007D067A" w:rsidP="0028154E">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AF49A3">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D2A0ECC" w14:textId="2E523166" w:rsidR="007D067A" w:rsidRPr="00AF49A3" w:rsidRDefault="00AF49A3" w:rsidP="0028154E">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AF49A3">
              <w:rPr>
                <w:rFonts w:ascii="ITC Avant Garde" w:hAnsi="ITC Avant Garde"/>
                <w:sz w:val="18"/>
                <w:szCs w:val="18"/>
                <w:lang w:eastAsia="es-MX"/>
              </w:rPr>
              <w:t>20240626-CP_CNAF-003</w:t>
            </w:r>
          </w:p>
        </w:tc>
      </w:tr>
      <w:tr w:rsidR="007D067A" w:rsidRPr="00AF49A3" w14:paraId="1855C4A5" w14:textId="77777777" w:rsidTr="007D067A">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5DC17524" w14:textId="77777777" w:rsidR="007D067A" w:rsidRPr="00AF49A3" w:rsidRDefault="007D067A" w:rsidP="0028154E">
            <w:pPr>
              <w:jc w:val="center"/>
              <w:rPr>
                <w:rFonts w:ascii="ITC Avant Garde" w:eastAsia="Times New Roman" w:hAnsi="ITC Avant Garde" w:cstheme="minorHAnsi"/>
                <w:bCs w:val="0"/>
                <w:sz w:val="18"/>
                <w:szCs w:val="18"/>
                <w:lang w:eastAsia="es-MX"/>
              </w:rPr>
            </w:pPr>
            <w:r w:rsidRPr="00AF49A3">
              <w:rPr>
                <w:rFonts w:ascii="ITC Avant Garde" w:eastAsia="Times New Roman" w:hAnsi="ITC Avant Garde" w:cstheme="minorHAnsi"/>
                <w:bCs w:val="0"/>
                <w:sz w:val="18"/>
                <w:szCs w:val="18"/>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61B7CF80" w14:textId="77777777" w:rsidR="007D067A" w:rsidRPr="003D0FB4" w:rsidRDefault="007D067A" w:rsidP="0028154E">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3D0FB4">
              <w:rPr>
                <w:rFonts w:ascii="ITC Avant Garde" w:eastAsia="Times New Roman" w:hAnsi="ITC Avant Garde" w:cstheme="minorHAnsi"/>
                <w:b/>
                <w:sz w:val="16"/>
                <w:szCs w:val="16"/>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63A05124" w14:textId="77777777" w:rsidR="007D067A" w:rsidRPr="00AF49A3" w:rsidRDefault="007D067A" w:rsidP="0028154E">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AF49A3">
              <w:rPr>
                <w:rFonts w:ascii="ITC Avant Garde" w:eastAsia="Times New Roman" w:hAnsi="ITC Avant Garde" w:cstheme="minorHAnsi"/>
                <w:b/>
                <w:sz w:val="18"/>
                <w:szCs w:val="18"/>
                <w:lang w:eastAsia="es-MX"/>
              </w:rPr>
              <w:t>Respuesta del Instituto</w:t>
            </w:r>
          </w:p>
        </w:tc>
      </w:tr>
      <w:tr w:rsidR="009D2061" w:rsidRPr="00AF49A3" w14:paraId="7CA6D652" w14:textId="77777777" w:rsidTr="007D067A">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2D65BD5E" w14:textId="7DB8F9CF" w:rsidR="009D2061" w:rsidRPr="00AF49A3" w:rsidRDefault="009D2061" w:rsidP="0028154E">
            <w:pPr>
              <w:jc w:val="center"/>
              <w:rPr>
                <w:rFonts w:ascii="ITC Avant Garde" w:eastAsia="Times New Roman" w:hAnsi="ITC Avant Garde" w:cstheme="minorHAnsi"/>
                <w:b w:val="0"/>
                <w:sz w:val="18"/>
                <w:szCs w:val="18"/>
                <w:lang w:eastAsia="es-MX"/>
              </w:rPr>
            </w:pPr>
            <w:r w:rsidRPr="00AF49A3">
              <w:rPr>
                <w:rFonts w:ascii="ITC Avant Garde" w:eastAsia="Times New Roman" w:hAnsi="ITC Avant Garde" w:cstheme="minorHAnsi"/>
                <w:b w:val="0"/>
                <w:sz w:val="18"/>
                <w:szCs w:val="18"/>
                <w:lang w:eastAsia="es-MX"/>
              </w:rPr>
              <w:t>Sección introductoria</w:t>
            </w:r>
          </w:p>
        </w:tc>
        <w:tc>
          <w:tcPr>
            <w:tcW w:w="2964" w:type="pct"/>
            <w:tcBorders>
              <w:right w:val="single" w:sz="4" w:space="0" w:color="A8D08D" w:themeColor="accent6" w:themeTint="99"/>
            </w:tcBorders>
            <w:shd w:val="clear" w:color="auto" w:fill="auto"/>
            <w:vAlign w:val="center"/>
          </w:tcPr>
          <w:p w14:paraId="331E874E" w14:textId="6352AED7" w:rsidR="009D2061" w:rsidRPr="003D0FB4" w:rsidRDefault="009D2061" w:rsidP="0028154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3D0FB4">
              <w:rPr>
                <w:rFonts w:ascii="ITC Avant Garde" w:eastAsia="Times New Roman" w:hAnsi="ITC Avant Garde" w:cstheme="minorHAnsi"/>
                <w:sz w:val="16"/>
                <w:szCs w:val="16"/>
                <w:lang w:eastAsia="es-MX"/>
              </w:rPr>
              <w:t>Sin comentario, opinión o aportación.</w:t>
            </w:r>
          </w:p>
        </w:tc>
        <w:tc>
          <w:tcPr>
            <w:tcW w:w="1316" w:type="pct"/>
            <w:gridSpan w:val="2"/>
            <w:vMerge w:val="restart"/>
            <w:tcBorders>
              <w:left w:val="single" w:sz="4" w:space="0" w:color="A8D08D" w:themeColor="accent6" w:themeTint="99"/>
            </w:tcBorders>
            <w:shd w:val="clear" w:color="auto" w:fill="auto"/>
            <w:vAlign w:val="center"/>
          </w:tcPr>
          <w:p w14:paraId="787396FD" w14:textId="70B2BCBE" w:rsidR="00D4164E" w:rsidRPr="00096E73" w:rsidRDefault="009D2061" w:rsidP="009D206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096E73">
              <w:rPr>
                <w:rFonts w:ascii="ITC Avant Garde" w:eastAsia="Times New Roman" w:hAnsi="ITC Avant Garde" w:cstheme="minorHAnsi"/>
                <w:bCs/>
                <w:sz w:val="16"/>
                <w:szCs w:val="16"/>
                <w:lang w:eastAsia="es-MX"/>
              </w:rPr>
              <w:t xml:space="preserve">El Instituto </w:t>
            </w:r>
            <w:r w:rsidR="003D0FB4">
              <w:rPr>
                <w:rFonts w:ascii="ITC Avant Garde" w:eastAsia="Times New Roman" w:hAnsi="ITC Avant Garde" w:cstheme="minorHAnsi"/>
                <w:bCs/>
                <w:sz w:val="16"/>
                <w:szCs w:val="16"/>
                <w:lang w:eastAsia="es-MX"/>
              </w:rPr>
              <w:t xml:space="preserve">Federal de Telecomunicaciones </w:t>
            </w:r>
            <w:r w:rsidRPr="00096E73">
              <w:rPr>
                <w:rFonts w:ascii="ITC Avant Garde" w:eastAsia="Times New Roman" w:hAnsi="ITC Avant Garde" w:cstheme="minorHAnsi"/>
                <w:bCs/>
                <w:sz w:val="16"/>
                <w:szCs w:val="16"/>
                <w:lang w:eastAsia="es-MX"/>
              </w:rPr>
              <w:t xml:space="preserve">agradece </w:t>
            </w:r>
            <w:r w:rsidR="00D4164E" w:rsidRPr="00096E73">
              <w:rPr>
                <w:rFonts w:ascii="ITC Avant Garde" w:eastAsia="Times New Roman" w:hAnsi="ITC Avant Garde" w:cstheme="minorHAnsi"/>
                <w:bCs/>
                <w:sz w:val="16"/>
                <w:szCs w:val="16"/>
                <w:lang w:eastAsia="es-MX"/>
              </w:rPr>
              <w:t xml:space="preserve">la manifestación realizada por </w:t>
            </w:r>
            <w:r w:rsidRPr="00096E73">
              <w:rPr>
                <w:rFonts w:ascii="ITC Avant Garde" w:eastAsia="Times New Roman" w:hAnsi="ITC Avant Garde" w:cstheme="minorHAnsi"/>
                <w:bCs/>
                <w:sz w:val="16"/>
                <w:szCs w:val="16"/>
                <w:lang w:eastAsia="es-MX"/>
              </w:rPr>
              <w:t>la Cámara Nacional de la Industria Electrónica, de Telecomunicaciones y Tecnologías de la Información</w:t>
            </w:r>
            <w:r w:rsidR="00D4164E" w:rsidRPr="00096E73">
              <w:rPr>
                <w:rFonts w:ascii="ITC Avant Garde" w:eastAsia="Times New Roman" w:hAnsi="ITC Avant Garde" w:cstheme="minorHAnsi"/>
                <w:bCs/>
                <w:sz w:val="16"/>
                <w:szCs w:val="16"/>
                <w:lang w:eastAsia="es-MX"/>
              </w:rPr>
              <w:t xml:space="preserve"> referente a su propuesta de </w:t>
            </w:r>
            <w:r w:rsidR="001B0F22" w:rsidRPr="00096E73">
              <w:rPr>
                <w:rFonts w:ascii="ITC Avant Garde" w:eastAsia="Times New Roman" w:hAnsi="ITC Avant Garde" w:cstheme="minorHAnsi"/>
                <w:bCs/>
                <w:sz w:val="16"/>
                <w:szCs w:val="16"/>
                <w:lang w:eastAsia="es-MX"/>
              </w:rPr>
              <w:t>analizar, revisar y considerar en la Consulta Pública, la inclusión de los usos y aplicaciones autorizadas por el propio Instituto para los productos que pueden hacer uso de la</w:t>
            </w:r>
            <w:r w:rsidR="007D5322">
              <w:rPr>
                <w:rFonts w:ascii="ITC Avant Garde" w:eastAsia="Times New Roman" w:hAnsi="ITC Avant Garde" w:cstheme="minorHAnsi"/>
                <w:bCs/>
                <w:sz w:val="16"/>
                <w:szCs w:val="16"/>
                <w:lang w:eastAsia="es-MX"/>
              </w:rPr>
              <w:t xml:space="preserve"> </w:t>
            </w:r>
            <w:r w:rsidR="001B0F22" w:rsidRPr="00096E73">
              <w:rPr>
                <w:rFonts w:ascii="ITC Avant Garde" w:eastAsia="Times New Roman" w:hAnsi="ITC Avant Garde" w:cstheme="minorHAnsi"/>
                <w:bCs/>
                <w:sz w:val="16"/>
                <w:szCs w:val="16"/>
                <w:lang w:eastAsia="es-MX"/>
              </w:rPr>
              <w:t>banda</w:t>
            </w:r>
            <w:r w:rsidR="007D5322">
              <w:rPr>
                <w:rFonts w:ascii="ITC Avant Garde" w:eastAsia="Times New Roman" w:hAnsi="ITC Avant Garde" w:cstheme="minorHAnsi"/>
                <w:bCs/>
                <w:sz w:val="16"/>
                <w:szCs w:val="16"/>
                <w:lang w:eastAsia="es-MX"/>
              </w:rPr>
              <w:t xml:space="preserve"> 57-64 GHz </w:t>
            </w:r>
            <w:r w:rsidR="001B0F22" w:rsidRPr="00096E73">
              <w:rPr>
                <w:rFonts w:ascii="ITC Avant Garde" w:eastAsia="Times New Roman" w:hAnsi="ITC Avant Garde" w:cstheme="minorHAnsi"/>
                <w:bCs/>
                <w:sz w:val="16"/>
                <w:szCs w:val="16"/>
                <w:lang w:eastAsia="es-MX"/>
              </w:rPr>
              <w:t xml:space="preserve">mencionada en la </w:t>
            </w:r>
            <w:r w:rsidR="00E0027E">
              <w:rPr>
                <w:rFonts w:ascii="ITC Avant Garde" w:eastAsia="Times New Roman" w:hAnsi="ITC Avant Garde" w:cstheme="minorHAnsi"/>
                <w:bCs/>
                <w:sz w:val="16"/>
                <w:szCs w:val="16"/>
                <w:lang w:eastAsia="es-MX"/>
              </w:rPr>
              <w:t>n</w:t>
            </w:r>
            <w:r w:rsidR="001B0F22" w:rsidRPr="00096E73">
              <w:rPr>
                <w:rFonts w:ascii="ITC Avant Garde" w:eastAsia="Times New Roman" w:hAnsi="ITC Avant Garde" w:cstheme="minorHAnsi"/>
                <w:bCs/>
                <w:sz w:val="16"/>
                <w:szCs w:val="16"/>
                <w:lang w:eastAsia="es-MX"/>
              </w:rPr>
              <w:t>ota MX278A.</w:t>
            </w:r>
          </w:p>
          <w:p w14:paraId="45E8D31E" w14:textId="77777777" w:rsidR="001B0F22" w:rsidRPr="00096E73" w:rsidRDefault="001B0F22" w:rsidP="009D206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1BF14C57" w14:textId="4EB7CAC9" w:rsidR="004D31E0" w:rsidRDefault="00E0027E" w:rsidP="004D31E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Al respecto, es importante </w:t>
            </w:r>
            <w:r w:rsidR="001F70FF">
              <w:rPr>
                <w:rFonts w:ascii="ITC Avant Garde" w:eastAsia="Times New Roman" w:hAnsi="ITC Avant Garde" w:cstheme="minorHAnsi"/>
                <w:bCs/>
                <w:sz w:val="16"/>
                <w:szCs w:val="16"/>
                <w:lang w:eastAsia="es-MX"/>
              </w:rPr>
              <w:t xml:space="preserve">mencionar </w:t>
            </w:r>
            <w:r w:rsidR="00DC1AE5">
              <w:rPr>
                <w:rFonts w:ascii="ITC Avant Garde" w:eastAsia="Times New Roman" w:hAnsi="ITC Avant Garde" w:cstheme="minorHAnsi"/>
                <w:bCs/>
                <w:sz w:val="16"/>
                <w:szCs w:val="16"/>
                <w:lang w:eastAsia="es-MX"/>
              </w:rPr>
              <w:t>que e</w:t>
            </w:r>
            <w:r>
              <w:rPr>
                <w:rFonts w:ascii="ITC Avant Garde" w:eastAsia="Times New Roman" w:hAnsi="ITC Avant Garde" w:cstheme="minorHAnsi"/>
                <w:bCs/>
                <w:sz w:val="16"/>
                <w:szCs w:val="16"/>
                <w:lang w:eastAsia="es-MX"/>
              </w:rPr>
              <w:t xml:space="preserve">l Instituto se encuentra </w:t>
            </w:r>
            <w:r w:rsidR="004D31E0">
              <w:rPr>
                <w:rFonts w:ascii="ITC Avant Garde" w:eastAsia="Times New Roman" w:hAnsi="ITC Avant Garde" w:cstheme="minorHAnsi"/>
                <w:bCs/>
                <w:sz w:val="16"/>
                <w:szCs w:val="16"/>
                <w:lang w:eastAsia="es-MX"/>
              </w:rPr>
              <w:t xml:space="preserve">en proceso </w:t>
            </w:r>
            <w:r w:rsidR="00AF72C6">
              <w:rPr>
                <w:rFonts w:ascii="ITC Avant Garde" w:eastAsia="Times New Roman" w:hAnsi="ITC Avant Garde" w:cstheme="minorHAnsi"/>
                <w:bCs/>
                <w:sz w:val="16"/>
                <w:szCs w:val="16"/>
                <w:lang w:eastAsia="es-MX"/>
              </w:rPr>
              <w:t>de análisis sobre</w:t>
            </w:r>
            <w:r w:rsidR="004D31E0">
              <w:rPr>
                <w:rFonts w:ascii="ITC Avant Garde" w:eastAsia="Times New Roman" w:hAnsi="ITC Avant Garde" w:cstheme="minorHAnsi"/>
                <w:bCs/>
                <w:sz w:val="16"/>
                <w:szCs w:val="16"/>
                <w:lang w:eastAsia="es-MX"/>
              </w:rPr>
              <w:t xml:space="preserve"> el </w:t>
            </w:r>
            <w:r w:rsidR="004D31E0" w:rsidRPr="004D31E0">
              <w:rPr>
                <w:rFonts w:ascii="ITC Avant Garde" w:eastAsia="Times New Roman" w:hAnsi="ITC Avant Garde" w:cstheme="minorHAnsi"/>
                <w:bCs/>
                <w:i/>
                <w:sz w:val="16"/>
                <w:szCs w:val="16"/>
                <w:lang w:eastAsia="es-MX"/>
              </w:rPr>
              <w:t>“Anteproyecto de Acuerdo mediante el cual el Pleno del Instituto Federal de Telecomunicaciones actualiza las condiciones técnicas de operación para el uso de la banda de frecuencias 57-64 GHz, clasificada como espectro libre”</w:t>
            </w:r>
            <w:r w:rsidR="00363D7C">
              <w:rPr>
                <w:rFonts w:ascii="ITC Avant Garde" w:eastAsia="Times New Roman" w:hAnsi="ITC Avant Garde" w:cstheme="minorHAnsi"/>
                <w:bCs/>
                <w:i/>
                <w:sz w:val="16"/>
                <w:szCs w:val="16"/>
                <w:lang w:eastAsia="es-MX"/>
              </w:rPr>
              <w:t xml:space="preserve"> </w:t>
            </w:r>
            <w:r w:rsidR="00D610B5">
              <w:rPr>
                <w:rFonts w:ascii="ITC Avant Garde" w:eastAsia="Times New Roman" w:hAnsi="ITC Avant Garde" w:cstheme="minorHAnsi"/>
                <w:bCs/>
                <w:sz w:val="16"/>
                <w:szCs w:val="16"/>
                <w:lang w:eastAsia="es-MX"/>
              </w:rPr>
              <w:t>posterior a los</w:t>
            </w:r>
            <w:r w:rsidR="004D31E0">
              <w:rPr>
                <w:rFonts w:ascii="ITC Avant Garde" w:eastAsia="Times New Roman" w:hAnsi="ITC Avant Garde" w:cstheme="minorHAnsi"/>
                <w:bCs/>
                <w:sz w:val="16"/>
                <w:szCs w:val="16"/>
                <w:lang w:eastAsia="es-MX"/>
              </w:rPr>
              <w:t xml:space="preserve"> proceso</w:t>
            </w:r>
            <w:r w:rsidR="00D610B5">
              <w:rPr>
                <w:rFonts w:ascii="ITC Avant Garde" w:eastAsia="Times New Roman" w:hAnsi="ITC Avant Garde" w:cstheme="minorHAnsi"/>
                <w:bCs/>
                <w:sz w:val="16"/>
                <w:szCs w:val="16"/>
                <w:lang w:eastAsia="es-MX"/>
              </w:rPr>
              <w:t>s</w:t>
            </w:r>
            <w:r w:rsidR="004D31E0">
              <w:rPr>
                <w:rFonts w:ascii="ITC Avant Garde" w:eastAsia="Times New Roman" w:hAnsi="ITC Avant Garde" w:cstheme="minorHAnsi"/>
                <w:bCs/>
                <w:sz w:val="16"/>
                <w:szCs w:val="16"/>
                <w:lang w:eastAsia="es-MX"/>
              </w:rPr>
              <w:t xml:space="preserve"> de Consulta Pública </w:t>
            </w:r>
            <w:r w:rsidR="00D610B5">
              <w:rPr>
                <w:rFonts w:ascii="ITC Avant Garde" w:eastAsia="Times New Roman" w:hAnsi="ITC Avant Garde" w:cstheme="minorHAnsi"/>
                <w:bCs/>
                <w:sz w:val="16"/>
                <w:szCs w:val="16"/>
                <w:lang w:eastAsia="es-MX"/>
              </w:rPr>
              <w:t>correspondientes</w:t>
            </w:r>
            <w:r w:rsidR="004D31E0">
              <w:rPr>
                <w:rFonts w:ascii="ITC Avant Garde" w:eastAsia="Times New Roman" w:hAnsi="ITC Avant Garde" w:cstheme="minorHAnsi"/>
                <w:bCs/>
                <w:sz w:val="16"/>
                <w:szCs w:val="16"/>
                <w:lang w:eastAsia="es-MX"/>
              </w:rPr>
              <w:t>.</w:t>
            </w:r>
          </w:p>
          <w:p w14:paraId="483CFF1F" w14:textId="671418A8" w:rsidR="001E0F27" w:rsidRDefault="001E0F27" w:rsidP="004D31E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66BD1C2F" w14:textId="7BEB56F5" w:rsidR="00D23844" w:rsidRDefault="00D23844" w:rsidP="004D31E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En este sentido, </w:t>
            </w:r>
            <w:r w:rsidRPr="00ED3EBF">
              <w:rPr>
                <w:rFonts w:ascii="ITC Avant Garde" w:eastAsia="Times New Roman" w:hAnsi="ITC Avant Garde" w:cstheme="minorHAnsi"/>
                <w:b/>
                <w:bCs/>
                <w:sz w:val="16"/>
                <w:szCs w:val="16"/>
                <w:lang w:eastAsia="es-MX"/>
              </w:rPr>
              <w:t xml:space="preserve">no </w:t>
            </w:r>
            <w:r>
              <w:rPr>
                <w:rFonts w:ascii="ITC Avant Garde" w:eastAsia="Times New Roman" w:hAnsi="ITC Avant Garde" w:cstheme="minorHAnsi"/>
                <w:b/>
                <w:bCs/>
                <w:sz w:val="16"/>
                <w:szCs w:val="16"/>
                <w:lang w:eastAsia="es-MX"/>
              </w:rPr>
              <w:t xml:space="preserve">se </w:t>
            </w:r>
            <w:r w:rsidRPr="00783D72">
              <w:rPr>
                <w:rFonts w:ascii="ITC Avant Garde" w:eastAsia="Times New Roman" w:hAnsi="ITC Avant Garde" w:cstheme="minorHAnsi"/>
                <w:b/>
                <w:bCs/>
                <w:sz w:val="16"/>
                <w:szCs w:val="16"/>
                <w:lang w:eastAsia="es-MX"/>
              </w:rPr>
              <w:t>considera factible</w:t>
            </w:r>
            <w:r>
              <w:rPr>
                <w:rFonts w:ascii="ITC Avant Garde" w:eastAsia="Times New Roman" w:hAnsi="ITC Avant Garde" w:cstheme="minorHAnsi"/>
                <w:bCs/>
                <w:sz w:val="16"/>
                <w:szCs w:val="16"/>
                <w:lang w:eastAsia="es-MX"/>
              </w:rPr>
              <w:t xml:space="preserve"> la propuesta de inclusión de los usos y aplicaciones permitidas en la</w:t>
            </w:r>
            <w:r w:rsidRPr="00783D72">
              <w:rPr>
                <w:rFonts w:ascii="ITC Avant Garde" w:eastAsia="Times New Roman" w:hAnsi="ITC Avant Garde" w:cstheme="minorHAnsi"/>
                <w:bCs/>
                <w:sz w:val="16"/>
                <w:szCs w:val="16"/>
                <w:lang w:eastAsia="es-MX"/>
              </w:rPr>
              <w:t xml:space="preserve"> banda 57 - 64 GHz</w:t>
            </w:r>
            <w:r>
              <w:rPr>
                <w:rFonts w:ascii="ITC Avant Garde" w:eastAsia="Times New Roman" w:hAnsi="ITC Avant Garde" w:cstheme="minorHAnsi"/>
                <w:bCs/>
                <w:sz w:val="16"/>
                <w:szCs w:val="16"/>
                <w:lang w:eastAsia="es-MX"/>
              </w:rPr>
              <w:t xml:space="preserve">, hasta en tanto no se haya finalizado el proceso </w:t>
            </w:r>
            <w:r w:rsidR="001E0F27">
              <w:rPr>
                <w:rFonts w:ascii="ITC Avant Garde" w:eastAsia="Times New Roman" w:hAnsi="ITC Avant Garde" w:cstheme="minorHAnsi"/>
                <w:bCs/>
                <w:sz w:val="16"/>
                <w:szCs w:val="16"/>
                <w:lang w:eastAsia="es-MX"/>
              </w:rPr>
              <w:t xml:space="preserve">antes mencionado y que se encuentra </w:t>
            </w:r>
            <w:r>
              <w:rPr>
                <w:rFonts w:ascii="ITC Avant Garde" w:eastAsia="Times New Roman" w:hAnsi="ITC Avant Garde" w:cstheme="minorHAnsi"/>
                <w:bCs/>
                <w:sz w:val="16"/>
                <w:szCs w:val="16"/>
                <w:lang w:eastAsia="es-MX"/>
              </w:rPr>
              <w:t xml:space="preserve">asociado con el uso </w:t>
            </w:r>
            <w:r w:rsidRPr="00E0027E">
              <w:rPr>
                <w:rFonts w:ascii="ITC Avant Garde" w:eastAsia="Times New Roman" w:hAnsi="ITC Avant Garde" w:cstheme="minorHAnsi"/>
                <w:bCs/>
                <w:sz w:val="16"/>
                <w:szCs w:val="16"/>
                <w:lang w:eastAsia="es-MX"/>
              </w:rPr>
              <w:t>de la banda de frecuencias 57-64 GHz, clasificada como espectro libre</w:t>
            </w:r>
            <w:r w:rsidR="00D610B5">
              <w:rPr>
                <w:rFonts w:ascii="ITC Avant Garde" w:eastAsia="Times New Roman" w:hAnsi="ITC Avant Garde" w:cstheme="minorHAnsi"/>
                <w:bCs/>
                <w:sz w:val="16"/>
                <w:szCs w:val="16"/>
                <w:lang w:eastAsia="es-MX"/>
              </w:rPr>
              <w:t>.</w:t>
            </w:r>
          </w:p>
          <w:p w14:paraId="513423F7" w14:textId="4F265150" w:rsidR="004D31E0" w:rsidRDefault="004D31E0" w:rsidP="00116A5C">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3539921B" w14:textId="289B5719" w:rsidR="009D2061" w:rsidRPr="004D31E0" w:rsidRDefault="00A05B27" w:rsidP="00D23844">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Finalmente</w:t>
            </w:r>
            <w:r w:rsidR="004D31E0">
              <w:rPr>
                <w:rFonts w:ascii="ITC Avant Garde" w:eastAsia="Times New Roman" w:hAnsi="ITC Avant Garde" w:cstheme="minorHAnsi"/>
                <w:bCs/>
                <w:sz w:val="16"/>
                <w:szCs w:val="16"/>
                <w:lang w:eastAsia="es-MX"/>
              </w:rPr>
              <w:t>, cabe destacar que</w:t>
            </w:r>
            <w:r w:rsidR="004D31E0" w:rsidRPr="00096E73">
              <w:rPr>
                <w:rFonts w:ascii="ITC Avant Garde" w:eastAsia="Times New Roman" w:hAnsi="ITC Avant Garde" w:cstheme="minorHAnsi"/>
                <w:bCs/>
                <w:sz w:val="16"/>
                <w:szCs w:val="16"/>
                <w:lang w:eastAsia="es-MX"/>
              </w:rPr>
              <w:t xml:space="preserve"> </w:t>
            </w:r>
            <w:r w:rsidR="00687C57">
              <w:rPr>
                <w:rFonts w:ascii="ITC Avant Garde" w:eastAsia="Times New Roman" w:hAnsi="ITC Avant Garde" w:cstheme="minorHAnsi"/>
                <w:bCs/>
                <w:sz w:val="16"/>
                <w:szCs w:val="16"/>
                <w:lang w:eastAsia="es-MX"/>
              </w:rPr>
              <w:t>el</w:t>
            </w:r>
            <w:r w:rsidR="004D31E0" w:rsidRPr="00096E73">
              <w:rPr>
                <w:rFonts w:ascii="ITC Avant Garde" w:eastAsia="Times New Roman" w:hAnsi="ITC Avant Garde" w:cstheme="minorHAnsi"/>
                <w:bCs/>
                <w:sz w:val="16"/>
                <w:szCs w:val="16"/>
                <w:lang w:eastAsia="es-MX"/>
              </w:rPr>
              <w:t xml:space="preserve"> CNAF es </w:t>
            </w:r>
            <w:r w:rsidR="00AF72C6">
              <w:rPr>
                <w:rFonts w:ascii="ITC Avant Garde" w:eastAsia="Times New Roman" w:hAnsi="ITC Avant Garde" w:cstheme="minorHAnsi"/>
                <w:bCs/>
                <w:sz w:val="16"/>
                <w:szCs w:val="16"/>
                <w:lang w:eastAsia="es-MX"/>
              </w:rPr>
              <w:t>la</w:t>
            </w:r>
            <w:r w:rsidR="004D31E0" w:rsidRPr="00096E73">
              <w:rPr>
                <w:rFonts w:ascii="ITC Avant Garde" w:eastAsia="Times New Roman" w:hAnsi="ITC Avant Garde" w:cstheme="minorHAnsi"/>
                <w:bCs/>
                <w:sz w:val="16"/>
                <w:szCs w:val="16"/>
                <w:lang w:eastAsia="es-MX"/>
              </w:rPr>
              <w:t xml:space="preserve"> disposición administrativa que indica el servicio o servicios de radiocomunicaciones a los que se encuentra atribuida una determinada banda de frecuencias del espectro radioeléctrico</w:t>
            </w:r>
            <w:r w:rsidR="004D31E0">
              <w:rPr>
                <w:rFonts w:ascii="ITC Avant Garde" w:eastAsia="Times New Roman" w:hAnsi="ITC Avant Garde" w:cstheme="minorHAnsi"/>
                <w:bCs/>
                <w:sz w:val="16"/>
                <w:szCs w:val="16"/>
                <w:lang w:eastAsia="es-MX"/>
              </w:rPr>
              <w:t xml:space="preserve"> a nivel nacional</w:t>
            </w:r>
            <w:r w:rsidR="004D31E0" w:rsidRPr="00096E73">
              <w:rPr>
                <w:rFonts w:ascii="ITC Avant Garde" w:eastAsia="Times New Roman" w:hAnsi="ITC Avant Garde" w:cstheme="minorHAnsi"/>
                <w:bCs/>
                <w:sz w:val="16"/>
                <w:szCs w:val="16"/>
                <w:lang w:eastAsia="es-MX"/>
              </w:rPr>
              <w:t xml:space="preserve">, así como </w:t>
            </w:r>
            <w:r w:rsidR="004D31E0">
              <w:rPr>
                <w:rFonts w:ascii="ITC Avant Garde" w:eastAsia="Times New Roman" w:hAnsi="ITC Avant Garde" w:cstheme="minorHAnsi"/>
                <w:bCs/>
                <w:sz w:val="16"/>
                <w:szCs w:val="16"/>
                <w:lang w:eastAsia="es-MX"/>
              </w:rPr>
              <w:t xml:space="preserve">notas nacionales que muestran </w:t>
            </w:r>
            <w:r w:rsidR="004D31E0" w:rsidRPr="00096E73">
              <w:rPr>
                <w:rFonts w:ascii="ITC Avant Garde" w:eastAsia="Times New Roman" w:hAnsi="ITC Avant Garde" w:cstheme="minorHAnsi"/>
                <w:bCs/>
                <w:sz w:val="16"/>
                <w:szCs w:val="16"/>
                <w:lang w:eastAsia="es-MX"/>
              </w:rPr>
              <w:t xml:space="preserve">información </w:t>
            </w:r>
            <w:r w:rsidR="004D31E0">
              <w:rPr>
                <w:rFonts w:ascii="ITC Avant Garde" w:eastAsia="Times New Roman" w:hAnsi="ITC Avant Garde" w:cstheme="minorHAnsi"/>
                <w:bCs/>
                <w:sz w:val="16"/>
                <w:szCs w:val="16"/>
                <w:lang w:eastAsia="es-MX"/>
              </w:rPr>
              <w:t xml:space="preserve">relevante </w:t>
            </w:r>
            <w:r w:rsidR="004D31E0" w:rsidRPr="00096E73">
              <w:rPr>
                <w:rFonts w:ascii="ITC Avant Garde" w:eastAsia="Times New Roman" w:hAnsi="ITC Avant Garde" w:cstheme="minorHAnsi"/>
                <w:bCs/>
                <w:sz w:val="16"/>
                <w:szCs w:val="16"/>
                <w:lang w:eastAsia="es-MX"/>
              </w:rPr>
              <w:t>sobre</w:t>
            </w:r>
            <w:r w:rsidR="004D31E0">
              <w:rPr>
                <w:rFonts w:ascii="ITC Avant Garde" w:eastAsia="Times New Roman" w:hAnsi="ITC Avant Garde" w:cstheme="minorHAnsi"/>
                <w:bCs/>
                <w:sz w:val="16"/>
                <w:szCs w:val="16"/>
                <w:lang w:eastAsia="es-MX"/>
              </w:rPr>
              <w:t xml:space="preserve">: i) clasificación de bandas del espectro radioeléctrico, </w:t>
            </w:r>
            <w:proofErr w:type="spellStart"/>
            <w:r w:rsidR="004D31E0">
              <w:rPr>
                <w:rFonts w:ascii="ITC Avant Garde" w:eastAsia="Times New Roman" w:hAnsi="ITC Avant Garde" w:cstheme="minorHAnsi"/>
                <w:bCs/>
                <w:sz w:val="16"/>
                <w:szCs w:val="16"/>
                <w:lang w:eastAsia="es-MX"/>
              </w:rPr>
              <w:t>ii</w:t>
            </w:r>
            <w:proofErr w:type="spellEnd"/>
            <w:r w:rsidR="004D31E0">
              <w:rPr>
                <w:rFonts w:ascii="ITC Avant Garde" w:eastAsia="Times New Roman" w:hAnsi="ITC Avant Garde" w:cstheme="minorHAnsi"/>
                <w:bCs/>
                <w:sz w:val="16"/>
                <w:szCs w:val="16"/>
                <w:lang w:eastAsia="es-MX"/>
              </w:rPr>
              <w:t xml:space="preserve">) uso actual de las bandas de frecuencias, </w:t>
            </w:r>
            <w:proofErr w:type="spellStart"/>
            <w:r w:rsidR="004D31E0">
              <w:rPr>
                <w:rFonts w:ascii="ITC Avant Garde" w:eastAsia="Times New Roman" w:hAnsi="ITC Avant Garde" w:cstheme="minorHAnsi"/>
                <w:bCs/>
                <w:sz w:val="16"/>
                <w:szCs w:val="16"/>
                <w:lang w:eastAsia="es-MX"/>
              </w:rPr>
              <w:t>iii</w:t>
            </w:r>
            <w:proofErr w:type="spellEnd"/>
            <w:r w:rsidR="004D31E0">
              <w:rPr>
                <w:rFonts w:ascii="ITC Avant Garde" w:eastAsia="Times New Roman" w:hAnsi="ITC Avant Garde" w:cstheme="minorHAnsi"/>
                <w:bCs/>
                <w:sz w:val="16"/>
                <w:szCs w:val="16"/>
                <w:lang w:eastAsia="es-MX"/>
              </w:rPr>
              <w:t xml:space="preserve">) disposiciones o arreglos de frecuencias para ciertas bandas, </w:t>
            </w:r>
            <w:proofErr w:type="spellStart"/>
            <w:r w:rsidR="004D31E0">
              <w:rPr>
                <w:rFonts w:ascii="ITC Avant Garde" w:eastAsia="Times New Roman" w:hAnsi="ITC Avant Garde" w:cstheme="minorHAnsi"/>
                <w:bCs/>
                <w:sz w:val="16"/>
                <w:szCs w:val="16"/>
                <w:lang w:eastAsia="es-MX"/>
              </w:rPr>
              <w:t>iv</w:t>
            </w:r>
            <w:proofErr w:type="spellEnd"/>
            <w:r w:rsidR="004D31E0">
              <w:rPr>
                <w:rFonts w:ascii="ITC Avant Garde" w:eastAsia="Times New Roman" w:hAnsi="ITC Avant Garde" w:cstheme="minorHAnsi"/>
                <w:bCs/>
                <w:sz w:val="16"/>
                <w:szCs w:val="16"/>
                <w:lang w:eastAsia="es-MX"/>
              </w:rPr>
              <w:t>) instrumentos bilaterales para el uso del espectro en zonas fronterizas, v) referencias a disposiciones técnicas aplicables al uso de la banda de frecuencias, vi) las acciones de planificación proyectadas para una determinada banda de frecuencias en el corto, mediano y largo plazo y vi) aplicaciones inalámbricas asociadas con los servicios de radiocomunicaciones, de conformidad con el marco normativo nacional e internacional aplicable</w:t>
            </w:r>
            <w:r w:rsidR="004D31E0" w:rsidRPr="00096E73">
              <w:rPr>
                <w:rFonts w:ascii="ITC Avant Garde" w:eastAsia="Times New Roman" w:hAnsi="ITC Avant Garde" w:cstheme="minorHAnsi"/>
                <w:bCs/>
                <w:sz w:val="16"/>
                <w:szCs w:val="16"/>
                <w:lang w:eastAsia="es-MX"/>
              </w:rPr>
              <w:t>.</w:t>
            </w:r>
          </w:p>
        </w:tc>
      </w:tr>
      <w:tr w:rsidR="009D2061" w:rsidRPr="00AF49A3" w14:paraId="266D6481" w14:textId="77777777" w:rsidTr="0028154E">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2778F0B1" w14:textId="56500CCD" w:rsidR="009D2061" w:rsidRPr="00AF49A3" w:rsidRDefault="009D2061" w:rsidP="007D067A">
            <w:pPr>
              <w:jc w:val="center"/>
              <w:rPr>
                <w:rFonts w:ascii="ITC Avant Garde" w:eastAsia="Times New Roman" w:hAnsi="ITC Avant Garde" w:cstheme="minorHAnsi"/>
                <w:b w:val="0"/>
                <w:sz w:val="18"/>
                <w:szCs w:val="18"/>
                <w:lang w:eastAsia="es-MX"/>
              </w:rPr>
            </w:pPr>
            <w:r w:rsidRPr="00AF49A3">
              <w:rPr>
                <w:rFonts w:ascii="ITC Avant Garde" w:hAnsi="ITC Avant Garde"/>
                <w:b w:val="0"/>
                <w:bCs w:val="0"/>
                <w:sz w:val="18"/>
                <w:szCs w:val="18"/>
              </w:rPr>
              <w:t>Tabla de Atribuciones</w:t>
            </w:r>
          </w:p>
        </w:tc>
        <w:tc>
          <w:tcPr>
            <w:tcW w:w="2964" w:type="pct"/>
            <w:tcBorders>
              <w:right w:val="single" w:sz="4" w:space="0" w:color="A8D08D" w:themeColor="accent6" w:themeTint="99"/>
            </w:tcBorders>
            <w:shd w:val="clear" w:color="auto" w:fill="auto"/>
            <w:vAlign w:val="center"/>
          </w:tcPr>
          <w:p w14:paraId="65B6752A" w14:textId="52C2F6D1" w:rsidR="009D2061" w:rsidRPr="003D0FB4" w:rsidRDefault="009D2061"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3D0FB4">
              <w:rPr>
                <w:rFonts w:ascii="ITC Avant Garde" w:eastAsia="Times New Roman" w:hAnsi="ITC Avant Garde" w:cstheme="minorHAnsi"/>
                <w:sz w:val="16"/>
                <w:szCs w:val="16"/>
                <w:lang w:eastAsia="es-MX"/>
              </w:rPr>
              <w:t>Sin comentario, opinión o aportación.</w:t>
            </w:r>
          </w:p>
        </w:tc>
        <w:tc>
          <w:tcPr>
            <w:tcW w:w="1316" w:type="pct"/>
            <w:gridSpan w:val="2"/>
            <w:vMerge/>
            <w:tcBorders>
              <w:left w:val="single" w:sz="4" w:space="0" w:color="A8D08D" w:themeColor="accent6" w:themeTint="99"/>
            </w:tcBorders>
            <w:shd w:val="clear" w:color="auto" w:fill="auto"/>
            <w:vAlign w:val="center"/>
          </w:tcPr>
          <w:p w14:paraId="23B9B54F" w14:textId="77777777" w:rsidR="009D2061" w:rsidRPr="00AF49A3" w:rsidRDefault="009D2061"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9D2061" w:rsidRPr="00AF49A3" w14:paraId="76A2538B" w14:textId="77777777" w:rsidTr="0028154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73402071" w14:textId="5807F8A7" w:rsidR="009D2061" w:rsidRPr="00AF49A3" w:rsidRDefault="009D2061" w:rsidP="007D067A">
            <w:pPr>
              <w:jc w:val="center"/>
              <w:rPr>
                <w:rFonts w:ascii="ITC Avant Garde" w:eastAsia="Times New Roman" w:hAnsi="ITC Avant Garde" w:cstheme="minorHAnsi"/>
                <w:b w:val="0"/>
                <w:sz w:val="18"/>
                <w:szCs w:val="18"/>
                <w:lang w:eastAsia="es-MX"/>
              </w:rPr>
            </w:pPr>
            <w:r w:rsidRPr="00AF49A3">
              <w:rPr>
                <w:rFonts w:ascii="ITC Avant Garde" w:hAnsi="ITC Avant Garde"/>
                <w:b w:val="0"/>
                <w:bCs w:val="0"/>
                <w:sz w:val="18"/>
                <w:szCs w:val="18"/>
              </w:rPr>
              <w:t>Notas Nacionales</w:t>
            </w:r>
          </w:p>
        </w:tc>
        <w:tc>
          <w:tcPr>
            <w:tcW w:w="2964" w:type="pct"/>
            <w:tcBorders>
              <w:right w:val="single" w:sz="4" w:space="0" w:color="A8D08D" w:themeColor="accent6" w:themeTint="99"/>
            </w:tcBorders>
            <w:shd w:val="clear" w:color="auto" w:fill="auto"/>
            <w:vAlign w:val="center"/>
          </w:tcPr>
          <w:p w14:paraId="7E2994F2" w14:textId="4F553D03" w:rsidR="009D2061" w:rsidRPr="003D0FB4" w:rsidRDefault="009D2061"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3D0FB4">
              <w:rPr>
                <w:rFonts w:ascii="ITC Avant Garde" w:eastAsia="Times New Roman" w:hAnsi="ITC Avant Garde" w:cstheme="minorHAnsi"/>
                <w:sz w:val="16"/>
                <w:szCs w:val="16"/>
                <w:lang w:eastAsia="es-MX"/>
              </w:rPr>
              <w:t xml:space="preserve">MX278A - Debido a un aumento en el uso de las bandas mencionadas en la Nota MX278A en los últimos años para dispositivos de baja </w:t>
            </w:r>
            <w:r w:rsidRPr="0064143D">
              <w:rPr>
                <w:rFonts w:ascii="ITC Avant Garde" w:eastAsia="Times New Roman" w:hAnsi="ITC Avant Garde" w:cstheme="minorHAnsi"/>
                <w:sz w:val="16"/>
                <w:szCs w:val="16"/>
                <w:lang w:eastAsia="es-MX"/>
              </w:rPr>
              <w:t>potencia, se estima conveniente solicitar al Instituto Federal de Telecomunicaciones analizar, revisar y considerar en la Consulta Pública de que se trata, la inclusión de los usos y aplicaciones de la Nota referida, con el objetivo de comprender justamente los usos y aplicaciones autorizados por el propio Instituto para los productos</w:t>
            </w:r>
            <w:r w:rsidRPr="003D0FB4">
              <w:rPr>
                <w:rFonts w:ascii="ITC Avant Garde" w:eastAsia="Times New Roman" w:hAnsi="ITC Avant Garde" w:cstheme="minorHAnsi"/>
                <w:sz w:val="16"/>
                <w:szCs w:val="16"/>
                <w:lang w:eastAsia="es-MX"/>
              </w:rPr>
              <w:t xml:space="preserve"> que pueden o no hacer uso de estas bandas en territorio nacional.</w:t>
            </w:r>
          </w:p>
        </w:tc>
        <w:tc>
          <w:tcPr>
            <w:tcW w:w="1316" w:type="pct"/>
            <w:gridSpan w:val="2"/>
            <w:vMerge/>
            <w:tcBorders>
              <w:left w:val="single" w:sz="4" w:space="0" w:color="A8D08D" w:themeColor="accent6" w:themeTint="99"/>
            </w:tcBorders>
            <w:shd w:val="clear" w:color="auto" w:fill="auto"/>
            <w:vAlign w:val="center"/>
          </w:tcPr>
          <w:p w14:paraId="1C43F889" w14:textId="77777777" w:rsidR="009D2061" w:rsidRPr="00AF49A3" w:rsidRDefault="009D2061"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9D2061" w:rsidRPr="00AF49A3" w14:paraId="4FC1C572" w14:textId="77777777" w:rsidTr="003D0FB4">
        <w:trPr>
          <w:trHeight w:val="77"/>
        </w:trPr>
        <w:tc>
          <w:tcPr>
            <w:cnfStyle w:val="001000000000" w:firstRow="0" w:lastRow="0" w:firstColumn="1" w:lastColumn="0" w:oddVBand="0" w:evenVBand="0" w:oddHBand="0" w:evenHBand="0" w:firstRowFirstColumn="0" w:firstRowLastColumn="0" w:lastRowFirstColumn="0" w:lastRowLastColumn="0"/>
            <w:tcW w:w="720" w:type="pct"/>
            <w:tcBorders>
              <w:bottom w:val="single" w:sz="4" w:space="0" w:color="A8D08D" w:themeColor="accent6" w:themeTint="99"/>
              <w:right w:val="single" w:sz="4" w:space="0" w:color="A8D08D" w:themeColor="accent6" w:themeTint="99"/>
            </w:tcBorders>
            <w:shd w:val="clear" w:color="auto" w:fill="auto"/>
          </w:tcPr>
          <w:p w14:paraId="16B56082" w14:textId="44DAF2E3" w:rsidR="009D2061" w:rsidRPr="00AF49A3" w:rsidRDefault="009D2061" w:rsidP="007D067A">
            <w:pPr>
              <w:jc w:val="center"/>
              <w:rPr>
                <w:rFonts w:ascii="ITC Avant Garde" w:eastAsia="Times New Roman" w:hAnsi="ITC Avant Garde" w:cstheme="minorHAnsi"/>
                <w:b w:val="0"/>
                <w:sz w:val="18"/>
                <w:szCs w:val="18"/>
                <w:lang w:eastAsia="es-MX"/>
              </w:rPr>
            </w:pPr>
            <w:r w:rsidRPr="00AF49A3">
              <w:rPr>
                <w:rFonts w:ascii="ITC Avant Garde" w:hAnsi="ITC Avant Garde"/>
                <w:b w:val="0"/>
                <w:bCs w:val="0"/>
                <w:sz w:val="18"/>
                <w:szCs w:val="18"/>
              </w:rPr>
              <w:t>Observaciones generales</w:t>
            </w:r>
          </w:p>
        </w:tc>
        <w:tc>
          <w:tcPr>
            <w:tcW w:w="2964" w:type="pct"/>
            <w:tcBorders>
              <w:bottom w:val="single" w:sz="4" w:space="0" w:color="A8D08D" w:themeColor="accent6" w:themeTint="99"/>
              <w:right w:val="single" w:sz="4" w:space="0" w:color="A8D08D" w:themeColor="accent6" w:themeTint="99"/>
            </w:tcBorders>
            <w:shd w:val="clear" w:color="auto" w:fill="auto"/>
          </w:tcPr>
          <w:p w14:paraId="47442269" w14:textId="1313DFFB" w:rsidR="009D2061" w:rsidRPr="003D0FB4" w:rsidRDefault="009D2061" w:rsidP="003D0FB4">
            <w:pP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3D0FB4">
              <w:rPr>
                <w:rFonts w:ascii="ITC Avant Garde" w:eastAsia="Times New Roman" w:hAnsi="ITC Avant Garde" w:cstheme="minorHAnsi"/>
                <w:sz w:val="16"/>
                <w:szCs w:val="16"/>
                <w:lang w:eastAsia="es-MX"/>
              </w:rPr>
              <w:t>Debido al incremento de productos que hacen uso de las bandas NTN: n255, n256, y/o B23 en nuestro país, se solicita atentamente al Instituto analizar y considerar el uso de las mismas.</w:t>
            </w:r>
          </w:p>
        </w:tc>
        <w:tc>
          <w:tcPr>
            <w:tcW w:w="1316" w:type="pct"/>
            <w:gridSpan w:val="2"/>
            <w:vMerge/>
            <w:tcBorders>
              <w:left w:val="single" w:sz="4" w:space="0" w:color="A8D08D" w:themeColor="accent6" w:themeTint="99"/>
              <w:bottom w:val="single" w:sz="4" w:space="0" w:color="A8D08D" w:themeColor="accent6" w:themeTint="99"/>
            </w:tcBorders>
            <w:shd w:val="clear" w:color="auto" w:fill="auto"/>
            <w:vAlign w:val="center"/>
          </w:tcPr>
          <w:p w14:paraId="1BE8DF0D" w14:textId="77777777" w:rsidR="009D2061" w:rsidRPr="00AF49A3" w:rsidRDefault="009D2061"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bl>
    <w:p w14:paraId="147CBBF8" w14:textId="77777777" w:rsidR="0046123E" w:rsidRDefault="0046123E" w:rsidP="007D067A">
      <w:pPr>
        <w:spacing w:after="0" w:line="240" w:lineRule="auto"/>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7D067A" w:rsidRPr="0046123E" w14:paraId="6D4224A6" w14:textId="77777777" w:rsidTr="006B611F">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1A84A1DC" w14:textId="77777777" w:rsidR="007D067A" w:rsidRPr="0046123E" w:rsidRDefault="007D067A" w:rsidP="0028154E">
            <w:pPr>
              <w:ind w:left="316"/>
              <w:jc w:val="center"/>
              <w:rPr>
                <w:rFonts w:ascii="ITC Avant Garde" w:hAnsi="ITC Avant Garde"/>
                <w:b w:val="0"/>
                <w:sz w:val="16"/>
                <w:szCs w:val="16"/>
                <w:lang w:eastAsia="es-MX"/>
              </w:rPr>
            </w:pPr>
            <w:r w:rsidRPr="0046123E">
              <w:rPr>
                <w:rFonts w:ascii="ITC Avant Garde" w:hAnsi="ITC Avant Garde"/>
                <w:bCs w:val="0"/>
                <w:sz w:val="16"/>
                <w:szCs w:val="16"/>
                <w:lang w:eastAsia="es-MX"/>
              </w:rPr>
              <w:t>Comentarios, opiniones, propuestas y aportaciones específicos de la persona participante sobre el asunto en Consulta Pública</w:t>
            </w:r>
          </w:p>
        </w:tc>
      </w:tr>
      <w:tr w:rsidR="007D067A" w:rsidRPr="0046123E" w14:paraId="50A1321D" w14:textId="77777777" w:rsidTr="00724CB7">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D84E932" w14:textId="77777777" w:rsidR="007D067A" w:rsidRPr="0046123E" w:rsidRDefault="007D067A" w:rsidP="0028154E">
            <w:pPr>
              <w:ind w:left="316"/>
              <w:rPr>
                <w:rFonts w:ascii="ITC Avant Garde" w:hAnsi="ITC Avant Garde"/>
                <w:sz w:val="16"/>
                <w:szCs w:val="16"/>
                <w:lang w:eastAsia="es-MX"/>
              </w:rPr>
            </w:pPr>
            <w:r w:rsidRPr="0046123E">
              <w:rPr>
                <w:rFonts w:ascii="ITC Avant Garde" w:hAnsi="ITC Avant Garde"/>
                <w:sz w:val="16"/>
                <w:szCs w:val="16"/>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0EF2E46E" w14:textId="6A99F0D1" w:rsidR="007D067A" w:rsidRPr="0046123E" w:rsidRDefault="00FD134A" w:rsidP="0028154E">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6"/>
                <w:szCs w:val="16"/>
                <w:lang w:val="en-US" w:eastAsia="es-MX"/>
              </w:rPr>
            </w:pPr>
            <w:r w:rsidRPr="0046123E">
              <w:rPr>
                <w:rFonts w:ascii="ITC Avant Garde" w:hAnsi="ITC Avant Garde"/>
                <w:b w:val="0"/>
                <w:color w:val="000000" w:themeColor="text1"/>
                <w:sz w:val="16"/>
                <w:szCs w:val="16"/>
                <w:lang w:val="en-US" w:eastAsia="es-MX"/>
              </w:rPr>
              <w:t xml:space="preserve">Fleet Space Technologies Pty Ltd </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7320B75" w14:textId="77777777" w:rsidR="007D067A" w:rsidRPr="0046123E" w:rsidRDefault="007D067A" w:rsidP="0028154E">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6"/>
                <w:szCs w:val="16"/>
                <w:lang w:eastAsia="es-MX"/>
              </w:rPr>
            </w:pPr>
            <w:r w:rsidRPr="0046123E">
              <w:rPr>
                <w:rFonts w:ascii="ITC Avant Garde" w:hAnsi="ITC Avant Garde"/>
                <w:sz w:val="16"/>
                <w:szCs w:val="16"/>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75EE4385" w14:textId="115AEF44" w:rsidR="007D067A" w:rsidRPr="0046123E" w:rsidRDefault="00FD134A" w:rsidP="0028154E">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6"/>
                <w:szCs w:val="16"/>
                <w:lang w:eastAsia="es-MX"/>
              </w:rPr>
            </w:pPr>
            <w:r w:rsidRPr="0046123E">
              <w:rPr>
                <w:rFonts w:ascii="ITC Avant Garde" w:hAnsi="ITC Avant Garde"/>
                <w:b w:val="0"/>
                <w:color w:val="000000" w:themeColor="text1"/>
                <w:sz w:val="16"/>
                <w:szCs w:val="16"/>
                <w:lang w:eastAsia="es-MX"/>
              </w:rPr>
              <w:t>20240627-CP_CNAF-004</w:t>
            </w:r>
          </w:p>
        </w:tc>
      </w:tr>
      <w:tr w:rsidR="007D067A" w:rsidRPr="0046123E" w14:paraId="0D5CAEB7" w14:textId="77777777" w:rsidTr="00724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530C527C" w14:textId="77777777" w:rsidR="007D067A" w:rsidRPr="0046123E" w:rsidRDefault="007D067A" w:rsidP="0028154E">
            <w:pPr>
              <w:jc w:val="center"/>
              <w:rPr>
                <w:rFonts w:ascii="ITC Avant Garde" w:eastAsia="Times New Roman" w:hAnsi="ITC Avant Garde" w:cstheme="minorHAnsi"/>
                <w:color w:val="000000" w:themeColor="text1"/>
                <w:sz w:val="16"/>
                <w:szCs w:val="16"/>
                <w:lang w:eastAsia="es-MX"/>
              </w:rPr>
            </w:pPr>
            <w:r w:rsidRPr="0046123E">
              <w:rPr>
                <w:rFonts w:ascii="ITC Avant Garde" w:eastAsia="Times New Roman" w:hAnsi="ITC Avant Garde" w:cstheme="minorHAnsi"/>
                <w:color w:val="000000" w:themeColor="text1"/>
                <w:sz w:val="16"/>
                <w:szCs w:val="16"/>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1AC5319F" w14:textId="77777777" w:rsidR="007D067A" w:rsidRPr="0046123E" w:rsidRDefault="007D067A" w:rsidP="0028154E">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6"/>
                <w:szCs w:val="16"/>
                <w:lang w:eastAsia="es-MX"/>
              </w:rPr>
            </w:pPr>
            <w:r w:rsidRPr="0046123E">
              <w:rPr>
                <w:rFonts w:ascii="ITC Avant Garde" w:eastAsia="Times New Roman" w:hAnsi="ITC Avant Garde" w:cstheme="minorHAnsi"/>
                <w:color w:val="000000" w:themeColor="text1"/>
                <w:sz w:val="16"/>
                <w:szCs w:val="16"/>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1A0D5AAF" w14:textId="77777777" w:rsidR="007D067A" w:rsidRPr="0046123E" w:rsidRDefault="007D067A" w:rsidP="0028154E">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6"/>
                <w:szCs w:val="16"/>
                <w:lang w:eastAsia="es-MX"/>
              </w:rPr>
            </w:pPr>
            <w:r w:rsidRPr="0046123E">
              <w:rPr>
                <w:rFonts w:ascii="ITC Avant Garde" w:eastAsia="Times New Roman" w:hAnsi="ITC Avant Garde" w:cstheme="minorHAnsi"/>
                <w:color w:val="000000" w:themeColor="text1"/>
                <w:sz w:val="16"/>
                <w:szCs w:val="16"/>
                <w:lang w:eastAsia="es-MX"/>
              </w:rPr>
              <w:t>Respuesta del Instituto</w:t>
            </w:r>
          </w:p>
        </w:tc>
      </w:tr>
      <w:tr w:rsidR="007D067A" w:rsidRPr="0046123E" w14:paraId="5660376E" w14:textId="77777777" w:rsidTr="00724CB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37A74C5E" w14:textId="3C5485CB" w:rsidR="007D067A" w:rsidRPr="0046123E" w:rsidRDefault="007D067A" w:rsidP="0028154E">
            <w:pPr>
              <w:jc w:val="center"/>
              <w:rPr>
                <w:rFonts w:ascii="ITC Avant Garde" w:eastAsia="Times New Roman" w:hAnsi="ITC Avant Garde" w:cstheme="minorHAnsi"/>
                <w:b w:val="0"/>
                <w:sz w:val="16"/>
                <w:szCs w:val="16"/>
                <w:lang w:eastAsia="es-MX"/>
              </w:rPr>
            </w:pPr>
            <w:r w:rsidRPr="0046123E">
              <w:rPr>
                <w:rFonts w:ascii="ITC Avant Garde" w:eastAsia="Times New Roman" w:hAnsi="ITC Avant Garde" w:cstheme="minorHAnsi"/>
                <w:b w:val="0"/>
                <w:sz w:val="16"/>
                <w:szCs w:val="16"/>
                <w:lang w:eastAsia="es-MX"/>
              </w:rPr>
              <w:t>Sección introductoria</w:t>
            </w:r>
          </w:p>
        </w:tc>
        <w:tc>
          <w:tcPr>
            <w:tcW w:w="2964" w:type="pct"/>
            <w:tcBorders>
              <w:right w:val="single" w:sz="4" w:space="0" w:color="A8D08D" w:themeColor="accent6" w:themeTint="99"/>
            </w:tcBorders>
            <w:shd w:val="clear" w:color="auto" w:fill="auto"/>
            <w:vAlign w:val="center"/>
          </w:tcPr>
          <w:p w14:paraId="76183F32" w14:textId="77777777" w:rsidR="007D067A"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Tabla 3 Categoría de servicios</w:t>
            </w:r>
          </w:p>
          <w:p w14:paraId="44B0B167"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Technologies </w:t>
            </w:r>
            <w:proofErr w:type="spellStart"/>
            <w:r w:rsidRPr="0046123E">
              <w:rPr>
                <w:rFonts w:ascii="ITC Avant Garde" w:eastAsia="Times New Roman" w:hAnsi="ITC Avant Garde" w:cstheme="minorHAnsi"/>
                <w:sz w:val="16"/>
                <w:szCs w:val="16"/>
                <w:lang w:eastAsia="es-MX"/>
              </w:rPr>
              <w:t>Pty</w:t>
            </w:r>
            <w:proofErr w:type="spellEnd"/>
            <w:r w:rsidRPr="0046123E">
              <w:rPr>
                <w:rFonts w:ascii="ITC Avant Garde" w:eastAsia="Times New Roman" w:hAnsi="ITC Avant Garde" w:cstheme="minorHAnsi"/>
                <w:sz w:val="16"/>
                <w:szCs w:val="16"/>
                <w:lang w:eastAsia="es-MX"/>
              </w:rPr>
              <w:t xml:space="preserve"> </w:t>
            </w:r>
            <w:proofErr w:type="spellStart"/>
            <w:r w:rsidRPr="0046123E">
              <w:rPr>
                <w:rFonts w:ascii="ITC Avant Garde" w:eastAsia="Times New Roman" w:hAnsi="ITC Avant Garde" w:cstheme="minorHAnsi"/>
                <w:sz w:val="16"/>
                <w:szCs w:val="16"/>
                <w:lang w:eastAsia="es-MX"/>
              </w:rPr>
              <w:t>Ltd</w:t>
            </w:r>
            <w:proofErr w:type="spellEnd"/>
            <w:r w:rsidRPr="0046123E">
              <w:rPr>
                <w:rFonts w:ascii="ITC Avant Garde" w:eastAsia="Times New Roman" w:hAnsi="ITC Avant Garde" w:cstheme="minorHAnsi"/>
                <w:sz w:val="16"/>
                <w:szCs w:val="16"/>
                <w:lang w:eastAsia="es-MX"/>
              </w:rPr>
              <w:t xml:space="preserv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agradece esta oportunidad de responder a la Consulta Pública sobre el Anteproyecto de Acuerdo de modificación del Cuadro Nacional de Atribución de Frecuencias (CNAF).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apoya el proyecto de texto de esta sección, que se destaca a continuación, y su objetivo general de permitir la explotación de bandas de frecuencias por servicios de radiocomunicaciones innovadores, distintos a los atribuidos en el CNAF, mediante las concesiones o autorizaciones de uso privado con fines experimentales y/o para uso secundario.</w:t>
            </w:r>
          </w:p>
          <w:p w14:paraId="14C11480"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5EB9010E"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r w:rsidRPr="0046123E">
              <w:rPr>
                <w:rFonts w:ascii="ITC Avant Garde" w:eastAsia="Times New Roman" w:hAnsi="ITC Avant Garde" w:cstheme="minorHAnsi"/>
                <w:b/>
                <w:bCs/>
                <w:i/>
                <w:iCs/>
                <w:sz w:val="16"/>
                <w:szCs w:val="16"/>
                <w:lang w:eastAsia="es-MX"/>
              </w:rPr>
              <w:t xml:space="preserve">En términos de lo señalado en el artículo 56 de la LFTR todo uso, aprovechamiento o explotación de bandas de frecuencias del espectro radioeléctrico deberá realizarse de conformidad con lo establecido en el CNAF y demás disposiciones aplicables. El mismo artículo 56 señala el deber del Instituto de mantener actualizado el CNAF </w:t>
            </w:r>
            <w:r w:rsidRPr="0046123E">
              <w:rPr>
                <w:rFonts w:ascii="ITC Avant Garde" w:eastAsia="Times New Roman" w:hAnsi="ITC Avant Garde" w:cstheme="minorHAnsi"/>
                <w:b/>
                <w:bCs/>
                <w:i/>
                <w:iCs/>
                <w:sz w:val="16"/>
                <w:szCs w:val="16"/>
                <w:u w:val="single"/>
                <w:lang w:eastAsia="es-MX"/>
              </w:rPr>
              <w:t>teniendo en consideración la evolución tecnológica en materia de telecomunicaciones y radiodifusión.</w:t>
            </w:r>
            <w:r w:rsidRPr="0046123E">
              <w:rPr>
                <w:rFonts w:ascii="ITC Avant Garde" w:eastAsia="Times New Roman" w:hAnsi="ITC Avant Garde" w:cstheme="minorHAnsi"/>
                <w:b/>
                <w:bCs/>
                <w:i/>
                <w:iCs/>
                <w:sz w:val="16"/>
                <w:szCs w:val="16"/>
                <w:lang w:eastAsia="es-MX"/>
              </w:rPr>
              <w:t xml:space="preserve"> Al respecto, el CNAF se compone de las atribuciones nacionales, notas nacionales, atribuciones internacionales y notas internacionales, tomando de base la normativa nacional e internacional aplicable a los diferentes rangos, bandas, segmentos o canales de frecuencias del espectro radioeléctrico que corresponda.</w:t>
            </w:r>
          </w:p>
          <w:p w14:paraId="5F601C8A"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p>
          <w:p w14:paraId="6013FC28"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r w:rsidRPr="0046123E">
              <w:rPr>
                <w:rFonts w:ascii="ITC Avant Garde" w:eastAsia="Times New Roman" w:hAnsi="ITC Avant Garde" w:cstheme="minorHAnsi"/>
                <w:b/>
                <w:bCs/>
                <w:i/>
                <w:iCs/>
                <w:sz w:val="16"/>
                <w:szCs w:val="16"/>
                <w:lang w:eastAsia="es-MX"/>
              </w:rPr>
              <w:t>En consistencia con el artículo 7 de la LFTR que establece que el Instituto tiene a su cargo</w:t>
            </w:r>
            <w:r w:rsidRPr="0046123E">
              <w:rPr>
                <w:rFonts w:ascii="ITC Avant Garde" w:eastAsia="Times New Roman" w:hAnsi="ITC Avant Garde" w:cstheme="minorHAnsi"/>
                <w:b/>
                <w:bCs/>
                <w:i/>
                <w:iCs/>
                <w:sz w:val="16"/>
                <w:szCs w:val="16"/>
                <w:u w:val="single"/>
                <w:lang w:eastAsia="es-MX"/>
              </w:rPr>
              <w:t xml:space="preserve"> la regulación, promoción y supervisión del uso, aprovechamiento y explotación de bandas de frecuencias del espectro radioeléctrico, el Instituto podrá autorizar el uso y aprovechamiento temporal de bandas de frecuencias del espectro radioeléctrico mediante el otorgamiento de concesiones para uso privado con propósitos de experimentación, comprobación de viabilidad técnica y económica de tecnologías en desarrollo o pruebas temporales de equipo; así como mediante el otorgamiento de constancias de autorización para uso secundario del espectro radioeléctrico; para cualquier servicio de radiocomunicación, independientemente de su atribución en la Tabla de Atribuciones del CNAF, a reserva de no causar interferencias perjudiciales a los servicios que operen bajo lo establecido en el CNAF. </w:t>
            </w:r>
            <w:r w:rsidRPr="0046123E">
              <w:rPr>
                <w:rFonts w:ascii="ITC Avant Garde" w:eastAsia="Times New Roman" w:hAnsi="ITC Avant Garde" w:cstheme="minorHAnsi"/>
                <w:b/>
                <w:bCs/>
                <w:i/>
                <w:iCs/>
                <w:sz w:val="16"/>
                <w:szCs w:val="16"/>
                <w:lang w:eastAsia="es-MX"/>
              </w:rPr>
              <w:t>En estos casos no se podrán reclamar protección contra interferencias perjudiciales causadas por dichos servicios.</w:t>
            </w:r>
          </w:p>
          <w:p w14:paraId="7227DD86"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p>
          <w:p w14:paraId="75576103"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r w:rsidRPr="0046123E">
              <w:rPr>
                <w:rFonts w:ascii="ITC Avant Garde" w:eastAsia="Times New Roman" w:hAnsi="ITC Avant Garde" w:cstheme="minorHAnsi"/>
                <w:b/>
                <w:bCs/>
                <w:i/>
                <w:iCs/>
                <w:sz w:val="16"/>
                <w:szCs w:val="16"/>
                <w:lang w:eastAsia="es-MX"/>
              </w:rPr>
              <w:t xml:space="preserve">Para ello, resulta relevante considerar, entre otras cosas, </w:t>
            </w:r>
            <w:r w:rsidRPr="0046123E">
              <w:rPr>
                <w:rFonts w:ascii="ITC Avant Garde" w:eastAsia="Times New Roman" w:hAnsi="ITC Avant Garde" w:cstheme="minorHAnsi"/>
                <w:b/>
                <w:bCs/>
                <w:i/>
                <w:iCs/>
                <w:sz w:val="16"/>
                <w:szCs w:val="16"/>
                <w:u w:val="single"/>
                <w:lang w:eastAsia="es-MX"/>
              </w:rPr>
              <w:t>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que operan en bandas de frecuencia clasificadas como espectro protegido</w:t>
            </w:r>
            <w:r w:rsidRPr="0046123E">
              <w:rPr>
                <w:rFonts w:ascii="ITC Avant Garde" w:eastAsia="Times New Roman" w:hAnsi="ITC Avant Garde" w:cstheme="minorHAnsi"/>
                <w:b/>
                <w:bCs/>
                <w:i/>
                <w:iCs/>
                <w:sz w:val="16"/>
                <w:szCs w:val="16"/>
                <w:lang w:eastAsia="es-MX"/>
              </w:rPr>
              <w:t>; además de que los servicios a considerar se encuentren previstos en la normativa regional o internacional como lo es el RR de la UIT, o que se encuentren bajo estudio en preparación para futuras Conferencias Mundiales de Radiocomunicación, con el objetivo de buscar la armonización en el uso del espectro radioeléctrico a nivel nacional, regional o internacional.</w:t>
            </w:r>
          </w:p>
          <w:p w14:paraId="7095A6F4"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p>
          <w:p w14:paraId="419F7230"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r w:rsidRPr="0046123E">
              <w:rPr>
                <w:rFonts w:ascii="ITC Avant Garde" w:eastAsia="Times New Roman" w:hAnsi="ITC Avant Garde" w:cstheme="minorHAnsi"/>
                <w:b/>
                <w:bCs/>
                <w:i/>
                <w:iCs/>
                <w:sz w:val="16"/>
                <w:szCs w:val="16"/>
                <w:lang w:eastAsia="es-MX"/>
              </w:rPr>
              <w:t>Así, con base en la experiencia e información obtenida en los casos descritos anteriormente, el Instituto podrá considerar incorporar nuevas atribuciones en futuras actualizaciones del CNAF, teniendo siempre en cuenta la normativa nacional, regional e internacional aplicable.</w:t>
            </w:r>
          </w:p>
          <w:p w14:paraId="334B39C6"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p>
          <w:p w14:paraId="1030D4CB"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r w:rsidRPr="0046123E">
              <w:rPr>
                <w:rFonts w:ascii="ITC Avant Garde" w:eastAsia="Times New Roman" w:hAnsi="ITC Avant Garde" w:cstheme="minorHAnsi"/>
                <w:b/>
                <w:bCs/>
                <w:i/>
                <w:iCs/>
                <w:sz w:val="16"/>
                <w:szCs w:val="16"/>
                <w:lang w:eastAsia="es-MX"/>
              </w:rPr>
              <w:t>El Instituto debe vislumbrar y anticipar la utilización eficiente del espectro radioeléctrico, tomando en cuenta, entre otros factores, i</w:t>
            </w:r>
            <w:r w:rsidRPr="0046123E">
              <w:rPr>
                <w:rFonts w:ascii="ITC Avant Garde" w:eastAsia="Times New Roman" w:hAnsi="ITC Avant Garde" w:cstheme="minorHAnsi"/>
                <w:b/>
                <w:bCs/>
                <w:i/>
                <w:iCs/>
                <w:sz w:val="16"/>
                <w:szCs w:val="16"/>
                <w:u w:val="single"/>
                <w:lang w:eastAsia="es-MX"/>
              </w:rPr>
              <w:t xml:space="preserve">) el desarrollo tecnológico; </w:t>
            </w:r>
            <w:proofErr w:type="spellStart"/>
            <w:r w:rsidRPr="0046123E">
              <w:rPr>
                <w:rFonts w:ascii="ITC Avant Garde" w:eastAsia="Times New Roman" w:hAnsi="ITC Avant Garde" w:cstheme="minorHAnsi"/>
                <w:b/>
                <w:bCs/>
                <w:i/>
                <w:iCs/>
                <w:sz w:val="16"/>
                <w:szCs w:val="16"/>
                <w:u w:val="single"/>
                <w:lang w:eastAsia="es-MX"/>
              </w:rPr>
              <w:t>ii</w:t>
            </w:r>
            <w:proofErr w:type="spellEnd"/>
            <w:r w:rsidRPr="0046123E">
              <w:rPr>
                <w:rFonts w:ascii="ITC Avant Garde" w:eastAsia="Times New Roman" w:hAnsi="ITC Avant Garde" w:cstheme="minorHAnsi"/>
                <w:b/>
                <w:bCs/>
                <w:i/>
                <w:iCs/>
                <w:sz w:val="16"/>
                <w:szCs w:val="16"/>
                <w:u w:val="single"/>
                <w:lang w:eastAsia="es-MX"/>
              </w:rPr>
              <w:t xml:space="preserve">) las tendencias internacionales de su uso y atribución; </w:t>
            </w:r>
            <w:proofErr w:type="spellStart"/>
            <w:r w:rsidRPr="0046123E">
              <w:rPr>
                <w:rFonts w:ascii="ITC Avant Garde" w:eastAsia="Times New Roman" w:hAnsi="ITC Avant Garde" w:cstheme="minorHAnsi"/>
                <w:b/>
                <w:bCs/>
                <w:i/>
                <w:iCs/>
                <w:sz w:val="16"/>
                <w:szCs w:val="16"/>
                <w:u w:val="single"/>
                <w:lang w:eastAsia="es-MX"/>
              </w:rPr>
              <w:t>iii</w:t>
            </w:r>
            <w:proofErr w:type="spellEnd"/>
            <w:r w:rsidRPr="0046123E">
              <w:rPr>
                <w:rFonts w:ascii="ITC Avant Garde" w:eastAsia="Times New Roman" w:hAnsi="ITC Avant Garde" w:cstheme="minorHAnsi"/>
                <w:b/>
                <w:bCs/>
                <w:i/>
                <w:iCs/>
                <w:sz w:val="16"/>
                <w:szCs w:val="16"/>
                <w:u w:val="single"/>
                <w:lang w:eastAsia="es-MX"/>
              </w:rPr>
              <w:t xml:space="preserve">) situaciones internas y externas de mercados o servicios; </w:t>
            </w:r>
            <w:proofErr w:type="spellStart"/>
            <w:r w:rsidRPr="0046123E">
              <w:rPr>
                <w:rFonts w:ascii="ITC Avant Garde" w:eastAsia="Times New Roman" w:hAnsi="ITC Avant Garde" w:cstheme="minorHAnsi"/>
                <w:b/>
                <w:bCs/>
                <w:i/>
                <w:iCs/>
                <w:sz w:val="16"/>
                <w:szCs w:val="16"/>
                <w:u w:val="single"/>
                <w:lang w:eastAsia="es-MX"/>
              </w:rPr>
              <w:t>iv</w:t>
            </w:r>
            <w:proofErr w:type="spellEnd"/>
            <w:r w:rsidRPr="0046123E">
              <w:rPr>
                <w:rFonts w:ascii="ITC Avant Garde" w:eastAsia="Times New Roman" w:hAnsi="ITC Avant Garde" w:cstheme="minorHAnsi"/>
                <w:b/>
                <w:bCs/>
                <w:i/>
                <w:iCs/>
                <w:sz w:val="16"/>
                <w:szCs w:val="16"/>
                <w:u w:val="single"/>
                <w:lang w:eastAsia="es-MX"/>
              </w:rPr>
              <w:t>) necesidades puntuales de diversos sectores económicos, y v) en general, beneficios sociales.</w:t>
            </w:r>
            <w:r w:rsidRPr="0046123E">
              <w:rPr>
                <w:rFonts w:ascii="ITC Avant Garde" w:eastAsia="Times New Roman" w:hAnsi="ITC Avant Garde" w:cstheme="minorHAnsi"/>
                <w:b/>
                <w:bCs/>
                <w:i/>
                <w:iCs/>
                <w:sz w:val="16"/>
                <w:szCs w:val="16"/>
                <w:lang w:eastAsia="es-MX"/>
              </w:rPr>
              <w:t xml:space="preserve"> Asimismo, como parte de la gestión y planeación, el Instituto se encuentra obligado a analizar y diagnosticar el uso y aprovechamiento del espectro radioeléctrico, identificando en su caso, que no se encuentre ocioso, provocando una adecuada explotación de dicho recurso.</w:t>
            </w:r>
          </w:p>
          <w:p w14:paraId="5036C7BD"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lang w:eastAsia="es-MX"/>
              </w:rPr>
            </w:pPr>
          </w:p>
          <w:p w14:paraId="746A7337"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lastRenderedPageBreak/>
              <w:t xml:space="preserve">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es un operador global de satélites y un innovador líder en servicios y tecnologías de vanguardia destinados a revolucionar los sectores de exploración y minería de minerales, entre otros, en la región de América Latina y en el resto del mundo. La empresa tiene su sede en unas instalaciones de última generación en Adelaida, Australia del Sur, y ha crecido rápidamente en los últimos años hasta contar con más de 120 empleados y ahora cuenta con una presencia global con ubicaciones en Canadá, Chile, Luxemburgo y Estados Unidos.</w:t>
            </w:r>
          </w:p>
          <w:p w14:paraId="6219493C"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65C018A0"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es un operador global de satélites e innovador en servicios y tecnologías para la exploración minera en la región de América Latina y en otros países. La empresa tiene su sede en Adelaida, Australia, y ubicaciones globales en Canadá, Chile, Luxemburgo y Estados Unidos.</w:t>
            </w:r>
          </w:p>
          <w:p w14:paraId="0CE24F3C"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06776E26" w14:textId="77777777" w:rsidR="006B611F" w:rsidRPr="0046123E" w:rsidRDefault="006B611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planea operar tres nanosatélites de órbita terrestre baja (Centauri-7, Centauri-8 y Centauri-9) que brindarán conectividad confiable y de baja potencia para la plataforma de exploración mineral patentada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llamada «</w:t>
            </w:r>
            <w:proofErr w:type="spellStart"/>
            <w:r w:rsidRPr="0046123E">
              <w:rPr>
                <w:rFonts w:ascii="ITC Avant Garde" w:eastAsia="Times New Roman" w:hAnsi="ITC Avant Garde" w:cstheme="minorHAnsi"/>
                <w:sz w:val="16"/>
                <w:szCs w:val="16"/>
                <w:lang w:eastAsia="es-MX"/>
              </w:rPr>
              <w:t>ExoSphere</w:t>
            </w:r>
            <w:proofErr w:type="spellEnd"/>
            <w:r w:rsidRPr="0046123E">
              <w:rPr>
                <w:rFonts w:ascii="ITC Avant Garde" w:eastAsia="Times New Roman" w:hAnsi="ITC Avant Garde" w:cstheme="minorHAnsi"/>
                <w:sz w:val="16"/>
                <w:szCs w:val="16"/>
                <w:lang w:eastAsia="es-MX"/>
              </w:rPr>
              <w:t xml:space="preserve">». </w:t>
            </w:r>
            <w:proofErr w:type="spellStart"/>
            <w:r w:rsidRPr="0046123E">
              <w:rPr>
                <w:rFonts w:ascii="ITC Avant Garde" w:eastAsia="Times New Roman" w:hAnsi="ITC Avant Garde" w:cstheme="minorHAnsi"/>
                <w:sz w:val="16"/>
                <w:szCs w:val="16"/>
                <w:lang w:eastAsia="es-MX"/>
              </w:rPr>
              <w:t>ExoSphere</w:t>
            </w:r>
            <w:proofErr w:type="spellEnd"/>
            <w:r w:rsidRPr="0046123E">
              <w:rPr>
                <w:rFonts w:ascii="ITC Avant Garde" w:eastAsia="Times New Roman" w:hAnsi="ITC Avant Garde" w:cstheme="minorHAnsi"/>
                <w:sz w:val="16"/>
                <w:szCs w:val="16"/>
                <w:lang w:eastAsia="es-MX"/>
              </w:rPr>
              <w:t xml:space="preserve"> está dirigido a clientes del sector minero, para la exploración y descubrimiento de minerales bajo la superficie terrestre en áreas remotas fuera de la cobertura celular. </w:t>
            </w:r>
            <w:proofErr w:type="spellStart"/>
            <w:r w:rsidRPr="0046123E">
              <w:rPr>
                <w:rFonts w:ascii="ITC Avant Garde" w:eastAsia="Times New Roman" w:hAnsi="ITC Avant Garde" w:cstheme="minorHAnsi"/>
                <w:sz w:val="16"/>
                <w:szCs w:val="16"/>
                <w:lang w:eastAsia="es-MX"/>
              </w:rPr>
              <w:t>ExoSphere</w:t>
            </w:r>
            <w:proofErr w:type="spellEnd"/>
            <w:r w:rsidRPr="0046123E">
              <w:rPr>
                <w:rFonts w:ascii="ITC Avant Garde" w:eastAsia="Times New Roman" w:hAnsi="ITC Avant Garde" w:cstheme="minorHAnsi"/>
                <w:sz w:val="16"/>
                <w:szCs w:val="16"/>
                <w:lang w:eastAsia="es-MX"/>
              </w:rPr>
              <w:t xml:space="preserve"> utiliza una tecnología especial para escuchar pasivamente el ruido de fondo sísmico utilizando una red de dispositivos terrestres (terminales/ estaciones terrenas) portátiles, alimentados por baterías y directos al satélite, llamados «</w:t>
            </w:r>
            <w:proofErr w:type="spellStart"/>
            <w:r w:rsidRPr="0046123E">
              <w:rPr>
                <w:rFonts w:ascii="ITC Avant Garde" w:eastAsia="Times New Roman" w:hAnsi="ITC Avant Garde" w:cstheme="minorHAnsi"/>
                <w:sz w:val="16"/>
                <w:szCs w:val="16"/>
                <w:lang w:eastAsia="es-MX"/>
              </w:rPr>
              <w:t>Geodes</w:t>
            </w:r>
            <w:proofErr w:type="spellEnd"/>
            <w:r w:rsidRPr="0046123E">
              <w:rPr>
                <w:rFonts w:ascii="ITC Avant Garde" w:eastAsia="Times New Roman" w:hAnsi="ITC Avant Garde" w:cstheme="minorHAnsi"/>
                <w:sz w:val="16"/>
                <w:szCs w:val="16"/>
                <w:lang w:eastAsia="es-MX"/>
              </w:rPr>
              <w:t xml:space="preserve">» (estos estarían ubicados dentro de México). Las </w:t>
            </w:r>
            <w:proofErr w:type="spellStart"/>
            <w:r w:rsidRPr="0046123E">
              <w:rPr>
                <w:rFonts w:ascii="ITC Avant Garde" w:eastAsia="Times New Roman" w:hAnsi="ITC Avant Garde" w:cstheme="minorHAnsi"/>
                <w:sz w:val="16"/>
                <w:szCs w:val="16"/>
                <w:lang w:eastAsia="es-MX"/>
              </w:rPr>
              <w:t>Geodes</w:t>
            </w:r>
            <w:proofErr w:type="spellEnd"/>
            <w:r w:rsidRPr="0046123E">
              <w:rPr>
                <w:rFonts w:ascii="ITC Avant Garde" w:eastAsia="Times New Roman" w:hAnsi="ITC Avant Garde" w:cstheme="minorHAnsi"/>
                <w:sz w:val="16"/>
                <w:szCs w:val="16"/>
                <w:lang w:eastAsia="es-MX"/>
              </w:rPr>
              <w:t xml:space="preserve"> recopilan, filtran y procesan </w:t>
            </w:r>
            <w:r w:rsidR="00CF53BE" w:rsidRPr="0046123E">
              <w:rPr>
                <w:rFonts w:ascii="ITC Avant Garde" w:eastAsia="Times New Roman" w:hAnsi="ITC Avant Garde" w:cstheme="minorHAnsi"/>
                <w:sz w:val="16"/>
                <w:szCs w:val="16"/>
                <w:lang w:eastAsia="es-MX"/>
              </w:rPr>
              <w:t>datos sísmicos</w:t>
            </w:r>
            <w:r w:rsidRPr="0046123E">
              <w:rPr>
                <w:rFonts w:ascii="ITC Avant Garde" w:eastAsia="Times New Roman" w:hAnsi="ITC Avant Garde" w:cstheme="minorHAnsi"/>
                <w:sz w:val="16"/>
                <w:szCs w:val="16"/>
                <w:lang w:eastAsia="es-MX"/>
              </w:rPr>
              <w:t>, luego empaquetan esta información y</w:t>
            </w:r>
            <w:r w:rsidR="00CF53BE" w:rsidRPr="0046123E">
              <w:rPr>
                <w:rFonts w:ascii="ITC Avant Garde" w:eastAsia="Times New Roman" w:hAnsi="ITC Avant Garde" w:cstheme="minorHAnsi"/>
                <w:sz w:val="16"/>
                <w:szCs w:val="16"/>
                <w:lang w:eastAsia="es-MX"/>
              </w:rPr>
              <w:t xml:space="preserve"> vinculan el paquete de datos a un satélite Fleet </w:t>
            </w:r>
            <w:proofErr w:type="spellStart"/>
            <w:r w:rsidR="00CF53BE" w:rsidRPr="0046123E">
              <w:rPr>
                <w:rFonts w:ascii="ITC Avant Garde" w:eastAsia="Times New Roman" w:hAnsi="ITC Avant Garde" w:cstheme="minorHAnsi"/>
                <w:sz w:val="16"/>
                <w:szCs w:val="16"/>
                <w:lang w:eastAsia="es-MX"/>
              </w:rPr>
              <w:t>Space</w:t>
            </w:r>
            <w:proofErr w:type="spellEnd"/>
            <w:r w:rsidR="00CF53BE" w:rsidRPr="0046123E">
              <w:rPr>
                <w:rFonts w:ascii="ITC Avant Garde" w:eastAsia="Times New Roman" w:hAnsi="ITC Avant Garde" w:cstheme="minorHAnsi"/>
                <w:sz w:val="16"/>
                <w:szCs w:val="16"/>
                <w:lang w:eastAsia="es-MX"/>
              </w:rPr>
              <w:t xml:space="preserve"> aéreo. Luego, los datos se envían a través enlaces de conexión de satélites a una estación internacional del satélite en tierra (ubicadas fuera de México) y se entregan a una interfaz de usuario privada accesible a los clientes, en forma de modelos 3D, que pueden identificar depósitos minerales potenciales a una profundidad de más de 2 kilómetros. Este proceso se puede realizar en unos días, a diferencia de los varios meses que lleva utilizar los métodos de exploración tradicionales.</w:t>
            </w:r>
          </w:p>
          <w:p w14:paraId="7B6F8577" w14:textId="77777777" w:rsidR="00CF53BE" w:rsidRPr="0046123E" w:rsidRDefault="00CF53BE"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3835F1F4" w14:textId="77777777" w:rsidR="00CF53BE" w:rsidRPr="0046123E" w:rsidRDefault="00CF53BE"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es interesada en llevar los beneficios de su solución y dispositivos </w:t>
            </w:r>
            <w:proofErr w:type="spellStart"/>
            <w:r w:rsidRPr="0046123E">
              <w:rPr>
                <w:rFonts w:ascii="ITC Avant Garde" w:eastAsia="Times New Roman" w:hAnsi="ITC Avant Garde" w:cstheme="minorHAnsi"/>
                <w:sz w:val="16"/>
                <w:szCs w:val="16"/>
                <w:lang w:eastAsia="es-MX"/>
              </w:rPr>
              <w:t>ExoSphere</w:t>
            </w:r>
            <w:proofErr w:type="spellEnd"/>
            <w:r w:rsidRPr="0046123E">
              <w:rPr>
                <w:rFonts w:ascii="ITC Avant Garde" w:eastAsia="Times New Roman" w:hAnsi="ITC Avant Garde" w:cstheme="minorHAnsi"/>
                <w:sz w:val="16"/>
                <w:szCs w:val="16"/>
                <w:lang w:eastAsia="es-MX"/>
              </w:rPr>
              <w:t xml:space="preserve"> al mercado mexicano. En particular, al muy importante sector minero nacional. Las operaciones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beneficiarían directamente a la economía de México y a la estrategia nacional para alcanzar el nivel net </w:t>
            </w:r>
            <w:proofErr w:type="spellStart"/>
            <w:r w:rsidRPr="0046123E">
              <w:rPr>
                <w:rFonts w:ascii="ITC Avant Garde" w:eastAsia="Times New Roman" w:hAnsi="ITC Avant Garde" w:cstheme="minorHAnsi"/>
                <w:sz w:val="16"/>
                <w:szCs w:val="16"/>
                <w:lang w:eastAsia="es-MX"/>
              </w:rPr>
              <w:t>zero</w:t>
            </w:r>
            <w:proofErr w:type="spellEnd"/>
            <w:r w:rsidRPr="0046123E">
              <w:rPr>
                <w:rFonts w:ascii="ITC Avant Garde" w:eastAsia="Times New Roman" w:hAnsi="ITC Avant Garde" w:cstheme="minorHAnsi"/>
                <w:sz w:val="16"/>
                <w:szCs w:val="16"/>
                <w:lang w:eastAsia="es-MX"/>
              </w:rPr>
              <w:t xml:space="preserve">: encontrar más minerales críticos es esencial, pero también beneficia enormemente al país. El producto </w:t>
            </w:r>
            <w:proofErr w:type="spellStart"/>
            <w:r w:rsidRPr="0046123E">
              <w:rPr>
                <w:rFonts w:ascii="ITC Avant Garde" w:eastAsia="Times New Roman" w:hAnsi="ITC Avant Garde" w:cstheme="minorHAnsi"/>
                <w:sz w:val="16"/>
                <w:szCs w:val="16"/>
                <w:lang w:eastAsia="es-MX"/>
              </w:rPr>
              <w:t>Exosphere</w:t>
            </w:r>
            <w:proofErr w:type="spellEnd"/>
            <w:r w:rsidRPr="0046123E">
              <w:rPr>
                <w:rFonts w:ascii="ITC Avant Garde" w:eastAsia="Times New Roman" w:hAnsi="ITC Avant Garde" w:cstheme="minorHAnsi"/>
                <w:sz w:val="16"/>
                <w:szCs w:val="16"/>
                <w:lang w:eastAsia="es-MX"/>
              </w:rPr>
              <w:t xml:space="preserve"> de Fleet acelera drásticamente el proceso de exploración para ayudar a la industria y al gobierno mexicano a cumplir los objetivos netos cero.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ya ha demostrado su solución </w:t>
            </w:r>
            <w:proofErr w:type="spellStart"/>
            <w:r w:rsidRPr="0046123E">
              <w:rPr>
                <w:rFonts w:ascii="ITC Avant Garde" w:eastAsia="Times New Roman" w:hAnsi="ITC Avant Garde" w:cstheme="minorHAnsi"/>
                <w:sz w:val="16"/>
                <w:szCs w:val="16"/>
                <w:lang w:eastAsia="es-MX"/>
              </w:rPr>
              <w:t>ExoSphere</w:t>
            </w:r>
            <w:proofErr w:type="spellEnd"/>
            <w:r w:rsidRPr="0046123E">
              <w:rPr>
                <w:rFonts w:ascii="ITC Avant Garde" w:eastAsia="Times New Roman" w:hAnsi="ITC Avant Garde" w:cstheme="minorHAnsi"/>
                <w:sz w:val="16"/>
                <w:szCs w:val="16"/>
                <w:lang w:eastAsia="es-MX"/>
              </w:rPr>
              <w:t xml:space="preserve"> mediante pruebas con el sector minero australiano, uno de los más grandes del mundo. Los servicios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apoyarán el desarrollo y la innovación del sector de telecomunicaciones en México y el desarrollo económico en general.</w:t>
            </w:r>
          </w:p>
          <w:p w14:paraId="38C62970" w14:textId="77777777" w:rsidR="001F70FF" w:rsidRPr="0046123E" w:rsidRDefault="001F70FF"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2A49F186" w14:textId="77777777" w:rsidR="00CF53BE" w:rsidRPr="0046123E" w:rsidRDefault="00CF53BE"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El sistema satelital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y los terminales operan enlaces ascendentes y descendentes de bajo consumo y ciclo de trabajo bajo utilizando las siguientes frecuencias UHF y banda S para los servicios al cliente descritos:</w:t>
            </w:r>
          </w:p>
          <w:p w14:paraId="341FADE3" w14:textId="77777777" w:rsidR="00CF53BE" w:rsidRPr="0046123E" w:rsidRDefault="00CF53BE" w:rsidP="00DA40F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1C1F6202"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- 400,15-401 MHz (espacio-Tierra)</w:t>
            </w:r>
          </w:p>
          <w:p w14:paraId="7AFF9ACC"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- 2020-2025 MHz (Tierra-espacio)</w:t>
            </w:r>
          </w:p>
          <w:p w14:paraId="3AE28D87"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- 2025-2110 MHz (Tierra-espacio)</w:t>
            </w:r>
          </w:p>
          <w:p w14:paraId="4EFF074C"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- 2400-2483,5 MHz (Tierra-espacio)</w:t>
            </w:r>
          </w:p>
          <w:p w14:paraId="140B4DD2"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582FC282"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De acuerdo con las disposiciones reglamentarias del IFT, y el Cuadro Nacional de Atribución de Frecuencias (CNAF), las bandas 400.15-401 MHz (espacio-Tierra) y 2020-2025 MHz (Tierra-espacio) se atribuyen a Servicios Móviles Satélites y las bandas 2025-2110 MHz (Tierra-espacio) se atribuyen a los Servicios de Exploración de la Tierra por Satélite, con estatus de comprimaria. En consecuencia, entendemos que dichas bandas están disponibles para autorizar los servicios y derechos de explotación de satélites, sujeto a los procedimientos y requisitos sobre autorizaciones y concesiones del IFT.</w:t>
            </w:r>
          </w:p>
          <w:p w14:paraId="0413A396"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489BDF15" w14:textId="1C85E0A0"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Sin embargo, las bandas 2400-2483,5 MHz (Tierra-espacio) no tienen actualmente ninguna atribución a servicios de radiocomunicaciones por satélite en el CNAF (sólo FIJO, MÓVIL, Radiolocalización). Considerando que, los servicios no satelitales pueden utilizar la banda 2400-2483.5 MHz en México sin autorización (“espectro libr</w:t>
            </w:r>
            <w:r w:rsidR="00281011">
              <w:rPr>
                <w:rFonts w:ascii="ITC Avant Garde" w:eastAsia="Times New Roman" w:hAnsi="ITC Avant Garde" w:cstheme="minorHAnsi"/>
                <w:sz w:val="16"/>
                <w:szCs w:val="16"/>
                <w:lang w:eastAsia="es-MX"/>
              </w:rPr>
              <w:t>e</w:t>
            </w:r>
            <w:r w:rsidRPr="0046123E">
              <w:rPr>
                <w:rFonts w:ascii="ITC Avant Garde" w:eastAsia="Times New Roman" w:hAnsi="ITC Avant Garde" w:cstheme="minorHAnsi"/>
                <w:sz w:val="16"/>
                <w:szCs w:val="16"/>
                <w:lang w:eastAsia="es-MX"/>
              </w:rPr>
              <w:t>”), de acuerdo con los parámetros técnicos y sin causar interferencias a los servicios y dispositivos existentes (SCT Dic. DOF: 13/03/2006; “Inventario de las bandas de frecuencias clasificadas como espectro libre”, marzo de 2023).</w:t>
            </w:r>
          </w:p>
          <w:p w14:paraId="499C26EF"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702B7858"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64143D">
              <w:rPr>
                <w:rFonts w:ascii="ITC Avant Garde" w:eastAsia="Times New Roman" w:hAnsi="ITC Avant Garde" w:cstheme="minorHAnsi"/>
                <w:sz w:val="16"/>
                <w:szCs w:val="16"/>
                <w:lang w:eastAsia="es-MX"/>
              </w:rPr>
              <w:t xml:space="preserve">Fleet </w:t>
            </w:r>
            <w:proofErr w:type="spellStart"/>
            <w:r w:rsidRPr="0064143D">
              <w:rPr>
                <w:rFonts w:ascii="ITC Avant Garde" w:eastAsia="Times New Roman" w:hAnsi="ITC Avant Garde" w:cstheme="minorHAnsi"/>
                <w:sz w:val="16"/>
                <w:szCs w:val="16"/>
                <w:lang w:eastAsia="es-MX"/>
              </w:rPr>
              <w:t>Space</w:t>
            </w:r>
            <w:proofErr w:type="spellEnd"/>
            <w:r w:rsidRPr="0064143D">
              <w:rPr>
                <w:rFonts w:ascii="ITC Avant Garde" w:eastAsia="Times New Roman" w:hAnsi="ITC Avant Garde" w:cstheme="minorHAnsi"/>
                <w:sz w:val="16"/>
                <w:szCs w:val="16"/>
                <w:lang w:eastAsia="es-MX"/>
              </w:rPr>
              <w:t xml:space="preserve"> considera la propuesta de Actualización del CNAF como un paso positivo para crear un enfoque más flexible para el acceso al espectro. Fleet </w:t>
            </w:r>
            <w:proofErr w:type="spellStart"/>
            <w:r w:rsidRPr="0064143D">
              <w:rPr>
                <w:rFonts w:ascii="ITC Avant Garde" w:eastAsia="Times New Roman" w:hAnsi="ITC Avant Garde" w:cstheme="minorHAnsi"/>
                <w:sz w:val="16"/>
                <w:szCs w:val="16"/>
                <w:lang w:eastAsia="es-MX"/>
              </w:rPr>
              <w:t>Space</w:t>
            </w:r>
            <w:proofErr w:type="spellEnd"/>
            <w:r w:rsidRPr="0064143D">
              <w:rPr>
                <w:rFonts w:ascii="ITC Avant Garde" w:eastAsia="Times New Roman" w:hAnsi="ITC Avant Garde" w:cstheme="minorHAnsi"/>
                <w:sz w:val="16"/>
                <w:szCs w:val="16"/>
                <w:lang w:eastAsia="es-MX"/>
              </w:rPr>
              <w:t xml:space="preserve"> espera que los principios generales puedan aplicarse para permitir la operación de servicios de </w:t>
            </w:r>
            <w:proofErr w:type="spellStart"/>
            <w:r w:rsidRPr="0064143D">
              <w:rPr>
                <w:rFonts w:ascii="ITC Avant Garde" w:eastAsia="Times New Roman" w:hAnsi="ITC Avant Garde" w:cstheme="minorHAnsi"/>
                <w:sz w:val="16"/>
                <w:szCs w:val="16"/>
                <w:lang w:eastAsia="es-MX"/>
              </w:rPr>
              <w:t>IoT</w:t>
            </w:r>
            <w:proofErr w:type="spellEnd"/>
            <w:r w:rsidRPr="0064143D">
              <w:rPr>
                <w:rFonts w:ascii="ITC Avant Garde" w:eastAsia="Times New Roman" w:hAnsi="ITC Avant Garde" w:cstheme="minorHAnsi"/>
                <w:sz w:val="16"/>
                <w:szCs w:val="16"/>
                <w:lang w:eastAsia="es-MX"/>
              </w:rPr>
              <w:t xml:space="preserve"> satelitales altamente</w:t>
            </w:r>
            <w:r w:rsidRPr="0046123E">
              <w:rPr>
                <w:rFonts w:ascii="ITC Avant Garde" w:eastAsia="Times New Roman" w:hAnsi="ITC Avant Garde" w:cstheme="minorHAnsi"/>
                <w:sz w:val="16"/>
                <w:szCs w:val="16"/>
                <w:lang w:eastAsia="es-MX"/>
              </w:rPr>
              <w:t xml:space="preserve"> innovadores, como el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dentro de estas mismas espectro libre. Es decir, para la experimentación o utilización secundaria del espectro radioeléctrico por dispositivos satelitales, independientemente de su atribución en la CNAF, siempre que no causen interferencias perjudiciales a los servicios que operan al amparo de lo dispuesto en la CNAF.</w:t>
            </w:r>
          </w:p>
          <w:p w14:paraId="080B7630"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1F2FA0C4"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Tras examinarlos, el sistema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es capaz de operar sus dispositivos (Geodas) cumpliendo con los mismos parámetros técnicos que otros dispositivos que utilizan 2400-2483,5 MHz (p. 21, Inventario de las bandas de frecuencias clasificadas como espectro libre”, marzo de 2023). Operacionalmente, las terminales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no son diferentes de los diversos dispositivos (terrestres) sin necesidad de concesión o autorización, de bajo consumo y de corto alcance que ya operan en estas bandas en México (por ejemplo, Bluetooth, wifi , etc.). La única diferencia es que las señales se reciben desde el espacio y esto no afecta al entorno de interferencias. Dado que los terminales también se implementan en ubicaciones muy remotas, también se eliminan los riesgos de interferencia con dispositivos terrestres. Estamos listos para proporcionar cualquier información técnica adicional y datos necesarios para ayudar al IFT en esta evaluación.</w:t>
            </w:r>
          </w:p>
          <w:p w14:paraId="42267AC4"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7E1B2213"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u w:val="single"/>
                <w:lang w:eastAsia="es-MX"/>
              </w:rPr>
            </w:pPr>
            <w:r w:rsidRPr="0046123E">
              <w:rPr>
                <w:rFonts w:ascii="ITC Avant Garde" w:eastAsia="Times New Roman" w:hAnsi="ITC Avant Garde" w:cstheme="minorHAnsi"/>
                <w:b/>
                <w:bCs/>
                <w:i/>
                <w:iCs/>
                <w:sz w:val="16"/>
                <w:szCs w:val="16"/>
                <w:u w:val="single"/>
                <w:lang w:eastAsia="es-MX"/>
              </w:rPr>
              <w:t>Tendencias internacionales en su uso y atribución</w:t>
            </w:r>
          </w:p>
          <w:p w14:paraId="7FC1626C"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u w:val="single"/>
                <w:lang w:eastAsia="es-MX"/>
              </w:rPr>
            </w:pPr>
          </w:p>
          <w:p w14:paraId="79551CB7"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IFT considera pertinente en el marco de los principios de Consulta Pública considerar las tendencias internacionales. A este respecto, destacamos que la FCC de los Estados Unidos está considerando la posibilidad de permitir el acceso a estas bandas "no licencia" para los dispositivos satelitales, en virtud de la Parte 15 de la FCC, según la cual los terminales satelitales también pueden operar en los Estados Unidos independientemente de no tener una asignación satelital. La FCC también se refirió a esto en su reciente Consulta sobre "Cobertura Suplementaria desde el Espacio" (SCS) y ha autorizado por separado esta banda de frecuencias para la experimentación de servicios satelitales. Además, Australia (ACMA) ha indicado su apoyo a las operaciones de dispositivos satelitales en la banda de 2,4 GHz (dirección tierra-espacio) sujetas al cumplimiento de los requisitos técnicos del marco de autorización (que son similares a las normas de la Parte 15 de la FCC).</w:t>
            </w:r>
          </w:p>
          <w:p w14:paraId="72C28CE8"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118B0222"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Según las normas de la FCC y de EE. UU., varios dispositivos de telecomunicaciones de bajo consumo y corto alcance pueden certificarse en las bandas de 2,4 GHz no licencia, sujetos a estrictos requisitos de certificación técnica.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ya ha demostrado la posibilidad de operar los dispositivos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en los enlaces ascendentes de 2400 – 2483,5 MHz bajo este marco de certificación de la FCC</w:t>
            </w:r>
          </w:p>
          <w:p w14:paraId="7C29E7BE"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39A2DAD4"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Los dispositivos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transmitirían de acuerdo con las reglas de la Parte 15 de la FCC que rigen el uso de la banda titular compartida y no licencia, incluidos los límites para la potencia máxima de salida conducida, la ganancia de la antena, la intensidad de campo y las emisiones radiadas (ver e 47 CFR §§ 15.247, 15.249). Esto significa que los dispositivos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no son diferentes operativamente de los diversos dispositivos terrestres no licencia, de bajo consumo y de corto alcance que ya están certificados </w:t>
            </w:r>
            <w:r w:rsidRPr="0046123E">
              <w:rPr>
                <w:rFonts w:ascii="ITC Avant Garde" w:eastAsia="Times New Roman" w:hAnsi="ITC Avant Garde" w:cstheme="minorHAnsi"/>
                <w:sz w:val="16"/>
                <w:szCs w:val="16"/>
                <w:lang w:eastAsia="es-MX"/>
              </w:rPr>
              <w:lastRenderedPageBreak/>
              <w:t>según las reglas y estándares técnicos de la Parte 15 de la FCC. La única diferencia es que las señales se reciben desde el espacio y esto no afecta al entorno de interferencias.</w:t>
            </w:r>
          </w:p>
          <w:p w14:paraId="39F146E3"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7219BA18"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En segundo lugar, los dispositivos de transmisión utilizan la tecnología patentada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para garantizar que las señales lleguen a los satélites sin interferencias perjudiciales causadas por otros servicios. Por ejemplo, los dispositivos pueden "saltar" a través de 96 canales dentro de la banda 2400-2483,5 MHz.</w:t>
            </w:r>
          </w:p>
          <w:p w14:paraId="3FA3049F"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3CDE0604"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ha realizado un análisis de interferencia detallado que demuestra que las operaciones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plantearían un riesgo de interferencia muy bajo para las operaciones y dispositivos terrestres comunes en las bandas de uso gratuito 2400-2483,5 MHz. Tomando en cuenta tanto el análisis técnico (I/N) como las ubicaciones geográficas de los dispositivos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planificados, que por naturaleza estarían en zonas remotas de México donde se llevan a cabo operaciones mineras. Los usos “no licencia” más comunes de las bandas ISM son para telecomunicaciones de bajo consumo y corto alcance, como </w:t>
            </w:r>
            <w:proofErr w:type="spellStart"/>
            <w:r w:rsidRPr="0046123E">
              <w:rPr>
                <w:rFonts w:ascii="ITC Avant Garde" w:eastAsia="Times New Roman" w:hAnsi="ITC Avant Garde" w:cstheme="minorHAnsi"/>
                <w:sz w:val="16"/>
                <w:szCs w:val="16"/>
                <w:lang w:eastAsia="es-MX"/>
              </w:rPr>
              <w:t>WiFi</w:t>
            </w:r>
            <w:proofErr w:type="spellEnd"/>
            <w:r w:rsidRPr="0046123E">
              <w:rPr>
                <w:rFonts w:ascii="ITC Avant Garde" w:eastAsia="Times New Roman" w:hAnsi="ITC Avant Garde" w:cstheme="minorHAnsi"/>
                <w:sz w:val="16"/>
                <w:szCs w:val="16"/>
                <w:lang w:eastAsia="es-MX"/>
              </w:rPr>
              <w:t xml:space="preserve"> , Bluetooth, </w:t>
            </w:r>
            <w:proofErr w:type="spellStart"/>
            <w:r w:rsidRPr="0046123E">
              <w:rPr>
                <w:rFonts w:ascii="ITC Avant Garde" w:eastAsia="Times New Roman" w:hAnsi="ITC Avant Garde" w:cstheme="minorHAnsi"/>
                <w:sz w:val="16"/>
                <w:szCs w:val="16"/>
                <w:lang w:eastAsia="es-MX"/>
              </w:rPr>
              <w:t>Zigbee</w:t>
            </w:r>
            <w:proofErr w:type="spellEnd"/>
            <w:r w:rsidRPr="0046123E">
              <w:rPr>
                <w:rFonts w:ascii="ITC Avant Garde" w:eastAsia="Times New Roman" w:hAnsi="ITC Avant Garde" w:cstheme="minorHAnsi"/>
                <w:sz w:val="16"/>
                <w:szCs w:val="16"/>
                <w:lang w:eastAsia="es-MX"/>
              </w:rPr>
              <w:t xml:space="preserve">, teléfonos inalámbricos, RFID y NFC. En este contexto,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analizó en qué rango los </w:t>
            </w:r>
            <w:proofErr w:type="spellStart"/>
            <w:r w:rsidRPr="0046123E">
              <w:rPr>
                <w:rFonts w:ascii="ITC Avant Garde" w:eastAsia="Times New Roman" w:hAnsi="ITC Avant Garde" w:cstheme="minorHAnsi"/>
                <w:sz w:val="16"/>
                <w:szCs w:val="16"/>
                <w:lang w:eastAsia="es-MX"/>
              </w:rPr>
              <w:t>Geodes</w:t>
            </w:r>
            <w:proofErr w:type="spellEnd"/>
            <w:r w:rsidRPr="0046123E">
              <w:rPr>
                <w:rFonts w:ascii="ITC Avant Garde" w:eastAsia="Times New Roman" w:hAnsi="ITC Avant Garde" w:cstheme="minorHAnsi"/>
                <w:sz w:val="16"/>
                <w:szCs w:val="16"/>
                <w:lang w:eastAsia="es-MX"/>
              </w:rPr>
              <w:t xml:space="preserve"> caerían por debajo de una I/N de -6 dB en terminales móviles </w:t>
            </w:r>
            <w:proofErr w:type="spellStart"/>
            <w:r w:rsidRPr="0046123E">
              <w:rPr>
                <w:rFonts w:ascii="ITC Avant Garde" w:eastAsia="Times New Roman" w:hAnsi="ITC Avant Garde" w:cstheme="minorHAnsi"/>
                <w:sz w:val="16"/>
                <w:szCs w:val="16"/>
                <w:lang w:eastAsia="es-MX"/>
              </w:rPr>
              <w:t>Wi</w:t>
            </w:r>
            <w:proofErr w:type="spellEnd"/>
            <w:r w:rsidRPr="0046123E">
              <w:rPr>
                <w:rFonts w:ascii="ITC Avant Garde" w:eastAsia="Times New Roman" w:hAnsi="ITC Avant Garde" w:cstheme="minorHAnsi"/>
                <w:sz w:val="16"/>
                <w:szCs w:val="16"/>
                <w:lang w:eastAsia="es-MX"/>
              </w:rPr>
              <w:t>-Fi y Bluetooth (colectivamente “no licencia”). Este análisis I/N empleó los siguientes supuestos:</w:t>
            </w:r>
          </w:p>
          <w:p w14:paraId="1BBF5814"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308B3264"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Arial" w:eastAsia="Times New Roman" w:hAnsi="Arial" w:cs="Arial"/>
                <w:sz w:val="16"/>
                <w:szCs w:val="16"/>
                <w:lang w:eastAsia="es-MX"/>
              </w:rPr>
              <w:t>●</w:t>
            </w:r>
            <w:r w:rsidRPr="0046123E">
              <w:rPr>
                <w:rFonts w:ascii="ITC Avant Garde" w:eastAsia="Times New Roman" w:hAnsi="ITC Avant Garde" w:cstheme="minorHAnsi"/>
                <w:sz w:val="16"/>
                <w:szCs w:val="16"/>
                <w:lang w:eastAsia="es-MX"/>
              </w:rPr>
              <w:t xml:space="preserve"> Altura del terminal no licencia: 1,5 m (150 cm)</w:t>
            </w:r>
          </w:p>
          <w:p w14:paraId="6718F201"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Arial" w:eastAsia="Times New Roman" w:hAnsi="Arial" w:cs="Arial"/>
                <w:sz w:val="16"/>
                <w:szCs w:val="16"/>
                <w:lang w:eastAsia="es-MX"/>
              </w:rPr>
              <w:t>●</w:t>
            </w:r>
            <w:r w:rsidRPr="0046123E">
              <w:rPr>
                <w:rFonts w:ascii="ITC Avant Garde" w:eastAsia="Times New Roman" w:hAnsi="ITC Avant Garde" w:cstheme="minorHAnsi"/>
                <w:sz w:val="16"/>
                <w:szCs w:val="16"/>
                <w:lang w:eastAsia="es-MX"/>
              </w:rPr>
              <w:t xml:space="preserve"> Ganancia de antena de terminal no licencia: -6 dBi</w:t>
            </w:r>
          </w:p>
          <w:p w14:paraId="4308FBBC"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Arial" w:eastAsia="Times New Roman" w:hAnsi="Arial" w:cs="Arial"/>
                <w:sz w:val="16"/>
                <w:szCs w:val="16"/>
                <w:lang w:eastAsia="es-MX"/>
              </w:rPr>
              <w:t>●</w:t>
            </w:r>
            <w:r w:rsidRPr="0046123E">
              <w:rPr>
                <w:rFonts w:ascii="ITC Avant Garde" w:eastAsia="Times New Roman" w:hAnsi="ITC Avant Garde" w:cstheme="minorHAnsi"/>
                <w:sz w:val="16"/>
                <w:szCs w:val="16"/>
                <w:lang w:eastAsia="es-MX"/>
              </w:rPr>
              <w:t xml:space="preserve"> Figura de ruido del terminal no licencia: 9 dB</w:t>
            </w:r>
          </w:p>
          <w:p w14:paraId="4AAE404D"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Arial" w:eastAsia="Times New Roman" w:hAnsi="Arial" w:cs="Arial"/>
                <w:sz w:val="16"/>
                <w:szCs w:val="16"/>
                <w:lang w:eastAsia="es-MX"/>
              </w:rPr>
              <w:t>●</w:t>
            </w:r>
            <w:r w:rsidRPr="0046123E">
              <w:rPr>
                <w:rFonts w:ascii="ITC Avant Garde" w:eastAsia="Times New Roman" w:hAnsi="ITC Avant Garde" w:cstheme="minorHAnsi"/>
                <w:sz w:val="16"/>
                <w:szCs w:val="16"/>
                <w:lang w:eastAsia="es-MX"/>
              </w:rPr>
              <w:t xml:space="preserve"> Terminal no licencia otras pérdidas: 7 dB</w:t>
            </w:r>
          </w:p>
          <w:p w14:paraId="19E59E1F"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Arial" w:eastAsia="Times New Roman" w:hAnsi="Arial" w:cs="Arial"/>
                <w:sz w:val="16"/>
                <w:szCs w:val="16"/>
                <w:lang w:eastAsia="es-MX"/>
              </w:rPr>
              <w:t>●</w:t>
            </w:r>
            <w:r w:rsidRPr="0046123E">
              <w:rPr>
                <w:rFonts w:ascii="ITC Avant Garde" w:eastAsia="Times New Roman" w:hAnsi="ITC Avant Garde" w:cstheme="minorHAnsi"/>
                <w:sz w:val="16"/>
                <w:szCs w:val="16"/>
                <w:lang w:eastAsia="es-MX"/>
              </w:rPr>
              <w:t xml:space="preserve"> Ancho de banda de canal no licencia: 1 MHz (Bluetooth) y 20 MHz (</w:t>
            </w:r>
            <w:proofErr w:type="spellStart"/>
            <w:r w:rsidRPr="0046123E">
              <w:rPr>
                <w:rFonts w:ascii="ITC Avant Garde" w:eastAsia="Times New Roman" w:hAnsi="ITC Avant Garde" w:cstheme="minorHAnsi"/>
                <w:sz w:val="16"/>
                <w:szCs w:val="16"/>
                <w:lang w:eastAsia="es-MX"/>
              </w:rPr>
              <w:t>Wi</w:t>
            </w:r>
            <w:proofErr w:type="spellEnd"/>
            <w:r w:rsidRPr="0046123E">
              <w:rPr>
                <w:rFonts w:ascii="ITC Avant Garde" w:eastAsia="Times New Roman" w:hAnsi="ITC Avant Garde" w:cstheme="minorHAnsi"/>
                <w:sz w:val="16"/>
                <w:szCs w:val="16"/>
                <w:lang w:eastAsia="es-MX"/>
              </w:rPr>
              <w:t>-Fi)</w:t>
            </w:r>
          </w:p>
          <w:p w14:paraId="096C1F42"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Arial" w:eastAsia="Times New Roman" w:hAnsi="Arial" w:cs="Arial"/>
                <w:sz w:val="16"/>
                <w:szCs w:val="16"/>
                <w:lang w:eastAsia="es-MX"/>
              </w:rPr>
              <w:t>●</w:t>
            </w:r>
            <w:r w:rsidRPr="0046123E">
              <w:rPr>
                <w:rFonts w:ascii="ITC Avant Garde" w:eastAsia="Times New Roman" w:hAnsi="ITC Avant Garde" w:cstheme="minorHAnsi"/>
                <w:sz w:val="16"/>
                <w:szCs w:val="16"/>
                <w:lang w:eastAsia="es-MX"/>
              </w:rPr>
              <w:t xml:space="preserve"> Modelo de propagaci</w:t>
            </w:r>
            <w:r w:rsidRPr="0046123E">
              <w:rPr>
                <w:rFonts w:ascii="ITC Avant Garde" w:eastAsia="Times New Roman" w:hAnsi="ITC Avant Garde" w:cs="ITC Avant Garde"/>
                <w:sz w:val="16"/>
                <w:szCs w:val="16"/>
                <w:lang w:eastAsia="es-MX"/>
              </w:rPr>
              <w:t>ó</w:t>
            </w:r>
            <w:r w:rsidRPr="0046123E">
              <w:rPr>
                <w:rFonts w:ascii="ITC Avant Garde" w:eastAsia="Times New Roman" w:hAnsi="ITC Avant Garde" w:cstheme="minorHAnsi"/>
                <w:sz w:val="16"/>
                <w:szCs w:val="16"/>
                <w:lang w:eastAsia="es-MX"/>
              </w:rPr>
              <w:t>n: doble pendiente (Informe UIT-R M.2030 en el Ap</w:t>
            </w:r>
            <w:r w:rsidRPr="0046123E">
              <w:rPr>
                <w:rFonts w:ascii="ITC Avant Garde" w:eastAsia="Times New Roman" w:hAnsi="ITC Avant Garde" w:cs="ITC Avant Garde"/>
                <w:sz w:val="16"/>
                <w:szCs w:val="16"/>
                <w:lang w:eastAsia="es-MX"/>
              </w:rPr>
              <w:t>é</w:t>
            </w:r>
            <w:r w:rsidRPr="0046123E">
              <w:rPr>
                <w:rFonts w:ascii="ITC Avant Garde" w:eastAsia="Times New Roman" w:hAnsi="ITC Avant Garde" w:cstheme="minorHAnsi"/>
                <w:sz w:val="16"/>
                <w:szCs w:val="16"/>
                <w:lang w:eastAsia="es-MX"/>
              </w:rPr>
              <w:t>ndice 2)</w:t>
            </w:r>
          </w:p>
          <w:p w14:paraId="24457FAE"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257D8390"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Los resultados del análisis fueron interferencias por debajo de una I/N de -6 dB a 275 m para el escenario </w:t>
            </w:r>
            <w:proofErr w:type="spellStart"/>
            <w:r w:rsidRPr="0046123E">
              <w:rPr>
                <w:rFonts w:ascii="ITC Avant Garde" w:eastAsia="Times New Roman" w:hAnsi="ITC Avant Garde" w:cstheme="minorHAnsi"/>
                <w:sz w:val="16"/>
                <w:szCs w:val="16"/>
                <w:lang w:eastAsia="es-MX"/>
              </w:rPr>
              <w:t>Geode</w:t>
            </w:r>
            <w:proofErr w:type="spellEnd"/>
            <w:r w:rsidRPr="0046123E">
              <w:rPr>
                <w:rFonts w:ascii="ITC Avant Garde" w:eastAsia="Times New Roman" w:hAnsi="ITC Avant Garde" w:cstheme="minorHAnsi"/>
                <w:sz w:val="16"/>
                <w:szCs w:val="16"/>
                <w:lang w:eastAsia="es-MX"/>
              </w:rPr>
              <w:t xml:space="preserve">-Bluetooth y a 130 m para el escenario </w:t>
            </w:r>
            <w:proofErr w:type="spellStart"/>
            <w:r w:rsidRPr="0046123E">
              <w:rPr>
                <w:rFonts w:ascii="ITC Avant Garde" w:eastAsia="Times New Roman" w:hAnsi="ITC Avant Garde" w:cstheme="minorHAnsi"/>
                <w:sz w:val="16"/>
                <w:szCs w:val="16"/>
                <w:lang w:eastAsia="es-MX"/>
              </w:rPr>
              <w:t>Geode</w:t>
            </w:r>
            <w:proofErr w:type="spellEnd"/>
            <w:r w:rsidRPr="0046123E">
              <w:rPr>
                <w:rFonts w:ascii="ITC Avant Garde" w:eastAsia="Times New Roman" w:hAnsi="ITC Avant Garde" w:cstheme="minorHAnsi"/>
                <w:sz w:val="16"/>
                <w:szCs w:val="16"/>
                <w:lang w:eastAsia="es-MX"/>
              </w:rPr>
              <w:t>-</w:t>
            </w:r>
            <w:proofErr w:type="spellStart"/>
            <w:r w:rsidRPr="0046123E">
              <w:rPr>
                <w:rFonts w:ascii="ITC Avant Garde" w:eastAsia="Times New Roman" w:hAnsi="ITC Avant Garde" w:cstheme="minorHAnsi"/>
                <w:sz w:val="16"/>
                <w:szCs w:val="16"/>
                <w:lang w:eastAsia="es-MX"/>
              </w:rPr>
              <w:t>Wi</w:t>
            </w:r>
            <w:proofErr w:type="spellEnd"/>
            <w:r w:rsidRPr="0046123E">
              <w:rPr>
                <w:rFonts w:ascii="ITC Avant Garde" w:eastAsia="Times New Roman" w:hAnsi="ITC Avant Garde" w:cstheme="minorHAnsi"/>
                <w:sz w:val="16"/>
                <w:szCs w:val="16"/>
                <w:lang w:eastAsia="es-MX"/>
              </w:rPr>
              <w:t xml:space="preserve">-Fi. Además, los riesgos de interferencia se reducen aún más, dada la naturaleza compartida y no licencia de los tipos comunes de aplicaciones terrestres, y sus despliegues muy limitados (si los hay) en las áreas rurales y remotas de México donde operaría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Como se mencionó, las terminales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recopilarán mediciones geofísicas en sitios de minería y exploración de minerales. Por lo general, estas terminales se fijarán y desplegarán en ubicaciones muy remotas, probablemente en propiedades privadas o terrenos gubernamentales arrendados.</w:t>
            </w:r>
          </w:p>
          <w:p w14:paraId="66121E88"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7D22EA19"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64143D">
              <w:rPr>
                <w:rFonts w:ascii="ITC Avant Garde" w:eastAsia="Times New Roman" w:hAnsi="ITC Avant Garde" w:cstheme="minorHAnsi"/>
                <w:sz w:val="16"/>
                <w:szCs w:val="16"/>
                <w:lang w:eastAsia="es-MX"/>
              </w:rPr>
              <w:t xml:space="preserve">Aparte de la compatibilidad técnica descrita anteriormente, nos gustaría resaltar que otorgar acceso limitado a estas bandas para servicios satelitales de última generación y con bajos datos, como Fleet </w:t>
            </w:r>
            <w:proofErr w:type="spellStart"/>
            <w:r w:rsidRPr="0064143D">
              <w:rPr>
                <w:rFonts w:ascii="ITC Avant Garde" w:eastAsia="Times New Roman" w:hAnsi="ITC Avant Garde" w:cstheme="minorHAnsi"/>
                <w:sz w:val="16"/>
                <w:szCs w:val="16"/>
                <w:lang w:eastAsia="es-MX"/>
              </w:rPr>
              <w:t>Space</w:t>
            </w:r>
            <w:proofErr w:type="spellEnd"/>
            <w:r w:rsidRPr="0064143D">
              <w:rPr>
                <w:rFonts w:ascii="ITC Avant Garde" w:eastAsia="Times New Roman" w:hAnsi="ITC Avant Garde" w:cstheme="minorHAnsi"/>
                <w:sz w:val="16"/>
                <w:szCs w:val="16"/>
                <w:lang w:eastAsia="es-MX"/>
              </w:rPr>
              <w:t>, encaja dentro de los objetivos y principios más amplios del IFT establecidos en el documento de Consulta Pública.</w:t>
            </w:r>
          </w:p>
          <w:p w14:paraId="0AFA9087"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1378A972"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u w:val="single"/>
                <w:lang w:eastAsia="es-MX"/>
              </w:rPr>
            </w:pPr>
            <w:r w:rsidRPr="0046123E">
              <w:rPr>
                <w:rFonts w:ascii="ITC Avant Garde" w:eastAsia="Times New Roman" w:hAnsi="ITC Avant Garde" w:cstheme="minorHAnsi"/>
                <w:b/>
                <w:bCs/>
                <w:i/>
                <w:iCs/>
                <w:sz w:val="16"/>
                <w:szCs w:val="16"/>
                <w:u w:val="single"/>
                <w:lang w:eastAsia="es-MX"/>
              </w:rPr>
              <w:t>El uso efectivo del espectro radioeléctrico, sin interferencias perjudiciales a los servicios que operen bajo lo establecido en el CNAF</w:t>
            </w:r>
          </w:p>
          <w:p w14:paraId="7CFEB7EE"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u w:val="single"/>
                <w:lang w:eastAsia="es-MX"/>
              </w:rPr>
            </w:pPr>
          </w:p>
          <w:p w14:paraId="35893F28"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La compatibilidad del sistema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con los servicios existentes y su capacidad para proporcionar una conectividad verdaderamente global, particularmente en las áreas infrautilizadas de las bandas de 2,4 GHz, demuestran que el sistema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puede contribuir al objetivo de un uso racional, económico y eficiente de la frecuencia en México. Como se explicó anteriormente, el sistema y los dispositivos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presentarían un escenario mediante el cual se pueden evitar interferencias dañinas y estamos listos para cooperar aún más con IFT y los usuarios locales del espectro para demostrarlo aún más.</w:t>
            </w:r>
          </w:p>
          <w:p w14:paraId="1996D397"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20EDEC16"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6"/>
                <w:szCs w:val="16"/>
                <w:u w:val="single"/>
                <w:lang w:eastAsia="es-MX"/>
              </w:rPr>
            </w:pPr>
            <w:r w:rsidRPr="0046123E">
              <w:rPr>
                <w:rFonts w:ascii="ITC Avant Garde" w:eastAsia="Times New Roman" w:hAnsi="ITC Avant Garde" w:cstheme="minorHAnsi"/>
                <w:b/>
                <w:bCs/>
                <w:i/>
                <w:iCs/>
                <w:sz w:val="16"/>
                <w:szCs w:val="16"/>
                <w:u w:val="single"/>
                <w:lang w:eastAsia="es-MX"/>
              </w:rPr>
              <w:t>El desarrollo e innovación del sector de las telecomunicaciones, el beneficio que podría brindar al país y a la población en general.</w:t>
            </w:r>
          </w:p>
          <w:p w14:paraId="685F3EE8"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267A1C3B"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 xml:space="preserve">El sistema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representa el surgimiento de un nuevo e importante servicio que beneficiaría y mejoraría significativamente la industria minera local y la economía en general en México. De hecho, la plataforma patentada “ </w:t>
            </w:r>
            <w:proofErr w:type="spellStart"/>
            <w:r w:rsidRPr="0046123E">
              <w:rPr>
                <w:rFonts w:ascii="ITC Avant Garde" w:eastAsia="Times New Roman" w:hAnsi="ITC Avant Garde" w:cstheme="minorHAnsi"/>
                <w:sz w:val="16"/>
                <w:szCs w:val="16"/>
                <w:lang w:eastAsia="es-MX"/>
              </w:rPr>
              <w:t>ExoSphere</w:t>
            </w:r>
            <w:proofErr w:type="spellEnd"/>
            <w:r w:rsidRPr="0046123E">
              <w:rPr>
                <w:rFonts w:ascii="ITC Avant Garde" w:eastAsia="Times New Roman" w:hAnsi="ITC Avant Garde" w:cstheme="minorHAnsi"/>
                <w:sz w:val="16"/>
                <w:szCs w:val="16"/>
                <w:lang w:eastAsia="es-MX"/>
              </w:rPr>
              <w:t xml:space="preserve"> </w:t>
            </w:r>
            <w:proofErr w:type="spellStart"/>
            <w:r w:rsidRPr="0046123E">
              <w:rPr>
                <w:rFonts w:ascii="ITC Avant Garde" w:eastAsia="Times New Roman" w:hAnsi="ITC Avant Garde" w:cstheme="minorHAnsi"/>
                <w:sz w:val="16"/>
                <w:szCs w:val="16"/>
                <w:lang w:eastAsia="es-MX"/>
              </w:rPr>
              <w:t>by</w:t>
            </w:r>
            <w:proofErr w:type="spellEnd"/>
            <w:r w:rsidRPr="0046123E">
              <w:rPr>
                <w:rFonts w:ascii="ITC Avant Garde" w:eastAsia="Times New Roman" w:hAnsi="ITC Avant Garde" w:cstheme="minorHAnsi"/>
                <w:sz w:val="16"/>
                <w:szCs w:val="16"/>
                <w:lang w:eastAsia="es-MX"/>
              </w:rPr>
              <w:t xml:space="preserve"> Fleet </w:t>
            </w:r>
            <w:r w:rsidRPr="0046123E">
              <w:rPr>
                <w:rFonts w:ascii="MS Gothic" w:eastAsia="MS Gothic" w:hAnsi="MS Gothic" w:cs="MS Gothic" w:hint="eastAsia"/>
                <w:sz w:val="16"/>
                <w:szCs w:val="16"/>
                <w:lang w:eastAsia="es-MX"/>
              </w:rPr>
              <w:t>Ⓡ</w:t>
            </w:r>
            <w:r w:rsidRPr="0046123E">
              <w:rPr>
                <w:rFonts w:ascii="ITC Avant Garde" w:eastAsia="Times New Roman" w:hAnsi="ITC Avant Garde" w:cstheme="minorHAnsi"/>
                <w:sz w:val="16"/>
                <w:szCs w:val="16"/>
                <w:lang w:eastAsia="es-MX"/>
              </w:rPr>
              <w:t xml:space="preserve"> ”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ha ganado premios por su innovación: incluido el ganador de los “</w:t>
            </w:r>
            <w:proofErr w:type="spellStart"/>
            <w:r w:rsidRPr="0046123E">
              <w:rPr>
                <w:rFonts w:ascii="ITC Avant Garde" w:eastAsia="Times New Roman" w:hAnsi="ITC Avant Garde" w:cstheme="minorHAnsi"/>
                <w:sz w:val="16"/>
                <w:szCs w:val="16"/>
                <w:lang w:eastAsia="es-MX"/>
              </w:rPr>
              <w:t>Australian</w:t>
            </w:r>
            <w:proofErr w:type="spellEnd"/>
            <w:r w:rsidRPr="0046123E">
              <w:rPr>
                <w:rFonts w:ascii="ITC Avant Garde" w:eastAsia="Times New Roman" w:hAnsi="ITC Avant Garde" w:cstheme="minorHAnsi"/>
                <w:sz w:val="16"/>
                <w:szCs w:val="16"/>
                <w:lang w:eastAsia="es-MX"/>
              </w:rPr>
              <w:t xml:space="preserve"> Good </w:t>
            </w:r>
            <w:proofErr w:type="spellStart"/>
            <w:r w:rsidRPr="0046123E">
              <w:rPr>
                <w:rFonts w:ascii="ITC Avant Garde" w:eastAsia="Times New Roman" w:hAnsi="ITC Avant Garde" w:cstheme="minorHAnsi"/>
                <w:sz w:val="16"/>
                <w:szCs w:val="16"/>
                <w:lang w:eastAsia="es-MX"/>
              </w:rPr>
              <w:t>Design</w:t>
            </w:r>
            <w:proofErr w:type="spellEnd"/>
            <w:r w:rsidRPr="0046123E">
              <w:rPr>
                <w:rFonts w:ascii="ITC Avant Garde" w:eastAsia="Times New Roman" w:hAnsi="ITC Avant Garde" w:cstheme="minorHAnsi"/>
                <w:sz w:val="16"/>
                <w:szCs w:val="16"/>
                <w:lang w:eastAsia="es-MX"/>
              </w:rPr>
              <w:t xml:space="preserve"> </w:t>
            </w:r>
            <w:proofErr w:type="spellStart"/>
            <w:r w:rsidRPr="0046123E">
              <w:rPr>
                <w:rFonts w:ascii="ITC Avant Garde" w:eastAsia="Times New Roman" w:hAnsi="ITC Avant Garde" w:cstheme="minorHAnsi"/>
                <w:sz w:val="16"/>
                <w:szCs w:val="16"/>
                <w:lang w:eastAsia="es-MX"/>
              </w:rPr>
              <w:t>Awards</w:t>
            </w:r>
            <w:proofErr w:type="spellEnd"/>
            <w:r w:rsidRPr="0046123E">
              <w:rPr>
                <w:rFonts w:ascii="ITC Avant Garde" w:eastAsia="Times New Roman" w:hAnsi="ITC Avant Garde" w:cstheme="minorHAnsi"/>
                <w:sz w:val="16"/>
                <w:szCs w:val="16"/>
                <w:lang w:eastAsia="es-MX"/>
              </w:rPr>
              <w:t xml:space="preserve">”, en septiembre de 2022, los premios internacionales de diseño e innovación más antiguos y prestigiosos del país con una historia que se remonta a 1958. Cada año, los premios celebran los mejores productos y servicios nuevos en el mercado australiano e internacional, la excelencia en diseño arquitectónico, ingeniería, moda, diseño digital y de comunicación, y premian áreas de diseño nuevas y emergentes, incluidas estrategia de diseño, diseño de impacto social, investigación de diseño y talentos de diseño prometedores en la categoría de próxima generación. La tecnología de Fleet </w:t>
            </w:r>
            <w:proofErr w:type="spellStart"/>
            <w:r w:rsidRPr="0046123E">
              <w:rPr>
                <w:rFonts w:ascii="ITC Avant Garde" w:eastAsia="Times New Roman" w:hAnsi="ITC Avant Garde" w:cstheme="minorHAnsi"/>
                <w:sz w:val="16"/>
                <w:szCs w:val="16"/>
                <w:lang w:eastAsia="es-MX"/>
              </w:rPr>
              <w:t>Space</w:t>
            </w:r>
            <w:proofErr w:type="spellEnd"/>
            <w:r w:rsidRPr="0046123E">
              <w:rPr>
                <w:rFonts w:ascii="ITC Avant Garde" w:eastAsia="Times New Roman" w:hAnsi="ITC Avant Garde" w:cstheme="minorHAnsi"/>
                <w:sz w:val="16"/>
                <w:szCs w:val="16"/>
                <w:lang w:eastAsia="es-MX"/>
              </w:rPr>
              <w:t xml:space="preserve"> ya está transformando la forma en que los exploradores más progresistas e innovadores del mundo encuentran los minerales críticos que impulsarán la transición global hacia una movilidad con aire limpio.</w:t>
            </w:r>
          </w:p>
          <w:p w14:paraId="67F358D2" w14:textId="77777777" w:rsidR="00CF53BE"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4ED078EC" w14:textId="77777777" w:rsidR="00CF53BE" w:rsidRPr="0064143D"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64143D">
              <w:rPr>
                <w:rFonts w:ascii="ITC Avant Garde" w:eastAsia="Times New Roman" w:hAnsi="ITC Avant Garde" w:cstheme="minorHAnsi"/>
                <w:sz w:val="16"/>
                <w:szCs w:val="16"/>
                <w:lang w:eastAsia="es-MX"/>
              </w:rPr>
              <w:t xml:space="preserve">Permitir que los servicios de Fleet </w:t>
            </w:r>
            <w:proofErr w:type="spellStart"/>
            <w:r w:rsidRPr="0064143D">
              <w:rPr>
                <w:rFonts w:ascii="ITC Avant Garde" w:eastAsia="Times New Roman" w:hAnsi="ITC Avant Garde" w:cstheme="minorHAnsi"/>
                <w:sz w:val="16"/>
                <w:szCs w:val="16"/>
                <w:lang w:eastAsia="es-MX"/>
              </w:rPr>
              <w:t>Space</w:t>
            </w:r>
            <w:proofErr w:type="spellEnd"/>
            <w:r w:rsidRPr="0064143D">
              <w:rPr>
                <w:rFonts w:ascii="ITC Avant Garde" w:eastAsia="Times New Roman" w:hAnsi="ITC Avant Garde" w:cstheme="minorHAnsi"/>
                <w:sz w:val="16"/>
                <w:szCs w:val="16"/>
                <w:lang w:eastAsia="es-MX"/>
              </w:rPr>
              <w:t xml:space="preserve"> acceda al espectro libre promovería la competencia leal en el sector de las telecomunicaciones, de acuerdo con el principio de neutralidad tecnológica: según este principio, no debería haber restricciones indebidas sobre los diferentes tipos de tecnología o red que se utilizan para brindar servicios de conectividad por satélite. Los sistemas a menudo son más adecuados que las redes terrestres en ciertos escenarios, concretamente para conectar las actividades remotas de exploración minera descritas, y habilitarlos brindaría a los clientes en México más opciones junto con las soluciones existentes en el mercado.</w:t>
            </w:r>
          </w:p>
          <w:p w14:paraId="77339F45" w14:textId="77777777" w:rsidR="00CF53BE" w:rsidRPr="0064143D"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52215A8B" w14:textId="77777777" w:rsidR="00CF53BE" w:rsidRPr="0064143D"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64143D">
              <w:rPr>
                <w:rFonts w:ascii="ITC Avant Garde" w:eastAsia="Times New Roman" w:hAnsi="ITC Avant Garde" w:cstheme="minorHAnsi"/>
                <w:sz w:val="16"/>
                <w:szCs w:val="16"/>
                <w:lang w:eastAsia="es-MX"/>
              </w:rPr>
              <w:t>La identificación de minerales críticos es de interés público mexicano, para la vitalidad económica y la seguridad nacional. Esta iniciativa trasciende la mera exploración técnica; es un servicio público que establece una cadena de suministro sólida y vital para la estabilidad y prosperidad de la nación. En esencia, este esfuerzo tiene como objetivo salvaguardar el interés público. Los minerales críticos son fundamentales en la electrónica, la defensa, las energías renovables y las telecomunicaciones y son la columna vertebral de la sociedad moderna. Impulsan avances tecnológicos, refuerzan la seguridad nacional y dirigen la transición de México hacia objetivos energéticos sostenibles.</w:t>
            </w:r>
          </w:p>
          <w:p w14:paraId="39F37C16" w14:textId="77777777" w:rsidR="00CF53BE" w:rsidRPr="0064143D"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037F89CB" w14:textId="77777777" w:rsidR="00CF53BE" w:rsidRPr="0064143D"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64143D">
              <w:rPr>
                <w:rFonts w:ascii="ITC Avant Garde" w:eastAsia="Times New Roman" w:hAnsi="ITC Avant Garde" w:cstheme="minorHAnsi"/>
                <w:sz w:val="16"/>
                <w:szCs w:val="16"/>
                <w:lang w:eastAsia="es-MX"/>
              </w:rPr>
              <w:t xml:space="preserve">Desde que anunció </w:t>
            </w:r>
            <w:proofErr w:type="spellStart"/>
            <w:r w:rsidRPr="0064143D">
              <w:rPr>
                <w:rFonts w:ascii="ITC Avant Garde" w:eastAsia="Times New Roman" w:hAnsi="ITC Avant Garde" w:cstheme="minorHAnsi"/>
                <w:sz w:val="16"/>
                <w:szCs w:val="16"/>
                <w:lang w:eastAsia="es-MX"/>
              </w:rPr>
              <w:t>ExoSphere</w:t>
            </w:r>
            <w:proofErr w:type="spellEnd"/>
            <w:r w:rsidRPr="0064143D">
              <w:rPr>
                <w:rFonts w:ascii="ITC Avant Garde" w:eastAsia="Times New Roman" w:hAnsi="ITC Avant Garde" w:cstheme="minorHAnsi"/>
                <w:sz w:val="16"/>
                <w:szCs w:val="16"/>
                <w:lang w:eastAsia="es-MX"/>
              </w:rPr>
              <w:t xml:space="preserve"> en marzo de 2022, Fleet </w:t>
            </w:r>
            <w:proofErr w:type="spellStart"/>
            <w:r w:rsidRPr="0064143D">
              <w:rPr>
                <w:rFonts w:ascii="ITC Avant Garde" w:eastAsia="Times New Roman" w:hAnsi="ITC Avant Garde" w:cstheme="minorHAnsi"/>
                <w:sz w:val="16"/>
                <w:szCs w:val="16"/>
                <w:lang w:eastAsia="es-MX"/>
              </w:rPr>
              <w:t>Space</w:t>
            </w:r>
            <w:proofErr w:type="spellEnd"/>
            <w:r w:rsidRPr="0064143D">
              <w:rPr>
                <w:rFonts w:ascii="ITC Avant Garde" w:eastAsia="Times New Roman" w:hAnsi="ITC Avant Garde" w:cstheme="minorHAnsi"/>
                <w:sz w:val="16"/>
                <w:szCs w:val="16"/>
                <w:lang w:eastAsia="es-MX"/>
              </w:rPr>
              <w:t xml:space="preserve"> ha firmado contratos con más de 20 clientes, con sede en Australia y América del Norte, incluidas varias de las principales empresas mineras del mundo. </w:t>
            </w:r>
            <w:proofErr w:type="spellStart"/>
            <w:r w:rsidRPr="0064143D">
              <w:rPr>
                <w:rFonts w:ascii="ITC Avant Garde" w:eastAsia="Times New Roman" w:hAnsi="ITC Avant Garde" w:cstheme="minorHAnsi"/>
                <w:sz w:val="16"/>
                <w:szCs w:val="16"/>
                <w:lang w:eastAsia="es-MX"/>
              </w:rPr>
              <w:t>ExoSphere</w:t>
            </w:r>
            <w:proofErr w:type="spellEnd"/>
            <w:r w:rsidRPr="0064143D">
              <w:rPr>
                <w:rFonts w:ascii="ITC Avant Garde" w:eastAsia="Times New Roman" w:hAnsi="ITC Avant Garde" w:cstheme="minorHAnsi"/>
                <w:sz w:val="16"/>
                <w:szCs w:val="16"/>
                <w:lang w:eastAsia="es-MX"/>
              </w:rPr>
              <w:t xml:space="preserve"> está contribuyendo a resolver la apremiante prioridad global de descarbonizar la movilidad y encontrar más de 13 billones de dólares en minerales necesarios para la transición energética para ayudar a cumplir las prioridades globales netas cero. </w:t>
            </w:r>
            <w:proofErr w:type="spellStart"/>
            <w:r w:rsidRPr="0064143D">
              <w:rPr>
                <w:rFonts w:ascii="ITC Avant Garde" w:eastAsia="Times New Roman" w:hAnsi="ITC Avant Garde" w:cstheme="minorHAnsi"/>
                <w:sz w:val="16"/>
                <w:szCs w:val="16"/>
                <w:lang w:eastAsia="es-MX"/>
              </w:rPr>
              <w:t>ExoSphere</w:t>
            </w:r>
            <w:proofErr w:type="spellEnd"/>
            <w:r w:rsidRPr="0064143D">
              <w:rPr>
                <w:rFonts w:ascii="ITC Avant Garde" w:eastAsia="Times New Roman" w:hAnsi="ITC Avant Garde" w:cstheme="minorHAnsi"/>
                <w:sz w:val="16"/>
                <w:szCs w:val="16"/>
                <w:lang w:eastAsia="es-MX"/>
              </w:rPr>
              <w:t xml:space="preserve"> informará el proceso de perforación para proyectos críticos de exploración mineral y al mismo tiempo mejorará en gran medida los resultados ambientales y la productividad de la industria de exploración mineral.</w:t>
            </w:r>
          </w:p>
          <w:p w14:paraId="00339E47" w14:textId="77777777" w:rsidR="00CF53BE" w:rsidRPr="0064143D"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4B4FE445" w14:textId="77777777" w:rsidR="00CF53BE" w:rsidRPr="0064143D"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64143D">
              <w:rPr>
                <w:rFonts w:ascii="ITC Avant Garde" w:eastAsia="Times New Roman" w:hAnsi="ITC Avant Garde" w:cstheme="minorHAnsi"/>
                <w:sz w:val="16"/>
                <w:szCs w:val="16"/>
                <w:lang w:eastAsia="es-MX"/>
              </w:rPr>
              <w:t>México es uno de los países mineros más grandes del mundo, con ricos recursos de varios minerales preciosos y críticos, incluidos oro, plata, cobre y tierras raras fundamentales para la energía limpia y las tecnologías electrónicas avanzadas. En 2023, la minería en México representó el 2.4% del producto interno bruto del país y el 8.2% del PIB industrial de México. El sector minero empleó a 350.000 personas en 2020 y generó 1.500 millones de dólares en ingresos fiscales y 1.840 millones de dólares adicionales de ingresos gubernamentales por exportaciones de recursos naturales extraídos. México es el mayor productor de plata a nivel mundial y suministrará casi una cuarta parte de la producción mundial en 2021.</w:t>
            </w:r>
          </w:p>
          <w:p w14:paraId="525BD13F" w14:textId="77777777" w:rsidR="001F70FF" w:rsidRPr="0064143D" w:rsidRDefault="001F70FF"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28297A3B" w14:textId="52F50248" w:rsidR="007D067A" w:rsidRPr="0046123E" w:rsidRDefault="00CF53BE" w:rsidP="0028154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64143D">
              <w:rPr>
                <w:rFonts w:ascii="ITC Avant Garde" w:eastAsia="Times New Roman" w:hAnsi="ITC Avant Garde" w:cstheme="minorHAnsi"/>
                <w:sz w:val="16"/>
                <w:szCs w:val="16"/>
                <w:lang w:eastAsia="es-MX"/>
              </w:rPr>
              <w:t xml:space="preserve">La producción de cobre casi se ha triplicado desde principios de la década, lo que lo convierte en el segundo metal más importante en términos de valor de producción. La producción de zinc y plomo también ha aumentado, contribuyendo a casi el 10 por ciento del valor del sector minero nacional. Los servicios de Fleet </w:t>
            </w:r>
            <w:proofErr w:type="spellStart"/>
            <w:r w:rsidRPr="0064143D">
              <w:rPr>
                <w:rFonts w:ascii="ITC Avant Garde" w:eastAsia="Times New Roman" w:hAnsi="ITC Avant Garde" w:cstheme="minorHAnsi"/>
                <w:sz w:val="16"/>
                <w:szCs w:val="16"/>
                <w:lang w:eastAsia="es-MX"/>
              </w:rPr>
              <w:t>Space</w:t>
            </w:r>
            <w:proofErr w:type="spellEnd"/>
            <w:r w:rsidRPr="0064143D">
              <w:rPr>
                <w:rFonts w:ascii="ITC Avant Garde" w:eastAsia="Times New Roman" w:hAnsi="ITC Avant Garde" w:cstheme="minorHAnsi"/>
                <w:sz w:val="16"/>
                <w:szCs w:val="16"/>
                <w:lang w:eastAsia="es-MX"/>
              </w:rPr>
              <w:t xml:space="preserve"> pueden reducir en gran medida el costo de la exploración de minerales críticos en México, y Fleet </w:t>
            </w:r>
            <w:proofErr w:type="spellStart"/>
            <w:r w:rsidRPr="0064143D">
              <w:rPr>
                <w:rFonts w:ascii="ITC Avant Garde" w:eastAsia="Times New Roman" w:hAnsi="ITC Avant Garde" w:cstheme="minorHAnsi"/>
                <w:sz w:val="16"/>
                <w:szCs w:val="16"/>
                <w:lang w:eastAsia="es-MX"/>
              </w:rPr>
              <w:t>Space</w:t>
            </w:r>
            <w:proofErr w:type="spellEnd"/>
            <w:r w:rsidRPr="0064143D">
              <w:rPr>
                <w:rFonts w:ascii="ITC Avant Garde" w:eastAsia="Times New Roman" w:hAnsi="ITC Avant Garde" w:cstheme="minorHAnsi"/>
                <w:sz w:val="16"/>
                <w:szCs w:val="16"/>
                <w:lang w:eastAsia="es-MX"/>
              </w:rPr>
              <w:t xml:space="preserve"> espera ayudar a lograr una reducción del 50% en el costo minero promedio actual.</w:t>
            </w:r>
          </w:p>
        </w:tc>
        <w:tc>
          <w:tcPr>
            <w:tcW w:w="1316" w:type="pct"/>
            <w:gridSpan w:val="2"/>
            <w:tcBorders>
              <w:left w:val="single" w:sz="4" w:space="0" w:color="A8D08D" w:themeColor="accent6" w:themeTint="99"/>
            </w:tcBorders>
            <w:shd w:val="clear" w:color="auto" w:fill="auto"/>
            <w:vAlign w:val="center"/>
          </w:tcPr>
          <w:p w14:paraId="4A4C908C" w14:textId="3D8439EA" w:rsidR="00A05B27" w:rsidRPr="0046123E" w:rsidRDefault="00CF53BE"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46123E">
              <w:rPr>
                <w:rFonts w:ascii="ITC Avant Garde" w:eastAsia="Times New Roman" w:hAnsi="ITC Avant Garde" w:cstheme="minorHAnsi"/>
                <w:bCs/>
                <w:sz w:val="16"/>
                <w:szCs w:val="16"/>
                <w:lang w:eastAsia="es-MX"/>
              </w:rPr>
              <w:lastRenderedPageBreak/>
              <w:t xml:space="preserve">El Instituto </w:t>
            </w:r>
            <w:r w:rsidR="00C87356">
              <w:rPr>
                <w:rFonts w:ascii="ITC Avant Garde" w:eastAsia="Times New Roman" w:hAnsi="ITC Avant Garde" w:cstheme="minorHAnsi"/>
                <w:bCs/>
                <w:sz w:val="16"/>
                <w:szCs w:val="16"/>
                <w:lang w:eastAsia="es-MX"/>
              </w:rPr>
              <w:t xml:space="preserve">Federal de Telecomunicaciones </w:t>
            </w:r>
            <w:r w:rsidRPr="0046123E">
              <w:rPr>
                <w:rFonts w:ascii="ITC Avant Garde" w:eastAsia="Times New Roman" w:hAnsi="ITC Avant Garde" w:cstheme="minorHAnsi"/>
                <w:bCs/>
                <w:sz w:val="16"/>
                <w:szCs w:val="16"/>
                <w:lang w:eastAsia="es-MX"/>
              </w:rPr>
              <w:t>agradece</w:t>
            </w:r>
            <w:r w:rsidR="00A05B27" w:rsidRPr="0046123E">
              <w:rPr>
                <w:rFonts w:ascii="ITC Avant Garde" w:eastAsia="Times New Roman" w:hAnsi="ITC Avant Garde" w:cstheme="minorHAnsi"/>
                <w:bCs/>
                <w:sz w:val="16"/>
                <w:szCs w:val="16"/>
                <w:lang w:eastAsia="es-MX"/>
              </w:rPr>
              <w:t xml:space="preserve"> la manifestación realizada por </w:t>
            </w:r>
            <w:r w:rsidRPr="0046123E">
              <w:rPr>
                <w:rFonts w:ascii="ITC Avant Garde" w:eastAsia="Times New Roman" w:hAnsi="ITC Avant Garde" w:cstheme="minorHAnsi"/>
                <w:bCs/>
                <w:sz w:val="16"/>
                <w:szCs w:val="16"/>
                <w:lang w:eastAsia="es-MX"/>
              </w:rPr>
              <w:t xml:space="preserve">la empresa </w:t>
            </w:r>
            <w:r w:rsidRPr="00DA18BF">
              <w:rPr>
                <w:rFonts w:ascii="ITC Avant Garde" w:eastAsia="Times New Roman" w:hAnsi="ITC Avant Garde" w:cstheme="minorHAnsi"/>
                <w:b/>
                <w:bCs/>
                <w:sz w:val="16"/>
                <w:szCs w:val="16"/>
                <w:lang w:eastAsia="es-MX"/>
              </w:rPr>
              <w:t xml:space="preserve">Fleet </w:t>
            </w:r>
            <w:proofErr w:type="spellStart"/>
            <w:r w:rsidRPr="00DA18BF">
              <w:rPr>
                <w:rFonts w:ascii="ITC Avant Garde" w:eastAsia="Times New Roman" w:hAnsi="ITC Avant Garde" w:cstheme="minorHAnsi"/>
                <w:b/>
                <w:bCs/>
                <w:sz w:val="16"/>
                <w:szCs w:val="16"/>
                <w:lang w:eastAsia="es-MX"/>
              </w:rPr>
              <w:t>Space</w:t>
            </w:r>
            <w:proofErr w:type="spellEnd"/>
            <w:r w:rsidRPr="00DA18BF">
              <w:rPr>
                <w:rFonts w:ascii="ITC Avant Garde" w:eastAsia="Times New Roman" w:hAnsi="ITC Avant Garde" w:cstheme="minorHAnsi"/>
                <w:b/>
                <w:bCs/>
                <w:sz w:val="16"/>
                <w:szCs w:val="16"/>
                <w:lang w:eastAsia="es-MX"/>
              </w:rPr>
              <w:t xml:space="preserve"> Technologies </w:t>
            </w:r>
            <w:proofErr w:type="spellStart"/>
            <w:r w:rsidRPr="00DA18BF">
              <w:rPr>
                <w:rFonts w:ascii="ITC Avant Garde" w:eastAsia="Times New Roman" w:hAnsi="ITC Avant Garde" w:cstheme="minorHAnsi"/>
                <w:b/>
                <w:bCs/>
                <w:sz w:val="16"/>
                <w:szCs w:val="16"/>
                <w:lang w:eastAsia="es-MX"/>
              </w:rPr>
              <w:t>Pty</w:t>
            </w:r>
            <w:proofErr w:type="spellEnd"/>
            <w:r w:rsidRPr="00DA18BF">
              <w:rPr>
                <w:rFonts w:ascii="ITC Avant Garde" w:eastAsia="Times New Roman" w:hAnsi="ITC Avant Garde" w:cstheme="minorHAnsi"/>
                <w:b/>
                <w:bCs/>
                <w:sz w:val="16"/>
                <w:szCs w:val="16"/>
                <w:lang w:eastAsia="es-MX"/>
              </w:rPr>
              <w:t xml:space="preserve"> </w:t>
            </w:r>
            <w:proofErr w:type="spellStart"/>
            <w:r w:rsidRPr="00DA18BF">
              <w:rPr>
                <w:rFonts w:ascii="ITC Avant Garde" w:eastAsia="Times New Roman" w:hAnsi="ITC Avant Garde" w:cstheme="minorHAnsi"/>
                <w:b/>
                <w:bCs/>
                <w:sz w:val="16"/>
                <w:szCs w:val="16"/>
                <w:lang w:eastAsia="es-MX"/>
              </w:rPr>
              <w:t>Ltd</w:t>
            </w:r>
            <w:proofErr w:type="spellEnd"/>
            <w:r w:rsidRPr="00DA18BF">
              <w:rPr>
                <w:rFonts w:ascii="ITC Avant Garde" w:eastAsia="Times New Roman" w:hAnsi="ITC Avant Garde" w:cstheme="minorHAnsi"/>
                <w:b/>
                <w:bCs/>
                <w:sz w:val="16"/>
                <w:szCs w:val="16"/>
                <w:lang w:eastAsia="es-MX"/>
              </w:rPr>
              <w:t xml:space="preserve"> C</w:t>
            </w:r>
            <w:r w:rsidRPr="0046123E">
              <w:rPr>
                <w:rFonts w:ascii="ITC Avant Garde" w:eastAsia="Times New Roman" w:hAnsi="ITC Avant Garde" w:cstheme="minorHAnsi"/>
                <w:bCs/>
                <w:sz w:val="16"/>
                <w:szCs w:val="16"/>
                <w:lang w:eastAsia="es-MX"/>
              </w:rPr>
              <w:t>.</w:t>
            </w:r>
            <w:r w:rsidR="00A05B27" w:rsidRPr="0046123E">
              <w:rPr>
                <w:rFonts w:ascii="ITC Avant Garde" w:eastAsia="Times New Roman" w:hAnsi="ITC Avant Garde" w:cstheme="minorHAnsi"/>
                <w:bCs/>
                <w:sz w:val="16"/>
                <w:szCs w:val="16"/>
                <w:lang w:eastAsia="es-MX"/>
              </w:rPr>
              <w:t xml:space="preserve">, referente </w:t>
            </w:r>
            <w:r w:rsidR="00FD2E24" w:rsidRPr="0046123E">
              <w:rPr>
                <w:rFonts w:ascii="ITC Avant Garde" w:eastAsia="Times New Roman" w:hAnsi="ITC Avant Garde" w:cstheme="minorHAnsi"/>
                <w:bCs/>
                <w:sz w:val="16"/>
                <w:szCs w:val="16"/>
                <w:lang w:eastAsia="es-MX"/>
              </w:rPr>
              <w:t xml:space="preserve">a su apoyo </w:t>
            </w:r>
            <w:r w:rsidR="00CE1DF9" w:rsidRPr="0046123E">
              <w:rPr>
                <w:rFonts w:ascii="ITC Avant Garde" w:eastAsia="Times New Roman" w:hAnsi="ITC Avant Garde" w:cstheme="minorHAnsi"/>
                <w:bCs/>
                <w:sz w:val="16"/>
                <w:szCs w:val="16"/>
                <w:lang w:eastAsia="es-MX"/>
              </w:rPr>
              <w:t>al proyecto de</w:t>
            </w:r>
            <w:r w:rsidR="00F42FD0" w:rsidRPr="0046123E">
              <w:rPr>
                <w:rFonts w:ascii="ITC Avant Garde" w:eastAsia="Times New Roman" w:hAnsi="ITC Avant Garde" w:cstheme="minorHAnsi"/>
                <w:bCs/>
                <w:sz w:val="16"/>
                <w:szCs w:val="16"/>
                <w:lang w:eastAsia="es-MX"/>
              </w:rPr>
              <w:t xml:space="preserve"> modificación al CNAF, particularmente a la </w:t>
            </w:r>
            <w:r w:rsidR="00FD2E24" w:rsidRPr="0046123E">
              <w:rPr>
                <w:rFonts w:ascii="ITC Avant Garde" w:eastAsia="Times New Roman" w:hAnsi="ITC Avant Garde" w:cstheme="minorHAnsi"/>
                <w:bCs/>
                <w:sz w:val="16"/>
                <w:szCs w:val="16"/>
                <w:lang w:eastAsia="es-MX"/>
              </w:rPr>
              <w:t>adición de párrafos en la Sección Introductoria</w:t>
            </w:r>
            <w:r w:rsidR="00F42FD0" w:rsidRPr="0046123E">
              <w:rPr>
                <w:rFonts w:ascii="ITC Avant Garde" w:eastAsia="Times New Roman" w:hAnsi="ITC Avant Garde" w:cstheme="minorHAnsi"/>
                <w:bCs/>
                <w:sz w:val="16"/>
                <w:szCs w:val="16"/>
                <w:lang w:eastAsia="es-MX"/>
              </w:rPr>
              <w:t xml:space="preserve"> </w:t>
            </w:r>
            <w:r w:rsidR="001F70FF">
              <w:rPr>
                <w:rFonts w:ascii="ITC Avant Garde" w:eastAsia="Times New Roman" w:hAnsi="ITC Avant Garde" w:cstheme="minorHAnsi"/>
                <w:bCs/>
                <w:sz w:val="16"/>
                <w:szCs w:val="16"/>
                <w:lang w:eastAsia="es-MX"/>
              </w:rPr>
              <w:t>en referencia</w:t>
            </w:r>
            <w:r w:rsidR="00F42FD0" w:rsidRPr="0046123E">
              <w:rPr>
                <w:rFonts w:ascii="ITC Avant Garde" w:eastAsia="Times New Roman" w:hAnsi="ITC Avant Garde" w:cstheme="minorHAnsi"/>
                <w:bCs/>
                <w:sz w:val="16"/>
                <w:szCs w:val="16"/>
                <w:lang w:eastAsia="es-MX"/>
              </w:rPr>
              <w:t xml:space="preserve"> </w:t>
            </w:r>
            <w:r w:rsidR="001F70FF">
              <w:rPr>
                <w:rFonts w:ascii="ITC Avant Garde" w:eastAsia="Times New Roman" w:hAnsi="ITC Avant Garde" w:cstheme="minorHAnsi"/>
                <w:bCs/>
                <w:sz w:val="16"/>
                <w:szCs w:val="16"/>
                <w:lang w:eastAsia="es-MX"/>
              </w:rPr>
              <w:t>a</w:t>
            </w:r>
            <w:r w:rsidR="00F42FD0" w:rsidRPr="0046123E">
              <w:rPr>
                <w:rFonts w:ascii="ITC Avant Garde" w:eastAsia="Times New Roman" w:hAnsi="ITC Avant Garde" w:cstheme="minorHAnsi"/>
                <w:bCs/>
                <w:sz w:val="16"/>
                <w:szCs w:val="16"/>
                <w:lang w:eastAsia="es-MX"/>
              </w:rPr>
              <w:t>l uso, aprovechamiento o explotación temporal de bandas de frecuencias del espectro radioeléctrico para cualquier servicio de radiocomunicación, independientemente de su atribución en la Tabla de Atribuciones del CNAF</w:t>
            </w:r>
            <w:r w:rsidR="00B572AB" w:rsidRPr="0046123E">
              <w:rPr>
                <w:rFonts w:ascii="ITC Avant Garde" w:eastAsia="Times New Roman" w:hAnsi="ITC Avant Garde" w:cstheme="minorHAnsi"/>
                <w:bCs/>
                <w:sz w:val="16"/>
                <w:szCs w:val="16"/>
                <w:lang w:eastAsia="es-MX"/>
              </w:rPr>
              <w:t xml:space="preserve">. Lo anterior, </w:t>
            </w:r>
            <w:r w:rsidR="00306C6D" w:rsidRPr="0046123E">
              <w:rPr>
                <w:rFonts w:ascii="ITC Avant Garde" w:eastAsia="Times New Roman" w:hAnsi="ITC Avant Garde" w:cstheme="minorHAnsi"/>
                <w:bCs/>
                <w:sz w:val="16"/>
                <w:szCs w:val="16"/>
                <w:lang w:eastAsia="es-MX"/>
              </w:rPr>
              <w:t xml:space="preserve">mediante el otorgamiento de </w:t>
            </w:r>
            <w:r w:rsidR="0027409D" w:rsidRPr="0046123E">
              <w:rPr>
                <w:rFonts w:ascii="ITC Avant Garde" w:eastAsia="Times New Roman" w:hAnsi="ITC Avant Garde" w:cstheme="minorHAnsi"/>
                <w:bCs/>
                <w:sz w:val="16"/>
                <w:szCs w:val="16"/>
                <w:lang w:eastAsia="es-MX"/>
              </w:rPr>
              <w:t xml:space="preserve">ciertos </w:t>
            </w:r>
            <w:r w:rsidR="00306C6D" w:rsidRPr="0046123E">
              <w:rPr>
                <w:rFonts w:ascii="ITC Avant Garde" w:eastAsia="Times New Roman" w:hAnsi="ITC Avant Garde" w:cstheme="minorHAnsi"/>
                <w:bCs/>
                <w:sz w:val="16"/>
                <w:szCs w:val="16"/>
                <w:lang w:eastAsia="es-MX"/>
              </w:rPr>
              <w:t xml:space="preserve">instrumentos habilitantes y bajo consideraciones </w:t>
            </w:r>
            <w:r w:rsidR="00E57EEC" w:rsidRPr="0046123E">
              <w:rPr>
                <w:rFonts w:ascii="ITC Avant Garde" w:eastAsia="Times New Roman" w:hAnsi="ITC Avant Garde" w:cstheme="minorHAnsi"/>
                <w:bCs/>
                <w:sz w:val="16"/>
                <w:szCs w:val="16"/>
                <w:lang w:eastAsia="es-MX"/>
              </w:rPr>
              <w:t>específicas</w:t>
            </w:r>
            <w:r w:rsidR="00F42FD0" w:rsidRPr="0046123E">
              <w:rPr>
                <w:rFonts w:ascii="ITC Avant Garde" w:eastAsia="Times New Roman" w:hAnsi="ITC Avant Garde" w:cstheme="minorHAnsi"/>
                <w:bCs/>
                <w:sz w:val="16"/>
                <w:szCs w:val="16"/>
                <w:lang w:eastAsia="es-MX"/>
              </w:rPr>
              <w:t>.</w:t>
            </w:r>
          </w:p>
          <w:p w14:paraId="7C21B4FA" w14:textId="3428DCD2" w:rsidR="00F42FD0" w:rsidRPr="0046123E" w:rsidRDefault="00F42FD0" w:rsidP="00CF53B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4A28DC43" w14:textId="25906B12" w:rsidR="0027409D" w:rsidRPr="0046123E" w:rsidRDefault="00793477" w:rsidP="0027409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46123E">
              <w:rPr>
                <w:rFonts w:ascii="ITC Avant Garde" w:eastAsia="Times New Roman" w:hAnsi="ITC Avant Garde" w:cstheme="minorHAnsi"/>
                <w:bCs/>
                <w:sz w:val="16"/>
                <w:szCs w:val="16"/>
                <w:lang w:eastAsia="es-MX"/>
              </w:rPr>
              <w:t>Por otro lado</w:t>
            </w:r>
            <w:r w:rsidR="006468B9" w:rsidRPr="0046123E">
              <w:rPr>
                <w:rFonts w:ascii="ITC Avant Garde" w:eastAsia="Times New Roman" w:hAnsi="ITC Avant Garde" w:cstheme="minorHAnsi"/>
                <w:bCs/>
                <w:sz w:val="16"/>
                <w:szCs w:val="16"/>
                <w:lang w:eastAsia="es-MX"/>
              </w:rPr>
              <w:t xml:space="preserve">, </w:t>
            </w:r>
            <w:r w:rsidR="00E57EEC" w:rsidRPr="0046123E">
              <w:rPr>
                <w:rFonts w:ascii="ITC Avant Garde" w:eastAsia="Times New Roman" w:hAnsi="ITC Avant Garde" w:cstheme="minorHAnsi"/>
                <w:bCs/>
                <w:sz w:val="16"/>
                <w:szCs w:val="16"/>
                <w:lang w:eastAsia="es-MX"/>
              </w:rPr>
              <w:t xml:space="preserve">es importante </w:t>
            </w:r>
            <w:r w:rsidR="0027409D" w:rsidRPr="0046123E">
              <w:rPr>
                <w:rFonts w:ascii="ITC Avant Garde" w:eastAsia="Times New Roman" w:hAnsi="ITC Avant Garde" w:cstheme="minorHAnsi"/>
                <w:bCs/>
                <w:sz w:val="16"/>
                <w:szCs w:val="16"/>
                <w:lang w:eastAsia="es-MX"/>
              </w:rPr>
              <w:t xml:space="preserve">hacer del conocimiento del participante </w:t>
            </w:r>
            <w:r w:rsidR="002B3139" w:rsidRPr="0046123E">
              <w:rPr>
                <w:rFonts w:ascii="ITC Avant Garde" w:eastAsia="Times New Roman" w:hAnsi="ITC Avant Garde" w:cstheme="minorHAnsi"/>
                <w:bCs/>
                <w:sz w:val="16"/>
                <w:szCs w:val="16"/>
                <w:lang w:eastAsia="es-MX"/>
              </w:rPr>
              <w:t xml:space="preserve">el </w:t>
            </w:r>
            <w:r w:rsidR="00D17CE5" w:rsidRPr="0046123E">
              <w:rPr>
                <w:rFonts w:ascii="ITC Avant Garde" w:eastAsia="Times New Roman" w:hAnsi="ITC Avant Garde" w:cstheme="minorHAnsi"/>
                <w:bCs/>
                <w:sz w:val="16"/>
                <w:szCs w:val="16"/>
                <w:lang w:eastAsia="es-MX"/>
              </w:rPr>
              <w:t xml:space="preserve">alcance que tiene el </w:t>
            </w:r>
            <w:r w:rsidR="002B3139" w:rsidRPr="0046123E">
              <w:rPr>
                <w:rFonts w:ascii="ITC Avant Garde" w:eastAsia="Times New Roman" w:hAnsi="ITC Avant Garde" w:cstheme="minorHAnsi"/>
                <w:bCs/>
                <w:sz w:val="16"/>
                <w:szCs w:val="16"/>
                <w:lang w:eastAsia="es-MX"/>
              </w:rPr>
              <w:t xml:space="preserve">marco regulatorio establecido tanto en la Ley Federal de Telecomunicaciones y Radiodifusión </w:t>
            </w:r>
            <w:r w:rsidR="005A4007" w:rsidRPr="0046123E">
              <w:rPr>
                <w:rFonts w:ascii="ITC Avant Garde" w:eastAsia="Times New Roman" w:hAnsi="ITC Avant Garde" w:cstheme="minorHAnsi"/>
                <w:bCs/>
                <w:sz w:val="16"/>
                <w:szCs w:val="16"/>
                <w:lang w:eastAsia="es-MX"/>
              </w:rPr>
              <w:t>(</w:t>
            </w:r>
            <w:proofErr w:type="spellStart"/>
            <w:r w:rsidR="005A4007" w:rsidRPr="0046123E">
              <w:rPr>
                <w:rFonts w:ascii="ITC Avant Garde" w:eastAsia="Times New Roman" w:hAnsi="ITC Avant Garde" w:cstheme="minorHAnsi"/>
                <w:bCs/>
                <w:sz w:val="16"/>
                <w:szCs w:val="16"/>
                <w:lang w:eastAsia="es-MX"/>
              </w:rPr>
              <w:t>LFTyR</w:t>
            </w:r>
            <w:proofErr w:type="spellEnd"/>
            <w:r w:rsidR="005A4007" w:rsidRPr="0046123E">
              <w:rPr>
                <w:rFonts w:ascii="ITC Avant Garde" w:eastAsia="Times New Roman" w:hAnsi="ITC Avant Garde" w:cstheme="minorHAnsi"/>
                <w:bCs/>
                <w:sz w:val="16"/>
                <w:szCs w:val="16"/>
                <w:lang w:eastAsia="es-MX"/>
              </w:rPr>
              <w:t xml:space="preserve">) </w:t>
            </w:r>
            <w:r w:rsidR="002B3139" w:rsidRPr="0046123E">
              <w:rPr>
                <w:rFonts w:ascii="ITC Avant Garde" w:eastAsia="Times New Roman" w:hAnsi="ITC Avant Garde" w:cstheme="minorHAnsi"/>
                <w:bCs/>
                <w:sz w:val="16"/>
                <w:szCs w:val="16"/>
                <w:lang w:eastAsia="es-MX"/>
              </w:rPr>
              <w:t xml:space="preserve">para el </w:t>
            </w:r>
            <w:r w:rsidR="0027409D" w:rsidRPr="0046123E">
              <w:rPr>
                <w:rFonts w:ascii="ITC Avant Garde" w:eastAsia="Times New Roman" w:hAnsi="ITC Avant Garde" w:cstheme="minorHAnsi"/>
                <w:bCs/>
                <w:sz w:val="16"/>
                <w:szCs w:val="16"/>
                <w:lang w:eastAsia="es-MX"/>
              </w:rPr>
              <w:t>otorgamiento de c</w:t>
            </w:r>
            <w:r w:rsidR="00E57EEC" w:rsidRPr="0046123E">
              <w:rPr>
                <w:rFonts w:ascii="ITC Avant Garde" w:eastAsia="Times New Roman" w:hAnsi="ITC Avant Garde" w:cstheme="minorHAnsi"/>
                <w:bCs/>
                <w:sz w:val="16"/>
                <w:szCs w:val="16"/>
                <w:lang w:eastAsia="es-MX"/>
              </w:rPr>
              <w:t>oncesiones de uso privado con propósitos de experimentación, comprobación de viabilidad técnica y económica de tecnologías en desarrollo o pruebas temporales de equipo</w:t>
            </w:r>
            <w:r w:rsidR="0027409D" w:rsidRPr="0046123E">
              <w:rPr>
                <w:rFonts w:ascii="ITC Avant Garde" w:eastAsia="Times New Roman" w:hAnsi="ITC Avant Garde" w:cstheme="minorHAnsi"/>
                <w:bCs/>
                <w:sz w:val="16"/>
                <w:szCs w:val="16"/>
                <w:lang w:eastAsia="es-MX"/>
              </w:rPr>
              <w:t xml:space="preserve"> (Concesiones para uso privado)</w:t>
            </w:r>
            <w:r w:rsidR="00E57EEC" w:rsidRPr="0046123E">
              <w:rPr>
                <w:rFonts w:ascii="ITC Avant Garde" w:eastAsia="Times New Roman" w:hAnsi="ITC Avant Garde" w:cstheme="minorHAnsi"/>
                <w:bCs/>
                <w:sz w:val="16"/>
                <w:szCs w:val="16"/>
                <w:lang w:eastAsia="es-MX"/>
              </w:rPr>
              <w:t>, como</w:t>
            </w:r>
            <w:r w:rsidR="0027409D" w:rsidRPr="0046123E">
              <w:rPr>
                <w:rFonts w:ascii="ITC Avant Garde" w:eastAsia="Times New Roman" w:hAnsi="ITC Avant Garde" w:cstheme="minorHAnsi"/>
                <w:bCs/>
                <w:sz w:val="16"/>
                <w:szCs w:val="16"/>
                <w:lang w:eastAsia="es-MX"/>
              </w:rPr>
              <w:t xml:space="preserve"> </w:t>
            </w:r>
            <w:r w:rsidR="002B3139" w:rsidRPr="0046123E">
              <w:rPr>
                <w:rFonts w:ascii="ITC Avant Garde" w:eastAsia="Times New Roman" w:hAnsi="ITC Avant Garde" w:cstheme="minorHAnsi"/>
                <w:bCs/>
                <w:sz w:val="16"/>
                <w:szCs w:val="16"/>
                <w:lang w:eastAsia="es-MX"/>
              </w:rPr>
              <w:t>en los Lineamientos para el otorgamiento de la Constancia de Autorización, para el uso y aprovechamiento de bandas de frecuencias del espectro radioeléctrico para uso secundario</w:t>
            </w:r>
            <w:r w:rsidR="005A4007" w:rsidRPr="0046123E">
              <w:rPr>
                <w:rFonts w:ascii="ITC Avant Garde" w:eastAsia="Times New Roman" w:hAnsi="ITC Avant Garde" w:cstheme="minorHAnsi"/>
                <w:bCs/>
                <w:sz w:val="16"/>
                <w:szCs w:val="16"/>
                <w:lang w:eastAsia="es-MX"/>
              </w:rPr>
              <w:t xml:space="preserve"> (Lineamientos de uso secundario)</w:t>
            </w:r>
            <w:r w:rsidR="00D17CE5" w:rsidRPr="0046123E">
              <w:rPr>
                <w:rFonts w:ascii="ITC Avant Garde" w:eastAsia="Times New Roman" w:hAnsi="ITC Avant Garde" w:cstheme="minorHAnsi"/>
                <w:bCs/>
                <w:sz w:val="16"/>
                <w:szCs w:val="16"/>
                <w:lang w:eastAsia="es-MX"/>
              </w:rPr>
              <w:t>.</w:t>
            </w:r>
            <w:r w:rsidR="00281011">
              <w:rPr>
                <w:rFonts w:ascii="ITC Avant Garde" w:eastAsia="Times New Roman" w:hAnsi="ITC Avant Garde" w:cstheme="minorHAnsi"/>
                <w:bCs/>
                <w:sz w:val="16"/>
                <w:szCs w:val="16"/>
                <w:lang w:eastAsia="es-MX"/>
              </w:rPr>
              <w:t xml:space="preserve"> Cualquier solicitud ajena a las mencionadas anteriormente, tendrá que ser analizada y evaluada en términos de factibilidad y uso eficiente del espectro radioeléctrico, además del marco normativo vigente.</w:t>
            </w:r>
          </w:p>
          <w:p w14:paraId="44CDCA27" w14:textId="77777777" w:rsidR="00793477" w:rsidRPr="0046123E" w:rsidRDefault="00793477" w:rsidP="0027409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25D1222C" w14:textId="556A7CDF" w:rsidR="00793477" w:rsidRPr="0046123E" w:rsidRDefault="00793477" w:rsidP="00793477">
            <w:pPr>
              <w:jc w:val="both"/>
              <w:cnfStyle w:val="000000100000" w:firstRow="0" w:lastRow="0" w:firstColumn="0" w:lastColumn="0" w:oddVBand="0" w:evenVBand="0" w:oddHBand="1" w:evenHBand="0" w:firstRowFirstColumn="0" w:firstRowLastColumn="0" w:lastRowFirstColumn="0" w:lastRowLastColumn="0"/>
              <w:rPr>
                <w:rStyle w:val="Hipervnculo"/>
                <w:rFonts w:ascii="ITC Avant Garde" w:eastAsia="Times New Roman" w:hAnsi="ITC Avant Garde" w:cstheme="minorHAnsi"/>
                <w:bCs/>
                <w:sz w:val="16"/>
                <w:szCs w:val="16"/>
                <w:lang w:eastAsia="es-MX"/>
              </w:rPr>
            </w:pPr>
            <w:r w:rsidRPr="0046123E">
              <w:rPr>
                <w:rFonts w:ascii="ITC Avant Garde" w:eastAsia="Times New Roman" w:hAnsi="ITC Avant Garde" w:cstheme="minorHAnsi"/>
                <w:bCs/>
                <w:sz w:val="16"/>
                <w:szCs w:val="16"/>
                <w:lang w:eastAsia="es-MX"/>
              </w:rPr>
              <w:t xml:space="preserve">Finalmente, </w:t>
            </w:r>
            <w:r w:rsidR="0046123E" w:rsidRPr="0046123E">
              <w:rPr>
                <w:rFonts w:ascii="ITC Avant Garde" w:eastAsia="Times New Roman" w:hAnsi="ITC Avant Garde" w:cstheme="minorHAnsi"/>
                <w:bCs/>
                <w:sz w:val="16"/>
                <w:szCs w:val="16"/>
                <w:lang w:eastAsia="es-MX"/>
              </w:rPr>
              <w:t xml:space="preserve">en cuanto al uso de la banda de frecuencias 2400-2483.5 MHz clasificada como espectro libre, </w:t>
            </w:r>
            <w:r w:rsidRPr="0046123E">
              <w:rPr>
                <w:rFonts w:ascii="ITC Avant Garde" w:eastAsia="Times New Roman" w:hAnsi="ITC Avant Garde" w:cstheme="minorHAnsi"/>
                <w:bCs/>
                <w:sz w:val="16"/>
                <w:szCs w:val="16"/>
                <w:lang w:eastAsia="es-MX"/>
              </w:rPr>
              <w:t>es preciso resaltar que el 4 de enero de 2021</w:t>
            </w:r>
            <w:r w:rsidRPr="0046123E">
              <w:rPr>
                <w:rFonts w:ascii="ITC Avant Garde" w:eastAsia="Times New Roman" w:hAnsi="ITC Avant Garde" w:cstheme="minorHAnsi"/>
                <w:bCs/>
                <w:sz w:val="16"/>
                <w:szCs w:val="16"/>
                <w:vertAlign w:val="superscript"/>
                <w:lang w:eastAsia="es-MX"/>
              </w:rPr>
              <w:t>(1)</w:t>
            </w:r>
            <w:r w:rsidRPr="0046123E">
              <w:rPr>
                <w:rFonts w:ascii="ITC Avant Garde" w:eastAsia="Times New Roman" w:hAnsi="ITC Avant Garde" w:cstheme="minorHAnsi"/>
                <w:bCs/>
                <w:sz w:val="16"/>
                <w:szCs w:val="16"/>
                <w:lang w:eastAsia="es-MX"/>
              </w:rPr>
              <w:t xml:space="preserve"> se publicó en el Diario Oficial de la Federación (DOF) el </w:t>
            </w:r>
            <w:r w:rsidRPr="0046123E">
              <w:rPr>
                <w:rFonts w:ascii="ITC Avant Garde" w:eastAsia="Times New Roman" w:hAnsi="ITC Avant Garde" w:cstheme="minorHAnsi"/>
                <w:bCs/>
                <w:i/>
                <w:sz w:val="16"/>
                <w:szCs w:val="16"/>
                <w:lang w:eastAsia="es-MX"/>
              </w:rPr>
              <w:t>“Acuerdo mediante el cual el Pleno del Instituto Federal de Telecomunicaciones establece las nuevas condiciones técnicas de operación de la banda de frecuencias 2400-2483.5 MHz, clasificada como espectro libre”</w:t>
            </w:r>
            <w:r w:rsidRPr="0046123E">
              <w:rPr>
                <w:rFonts w:ascii="ITC Avant Garde" w:eastAsia="Times New Roman" w:hAnsi="ITC Avant Garde" w:cstheme="minorHAnsi"/>
                <w:bCs/>
                <w:sz w:val="16"/>
                <w:szCs w:val="16"/>
                <w:lang w:eastAsia="es-MX"/>
              </w:rPr>
              <w:t xml:space="preserve">, por lo que, se le invita al participante a consultar dicho Acuerdo y las condiciones de coexistencia que se indican en el mismo para el uso de la banda 2400-2483.5 MHz. </w:t>
            </w:r>
            <w:r w:rsidRPr="0046123E">
              <w:rPr>
                <w:rFonts w:ascii="ITC Avant Garde" w:eastAsia="Times New Roman" w:hAnsi="ITC Avant Garde" w:cstheme="minorHAnsi"/>
                <w:bCs/>
                <w:sz w:val="16"/>
                <w:szCs w:val="16"/>
                <w:lang w:eastAsia="es-MX"/>
              </w:rPr>
              <w:lastRenderedPageBreak/>
              <w:t xml:space="preserve">Consultable en el siguiente enlace: </w:t>
            </w:r>
            <w:hyperlink r:id="rId16" w:anchor="gsc.tab=0" w:history="1">
              <w:r w:rsidRPr="0046123E">
                <w:rPr>
                  <w:rStyle w:val="Hipervnculo"/>
                  <w:rFonts w:ascii="ITC Avant Garde" w:eastAsia="Times New Roman" w:hAnsi="ITC Avant Garde" w:cstheme="minorHAnsi"/>
                  <w:bCs/>
                  <w:sz w:val="16"/>
                  <w:szCs w:val="16"/>
                  <w:lang w:eastAsia="es-MX"/>
                </w:rPr>
                <w:t>https://www.dof.gob.mx/nota_detalle.php?codigo=5609418&amp;fecha=04/01/2021#gsc.tab=0</w:t>
              </w:r>
            </w:hyperlink>
          </w:p>
          <w:p w14:paraId="5A42F93B" w14:textId="1A3D82C0" w:rsidR="00793477" w:rsidRPr="0046123E" w:rsidRDefault="00793477" w:rsidP="0027409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tc>
      </w:tr>
      <w:tr w:rsidR="007D067A" w:rsidRPr="0046123E" w14:paraId="22E837BE" w14:textId="77777777" w:rsidTr="00724CB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73510E70" w14:textId="057A0FA1" w:rsidR="007D067A" w:rsidRPr="0046123E" w:rsidRDefault="007D067A" w:rsidP="007D067A">
            <w:pPr>
              <w:jc w:val="center"/>
              <w:rPr>
                <w:rFonts w:ascii="ITC Avant Garde" w:eastAsia="Times New Roman" w:hAnsi="ITC Avant Garde" w:cstheme="minorHAnsi"/>
                <w:sz w:val="16"/>
                <w:szCs w:val="16"/>
                <w:lang w:eastAsia="es-MX"/>
              </w:rPr>
            </w:pPr>
            <w:r w:rsidRPr="0046123E">
              <w:rPr>
                <w:rFonts w:ascii="ITC Avant Garde" w:hAnsi="ITC Avant Garde"/>
                <w:b w:val="0"/>
                <w:bCs w:val="0"/>
                <w:sz w:val="16"/>
                <w:szCs w:val="16"/>
              </w:rPr>
              <w:lastRenderedPageBreak/>
              <w:t>Tabla de Atribuciones</w:t>
            </w:r>
          </w:p>
        </w:tc>
        <w:tc>
          <w:tcPr>
            <w:tcW w:w="2964" w:type="pct"/>
            <w:tcBorders>
              <w:right w:val="single" w:sz="4" w:space="0" w:color="A8D08D" w:themeColor="accent6" w:themeTint="99"/>
            </w:tcBorders>
            <w:shd w:val="clear" w:color="auto" w:fill="auto"/>
            <w:vAlign w:val="center"/>
          </w:tcPr>
          <w:p w14:paraId="07A3DED2" w14:textId="1C656E7B" w:rsidR="007D067A" w:rsidRPr="0046123E" w:rsidRDefault="00CF53BE"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w:t>
            </w:r>
          </w:p>
        </w:tc>
        <w:tc>
          <w:tcPr>
            <w:tcW w:w="1316" w:type="pct"/>
            <w:gridSpan w:val="2"/>
            <w:vMerge w:val="restart"/>
            <w:tcBorders>
              <w:left w:val="single" w:sz="4" w:space="0" w:color="A8D08D" w:themeColor="accent6" w:themeTint="99"/>
            </w:tcBorders>
            <w:shd w:val="clear" w:color="auto" w:fill="auto"/>
            <w:vAlign w:val="center"/>
          </w:tcPr>
          <w:p w14:paraId="34A7C2C8" w14:textId="77777777" w:rsidR="007D067A" w:rsidRPr="0046123E" w:rsidRDefault="007D067A"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6"/>
                <w:szCs w:val="16"/>
                <w:lang w:eastAsia="es-MX"/>
              </w:rPr>
            </w:pPr>
          </w:p>
        </w:tc>
      </w:tr>
      <w:tr w:rsidR="007D067A" w:rsidRPr="0046123E" w14:paraId="58C6C0C6" w14:textId="77777777" w:rsidTr="00724CB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03440372" w14:textId="36B64338" w:rsidR="007D067A" w:rsidRPr="0046123E" w:rsidRDefault="007D067A" w:rsidP="007D067A">
            <w:pPr>
              <w:jc w:val="center"/>
              <w:rPr>
                <w:rFonts w:ascii="ITC Avant Garde" w:eastAsia="Times New Roman" w:hAnsi="ITC Avant Garde" w:cstheme="minorHAnsi"/>
                <w:sz w:val="16"/>
                <w:szCs w:val="16"/>
                <w:lang w:eastAsia="es-MX"/>
              </w:rPr>
            </w:pPr>
            <w:r w:rsidRPr="0046123E">
              <w:rPr>
                <w:rFonts w:ascii="ITC Avant Garde" w:hAnsi="ITC Avant Garde"/>
                <w:b w:val="0"/>
                <w:bCs w:val="0"/>
                <w:sz w:val="16"/>
                <w:szCs w:val="16"/>
              </w:rPr>
              <w:t>Notas Nacionales</w:t>
            </w:r>
          </w:p>
        </w:tc>
        <w:tc>
          <w:tcPr>
            <w:tcW w:w="2964" w:type="pct"/>
            <w:tcBorders>
              <w:right w:val="single" w:sz="4" w:space="0" w:color="A8D08D" w:themeColor="accent6" w:themeTint="99"/>
            </w:tcBorders>
            <w:shd w:val="clear" w:color="auto" w:fill="auto"/>
            <w:vAlign w:val="center"/>
          </w:tcPr>
          <w:p w14:paraId="6344D194" w14:textId="7A4C34DB" w:rsidR="007D067A" w:rsidRPr="0046123E" w:rsidRDefault="00CF53BE"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w:t>
            </w:r>
          </w:p>
        </w:tc>
        <w:tc>
          <w:tcPr>
            <w:tcW w:w="1316" w:type="pct"/>
            <w:gridSpan w:val="2"/>
            <w:vMerge/>
            <w:tcBorders>
              <w:left w:val="single" w:sz="4" w:space="0" w:color="A8D08D" w:themeColor="accent6" w:themeTint="99"/>
            </w:tcBorders>
            <w:shd w:val="clear" w:color="auto" w:fill="auto"/>
            <w:vAlign w:val="center"/>
          </w:tcPr>
          <w:p w14:paraId="6228F834" w14:textId="77777777" w:rsidR="007D067A" w:rsidRPr="0046123E" w:rsidRDefault="007D067A" w:rsidP="007D067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tc>
      </w:tr>
      <w:tr w:rsidR="007D067A" w:rsidRPr="0046123E" w14:paraId="761EBB7A" w14:textId="77777777" w:rsidTr="00724CB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50EC3B90" w14:textId="093D89DF" w:rsidR="007D067A" w:rsidRPr="0046123E" w:rsidRDefault="007D067A" w:rsidP="007D067A">
            <w:pPr>
              <w:jc w:val="center"/>
              <w:rPr>
                <w:rFonts w:ascii="ITC Avant Garde" w:eastAsia="Times New Roman" w:hAnsi="ITC Avant Garde" w:cstheme="minorHAnsi"/>
                <w:sz w:val="16"/>
                <w:szCs w:val="16"/>
                <w:lang w:eastAsia="es-MX"/>
              </w:rPr>
            </w:pPr>
            <w:r w:rsidRPr="0046123E">
              <w:rPr>
                <w:rFonts w:ascii="ITC Avant Garde" w:hAnsi="ITC Avant Garde"/>
                <w:b w:val="0"/>
                <w:bCs w:val="0"/>
                <w:sz w:val="16"/>
                <w:szCs w:val="16"/>
              </w:rPr>
              <w:t>Observaciones generales</w:t>
            </w:r>
          </w:p>
        </w:tc>
        <w:tc>
          <w:tcPr>
            <w:tcW w:w="2964" w:type="pct"/>
            <w:tcBorders>
              <w:right w:val="single" w:sz="4" w:space="0" w:color="A8D08D" w:themeColor="accent6" w:themeTint="99"/>
            </w:tcBorders>
            <w:shd w:val="clear" w:color="auto" w:fill="auto"/>
            <w:vAlign w:val="center"/>
          </w:tcPr>
          <w:p w14:paraId="11B5E147" w14:textId="58949D09" w:rsidR="007D067A" w:rsidRPr="0046123E" w:rsidRDefault="00CF53BE"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46123E">
              <w:rPr>
                <w:rFonts w:ascii="ITC Avant Garde" w:eastAsia="Times New Roman" w:hAnsi="ITC Avant Garde" w:cstheme="minorHAnsi"/>
                <w:sz w:val="16"/>
                <w:szCs w:val="16"/>
                <w:lang w:eastAsia="es-MX"/>
              </w:rPr>
              <w:t>-</w:t>
            </w:r>
          </w:p>
        </w:tc>
        <w:tc>
          <w:tcPr>
            <w:tcW w:w="1316" w:type="pct"/>
            <w:gridSpan w:val="2"/>
            <w:vMerge/>
            <w:tcBorders>
              <w:left w:val="single" w:sz="4" w:space="0" w:color="A8D08D" w:themeColor="accent6" w:themeTint="99"/>
            </w:tcBorders>
            <w:shd w:val="clear" w:color="auto" w:fill="auto"/>
            <w:vAlign w:val="center"/>
          </w:tcPr>
          <w:p w14:paraId="09900BBB" w14:textId="77777777" w:rsidR="007D067A" w:rsidRPr="0046123E" w:rsidRDefault="007D067A" w:rsidP="007D06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6"/>
                <w:szCs w:val="16"/>
                <w:lang w:eastAsia="es-MX"/>
              </w:rPr>
            </w:pPr>
          </w:p>
        </w:tc>
      </w:tr>
    </w:tbl>
    <w:p w14:paraId="1284F509" w14:textId="77777777" w:rsidR="00FD134A" w:rsidRDefault="00FD134A" w:rsidP="00FD134A">
      <w:pPr>
        <w:spacing w:after="0" w:line="240" w:lineRule="auto"/>
        <w:rPr>
          <w:rFonts w:ascii="ITC Avant Garde" w:hAnsi="ITC Avant Garde"/>
          <w:color w:val="000000"/>
          <w:sz w:val="14"/>
          <w:szCs w:val="14"/>
          <w:shd w:val="clear" w:color="auto" w:fill="FFFFFF"/>
        </w:rPr>
      </w:pPr>
    </w:p>
    <w:p w14:paraId="611EAFB5" w14:textId="77777777" w:rsidR="00FD134A" w:rsidRDefault="00FD134A" w:rsidP="00FD134A">
      <w:pPr>
        <w:spacing w:after="0" w:line="240" w:lineRule="auto"/>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FD134A" w:rsidRPr="00DA18BF" w14:paraId="64AF496F" w14:textId="77777777" w:rsidTr="00724CB7">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7147A5C4" w14:textId="77777777" w:rsidR="00FD134A" w:rsidRPr="00DA18BF" w:rsidRDefault="00FD134A" w:rsidP="0028154E">
            <w:pPr>
              <w:ind w:left="316"/>
              <w:jc w:val="center"/>
              <w:rPr>
                <w:rFonts w:ascii="ITC Avant Garde" w:hAnsi="ITC Avant Garde"/>
                <w:b w:val="0"/>
                <w:sz w:val="16"/>
                <w:szCs w:val="16"/>
                <w:lang w:eastAsia="es-MX"/>
              </w:rPr>
            </w:pPr>
            <w:r w:rsidRPr="00DA18BF">
              <w:rPr>
                <w:rFonts w:ascii="ITC Avant Garde" w:hAnsi="ITC Avant Garde"/>
                <w:bCs w:val="0"/>
                <w:sz w:val="16"/>
                <w:szCs w:val="16"/>
                <w:lang w:eastAsia="es-MX"/>
              </w:rPr>
              <w:t>Comentarios, opiniones, propuestas y aportaciones específicos de la persona participante sobre el asunto en Consulta Pública</w:t>
            </w:r>
          </w:p>
        </w:tc>
      </w:tr>
      <w:tr w:rsidR="00FD134A" w:rsidRPr="00DA18BF" w14:paraId="218125BA" w14:textId="77777777" w:rsidTr="00724CB7">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3A123A2" w14:textId="77777777" w:rsidR="00FD134A" w:rsidRPr="00DA18BF" w:rsidRDefault="00FD134A" w:rsidP="0028154E">
            <w:pPr>
              <w:ind w:left="316"/>
              <w:rPr>
                <w:rFonts w:ascii="ITC Avant Garde" w:hAnsi="ITC Avant Garde"/>
                <w:sz w:val="16"/>
                <w:szCs w:val="16"/>
                <w:lang w:eastAsia="es-MX"/>
              </w:rPr>
            </w:pPr>
            <w:r w:rsidRPr="00DA18BF">
              <w:rPr>
                <w:rFonts w:ascii="ITC Avant Garde" w:hAnsi="ITC Avant Garde"/>
                <w:sz w:val="16"/>
                <w:szCs w:val="16"/>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47E0BE71" w14:textId="5C7607AA" w:rsidR="00FD134A" w:rsidRPr="00DA18BF" w:rsidRDefault="00FD134A" w:rsidP="0028154E">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6"/>
                <w:szCs w:val="16"/>
                <w:lang w:eastAsia="es-MX"/>
              </w:rPr>
            </w:pPr>
            <w:proofErr w:type="spellStart"/>
            <w:r w:rsidRPr="00DA18BF">
              <w:rPr>
                <w:rFonts w:ascii="ITC Avant Garde" w:hAnsi="ITC Avant Garde"/>
                <w:b w:val="0"/>
                <w:color w:val="000000" w:themeColor="text1"/>
                <w:sz w:val="16"/>
                <w:szCs w:val="16"/>
                <w:lang w:eastAsia="es-MX"/>
              </w:rPr>
              <w:t>Starlink</w:t>
            </w:r>
            <w:proofErr w:type="spellEnd"/>
            <w:r w:rsidRPr="00DA18BF">
              <w:rPr>
                <w:rFonts w:ascii="ITC Avant Garde" w:hAnsi="ITC Avant Garde"/>
                <w:b w:val="0"/>
                <w:color w:val="000000" w:themeColor="text1"/>
                <w:sz w:val="16"/>
                <w:szCs w:val="16"/>
                <w:lang w:eastAsia="es-MX"/>
              </w:rPr>
              <w:t xml:space="preserve"> </w:t>
            </w:r>
            <w:proofErr w:type="spellStart"/>
            <w:r w:rsidRPr="00DA18BF">
              <w:rPr>
                <w:rFonts w:ascii="ITC Avant Garde" w:hAnsi="ITC Avant Garde"/>
                <w:b w:val="0"/>
                <w:color w:val="000000" w:themeColor="text1"/>
                <w:sz w:val="16"/>
                <w:szCs w:val="16"/>
                <w:lang w:eastAsia="es-MX"/>
              </w:rPr>
              <w:t>Satellite</w:t>
            </w:r>
            <w:proofErr w:type="spellEnd"/>
            <w:r w:rsidRPr="00DA18BF">
              <w:rPr>
                <w:rFonts w:ascii="ITC Avant Garde" w:hAnsi="ITC Avant Garde"/>
                <w:b w:val="0"/>
                <w:color w:val="000000" w:themeColor="text1"/>
                <w:sz w:val="16"/>
                <w:szCs w:val="16"/>
                <w:lang w:eastAsia="es-MX"/>
              </w:rPr>
              <w:t xml:space="preserve"> </w:t>
            </w:r>
            <w:proofErr w:type="spellStart"/>
            <w:r w:rsidRPr="00DA18BF">
              <w:rPr>
                <w:rFonts w:ascii="ITC Avant Garde" w:hAnsi="ITC Avant Garde"/>
                <w:b w:val="0"/>
                <w:color w:val="000000" w:themeColor="text1"/>
                <w:sz w:val="16"/>
                <w:szCs w:val="16"/>
                <w:lang w:eastAsia="es-MX"/>
              </w:rPr>
              <w:t>Systems</w:t>
            </w:r>
            <w:proofErr w:type="spellEnd"/>
            <w:r w:rsidRPr="00DA18BF">
              <w:rPr>
                <w:rFonts w:ascii="ITC Avant Garde" w:hAnsi="ITC Avant Garde"/>
                <w:b w:val="0"/>
                <w:color w:val="000000" w:themeColor="text1"/>
                <w:sz w:val="16"/>
                <w:szCs w:val="16"/>
                <w:lang w:eastAsia="es-MX"/>
              </w:rPr>
              <w:t xml:space="preserve"> México, S. De R.L. De C.V.</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F6BE8F" w14:textId="77777777" w:rsidR="00FD134A" w:rsidRPr="00DA18BF" w:rsidRDefault="00FD134A" w:rsidP="0028154E">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6"/>
                <w:szCs w:val="16"/>
                <w:lang w:eastAsia="es-MX"/>
              </w:rPr>
            </w:pPr>
            <w:r w:rsidRPr="00DA18BF">
              <w:rPr>
                <w:rFonts w:ascii="ITC Avant Garde" w:hAnsi="ITC Avant Garde"/>
                <w:sz w:val="16"/>
                <w:szCs w:val="16"/>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7BF92EB1" w14:textId="7D0923F4" w:rsidR="00FD134A" w:rsidRPr="00DA18BF" w:rsidRDefault="00FD134A" w:rsidP="0028154E">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6"/>
                <w:szCs w:val="16"/>
                <w:lang w:eastAsia="es-MX"/>
              </w:rPr>
            </w:pPr>
            <w:r w:rsidRPr="00DA18BF">
              <w:rPr>
                <w:rFonts w:ascii="ITC Avant Garde" w:hAnsi="ITC Avant Garde"/>
                <w:b w:val="0"/>
                <w:color w:val="000000" w:themeColor="text1"/>
                <w:sz w:val="16"/>
                <w:szCs w:val="16"/>
                <w:lang w:eastAsia="es-MX"/>
              </w:rPr>
              <w:t>20240628-CP_CNAF-005</w:t>
            </w:r>
          </w:p>
        </w:tc>
      </w:tr>
      <w:tr w:rsidR="00FD134A" w:rsidRPr="00DA18BF" w14:paraId="0720EACA" w14:textId="77777777" w:rsidTr="00724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729119EC" w14:textId="77777777" w:rsidR="00FD134A" w:rsidRPr="00DA18BF" w:rsidRDefault="00FD134A" w:rsidP="0028154E">
            <w:pPr>
              <w:jc w:val="center"/>
              <w:rPr>
                <w:rFonts w:ascii="ITC Avant Garde" w:eastAsia="Times New Roman" w:hAnsi="ITC Avant Garde" w:cstheme="minorHAnsi"/>
                <w:color w:val="000000" w:themeColor="text1"/>
                <w:sz w:val="16"/>
                <w:szCs w:val="16"/>
                <w:lang w:eastAsia="es-MX"/>
              </w:rPr>
            </w:pPr>
            <w:r w:rsidRPr="00DA18BF">
              <w:rPr>
                <w:rFonts w:ascii="ITC Avant Garde" w:eastAsia="Times New Roman" w:hAnsi="ITC Avant Garde" w:cstheme="minorHAnsi"/>
                <w:color w:val="000000" w:themeColor="text1"/>
                <w:sz w:val="16"/>
                <w:szCs w:val="16"/>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439C6C45" w14:textId="77777777" w:rsidR="00FD134A" w:rsidRPr="00DA18BF" w:rsidRDefault="00FD134A" w:rsidP="0028154E">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6"/>
                <w:szCs w:val="16"/>
                <w:lang w:eastAsia="es-MX"/>
              </w:rPr>
            </w:pPr>
            <w:r w:rsidRPr="00DA18BF">
              <w:rPr>
                <w:rFonts w:ascii="ITC Avant Garde" w:eastAsia="Times New Roman" w:hAnsi="ITC Avant Garde" w:cstheme="minorHAnsi"/>
                <w:color w:val="000000" w:themeColor="text1"/>
                <w:sz w:val="16"/>
                <w:szCs w:val="16"/>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62F25E84" w14:textId="77777777" w:rsidR="00FD134A" w:rsidRPr="00DA18BF" w:rsidRDefault="00FD134A" w:rsidP="0028154E">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6"/>
                <w:szCs w:val="16"/>
                <w:lang w:eastAsia="es-MX"/>
              </w:rPr>
            </w:pPr>
            <w:r w:rsidRPr="00DA18BF">
              <w:rPr>
                <w:rFonts w:ascii="ITC Avant Garde" w:eastAsia="Times New Roman" w:hAnsi="ITC Avant Garde" w:cstheme="minorHAnsi"/>
                <w:color w:val="000000" w:themeColor="text1"/>
                <w:sz w:val="16"/>
                <w:szCs w:val="16"/>
                <w:lang w:eastAsia="es-MX"/>
              </w:rPr>
              <w:t>Respuesta del Instituto</w:t>
            </w:r>
          </w:p>
        </w:tc>
      </w:tr>
      <w:tr w:rsidR="00FD134A" w:rsidRPr="00DA18BF" w14:paraId="20C2F9C0" w14:textId="77777777" w:rsidTr="00724CB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14DBEC07" w14:textId="77777777" w:rsidR="00FD134A" w:rsidRPr="00DA18BF" w:rsidRDefault="00FD134A" w:rsidP="0028154E">
            <w:pPr>
              <w:jc w:val="center"/>
              <w:rPr>
                <w:rFonts w:ascii="ITC Avant Garde" w:eastAsia="Times New Roman" w:hAnsi="ITC Avant Garde" w:cstheme="minorHAnsi"/>
                <w:b w:val="0"/>
                <w:sz w:val="16"/>
                <w:szCs w:val="16"/>
                <w:lang w:eastAsia="es-MX"/>
              </w:rPr>
            </w:pPr>
            <w:r w:rsidRPr="00DA18BF">
              <w:rPr>
                <w:rFonts w:ascii="ITC Avant Garde" w:eastAsia="Times New Roman" w:hAnsi="ITC Avant Garde" w:cstheme="minorHAnsi"/>
                <w:b w:val="0"/>
                <w:sz w:val="16"/>
                <w:szCs w:val="16"/>
                <w:lang w:eastAsia="es-MX"/>
              </w:rPr>
              <w:t>Sección introductoria</w:t>
            </w:r>
          </w:p>
        </w:tc>
        <w:tc>
          <w:tcPr>
            <w:tcW w:w="2964" w:type="pct"/>
            <w:tcBorders>
              <w:right w:val="single" w:sz="4" w:space="0" w:color="A8D08D" w:themeColor="accent6" w:themeTint="99"/>
            </w:tcBorders>
            <w:shd w:val="clear" w:color="auto" w:fill="auto"/>
            <w:vAlign w:val="center"/>
          </w:tcPr>
          <w:p w14:paraId="53FA7533" w14:textId="447E68E6" w:rsidR="00FD134A" w:rsidRPr="00DA18BF" w:rsidRDefault="00724CB7" w:rsidP="0028154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w:t>
            </w:r>
          </w:p>
        </w:tc>
        <w:tc>
          <w:tcPr>
            <w:tcW w:w="1316" w:type="pct"/>
            <w:gridSpan w:val="2"/>
            <w:vMerge w:val="restart"/>
            <w:tcBorders>
              <w:left w:val="single" w:sz="4" w:space="0" w:color="A8D08D" w:themeColor="accent6" w:themeTint="99"/>
            </w:tcBorders>
            <w:shd w:val="clear" w:color="auto" w:fill="auto"/>
            <w:vAlign w:val="center"/>
          </w:tcPr>
          <w:p w14:paraId="15089206" w14:textId="77777777" w:rsidR="00FD134A" w:rsidRDefault="0046123E" w:rsidP="0028154E">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sz w:val="16"/>
                <w:szCs w:val="16"/>
                <w:lang w:eastAsia="es-MX"/>
              </w:rPr>
            </w:pPr>
            <w:r w:rsidRPr="00DA18BF">
              <w:rPr>
                <w:rFonts w:ascii="ITC Avant Garde" w:eastAsia="Times New Roman" w:hAnsi="ITC Avant Garde" w:cstheme="minorHAnsi"/>
                <w:bCs/>
                <w:sz w:val="16"/>
                <w:szCs w:val="16"/>
                <w:lang w:eastAsia="es-MX"/>
              </w:rPr>
              <w:t xml:space="preserve">El </w:t>
            </w:r>
            <w:r w:rsidR="00DA18BF">
              <w:rPr>
                <w:rFonts w:ascii="ITC Avant Garde" w:eastAsia="Times New Roman" w:hAnsi="ITC Avant Garde" w:cstheme="minorHAnsi"/>
                <w:bCs/>
                <w:sz w:val="16"/>
                <w:szCs w:val="16"/>
                <w:lang w:eastAsia="es-MX"/>
              </w:rPr>
              <w:t xml:space="preserve">Instituto </w:t>
            </w:r>
            <w:r w:rsidR="00C87356">
              <w:rPr>
                <w:rFonts w:ascii="ITC Avant Garde" w:eastAsia="Times New Roman" w:hAnsi="ITC Avant Garde" w:cstheme="minorHAnsi"/>
                <w:bCs/>
                <w:sz w:val="16"/>
                <w:szCs w:val="16"/>
                <w:lang w:eastAsia="es-MX"/>
              </w:rPr>
              <w:t xml:space="preserve">Federal de Telecomunicaciones </w:t>
            </w:r>
            <w:r w:rsidR="00DA18BF">
              <w:rPr>
                <w:rFonts w:ascii="ITC Avant Garde" w:eastAsia="Times New Roman" w:hAnsi="ITC Avant Garde" w:cstheme="minorHAnsi"/>
                <w:bCs/>
                <w:sz w:val="16"/>
                <w:szCs w:val="16"/>
                <w:lang w:eastAsia="es-MX"/>
              </w:rPr>
              <w:t xml:space="preserve">agradece la manifestación realizada por la empresa </w:t>
            </w:r>
            <w:proofErr w:type="spellStart"/>
            <w:r w:rsidR="00DA18BF" w:rsidRPr="00DA18BF">
              <w:rPr>
                <w:rFonts w:ascii="ITC Avant Garde" w:hAnsi="ITC Avant Garde"/>
                <w:b/>
                <w:color w:val="000000" w:themeColor="text1"/>
                <w:sz w:val="16"/>
                <w:szCs w:val="16"/>
                <w:lang w:eastAsia="es-MX"/>
              </w:rPr>
              <w:t>Starlink</w:t>
            </w:r>
            <w:proofErr w:type="spellEnd"/>
            <w:r w:rsidR="00DA18BF" w:rsidRPr="00DA18BF">
              <w:rPr>
                <w:rFonts w:ascii="ITC Avant Garde" w:hAnsi="ITC Avant Garde"/>
                <w:b/>
                <w:color w:val="000000" w:themeColor="text1"/>
                <w:sz w:val="16"/>
                <w:szCs w:val="16"/>
                <w:lang w:eastAsia="es-MX"/>
              </w:rPr>
              <w:t xml:space="preserve"> </w:t>
            </w:r>
            <w:proofErr w:type="spellStart"/>
            <w:r w:rsidR="00DA18BF" w:rsidRPr="00DA18BF">
              <w:rPr>
                <w:rFonts w:ascii="ITC Avant Garde" w:hAnsi="ITC Avant Garde"/>
                <w:b/>
                <w:color w:val="000000" w:themeColor="text1"/>
                <w:sz w:val="16"/>
                <w:szCs w:val="16"/>
                <w:lang w:eastAsia="es-MX"/>
              </w:rPr>
              <w:t>Satellite</w:t>
            </w:r>
            <w:proofErr w:type="spellEnd"/>
            <w:r w:rsidR="00DA18BF" w:rsidRPr="00DA18BF">
              <w:rPr>
                <w:rFonts w:ascii="ITC Avant Garde" w:hAnsi="ITC Avant Garde"/>
                <w:b/>
                <w:color w:val="000000" w:themeColor="text1"/>
                <w:sz w:val="16"/>
                <w:szCs w:val="16"/>
                <w:lang w:eastAsia="es-MX"/>
              </w:rPr>
              <w:t xml:space="preserve"> </w:t>
            </w:r>
            <w:proofErr w:type="spellStart"/>
            <w:r w:rsidR="00DA18BF" w:rsidRPr="00DA18BF">
              <w:rPr>
                <w:rFonts w:ascii="ITC Avant Garde" w:hAnsi="ITC Avant Garde"/>
                <w:b/>
                <w:color w:val="000000" w:themeColor="text1"/>
                <w:sz w:val="16"/>
                <w:szCs w:val="16"/>
                <w:lang w:eastAsia="es-MX"/>
              </w:rPr>
              <w:t>Systems</w:t>
            </w:r>
            <w:proofErr w:type="spellEnd"/>
            <w:r w:rsidR="00DA18BF" w:rsidRPr="00DA18BF">
              <w:rPr>
                <w:rFonts w:ascii="ITC Avant Garde" w:hAnsi="ITC Avant Garde"/>
                <w:b/>
                <w:color w:val="000000" w:themeColor="text1"/>
                <w:sz w:val="16"/>
                <w:szCs w:val="16"/>
                <w:lang w:eastAsia="es-MX"/>
              </w:rPr>
              <w:t xml:space="preserve"> México, S. De R.L. De C.V.</w:t>
            </w:r>
            <w:r w:rsidR="00DA18BF">
              <w:rPr>
                <w:rFonts w:ascii="ITC Avant Garde" w:hAnsi="ITC Avant Garde"/>
                <w:b/>
                <w:color w:val="000000" w:themeColor="text1"/>
                <w:sz w:val="16"/>
                <w:szCs w:val="16"/>
                <w:lang w:eastAsia="es-MX"/>
              </w:rPr>
              <w:t xml:space="preserve">, </w:t>
            </w:r>
            <w:r w:rsidR="00DA18BF" w:rsidRPr="00DA18BF">
              <w:rPr>
                <w:rFonts w:ascii="ITC Avant Garde" w:hAnsi="ITC Avant Garde"/>
                <w:color w:val="000000" w:themeColor="text1"/>
                <w:sz w:val="16"/>
                <w:szCs w:val="16"/>
                <w:lang w:eastAsia="es-MX"/>
              </w:rPr>
              <w:t xml:space="preserve">referente a </w:t>
            </w:r>
            <w:r w:rsidR="00AB0B69">
              <w:rPr>
                <w:rFonts w:ascii="ITC Avant Garde" w:hAnsi="ITC Avant Garde"/>
                <w:color w:val="000000" w:themeColor="text1"/>
                <w:sz w:val="16"/>
                <w:szCs w:val="16"/>
                <w:lang w:eastAsia="es-MX"/>
              </w:rPr>
              <w:t>su apoyo al proyecto de modificación al CNAF particularmente con las adecuaciones a la atribución de la banda 74-76 GHz al servicio Fijo por Satélite (espacio-Tierra)</w:t>
            </w:r>
            <w:r w:rsidR="006D38C7">
              <w:rPr>
                <w:rFonts w:ascii="ITC Avant Garde" w:hAnsi="ITC Avant Garde"/>
                <w:color w:val="000000" w:themeColor="text1"/>
                <w:sz w:val="16"/>
                <w:szCs w:val="16"/>
                <w:lang w:eastAsia="es-MX"/>
              </w:rPr>
              <w:t>.</w:t>
            </w:r>
          </w:p>
          <w:p w14:paraId="3CE62C73" w14:textId="77777777" w:rsidR="006D38C7" w:rsidRDefault="006D38C7" w:rsidP="0028154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66972B59" w14:textId="5F131AF3" w:rsidR="00FD134A" w:rsidRDefault="006D38C7" w:rsidP="0028154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Por lo que refiere a </w:t>
            </w:r>
            <w:r w:rsidR="0064143D">
              <w:rPr>
                <w:rFonts w:ascii="ITC Avant Garde" w:eastAsia="Times New Roman" w:hAnsi="ITC Avant Garde" w:cstheme="minorHAnsi"/>
                <w:bCs/>
                <w:sz w:val="16"/>
                <w:szCs w:val="16"/>
                <w:lang w:eastAsia="es-MX"/>
              </w:rPr>
              <w:t>su</w:t>
            </w:r>
            <w:r>
              <w:rPr>
                <w:rFonts w:ascii="ITC Avant Garde" w:eastAsia="Times New Roman" w:hAnsi="ITC Avant Garde" w:cstheme="minorHAnsi"/>
                <w:bCs/>
                <w:sz w:val="16"/>
                <w:szCs w:val="16"/>
                <w:lang w:eastAsia="es-MX"/>
              </w:rPr>
              <w:t xml:space="preserve"> solicitud </w:t>
            </w:r>
            <w:r w:rsidR="0064143D">
              <w:rPr>
                <w:rFonts w:ascii="ITC Avant Garde" w:eastAsia="Times New Roman" w:hAnsi="ITC Avant Garde" w:cstheme="minorHAnsi"/>
                <w:bCs/>
                <w:sz w:val="16"/>
                <w:szCs w:val="16"/>
                <w:lang w:eastAsia="es-MX"/>
              </w:rPr>
              <w:t>para</w:t>
            </w:r>
            <w:r>
              <w:rPr>
                <w:rFonts w:ascii="ITC Avant Garde" w:eastAsia="Times New Roman" w:hAnsi="ITC Avant Garde" w:cstheme="minorHAnsi"/>
                <w:bCs/>
                <w:sz w:val="16"/>
                <w:szCs w:val="16"/>
                <w:lang w:eastAsia="es-MX"/>
              </w:rPr>
              <w:t xml:space="preserve"> </w:t>
            </w:r>
            <w:r w:rsidR="00C87356">
              <w:rPr>
                <w:rFonts w:ascii="ITC Avant Garde" w:eastAsia="Times New Roman" w:hAnsi="ITC Avant Garde" w:cstheme="minorHAnsi"/>
                <w:bCs/>
                <w:sz w:val="16"/>
                <w:szCs w:val="16"/>
                <w:lang w:eastAsia="es-MX"/>
              </w:rPr>
              <w:t xml:space="preserve">que el Instituto considere realizar </w:t>
            </w:r>
            <w:r>
              <w:rPr>
                <w:rFonts w:ascii="ITC Avant Garde" w:eastAsia="Times New Roman" w:hAnsi="ITC Avant Garde" w:cstheme="minorHAnsi"/>
                <w:bCs/>
                <w:sz w:val="16"/>
                <w:szCs w:val="16"/>
                <w:lang w:eastAsia="es-MX"/>
              </w:rPr>
              <w:t xml:space="preserve">un marco regulatorio flexible de concesión de licencias de espectro en bandas LTE, se considera que </w:t>
            </w:r>
            <w:r w:rsidRPr="006D38C7">
              <w:rPr>
                <w:rFonts w:ascii="ITC Avant Garde" w:eastAsia="Times New Roman" w:hAnsi="ITC Avant Garde" w:cstheme="minorHAnsi"/>
                <w:bCs/>
                <w:sz w:val="16"/>
                <w:szCs w:val="16"/>
                <w:lang w:eastAsia="es-MX"/>
              </w:rPr>
              <w:t>el CNAF no es el instrumento mediante el cual pueda desahogar dicha</w:t>
            </w:r>
            <w:r>
              <w:rPr>
                <w:rFonts w:ascii="ITC Avant Garde" w:eastAsia="Times New Roman" w:hAnsi="ITC Avant Garde" w:cstheme="minorHAnsi"/>
                <w:bCs/>
                <w:sz w:val="16"/>
                <w:szCs w:val="16"/>
                <w:lang w:eastAsia="es-MX"/>
              </w:rPr>
              <w:t xml:space="preserve"> solicitud, </w:t>
            </w:r>
            <w:r w:rsidRPr="006D38C7">
              <w:rPr>
                <w:rFonts w:ascii="ITC Avant Garde" w:eastAsia="Times New Roman" w:hAnsi="ITC Avant Garde" w:cstheme="minorHAnsi"/>
                <w:bCs/>
                <w:sz w:val="16"/>
                <w:szCs w:val="16"/>
                <w:lang w:eastAsia="es-MX"/>
              </w:rPr>
              <w:t>por lo que</w:t>
            </w:r>
            <w:r>
              <w:rPr>
                <w:rFonts w:ascii="ITC Avant Garde" w:eastAsia="Times New Roman" w:hAnsi="ITC Avant Garde" w:cstheme="minorHAnsi"/>
                <w:bCs/>
                <w:sz w:val="16"/>
                <w:szCs w:val="16"/>
                <w:lang w:eastAsia="es-MX"/>
              </w:rPr>
              <w:t xml:space="preserve">, se toma de </w:t>
            </w:r>
            <w:r w:rsidR="00B561AF">
              <w:rPr>
                <w:rFonts w:ascii="ITC Avant Garde" w:eastAsia="Times New Roman" w:hAnsi="ITC Avant Garde" w:cstheme="minorHAnsi"/>
                <w:bCs/>
                <w:sz w:val="16"/>
                <w:szCs w:val="16"/>
                <w:lang w:eastAsia="es-MX"/>
              </w:rPr>
              <w:t xml:space="preserve">conocimiento </w:t>
            </w:r>
            <w:r>
              <w:rPr>
                <w:rFonts w:ascii="ITC Avant Garde" w:eastAsia="Times New Roman" w:hAnsi="ITC Avant Garde" w:cstheme="minorHAnsi"/>
                <w:bCs/>
                <w:sz w:val="16"/>
                <w:szCs w:val="16"/>
                <w:lang w:eastAsia="es-MX"/>
              </w:rPr>
              <w:t>la manifestación realizada por el participante</w:t>
            </w:r>
            <w:r w:rsidR="00C87356">
              <w:rPr>
                <w:rFonts w:ascii="ITC Avant Garde" w:eastAsia="Times New Roman" w:hAnsi="ITC Avant Garde" w:cstheme="minorHAnsi"/>
                <w:bCs/>
                <w:sz w:val="16"/>
                <w:szCs w:val="16"/>
                <w:lang w:eastAsia="es-MX"/>
              </w:rPr>
              <w:t xml:space="preserve"> para los fines de gestión y administración que resulten conducentes</w:t>
            </w:r>
            <w:r w:rsidR="00B561AF">
              <w:rPr>
                <w:rFonts w:ascii="ITC Avant Garde" w:eastAsia="Times New Roman" w:hAnsi="ITC Avant Garde" w:cstheme="minorHAnsi"/>
                <w:bCs/>
                <w:sz w:val="16"/>
                <w:szCs w:val="16"/>
                <w:lang w:eastAsia="es-MX"/>
              </w:rPr>
              <w:t>.</w:t>
            </w:r>
          </w:p>
          <w:p w14:paraId="1403F2B3" w14:textId="77777777" w:rsidR="00687C57" w:rsidRDefault="00687C57" w:rsidP="0028154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4A6F0942" w14:textId="2E671FAA" w:rsidR="006D38C7" w:rsidRPr="00DA18BF" w:rsidRDefault="00687C57" w:rsidP="006D38C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A este respecto, </w:t>
            </w:r>
            <w:r w:rsidR="00060696">
              <w:rPr>
                <w:rFonts w:ascii="ITC Avant Garde" w:eastAsia="Times New Roman" w:hAnsi="ITC Avant Garde" w:cstheme="minorHAnsi"/>
                <w:bCs/>
                <w:sz w:val="16"/>
                <w:szCs w:val="16"/>
                <w:lang w:eastAsia="es-MX"/>
              </w:rPr>
              <w:t xml:space="preserve">es relevante señalar que </w:t>
            </w:r>
            <w:r>
              <w:rPr>
                <w:rFonts w:ascii="ITC Avant Garde" w:eastAsia="Times New Roman" w:hAnsi="ITC Avant Garde" w:cstheme="minorHAnsi"/>
                <w:bCs/>
                <w:sz w:val="16"/>
                <w:szCs w:val="16"/>
                <w:lang w:eastAsia="es-MX"/>
              </w:rPr>
              <w:t xml:space="preserve">el </w:t>
            </w:r>
            <w:r w:rsidRPr="00096E73">
              <w:rPr>
                <w:rFonts w:ascii="ITC Avant Garde" w:eastAsia="Times New Roman" w:hAnsi="ITC Avant Garde" w:cstheme="minorHAnsi"/>
                <w:bCs/>
                <w:sz w:val="16"/>
                <w:szCs w:val="16"/>
                <w:lang w:eastAsia="es-MX"/>
              </w:rPr>
              <w:t xml:space="preserve">CNAF es </w:t>
            </w:r>
            <w:r w:rsidR="003A2C5C">
              <w:rPr>
                <w:rFonts w:ascii="ITC Avant Garde" w:eastAsia="Times New Roman" w:hAnsi="ITC Avant Garde" w:cstheme="minorHAnsi"/>
                <w:bCs/>
                <w:sz w:val="16"/>
                <w:szCs w:val="16"/>
                <w:lang w:eastAsia="es-MX"/>
              </w:rPr>
              <w:t>la</w:t>
            </w:r>
            <w:r w:rsidRPr="00096E73">
              <w:rPr>
                <w:rFonts w:ascii="ITC Avant Garde" w:eastAsia="Times New Roman" w:hAnsi="ITC Avant Garde" w:cstheme="minorHAnsi"/>
                <w:bCs/>
                <w:sz w:val="16"/>
                <w:szCs w:val="16"/>
                <w:lang w:eastAsia="es-MX"/>
              </w:rPr>
              <w:t xml:space="preserve"> disposición administrativa que indica el servicio o servicios de radiocomunicaciones a los que se encuentra atribuida una determinada banda de frecuencias del espectro radioeléctrico</w:t>
            </w:r>
            <w:r>
              <w:rPr>
                <w:rFonts w:ascii="ITC Avant Garde" w:eastAsia="Times New Roman" w:hAnsi="ITC Avant Garde" w:cstheme="minorHAnsi"/>
                <w:bCs/>
                <w:sz w:val="16"/>
                <w:szCs w:val="16"/>
                <w:lang w:eastAsia="es-MX"/>
              </w:rPr>
              <w:t xml:space="preserve"> a nivel nacional</w:t>
            </w:r>
            <w:r w:rsidRPr="00096E73">
              <w:rPr>
                <w:rFonts w:ascii="ITC Avant Garde" w:eastAsia="Times New Roman" w:hAnsi="ITC Avant Garde" w:cstheme="minorHAnsi"/>
                <w:bCs/>
                <w:sz w:val="16"/>
                <w:szCs w:val="16"/>
                <w:lang w:eastAsia="es-MX"/>
              </w:rPr>
              <w:t xml:space="preserve">, así como </w:t>
            </w:r>
            <w:r>
              <w:rPr>
                <w:rFonts w:ascii="ITC Avant Garde" w:eastAsia="Times New Roman" w:hAnsi="ITC Avant Garde" w:cstheme="minorHAnsi"/>
                <w:bCs/>
                <w:sz w:val="16"/>
                <w:szCs w:val="16"/>
                <w:lang w:eastAsia="es-MX"/>
              </w:rPr>
              <w:t xml:space="preserve">notas nacionales que muestran </w:t>
            </w:r>
            <w:r w:rsidRPr="00096E73">
              <w:rPr>
                <w:rFonts w:ascii="ITC Avant Garde" w:eastAsia="Times New Roman" w:hAnsi="ITC Avant Garde" w:cstheme="minorHAnsi"/>
                <w:bCs/>
                <w:sz w:val="16"/>
                <w:szCs w:val="16"/>
                <w:lang w:eastAsia="es-MX"/>
              </w:rPr>
              <w:t xml:space="preserve">información </w:t>
            </w:r>
            <w:r>
              <w:rPr>
                <w:rFonts w:ascii="ITC Avant Garde" w:eastAsia="Times New Roman" w:hAnsi="ITC Avant Garde" w:cstheme="minorHAnsi"/>
                <w:bCs/>
                <w:sz w:val="16"/>
                <w:szCs w:val="16"/>
                <w:lang w:eastAsia="es-MX"/>
              </w:rPr>
              <w:t xml:space="preserve">relevante </w:t>
            </w:r>
            <w:r w:rsidRPr="00096E73">
              <w:rPr>
                <w:rFonts w:ascii="ITC Avant Garde" w:eastAsia="Times New Roman" w:hAnsi="ITC Avant Garde" w:cstheme="minorHAnsi"/>
                <w:bCs/>
                <w:sz w:val="16"/>
                <w:szCs w:val="16"/>
                <w:lang w:eastAsia="es-MX"/>
              </w:rPr>
              <w:t>sobre</w:t>
            </w:r>
            <w:r>
              <w:rPr>
                <w:rFonts w:ascii="ITC Avant Garde" w:eastAsia="Times New Roman" w:hAnsi="ITC Avant Garde" w:cstheme="minorHAnsi"/>
                <w:bCs/>
                <w:sz w:val="16"/>
                <w:szCs w:val="16"/>
                <w:lang w:eastAsia="es-MX"/>
              </w:rPr>
              <w:t xml:space="preserve">: i) clasificación de bandas del espectro radioeléctrico, </w:t>
            </w:r>
            <w:proofErr w:type="spellStart"/>
            <w:r>
              <w:rPr>
                <w:rFonts w:ascii="ITC Avant Garde" w:eastAsia="Times New Roman" w:hAnsi="ITC Avant Garde" w:cstheme="minorHAnsi"/>
                <w:bCs/>
                <w:sz w:val="16"/>
                <w:szCs w:val="16"/>
                <w:lang w:eastAsia="es-MX"/>
              </w:rPr>
              <w:t>ii</w:t>
            </w:r>
            <w:proofErr w:type="spellEnd"/>
            <w:r>
              <w:rPr>
                <w:rFonts w:ascii="ITC Avant Garde" w:eastAsia="Times New Roman" w:hAnsi="ITC Avant Garde" w:cstheme="minorHAnsi"/>
                <w:bCs/>
                <w:sz w:val="16"/>
                <w:szCs w:val="16"/>
                <w:lang w:eastAsia="es-MX"/>
              </w:rPr>
              <w:t xml:space="preserve">) uso actual de las bandas de frecuencias, </w:t>
            </w:r>
            <w:proofErr w:type="spellStart"/>
            <w:r>
              <w:rPr>
                <w:rFonts w:ascii="ITC Avant Garde" w:eastAsia="Times New Roman" w:hAnsi="ITC Avant Garde" w:cstheme="minorHAnsi"/>
                <w:bCs/>
                <w:sz w:val="16"/>
                <w:szCs w:val="16"/>
                <w:lang w:eastAsia="es-MX"/>
              </w:rPr>
              <w:t>iii</w:t>
            </w:r>
            <w:proofErr w:type="spellEnd"/>
            <w:r>
              <w:rPr>
                <w:rFonts w:ascii="ITC Avant Garde" w:eastAsia="Times New Roman" w:hAnsi="ITC Avant Garde" w:cstheme="minorHAnsi"/>
                <w:bCs/>
                <w:sz w:val="16"/>
                <w:szCs w:val="16"/>
                <w:lang w:eastAsia="es-MX"/>
              </w:rPr>
              <w:t xml:space="preserve">) disposiciones o arreglos de frecuencias para ciertas bandas, </w:t>
            </w:r>
            <w:proofErr w:type="spellStart"/>
            <w:r>
              <w:rPr>
                <w:rFonts w:ascii="ITC Avant Garde" w:eastAsia="Times New Roman" w:hAnsi="ITC Avant Garde" w:cstheme="minorHAnsi"/>
                <w:bCs/>
                <w:sz w:val="16"/>
                <w:szCs w:val="16"/>
                <w:lang w:eastAsia="es-MX"/>
              </w:rPr>
              <w:t>iv</w:t>
            </w:r>
            <w:proofErr w:type="spellEnd"/>
            <w:r>
              <w:rPr>
                <w:rFonts w:ascii="ITC Avant Garde" w:eastAsia="Times New Roman" w:hAnsi="ITC Avant Garde" w:cstheme="minorHAnsi"/>
                <w:bCs/>
                <w:sz w:val="16"/>
                <w:szCs w:val="16"/>
                <w:lang w:eastAsia="es-MX"/>
              </w:rPr>
              <w:t xml:space="preserve">) instrumentos bilaterales para el uso del espectro en zonas fronterizas, v) referencias a disposiciones técnicas aplicables al uso de la banda de frecuencias, vi) las acciones de planificación proyectadas para una determinada banda de frecuencias en el corto, mediano y largo plazo y vi) aplicaciones inalámbricas </w:t>
            </w:r>
            <w:r>
              <w:rPr>
                <w:rFonts w:ascii="ITC Avant Garde" w:eastAsia="Times New Roman" w:hAnsi="ITC Avant Garde" w:cstheme="minorHAnsi"/>
                <w:bCs/>
                <w:sz w:val="16"/>
                <w:szCs w:val="16"/>
                <w:lang w:eastAsia="es-MX"/>
              </w:rPr>
              <w:lastRenderedPageBreak/>
              <w:t>asociadas con los servicios de radiocomunicaciones, de conformidad con el marco normativo nacional e internacional aplicable</w:t>
            </w:r>
            <w:r w:rsidRPr="00096E73">
              <w:rPr>
                <w:rFonts w:ascii="ITC Avant Garde" w:eastAsia="Times New Roman" w:hAnsi="ITC Avant Garde" w:cstheme="minorHAnsi"/>
                <w:bCs/>
                <w:sz w:val="16"/>
                <w:szCs w:val="16"/>
                <w:lang w:eastAsia="es-MX"/>
              </w:rPr>
              <w:t>.</w:t>
            </w:r>
          </w:p>
        </w:tc>
      </w:tr>
      <w:tr w:rsidR="00FD134A" w:rsidRPr="00DA18BF" w14:paraId="0E45E6AE" w14:textId="77777777" w:rsidTr="00724CB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72F40D3E" w14:textId="77777777" w:rsidR="00FD134A" w:rsidRPr="00DA18BF" w:rsidRDefault="00FD134A" w:rsidP="0028154E">
            <w:pPr>
              <w:jc w:val="center"/>
              <w:rPr>
                <w:rFonts w:ascii="ITC Avant Garde" w:eastAsia="Times New Roman" w:hAnsi="ITC Avant Garde" w:cstheme="minorHAnsi"/>
                <w:sz w:val="16"/>
                <w:szCs w:val="16"/>
                <w:lang w:eastAsia="es-MX"/>
              </w:rPr>
            </w:pPr>
            <w:r w:rsidRPr="00DA18BF">
              <w:rPr>
                <w:rFonts w:ascii="ITC Avant Garde" w:hAnsi="ITC Avant Garde"/>
                <w:b w:val="0"/>
                <w:bCs w:val="0"/>
                <w:sz w:val="16"/>
                <w:szCs w:val="16"/>
              </w:rPr>
              <w:t>Tabla de Atribuciones</w:t>
            </w:r>
          </w:p>
        </w:tc>
        <w:tc>
          <w:tcPr>
            <w:tcW w:w="2964" w:type="pct"/>
            <w:tcBorders>
              <w:right w:val="single" w:sz="4" w:space="0" w:color="A8D08D" w:themeColor="accent6" w:themeTint="99"/>
            </w:tcBorders>
            <w:shd w:val="clear" w:color="auto" w:fill="auto"/>
            <w:vAlign w:val="center"/>
          </w:tcPr>
          <w:p w14:paraId="49685F7E"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6"/>
                <w:szCs w:val="16"/>
                <w:lang w:eastAsia="es-MX"/>
              </w:rPr>
            </w:pPr>
            <w:r w:rsidRPr="00DA18BF">
              <w:rPr>
                <w:rFonts w:ascii="ITC Avant Garde" w:eastAsia="Times New Roman" w:hAnsi="ITC Avant Garde" w:cstheme="minorHAnsi"/>
                <w:b/>
                <w:bCs/>
                <w:sz w:val="16"/>
                <w:szCs w:val="16"/>
                <w:lang w:eastAsia="es-MX"/>
              </w:rPr>
              <w:t>74-76 GHz</w:t>
            </w:r>
          </w:p>
          <w:p w14:paraId="7DE8AABD"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6"/>
                <w:szCs w:val="16"/>
                <w:lang w:eastAsia="es-MX"/>
              </w:rPr>
            </w:pPr>
            <w:r w:rsidRPr="00DA18BF">
              <w:rPr>
                <w:rFonts w:ascii="ITC Avant Garde" w:eastAsia="Times New Roman" w:hAnsi="ITC Avant Garde" w:cstheme="minorHAnsi"/>
                <w:b/>
                <w:bCs/>
                <w:sz w:val="16"/>
                <w:szCs w:val="16"/>
                <w:lang w:eastAsia="es-MX"/>
              </w:rPr>
              <w:t>FIJO POR SATÉLITE espacio-Tierra</w:t>
            </w:r>
          </w:p>
          <w:p w14:paraId="137AC960"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6"/>
                <w:szCs w:val="16"/>
                <w:lang w:eastAsia="es-MX"/>
              </w:rPr>
            </w:pPr>
          </w:p>
          <w:p w14:paraId="1EFFF887"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SpaceX agradece al IFT su propuesta de proceder a la revisión específica del Cuadro Nacional de Atribución de Frecuencias (CNAF), particularmente en la banda de frecuencias 74 - 76 GHz que en el actual CNAF es inconsistente con la normatividad internacional, específicamente con el Reglamento de Radiocomunicaciones de la Unión Internacional de Telecomunicaciones. Coincidimos con el resultado del Análisis de No Impacto Regulatorio del IFT, que considera oportunos y necesarios los ajustes editoriales actuales. Mientras que en el Reglamento de Radiocomunicaciones de la UIT el rango de frecuencias se asigna al Servicio Fijo por Satélite (SFS) en el sentido espacio-Tierra, en el actual CNAF, sometido a comentarios en esta Consulta Pública, la banda se encuentra asignada al SFS en el sentido Tierra-espacio en claro contraste con la asignación de este rango específico en las regiones 1, 2 y 3 de la UIT.</w:t>
            </w:r>
          </w:p>
          <w:p w14:paraId="363FE2AA"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17AD0334" w14:textId="3FB792C0" w:rsidR="00FD134A" w:rsidRPr="00DA18BF" w:rsidRDefault="00724CB7" w:rsidP="0028154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 xml:space="preserve">SpaceX está actualmente lanzando y desplegando su próxima iteración de su servicio comercial por satélite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Esta próxima generación proporcionará a empresas, administraciones públicas y clientes residenciales velocidades aún mayores. En concreto, las estaciones terrenas de esta próxima generación de despliegue operarán utilizando frecuencias de 71-76 GHz y 81-86 GHz (la "banda E" o "bandas 70/80 GHz") para las comunicaciones de los Gateway, además de las frecuencias Ka. Estas frecuencias permitirán aumentar la capacidad y la velocidad de la red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w:t>
            </w:r>
          </w:p>
        </w:tc>
        <w:tc>
          <w:tcPr>
            <w:tcW w:w="1316" w:type="pct"/>
            <w:gridSpan w:val="2"/>
            <w:vMerge/>
            <w:tcBorders>
              <w:left w:val="single" w:sz="4" w:space="0" w:color="A8D08D" w:themeColor="accent6" w:themeTint="99"/>
            </w:tcBorders>
            <w:shd w:val="clear" w:color="auto" w:fill="auto"/>
            <w:vAlign w:val="center"/>
          </w:tcPr>
          <w:p w14:paraId="6360A925" w14:textId="77777777" w:rsidR="00FD134A" w:rsidRPr="00DA18BF" w:rsidRDefault="00FD134A" w:rsidP="0028154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6"/>
                <w:szCs w:val="16"/>
                <w:lang w:eastAsia="es-MX"/>
              </w:rPr>
            </w:pPr>
          </w:p>
        </w:tc>
      </w:tr>
      <w:tr w:rsidR="00FD134A" w:rsidRPr="00DA18BF" w14:paraId="58D04454" w14:textId="77777777" w:rsidTr="00724CB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2AAF6CD1" w14:textId="77777777" w:rsidR="00FD134A" w:rsidRPr="00DA18BF" w:rsidRDefault="00FD134A" w:rsidP="0028154E">
            <w:pPr>
              <w:jc w:val="center"/>
              <w:rPr>
                <w:rFonts w:ascii="ITC Avant Garde" w:eastAsia="Times New Roman" w:hAnsi="ITC Avant Garde" w:cstheme="minorHAnsi"/>
                <w:sz w:val="16"/>
                <w:szCs w:val="16"/>
                <w:lang w:eastAsia="es-MX"/>
              </w:rPr>
            </w:pPr>
            <w:r w:rsidRPr="00DA18BF">
              <w:rPr>
                <w:rFonts w:ascii="ITC Avant Garde" w:hAnsi="ITC Avant Garde"/>
                <w:b w:val="0"/>
                <w:bCs w:val="0"/>
                <w:sz w:val="16"/>
                <w:szCs w:val="16"/>
              </w:rPr>
              <w:t>Notas Nacionales</w:t>
            </w:r>
          </w:p>
        </w:tc>
        <w:tc>
          <w:tcPr>
            <w:tcW w:w="2964" w:type="pct"/>
            <w:tcBorders>
              <w:right w:val="single" w:sz="4" w:space="0" w:color="A8D08D" w:themeColor="accent6" w:themeTint="99"/>
            </w:tcBorders>
            <w:shd w:val="clear" w:color="auto" w:fill="auto"/>
            <w:vAlign w:val="center"/>
          </w:tcPr>
          <w:p w14:paraId="26EE4BF8" w14:textId="0085B3B5" w:rsidR="00FD134A" w:rsidRPr="00DA18BF" w:rsidRDefault="00724CB7" w:rsidP="0028154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w:t>
            </w:r>
          </w:p>
        </w:tc>
        <w:tc>
          <w:tcPr>
            <w:tcW w:w="1316" w:type="pct"/>
            <w:gridSpan w:val="2"/>
            <w:vMerge/>
            <w:tcBorders>
              <w:left w:val="single" w:sz="4" w:space="0" w:color="A8D08D" w:themeColor="accent6" w:themeTint="99"/>
            </w:tcBorders>
            <w:shd w:val="clear" w:color="auto" w:fill="auto"/>
            <w:vAlign w:val="center"/>
          </w:tcPr>
          <w:p w14:paraId="1EE52BDB" w14:textId="77777777" w:rsidR="00FD134A" w:rsidRPr="00DA18BF" w:rsidRDefault="00FD134A" w:rsidP="0028154E">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tc>
      </w:tr>
      <w:tr w:rsidR="00FD134A" w:rsidRPr="00DA18BF" w14:paraId="672BF128" w14:textId="77777777" w:rsidTr="00724CB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48DA2734" w14:textId="77777777" w:rsidR="00FD134A" w:rsidRPr="00DA18BF" w:rsidRDefault="00FD134A" w:rsidP="0028154E">
            <w:pPr>
              <w:jc w:val="center"/>
              <w:rPr>
                <w:rFonts w:ascii="ITC Avant Garde" w:eastAsia="Times New Roman" w:hAnsi="ITC Avant Garde" w:cstheme="minorHAnsi"/>
                <w:sz w:val="16"/>
                <w:szCs w:val="16"/>
                <w:lang w:eastAsia="es-MX"/>
              </w:rPr>
            </w:pPr>
            <w:r w:rsidRPr="00DA18BF">
              <w:rPr>
                <w:rFonts w:ascii="ITC Avant Garde" w:hAnsi="ITC Avant Garde"/>
                <w:b w:val="0"/>
                <w:bCs w:val="0"/>
                <w:sz w:val="16"/>
                <w:szCs w:val="16"/>
              </w:rPr>
              <w:t>Observaciones generales</w:t>
            </w:r>
          </w:p>
        </w:tc>
        <w:tc>
          <w:tcPr>
            <w:tcW w:w="2964" w:type="pct"/>
            <w:tcBorders>
              <w:right w:val="single" w:sz="4" w:space="0" w:color="A8D08D" w:themeColor="accent6" w:themeTint="99"/>
            </w:tcBorders>
            <w:shd w:val="clear" w:color="auto" w:fill="auto"/>
            <w:vAlign w:val="center"/>
          </w:tcPr>
          <w:p w14:paraId="7923B68A" w14:textId="77777777" w:rsidR="00724CB7" w:rsidRPr="00DA18BF" w:rsidRDefault="00724CB7"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 xml:space="preserve">SpaceX y su subsidiaria local,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w:t>
            </w:r>
            <w:proofErr w:type="spellStart"/>
            <w:r w:rsidRPr="00DA18BF">
              <w:rPr>
                <w:rFonts w:ascii="ITC Avant Garde" w:eastAsia="Times New Roman" w:hAnsi="ITC Avant Garde" w:cstheme="minorHAnsi"/>
                <w:sz w:val="16"/>
                <w:szCs w:val="16"/>
                <w:lang w:eastAsia="es-MX"/>
              </w:rPr>
              <w:t>Satellite</w:t>
            </w:r>
            <w:proofErr w:type="spellEnd"/>
            <w:r w:rsidRPr="00DA18BF">
              <w:rPr>
                <w:rFonts w:ascii="ITC Avant Garde" w:eastAsia="Times New Roman" w:hAnsi="ITC Avant Garde" w:cstheme="minorHAnsi"/>
                <w:sz w:val="16"/>
                <w:szCs w:val="16"/>
                <w:lang w:eastAsia="es-MX"/>
              </w:rPr>
              <w:t xml:space="preserve"> </w:t>
            </w:r>
            <w:proofErr w:type="spellStart"/>
            <w:r w:rsidRPr="00DA18BF">
              <w:rPr>
                <w:rFonts w:ascii="ITC Avant Garde" w:eastAsia="Times New Roman" w:hAnsi="ITC Avant Garde" w:cstheme="minorHAnsi"/>
                <w:sz w:val="16"/>
                <w:szCs w:val="16"/>
                <w:lang w:eastAsia="es-MX"/>
              </w:rPr>
              <w:t>System</w:t>
            </w:r>
            <w:proofErr w:type="spellEnd"/>
            <w:r w:rsidRPr="00DA18BF">
              <w:rPr>
                <w:rFonts w:ascii="ITC Avant Garde" w:eastAsia="Times New Roman" w:hAnsi="ITC Avant Garde" w:cstheme="minorHAnsi"/>
                <w:sz w:val="16"/>
                <w:szCs w:val="16"/>
                <w:lang w:eastAsia="es-MX"/>
              </w:rPr>
              <w:t xml:space="preserve"> México, S. de R.L. de C.V, agradecen al IFT la oportunidad de presentar comentarios a la Consulta Pública sobre el Anteproyecto de Acuerdo por el que se modifica el Cuadro Nacional de Atribución de Frecuencias (CNAF).</w:t>
            </w:r>
          </w:p>
          <w:p w14:paraId="3C18BF67" w14:textId="77777777" w:rsidR="00724CB7" w:rsidRPr="00DA18BF" w:rsidRDefault="00724CB7"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1FC237F5"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Visión General de SpaceX</w:t>
            </w:r>
          </w:p>
          <w:p w14:paraId="7B35EEB3"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027A07C6"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 xml:space="preserve">SpaceX es una empresa privada que está revolucionando las tecnologías espaciales, con el objetivo último de convertir a la humanidad en una especie </w:t>
            </w:r>
            <w:proofErr w:type="spellStart"/>
            <w:r w:rsidRPr="00DA18BF">
              <w:rPr>
                <w:rFonts w:ascii="ITC Avant Garde" w:eastAsia="Times New Roman" w:hAnsi="ITC Avant Garde" w:cstheme="minorHAnsi"/>
                <w:sz w:val="16"/>
                <w:szCs w:val="16"/>
                <w:lang w:eastAsia="es-MX"/>
              </w:rPr>
              <w:t>multiplanetaria</w:t>
            </w:r>
            <w:proofErr w:type="spellEnd"/>
            <w:r w:rsidRPr="00DA18BF">
              <w:rPr>
                <w:rFonts w:ascii="ITC Avant Garde" w:eastAsia="Times New Roman" w:hAnsi="ITC Avant Garde" w:cstheme="minorHAnsi"/>
                <w:sz w:val="16"/>
                <w:szCs w:val="16"/>
                <w:lang w:eastAsia="es-MX"/>
              </w:rPr>
              <w:t xml:space="preserve">. Como primer proveedor mundial de servicios de lanzamiento y el único proveedor con un cohete reutilizable de clase orbital - SpaceX cuenta con una amplia experiencia en operaciones de naves espaciales y en órbita, y ya ha desplegado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la red de banda ancha de alta velocidad y baja latencia más avanzada del mundo en el espacio.</w:t>
            </w:r>
          </w:p>
          <w:p w14:paraId="04001BB2"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52C2CE43"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roofErr w:type="spellStart"/>
            <w:r w:rsidRPr="00DA18BF">
              <w:rPr>
                <w:rFonts w:ascii="ITC Avant Garde" w:eastAsia="Times New Roman" w:hAnsi="ITC Avant Garde" w:cstheme="minorHAnsi"/>
                <w:sz w:val="16"/>
                <w:szCs w:val="16"/>
                <w:lang w:eastAsia="es-MX"/>
              </w:rPr>
              <w:lastRenderedPageBreak/>
              <w:t>Starlink</w:t>
            </w:r>
            <w:proofErr w:type="spellEnd"/>
            <w:r w:rsidRPr="00DA18BF">
              <w:rPr>
                <w:rFonts w:ascii="ITC Avant Garde" w:eastAsia="Times New Roman" w:hAnsi="ITC Avant Garde" w:cstheme="minorHAnsi"/>
                <w:sz w:val="16"/>
                <w:szCs w:val="16"/>
                <w:lang w:eastAsia="es-MX"/>
              </w:rPr>
              <w:t xml:space="preserve"> es la primera constelación de satélites en órbita baja terrestre del mundo que aprovecha las comunicaciones tierra-satélite y satélite-satélite a través de enlaces ópticos </w:t>
            </w:r>
            <w:proofErr w:type="spellStart"/>
            <w:r w:rsidRPr="00DA18BF">
              <w:rPr>
                <w:rFonts w:ascii="ITC Avant Garde" w:eastAsia="Times New Roman" w:hAnsi="ITC Avant Garde" w:cstheme="minorHAnsi"/>
                <w:sz w:val="16"/>
                <w:szCs w:val="16"/>
                <w:lang w:eastAsia="es-MX"/>
              </w:rPr>
              <w:t>intersatélite</w:t>
            </w:r>
            <w:proofErr w:type="spellEnd"/>
            <w:r w:rsidRPr="00DA18BF">
              <w:rPr>
                <w:rFonts w:ascii="ITC Avant Garde" w:eastAsia="Times New Roman" w:hAnsi="ITC Avant Garde" w:cstheme="minorHAnsi"/>
                <w:sz w:val="16"/>
                <w:szCs w:val="16"/>
                <w:lang w:eastAsia="es-MX"/>
              </w:rPr>
              <w:t xml:space="preserve"> para proporcionar una cobertura verdaderamente global en cualquier lugar de la Tierra.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permite ahora conectividad global para casos de uso cotidiano, como trabajo remoto, </w:t>
            </w:r>
            <w:proofErr w:type="spellStart"/>
            <w:r w:rsidRPr="00DA18BF">
              <w:rPr>
                <w:rFonts w:ascii="ITC Avant Garde" w:eastAsia="Times New Roman" w:hAnsi="ITC Avant Garde" w:cstheme="minorHAnsi"/>
                <w:sz w:val="16"/>
                <w:szCs w:val="16"/>
                <w:lang w:eastAsia="es-MX"/>
              </w:rPr>
              <w:t>streaming</w:t>
            </w:r>
            <w:proofErr w:type="spellEnd"/>
            <w:r w:rsidRPr="00DA18BF">
              <w:rPr>
                <w:rFonts w:ascii="ITC Avant Garde" w:eastAsia="Times New Roman" w:hAnsi="ITC Avant Garde" w:cstheme="minorHAnsi"/>
                <w:sz w:val="16"/>
                <w:szCs w:val="16"/>
                <w:lang w:eastAsia="es-MX"/>
              </w:rPr>
              <w:t xml:space="preserve">, aprendizaje a distancia y videollamadas, así como respuesta a emergencias, agricultura o aplicaciones empresariales. No importa si el usuario está en casa o en la escuela, o si se desplaza a cientos de kilómetros por hora en el mar o en avión,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proporciona conectividad similar a la fibra en cualquier momento y lugar, ayudando a eliminar la brecha digital y proporcionando conectividad crítica cuando las comunidades se ven afectadas por crisis. La tecnología por satélite permite la prestación de servicios fijos y móviles y puede funcionar como un servicio independiente o como parte de una infraestructura de alta capacidad para la prestación de servicios a través de otras tecnologías, incluidas las redes terrestres fijas y móviles.</w:t>
            </w:r>
          </w:p>
          <w:p w14:paraId="57ED00E1"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4AB0DF95"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 xml:space="preserve">En México y en todo el mundo, la demanda de los consumidores de servicios de Internet por satélite ha crecido rápidamente. En el caso de los servicios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ya existen más de 3.2 millones de suscriptores de banda ancha alrededor del mundo. Particularmente en México, en tan sólo 3 años de comercializar el servicio,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ya atiende a más de 150 mil usuarios en el país.</w:t>
            </w:r>
          </w:p>
          <w:p w14:paraId="4AA22655"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5F6B1157"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6"/>
                <w:szCs w:val="16"/>
                <w:lang w:eastAsia="es-MX"/>
              </w:rPr>
            </w:pPr>
            <w:r w:rsidRPr="00DA18BF">
              <w:rPr>
                <w:rFonts w:ascii="ITC Avant Garde" w:eastAsia="Times New Roman" w:hAnsi="ITC Avant Garde" w:cstheme="minorHAnsi"/>
                <w:b/>
                <w:bCs/>
                <w:sz w:val="16"/>
                <w:szCs w:val="16"/>
                <w:lang w:eastAsia="es-MX"/>
              </w:rPr>
              <w:t>Posibles nuevas actualizaciones en el CNAF (800, 900, 1800, 2100 y 2600 MHz)</w:t>
            </w:r>
          </w:p>
          <w:p w14:paraId="74D1292C"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3ED3E87E"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 xml:space="preserve">Más allá de su servicio de banda ancha por satélite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en agosto de 2022, SpaceX anunció su primera asociación Direct </w:t>
            </w:r>
            <w:proofErr w:type="spellStart"/>
            <w:r w:rsidRPr="00DA18BF">
              <w:rPr>
                <w:rFonts w:ascii="ITC Avant Garde" w:eastAsia="Times New Roman" w:hAnsi="ITC Avant Garde" w:cstheme="minorHAnsi"/>
                <w:sz w:val="16"/>
                <w:szCs w:val="16"/>
                <w:lang w:eastAsia="es-MX"/>
              </w:rPr>
              <w:t>to</w:t>
            </w:r>
            <w:proofErr w:type="spellEnd"/>
            <w:r w:rsidRPr="00DA18BF">
              <w:rPr>
                <w:rFonts w:ascii="ITC Avant Garde" w:eastAsia="Times New Roman" w:hAnsi="ITC Avant Garde" w:cstheme="minorHAnsi"/>
                <w:sz w:val="16"/>
                <w:szCs w:val="16"/>
                <w:lang w:eastAsia="es-MX"/>
              </w:rPr>
              <w:t xml:space="preserve"> Cell, señalando una nueva era en la conectividad por satélite que permite a los satélites conectarse directamente a los teléfonos móviles no modificados de los operadores móviles asociados.</w:t>
            </w:r>
          </w:p>
          <w:p w14:paraId="0B5B4119"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34D41982"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Direct </w:t>
            </w:r>
            <w:proofErr w:type="spellStart"/>
            <w:r w:rsidRPr="00DA18BF">
              <w:rPr>
                <w:rFonts w:ascii="ITC Avant Garde" w:eastAsia="Times New Roman" w:hAnsi="ITC Avant Garde" w:cstheme="minorHAnsi"/>
                <w:sz w:val="16"/>
                <w:szCs w:val="16"/>
                <w:lang w:eastAsia="es-MX"/>
              </w:rPr>
              <w:t>to</w:t>
            </w:r>
            <w:proofErr w:type="spellEnd"/>
            <w:r w:rsidRPr="00DA18BF">
              <w:rPr>
                <w:rFonts w:ascii="ITC Avant Garde" w:eastAsia="Times New Roman" w:hAnsi="ITC Avant Garde" w:cstheme="minorHAnsi"/>
                <w:sz w:val="16"/>
                <w:szCs w:val="16"/>
                <w:lang w:eastAsia="es-MX"/>
              </w:rPr>
              <w:t xml:space="preserve"> Cell proporcionará conectividad a los usuarios de redes terrestres asociadas en zonas o momentos en los que, de otro modo, no sería posible la conexión terrestre. SpaceX ha invertido millones de dólares en diseñar su sistema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Direct </w:t>
            </w:r>
            <w:proofErr w:type="spellStart"/>
            <w:r w:rsidRPr="00DA18BF">
              <w:rPr>
                <w:rFonts w:ascii="ITC Avant Garde" w:eastAsia="Times New Roman" w:hAnsi="ITC Avant Garde" w:cstheme="minorHAnsi"/>
                <w:sz w:val="16"/>
                <w:szCs w:val="16"/>
                <w:lang w:eastAsia="es-MX"/>
              </w:rPr>
              <w:t>to</w:t>
            </w:r>
            <w:proofErr w:type="spellEnd"/>
            <w:r w:rsidRPr="00DA18BF">
              <w:rPr>
                <w:rFonts w:ascii="ITC Avant Garde" w:eastAsia="Times New Roman" w:hAnsi="ITC Avant Garde" w:cstheme="minorHAnsi"/>
                <w:sz w:val="16"/>
                <w:szCs w:val="16"/>
                <w:lang w:eastAsia="es-MX"/>
              </w:rPr>
              <w:t xml:space="preserve"> Cell con capacidad para operar en una amplia gama de bandas del espectro radioeléctrico utilizando teléfonos móviles disponibles en el mercado que funcionan con el estándar LTE.</w:t>
            </w:r>
          </w:p>
          <w:p w14:paraId="7891750E"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21417916"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 xml:space="preserve">Desde ese anuncio inicial, SpaceX ha recibido un enorme interés de socios de telefonía móvil de todo el mundo que pueden y quieren aprovechar su espectro autorizado para habilitar capacidades de satélite directo a los teléfonos móviles. El 2 de enero de 2024, SpaceX lanzó sus primeros satélites con capacidad Direct </w:t>
            </w:r>
            <w:proofErr w:type="spellStart"/>
            <w:r w:rsidRPr="00DA18BF">
              <w:rPr>
                <w:rFonts w:ascii="ITC Avant Garde" w:eastAsia="Times New Roman" w:hAnsi="ITC Avant Garde" w:cstheme="minorHAnsi"/>
                <w:sz w:val="16"/>
                <w:szCs w:val="16"/>
                <w:lang w:eastAsia="es-MX"/>
              </w:rPr>
              <w:t>to</w:t>
            </w:r>
            <w:proofErr w:type="spellEnd"/>
            <w:r w:rsidRPr="00DA18BF">
              <w:rPr>
                <w:rFonts w:ascii="ITC Avant Garde" w:eastAsia="Times New Roman" w:hAnsi="ITC Avant Garde" w:cstheme="minorHAnsi"/>
                <w:sz w:val="16"/>
                <w:szCs w:val="16"/>
                <w:lang w:eastAsia="es-MX"/>
              </w:rPr>
              <w:t xml:space="preserve"> Cell a bordo de un cohete Falcon 9. Sólo seis días después, SpaceX envió y recibió con éxito los primeros mensajes SMS utilizando los satélites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SpaceX tiene previsto seguir lanzando satélites Direct </w:t>
            </w:r>
            <w:proofErr w:type="spellStart"/>
            <w:r w:rsidRPr="00DA18BF">
              <w:rPr>
                <w:rFonts w:ascii="ITC Avant Garde" w:eastAsia="Times New Roman" w:hAnsi="ITC Avant Garde" w:cstheme="minorHAnsi"/>
                <w:sz w:val="16"/>
                <w:szCs w:val="16"/>
                <w:lang w:eastAsia="es-MX"/>
              </w:rPr>
              <w:t>to</w:t>
            </w:r>
            <w:proofErr w:type="spellEnd"/>
            <w:r w:rsidRPr="00DA18BF">
              <w:rPr>
                <w:rFonts w:ascii="ITC Avant Garde" w:eastAsia="Times New Roman" w:hAnsi="ITC Avant Garde" w:cstheme="minorHAnsi"/>
                <w:sz w:val="16"/>
                <w:szCs w:val="16"/>
                <w:lang w:eastAsia="es-MX"/>
              </w:rPr>
              <w:t xml:space="preserve"> Cell a lo largo de 2024 y poner en marcha sus servicios comerciales de mensajería a finales de este año, con servicios de voz y datos en línea en 2025. SpaceX y su </w:t>
            </w:r>
            <w:proofErr w:type="gramStart"/>
            <w:r w:rsidRPr="00DA18BF">
              <w:rPr>
                <w:rFonts w:ascii="ITC Avant Garde" w:eastAsia="Times New Roman" w:hAnsi="ITC Avant Garde" w:cstheme="minorHAnsi"/>
                <w:sz w:val="16"/>
                <w:szCs w:val="16"/>
                <w:lang w:eastAsia="es-MX"/>
              </w:rPr>
              <w:t>creciente lista</w:t>
            </w:r>
            <w:proofErr w:type="gramEnd"/>
            <w:r w:rsidRPr="00DA18BF">
              <w:rPr>
                <w:rFonts w:ascii="ITC Avant Garde" w:eastAsia="Times New Roman" w:hAnsi="ITC Avant Garde" w:cstheme="minorHAnsi"/>
                <w:sz w:val="16"/>
                <w:szCs w:val="16"/>
                <w:lang w:eastAsia="es-MX"/>
              </w:rPr>
              <w:t xml:space="preserve"> de socios están en la cúspide de la prestación de esta capacidad directa al dispositivo verdaderamente innovadora con el potencial de beneficiar a millones de personas en todo el país y en todo el mundo. Nuestro modelo de asociación aprovechará las capacidades satelitales de SpaceX y las licencias de espectro del operador terrestre para ofrecer un servicio innovador y potencialmente salvavidas.</w:t>
            </w:r>
          </w:p>
          <w:p w14:paraId="0B73DB06"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4DD5A3FF"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 xml:space="preserve">En este sentido, SpaceX insta al IFT a considerar un marco flexible de concesión de licencias de espectro en las bandas LTE que pueda permitir el despliegue de tecnologías innovadoras, como el servicio Direct </w:t>
            </w:r>
            <w:proofErr w:type="spellStart"/>
            <w:r w:rsidRPr="00DA18BF">
              <w:rPr>
                <w:rFonts w:ascii="ITC Avant Garde" w:eastAsia="Times New Roman" w:hAnsi="ITC Avant Garde" w:cstheme="minorHAnsi"/>
                <w:sz w:val="16"/>
                <w:szCs w:val="16"/>
                <w:lang w:eastAsia="es-MX"/>
              </w:rPr>
              <w:t>to</w:t>
            </w:r>
            <w:proofErr w:type="spellEnd"/>
            <w:r w:rsidRPr="00DA18BF">
              <w:rPr>
                <w:rFonts w:ascii="ITC Avant Garde" w:eastAsia="Times New Roman" w:hAnsi="ITC Avant Garde" w:cstheme="minorHAnsi"/>
                <w:sz w:val="16"/>
                <w:szCs w:val="16"/>
                <w:lang w:eastAsia="es-MX"/>
              </w:rPr>
              <w:t xml:space="preserve"> Cell de </w:t>
            </w:r>
            <w:proofErr w:type="spellStart"/>
            <w:r w:rsidRPr="00DA18BF">
              <w:rPr>
                <w:rFonts w:ascii="ITC Avant Garde" w:eastAsia="Times New Roman" w:hAnsi="ITC Avant Garde" w:cstheme="minorHAnsi"/>
                <w:sz w:val="16"/>
                <w:szCs w:val="16"/>
                <w:lang w:eastAsia="es-MX"/>
              </w:rPr>
              <w:t>Starlink</w:t>
            </w:r>
            <w:proofErr w:type="spellEnd"/>
            <w:r w:rsidRPr="00DA18BF">
              <w:rPr>
                <w:rFonts w:ascii="ITC Avant Garde" w:eastAsia="Times New Roman" w:hAnsi="ITC Avant Garde" w:cstheme="minorHAnsi"/>
                <w:sz w:val="16"/>
                <w:szCs w:val="16"/>
                <w:lang w:eastAsia="es-MX"/>
              </w:rPr>
              <w:t xml:space="preserve">. A modo de ejemplo, el regulador de telecomunicaciones de Brasil - ANATEL - además de aprobar un </w:t>
            </w:r>
            <w:proofErr w:type="spellStart"/>
            <w:r w:rsidRPr="00DA18BF">
              <w:rPr>
                <w:rFonts w:ascii="ITC Avant Garde" w:eastAsia="Times New Roman" w:hAnsi="ITC Avant Garde" w:cstheme="minorHAnsi"/>
                <w:sz w:val="16"/>
                <w:szCs w:val="16"/>
                <w:lang w:eastAsia="es-MX"/>
              </w:rPr>
              <w:t>sandbox</w:t>
            </w:r>
            <w:proofErr w:type="spellEnd"/>
            <w:r w:rsidRPr="00DA18BF">
              <w:rPr>
                <w:rFonts w:ascii="ITC Avant Garde" w:eastAsia="Times New Roman" w:hAnsi="ITC Avant Garde" w:cstheme="minorHAnsi"/>
                <w:sz w:val="16"/>
                <w:szCs w:val="16"/>
                <w:lang w:eastAsia="es-MX"/>
              </w:rPr>
              <w:t xml:space="preserve"> regulatorio comercial para facilitar el desarrollo de soluciones innovadoras que no entren dentro de los marcos actuales, ha propuesto la asignación de bandas actualmente identificadas a las Telecomunicaciones Móviles Internacionales - IMT para el Servicio Móvil por Satélite - SMS, permitiendo la comunicación directa vía satélite para teléfonos móviles no modificados. Dicho regulador considera que la atribución de bandas de frecuencias entre 450 MHz y 2.600 MHz para el SMS tiene un potencial significativo para ampliar la cobertura móvil, reducir la </w:t>
            </w:r>
            <w:r w:rsidRPr="00DA18BF">
              <w:rPr>
                <w:rFonts w:ascii="ITC Avant Garde" w:eastAsia="Times New Roman" w:hAnsi="ITC Avant Garde" w:cstheme="minorHAnsi"/>
                <w:sz w:val="16"/>
                <w:szCs w:val="16"/>
                <w:lang w:eastAsia="es-MX"/>
              </w:rPr>
              <w:lastRenderedPageBreak/>
              <w:t>brecha digital mediante la prestación de servicios de telecomunicaciones en zonas remotas y rurales, impulsar el desarrollo económico y capacitar a las personas en general mediante la ampliación de la conectividad.</w:t>
            </w:r>
          </w:p>
          <w:p w14:paraId="0253F9B0"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03796562"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Como cuestión general, SpaceX apoya firmemente los marcos de espectro que maximizan la flexibilidad futura en los despliegues tecnológicos, fomentan la coexistencia entre los satélites y otros usuarios, y facilitan acuerdos comerciales innovadores para ofrecer servicios a los consumidores.</w:t>
            </w:r>
          </w:p>
          <w:p w14:paraId="2A3AE85C" w14:textId="77777777" w:rsidR="00724CB7" w:rsidRPr="00DA18BF" w:rsidRDefault="00724CB7" w:rsidP="00724CB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741EC3D0" w14:textId="6333143A" w:rsidR="00FD134A" w:rsidRPr="00DA18BF" w:rsidRDefault="00724CB7" w:rsidP="0028154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DA18BF">
              <w:rPr>
                <w:rFonts w:ascii="ITC Avant Garde" w:eastAsia="Times New Roman" w:hAnsi="ITC Avant Garde" w:cstheme="minorHAnsi"/>
                <w:sz w:val="16"/>
                <w:szCs w:val="16"/>
                <w:lang w:eastAsia="es-MX"/>
              </w:rPr>
              <w:t>SpaceX agradece la oportunidad de proporcionar estos breves comentarios sobre la Consulta Pública del IFT sobre el Anteproyecto de Acuerdo de Modificación del Cuadro Nacional de Atribución de Frecuencias. SpaceX agradece la oportunidad de discutir más a fondo sus comentarios con el IFT.</w:t>
            </w:r>
          </w:p>
        </w:tc>
        <w:tc>
          <w:tcPr>
            <w:tcW w:w="1316" w:type="pct"/>
            <w:gridSpan w:val="2"/>
            <w:vMerge/>
            <w:tcBorders>
              <w:left w:val="single" w:sz="4" w:space="0" w:color="A8D08D" w:themeColor="accent6" w:themeTint="99"/>
            </w:tcBorders>
            <w:shd w:val="clear" w:color="auto" w:fill="auto"/>
            <w:vAlign w:val="center"/>
          </w:tcPr>
          <w:p w14:paraId="5B4AFF2B" w14:textId="77777777" w:rsidR="00FD134A" w:rsidRPr="00DA18BF" w:rsidRDefault="00FD134A" w:rsidP="0028154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6"/>
                <w:szCs w:val="16"/>
                <w:lang w:eastAsia="es-MX"/>
              </w:rPr>
            </w:pPr>
          </w:p>
        </w:tc>
      </w:tr>
    </w:tbl>
    <w:p w14:paraId="440A778E" w14:textId="77777777" w:rsidR="00724CB7" w:rsidRPr="003D0FB4" w:rsidRDefault="00724CB7" w:rsidP="00724CB7">
      <w:pPr>
        <w:spacing w:after="0" w:line="240" w:lineRule="auto"/>
        <w:rPr>
          <w:rFonts w:ascii="ITC Avant Garde" w:hAnsi="ITC Avant Garde"/>
          <w:color w:val="000000"/>
          <w:sz w:val="16"/>
          <w:szCs w:val="16"/>
          <w:shd w:val="clear" w:color="auto" w:fill="FFFFFF"/>
        </w:rPr>
      </w:pPr>
    </w:p>
    <w:p w14:paraId="609960D8" w14:textId="77777777" w:rsidR="00724CB7" w:rsidRDefault="00724CB7" w:rsidP="00724CB7">
      <w:pPr>
        <w:spacing w:after="0" w:line="240" w:lineRule="auto"/>
        <w:rPr>
          <w:rFonts w:ascii="ITC Avant Garde" w:hAnsi="ITC Avant Garde"/>
          <w:color w:val="000000"/>
          <w:sz w:val="14"/>
          <w:szCs w:val="14"/>
          <w:shd w:val="clear" w:color="auto" w:fill="FFFFFF"/>
        </w:rPr>
      </w:pPr>
    </w:p>
    <w:p w14:paraId="77252BA3" w14:textId="77777777" w:rsidR="00724CB7" w:rsidRDefault="00724CB7" w:rsidP="00724CB7">
      <w:pPr>
        <w:spacing w:after="0" w:line="240" w:lineRule="auto"/>
        <w:rPr>
          <w:rFonts w:ascii="ITC Avant Garde" w:hAnsi="ITC Avant Garde"/>
          <w:color w:val="000000"/>
          <w:sz w:val="14"/>
          <w:szCs w:val="14"/>
          <w:shd w:val="clear" w:color="auto" w:fill="FFFFFF"/>
        </w:rPr>
      </w:pPr>
    </w:p>
    <w:p w14:paraId="1A8E7DFB" w14:textId="77777777" w:rsidR="007D112C" w:rsidRDefault="007D112C" w:rsidP="00724CB7">
      <w:pPr>
        <w:spacing w:after="0" w:line="240" w:lineRule="auto"/>
        <w:rPr>
          <w:rFonts w:ascii="ITC Avant Garde" w:hAnsi="ITC Avant Garde"/>
          <w:color w:val="000000"/>
          <w:sz w:val="14"/>
          <w:szCs w:val="14"/>
          <w:shd w:val="clear" w:color="auto" w:fill="FFFFFF"/>
        </w:rPr>
      </w:pPr>
    </w:p>
    <w:p w14:paraId="4839233B" w14:textId="77777777" w:rsidR="007D112C" w:rsidRDefault="007D112C" w:rsidP="00724CB7">
      <w:pPr>
        <w:spacing w:after="0" w:line="240" w:lineRule="auto"/>
        <w:rPr>
          <w:rFonts w:ascii="ITC Avant Garde" w:hAnsi="ITC Avant Garde"/>
          <w:color w:val="000000"/>
          <w:sz w:val="14"/>
          <w:szCs w:val="14"/>
          <w:shd w:val="clear" w:color="auto" w:fill="FFFFFF"/>
        </w:rPr>
      </w:pPr>
    </w:p>
    <w:p w14:paraId="2D7BB9E0" w14:textId="77777777" w:rsidR="007D112C" w:rsidRDefault="007D112C" w:rsidP="00724CB7">
      <w:pPr>
        <w:spacing w:after="0" w:line="240" w:lineRule="auto"/>
        <w:rPr>
          <w:rFonts w:ascii="ITC Avant Garde" w:hAnsi="ITC Avant Garde"/>
          <w:color w:val="000000"/>
          <w:sz w:val="14"/>
          <w:szCs w:val="14"/>
          <w:shd w:val="clear" w:color="auto" w:fill="FFFFFF"/>
        </w:rPr>
      </w:pPr>
    </w:p>
    <w:p w14:paraId="71E3C2CA" w14:textId="77777777" w:rsidR="007D112C" w:rsidRDefault="007D112C" w:rsidP="00724CB7">
      <w:pPr>
        <w:spacing w:after="0" w:line="240" w:lineRule="auto"/>
        <w:rPr>
          <w:rFonts w:ascii="ITC Avant Garde" w:hAnsi="ITC Avant Garde"/>
          <w:color w:val="000000"/>
          <w:sz w:val="14"/>
          <w:szCs w:val="14"/>
          <w:shd w:val="clear" w:color="auto" w:fill="FFFFFF"/>
        </w:rPr>
      </w:pPr>
    </w:p>
    <w:p w14:paraId="3585B67B" w14:textId="77777777" w:rsidR="007D112C" w:rsidRDefault="007D112C" w:rsidP="00724CB7">
      <w:pPr>
        <w:spacing w:after="0" w:line="240" w:lineRule="auto"/>
        <w:rPr>
          <w:rFonts w:ascii="ITC Avant Garde" w:hAnsi="ITC Avant Garde"/>
          <w:color w:val="000000"/>
          <w:sz w:val="14"/>
          <w:szCs w:val="14"/>
          <w:shd w:val="clear" w:color="auto" w:fill="FFFFFF"/>
        </w:rPr>
      </w:pPr>
    </w:p>
    <w:p w14:paraId="22990811" w14:textId="77777777" w:rsidR="007D112C" w:rsidRDefault="007D112C" w:rsidP="00724CB7">
      <w:pPr>
        <w:spacing w:after="0" w:line="240" w:lineRule="auto"/>
        <w:rPr>
          <w:rFonts w:ascii="ITC Avant Garde" w:hAnsi="ITC Avant Garde"/>
          <w:color w:val="000000"/>
          <w:sz w:val="14"/>
          <w:szCs w:val="14"/>
          <w:shd w:val="clear" w:color="auto" w:fill="FFFFFF"/>
        </w:rPr>
      </w:pPr>
    </w:p>
    <w:p w14:paraId="5499AF7B" w14:textId="77777777" w:rsidR="007D112C" w:rsidRDefault="007D112C" w:rsidP="00724CB7">
      <w:pPr>
        <w:spacing w:after="0" w:line="240" w:lineRule="auto"/>
        <w:rPr>
          <w:rFonts w:ascii="ITC Avant Garde" w:hAnsi="ITC Avant Garde"/>
          <w:color w:val="000000"/>
          <w:sz w:val="14"/>
          <w:szCs w:val="14"/>
          <w:shd w:val="clear" w:color="auto" w:fill="FFFFFF"/>
        </w:rPr>
      </w:pPr>
    </w:p>
    <w:p w14:paraId="0D8A1B2D" w14:textId="77777777" w:rsidR="007D112C" w:rsidRDefault="007D112C" w:rsidP="00724CB7">
      <w:pPr>
        <w:spacing w:after="0" w:line="240" w:lineRule="auto"/>
        <w:rPr>
          <w:rFonts w:ascii="ITC Avant Garde" w:hAnsi="ITC Avant Garde"/>
          <w:color w:val="000000"/>
          <w:sz w:val="14"/>
          <w:szCs w:val="14"/>
          <w:shd w:val="clear" w:color="auto" w:fill="FFFFFF"/>
        </w:rPr>
      </w:pPr>
    </w:p>
    <w:p w14:paraId="0F5B1C19" w14:textId="77777777" w:rsidR="007D112C" w:rsidRDefault="007D112C" w:rsidP="00724CB7">
      <w:pPr>
        <w:spacing w:after="0" w:line="240" w:lineRule="auto"/>
        <w:rPr>
          <w:rFonts w:ascii="ITC Avant Garde" w:hAnsi="ITC Avant Garde"/>
          <w:color w:val="000000"/>
          <w:sz w:val="14"/>
          <w:szCs w:val="14"/>
          <w:shd w:val="clear" w:color="auto" w:fill="FFFFFF"/>
        </w:rPr>
      </w:pPr>
    </w:p>
    <w:p w14:paraId="15E0D546" w14:textId="77777777" w:rsidR="007D112C" w:rsidRDefault="007D112C" w:rsidP="00724CB7">
      <w:pPr>
        <w:spacing w:after="0" w:line="240" w:lineRule="auto"/>
        <w:rPr>
          <w:rFonts w:ascii="ITC Avant Garde" w:hAnsi="ITC Avant Garde"/>
          <w:color w:val="000000"/>
          <w:sz w:val="14"/>
          <w:szCs w:val="14"/>
          <w:shd w:val="clear" w:color="auto" w:fill="FFFFFF"/>
        </w:rPr>
      </w:pPr>
    </w:p>
    <w:p w14:paraId="797023DB" w14:textId="77777777" w:rsidR="007D112C" w:rsidRDefault="007D112C" w:rsidP="00724CB7">
      <w:pPr>
        <w:spacing w:after="0" w:line="240" w:lineRule="auto"/>
        <w:rPr>
          <w:rFonts w:ascii="ITC Avant Garde" w:hAnsi="ITC Avant Garde"/>
          <w:color w:val="000000"/>
          <w:sz w:val="14"/>
          <w:szCs w:val="14"/>
          <w:shd w:val="clear" w:color="auto" w:fill="FFFFFF"/>
        </w:rPr>
      </w:pPr>
    </w:p>
    <w:p w14:paraId="063C03A9" w14:textId="77777777" w:rsidR="007D112C" w:rsidRDefault="007D112C" w:rsidP="00724CB7">
      <w:pPr>
        <w:spacing w:after="0" w:line="240" w:lineRule="auto"/>
        <w:rPr>
          <w:rFonts w:ascii="ITC Avant Garde" w:hAnsi="ITC Avant Garde"/>
          <w:color w:val="000000"/>
          <w:sz w:val="14"/>
          <w:szCs w:val="14"/>
          <w:shd w:val="clear" w:color="auto" w:fill="FFFFFF"/>
        </w:rPr>
      </w:pPr>
    </w:p>
    <w:p w14:paraId="0F3A4E8A" w14:textId="77777777" w:rsidR="007D112C" w:rsidRDefault="007D112C" w:rsidP="00724CB7">
      <w:pPr>
        <w:spacing w:after="0" w:line="240" w:lineRule="auto"/>
        <w:rPr>
          <w:rFonts w:ascii="ITC Avant Garde" w:hAnsi="ITC Avant Garde"/>
          <w:color w:val="000000"/>
          <w:sz w:val="14"/>
          <w:szCs w:val="14"/>
          <w:shd w:val="clear" w:color="auto" w:fill="FFFFFF"/>
        </w:rPr>
      </w:pPr>
    </w:p>
    <w:p w14:paraId="18A8B902" w14:textId="77777777" w:rsidR="00724CB7" w:rsidRDefault="00724CB7" w:rsidP="00724CB7">
      <w:pPr>
        <w:spacing w:after="0" w:line="240" w:lineRule="auto"/>
        <w:rPr>
          <w:rFonts w:ascii="ITC Avant Garde" w:hAnsi="ITC Avant Garde"/>
          <w:color w:val="000000"/>
          <w:sz w:val="14"/>
          <w:szCs w:val="14"/>
          <w:shd w:val="clear" w:color="auto" w:fill="FFFFFF"/>
        </w:rPr>
      </w:pPr>
    </w:p>
    <w:p w14:paraId="5026C5B6" w14:textId="77777777" w:rsidR="00724CB7" w:rsidRDefault="00724CB7" w:rsidP="00724CB7">
      <w:pPr>
        <w:spacing w:after="0" w:line="240" w:lineRule="auto"/>
        <w:rPr>
          <w:rFonts w:ascii="ITC Avant Garde" w:hAnsi="ITC Avant Garde"/>
          <w:color w:val="000000"/>
          <w:sz w:val="14"/>
          <w:szCs w:val="14"/>
          <w:shd w:val="clear" w:color="auto" w:fill="FFFFFF"/>
        </w:rPr>
      </w:pPr>
    </w:p>
    <w:p w14:paraId="74D928D7" w14:textId="77777777" w:rsidR="00724CB7" w:rsidRDefault="00724CB7" w:rsidP="00724CB7">
      <w:pPr>
        <w:spacing w:after="0" w:line="240" w:lineRule="auto"/>
        <w:rPr>
          <w:rFonts w:ascii="ITC Avant Garde" w:hAnsi="ITC Avant Garde"/>
          <w:color w:val="000000"/>
          <w:sz w:val="14"/>
          <w:szCs w:val="14"/>
          <w:shd w:val="clear" w:color="auto" w:fill="FFFFFF"/>
        </w:rPr>
      </w:pPr>
    </w:p>
    <w:p w14:paraId="1685CEFD" w14:textId="77777777" w:rsidR="00724CB7" w:rsidRDefault="00724CB7" w:rsidP="00724CB7">
      <w:pPr>
        <w:spacing w:after="0" w:line="240" w:lineRule="auto"/>
        <w:rPr>
          <w:rFonts w:ascii="ITC Avant Garde" w:hAnsi="ITC Avant Garde"/>
          <w:color w:val="000000"/>
          <w:sz w:val="14"/>
          <w:szCs w:val="14"/>
          <w:shd w:val="clear" w:color="auto" w:fill="FFFFFF"/>
        </w:rPr>
      </w:pPr>
    </w:p>
    <w:p w14:paraId="2AFCC29C" w14:textId="77777777" w:rsidR="00724CB7" w:rsidRDefault="00724CB7" w:rsidP="00724CB7">
      <w:pPr>
        <w:spacing w:after="0" w:line="240" w:lineRule="auto"/>
        <w:rPr>
          <w:rFonts w:ascii="ITC Avant Garde" w:hAnsi="ITC Avant Garde"/>
          <w:color w:val="000000"/>
          <w:sz w:val="14"/>
          <w:szCs w:val="14"/>
          <w:shd w:val="clear" w:color="auto" w:fill="FFFFFF"/>
        </w:rPr>
      </w:pPr>
    </w:p>
    <w:p w14:paraId="7190F763" w14:textId="77777777" w:rsidR="00724CB7" w:rsidRDefault="00724CB7" w:rsidP="00724CB7">
      <w:pPr>
        <w:spacing w:after="0" w:line="240" w:lineRule="auto"/>
        <w:rPr>
          <w:rFonts w:ascii="ITC Avant Garde" w:hAnsi="ITC Avant Garde"/>
          <w:color w:val="000000"/>
          <w:sz w:val="14"/>
          <w:szCs w:val="14"/>
          <w:shd w:val="clear" w:color="auto" w:fill="FFFFFF"/>
        </w:rPr>
      </w:pPr>
    </w:p>
    <w:p w14:paraId="10ADC9F6" w14:textId="77777777" w:rsidR="00724CB7" w:rsidRDefault="00724CB7" w:rsidP="00724CB7">
      <w:pPr>
        <w:spacing w:after="0" w:line="240" w:lineRule="auto"/>
        <w:rPr>
          <w:rFonts w:ascii="ITC Avant Garde" w:hAnsi="ITC Avant Garde"/>
          <w:color w:val="000000"/>
          <w:sz w:val="14"/>
          <w:szCs w:val="14"/>
          <w:shd w:val="clear" w:color="auto" w:fill="FFFFFF"/>
        </w:rPr>
      </w:pPr>
    </w:p>
    <w:p w14:paraId="32D10360" w14:textId="77777777" w:rsidR="00724CB7" w:rsidRDefault="00724CB7" w:rsidP="00724CB7">
      <w:pPr>
        <w:spacing w:after="0" w:line="240" w:lineRule="auto"/>
        <w:rPr>
          <w:rFonts w:ascii="ITC Avant Garde" w:hAnsi="ITC Avant Garde"/>
          <w:color w:val="000000"/>
          <w:sz w:val="14"/>
          <w:szCs w:val="14"/>
          <w:shd w:val="clear" w:color="auto" w:fill="FFFFFF"/>
        </w:rPr>
      </w:pPr>
    </w:p>
    <w:p w14:paraId="72109C19" w14:textId="77777777" w:rsidR="00724CB7" w:rsidRDefault="00724CB7" w:rsidP="00724CB7">
      <w:pPr>
        <w:spacing w:after="0" w:line="240" w:lineRule="auto"/>
        <w:rPr>
          <w:rFonts w:ascii="ITC Avant Garde" w:hAnsi="ITC Avant Garde"/>
          <w:color w:val="000000"/>
          <w:sz w:val="14"/>
          <w:szCs w:val="14"/>
          <w:shd w:val="clear" w:color="auto" w:fill="FFFFFF"/>
        </w:rPr>
      </w:pPr>
    </w:p>
    <w:p w14:paraId="1FAFC472" w14:textId="77777777" w:rsidR="00724CB7" w:rsidRDefault="00724CB7" w:rsidP="00724CB7">
      <w:pPr>
        <w:spacing w:after="0" w:line="240" w:lineRule="auto"/>
        <w:rPr>
          <w:rFonts w:ascii="ITC Avant Garde" w:hAnsi="ITC Avant Garde"/>
          <w:color w:val="000000"/>
          <w:sz w:val="14"/>
          <w:szCs w:val="14"/>
          <w:shd w:val="clear" w:color="auto" w:fill="FFFFFF"/>
        </w:rPr>
      </w:pPr>
    </w:p>
    <w:p w14:paraId="43A1A5C4" w14:textId="77777777" w:rsidR="00724CB7" w:rsidRDefault="00724CB7" w:rsidP="00724CB7">
      <w:pPr>
        <w:spacing w:after="0" w:line="240" w:lineRule="auto"/>
        <w:rPr>
          <w:rFonts w:ascii="ITC Avant Garde" w:hAnsi="ITC Avant Garde"/>
          <w:color w:val="000000"/>
          <w:sz w:val="14"/>
          <w:szCs w:val="14"/>
          <w:shd w:val="clear" w:color="auto" w:fill="FFFFFF"/>
        </w:rPr>
      </w:pPr>
    </w:p>
    <w:p w14:paraId="4BBEA0D6" w14:textId="77777777" w:rsidR="00724CB7" w:rsidRDefault="00724CB7" w:rsidP="00724CB7">
      <w:pPr>
        <w:spacing w:after="0" w:line="240" w:lineRule="auto"/>
        <w:rPr>
          <w:rFonts w:ascii="ITC Avant Garde" w:hAnsi="ITC Avant Garde"/>
          <w:color w:val="000000"/>
          <w:sz w:val="14"/>
          <w:szCs w:val="14"/>
          <w:shd w:val="clear" w:color="auto" w:fill="FFFFFF"/>
        </w:rPr>
      </w:pPr>
    </w:p>
    <w:p w14:paraId="3C38CCBF" w14:textId="77777777" w:rsidR="00724CB7" w:rsidRDefault="00724CB7" w:rsidP="00724CB7">
      <w:pPr>
        <w:spacing w:after="0" w:line="240" w:lineRule="auto"/>
        <w:rPr>
          <w:rFonts w:ascii="ITC Avant Garde" w:hAnsi="ITC Avant Garde"/>
          <w:color w:val="000000"/>
          <w:sz w:val="14"/>
          <w:szCs w:val="14"/>
          <w:shd w:val="clear" w:color="auto" w:fill="FFFFFF"/>
        </w:rPr>
      </w:pPr>
    </w:p>
    <w:p w14:paraId="0C5C233A" w14:textId="77777777" w:rsidR="00724CB7" w:rsidRDefault="00724CB7" w:rsidP="00724CB7">
      <w:pPr>
        <w:spacing w:after="0" w:line="240" w:lineRule="auto"/>
        <w:rPr>
          <w:rFonts w:ascii="ITC Avant Garde" w:hAnsi="ITC Avant Garde"/>
          <w:color w:val="000000"/>
          <w:sz w:val="14"/>
          <w:szCs w:val="14"/>
          <w:shd w:val="clear" w:color="auto" w:fill="FFFFFF"/>
        </w:rPr>
      </w:pPr>
    </w:p>
    <w:p w14:paraId="6807FF01" w14:textId="77777777" w:rsidR="00724CB7" w:rsidRDefault="00724CB7" w:rsidP="00724CB7">
      <w:pPr>
        <w:spacing w:after="0" w:line="240" w:lineRule="auto"/>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724CB7" w:rsidRPr="00FD134A" w14:paraId="34EA4175" w14:textId="77777777" w:rsidTr="00C170E7">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15CEADB2" w14:textId="77777777" w:rsidR="00724CB7" w:rsidRPr="00FD134A" w:rsidRDefault="00724CB7" w:rsidP="00C170E7">
            <w:pPr>
              <w:ind w:left="316"/>
              <w:jc w:val="center"/>
              <w:rPr>
                <w:rFonts w:ascii="ITC Avant Garde" w:hAnsi="ITC Avant Garde"/>
                <w:b w:val="0"/>
                <w:sz w:val="18"/>
                <w:szCs w:val="18"/>
                <w:lang w:eastAsia="es-MX"/>
              </w:rPr>
            </w:pPr>
            <w:r w:rsidRPr="00FD134A">
              <w:rPr>
                <w:rFonts w:ascii="ITC Avant Garde" w:hAnsi="ITC Avant Garde"/>
                <w:bCs w:val="0"/>
                <w:sz w:val="18"/>
                <w:szCs w:val="18"/>
                <w:lang w:eastAsia="es-MX"/>
              </w:rPr>
              <w:t>Comentarios, opiniones, propuestas y aportaciones específicos de la persona participante sobre el asunto en Consulta Pública</w:t>
            </w:r>
          </w:p>
        </w:tc>
      </w:tr>
      <w:tr w:rsidR="00724CB7" w:rsidRPr="00FD134A" w14:paraId="3AFB2DD2" w14:textId="77777777" w:rsidTr="00C170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19DDFD66" w14:textId="77777777" w:rsidR="00724CB7" w:rsidRPr="00FD134A" w:rsidRDefault="00724CB7" w:rsidP="00C170E7">
            <w:pPr>
              <w:ind w:left="316"/>
              <w:rPr>
                <w:rFonts w:ascii="ITC Avant Garde" w:hAnsi="ITC Avant Garde"/>
                <w:sz w:val="18"/>
                <w:szCs w:val="18"/>
                <w:lang w:eastAsia="es-MX"/>
              </w:rPr>
            </w:pPr>
            <w:r w:rsidRPr="00FD134A">
              <w:rPr>
                <w:rFonts w:ascii="ITC Avant Garde" w:hAnsi="ITC Avant Garde"/>
                <w:color w:val="FFFFFF" w:themeColor="background1"/>
                <w:sz w:val="18"/>
                <w:szCs w:val="18"/>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44EE800" w14:textId="2C9284D6" w:rsidR="00724CB7" w:rsidRPr="00FD134A" w:rsidRDefault="006E0D7B" w:rsidP="00C170E7">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6E0D7B">
              <w:rPr>
                <w:rFonts w:ascii="ITC Avant Garde" w:hAnsi="ITC Avant Garde"/>
                <w:sz w:val="18"/>
                <w:szCs w:val="18"/>
                <w:lang w:eastAsia="es-MX"/>
              </w:rPr>
              <w:t xml:space="preserve">AT&amp;T Comunicaciones Digitales, S. de R.L. de C.V., Grupo AT&amp;T </w:t>
            </w:r>
            <w:proofErr w:type="spellStart"/>
            <w:r w:rsidRPr="006E0D7B">
              <w:rPr>
                <w:rFonts w:ascii="ITC Avant Garde" w:hAnsi="ITC Avant Garde"/>
                <w:sz w:val="18"/>
                <w:szCs w:val="18"/>
                <w:lang w:eastAsia="es-MX"/>
              </w:rPr>
              <w:t>Celullar</w:t>
            </w:r>
            <w:proofErr w:type="spellEnd"/>
            <w:r w:rsidRPr="006E0D7B">
              <w:rPr>
                <w:rFonts w:ascii="ITC Avant Garde" w:hAnsi="ITC Avant Garde"/>
                <w:sz w:val="18"/>
                <w:szCs w:val="18"/>
                <w:lang w:eastAsia="es-MX"/>
              </w:rPr>
              <w:t xml:space="preserve">, S. de R.L. de C.V. y AT&amp;T Comercialización Móvil, S. de R.L. de C.V. </w:t>
            </w:r>
            <w:r>
              <w:rPr>
                <w:rFonts w:ascii="ITC Avant Garde" w:hAnsi="ITC Avant Garde"/>
                <w:sz w:val="18"/>
                <w:szCs w:val="18"/>
                <w:lang w:eastAsia="es-MX"/>
              </w:rPr>
              <w:t>(AT&amp;T)</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12273FD0" w14:textId="77777777" w:rsidR="00724CB7" w:rsidRPr="00FD134A" w:rsidRDefault="00724CB7" w:rsidP="00C170E7">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FD134A">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6C7D320" w14:textId="2EC67467" w:rsidR="00724CB7" w:rsidRPr="00FD134A" w:rsidRDefault="007D112C" w:rsidP="00C170E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7D112C">
              <w:rPr>
                <w:rFonts w:ascii="ITC Avant Garde" w:hAnsi="ITC Avant Garde"/>
                <w:sz w:val="18"/>
                <w:szCs w:val="18"/>
                <w:lang w:eastAsia="es-MX"/>
              </w:rPr>
              <w:t>20240628-CP_CNAF-006</w:t>
            </w:r>
          </w:p>
        </w:tc>
      </w:tr>
      <w:tr w:rsidR="00724CB7" w:rsidRPr="00FD134A" w14:paraId="3EA986EE" w14:textId="77777777" w:rsidTr="00C170E7">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511997CC" w14:textId="77777777" w:rsidR="00724CB7" w:rsidRPr="00FD134A" w:rsidRDefault="00724CB7" w:rsidP="00C170E7">
            <w:pPr>
              <w:jc w:val="center"/>
              <w:rPr>
                <w:rFonts w:ascii="ITC Avant Garde" w:eastAsia="Times New Roman" w:hAnsi="ITC Avant Garde" w:cstheme="minorHAnsi"/>
                <w:bCs w:val="0"/>
                <w:sz w:val="18"/>
                <w:szCs w:val="18"/>
                <w:lang w:eastAsia="es-MX"/>
              </w:rPr>
            </w:pPr>
            <w:r w:rsidRPr="00FD134A">
              <w:rPr>
                <w:rFonts w:ascii="ITC Avant Garde" w:eastAsia="Times New Roman" w:hAnsi="ITC Avant Garde" w:cstheme="minorHAnsi"/>
                <w:bCs w:val="0"/>
                <w:sz w:val="18"/>
                <w:szCs w:val="18"/>
                <w:lang w:eastAsia="es-MX"/>
              </w:rPr>
              <w:lastRenderedPageBreak/>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5DE14406" w14:textId="77777777" w:rsidR="00724CB7" w:rsidRPr="00FD134A" w:rsidRDefault="00724CB7" w:rsidP="00C170E7">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FD134A">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25FB8EFF" w14:textId="77777777" w:rsidR="00724CB7" w:rsidRPr="00FD134A" w:rsidRDefault="00724CB7" w:rsidP="00C170E7">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FD134A">
              <w:rPr>
                <w:rFonts w:ascii="ITC Avant Garde" w:eastAsia="Times New Roman" w:hAnsi="ITC Avant Garde" w:cstheme="minorHAnsi"/>
                <w:b/>
                <w:sz w:val="18"/>
                <w:szCs w:val="18"/>
                <w:lang w:eastAsia="es-MX"/>
              </w:rPr>
              <w:t>Respuesta del Instituto</w:t>
            </w:r>
          </w:p>
        </w:tc>
      </w:tr>
      <w:tr w:rsidR="006E0D7B" w:rsidRPr="00FD134A" w14:paraId="208E1FF4" w14:textId="77777777" w:rsidTr="00C170E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08AA3E71" w14:textId="77777777" w:rsidR="006E0D7B" w:rsidRPr="00FD134A" w:rsidRDefault="006E0D7B" w:rsidP="00C170E7">
            <w:pPr>
              <w:jc w:val="center"/>
              <w:rPr>
                <w:rFonts w:ascii="ITC Avant Garde" w:eastAsia="Times New Roman" w:hAnsi="ITC Avant Garde" w:cstheme="minorHAnsi"/>
                <w:b w:val="0"/>
                <w:sz w:val="18"/>
                <w:szCs w:val="18"/>
                <w:lang w:eastAsia="es-MX"/>
              </w:rPr>
            </w:pPr>
            <w:r w:rsidRPr="00FD134A">
              <w:rPr>
                <w:rFonts w:ascii="ITC Avant Garde" w:eastAsia="Times New Roman" w:hAnsi="ITC Avant Garde" w:cstheme="minorHAnsi"/>
                <w:b w:val="0"/>
                <w:sz w:val="18"/>
                <w:szCs w:val="18"/>
                <w:lang w:eastAsia="es-MX"/>
              </w:rPr>
              <w:t>Sección introductoria</w:t>
            </w:r>
          </w:p>
        </w:tc>
        <w:tc>
          <w:tcPr>
            <w:tcW w:w="2964" w:type="pct"/>
            <w:tcBorders>
              <w:right w:val="single" w:sz="4" w:space="0" w:color="A8D08D" w:themeColor="accent6" w:themeTint="99"/>
            </w:tcBorders>
            <w:shd w:val="clear" w:color="auto" w:fill="auto"/>
            <w:vAlign w:val="center"/>
          </w:tcPr>
          <w:p w14:paraId="6CEB5B40" w14:textId="77777777" w:rsidR="006E0D7B" w:rsidRDefault="006E0D7B"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u w:val="single"/>
                <w:lang w:eastAsia="es-MX"/>
              </w:rPr>
            </w:pPr>
            <w:r w:rsidRPr="006E0D7B">
              <w:rPr>
                <w:rFonts w:ascii="ITC Avant Garde" w:eastAsia="Times New Roman" w:hAnsi="ITC Avant Garde" w:cstheme="minorHAnsi"/>
                <w:sz w:val="18"/>
                <w:szCs w:val="18"/>
                <w:lang w:eastAsia="es-MX"/>
              </w:rPr>
              <w:t xml:space="preserve">En consistencia con el artículo 7 de la LFTR que establece que el Instituto tiene a su cargo la regulación, promoción y supervisión del uso, aprovechamiento y explotación de bandas de frecuencias del espectro radioeléctrico, el Instituto podrá autorizar </w:t>
            </w:r>
            <w:r w:rsidRPr="006E0D7B">
              <w:rPr>
                <w:rFonts w:ascii="ITC Avant Garde" w:eastAsia="Times New Roman" w:hAnsi="ITC Avant Garde" w:cstheme="minorHAnsi"/>
                <w:sz w:val="18"/>
                <w:szCs w:val="18"/>
                <w:u w:val="single"/>
                <w:lang w:eastAsia="es-MX"/>
              </w:rPr>
              <w:t>el uso y aprovechamiento temporal de bandas de frecuencias del espectro radioeléctrico mediante el otorgamiento de concesiones para uso privado con propósitos de experimentación, comprobación de viabilidad técnica y económica de las tecnologías en desarrollo o pruebas temporales de equipos; así como mediante el otorgamiento de constancias de autorización para uso secundario del espectro radioeléctrico; para cualquier servicio de radiocomunicación, independientemente de su atribución en la Tabla de Atribuciones del CNAF, a reserva de no causar interferencias perjudiciales a los servicios que operen bajo lo establecido en el CNAF. En estos casos no se podrán reclamar protección contra interferencias perjudiciales causadas por dichos servicios.</w:t>
            </w:r>
          </w:p>
          <w:p w14:paraId="73E8393C" w14:textId="77777777" w:rsidR="006E0D7B" w:rsidRDefault="006E0D7B"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u w:val="single"/>
                <w:lang w:eastAsia="es-MX"/>
              </w:rPr>
            </w:pPr>
          </w:p>
          <w:p w14:paraId="7609AC02" w14:textId="77777777" w:rsidR="006E0D7B" w:rsidRDefault="006E0D7B"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6E0D7B">
              <w:rPr>
                <w:rFonts w:ascii="ITC Avant Garde" w:eastAsia="Times New Roman" w:hAnsi="ITC Avant Garde" w:cstheme="minorHAnsi"/>
                <w:sz w:val="18"/>
                <w:szCs w:val="18"/>
                <w:lang w:eastAsia="es-MX"/>
              </w:rPr>
              <w:t>Coincidimos con el espíritu del párrafo mencionado, sin embargo, para que esta intención no se distorsione nos permitimos realizar dos sugerencias de salvaguardas:</w:t>
            </w:r>
          </w:p>
          <w:p w14:paraId="0A54CD14" w14:textId="77777777" w:rsidR="006E0D7B" w:rsidRDefault="006E0D7B"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3E032D3A" w14:textId="77777777" w:rsidR="006E0D7B" w:rsidRDefault="006E0D7B" w:rsidP="006E0D7B">
            <w:pPr>
              <w:pStyle w:val="Prrafodelista"/>
              <w:numPr>
                <w:ilvl w:val="0"/>
                <w:numId w:val="15"/>
              </w:num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6E0D7B">
              <w:rPr>
                <w:rFonts w:ascii="ITC Avant Garde" w:eastAsia="Times New Roman" w:hAnsi="ITC Avant Garde" w:cstheme="minorHAnsi"/>
                <w:sz w:val="18"/>
                <w:szCs w:val="18"/>
                <w:lang w:eastAsia="es-MX"/>
              </w:rPr>
              <w:t>Cuando se entregue una concesión para uso privado con propósitos de experimentación, comprobación de viabilidad técnica y económica de tecnologías en desarrollo o pruebas temporales de equipo, la misma deberá otorgarse por un periodo máximo de 2 años y las renovaciones que en su momento se otorguen estén sujetas al análisis del reporte de lo realizado en dicho periodo.</w:t>
            </w:r>
          </w:p>
          <w:p w14:paraId="417544F6" w14:textId="77777777" w:rsidR="006E0D7B" w:rsidRDefault="006E0D7B" w:rsidP="006E0D7B">
            <w:pPr>
              <w:pStyle w:val="Prrafodelista"/>
              <w:numPr>
                <w:ilvl w:val="0"/>
                <w:numId w:val="15"/>
              </w:num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6E0D7B">
              <w:rPr>
                <w:rFonts w:ascii="ITC Avant Garde" w:eastAsia="Times New Roman" w:hAnsi="ITC Avant Garde" w:cstheme="minorHAnsi"/>
                <w:sz w:val="18"/>
                <w:szCs w:val="18"/>
                <w:lang w:eastAsia="es-MX"/>
              </w:rPr>
              <w:t>Cuando se entregue una constancia de autorización para uso secundario del espectro radioeléctrico, la misma debe ser por un periodo máximo de 5 años y contener una cláusula que señale que ante un reclamo de interferencia por parte del asignatario para uso primario el sistema deberá apagarse en un máximo de 24 horas y en caso de no encontrar una solución en 60 días naturales se revocará la autorización. El actual método para resolver interferencias es lento y en muchos casos el IFT no cuenta con la facilidad de realizarlo de una forma más ágil, por lo que casos complejos pueden tardar años en resolver la interferencia.</w:t>
            </w:r>
          </w:p>
          <w:p w14:paraId="71329E37" w14:textId="77777777" w:rsidR="006E0D7B" w:rsidRDefault="006E0D7B" w:rsidP="006E0D7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062A30B3" w14:textId="1FADCF9E" w:rsidR="006E0D7B" w:rsidRPr="006E0D7B" w:rsidRDefault="006E0D7B" w:rsidP="006E0D7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6E0D7B">
              <w:rPr>
                <w:rFonts w:ascii="ITC Avant Garde" w:eastAsia="Times New Roman" w:hAnsi="ITC Avant Garde" w:cstheme="minorHAnsi"/>
                <w:sz w:val="18"/>
                <w:szCs w:val="18"/>
                <w:u w:val="single"/>
                <w:lang w:eastAsia="es-MX"/>
              </w:rPr>
              <w:t>Recomendación:</w:t>
            </w:r>
            <w:r w:rsidRPr="006E0D7B">
              <w:rPr>
                <w:rFonts w:ascii="ITC Avant Garde" w:eastAsia="Times New Roman" w:hAnsi="ITC Avant Garde" w:cstheme="minorHAnsi"/>
                <w:sz w:val="18"/>
                <w:szCs w:val="18"/>
                <w:lang w:eastAsia="es-MX"/>
              </w:rPr>
              <w:t xml:space="preserve"> antes de crear un nuevo esquema regulatorio, debemos contar con las herramientas para solucionar los problemas que se puedan presentar en su operación.</w:t>
            </w:r>
          </w:p>
        </w:tc>
        <w:tc>
          <w:tcPr>
            <w:tcW w:w="1316" w:type="pct"/>
            <w:gridSpan w:val="2"/>
            <w:vMerge w:val="restart"/>
            <w:tcBorders>
              <w:left w:val="single" w:sz="4" w:space="0" w:color="A8D08D" w:themeColor="accent6" w:themeTint="99"/>
            </w:tcBorders>
            <w:shd w:val="clear" w:color="auto" w:fill="auto"/>
            <w:vAlign w:val="center"/>
          </w:tcPr>
          <w:p w14:paraId="351D64E9" w14:textId="77F6F3F4" w:rsidR="006E0D7B" w:rsidRDefault="006E0D7B"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FC7155">
              <w:rPr>
                <w:rFonts w:ascii="ITC Avant Garde" w:eastAsia="Times New Roman" w:hAnsi="ITC Avant Garde" w:cstheme="minorHAnsi"/>
                <w:bCs/>
                <w:sz w:val="16"/>
                <w:szCs w:val="16"/>
                <w:lang w:eastAsia="es-MX"/>
              </w:rPr>
              <w:t>El Instituto</w:t>
            </w:r>
            <w:r w:rsidR="00C87356" w:rsidRPr="00FC7155">
              <w:rPr>
                <w:rFonts w:ascii="ITC Avant Garde" w:eastAsia="Times New Roman" w:hAnsi="ITC Avant Garde" w:cstheme="minorHAnsi"/>
                <w:bCs/>
                <w:sz w:val="16"/>
                <w:szCs w:val="16"/>
                <w:lang w:eastAsia="es-MX"/>
              </w:rPr>
              <w:t xml:space="preserve"> Federal de Telecomunicaciones </w:t>
            </w:r>
            <w:r w:rsidRPr="00FC7155">
              <w:rPr>
                <w:rFonts w:ascii="ITC Avant Garde" w:eastAsia="Times New Roman" w:hAnsi="ITC Avant Garde" w:cstheme="minorHAnsi"/>
                <w:bCs/>
                <w:sz w:val="16"/>
                <w:szCs w:val="16"/>
                <w:lang w:eastAsia="es-MX"/>
              </w:rPr>
              <w:t>agradece l</w:t>
            </w:r>
            <w:r w:rsidR="00C87356" w:rsidRPr="00FC7155">
              <w:rPr>
                <w:rFonts w:ascii="ITC Avant Garde" w:eastAsia="Times New Roman" w:hAnsi="ITC Avant Garde" w:cstheme="minorHAnsi"/>
                <w:bCs/>
                <w:sz w:val="16"/>
                <w:szCs w:val="16"/>
                <w:lang w:eastAsia="es-MX"/>
              </w:rPr>
              <w:t>a manifestación realizada por</w:t>
            </w:r>
            <w:r w:rsidRPr="00FC7155">
              <w:rPr>
                <w:rFonts w:ascii="ITC Avant Garde" w:eastAsia="Times New Roman" w:hAnsi="ITC Avant Garde" w:cstheme="minorHAnsi"/>
                <w:bCs/>
                <w:sz w:val="16"/>
                <w:szCs w:val="16"/>
                <w:lang w:eastAsia="es-MX"/>
              </w:rPr>
              <w:t xml:space="preserve"> la empresa AT&amp;T</w:t>
            </w:r>
            <w:r w:rsidR="00C87356" w:rsidRPr="00FC7155">
              <w:rPr>
                <w:rFonts w:ascii="ITC Avant Garde" w:eastAsia="Times New Roman" w:hAnsi="ITC Avant Garde" w:cstheme="minorHAnsi"/>
                <w:bCs/>
                <w:sz w:val="16"/>
                <w:szCs w:val="16"/>
                <w:lang w:eastAsia="es-MX"/>
              </w:rPr>
              <w:t>, referente a diversas sugerencias</w:t>
            </w:r>
            <w:r w:rsidR="006548EB" w:rsidRPr="00FC7155">
              <w:rPr>
                <w:rFonts w:ascii="ITC Avant Garde" w:eastAsia="Times New Roman" w:hAnsi="ITC Avant Garde" w:cstheme="minorHAnsi"/>
                <w:bCs/>
                <w:sz w:val="16"/>
                <w:szCs w:val="16"/>
                <w:lang w:eastAsia="es-MX"/>
              </w:rPr>
              <w:t xml:space="preserve"> </w:t>
            </w:r>
            <w:r w:rsidR="00C87356" w:rsidRPr="00FC7155">
              <w:rPr>
                <w:rFonts w:ascii="ITC Avant Garde" w:eastAsia="Times New Roman" w:hAnsi="ITC Avant Garde" w:cstheme="minorHAnsi"/>
                <w:bCs/>
                <w:sz w:val="16"/>
                <w:szCs w:val="16"/>
                <w:lang w:eastAsia="es-MX"/>
              </w:rPr>
              <w:t xml:space="preserve">relacionadas con el otorgamiento </w:t>
            </w:r>
            <w:r w:rsidR="006548EB" w:rsidRPr="00FC7155">
              <w:rPr>
                <w:rFonts w:ascii="ITC Avant Garde" w:eastAsia="Times New Roman" w:hAnsi="ITC Avant Garde" w:cstheme="minorHAnsi"/>
                <w:bCs/>
                <w:sz w:val="16"/>
                <w:szCs w:val="16"/>
                <w:lang w:eastAsia="es-MX"/>
              </w:rPr>
              <w:t xml:space="preserve">tanto de </w:t>
            </w:r>
            <w:r w:rsidR="00C87356" w:rsidRPr="00FC7155">
              <w:rPr>
                <w:rFonts w:ascii="ITC Avant Garde" w:eastAsia="Times New Roman" w:hAnsi="ITC Avant Garde" w:cstheme="minorHAnsi"/>
                <w:bCs/>
                <w:sz w:val="16"/>
                <w:szCs w:val="16"/>
                <w:lang w:eastAsia="es-MX"/>
              </w:rPr>
              <w:t>títulos de concesión para uso privado con propósitos de experimentación, comprobación de viabilidad técnica y económica de tecnologías en desarrollo o pruebas temporales de equipo, así como de constancias de autorización para uso secundario del espectro radioeléctrico</w:t>
            </w:r>
            <w:r w:rsidRPr="00FC7155">
              <w:rPr>
                <w:rFonts w:ascii="ITC Avant Garde" w:eastAsia="Times New Roman" w:hAnsi="ITC Avant Garde" w:cstheme="minorHAnsi"/>
                <w:bCs/>
                <w:sz w:val="16"/>
                <w:szCs w:val="16"/>
                <w:lang w:eastAsia="es-MX"/>
              </w:rPr>
              <w:t>.</w:t>
            </w:r>
          </w:p>
          <w:p w14:paraId="13963473" w14:textId="77777777" w:rsidR="00FC7155" w:rsidRDefault="00FC7155"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1AFDC0A9" w14:textId="6943EDAD" w:rsidR="006E0D7B" w:rsidRDefault="00FC7155"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Por lo que refiere a la recomendación de contar con las herramientas necesarias para solucionar problemas de interferencia entre los autorizados para uso secundario y los asignatarios para uso primario que puedan presentarse, se considera que </w:t>
            </w:r>
            <w:r w:rsidRPr="006D38C7">
              <w:rPr>
                <w:rFonts w:ascii="ITC Avant Garde" w:eastAsia="Times New Roman" w:hAnsi="ITC Avant Garde" w:cstheme="minorHAnsi"/>
                <w:bCs/>
                <w:sz w:val="16"/>
                <w:szCs w:val="16"/>
                <w:lang w:eastAsia="es-MX"/>
              </w:rPr>
              <w:t xml:space="preserve">el CNAF no es el instrumento mediante el cual </w:t>
            </w:r>
            <w:r w:rsidR="007E7BA0">
              <w:rPr>
                <w:rFonts w:ascii="ITC Avant Garde" w:eastAsia="Times New Roman" w:hAnsi="ITC Avant Garde" w:cstheme="minorHAnsi"/>
                <w:bCs/>
                <w:sz w:val="16"/>
                <w:szCs w:val="16"/>
                <w:lang w:eastAsia="es-MX"/>
              </w:rPr>
              <w:t xml:space="preserve">se </w:t>
            </w:r>
            <w:r w:rsidRPr="006D38C7">
              <w:rPr>
                <w:rFonts w:ascii="ITC Avant Garde" w:eastAsia="Times New Roman" w:hAnsi="ITC Avant Garde" w:cstheme="minorHAnsi"/>
                <w:bCs/>
                <w:sz w:val="16"/>
                <w:szCs w:val="16"/>
                <w:lang w:eastAsia="es-MX"/>
              </w:rPr>
              <w:t>pueda desahogar dicha</w:t>
            </w:r>
            <w:r>
              <w:rPr>
                <w:rFonts w:ascii="ITC Avant Garde" w:eastAsia="Times New Roman" w:hAnsi="ITC Avant Garde" w:cstheme="minorHAnsi"/>
                <w:bCs/>
                <w:sz w:val="16"/>
                <w:szCs w:val="16"/>
                <w:lang w:eastAsia="es-MX"/>
              </w:rPr>
              <w:t xml:space="preserve"> recomendación, </w:t>
            </w:r>
            <w:r w:rsidRPr="006D38C7">
              <w:rPr>
                <w:rFonts w:ascii="ITC Avant Garde" w:eastAsia="Times New Roman" w:hAnsi="ITC Avant Garde" w:cstheme="minorHAnsi"/>
                <w:bCs/>
                <w:sz w:val="16"/>
                <w:szCs w:val="16"/>
                <w:lang w:eastAsia="es-MX"/>
              </w:rPr>
              <w:t>por lo que</w:t>
            </w:r>
            <w:r>
              <w:rPr>
                <w:rFonts w:ascii="ITC Avant Garde" w:eastAsia="Times New Roman" w:hAnsi="ITC Avant Garde" w:cstheme="minorHAnsi"/>
                <w:bCs/>
                <w:sz w:val="16"/>
                <w:szCs w:val="16"/>
                <w:lang w:eastAsia="es-MX"/>
              </w:rPr>
              <w:t>, se toma de conocimiento la manifestación realizada por el participante para los fines de gestión y administración que resulten conducentes.</w:t>
            </w:r>
          </w:p>
          <w:p w14:paraId="6995745D" w14:textId="77777777" w:rsidR="00060696" w:rsidRDefault="00060696"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1B9AE69F" w14:textId="0D2EBD1B" w:rsidR="00FC7155" w:rsidRPr="00FC7155" w:rsidRDefault="00060696"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A este respecto, es relevante señalar que el </w:t>
            </w:r>
            <w:r w:rsidRPr="00096E73">
              <w:rPr>
                <w:rFonts w:ascii="ITC Avant Garde" w:eastAsia="Times New Roman" w:hAnsi="ITC Avant Garde" w:cstheme="minorHAnsi"/>
                <w:bCs/>
                <w:sz w:val="16"/>
                <w:szCs w:val="16"/>
                <w:lang w:eastAsia="es-MX"/>
              </w:rPr>
              <w:t xml:space="preserve">CNAF es </w:t>
            </w:r>
            <w:r w:rsidR="00053FFD">
              <w:rPr>
                <w:rFonts w:ascii="ITC Avant Garde" w:eastAsia="Times New Roman" w:hAnsi="ITC Avant Garde" w:cstheme="minorHAnsi"/>
                <w:bCs/>
                <w:sz w:val="16"/>
                <w:szCs w:val="16"/>
                <w:lang w:eastAsia="es-MX"/>
              </w:rPr>
              <w:t>la</w:t>
            </w:r>
            <w:r w:rsidRPr="00096E73">
              <w:rPr>
                <w:rFonts w:ascii="ITC Avant Garde" w:eastAsia="Times New Roman" w:hAnsi="ITC Avant Garde" w:cstheme="minorHAnsi"/>
                <w:bCs/>
                <w:sz w:val="16"/>
                <w:szCs w:val="16"/>
                <w:lang w:eastAsia="es-MX"/>
              </w:rPr>
              <w:t xml:space="preserve"> disposición administrativa que indica el servicio o servicios de radiocomunicaciones a los que se encuentra atribuida una determinada banda de frecuencias del espectro radioeléctrico</w:t>
            </w:r>
            <w:r>
              <w:rPr>
                <w:rFonts w:ascii="ITC Avant Garde" w:eastAsia="Times New Roman" w:hAnsi="ITC Avant Garde" w:cstheme="minorHAnsi"/>
                <w:bCs/>
                <w:sz w:val="16"/>
                <w:szCs w:val="16"/>
                <w:lang w:eastAsia="es-MX"/>
              </w:rPr>
              <w:t xml:space="preserve"> a nivel nacional</w:t>
            </w:r>
            <w:r w:rsidRPr="00096E73">
              <w:rPr>
                <w:rFonts w:ascii="ITC Avant Garde" w:eastAsia="Times New Roman" w:hAnsi="ITC Avant Garde" w:cstheme="minorHAnsi"/>
                <w:bCs/>
                <w:sz w:val="16"/>
                <w:szCs w:val="16"/>
                <w:lang w:eastAsia="es-MX"/>
              </w:rPr>
              <w:t xml:space="preserve">, así como </w:t>
            </w:r>
            <w:r>
              <w:rPr>
                <w:rFonts w:ascii="ITC Avant Garde" w:eastAsia="Times New Roman" w:hAnsi="ITC Avant Garde" w:cstheme="minorHAnsi"/>
                <w:bCs/>
                <w:sz w:val="16"/>
                <w:szCs w:val="16"/>
                <w:lang w:eastAsia="es-MX"/>
              </w:rPr>
              <w:t xml:space="preserve">notas nacionales que muestran </w:t>
            </w:r>
            <w:r w:rsidRPr="00096E73">
              <w:rPr>
                <w:rFonts w:ascii="ITC Avant Garde" w:eastAsia="Times New Roman" w:hAnsi="ITC Avant Garde" w:cstheme="minorHAnsi"/>
                <w:bCs/>
                <w:sz w:val="16"/>
                <w:szCs w:val="16"/>
                <w:lang w:eastAsia="es-MX"/>
              </w:rPr>
              <w:t xml:space="preserve">información </w:t>
            </w:r>
            <w:r>
              <w:rPr>
                <w:rFonts w:ascii="ITC Avant Garde" w:eastAsia="Times New Roman" w:hAnsi="ITC Avant Garde" w:cstheme="minorHAnsi"/>
                <w:bCs/>
                <w:sz w:val="16"/>
                <w:szCs w:val="16"/>
                <w:lang w:eastAsia="es-MX"/>
              </w:rPr>
              <w:t xml:space="preserve">relevante </w:t>
            </w:r>
            <w:r w:rsidRPr="00096E73">
              <w:rPr>
                <w:rFonts w:ascii="ITC Avant Garde" w:eastAsia="Times New Roman" w:hAnsi="ITC Avant Garde" w:cstheme="minorHAnsi"/>
                <w:bCs/>
                <w:sz w:val="16"/>
                <w:szCs w:val="16"/>
                <w:lang w:eastAsia="es-MX"/>
              </w:rPr>
              <w:t>sobre</w:t>
            </w:r>
            <w:r>
              <w:rPr>
                <w:rFonts w:ascii="ITC Avant Garde" w:eastAsia="Times New Roman" w:hAnsi="ITC Avant Garde" w:cstheme="minorHAnsi"/>
                <w:bCs/>
                <w:sz w:val="16"/>
                <w:szCs w:val="16"/>
                <w:lang w:eastAsia="es-MX"/>
              </w:rPr>
              <w:t xml:space="preserve">: i) clasificación de bandas del espectro radioeléctrico, </w:t>
            </w:r>
            <w:proofErr w:type="spellStart"/>
            <w:r>
              <w:rPr>
                <w:rFonts w:ascii="ITC Avant Garde" w:eastAsia="Times New Roman" w:hAnsi="ITC Avant Garde" w:cstheme="minorHAnsi"/>
                <w:bCs/>
                <w:sz w:val="16"/>
                <w:szCs w:val="16"/>
                <w:lang w:eastAsia="es-MX"/>
              </w:rPr>
              <w:t>ii</w:t>
            </w:r>
            <w:proofErr w:type="spellEnd"/>
            <w:r>
              <w:rPr>
                <w:rFonts w:ascii="ITC Avant Garde" w:eastAsia="Times New Roman" w:hAnsi="ITC Avant Garde" w:cstheme="minorHAnsi"/>
                <w:bCs/>
                <w:sz w:val="16"/>
                <w:szCs w:val="16"/>
                <w:lang w:eastAsia="es-MX"/>
              </w:rPr>
              <w:t xml:space="preserve">) uso actual de las bandas de frecuencias, </w:t>
            </w:r>
            <w:proofErr w:type="spellStart"/>
            <w:r>
              <w:rPr>
                <w:rFonts w:ascii="ITC Avant Garde" w:eastAsia="Times New Roman" w:hAnsi="ITC Avant Garde" w:cstheme="minorHAnsi"/>
                <w:bCs/>
                <w:sz w:val="16"/>
                <w:szCs w:val="16"/>
                <w:lang w:eastAsia="es-MX"/>
              </w:rPr>
              <w:t>iii</w:t>
            </w:r>
            <w:proofErr w:type="spellEnd"/>
            <w:r>
              <w:rPr>
                <w:rFonts w:ascii="ITC Avant Garde" w:eastAsia="Times New Roman" w:hAnsi="ITC Avant Garde" w:cstheme="minorHAnsi"/>
                <w:bCs/>
                <w:sz w:val="16"/>
                <w:szCs w:val="16"/>
                <w:lang w:eastAsia="es-MX"/>
              </w:rPr>
              <w:t xml:space="preserve">) disposiciones o arreglos de frecuencias para ciertas bandas, </w:t>
            </w:r>
            <w:proofErr w:type="spellStart"/>
            <w:r>
              <w:rPr>
                <w:rFonts w:ascii="ITC Avant Garde" w:eastAsia="Times New Roman" w:hAnsi="ITC Avant Garde" w:cstheme="minorHAnsi"/>
                <w:bCs/>
                <w:sz w:val="16"/>
                <w:szCs w:val="16"/>
                <w:lang w:eastAsia="es-MX"/>
              </w:rPr>
              <w:t>iv</w:t>
            </w:r>
            <w:proofErr w:type="spellEnd"/>
            <w:r>
              <w:rPr>
                <w:rFonts w:ascii="ITC Avant Garde" w:eastAsia="Times New Roman" w:hAnsi="ITC Avant Garde" w:cstheme="minorHAnsi"/>
                <w:bCs/>
                <w:sz w:val="16"/>
                <w:szCs w:val="16"/>
                <w:lang w:eastAsia="es-MX"/>
              </w:rPr>
              <w:t>) instrumentos bilaterales para el uso del espectro en zonas fronterizas, v) referencias a disposiciones técnicas aplicables al uso de la banda de frecuencias, vi) las acciones de planificación proyectadas para una determinada banda de frecuencias en el corto, mediano y largo plazo y vi) aplicaciones inalámbricas asociadas con los servicios de radiocomunicaciones, de conformidad con el marco normativo nacional e internacional aplicable</w:t>
            </w:r>
            <w:r w:rsidRPr="00096E73">
              <w:rPr>
                <w:rFonts w:ascii="ITC Avant Garde" w:eastAsia="Times New Roman" w:hAnsi="ITC Avant Garde" w:cstheme="minorHAnsi"/>
                <w:bCs/>
                <w:sz w:val="16"/>
                <w:szCs w:val="16"/>
                <w:lang w:eastAsia="es-MX"/>
              </w:rPr>
              <w:t>.</w:t>
            </w:r>
          </w:p>
        </w:tc>
      </w:tr>
      <w:tr w:rsidR="006E0D7B" w:rsidRPr="00FD134A" w14:paraId="2CA7665A" w14:textId="77777777" w:rsidTr="00C170E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076CA458" w14:textId="77777777" w:rsidR="006E0D7B" w:rsidRPr="00FD134A" w:rsidRDefault="006E0D7B"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Tabla de Atribuciones</w:t>
            </w:r>
          </w:p>
        </w:tc>
        <w:tc>
          <w:tcPr>
            <w:tcW w:w="2964" w:type="pct"/>
            <w:tcBorders>
              <w:right w:val="single" w:sz="4" w:space="0" w:color="A8D08D" w:themeColor="accent6" w:themeTint="99"/>
            </w:tcBorders>
            <w:shd w:val="clear" w:color="auto" w:fill="auto"/>
            <w:vAlign w:val="center"/>
          </w:tcPr>
          <w:p w14:paraId="32B3A69E" w14:textId="6A0294FF" w:rsidR="006E0D7B" w:rsidRPr="00724CB7" w:rsidRDefault="006E0D7B"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310BCC3F" w14:textId="77777777" w:rsidR="006E0D7B" w:rsidRPr="00FD134A" w:rsidRDefault="006E0D7B"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6E0D7B" w:rsidRPr="00FD134A" w14:paraId="726FCDB4" w14:textId="77777777" w:rsidTr="00C170E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2D0E5FE4" w14:textId="77777777" w:rsidR="006E0D7B" w:rsidRPr="00FD134A" w:rsidRDefault="006E0D7B"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Notas Nacionales</w:t>
            </w:r>
          </w:p>
        </w:tc>
        <w:tc>
          <w:tcPr>
            <w:tcW w:w="2964" w:type="pct"/>
            <w:tcBorders>
              <w:right w:val="single" w:sz="4" w:space="0" w:color="A8D08D" w:themeColor="accent6" w:themeTint="99"/>
            </w:tcBorders>
            <w:shd w:val="clear" w:color="auto" w:fill="auto"/>
            <w:vAlign w:val="center"/>
          </w:tcPr>
          <w:p w14:paraId="1B817576" w14:textId="001AE81C" w:rsidR="006E0D7B" w:rsidRPr="00FD134A" w:rsidRDefault="006E0D7B"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5083FC38" w14:textId="77777777" w:rsidR="006E0D7B" w:rsidRPr="00FD134A" w:rsidRDefault="006E0D7B"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6E0D7B" w:rsidRPr="00FD134A" w14:paraId="731F3C4D" w14:textId="77777777" w:rsidTr="00C170E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463358AB" w14:textId="77777777" w:rsidR="006E0D7B" w:rsidRPr="00FD134A" w:rsidRDefault="006E0D7B"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Observaciones generales</w:t>
            </w:r>
          </w:p>
        </w:tc>
        <w:tc>
          <w:tcPr>
            <w:tcW w:w="2964" w:type="pct"/>
            <w:tcBorders>
              <w:right w:val="single" w:sz="4" w:space="0" w:color="A8D08D" w:themeColor="accent6" w:themeTint="99"/>
            </w:tcBorders>
            <w:shd w:val="clear" w:color="auto" w:fill="auto"/>
            <w:vAlign w:val="center"/>
          </w:tcPr>
          <w:p w14:paraId="3ADD6FB7" w14:textId="23473C1C" w:rsidR="006E0D7B" w:rsidRPr="00FD134A" w:rsidRDefault="006E0D7B"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5C137FEB" w14:textId="77777777" w:rsidR="006E0D7B" w:rsidRPr="00FD134A" w:rsidRDefault="006E0D7B"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bl>
    <w:p w14:paraId="52061811" w14:textId="77777777" w:rsidR="007D067A" w:rsidRDefault="007D067A" w:rsidP="007D067A">
      <w:pPr>
        <w:spacing w:after="0" w:line="240" w:lineRule="auto"/>
        <w:rPr>
          <w:rFonts w:ascii="ITC Avant Garde" w:hAnsi="ITC Avant Garde"/>
          <w:color w:val="000000"/>
          <w:sz w:val="14"/>
          <w:szCs w:val="14"/>
          <w:shd w:val="clear" w:color="auto" w:fill="FFFFFF"/>
        </w:rPr>
      </w:pPr>
    </w:p>
    <w:p w14:paraId="679FE439" w14:textId="77777777" w:rsidR="007D112C" w:rsidRDefault="007D112C" w:rsidP="007D067A">
      <w:pPr>
        <w:spacing w:after="0" w:line="240" w:lineRule="auto"/>
        <w:rPr>
          <w:rFonts w:ascii="ITC Avant Garde" w:hAnsi="ITC Avant Garde"/>
          <w:color w:val="000000"/>
          <w:sz w:val="14"/>
          <w:szCs w:val="14"/>
          <w:shd w:val="clear" w:color="auto" w:fill="FFFFFF"/>
        </w:rPr>
      </w:pPr>
    </w:p>
    <w:p w14:paraId="3515FB03" w14:textId="77777777" w:rsidR="00DB2822" w:rsidRDefault="00DB2822" w:rsidP="007D067A">
      <w:pPr>
        <w:spacing w:after="0" w:line="240" w:lineRule="auto"/>
        <w:rPr>
          <w:rFonts w:ascii="ITC Avant Garde" w:hAnsi="ITC Avant Garde"/>
          <w:color w:val="000000"/>
          <w:sz w:val="14"/>
          <w:szCs w:val="14"/>
          <w:shd w:val="clear" w:color="auto" w:fill="FFFFFF"/>
        </w:rPr>
      </w:pPr>
    </w:p>
    <w:p w14:paraId="13EFC161" w14:textId="77777777" w:rsidR="00DB2822" w:rsidRDefault="00DB2822" w:rsidP="007D067A">
      <w:pPr>
        <w:spacing w:after="0" w:line="240" w:lineRule="auto"/>
        <w:rPr>
          <w:rFonts w:ascii="ITC Avant Garde" w:hAnsi="ITC Avant Garde"/>
          <w:color w:val="000000"/>
          <w:sz w:val="14"/>
          <w:szCs w:val="14"/>
          <w:shd w:val="clear" w:color="auto" w:fill="FFFFFF"/>
        </w:rPr>
      </w:pPr>
    </w:p>
    <w:p w14:paraId="295CB460" w14:textId="77777777" w:rsidR="00DB2822" w:rsidRDefault="00DB2822" w:rsidP="007D067A">
      <w:pPr>
        <w:spacing w:after="0" w:line="240" w:lineRule="auto"/>
        <w:rPr>
          <w:rFonts w:ascii="ITC Avant Garde" w:hAnsi="ITC Avant Garde"/>
          <w:color w:val="000000"/>
          <w:sz w:val="14"/>
          <w:szCs w:val="14"/>
          <w:shd w:val="clear" w:color="auto" w:fill="FFFFFF"/>
        </w:rPr>
      </w:pPr>
    </w:p>
    <w:p w14:paraId="324F846F" w14:textId="77777777" w:rsidR="00DB2822" w:rsidRDefault="00DB2822" w:rsidP="007D067A">
      <w:pPr>
        <w:spacing w:after="0" w:line="240" w:lineRule="auto"/>
        <w:rPr>
          <w:rFonts w:ascii="ITC Avant Garde" w:hAnsi="ITC Avant Garde"/>
          <w:color w:val="000000"/>
          <w:sz w:val="14"/>
          <w:szCs w:val="14"/>
          <w:shd w:val="clear" w:color="auto" w:fill="FFFFFF"/>
        </w:rPr>
      </w:pPr>
    </w:p>
    <w:p w14:paraId="04D79B29" w14:textId="77777777" w:rsidR="00DB2822" w:rsidRDefault="00DB2822" w:rsidP="007D067A">
      <w:pPr>
        <w:spacing w:after="0" w:line="240" w:lineRule="auto"/>
        <w:rPr>
          <w:rFonts w:ascii="ITC Avant Garde" w:hAnsi="ITC Avant Garde"/>
          <w:color w:val="000000"/>
          <w:sz w:val="14"/>
          <w:szCs w:val="14"/>
          <w:shd w:val="clear" w:color="auto" w:fill="FFFFFF"/>
        </w:rPr>
      </w:pPr>
    </w:p>
    <w:p w14:paraId="5B9BC61D" w14:textId="77777777" w:rsidR="00DB2822" w:rsidRDefault="00DB2822" w:rsidP="007D067A">
      <w:pPr>
        <w:spacing w:after="0" w:line="240" w:lineRule="auto"/>
        <w:rPr>
          <w:rFonts w:ascii="ITC Avant Garde" w:hAnsi="ITC Avant Garde"/>
          <w:color w:val="000000"/>
          <w:sz w:val="14"/>
          <w:szCs w:val="14"/>
          <w:shd w:val="clear" w:color="auto" w:fill="FFFFFF"/>
        </w:rPr>
      </w:pPr>
    </w:p>
    <w:p w14:paraId="256EA413" w14:textId="77777777" w:rsidR="007D112C" w:rsidRDefault="007D112C" w:rsidP="007D067A">
      <w:pPr>
        <w:spacing w:after="0" w:line="240" w:lineRule="auto"/>
        <w:rPr>
          <w:rFonts w:ascii="ITC Avant Garde" w:hAnsi="ITC Avant Garde"/>
          <w:color w:val="000000"/>
          <w:sz w:val="14"/>
          <w:szCs w:val="14"/>
          <w:shd w:val="clear" w:color="auto" w:fill="FFFFFF"/>
        </w:rPr>
      </w:pPr>
    </w:p>
    <w:p w14:paraId="102F6082" w14:textId="77777777" w:rsidR="007D112C" w:rsidRDefault="007D112C" w:rsidP="007D112C">
      <w:pPr>
        <w:spacing w:after="0" w:line="240" w:lineRule="auto"/>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7D112C" w:rsidRPr="00FD134A" w14:paraId="0ACA8C0F" w14:textId="77777777" w:rsidTr="00C170E7">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04960856" w14:textId="77777777" w:rsidR="007D112C" w:rsidRPr="00FD134A" w:rsidRDefault="007D112C" w:rsidP="00C170E7">
            <w:pPr>
              <w:ind w:left="316"/>
              <w:jc w:val="center"/>
              <w:rPr>
                <w:rFonts w:ascii="ITC Avant Garde" w:hAnsi="ITC Avant Garde"/>
                <w:b w:val="0"/>
                <w:sz w:val="18"/>
                <w:szCs w:val="18"/>
                <w:lang w:eastAsia="es-MX"/>
              </w:rPr>
            </w:pPr>
            <w:r w:rsidRPr="00FD134A">
              <w:rPr>
                <w:rFonts w:ascii="ITC Avant Garde" w:hAnsi="ITC Avant Garde"/>
                <w:bCs w:val="0"/>
                <w:sz w:val="18"/>
                <w:szCs w:val="18"/>
                <w:lang w:eastAsia="es-MX"/>
              </w:rPr>
              <w:lastRenderedPageBreak/>
              <w:t>Comentarios, opiniones, propuestas y aportaciones específicos de la persona participante sobre el asunto en Consulta Pública</w:t>
            </w:r>
          </w:p>
        </w:tc>
      </w:tr>
      <w:tr w:rsidR="007D112C" w:rsidRPr="00FD134A" w14:paraId="400CEAB2" w14:textId="77777777" w:rsidTr="00C170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176BD380" w14:textId="77777777" w:rsidR="007D112C" w:rsidRPr="00FD134A" w:rsidRDefault="007D112C" w:rsidP="00C170E7">
            <w:pPr>
              <w:ind w:left="316"/>
              <w:rPr>
                <w:rFonts w:ascii="ITC Avant Garde" w:hAnsi="ITC Avant Garde"/>
                <w:sz w:val="18"/>
                <w:szCs w:val="18"/>
                <w:lang w:eastAsia="es-MX"/>
              </w:rPr>
            </w:pPr>
            <w:r w:rsidRPr="00FD134A">
              <w:rPr>
                <w:rFonts w:ascii="ITC Avant Garde" w:hAnsi="ITC Avant Garde"/>
                <w:color w:val="FFFFFF" w:themeColor="background1"/>
                <w:sz w:val="18"/>
                <w:szCs w:val="18"/>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E9D83E2" w14:textId="6BFA5887" w:rsidR="007D112C" w:rsidRPr="00FD134A" w:rsidRDefault="007D112C" w:rsidP="00C170E7">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proofErr w:type="spellStart"/>
            <w:r w:rsidRPr="007D112C">
              <w:rPr>
                <w:rFonts w:ascii="ITC Avant Garde" w:hAnsi="ITC Avant Garde"/>
                <w:sz w:val="18"/>
                <w:szCs w:val="18"/>
                <w:lang w:eastAsia="es-MX"/>
              </w:rPr>
              <w:t>Satelites</w:t>
            </w:r>
            <w:proofErr w:type="spellEnd"/>
            <w:r w:rsidRPr="007D112C">
              <w:rPr>
                <w:rFonts w:ascii="ITC Avant Garde" w:hAnsi="ITC Avant Garde"/>
                <w:sz w:val="18"/>
                <w:szCs w:val="18"/>
                <w:lang w:eastAsia="es-MX"/>
              </w:rPr>
              <w:t xml:space="preserve"> Mexicanos, S.A. De C.V.</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1BD9394A" w14:textId="77777777" w:rsidR="007D112C" w:rsidRPr="00FD134A" w:rsidRDefault="007D112C" w:rsidP="00C170E7">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FD134A">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7778A98" w14:textId="0F9FF2EE" w:rsidR="007D112C" w:rsidRPr="00FD134A" w:rsidRDefault="007D112C" w:rsidP="00C170E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7D112C">
              <w:rPr>
                <w:rFonts w:ascii="ITC Avant Garde" w:hAnsi="ITC Avant Garde"/>
                <w:sz w:val="18"/>
                <w:szCs w:val="18"/>
                <w:lang w:eastAsia="es-MX"/>
              </w:rPr>
              <w:t>20240628-CP_CNAF-00</w:t>
            </w:r>
            <w:r>
              <w:rPr>
                <w:rFonts w:ascii="ITC Avant Garde" w:hAnsi="ITC Avant Garde"/>
                <w:sz w:val="18"/>
                <w:szCs w:val="18"/>
                <w:lang w:eastAsia="es-MX"/>
              </w:rPr>
              <w:t>7</w:t>
            </w:r>
          </w:p>
        </w:tc>
      </w:tr>
      <w:tr w:rsidR="007D112C" w:rsidRPr="00FD134A" w14:paraId="10F7A125" w14:textId="77777777" w:rsidTr="00C170E7">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4A9483B5" w14:textId="77777777" w:rsidR="007D112C" w:rsidRPr="00FD134A" w:rsidRDefault="007D112C" w:rsidP="00C170E7">
            <w:pPr>
              <w:jc w:val="center"/>
              <w:rPr>
                <w:rFonts w:ascii="ITC Avant Garde" w:eastAsia="Times New Roman" w:hAnsi="ITC Avant Garde" w:cstheme="minorHAnsi"/>
                <w:bCs w:val="0"/>
                <w:sz w:val="18"/>
                <w:szCs w:val="18"/>
                <w:lang w:eastAsia="es-MX"/>
              </w:rPr>
            </w:pPr>
            <w:r w:rsidRPr="00FD134A">
              <w:rPr>
                <w:rFonts w:ascii="ITC Avant Garde" w:eastAsia="Times New Roman" w:hAnsi="ITC Avant Garde" w:cstheme="minorHAnsi"/>
                <w:bCs w:val="0"/>
                <w:sz w:val="18"/>
                <w:szCs w:val="18"/>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3E8D96D0" w14:textId="77777777" w:rsidR="007D112C" w:rsidRPr="00FD134A" w:rsidRDefault="007D112C" w:rsidP="00C170E7">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FD134A">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58DF7E28" w14:textId="77777777" w:rsidR="007D112C" w:rsidRPr="00FD134A" w:rsidRDefault="007D112C" w:rsidP="00C170E7">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FD134A">
              <w:rPr>
                <w:rFonts w:ascii="ITC Avant Garde" w:eastAsia="Times New Roman" w:hAnsi="ITC Avant Garde" w:cstheme="minorHAnsi"/>
                <w:b/>
                <w:sz w:val="18"/>
                <w:szCs w:val="18"/>
                <w:lang w:eastAsia="es-MX"/>
              </w:rPr>
              <w:t>Respuesta del Instituto</w:t>
            </w:r>
          </w:p>
        </w:tc>
      </w:tr>
      <w:tr w:rsidR="00DB2822" w:rsidRPr="00FD134A" w14:paraId="73D3F3FB" w14:textId="77777777" w:rsidTr="00C170E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06EDCF67" w14:textId="77777777" w:rsidR="00DB2822" w:rsidRPr="00FD134A" w:rsidRDefault="00DB2822" w:rsidP="00C170E7">
            <w:pPr>
              <w:jc w:val="center"/>
              <w:rPr>
                <w:rFonts w:ascii="ITC Avant Garde" w:eastAsia="Times New Roman" w:hAnsi="ITC Avant Garde" w:cstheme="minorHAnsi"/>
                <w:b w:val="0"/>
                <w:sz w:val="18"/>
                <w:szCs w:val="18"/>
                <w:lang w:eastAsia="es-MX"/>
              </w:rPr>
            </w:pPr>
            <w:r w:rsidRPr="00FD134A">
              <w:rPr>
                <w:rFonts w:ascii="ITC Avant Garde" w:eastAsia="Times New Roman" w:hAnsi="ITC Avant Garde" w:cstheme="minorHAnsi"/>
                <w:b w:val="0"/>
                <w:sz w:val="18"/>
                <w:szCs w:val="18"/>
                <w:lang w:eastAsia="es-MX"/>
              </w:rPr>
              <w:t>Sección introductoria</w:t>
            </w:r>
          </w:p>
        </w:tc>
        <w:tc>
          <w:tcPr>
            <w:tcW w:w="2964" w:type="pct"/>
            <w:tcBorders>
              <w:right w:val="single" w:sz="4" w:space="0" w:color="A8D08D" w:themeColor="accent6" w:themeTint="99"/>
            </w:tcBorders>
            <w:shd w:val="clear" w:color="auto" w:fill="auto"/>
            <w:vAlign w:val="center"/>
          </w:tcPr>
          <w:p w14:paraId="6C3A566A" w14:textId="07BF8B5D" w:rsidR="00DB2822" w:rsidRPr="00FD134A" w:rsidRDefault="00DB2822"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val="restart"/>
            <w:tcBorders>
              <w:left w:val="single" w:sz="4" w:space="0" w:color="A8D08D" w:themeColor="accent6" w:themeTint="99"/>
            </w:tcBorders>
            <w:shd w:val="clear" w:color="auto" w:fill="auto"/>
            <w:vAlign w:val="center"/>
          </w:tcPr>
          <w:p w14:paraId="7D86BB76" w14:textId="3FC0AEE8" w:rsidR="00DB2822" w:rsidRPr="006D02B9" w:rsidRDefault="00DB2822"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6D02B9">
              <w:rPr>
                <w:rFonts w:ascii="ITC Avant Garde" w:eastAsia="Times New Roman" w:hAnsi="ITC Avant Garde" w:cstheme="minorHAnsi"/>
                <w:bCs/>
                <w:sz w:val="16"/>
                <w:szCs w:val="16"/>
                <w:lang w:eastAsia="es-MX"/>
              </w:rPr>
              <w:t xml:space="preserve">El Instituto </w:t>
            </w:r>
            <w:r w:rsidR="006D02B9" w:rsidRPr="006D02B9">
              <w:rPr>
                <w:rFonts w:ascii="ITC Avant Garde" w:eastAsia="Times New Roman" w:hAnsi="ITC Avant Garde" w:cstheme="minorHAnsi"/>
                <w:bCs/>
                <w:sz w:val="16"/>
                <w:szCs w:val="16"/>
                <w:lang w:eastAsia="es-MX"/>
              </w:rPr>
              <w:t xml:space="preserve">Federal de Telecomunicaciones </w:t>
            </w:r>
            <w:r w:rsidRPr="006D02B9">
              <w:rPr>
                <w:rFonts w:ascii="ITC Avant Garde" w:eastAsia="Times New Roman" w:hAnsi="ITC Avant Garde" w:cstheme="minorHAnsi"/>
                <w:bCs/>
                <w:sz w:val="16"/>
                <w:szCs w:val="16"/>
                <w:lang w:eastAsia="es-MX"/>
              </w:rPr>
              <w:t xml:space="preserve">agradece </w:t>
            </w:r>
            <w:r w:rsidR="006D02B9" w:rsidRPr="006D02B9">
              <w:rPr>
                <w:rFonts w:ascii="ITC Avant Garde" w:eastAsia="Times New Roman" w:hAnsi="ITC Avant Garde" w:cstheme="minorHAnsi"/>
                <w:bCs/>
                <w:sz w:val="16"/>
                <w:szCs w:val="16"/>
                <w:lang w:eastAsia="es-MX"/>
              </w:rPr>
              <w:t xml:space="preserve">la manifestación realizada por </w:t>
            </w:r>
            <w:r w:rsidRPr="006D02B9">
              <w:rPr>
                <w:rFonts w:ascii="ITC Avant Garde" w:eastAsia="Times New Roman" w:hAnsi="ITC Avant Garde" w:cstheme="minorHAnsi"/>
                <w:bCs/>
                <w:sz w:val="16"/>
                <w:szCs w:val="16"/>
                <w:lang w:eastAsia="es-MX"/>
              </w:rPr>
              <w:t xml:space="preserve">la empresa </w:t>
            </w:r>
            <w:proofErr w:type="spellStart"/>
            <w:r w:rsidRPr="006D02B9">
              <w:rPr>
                <w:rFonts w:ascii="ITC Avant Garde" w:eastAsia="Times New Roman" w:hAnsi="ITC Avant Garde" w:cstheme="minorHAnsi"/>
                <w:bCs/>
                <w:sz w:val="16"/>
                <w:szCs w:val="16"/>
                <w:lang w:eastAsia="es-MX"/>
              </w:rPr>
              <w:t>Satelites</w:t>
            </w:r>
            <w:proofErr w:type="spellEnd"/>
            <w:r w:rsidRPr="006D02B9">
              <w:rPr>
                <w:rFonts w:ascii="ITC Avant Garde" w:eastAsia="Times New Roman" w:hAnsi="ITC Avant Garde" w:cstheme="minorHAnsi"/>
                <w:bCs/>
                <w:sz w:val="16"/>
                <w:szCs w:val="16"/>
                <w:lang w:eastAsia="es-MX"/>
              </w:rPr>
              <w:t xml:space="preserve"> Mexicanos, S.A. De C.V.</w:t>
            </w:r>
            <w:r w:rsidR="006D02B9" w:rsidRPr="006D02B9">
              <w:rPr>
                <w:rFonts w:ascii="ITC Avant Garde" w:eastAsia="Times New Roman" w:hAnsi="ITC Avant Garde" w:cstheme="minorHAnsi"/>
                <w:bCs/>
                <w:sz w:val="16"/>
                <w:szCs w:val="16"/>
                <w:lang w:eastAsia="es-MX"/>
              </w:rPr>
              <w:t xml:space="preserve">, referente a su solicitud de considerar en esta revisión al CNAF la inclusión de los resultados de la CMR-23, particularmente aquellos asociados con la banda de frecuencias 17.3-17.7 GHz y su atribución al Servicio Fijo por </w:t>
            </w:r>
            <w:proofErr w:type="spellStart"/>
            <w:r w:rsidR="006D02B9" w:rsidRPr="006D02B9">
              <w:rPr>
                <w:rFonts w:ascii="ITC Avant Garde" w:eastAsia="Times New Roman" w:hAnsi="ITC Avant Garde" w:cstheme="minorHAnsi"/>
                <w:bCs/>
                <w:sz w:val="16"/>
                <w:szCs w:val="16"/>
                <w:lang w:eastAsia="es-MX"/>
              </w:rPr>
              <w:t>Satelite</w:t>
            </w:r>
            <w:proofErr w:type="spellEnd"/>
            <w:r w:rsidR="006D02B9" w:rsidRPr="006D02B9">
              <w:rPr>
                <w:rFonts w:ascii="ITC Avant Garde" w:eastAsia="Times New Roman" w:hAnsi="ITC Avant Garde" w:cstheme="minorHAnsi"/>
                <w:bCs/>
                <w:sz w:val="16"/>
                <w:szCs w:val="16"/>
                <w:lang w:eastAsia="es-MX"/>
              </w:rPr>
              <w:t xml:space="preserve"> en el sentido (espacio-Tierra),</w:t>
            </w:r>
          </w:p>
          <w:p w14:paraId="2ECCE869" w14:textId="77777777" w:rsidR="006D02B9" w:rsidRDefault="006D02B9"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60B4246C" w14:textId="7C8C3620" w:rsidR="006D02B9" w:rsidRDefault="006D02B9"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46123E">
              <w:rPr>
                <w:rFonts w:ascii="ITC Avant Garde" w:eastAsia="Times New Roman" w:hAnsi="ITC Avant Garde" w:cstheme="minorHAnsi"/>
                <w:bCs/>
                <w:sz w:val="16"/>
                <w:szCs w:val="16"/>
                <w:lang w:eastAsia="es-MX"/>
              </w:rPr>
              <w:t xml:space="preserve">En este sentido, </w:t>
            </w:r>
            <w:r w:rsidRPr="0046123E">
              <w:rPr>
                <w:rFonts w:ascii="ITC Avant Garde" w:eastAsia="Times New Roman" w:hAnsi="ITC Avant Garde" w:cstheme="minorHAnsi"/>
                <w:b/>
                <w:bCs/>
                <w:sz w:val="16"/>
                <w:szCs w:val="16"/>
                <w:lang w:eastAsia="es-MX"/>
              </w:rPr>
              <w:t>se considera procedente</w:t>
            </w:r>
            <w:r w:rsidRPr="0046123E">
              <w:rPr>
                <w:rFonts w:ascii="ITC Avant Garde" w:eastAsia="Times New Roman" w:hAnsi="ITC Avant Garde" w:cstheme="minorHAnsi"/>
                <w:bCs/>
                <w:sz w:val="16"/>
                <w:szCs w:val="16"/>
                <w:lang w:eastAsia="es-MX"/>
              </w:rPr>
              <w:t xml:space="preserve"> </w:t>
            </w:r>
            <w:r w:rsidR="00D324CC">
              <w:rPr>
                <w:rFonts w:ascii="ITC Avant Garde" w:eastAsia="Times New Roman" w:hAnsi="ITC Avant Garde" w:cstheme="minorHAnsi"/>
                <w:bCs/>
                <w:sz w:val="16"/>
                <w:szCs w:val="16"/>
                <w:lang w:eastAsia="es-MX"/>
              </w:rPr>
              <w:t xml:space="preserve">reflejar </w:t>
            </w:r>
            <w:r w:rsidRPr="0046123E">
              <w:rPr>
                <w:rFonts w:ascii="ITC Avant Garde" w:eastAsia="Times New Roman" w:hAnsi="ITC Avant Garde" w:cstheme="minorHAnsi"/>
                <w:bCs/>
                <w:sz w:val="16"/>
                <w:szCs w:val="16"/>
                <w:lang w:eastAsia="es-MX"/>
              </w:rPr>
              <w:t xml:space="preserve">la atribución de la banda de frecuencias 17.3-17.7 GHz al Servicio Fijo por </w:t>
            </w:r>
            <w:proofErr w:type="spellStart"/>
            <w:r w:rsidRPr="0046123E">
              <w:rPr>
                <w:rFonts w:ascii="ITC Avant Garde" w:eastAsia="Times New Roman" w:hAnsi="ITC Avant Garde" w:cstheme="minorHAnsi"/>
                <w:bCs/>
                <w:sz w:val="16"/>
                <w:szCs w:val="16"/>
                <w:lang w:eastAsia="es-MX"/>
              </w:rPr>
              <w:t>Satelite</w:t>
            </w:r>
            <w:proofErr w:type="spellEnd"/>
            <w:r w:rsidRPr="0046123E">
              <w:rPr>
                <w:rFonts w:ascii="ITC Avant Garde" w:eastAsia="Times New Roman" w:hAnsi="ITC Avant Garde" w:cstheme="minorHAnsi"/>
                <w:bCs/>
                <w:sz w:val="16"/>
                <w:szCs w:val="16"/>
                <w:lang w:eastAsia="es-MX"/>
              </w:rPr>
              <w:t xml:space="preserve"> en el sentido (espacio-Tierra) en la Región 2 y notas internacionales asociadas, así como la atribución en México para el SFS (espacio-Tierra) en la banda 17.3-17.7 GHz.</w:t>
            </w:r>
          </w:p>
          <w:p w14:paraId="0BFED331" w14:textId="77777777" w:rsidR="003008F0" w:rsidRDefault="003008F0"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151222F6" w14:textId="129A3BA3" w:rsidR="003008F0" w:rsidRPr="00FD134A" w:rsidRDefault="007B03FD"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Pr>
                <w:rFonts w:ascii="ITC Avant Garde" w:eastAsia="Times New Roman" w:hAnsi="ITC Avant Garde" w:cstheme="minorHAnsi"/>
                <w:bCs/>
                <w:sz w:val="16"/>
                <w:szCs w:val="16"/>
                <w:lang w:eastAsia="es-MX"/>
              </w:rPr>
              <w:t>Finalmente, es importante</w:t>
            </w:r>
            <w:r w:rsidR="003008F0" w:rsidRPr="0046123E">
              <w:rPr>
                <w:rFonts w:ascii="ITC Avant Garde" w:eastAsia="Times New Roman" w:hAnsi="ITC Avant Garde" w:cstheme="minorHAnsi"/>
                <w:bCs/>
                <w:sz w:val="16"/>
                <w:szCs w:val="16"/>
                <w:lang w:eastAsia="es-MX"/>
              </w:rPr>
              <w:t xml:space="preserve"> mencionar que la atribución en México para el SFS en sentido (espacio-Tierra) en la banda 17.3-17.7 GHz tendrá validez </w:t>
            </w:r>
            <w:r w:rsidR="00D324CC">
              <w:rPr>
                <w:rFonts w:ascii="ITC Avant Garde" w:eastAsia="Times New Roman" w:hAnsi="ITC Avant Garde" w:cstheme="minorHAnsi"/>
                <w:bCs/>
                <w:sz w:val="16"/>
                <w:szCs w:val="16"/>
                <w:lang w:eastAsia="es-MX"/>
              </w:rPr>
              <w:t>a partir del 1</w:t>
            </w:r>
            <w:r w:rsidR="003008F0" w:rsidRPr="0046123E">
              <w:rPr>
                <w:rFonts w:ascii="ITC Avant Garde" w:eastAsia="Times New Roman" w:hAnsi="ITC Avant Garde" w:cstheme="minorHAnsi"/>
                <w:bCs/>
                <w:sz w:val="16"/>
                <w:szCs w:val="16"/>
                <w:lang w:eastAsia="es-MX"/>
              </w:rPr>
              <w:t xml:space="preserve"> de enero de 2025, fecha de entrada en vigor de</w:t>
            </w:r>
            <w:r w:rsidR="003008F0">
              <w:rPr>
                <w:rFonts w:ascii="ITC Avant Garde" w:eastAsia="Times New Roman" w:hAnsi="ITC Avant Garde" w:cstheme="minorHAnsi"/>
                <w:bCs/>
                <w:sz w:val="16"/>
                <w:szCs w:val="16"/>
                <w:lang w:eastAsia="es-MX"/>
              </w:rPr>
              <w:t xml:space="preserve"> las modificaciones al</w:t>
            </w:r>
            <w:r w:rsidR="003008F0" w:rsidRPr="0046123E">
              <w:rPr>
                <w:rFonts w:ascii="ITC Avant Garde" w:eastAsia="Times New Roman" w:hAnsi="ITC Avant Garde" w:cstheme="minorHAnsi"/>
                <w:bCs/>
                <w:sz w:val="16"/>
                <w:szCs w:val="16"/>
                <w:lang w:eastAsia="es-MX"/>
              </w:rPr>
              <w:t xml:space="preserve"> Reglamento de Radiocomunicaciones de la Unión Internacional de Telecomunicaciones</w:t>
            </w:r>
          </w:p>
        </w:tc>
      </w:tr>
      <w:tr w:rsidR="00DB2822" w:rsidRPr="00FD134A" w14:paraId="237A9410" w14:textId="77777777" w:rsidTr="00C170E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2543E25D" w14:textId="77777777" w:rsidR="00DB2822" w:rsidRPr="00FD134A" w:rsidRDefault="00DB2822"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Tabla de Atribuciones</w:t>
            </w:r>
          </w:p>
        </w:tc>
        <w:tc>
          <w:tcPr>
            <w:tcW w:w="2964" w:type="pct"/>
            <w:tcBorders>
              <w:right w:val="single" w:sz="4" w:space="0" w:color="A8D08D" w:themeColor="accent6" w:themeTint="99"/>
            </w:tcBorders>
            <w:shd w:val="clear" w:color="auto" w:fill="auto"/>
            <w:vAlign w:val="center"/>
          </w:tcPr>
          <w:p w14:paraId="384FDF21" w14:textId="5A522050" w:rsidR="00DB2822" w:rsidRPr="00724CB7" w:rsidRDefault="00DB2822"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6B2FCA8E" w14:textId="77777777" w:rsidR="00DB2822" w:rsidRPr="00FD134A" w:rsidRDefault="00DB2822"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DB2822" w:rsidRPr="00FD134A" w14:paraId="012189E3" w14:textId="77777777" w:rsidTr="00C170E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308EE1A3" w14:textId="77777777" w:rsidR="00DB2822" w:rsidRPr="00FD134A" w:rsidRDefault="00DB2822"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Notas Nacionales</w:t>
            </w:r>
          </w:p>
        </w:tc>
        <w:tc>
          <w:tcPr>
            <w:tcW w:w="2964" w:type="pct"/>
            <w:tcBorders>
              <w:right w:val="single" w:sz="4" w:space="0" w:color="A8D08D" w:themeColor="accent6" w:themeTint="99"/>
            </w:tcBorders>
            <w:shd w:val="clear" w:color="auto" w:fill="auto"/>
            <w:vAlign w:val="center"/>
          </w:tcPr>
          <w:p w14:paraId="7472EA0D" w14:textId="1BAE7960" w:rsidR="00DB2822" w:rsidRPr="00FD134A" w:rsidRDefault="00DB2822"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7789EBA1" w14:textId="77777777" w:rsidR="00DB2822" w:rsidRPr="00FD134A" w:rsidRDefault="00DB2822"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DB2822" w:rsidRPr="00FD134A" w14:paraId="78272BAB" w14:textId="77777777" w:rsidTr="00C170E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7EB36975" w14:textId="77777777" w:rsidR="00DB2822" w:rsidRPr="00FD134A" w:rsidRDefault="00DB2822"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Observaciones generales</w:t>
            </w:r>
          </w:p>
        </w:tc>
        <w:tc>
          <w:tcPr>
            <w:tcW w:w="2964" w:type="pct"/>
            <w:tcBorders>
              <w:right w:val="single" w:sz="4" w:space="0" w:color="A8D08D" w:themeColor="accent6" w:themeTint="99"/>
            </w:tcBorders>
            <w:shd w:val="clear" w:color="auto" w:fill="auto"/>
            <w:vAlign w:val="center"/>
          </w:tcPr>
          <w:p w14:paraId="04CDA08B" w14:textId="77777777" w:rsidR="00DB2822" w:rsidRDefault="00DB2822" w:rsidP="00DB282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B2822">
              <w:rPr>
                <w:rFonts w:ascii="ITC Avant Garde" w:eastAsia="Times New Roman" w:hAnsi="ITC Avant Garde" w:cstheme="minorHAnsi"/>
                <w:sz w:val="18"/>
                <w:szCs w:val="18"/>
                <w:lang w:eastAsia="es-MX"/>
              </w:rPr>
              <w:t>Satélites Mexicanos, S.A. de C.V. agradece la presente consulta pública sobre la revisión del Cuadro Nacional</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de Frecuencias (CNFA) para atribuir espectro radioeléctrico de uso experimental, así como de uso</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secundario en las bandas objeto de esta consulta.</w:t>
            </w:r>
          </w:p>
          <w:p w14:paraId="66C8B86F" w14:textId="77777777" w:rsidR="00DB2822" w:rsidRDefault="00DB2822" w:rsidP="00DB282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671D2ACD" w14:textId="7BDD1588" w:rsidR="00DB2822" w:rsidRDefault="00DB2822" w:rsidP="00DB282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B2822">
              <w:rPr>
                <w:rFonts w:ascii="ITC Avant Garde" w:eastAsia="Times New Roman" w:hAnsi="ITC Avant Garde" w:cstheme="minorHAnsi"/>
                <w:sz w:val="18"/>
                <w:szCs w:val="18"/>
                <w:lang w:eastAsia="es-MX"/>
              </w:rPr>
              <w:t>Con respecto a los resultados de la Conferencia Mundial de Radiocomunicaciones (CMR-23) de la UIT</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celebrada en Dubái, Emiratos Árabes del 16 Noviembre al 15 de diciembre del 2023, estamos en el</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entendido que el IFT todavía está revisando los resultados de esta Conferencia, para que en una posterior</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revisión al CNAF, sean incluidos; aunque se hace notar, que durante la 43 reunión del Comité Consultivo</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Permanente II Radiocomunicaciones de la CITEL celebrada en la Ciudad de Montevideo, Uruguay en abril</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de este año, México llevó varias propuestas de Recomendación derivadas de los resultados de la CMR-23,</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una de ellas fue que los países de la CITEL adopten el uso regional de la banda de frecuencias 17,3-17,7 GHz</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en el sentido espacio-Tierra para operaciones de sistemas de satélites geoestacionarios y no</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geoestacionarios del SFS, considerando los parámetros técnicos adoptados por la CMR-23. (ver</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Recomendación No. CCP.II/REC. 69 (XLIII-24).</w:t>
            </w:r>
          </w:p>
          <w:p w14:paraId="4957E681" w14:textId="77777777" w:rsidR="00DB2822" w:rsidRDefault="00DB2822" w:rsidP="00DB282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50B07AE5" w14:textId="77777777" w:rsidR="00DB2822" w:rsidRDefault="00DB2822" w:rsidP="00DB282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B2822">
              <w:rPr>
                <w:rFonts w:ascii="ITC Avant Garde" w:eastAsia="Times New Roman" w:hAnsi="ITC Avant Garde" w:cstheme="minorHAnsi"/>
                <w:sz w:val="18"/>
                <w:szCs w:val="18"/>
                <w:lang w:eastAsia="es-MX"/>
              </w:rPr>
              <w:t>Cabe mencionar que México fue uno de los principales promoventes de esta propuesta durante la CMR-23</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para que la banda 17,3-17,7 GHz que funciona como enlace de conexión del SRS a título primario en la</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Región 2, pudiera ser atribuida al SFS a título primario en el sentido espacio-Tierra en Región 2, con las</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correspondientes modificaciones a las notas del Cuadro de atribución de bandas de frecuencias 5.484A,</w:t>
            </w:r>
            <w:r>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5.517 y la inclusión de las nuevas notas 5.515A y 5.515B;</w:t>
            </w:r>
          </w:p>
          <w:p w14:paraId="2908CCFD" w14:textId="77777777" w:rsidR="00DB2822" w:rsidRDefault="00DB2822" w:rsidP="00053FF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43E19CD9" w14:textId="5DEA2F22" w:rsidR="00DB2822" w:rsidRPr="00FD134A" w:rsidRDefault="00DB2822" w:rsidP="00053FF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DB2822">
              <w:rPr>
                <w:rFonts w:ascii="ITC Avant Garde" w:eastAsia="Times New Roman" w:hAnsi="ITC Avant Garde" w:cstheme="minorHAnsi"/>
                <w:sz w:val="18"/>
                <w:szCs w:val="18"/>
                <w:lang w:eastAsia="es-MX"/>
              </w:rPr>
              <w:t>México ha realizado un arduo trabajo en los foros internacionales por lo que se exhorta al Instituto</w:t>
            </w:r>
            <w:r w:rsidR="00053FFD">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considerar que esta revisión al Cuadro Nacional de Frecuencias también pueda incluir los resultados de la</w:t>
            </w:r>
            <w:r w:rsidR="00053FFD">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CMR-23, ya que la mayoría de las disposiciones resultantes de esta conferencia entrarán en vigor a partir</w:t>
            </w:r>
            <w:r w:rsidR="00053FFD">
              <w:rPr>
                <w:rFonts w:ascii="ITC Avant Garde" w:eastAsia="Times New Roman" w:hAnsi="ITC Avant Garde" w:cstheme="minorHAnsi"/>
                <w:sz w:val="18"/>
                <w:szCs w:val="18"/>
                <w:lang w:eastAsia="es-MX"/>
              </w:rPr>
              <w:t xml:space="preserve"> </w:t>
            </w:r>
            <w:r w:rsidRPr="00DB2822">
              <w:rPr>
                <w:rFonts w:ascii="ITC Avant Garde" w:eastAsia="Times New Roman" w:hAnsi="ITC Avant Garde" w:cstheme="minorHAnsi"/>
                <w:sz w:val="18"/>
                <w:szCs w:val="18"/>
                <w:lang w:eastAsia="es-MX"/>
              </w:rPr>
              <w:t>del 2025.</w:t>
            </w:r>
          </w:p>
        </w:tc>
        <w:tc>
          <w:tcPr>
            <w:tcW w:w="1316" w:type="pct"/>
            <w:gridSpan w:val="2"/>
            <w:vMerge/>
            <w:tcBorders>
              <w:left w:val="single" w:sz="4" w:space="0" w:color="A8D08D" w:themeColor="accent6" w:themeTint="99"/>
            </w:tcBorders>
            <w:shd w:val="clear" w:color="auto" w:fill="auto"/>
            <w:vAlign w:val="center"/>
          </w:tcPr>
          <w:p w14:paraId="414B1310" w14:textId="77777777" w:rsidR="00DB2822" w:rsidRPr="00FD134A" w:rsidRDefault="00DB2822"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bl>
    <w:p w14:paraId="7795DE7A" w14:textId="77777777" w:rsidR="00DB2822" w:rsidRDefault="00DB2822" w:rsidP="00DB2822">
      <w:pPr>
        <w:spacing w:after="0" w:line="240" w:lineRule="auto"/>
        <w:rPr>
          <w:rFonts w:ascii="ITC Avant Garde" w:hAnsi="ITC Avant Garde"/>
          <w:color w:val="000000"/>
          <w:sz w:val="14"/>
          <w:szCs w:val="14"/>
          <w:shd w:val="clear" w:color="auto" w:fill="FFFFFF"/>
        </w:rPr>
      </w:pPr>
    </w:p>
    <w:p w14:paraId="4B84E4A2" w14:textId="77777777" w:rsidR="00DB2822" w:rsidRDefault="00DB2822" w:rsidP="00DB2822">
      <w:pPr>
        <w:spacing w:after="0" w:line="240" w:lineRule="auto"/>
        <w:rPr>
          <w:rFonts w:ascii="ITC Avant Garde" w:hAnsi="ITC Avant Garde"/>
          <w:color w:val="000000"/>
          <w:sz w:val="14"/>
          <w:szCs w:val="14"/>
          <w:shd w:val="clear" w:color="auto" w:fill="FFFFFF"/>
        </w:rPr>
      </w:pPr>
    </w:p>
    <w:p w14:paraId="4443ED7F" w14:textId="77777777" w:rsidR="00DB2822" w:rsidRDefault="00DB2822" w:rsidP="00DB2822">
      <w:pPr>
        <w:spacing w:after="0" w:line="240" w:lineRule="auto"/>
        <w:rPr>
          <w:rFonts w:ascii="ITC Avant Garde" w:hAnsi="ITC Avant Garde"/>
          <w:color w:val="000000"/>
          <w:sz w:val="14"/>
          <w:szCs w:val="14"/>
          <w:shd w:val="clear" w:color="auto" w:fill="FFFFFF"/>
        </w:rPr>
      </w:pPr>
    </w:p>
    <w:p w14:paraId="67B4C494" w14:textId="77777777" w:rsidR="006A5815" w:rsidRDefault="006A5815" w:rsidP="00DB2822">
      <w:pPr>
        <w:spacing w:after="0" w:line="240" w:lineRule="auto"/>
        <w:rPr>
          <w:rFonts w:ascii="ITC Avant Garde" w:hAnsi="ITC Avant Garde"/>
          <w:color w:val="000000"/>
          <w:sz w:val="14"/>
          <w:szCs w:val="14"/>
          <w:shd w:val="clear" w:color="auto" w:fill="FFFFFF"/>
        </w:rPr>
      </w:pPr>
    </w:p>
    <w:p w14:paraId="4C5203E3" w14:textId="77777777" w:rsidR="006A5815" w:rsidRDefault="006A5815" w:rsidP="00DB2822">
      <w:pPr>
        <w:spacing w:after="0" w:line="240" w:lineRule="auto"/>
        <w:rPr>
          <w:rFonts w:ascii="ITC Avant Garde" w:hAnsi="ITC Avant Garde"/>
          <w:color w:val="000000"/>
          <w:sz w:val="14"/>
          <w:szCs w:val="14"/>
          <w:shd w:val="clear" w:color="auto" w:fill="FFFFFF"/>
        </w:rPr>
      </w:pPr>
    </w:p>
    <w:p w14:paraId="26FBF402" w14:textId="77777777" w:rsidR="006A5815" w:rsidRDefault="006A5815" w:rsidP="00DB2822">
      <w:pPr>
        <w:spacing w:after="0" w:line="240" w:lineRule="auto"/>
        <w:rPr>
          <w:rFonts w:ascii="ITC Avant Garde" w:hAnsi="ITC Avant Garde"/>
          <w:color w:val="000000"/>
          <w:sz w:val="14"/>
          <w:szCs w:val="14"/>
          <w:shd w:val="clear" w:color="auto" w:fill="FFFFFF"/>
        </w:rPr>
      </w:pPr>
    </w:p>
    <w:p w14:paraId="0ACC5926" w14:textId="77777777" w:rsidR="006A5815" w:rsidRDefault="006A5815" w:rsidP="00DB2822">
      <w:pPr>
        <w:spacing w:after="0" w:line="240" w:lineRule="auto"/>
        <w:rPr>
          <w:rFonts w:ascii="ITC Avant Garde" w:hAnsi="ITC Avant Garde"/>
          <w:color w:val="000000"/>
          <w:sz w:val="14"/>
          <w:szCs w:val="14"/>
          <w:shd w:val="clear" w:color="auto" w:fill="FFFFFF"/>
        </w:rPr>
      </w:pPr>
    </w:p>
    <w:p w14:paraId="6D062594" w14:textId="77777777" w:rsidR="006A5815" w:rsidRDefault="006A5815" w:rsidP="00DB2822">
      <w:pPr>
        <w:spacing w:after="0" w:line="240" w:lineRule="auto"/>
        <w:rPr>
          <w:rFonts w:ascii="ITC Avant Garde" w:hAnsi="ITC Avant Garde"/>
          <w:color w:val="000000"/>
          <w:sz w:val="14"/>
          <w:szCs w:val="14"/>
          <w:shd w:val="clear" w:color="auto" w:fill="FFFFFF"/>
        </w:rPr>
      </w:pPr>
    </w:p>
    <w:p w14:paraId="6A086D16" w14:textId="77777777" w:rsidR="006A5815" w:rsidRDefault="006A5815" w:rsidP="00DB2822">
      <w:pPr>
        <w:spacing w:after="0" w:line="240" w:lineRule="auto"/>
        <w:rPr>
          <w:rFonts w:ascii="ITC Avant Garde" w:hAnsi="ITC Avant Garde"/>
          <w:color w:val="000000"/>
          <w:sz w:val="14"/>
          <w:szCs w:val="14"/>
          <w:shd w:val="clear" w:color="auto" w:fill="FFFFFF"/>
        </w:rPr>
      </w:pPr>
    </w:p>
    <w:p w14:paraId="27392285" w14:textId="77777777" w:rsidR="006A5815" w:rsidRDefault="006A5815" w:rsidP="00DB2822">
      <w:pPr>
        <w:spacing w:after="0" w:line="240" w:lineRule="auto"/>
        <w:rPr>
          <w:rFonts w:ascii="ITC Avant Garde" w:hAnsi="ITC Avant Garde"/>
          <w:color w:val="000000"/>
          <w:sz w:val="14"/>
          <w:szCs w:val="14"/>
          <w:shd w:val="clear" w:color="auto" w:fill="FFFFFF"/>
        </w:rPr>
      </w:pPr>
    </w:p>
    <w:p w14:paraId="2817B2F1" w14:textId="77777777" w:rsidR="006A5815" w:rsidRDefault="006A5815" w:rsidP="00DB2822">
      <w:pPr>
        <w:spacing w:after="0" w:line="240" w:lineRule="auto"/>
        <w:rPr>
          <w:rFonts w:ascii="ITC Avant Garde" w:hAnsi="ITC Avant Garde"/>
          <w:color w:val="000000"/>
          <w:sz w:val="14"/>
          <w:szCs w:val="14"/>
          <w:shd w:val="clear" w:color="auto" w:fill="FFFFFF"/>
        </w:rPr>
      </w:pPr>
    </w:p>
    <w:p w14:paraId="7CFB0862" w14:textId="77777777" w:rsidR="00DB2822" w:rsidRDefault="00DB2822" w:rsidP="00DB2822">
      <w:pPr>
        <w:spacing w:after="0" w:line="240" w:lineRule="auto"/>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DB2822" w:rsidRPr="00FD134A" w14:paraId="7FF037AA" w14:textId="77777777" w:rsidTr="00C170E7">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457DA358" w14:textId="77777777" w:rsidR="00DB2822" w:rsidRPr="00FD134A" w:rsidRDefault="00DB2822" w:rsidP="00C170E7">
            <w:pPr>
              <w:ind w:left="316"/>
              <w:jc w:val="center"/>
              <w:rPr>
                <w:rFonts w:ascii="ITC Avant Garde" w:hAnsi="ITC Avant Garde"/>
                <w:b w:val="0"/>
                <w:sz w:val="18"/>
                <w:szCs w:val="18"/>
                <w:lang w:eastAsia="es-MX"/>
              </w:rPr>
            </w:pPr>
            <w:r w:rsidRPr="00FD134A">
              <w:rPr>
                <w:rFonts w:ascii="ITC Avant Garde" w:hAnsi="ITC Avant Garde"/>
                <w:bCs w:val="0"/>
                <w:sz w:val="18"/>
                <w:szCs w:val="18"/>
                <w:lang w:eastAsia="es-MX"/>
              </w:rPr>
              <w:t>Comentarios, opiniones, propuestas y aportaciones específicos de la persona participante sobre el asunto en Consulta Pública</w:t>
            </w:r>
          </w:p>
        </w:tc>
      </w:tr>
      <w:tr w:rsidR="00DB2822" w:rsidRPr="00FD134A" w14:paraId="5956218E" w14:textId="77777777" w:rsidTr="00C170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3D9466A6" w14:textId="77777777" w:rsidR="00DB2822" w:rsidRPr="00FD134A" w:rsidRDefault="00DB2822" w:rsidP="00C170E7">
            <w:pPr>
              <w:ind w:left="316"/>
              <w:rPr>
                <w:rFonts w:ascii="ITC Avant Garde" w:hAnsi="ITC Avant Garde"/>
                <w:sz w:val="18"/>
                <w:szCs w:val="18"/>
                <w:lang w:eastAsia="es-MX"/>
              </w:rPr>
            </w:pPr>
            <w:r w:rsidRPr="00FD134A">
              <w:rPr>
                <w:rFonts w:ascii="ITC Avant Garde" w:hAnsi="ITC Avant Garde"/>
                <w:color w:val="FFFFFF" w:themeColor="background1"/>
                <w:sz w:val="18"/>
                <w:szCs w:val="18"/>
                <w:lang w:eastAsia="es-MX"/>
              </w:rPr>
              <w:lastRenderedPageBreak/>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132CBBF" w14:textId="6E0F320D" w:rsidR="00DB2822" w:rsidRPr="00FD134A" w:rsidRDefault="00CC4912" w:rsidP="00C170E7">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proofErr w:type="spellStart"/>
            <w:r w:rsidRPr="00CC4912">
              <w:rPr>
                <w:rFonts w:ascii="ITC Avant Garde" w:hAnsi="ITC Avant Garde"/>
                <w:sz w:val="18"/>
                <w:szCs w:val="18"/>
                <w:lang w:eastAsia="es-MX"/>
              </w:rPr>
              <w:t>Viasat</w:t>
            </w:r>
            <w:proofErr w:type="spellEnd"/>
            <w:r w:rsidRPr="00CC4912">
              <w:rPr>
                <w:rFonts w:ascii="ITC Avant Garde" w:hAnsi="ITC Avant Garde"/>
                <w:sz w:val="18"/>
                <w:szCs w:val="18"/>
                <w:lang w:eastAsia="es-MX"/>
              </w:rPr>
              <w:t xml:space="preserve"> Tecnología, S.A. de C.V.</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14BEFEE9" w14:textId="77777777" w:rsidR="00DB2822" w:rsidRPr="00FD134A" w:rsidRDefault="00DB2822" w:rsidP="00C170E7">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FD134A">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E45DDAD" w14:textId="133DD1A5" w:rsidR="00DB2822" w:rsidRPr="00FD134A" w:rsidRDefault="00DB2822" w:rsidP="00C170E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7D112C">
              <w:rPr>
                <w:rFonts w:ascii="ITC Avant Garde" w:hAnsi="ITC Avant Garde"/>
                <w:sz w:val="18"/>
                <w:szCs w:val="18"/>
                <w:lang w:eastAsia="es-MX"/>
              </w:rPr>
              <w:t>20240628-CP_CNAF-00</w:t>
            </w:r>
            <w:r w:rsidR="00CC4912">
              <w:rPr>
                <w:rFonts w:ascii="ITC Avant Garde" w:hAnsi="ITC Avant Garde"/>
                <w:sz w:val="18"/>
                <w:szCs w:val="18"/>
                <w:lang w:eastAsia="es-MX"/>
              </w:rPr>
              <w:t>8</w:t>
            </w:r>
          </w:p>
        </w:tc>
      </w:tr>
      <w:tr w:rsidR="00DB2822" w:rsidRPr="00FD134A" w14:paraId="6C65BAFD" w14:textId="77777777" w:rsidTr="00C170E7">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585235CD" w14:textId="77777777" w:rsidR="00DB2822" w:rsidRPr="00FD134A" w:rsidRDefault="00DB2822" w:rsidP="00C170E7">
            <w:pPr>
              <w:jc w:val="center"/>
              <w:rPr>
                <w:rFonts w:ascii="ITC Avant Garde" w:eastAsia="Times New Roman" w:hAnsi="ITC Avant Garde" w:cstheme="minorHAnsi"/>
                <w:bCs w:val="0"/>
                <w:sz w:val="18"/>
                <w:szCs w:val="18"/>
                <w:lang w:eastAsia="es-MX"/>
              </w:rPr>
            </w:pPr>
            <w:r w:rsidRPr="00FD134A">
              <w:rPr>
                <w:rFonts w:ascii="ITC Avant Garde" w:eastAsia="Times New Roman" w:hAnsi="ITC Avant Garde" w:cstheme="minorHAnsi"/>
                <w:bCs w:val="0"/>
                <w:sz w:val="18"/>
                <w:szCs w:val="18"/>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64E6E4EB" w14:textId="77777777" w:rsidR="00DB2822" w:rsidRPr="00FD134A" w:rsidRDefault="00DB2822" w:rsidP="00C170E7">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FD134A">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08E8F759" w14:textId="77777777" w:rsidR="00DB2822" w:rsidRPr="00FD134A" w:rsidRDefault="00DB2822" w:rsidP="00C170E7">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FD134A">
              <w:rPr>
                <w:rFonts w:ascii="ITC Avant Garde" w:eastAsia="Times New Roman" w:hAnsi="ITC Avant Garde" w:cstheme="minorHAnsi"/>
                <w:b/>
                <w:sz w:val="18"/>
                <w:szCs w:val="18"/>
                <w:lang w:eastAsia="es-MX"/>
              </w:rPr>
              <w:t>Respuesta del Instituto</w:t>
            </w:r>
          </w:p>
        </w:tc>
      </w:tr>
      <w:tr w:rsidR="00610941" w:rsidRPr="00FD134A" w14:paraId="04F17940" w14:textId="77777777" w:rsidTr="00CC491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15C37BD1" w14:textId="77777777" w:rsidR="00610941" w:rsidRPr="00FD134A" w:rsidRDefault="00610941" w:rsidP="00C170E7">
            <w:pPr>
              <w:jc w:val="center"/>
              <w:rPr>
                <w:rFonts w:ascii="ITC Avant Garde" w:eastAsia="Times New Roman" w:hAnsi="ITC Avant Garde" w:cstheme="minorHAnsi"/>
                <w:b w:val="0"/>
                <w:sz w:val="18"/>
                <w:szCs w:val="18"/>
                <w:lang w:eastAsia="es-MX"/>
              </w:rPr>
            </w:pPr>
            <w:r w:rsidRPr="00FD134A">
              <w:rPr>
                <w:rFonts w:ascii="ITC Avant Garde" w:eastAsia="Times New Roman" w:hAnsi="ITC Avant Garde" w:cstheme="minorHAnsi"/>
                <w:b w:val="0"/>
                <w:sz w:val="18"/>
                <w:szCs w:val="18"/>
                <w:lang w:eastAsia="es-MX"/>
              </w:rPr>
              <w:t>Sección introductoria</w:t>
            </w:r>
          </w:p>
        </w:tc>
        <w:tc>
          <w:tcPr>
            <w:tcW w:w="2964" w:type="pct"/>
            <w:tcBorders>
              <w:right w:val="single" w:sz="4" w:space="0" w:color="A8D08D" w:themeColor="accent6" w:themeTint="99"/>
            </w:tcBorders>
            <w:shd w:val="clear" w:color="auto" w:fill="auto"/>
          </w:tcPr>
          <w:p w14:paraId="5FC50FAB" w14:textId="77777777" w:rsidR="00610941" w:rsidRDefault="00610941" w:rsidP="00CC491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CC4912">
              <w:rPr>
                <w:rFonts w:ascii="ITC Avant Garde" w:eastAsia="Times New Roman" w:hAnsi="ITC Avant Garde" w:cstheme="minorHAnsi"/>
                <w:b/>
                <w:bCs/>
                <w:sz w:val="18"/>
                <w:szCs w:val="18"/>
                <w:lang w:eastAsia="es-MX"/>
              </w:rPr>
              <w:t>Concesiones para uso privado con propósitos de experimentación</w:t>
            </w:r>
          </w:p>
          <w:p w14:paraId="0DEA5FA9" w14:textId="77777777" w:rsidR="00610941" w:rsidRPr="00610941" w:rsidRDefault="00610941" w:rsidP="00CC491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0"/>
                <w:szCs w:val="10"/>
                <w:lang w:eastAsia="es-MX"/>
              </w:rPr>
            </w:pPr>
          </w:p>
          <w:p w14:paraId="4EADD5EF" w14:textId="30588A77" w:rsidR="00610941" w:rsidRDefault="00610941" w:rsidP="00CC491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roofErr w:type="spellStart"/>
            <w:r w:rsidRPr="00CC4912">
              <w:rPr>
                <w:rFonts w:ascii="ITC Avant Garde" w:eastAsia="Times New Roman" w:hAnsi="ITC Avant Garde" w:cstheme="minorHAnsi"/>
                <w:sz w:val="18"/>
                <w:szCs w:val="18"/>
                <w:lang w:eastAsia="es-MX"/>
              </w:rPr>
              <w:t>Viasat</w:t>
            </w:r>
            <w:proofErr w:type="spellEnd"/>
            <w:r w:rsidRPr="00CC4912">
              <w:rPr>
                <w:rFonts w:ascii="ITC Avant Garde" w:eastAsia="Times New Roman" w:hAnsi="ITC Avant Garde" w:cstheme="minorHAnsi"/>
                <w:sz w:val="18"/>
                <w:szCs w:val="18"/>
                <w:lang w:eastAsia="es-MX"/>
              </w:rPr>
              <w:t xml:space="preserve"> Tecnología S.A. de C.V. (</w:t>
            </w:r>
            <w:r w:rsidRPr="00CC4912">
              <w:rPr>
                <w:rFonts w:ascii="ITC Avant Garde" w:eastAsia="Times New Roman" w:hAnsi="ITC Avant Garde" w:cstheme="minorHAnsi"/>
                <w:b/>
                <w:bCs/>
                <w:sz w:val="18"/>
                <w:szCs w:val="18"/>
                <w:lang w:eastAsia="es-MX"/>
              </w:rPr>
              <w:t>“</w:t>
            </w:r>
            <w:proofErr w:type="spellStart"/>
            <w:r w:rsidRPr="00CC4912">
              <w:rPr>
                <w:rFonts w:ascii="ITC Avant Garde" w:eastAsia="Times New Roman" w:hAnsi="ITC Avant Garde" w:cstheme="minorHAnsi"/>
                <w:b/>
                <w:bCs/>
                <w:sz w:val="18"/>
                <w:szCs w:val="18"/>
                <w:lang w:eastAsia="es-MX"/>
              </w:rPr>
              <w:t>Viasat</w:t>
            </w:r>
            <w:proofErr w:type="spellEnd"/>
            <w:r w:rsidRPr="00CC4912">
              <w:rPr>
                <w:rFonts w:ascii="ITC Avant Garde" w:eastAsia="Times New Roman" w:hAnsi="ITC Avant Garde" w:cstheme="minorHAnsi"/>
                <w:b/>
                <w:bCs/>
                <w:sz w:val="18"/>
                <w:szCs w:val="18"/>
                <w:lang w:eastAsia="es-MX"/>
              </w:rPr>
              <w:t>”</w:t>
            </w:r>
            <w:r w:rsidRPr="00CC4912">
              <w:rPr>
                <w:rFonts w:ascii="ITC Avant Garde" w:eastAsia="Times New Roman" w:hAnsi="ITC Avant Garde" w:cstheme="minorHAnsi"/>
                <w:sz w:val="18"/>
                <w:szCs w:val="18"/>
                <w:lang w:eastAsia="es-MX"/>
              </w:rPr>
              <w:t>) agradece la oportunidad de contribuir</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a esta consulta pública sobre el Anteproyecto de Acuerdo de modificación del</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Cuadro Nacional de Atribución de Frecuencias de México (</w:t>
            </w:r>
            <w:r w:rsidRPr="00CC4912">
              <w:rPr>
                <w:rFonts w:ascii="ITC Avant Garde" w:eastAsia="Times New Roman" w:hAnsi="ITC Avant Garde" w:cstheme="minorHAnsi"/>
                <w:b/>
                <w:bCs/>
                <w:sz w:val="18"/>
                <w:szCs w:val="18"/>
                <w:lang w:eastAsia="es-MX"/>
              </w:rPr>
              <w:t>“CNAF”</w:t>
            </w:r>
            <w:r w:rsidRPr="00CC4912">
              <w:rPr>
                <w:rFonts w:ascii="ITC Avant Garde" w:eastAsia="Times New Roman" w:hAnsi="ITC Avant Garde" w:cstheme="minorHAnsi"/>
                <w:sz w:val="18"/>
                <w:szCs w:val="18"/>
                <w:lang w:eastAsia="es-MX"/>
              </w:rPr>
              <w:t>). Los</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 xml:space="preserve">comentarios de </w:t>
            </w:r>
            <w:proofErr w:type="spellStart"/>
            <w:r w:rsidRPr="00CC4912">
              <w:rPr>
                <w:rFonts w:ascii="ITC Avant Garde" w:eastAsia="Times New Roman" w:hAnsi="ITC Avant Garde" w:cstheme="minorHAnsi"/>
                <w:sz w:val="18"/>
                <w:szCs w:val="18"/>
                <w:lang w:eastAsia="es-MX"/>
              </w:rPr>
              <w:t>Viasat</w:t>
            </w:r>
            <w:proofErr w:type="spellEnd"/>
            <w:r w:rsidRPr="00CC4912">
              <w:rPr>
                <w:rFonts w:ascii="ITC Avant Garde" w:eastAsia="Times New Roman" w:hAnsi="ITC Avant Garde" w:cstheme="minorHAnsi"/>
                <w:sz w:val="18"/>
                <w:szCs w:val="18"/>
                <w:lang w:eastAsia="es-MX"/>
              </w:rPr>
              <w:t xml:space="preserve"> se centran en la necesidad de proteger los servicios</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existentes que se prestan a título primario frente a nuevos servicios</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experimentales o secundarios.</w:t>
            </w:r>
          </w:p>
          <w:p w14:paraId="4D81269B" w14:textId="77777777" w:rsidR="00610941" w:rsidRPr="00610941" w:rsidRDefault="00610941" w:rsidP="00CC491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4B70B653" w14:textId="77777777" w:rsidR="00610941" w:rsidRDefault="00610941" w:rsidP="00CC491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roofErr w:type="spellStart"/>
            <w:r w:rsidRPr="00CC4912">
              <w:rPr>
                <w:rFonts w:ascii="ITC Avant Garde" w:eastAsia="Times New Roman" w:hAnsi="ITC Avant Garde" w:cstheme="minorHAnsi"/>
                <w:sz w:val="18"/>
                <w:szCs w:val="18"/>
                <w:lang w:eastAsia="es-MX"/>
              </w:rPr>
              <w:t>Viasat</w:t>
            </w:r>
            <w:proofErr w:type="spellEnd"/>
            <w:r w:rsidRPr="00CC4912">
              <w:rPr>
                <w:rFonts w:ascii="ITC Avant Garde" w:eastAsia="Times New Roman" w:hAnsi="ITC Avant Garde" w:cstheme="minorHAnsi"/>
                <w:sz w:val="18"/>
                <w:szCs w:val="18"/>
                <w:lang w:eastAsia="es-MX"/>
              </w:rPr>
              <w:t xml:space="preserve"> propone que ese Instituto Federal de Telecomunicaciones </w:t>
            </w:r>
            <w:r w:rsidRPr="00CC4912">
              <w:rPr>
                <w:rFonts w:ascii="ITC Avant Garde" w:eastAsia="Times New Roman" w:hAnsi="ITC Avant Garde" w:cstheme="minorHAnsi"/>
                <w:b/>
                <w:bCs/>
                <w:sz w:val="18"/>
                <w:szCs w:val="18"/>
                <w:lang w:eastAsia="es-MX"/>
              </w:rPr>
              <w:t>(“IFT”</w:t>
            </w:r>
            <w:r w:rsidRPr="00CC4912">
              <w:rPr>
                <w:rFonts w:ascii="ITC Avant Garde" w:eastAsia="Times New Roman" w:hAnsi="ITC Avant Garde" w:cstheme="minorHAnsi"/>
                <w:sz w:val="18"/>
                <w:szCs w:val="18"/>
                <w:lang w:eastAsia="es-MX"/>
              </w:rPr>
              <w:t>)</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establezca criterios de protección claros y bien definidos para los servicios</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debidamente atribuidos que ya están en funcionamiento y que pueden verse</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afectados por la operación de cualquier nuevo servicio de</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radiocomunicaciones, particularmente cuando los nuevos</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servicios propuestos</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son de carácter experimental o secundario. Es necesario proteger los servicios</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existentes, incluyendo bandas adyacentes, y gestionar la introducción, entre</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otras cosas, de nuevas emisiones no deseadas y fuera de banda, interferencia</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transfronteriza e interferencia derivada del uso del espectro en direcciones</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“inversas” (por ejemplo, espectro de enlace descendente reutilizado para</w:t>
            </w:r>
            <w:r>
              <w:rPr>
                <w:rFonts w:ascii="ITC Avant Garde" w:eastAsia="Times New Roman" w:hAnsi="ITC Avant Garde" w:cstheme="minorHAnsi"/>
                <w:sz w:val="18"/>
                <w:szCs w:val="18"/>
                <w:lang w:eastAsia="es-MX"/>
              </w:rPr>
              <w:t xml:space="preserve"> </w:t>
            </w:r>
            <w:r w:rsidRPr="00CC4912">
              <w:rPr>
                <w:rFonts w:ascii="ITC Avant Garde" w:eastAsia="Times New Roman" w:hAnsi="ITC Avant Garde" w:cstheme="minorHAnsi"/>
                <w:sz w:val="18"/>
                <w:szCs w:val="18"/>
                <w:lang w:eastAsia="es-MX"/>
              </w:rPr>
              <w:t>enlaces ascendentes) que podrían afectar los servicios existentes.</w:t>
            </w:r>
          </w:p>
          <w:p w14:paraId="6E634079" w14:textId="77777777" w:rsidR="00610941" w:rsidRPr="00610941" w:rsidRDefault="00610941" w:rsidP="00CC491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29746792" w14:textId="77777777" w:rsidR="00610941" w:rsidRDefault="00610941" w:rsidP="0061094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610941">
              <w:rPr>
                <w:rFonts w:ascii="ITC Avant Garde" w:eastAsia="Times New Roman" w:hAnsi="ITC Avant Garde" w:cstheme="minorHAnsi"/>
                <w:sz w:val="18"/>
                <w:szCs w:val="18"/>
                <w:lang w:eastAsia="es-MX"/>
              </w:rPr>
              <w:t>Sin protecciones adecuadas, la confiabilidad continua de servicios esenciales</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como los sistemas de comunicaciones por satélite podría estar en peligro.</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Nuevas interferencias no deseadas e inesperadas podrían perturbar</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operaciones críticas, impedir el logro de objetivos gubernamentales, requerir</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una modernización costosa y prematura de los equipos de comunicaciones</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gubernamentales y, en última instancia, causar daños sustanciales al desarrollo</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socioeconómico.</w:t>
            </w:r>
          </w:p>
          <w:p w14:paraId="6F3D6F6E" w14:textId="77777777" w:rsidR="00610941" w:rsidRPr="00610941" w:rsidRDefault="00610941" w:rsidP="0061094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17F2EB9A" w14:textId="77777777" w:rsidR="00610941" w:rsidRDefault="00610941" w:rsidP="0061094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610941">
              <w:rPr>
                <w:rFonts w:ascii="ITC Avant Garde" w:eastAsia="Times New Roman" w:hAnsi="ITC Avant Garde" w:cstheme="minorHAnsi"/>
                <w:sz w:val="18"/>
                <w:szCs w:val="18"/>
                <w:lang w:eastAsia="es-MX"/>
              </w:rPr>
              <w:t>Cualquiera que sea la combinación de tecnologías que se busque, será</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necesario que el IFT examine cuidadosamente el potencial de interferencia a</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los servicios primarios y garantice que se apliquen restricciones adecuadas a los</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sistemas experimentales propuestos. La operación de sistemas experimentales</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que causan interferencias perjudiciales o perturbadoras a otros servicios no</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constituye un uso eficiente del espectro. Además, se perjudicará la percepción</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que tiene el usuario del servicio que recibe.</w:t>
            </w:r>
          </w:p>
          <w:p w14:paraId="40BA7096" w14:textId="77777777" w:rsidR="00610941" w:rsidRPr="00610941" w:rsidRDefault="00610941" w:rsidP="0061094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42A3BAF4" w14:textId="77777777" w:rsidR="00610941" w:rsidRDefault="00610941" w:rsidP="0061094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610941">
              <w:rPr>
                <w:rFonts w:ascii="ITC Avant Garde" w:eastAsia="Times New Roman" w:hAnsi="ITC Avant Garde" w:cstheme="minorHAnsi"/>
                <w:sz w:val="18"/>
                <w:szCs w:val="18"/>
                <w:lang w:eastAsia="es-MX"/>
              </w:rPr>
              <w:t xml:space="preserve">En tal contexto, </w:t>
            </w:r>
            <w:proofErr w:type="spellStart"/>
            <w:r w:rsidRPr="00610941">
              <w:rPr>
                <w:rFonts w:ascii="ITC Avant Garde" w:eastAsia="Times New Roman" w:hAnsi="ITC Avant Garde" w:cstheme="minorHAnsi"/>
                <w:sz w:val="18"/>
                <w:szCs w:val="18"/>
                <w:lang w:eastAsia="es-MX"/>
              </w:rPr>
              <w:t>Viasat</w:t>
            </w:r>
            <w:proofErr w:type="spellEnd"/>
            <w:r w:rsidRPr="00610941">
              <w:rPr>
                <w:rFonts w:ascii="ITC Avant Garde" w:eastAsia="Times New Roman" w:hAnsi="ITC Avant Garde" w:cstheme="minorHAnsi"/>
                <w:sz w:val="18"/>
                <w:szCs w:val="18"/>
                <w:lang w:eastAsia="es-MX"/>
              </w:rPr>
              <w:t xml:space="preserve"> sugiere dejar claro en la autorización de los sistemas</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experimentales propuestos, que el IFT no autorizará ninguna operación</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comercial de manera definitiva, ni que dicha autorización conlleva el</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reconocimiento de derechos adquiridos.</w:t>
            </w:r>
          </w:p>
          <w:p w14:paraId="4D3D2EDE" w14:textId="77777777" w:rsidR="00610941" w:rsidRPr="00610941" w:rsidRDefault="00610941" w:rsidP="0061094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0"/>
                <w:szCs w:val="10"/>
                <w:lang w:eastAsia="es-MX"/>
              </w:rPr>
            </w:pPr>
          </w:p>
          <w:p w14:paraId="0771B6CE" w14:textId="5304C0C8" w:rsidR="00610941" w:rsidRPr="00CC4912" w:rsidRDefault="00610941" w:rsidP="00610941">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610941">
              <w:rPr>
                <w:rFonts w:ascii="ITC Avant Garde" w:eastAsia="Times New Roman" w:hAnsi="ITC Avant Garde" w:cstheme="minorHAnsi"/>
                <w:sz w:val="18"/>
                <w:szCs w:val="18"/>
                <w:lang w:eastAsia="es-MX"/>
              </w:rPr>
              <w:t>El concesionamiento de servicios experimentales que buscan operar con</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independencia de las atribuciones en el CNAF de forma definitiva</w:t>
            </w:r>
            <w:r>
              <w:rPr>
                <w:rFonts w:ascii="ITC Avant Garde" w:eastAsia="Times New Roman" w:hAnsi="ITC Avant Garde" w:cstheme="minorHAnsi"/>
                <w:sz w:val="18"/>
                <w:szCs w:val="18"/>
                <w:lang w:eastAsia="es-MX"/>
              </w:rPr>
              <w:t>,</w:t>
            </w:r>
            <w:r w:rsidRPr="00610941">
              <w:rPr>
                <w:rFonts w:ascii="ITC Avant Garde" w:eastAsia="Times New Roman" w:hAnsi="ITC Avant Garde" w:cstheme="minorHAnsi"/>
                <w:sz w:val="18"/>
                <w:szCs w:val="18"/>
                <w:lang w:eastAsia="es-MX"/>
              </w:rPr>
              <w:t xml:space="preserve"> produciría</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incertidumbre para las inversiones a largo plazo y pondría en riesgo la actual</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planificación y despliegue de servicios. Como parte de la autorización de dichos</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usos experimentales del espectro, deberán adoptarse criterios de protección</w:t>
            </w:r>
            <w:r>
              <w:rPr>
                <w:rFonts w:ascii="ITC Avant Garde" w:eastAsia="Times New Roman" w:hAnsi="ITC Avant Garde" w:cstheme="minorHAnsi"/>
                <w:sz w:val="18"/>
                <w:szCs w:val="18"/>
                <w:lang w:eastAsia="es-MX"/>
              </w:rPr>
              <w:t xml:space="preserve"> </w:t>
            </w:r>
            <w:r w:rsidRPr="00610941">
              <w:rPr>
                <w:rFonts w:ascii="ITC Avant Garde" w:eastAsia="Times New Roman" w:hAnsi="ITC Avant Garde" w:cstheme="minorHAnsi"/>
                <w:sz w:val="18"/>
                <w:szCs w:val="18"/>
                <w:lang w:eastAsia="es-MX"/>
              </w:rPr>
              <w:t>adecuados, basados, entre otros, en el servicio y la banda de que se trate.</w:t>
            </w:r>
          </w:p>
        </w:tc>
        <w:tc>
          <w:tcPr>
            <w:tcW w:w="1316" w:type="pct"/>
            <w:gridSpan w:val="2"/>
            <w:vMerge w:val="restart"/>
            <w:tcBorders>
              <w:left w:val="single" w:sz="4" w:space="0" w:color="A8D08D" w:themeColor="accent6" w:themeTint="99"/>
            </w:tcBorders>
            <w:shd w:val="clear" w:color="auto" w:fill="auto"/>
            <w:vAlign w:val="center"/>
          </w:tcPr>
          <w:p w14:paraId="19311757" w14:textId="77777777" w:rsidR="00610941" w:rsidRDefault="00610941" w:rsidP="000C1A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583FA3">
              <w:rPr>
                <w:rFonts w:ascii="ITC Avant Garde" w:eastAsia="Times New Roman" w:hAnsi="ITC Avant Garde" w:cstheme="minorHAnsi"/>
                <w:bCs/>
                <w:sz w:val="16"/>
                <w:szCs w:val="16"/>
                <w:lang w:eastAsia="es-MX"/>
              </w:rPr>
              <w:t xml:space="preserve">El Instituto </w:t>
            </w:r>
            <w:r w:rsidR="00AD5E45" w:rsidRPr="00583FA3">
              <w:rPr>
                <w:rFonts w:ascii="ITC Avant Garde" w:eastAsia="Times New Roman" w:hAnsi="ITC Avant Garde" w:cstheme="minorHAnsi"/>
                <w:bCs/>
                <w:sz w:val="16"/>
                <w:szCs w:val="16"/>
                <w:lang w:eastAsia="es-MX"/>
              </w:rPr>
              <w:t xml:space="preserve">Federal de Telecomunicaciones </w:t>
            </w:r>
            <w:r w:rsidRPr="00583FA3">
              <w:rPr>
                <w:rFonts w:ascii="ITC Avant Garde" w:eastAsia="Times New Roman" w:hAnsi="ITC Avant Garde" w:cstheme="minorHAnsi"/>
                <w:bCs/>
                <w:sz w:val="16"/>
                <w:szCs w:val="16"/>
                <w:lang w:eastAsia="es-MX"/>
              </w:rPr>
              <w:t xml:space="preserve">agradece la </w:t>
            </w:r>
            <w:r w:rsidR="00AD5E45" w:rsidRPr="00583FA3">
              <w:rPr>
                <w:rFonts w:ascii="ITC Avant Garde" w:eastAsia="Times New Roman" w:hAnsi="ITC Avant Garde" w:cstheme="minorHAnsi"/>
                <w:bCs/>
                <w:sz w:val="16"/>
                <w:szCs w:val="16"/>
                <w:lang w:eastAsia="es-MX"/>
              </w:rPr>
              <w:t xml:space="preserve">manifestación realizada por la </w:t>
            </w:r>
            <w:r w:rsidRPr="00583FA3">
              <w:rPr>
                <w:rFonts w:ascii="ITC Avant Garde" w:eastAsia="Times New Roman" w:hAnsi="ITC Avant Garde" w:cstheme="minorHAnsi"/>
                <w:bCs/>
                <w:sz w:val="16"/>
                <w:szCs w:val="16"/>
                <w:lang w:eastAsia="es-MX"/>
              </w:rPr>
              <w:t xml:space="preserve">empresa </w:t>
            </w:r>
            <w:proofErr w:type="spellStart"/>
            <w:r w:rsidRPr="00583FA3">
              <w:rPr>
                <w:rFonts w:ascii="ITC Avant Garde" w:eastAsia="Times New Roman" w:hAnsi="ITC Avant Garde" w:cstheme="minorHAnsi"/>
                <w:bCs/>
                <w:sz w:val="16"/>
                <w:szCs w:val="16"/>
                <w:lang w:eastAsia="es-MX"/>
              </w:rPr>
              <w:t>Viasat</w:t>
            </w:r>
            <w:proofErr w:type="spellEnd"/>
            <w:r w:rsidRPr="00583FA3">
              <w:rPr>
                <w:rFonts w:ascii="ITC Avant Garde" w:eastAsia="Times New Roman" w:hAnsi="ITC Avant Garde" w:cstheme="minorHAnsi"/>
                <w:bCs/>
                <w:sz w:val="16"/>
                <w:szCs w:val="16"/>
                <w:lang w:eastAsia="es-MX"/>
              </w:rPr>
              <w:t xml:space="preserve"> Tecnología, S.A. de C.V.</w:t>
            </w:r>
            <w:r w:rsidR="00AD5E45" w:rsidRPr="00583FA3">
              <w:rPr>
                <w:rFonts w:ascii="ITC Avant Garde" w:eastAsia="Times New Roman" w:hAnsi="ITC Avant Garde" w:cstheme="minorHAnsi"/>
                <w:bCs/>
                <w:sz w:val="16"/>
                <w:szCs w:val="16"/>
                <w:lang w:eastAsia="es-MX"/>
              </w:rPr>
              <w:t xml:space="preserve">, referente a </w:t>
            </w:r>
            <w:r w:rsidR="00CC1C89">
              <w:rPr>
                <w:rFonts w:ascii="ITC Avant Garde" w:eastAsia="Times New Roman" w:hAnsi="ITC Avant Garde" w:cstheme="minorHAnsi"/>
                <w:bCs/>
                <w:sz w:val="16"/>
                <w:szCs w:val="16"/>
                <w:lang w:eastAsia="es-MX"/>
              </w:rPr>
              <w:t>divers</w:t>
            </w:r>
            <w:r w:rsidR="001E5E0B">
              <w:rPr>
                <w:rFonts w:ascii="ITC Avant Garde" w:eastAsia="Times New Roman" w:hAnsi="ITC Avant Garde" w:cstheme="minorHAnsi"/>
                <w:bCs/>
                <w:sz w:val="16"/>
                <w:szCs w:val="16"/>
                <w:lang w:eastAsia="es-MX"/>
              </w:rPr>
              <w:t xml:space="preserve">os comentarios y </w:t>
            </w:r>
            <w:r w:rsidR="00AD5E45" w:rsidRPr="00583FA3">
              <w:rPr>
                <w:rFonts w:ascii="ITC Avant Garde" w:eastAsia="Times New Roman" w:hAnsi="ITC Avant Garde" w:cstheme="minorHAnsi"/>
                <w:bCs/>
                <w:sz w:val="16"/>
                <w:szCs w:val="16"/>
                <w:lang w:eastAsia="es-MX"/>
              </w:rPr>
              <w:t>propuesta</w:t>
            </w:r>
            <w:r w:rsidR="00CC1C89">
              <w:rPr>
                <w:rFonts w:ascii="ITC Avant Garde" w:eastAsia="Times New Roman" w:hAnsi="ITC Avant Garde" w:cstheme="minorHAnsi"/>
                <w:bCs/>
                <w:sz w:val="16"/>
                <w:szCs w:val="16"/>
                <w:lang w:eastAsia="es-MX"/>
              </w:rPr>
              <w:t>s</w:t>
            </w:r>
            <w:r w:rsidR="00AD5E45" w:rsidRPr="00583FA3">
              <w:rPr>
                <w:rFonts w:ascii="ITC Avant Garde" w:eastAsia="Times New Roman" w:hAnsi="ITC Avant Garde" w:cstheme="minorHAnsi"/>
                <w:bCs/>
                <w:sz w:val="16"/>
                <w:szCs w:val="16"/>
                <w:lang w:eastAsia="es-MX"/>
              </w:rPr>
              <w:t xml:space="preserve"> </w:t>
            </w:r>
            <w:r w:rsidR="001E5E0B">
              <w:rPr>
                <w:rFonts w:ascii="ITC Avant Garde" w:eastAsia="Times New Roman" w:hAnsi="ITC Avant Garde" w:cstheme="minorHAnsi"/>
                <w:bCs/>
                <w:sz w:val="16"/>
                <w:szCs w:val="16"/>
                <w:lang w:eastAsia="es-MX"/>
              </w:rPr>
              <w:t xml:space="preserve">relacionadas con la necesidad </w:t>
            </w:r>
            <w:r w:rsidR="00583FA3" w:rsidRPr="00583FA3">
              <w:rPr>
                <w:rFonts w:ascii="ITC Avant Garde" w:eastAsia="Times New Roman" w:hAnsi="ITC Avant Garde" w:cstheme="minorHAnsi"/>
                <w:bCs/>
                <w:sz w:val="16"/>
                <w:szCs w:val="16"/>
                <w:lang w:eastAsia="es-MX"/>
              </w:rPr>
              <w:t>de establecer criterios de protección</w:t>
            </w:r>
            <w:r w:rsidR="001E5E0B">
              <w:rPr>
                <w:rFonts w:ascii="ITC Avant Garde" w:eastAsia="Times New Roman" w:hAnsi="ITC Avant Garde" w:cstheme="minorHAnsi"/>
                <w:bCs/>
                <w:sz w:val="16"/>
                <w:szCs w:val="16"/>
                <w:lang w:eastAsia="es-MX"/>
              </w:rPr>
              <w:t xml:space="preserve"> a </w:t>
            </w:r>
            <w:r w:rsidR="00583FA3" w:rsidRPr="00583FA3">
              <w:rPr>
                <w:rFonts w:ascii="ITC Avant Garde" w:eastAsia="Times New Roman" w:hAnsi="ITC Avant Garde" w:cstheme="minorHAnsi"/>
                <w:bCs/>
                <w:sz w:val="16"/>
                <w:szCs w:val="16"/>
                <w:lang w:eastAsia="es-MX"/>
              </w:rPr>
              <w:t>los servicios atribuidos existentes</w:t>
            </w:r>
            <w:r w:rsidR="004F04D0">
              <w:rPr>
                <w:rFonts w:ascii="ITC Avant Garde" w:eastAsia="Times New Roman" w:hAnsi="ITC Avant Garde" w:cstheme="minorHAnsi"/>
                <w:bCs/>
                <w:sz w:val="16"/>
                <w:szCs w:val="16"/>
                <w:lang w:eastAsia="es-MX"/>
              </w:rPr>
              <w:t xml:space="preserve"> y se </w:t>
            </w:r>
            <w:r w:rsidR="00583FA3">
              <w:rPr>
                <w:rFonts w:ascii="ITC Avant Garde" w:eastAsia="Times New Roman" w:hAnsi="ITC Avant Garde" w:cstheme="minorHAnsi"/>
                <w:bCs/>
                <w:sz w:val="16"/>
                <w:szCs w:val="16"/>
                <w:lang w:eastAsia="es-MX"/>
              </w:rPr>
              <w:t xml:space="preserve">apliquen restricciones adecuadas </w:t>
            </w:r>
            <w:r w:rsidR="004F04D0">
              <w:rPr>
                <w:rFonts w:ascii="ITC Avant Garde" w:eastAsia="Times New Roman" w:hAnsi="ITC Avant Garde" w:cstheme="minorHAnsi"/>
                <w:bCs/>
                <w:sz w:val="16"/>
                <w:szCs w:val="16"/>
                <w:lang w:eastAsia="es-MX"/>
              </w:rPr>
              <w:t>a los sistemas experimentales</w:t>
            </w:r>
            <w:r w:rsidR="00A57A6A">
              <w:rPr>
                <w:rFonts w:ascii="ITC Avant Garde" w:eastAsia="Times New Roman" w:hAnsi="ITC Avant Garde" w:cstheme="minorHAnsi"/>
                <w:bCs/>
                <w:sz w:val="16"/>
                <w:szCs w:val="16"/>
                <w:lang w:eastAsia="es-MX"/>
              </w:rPr>
              <w:t xml:space="preserve">, así como la sugerencia de </w:t>
            </w:r>
            <w:r w:rsidR="000C1ACA">
              <w:rPr>
                <w:rFonts w:ascii="ITC Avant Garde" w:eastAsia="Times New Roman" w:hAnsi="ITC Avant Garde" w:cstheme="minorHAnsi"/>
                <w:bCs/>
                <w:sz w:val="16"/>
                <w:szCs w:val="16"/>
                <w:lang w:eastAsia="es-MX"/>
              </w:rPr>
              <w:t xml:space="preserve">que el Instituto no autorice las </w:t>
            </w:r>
            <w:r w:rsidR="00A57A6A">
              <w:rPr>
                <w:rFonts w:ascii="ITC Avant Garde" w:eastAsia="Times New Roman" w:hAnsi="ITC Avant Garde" w:cstheme="minorHAnsi"/>
                <w:bCs/>
                <w:sz w:val="16"/>
                <w:szCs w:val="16"/>
                <w:lang w:eastAsia="es-MX"/>
              </w:rPr>
              <w:t xml:space="preserve">operaciones comerciales </w:t>
            </w:r>
            <w:r w:rsidR="000C1ACA">
              <w:rPr>
                <w:rFonts w:ascii="ITC Avant Garde" w:eastAsia="Times New Roman" w:hAnsi="ITC Avant Garde" w:cstheme="minorHAnsi"/>
                <w:bCs/>
                <w:sz w:val="16"/>
                <w:szCs w:val="16"/>
                <w:lang w:eastAsia="es-MX"/>
              </w:rPr>
              <w:t>de</w:t>
            </w:r>
            <w:r w:rsidR="00A57A6A">
              <w:rPr>
                <w:rFonts w:ascii="ITC Avant Garde" w:eastAsia="Times New Roman" w:hAnsi="ITC Avant Garde" w:cstheme="minorHAnsi"/>
                <w:bCs/>
                <w:sz w:val="16"/>
                <w:szCs w:val="16"/>
                <w:lang w:eastAsia="es-MX"/>
              </w:rPr>
              <w:t xml:space="preserve"> sistemas experimentale</w:t>
            </w:r>
            <w:r w:rsidR="000C1ACA">
              <w:rPr>
                <w:rFonts w:ascii="ITC Avant Garde" w:eastAsia="Times New Roman" w:hAnsi="ITC Avant Garde" w:cstheme="minorHAnsi"/>
                <w:bCs/>
                <w:sz w:val="16"/>
                <w:szCs w:val="16"/>
                <w:lang w:eastAsia="es-MX"/>
              </w:rPr>
              <w:t>s.</w:t>
            </w:r>
          </w:p>
          <w:p w14:paraId="74C12681" w14:textId="77777777" w:rsidR="000C1ACA" w:rsidRDefault="000C1ACA" w:rsidP="000C1A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28F442BD" w14:textId="46040B84" w:rsidR="000C1ACA" w:rsidRDefault="000C1ACA" w:rsidP="000C1A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Por lo anterior, se considera que </w:t>
            </w:r>
            <w:r w:rsidRPr="006D38C7">
              <w:rPr>
                <w:rFonts w:ascii="ITC Avant Garde" w:eastAsia="Times New Roman" w:hAnsi="ITC Avant Garde" w:cstheme="minorHAnsi"/>
                <w:bCs/>
                <w:sz w:val="16"/>
                <w:szCs w:val="16"/>
                <w:lang w:eastAsia="es-MX"/>
              </w:rPr>
              <w:t xml:space="preserve">el CNAF no es el instrumento mediante el cual pueda desahogar </w:t>
            </w:r>
            <w:r w:rsidR="00234804">
              <w:rPr>
                <w:rFonts w:ascii="ITC Avant Garde" w:eastAsia="Times New Roman" w:hAnsi="ITC Avant Garde" w:cstheme="minorHAnsi"/>
                <w:bCs/>
                <w:sz w:val="16"/>
                <w:szCs w:val="16"/>
                <w:lang w:eastAsia="es-MX"/>
              </w:rPr>
              <w:t>las propuestas o sugerencias realizadas</w:t>
            </w:r>
            <w:r>
              <w:rPr>
                <w:rFonts w:ascii="ITC Avant Garde" w:eastAsia="Times New Roman" w:hAnsi="ITC Avant Garde" w:cstheme="minorHAnsi"/>
                <w:bCs/>
                <w:sz w:val="16"/>
                <w:szCs w:val="16"/>
                <w:lang w:eastAsia="es-MX"/>
              </w:rPr>
              <w:t xml:space="preserve">, </w:t>
            </w:r>
            <w:r w:rsidRPr="006D38C7">
              <w:rPr>
                <w:rFonts w:ascii="ITC Avant Garde" w:eastAsia="Times New Roman" w:hAnsi="ITC Avant Garde" w:cstheme="minorHAnsi"/>
                <w:bCs/>
                <w:sz w:val="16"/>
                <w:szCs w:val="16"/>
                <w:lang w:eastAsia="es-MX"/>
              </w:rPr>
              <w:t>por lo que</w:t>
            </w:r>
            <w:r>
              <w:rPr>
                <w:rFonts w:ascii="ITC Avant Garde" w:eastAsia="Times New Roman" w:hAnsi="ITC Avant Garde" w:cstheme="minorHAnsi"/>
                <w:bCs/>
                <w:sz w:val="16"/>
                <w:szCs w:val="16"/>
                <w:lang w:eastAsia="es-MX"/>
              </w:rPr>
              <w:t>, se toma de conocimiento la manifestación realizada por el participante para los fines de gestión y administración que resulten conducentes.</w:t>
            </w:r>
          </w:p>
          <w:p w14:paraId="016B03C2" w14:textId="77777777" w:rsidR="000C1ACA" w:rsidRDefault="000C1ACA" w:rsidP="000C1A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307EA0F4" w14:textId="33EA8024" w:rsidR="00234804" w:rsidRPr="00583FA3" w:rsidRDefault="00234804" w:rsidP="000C1A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A este respecto, es relevante señalar que el </w:t>
            </w:r>
            <w:r w:rsidRPr="00096E73">
              <w:rPr>
                <w:rFonts w:ascii="ITC Avant Garde" w:eastAsia="Times New Roman" w:hAnsi="ITC Avant Garde" w:cstheme="minorHAnsi"/>
                <w:bCs/>
                <w:sz w:val="16"/>
                <w:szCs w:val="16"/>
                <w:lang w:eastAsia="es-MX"/>
              </w:rPr>
              <w:t xml:space="preserve">CNAF es </w:t>
            </w:r>
            <w:r w:rsidR="00DC018E">
              <w:rPr>
                <w:rFonts w:ascii="ITC Avant Garde" w:eastAsia="Times New Roman" w:hAnsi="ITC Avant Garde" w:cstheme="minorHAnsi"/>
                <w:bCs/>
                <w:sz w:val="16"/>
                <w:szCs w:val="16"/>
                <w:lang w:eastAsia="es-MX"/>
              </w:rPr>
              <w:t>la</w:t>
            </w:r>
            <w:r w:rsidRPr="00096E73">
              <w:rPr>
                <w:rFonts w:ascii="ITC Avant Garde" w:eastAsia="Times New Roman" w:hAnsi="ITC Avant Garde" w:cstheme="minorHAnsi"/>
                <w:bCs/>
                <w:sz w:val="16"/>
                <w:szCs w:val="16"/>
                <w:lang w:eastAsia="es-MX"/>
              </w:rPr>
              <w:t xml:space="preserve"> disposición administrativa que indica el servicio o servicios de radiocomunicaciones a los que se encuentra atribuida una determinada banda de frecuencias del espectro radioeléctrico</w:t>
            </w:r>
            <w:r>
              <w:rPr>
                <w:rFonts w:ascii="ITC Avant Garde" w:eastAsia="Times New Roman" w:hAnsi="ITC Avant Garde" w:cstheme="minorHAnsi"/>
                <w:bCs/>
                <w:sz w:val="16"/>
                <w:szCs w:val="16"/>
                <w:lang w:eastAsia="es-MX"/>
              </w:rPr>
              <w:t xml:space="preserve"> a nivel nacional</w:t>
            </w:r>
            <w:r w:rsidRPr="00096E73">
              <w:rPr>
                <w:rFonts w:ascii="ITC Avant Garde" w:eastAsia="Times New Roman" w:hAnsi="ITC Avant Garde" w:cstheme="minorHAnsi"/>
                <w:bCs/>
                <w:sz w:val="16"/>
                <w:szCs w:val="16"/>
                <w:lang w:eastAsia="es-MX"/>
              </w:rPr>
              <w:t xml:space="preserve">, así como </w:t>
            </w:r>
            <w:r>
              <w:rPr>
                <w:rFonts w:ascii="ITC Avant Garde" w:eastAsia="Times New Roman" w:hAnsi="ITC Avant Garde" w:cstheme="minorHAnsi"/>
                <w:bCs/>
                <w:sz w:val="16"/>
                <w:szCs w:val="16"/>
                <w:lang w:eastAsia="es-MX"/>
              </w:rPr>
              <w:t xml:space="preserve">notas nacionales que muestran </w:t>
            </w:r>
            <w:r w:rsidRPr="00096E73">
              <w:rPr>
                <w:rFonts w:ascii="ITC Avant Garde" w:eastAsia="Times New Roman" w:hAnsi="ITC Avant Garde" w:cstheme="minorHAnsi"/>
                <w:bCs/>
                <w:sz w:val="16"/>
                <w:szCs w:val="16"/>
                <w:lang w:eastAsia="es-MX"/>
              </w:rPr>
              <w:t xml:space="preserve">información </w:t>
            </w:r>
            <w:r>
              <w:rPr>
                <w:rFonts w:ascii="ITC Avant Garde" w:eastAsia="Times New Roman" w:hAnsi="ITC Avant Garde" w:cstheme="minorHAnsi"/>
                <w:bCs/>
                <w:sz w:val="16"/>
                <w:szCs w:val="16"/>
                <w:lang w:eastAsia="es-MX"/>
              </w:rPr>
              <w:t xml:space="preserve">relevante </w:t>
            </w:r>
            <w:r w:rsidRPr="00096E73">
              <w:rPr>
                <w:rFonts w:ascii="ITC Avant Garde" w:eastAsia="Times New Roman" w:hAnsi="ITC Avant Garde" w:cstheme="minorHAnsi"/>
                <w:bCs/>
                <w:sz w:val="16"/>
                <w:szCs w:val="16"/>
                <w:lang w:eastAsia="es-MX"/>
              </w:rPr>
              <w:t>sobre</w:t>
            </w:r>
            <w:r>
              <w:rPr>
                <w:rFonts w:ascii="ITC Avant Garde" w:eastAsia="Times New Roman" w:hAnsi="ITC Avant Garde" w:cstheme="minorHAnsi"/>
                <w:bCs/>
                <w:sz w:val="16"/>
                <w:szCs w:val="16"/>
                <w:lang w:eastAsia="es-MX"/>
              </w:rPr>
              <w:t xml:space="preserve">: i) clasificación de bandas del espectro radioeléctrico, </w:t>
            </w:r>
            <w:proofErr w:type="spellStart"/>
            <w:r>
              <w:rPr>
                <w:rFonts w:ascii="ITC Avant Garde" w:eastAsia="Times New Roman" w:hAnsi="ITC Avant Garde" w:cstheme="minorHAnsi"/>
                <w:bCs/>
                <w:sz w:val="16"/>
                <w:szCs w:val="16"/>
                <w:lang w:eastAsia="es-MX"/>
              </w:rPr>
              <w:t>ii</w:t>
            </w:r>
            <w:proofErr w:type="spellEnd"/>
            <w:r>
              <w:rPr>
                <w:rFonts w:ascii="ITC Avant Garde" w:eastAsia="Times New Roman" w:hAnsi="ITC Avant Garde" w:cstheme="minorHAnsi"/>
                <w:bCs/>
                <w:sz w:val="16"/>
                <w:szCs w:val="16"/>
                <w:lang w:eastAsia="es-MX"/>
              </w:rPr>
              <w:t xml:space="preserve">) uso actual de las bandas de frecuencias, </w:t>
            </w:r>
            <w:proofErr w:type="spellStart"/>
            <w:r>
              <w:rPr>
                <w:rFonts w:ascii="ITC Avant Garde" w:eastAsia="Times New Roman" w:hAnsi="ITC Avant Garde" w:cstheme="minorHAnsi"/>
                <w:bCs/>
                <w:sz w:val="16"/>
                <w:szCs w:val="16"/>
                <w:lang w:eastAsia="es-MX"/>
              </w:rPr>
              <w:t>iii</w:t>
            </w:r>
            <w:proofErr w:type="spellEnd"/>
            <w:r>
              <w:rPr>
                <w:rFonts w:ascii="ITC Avant Garde" w:eastAsia="Times New Roman" w:hAnsi="ITC Avant Garde" w:cstheme="minorHAnsi"/>
                <w:bCs/>
                <w:sz w:val="16"/>
                <w:szCs w:val="16"/>
                <w:lang w:eastAsia="es-MX"/>
              </w:rPr>
              <w:t xml:space="preserve">) disposiciones o arreglos de frecuencias para ciertas bandas, </w:t>
            </w:r>
            <w:proofErr w:type="spellStart"/>
            <w:r>
              <w:rPr>
                <w:rFonts w:ascii="ITC Avant Garde" w:eastAsia="Times New Roman" w:hAnsi="ITC Avant Garde" w:cstheme="minorHAnsi"/>
                <w:bCs/>
                <w:sz w:val="16"/>
                <w:szCs w:val="16"/>
                <w:lang w:eastAsia="es-MX"/>
              </w:rPr>
              <w:t>iv</w:t>
            </w:r>
            <w:proofErr w:type="spellEnd"/>
            <w:r>
              <w:rPr>
                <w:rFonts w:ascii="ITC Avant Garde" w:eastAsia="Times New Roman" w:hAnsi="ITC Avant Garde" w:cstheme="minorHAnsi"/>
                <w:bCs/>
                <w:sz w:val="16"/>
                <w:szCs w:val="16"/>
                <w:lang w:eastAsia="es-MX"/>
              </w:rPr>
              <w:t>) instrumentos bilaterales para el uso del espectro en zonas fronterizas, v) referencias a disposiciones técnicas aplicables al uso de la banda de frecuencias, vi) las acciones de planificación proyectadas para una determinada banda de frecuencias en el corto, mediano y largo plazo y vi) aplicaciones inalámbricas asociadas con los servicios de radiocomunicaciones, de conformidad con el marco normativo nacional e internacional aplicable</w:t>
            </w:r>
          </w:p>
        </w:tc>
      </w:tr>
      <w:tr w:rsidR="00610941" w:rsidRPr="00FD134A" w14:paraId="789C5B3E" w14:textId="77777777" w:rsidTr="00C170E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3EC5401A" w14:textId="77777777" w:rsidR="00610941" w:rsidRPr="00FD134A" w:rsidRDefault="00610941"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Tabla de Atribuciones</w:t>
            </w:r>
          </w:p>
        </w:tc>
        <w:tc>
          <w:tcPr>
            <w:tcW w:w="2964" w:type="pct"/>
            <w:tcBorders>
              <w:right w:val="single" w:sz="4" w:space="0" w:color="A8D08D" w:themeColor="accent6" w:themeTint="99"/>
            </w:tcBorders>
            <w:shd w:val="clear" w:color="auto" w:fill="auto"/>
            <w:vAlign w:val="center"/>
          </w:tcPr>
          <w:p w14:paraId="3038F399" w14:textId="786492B8" w:rsidR="00610941" w:rsidRPr="00724CB7" w:rsidRDefault="00610941"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13E5F95F" w14:textId="77777777" w:rsidR="00610941" w:rsidRPr="00FD134A" w:rsidRDefault="00610941"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610941" w:rsidRPr="00FD134A" w14:paraId="7D172E47" w14:textId="77777777" w:rsidTr="00C170E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21656066" w14:textId="77777777" w:rsidR="00610941" w:rsidRPr="00FD134A" w:rsidRDefault="00610941"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Notas Nacionales</w:t>
            </w:r>
          </w:p>
        </w:tc>
        <w:tc>
          <w:tcPr>
            <w:tcW w:w="2964" w:type="pct"/>
            <w:tcBorders>
              <w:right w:val="single" w:sz="4" w:space="0" w:color="A8D08D" w:themeColor="accent6" w:themeTint="99"/>
            </w:tcBorders>
            <w:shd w:val="clear" w:color="auto" w:fill="auto"/>
            <w:vAlign w:val="center"/>
          </w:tcPr>
          <w:p w14:paraId="492FDABB" w14:textId="455D836C" w:rsidR="00610941" w:rsidRPr="00FD134A" w:rsidRDefault="00610941"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4BE7222E" w14:textId="77777777" w:rsidR="00610941" w:rsidRPr="00FD134A" w:rsidRDefault="00610941"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610941" w:rsidRPr="00FD134A" w14:paraId="1D66EDB1" w14:textId="77777777" w:rsidTr="00C170E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7D574563" w14:textId="77777777" w:rsidR="00610941" w:rsidRPr="00FD134A" w:rsidRDefault="00610941"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Observaciones generales</w:t>
            </w:r>
          </w:p>
        </w:tc>
        <w:tc>
          <w:tcPr>
            <w:tcW w:w="2964" w:type="pct"/>
            <w:tcBorders>
              <w:right w:val="single" w:sz="4" w:space="0" w:color="A8D08D" w:themeColor="accent6" w:themeTint="99"/>
            </w:tcBorders>
            <w:shd w:val="clear" w:color="auto" w:fill="auto"/>
            <w:vAlign w:val="center"/>
          </w:tcPr>
          <w:p w14:paraId="180DE0E0" w14:textId="2F879356" w:rsidR="00610941" w:rsidRPr="00FD134A" w:rsidRDefault="00610941"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6778B93B" w14:textId="77777777" w:rsidR="00610941" w:rsidRPr="00FD134A" w:rsidRDefault="00610941"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bl>
    <w:p w14:paraId="46D73B5C" w14:textId="77777777" w:rsidR="006A5815" w:rsidRDefault="006A5815" w:rsidP="006A5815">
      <w:pPr>
        <w:spacing w:after="0" w:line="240" w:lineRule="auto"/>
        <w:rPr>
          <w:rFonts w:ascii="ITC Avant Garde" w:hAnsi="ITC Avant Garde"/>
          <w:color w:val="000000"/>
          <w:sz w:val="14"/>
          <w:szCs w:val="14"/>
          <w:shd w:val="clear" w:color="auto" w:fill="FFFFFF"/>
        </w:rPr>
      </w:pPr>
    </w:p>
    <w:p w14:paraId="4A0D1449" w14:textId="77777777" w:rsidR="006A5815" w:rsidRDefault="006A5815" w:rsidP="006A5815">
      <w:pPr>
        <w:spacing w:after="0" w:line="240" w:lineRule="auto"/>
        <w:rPr>
          <w:rFonts w:ascii="ITC Avant Garde" w:hAnsi="ITC Avant Garde"/>
          <w:color w:val="000000"/>
          <w:sz w:val="14"/>
          <w:szCs w:val="14"/>
          <w:shd w:val="clear" w:color="auto" w:fill="FFFFFF"/>
        </w:rPr>
      </w:pPr>
    </w:p>
    <w:p w14:paraId="72D00284" w14:textId="77777777" w:rsidR="006A5815" w:rsidRDefault="006A5815" w:rsidP="006A5815">
      <w:pPr>
        <w:spacing w:after="0" w:line="240" w:lineRule="auto"/>
        <w:rPr>
          <w:rFonts w:ascii="ITC Avant Garde" w:hAnsi="ITC Avant Garde"/>
          <w:color w:val="000000"/>
          <w:sz w:val="14"/>
          <w:szCs w:val="14"/>
          <w:shd w:val="clear" w:color="auto" w:fill="FFFFFF"/>
        </w:rPr>
      </w:pPr>
    </w:p>
    <w:p w14:paraId="30FD8587" w14:textId="77777777" w:rsidR="006A5815" w:rsidRDefault="006A5815" w:rsidP="006A5815">
      <w:pPr>
        <w:spacing w:after="0" w:line="240" w:lineRule="auto"/>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6A5815" w:rsidRPr="00E209A6" w14:paraId="3C2FE35C" w14:textId="77777777" w:rsidTr="00E209A6">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08F86463" w14:textId="77777777" w:rsidR="006A5815" w:rsidRPr="00E209A6" w:rsidRDefault="006A5815" w:rsidP="00C170E7">
            <w:pPr>
              <w:ind w:left="316"/>
              <w:jc w:val="center"/>
              <w:rPr>
                <w:rFonts w:ascii="ITC Avant Garde" w:hAnsi="ITC Avant Garde"/>
                <w:b w:val="0"/>
                <w:sz w:val="18"/>
                <w:szCs w:val="18"/>
                <w:lang w:eastAsia="es-MX"/>
              </w:rPr>
            </w:pPr>
            <w:r w:rsidRPr="00E209A6">
              <w:rPr>
                <w:rFonts w:ascii="ITC Avant Garde" w:hAnsi="ITC Avant Garde"/>
                <w:bCs w:val="0"/>
                <w:sz w:val="18"/>
                <w:szCs w:val="18"/>
                <w:lang w:eastAsia="es-MX"/>
              </w:rPr>
              <w:t>Comentarios, opiniones, propuestas y aportaciones específicos de la persona participante sobre el asunto en Consulta Pública</w:t>
            </w:r>
          </w:p>
        </w:tc>
      </w:tr>
      <w:tr w:rsidR="00E209A6" w:rsidRPr="00E209A6" w14:paraId="47A7983A" w14:textId="77777777" w:rsidTr="00E209A6">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4321F82" w14:textId="77777777" w:rsidR="006A5815" w:rsidRPr="00E209A6" w:rsidRDefault="006A5815" w:rsidP="00C170E7">
            <w:pPr>
              <w:ind w:left="316"/>
              <w:rPr>
                <w:rFonts w:ascii="ITC Avant Garde" w:hAnsi="ITC Avant Garde"/>
                <w:sz w:val="18"/>
                <w:szCs w:val="18"/>
                <w:lang w:eastAsia="es-MX"/>
              </w:rPr>
            </w:pPr>
            <w:r w:rsidRPr="00E209A6">
              <w:rPr>
                <w:rFonts w:ascii="ITC Avant Garde" w:hAnsi="ITC Avant Garde"/>
                <w:sz w:val="18"/>
                <w:szCs w:val="18"/>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61EF84F5" w14:textId="65873181" w:rsidR="006A5815" w:rsidRPr="00E209A6" w:rsidRDefault="00CC4912" w:rsidP="00E209A6">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val="en-GB" w:eastAsia="es-MX"/>
              </w:rPr>
            </w:pPr>
            <w:r w:rsidRPr="00E209A6">
              <w:rPr>
                <w:rFonts w:ascii="ITC Avant Garde" w:hAnsi="ITC Avant Garde"/>
                <w:b w:val="0"/>
                <w:bCs w:val="0"/>
                <w:color w:val="000000" w:themeColor="text1"/>
                <w:sz w:val="18"/>
                <w:szCs w:val="18"/>
                <w:lang w:val="en-GB" w:eastAsia="es-MX"/>
              </w:rPr>
              <w:t xml:space="preserve">Thomas Reitmayer - </w:t>
            </w:r>
            <w:r w:rsidR="00E209A6" w:rsidRPr="00E209A6">
              <w:rPr>
                <w:rFonts w:ascii="ITC Avant Garde" w:hAnsi="ITC Avant Garde"/>
                <w:b w:val="0"/>
                <w:bCs w:val="0"/>
                <w:color w:val="000000" w:themeColor="text1"/>
                <w:sz w:val="18"/>
                <w:szCs w:val="18"/>
                <w:lang w:val="en-GB" w:eastAsia="es-MX"/>
              </w:rPr>
              <w:t>Senior Expert Radio Regulations &amp; Device Approvals</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CCC96D4" w14:textId="77777777" w:rsidR="006A5815" w:rsidRPr="00E209A6" w:rsidRDefault="006A5815" w:rsidP="00C170E7">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E209A6">
              <w:rPr>
                <w:rFonts w:ascii="ITC Avant Garde" w:hAnsi="ITC Avant Garde"/>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vAlign w:val="center"/>
          </w:tcPr>
          <w:p w14:paraId="0FC3051B" w14:textId="72A606AC" w:rsidR="006A5815" w:rsidRPr="00E209A6" w:rsidRDefault="006A5815" w:rsidP="00C170E7">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E209A6">
              <w:rPr>
                <w:rFonts w:ascii="ITC Avant Garde" w:hAnsi="ITC Avant Garde"/>
                <w:b w:val="0"/>
                <w:bCs w:val="0"/>
                <w:color w:val="000000" w:themeColor="text1"/>
                <w:sz w:val="18"/>
                <w:szCs w:val="18"/>
                <w:lang w:eastAsia="es-MX"/>
              </w:rPr>
              <w:t>20240628-CP_CNAF-00</w:t>
            </w:r>
            <w:r w:rsidR="00CC4912" w:rsidRPr="00E209A6">
              <w:rPr>
                <w:rFonts w:ascii="ITC Avant Garde" w:hAnsi="ITC Avant Garde"/>
                <w:b w:val="0"/>
                <w:bCs w:val="0"/>
                <w:color w:val="000000" w:themeColor="text1"/>
                <w:sz w:val="18"/>
                <w:szCs w:val="18"/>
                <w:lang w:eastAsia="es-MX"/>
              </w:rPr>
              <w:t>9</w:t>
            </w:r>
          </w:p>
        </w:tc>
      </w:tr>
      <w:tr w:rsidR="006A5815" w:rsidRPr="00E209A6" w14:paraId="4F67A669" w14:textId="77777777" w:rsidTr="00E20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0387C47D" w14:textId="77777777" w:rsidR="006A5815" w:rsidRPr="00E209A6" w:rsidRDefault="006A5815" w:rsidP="00C170E7">
            <w:pPr>
              <w:jc w:val="center"/>
              <w:rPr>
                <w:rFonts w:ascii="ITC Avant Garde" w:eastAsia="Times New Roman" w:hAnsi="ITC Avant Garde" w:cstheme="minorHAnsi"/>
                <w:bCs w:val="0"/>
                <w:color w:val="000000" w:themeColor="text1"/>
                <w:sz w:val="18"/>
                <w:szCs w:val="18"/>
                <w:lang w:eastAsia="es-MX"/>
              </w:rPr>
            </w:pPr>
            <w:r w:rsidRPr="00E209A6">
              <w:rPr>
                <w:rFonts w:ascii="ITC Avant Garde" w:eastAsia="Times New Roman" w:hAnsi="ITC Avant Garde" w:cstheme="minorHAnsi"/>
                <w:bCs w:val="0"/>
                <w:color w:val="000000" w:themeColor="text1"/>
                <w:sz w:val="18"/>
                <w:szCs w:val="18"/>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0A89939B" w14:textId="77777777" w:rsidR="006A5815" w:rsidRPr="00E209A6" w:rsidRDefault="006A5815" w:rsidP="00C170E7">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E209A6">
              <w:rPr>
                <w:rFonts w:ascii="ITC Avant Garde" w:eastAsia="Times New Roman" w:hAnsi="ITC Avant Garde" w:cstheme="minorHAnsi"/>
                <w:bCs w:val="0"/>
                <w:color w:val="000000" w:themeColor="text1"/>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5AF04A85" w14:textId="77777777" w:rsidR="006A5815" w:rsidRPr="00E209A6" w:rsidRDefault="006A5815" w:rsidP="00C170E7">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bCs w:val="0"/>
                <w:color w:val="000000" w:themeColor="text1"/>
                <w:sz w:val="18"/>
                <w:szCs w:val="18"/>
                <w:lang w:eastAsia="es-MX"/>
              </w:rPr>
            </w:pPr>
            <w:r w:rsidRPr="00E209A6">
              <w:rPr>
                <w:rFonts w:ascii="ITC Avant Garde" w:eastAsia="Times New Roman" w:hAnsi="ITC Avant Garde" w:cstheme="minorHAnsi"/>
                <w:bCs w:val="0"/>
                <w:color w:val="000000" w:themeColor="text1"/>
                <w:sz w:val="18"/>
                <w:szCs w:val="18"/>
                <w:lang w:eastAsia="es-MX"/>
              </w:rPr>
              <w:t>Respuesta del Instituto</w:t>
            </w:r>
          </w:p>
        </w:tc>
      </w:tr>
      <w:tr w:rsidR="00E209A6" w:rsidRPr="00E209A6" w14:paraId="770240E7" w14:textId="77777777" w:rsidTr="00C170E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5667D8AB" w14:textId="77777777" w:rsidR="00E209A6" w:rsidRPr="00E209A6" w:rsidRDefault="00E209A6" w:rsidP="00C170E7">
            <w:pPr>
              <w:jc w:val="center"/>
              <w:rPr>
                <w:rFonts w:ascii="ITC Avant Garde" w:eastAsia="Times New Roman" w:hAnsi="ITC Avant Garde" w:cstheme="minorHAnsi"/>
                <w:b w:val="0"/>
                <w:sz w:val="18"/>
                <w:szCs w:val="18"/>
                <w:lang w:eastAsia="es-MX"/>
              </w:rPr>
            </w:pPr>
            <w:r w:rsidRPr="00E209A6">
              <w:rPr>
                <w:rFonts w:ascii="ITC Avant Garde" w:eastAsia="Times New Roman" w:hAnsi="ITC Avant Garde" w:cstheme="minorHAnsi"/>
                <w:b w:val="0"/>
                <w:sz w:val="18"/>
                <w:szCs w:val="18"/>
                <w:lang w:eastAsia="es-MX"/>
              </w:rPr>
              <w:t>Sección introductoria</w:t>
            </w:r>
          </w:p>
        </w:tc>
        <w:tc>
          <w:tcPr>
            <w:tcW w:w="2964" w:type="pct"/>
            <w:tcBorders>
              <w:right w:val="single" w:sz="4" w:space="0" w:color="A8D08D" w:themeColor="accent6" w:themeTint="99"/>
            </w:tcBorders>
            <w:shd w:val="clear" w:color="auto" w:fill="auto"/>
            <w:vAlign w:val="center"/>
          </w:tcPr>
          <w:p w14:paraId="68EFFFBF" w14:textId="127DBD12" w:rsidR="00E209A6" w:rsidRPr="00E209A6" w:rsidRDefault="00E209A6" w:rsidP="00E209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t>-</w:t>
            </w:r>
          </w:p>
        </w:tc>
        <w:tc>
          <w:tcPr>
            <w:tcW w:w="1316" w:type="pct"/>
            <w:gridSpan w:val="2"/>
            <w:vMerge w:val="restart"/>
            <w:tcBorders>
              <w:left w:val="single" w:sz="4" w:space="0" w:color="A8D08D" w:themeColor="accent6" w:themeTint="99"/>
            </w:tcBorders>
            <w:shd w:val="clear" w:color="auto" w:fill="auto"/>
            <w:vAlign w:val="center"/>
          </w:tcPr>
          <w:p w14:paraId="2A9BB8F3" w14:textId="77777777" w:rsidR="00E209A6" w:rsidRPr="008416CA" w:rsidRDefault="00E209A6"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8"/>
                <w:lang w:eastAsia="es-MX"/>
              </w:rPr>
            </w:pPr>
            <w:r w:rsidRPr="008416CA">
              <w:rPr>
                <w:rFonts w:ascii="ITC Avant Garde" w:eastAsia="Times New Roman" w:hAnsi="ITC Avant Garde" w:cstheme="minorHAnsi"/>
                <w:bCs/>
                <w:sz w:val="16"/>
                <w:szCs w:val="18"/>
                <w:lang w:eastAsia="es-MX"/>
              </w:rPr>
              <w:t xml:space="preserve">El Instituto </w:t>
            </w:r>
            <w:r w:rsidR="008444C5" w:rsidRPr="008416CA">
              <w:rPr>
                <w:rFonts w:ascii="ITC Avant Garde" w:eastAsia="Times New Roman" w:hAnsi="ITC Avant Garde" w:cstheme="minorHAnsi"/>
                <w:bCs/>
                <w:sz w:val="16"/>
                <w:szCs w:val="18"/>
                <w:lang w:eastAsia="es-MX"/>
              </w:rPr>
              <w:t xml:space="preserve">Federal de Telecomunicaciones </w:t>
            </w:r>
            <w:r w:rsidRPr="008416CA">
              <w:rPr>
                <w:rFonts w:ascii="ITC Avant Garde" w:eastAsia="Times New Roman" w:hAnsi="ITC Avant Garde" w:cstheme="minorHAnsi"/>
                <w:bCs/>
                <w:sz w:val="16"/>
                <w:szCs w:val="18"/>
                <w:lang w:eastAsia="es-MX"/>
              </w:rPr>
              <w:t>agradece</w:t>
            </w:r>
            <w:r w:rsidR="008444C5" w:rsidRPr="008416CA">
              <w:rPr>
                <w:rFonts w:ascii="ITC Avant Garde" w:eastAsia="Times New Roman" w:hAnsi="ITC Avant Garde" w:cstheme="minorHAnsi"/>
                <w:bCs/>
                <w:sz w:val="16"/>
                <w:szCs w:val="18"/>
                <w:lang w:eastAsia="es-MX"/>
              </w:rPr>
              <w:t xml:space="preserve"> la manifestación realizada por Thomas </w:t>
            </w:r>
            <w:r w:rsidRPr="008416CA">
              <w:rPr>
                <w:rFonts w:ascii="ITC Avant Garde" w:eastAsia="Times New Roman" w:hAnsi="ITC Avant Garde" w:cstheme="minorHAnsi"/>
                <w:bCs/>
                <w:sz w:val="16"/>
                <w:szCs w:val="18"/>
                <w:lang w:eastAsia="es-MX"/>
              </w:rPr>
              <w:t xml:space="preserve">Reitmayer, Senior Expert Radio </w:t>
            </w:r>
            <w:proofErr w:type="spellStart"/>
            <w:r w:rsidRPr="008416CA">
              <w:rPr>
                <w:rFonts w:ascii="ITC Avant Garde" w:eastAsia="Times New Roman" w:hAnsi="ITC Avant Garde" w:cstheme="minorHAnsi"/>
                <w:bCs/>
                <w:sz w:val="16"/>
                <w:szCs w:val="18"/>
                <w:lang w:eastAsia="es-MX"/>
              </w:rPr>
              <w:t>Regulations</w:t>
            </w:r>
            <w:proofErr w:type="spellEnd"/>
            <w:r w:rsidRPr="008416CA">
              <w:rPr>
                <w:rFonts w:ascii="ITC Avant Garde" w:eastAsia="Times New Roman" w:hAnsi="ITC Avant Garde" w:cstheme="minorHAnsi"/>
                <w:bCs/>
                <w:sz w:val="16"/>
                <w:szCs w:val="18"/>
                <w:lang w:eastAsia="es-MX"/>
              </w:rPr>
              <w:t xml:space="preserve"> &amp; </w:t>
            </w:r>
            <w:proofErr w:type="spellStart"/>
            <w:r w:rsidRPr="008416CA">
              <w:rPr>
                <w:rFonts w:ascii="ITC Avant Garde" w:eastAsia="Times New Roman" w:hAnsi="ITC Avant Garde" w:cstheme="minorHAnsi"/>
                <w:bCs/>
                <w:sz w:val="16"/>
                <w:szCs w:val="18"/>
                <w:lang w:eastAsia="es-MX"/>
              </w:rPr>
              <w:t>Device</w:t>
            </w:r>
            <w:proofErr w:type="spellEnd"/>
            <w:r w:rsidRPr="008416CA">
              <w:rPr>
                <w:rFonts w:ascii="ITC Avant Garde" w:eastAsia="Times New Roman" w:hAnsi="ITC Avant Garde" w:cstheme="minorHAnsi"/>
                <w:bCs/>
                <w:sz w:val="16"/>
                <w:szCs w:val="18"/>
                <w:lang w:eastAsia="es-MX"/>
              </w:rPr>
              <w:t xml:space="preserve"> </w:t>
            </w:r>
            <w:proofErr w:type="spellStart"/>
            <w:r w:rsidRPr="008416CA">
              <w:rPr>
                <w:rFonts w:ascii="ITC Avant Garde" w:eastAsia="Times New Roman" w:hAnsi="ITC Avant Garde" w:cstheme="minorHAnsi"/>
                <w:bCs/>
                <w:sz w:val="16"/>
                <w:szCs w:val="18"/>
                <w:lang w:eastAsia="es-MX"/>
              </w:rPr>
              <w:t>Approvals</w:t>
            </w:r>
            <w:proofErr w:type="spellEnd"/>
            <w:r w:rsidR="008444C5" w:rsidRPr="008416CA">
              <w:rPr>
                <w:rFonts w:ascii="ITC Avant Garde" w:eastAsia="Times New Roman" w:hAnsi="ITC Avant Garde" w:cstheme="minorHAnsi"/>
                <w:bCs/>
                <w:sz w:val="16"/>
                <w:szCs w:val="18"/>
                <w:lang w:eastAsia="es-MX"/>
              </w:rPr>
              <w:t>, referente a la solicitud de regulación y licenciamiento de la banda 77-81 GHz para aplicaciones de radar vehicular/automotor en México que podrían brindar soporte al conductor mediante funciones de asistencia de seguridad y de conducción automatizada.</w:t>
            </w:r>
          </w:p>
          <w:p w14:paraId="2E1C81B9" w14:textId="77777777" w:rsidR="008444C5" w:rsidRDefault="008444C5"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35930016" w14:textId="30FCCCF3" w:rsidR="008416CA" w:rsidRDefault="008416CA" w:rsidP="008416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Por lo anterior, se considera que </w:t>
            </w:r>
            <w:r w:rsidRPr="006D38C7">
              <w:rPr>
                <w:rFonts w:ascii="ITC Avant Garde" w:eastAsia="Times New Roman" w:hAnsi="ITC Avant Garde" w:cstheme="minorHAnsi"/>
                <w:bCs/>
                <w:sz w:val="16"/>
                <w:szCs w:val="16"/>
                <w:lang w:eastAsia="es-MX"/>
              </w:rPr>
              <w:t xml:space="preserve">el CNAF no es el instrumento mediante el cual pueda desahogar </w:t>
            </w:r>
            <w:r>
              <w:rPr>
                <w:rFonts w:ascii="ITC Avant Garde" w:eastAsia="Times New Roman" w:hAnsi="ITC Avant Garde" w:cstheme="minorHAnsi"/>
                <w:bCs/>
                <w:sz w:val="16"/>
                <w:szCs w:val="16"/>
                <w:lang w:eastAsia="es-MX"/>
              </w:rPr>
              <w:t xml:space="preserve">tal solicitud, </w:t>
            </w:r>
            <w:r w:rsidRPr="006D38C7">
              <w:rPr>
                <w:rFonts w:ascii="ITC Avant Garde" w:eastAsia="Times New Roman" w:hAnsi="ITC Avant Garde" w:cstheme="minorHAnsi"/>
                <w:bCs/>
                <w:sz w:val="16"/>
                <w:szCs w:val="16"/>
                <w:lang w:eastAsia="es-MX"/>
              </w:rPr>
              <w:t>por lo que</w:t>
            </w:r>
            <w:r>
              <w:rPr>
                <w:rFonts w:ascii="ITC Avant Garde" w:eastAsia="Times New Roman" w:hAnsi="ITC Avant Garde" w:cstheme="minorHAnsi"/>
                <w:bCs/>
                <w:sz w:val="16"/>
                <w:szCs w:val="16"/>
                <w:lang w:eastAsia="es-MX"/>
              </w:rPr>
              <w:t>, se toma de conocimiento la manifestación realizada por el participante para los fines de gestión y administración que resulten conducentes.</w:t>
            </w:r>
          </w:p>
          <w:p w14:paraId="63771E09" w14:textId="77777777" w:rsidR="008416CA" w:rsidRDefault="008416CA" w:rsidP="008416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7DE4B193" w14:textId="28823841" w:rsidR="008416CA" w:rsidRDefault="008416CA" w:rsidP="008416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A este respecto, es relevante señalar que el </w:t>
            </w:r>
            <w:r w:rsidRPr="00096E73">
              <w:rPr>
                <w:rFonts w:ascii="ITC Avant Garde" w:eastAsia="Times New Roman" w:hAnsi="ITC Avant Garde" w:cstheme="minorHAnsi"/>
                <w:bCs/>
                <w:sz w:val="16"/>
                <w:szCs w:val="16"/>
                <w:lang w:eastAsia="es-MX"/>
              </w:rPr>
              <w:t xml:space="preserve">CNAF es </w:t>
            </w:r>
            <w:r w:rsidR="00DC018E">
              <w:rPr>
                <w:rFonts w:ascii="ITC Avant Garde" w:eastAsia="Times New Roman" w:hAnsi="ITC Avant Garde" w:cstheme="minorHAnsi"/>
                <w:bCs/>
                <w:sz w:val="16"/>
                <w:szCs w:val="16"/>
                <w:lang w:eastAsia="es-MX"/>
              </w:rPr>
              <w:t>la</w:t>
            </w:r>
            <w:r w:rsidRPr="00096E73">
              <w:rPr>
                <w:rFonts w:ascii="ITC Avant Garde" w:eastAsia="Times New Roman" w:hAnsi="ITC Avant Garde" w:cstheme="minorHAnsi"/>
                <w:bCs/>
                <w:sz w:val="16"/>
                <w:szCs w:val="16"/>
                <w:lang w:eastAsia="es-MX"/>
              </w:rPr>
              <w:t xml:space="preserve"> disposición administrativa que indica el servicio o servicios de radiocomunicaciones a los que se encuentra atribuida una determinada banda de frecuencias del espectro radioeléctrico</w:t>
            </w:r>
            <w:r>
              <w:rPr>
                <w:rFonts w:ascii="ITC Avant Garde" w:eastAsia="Times New Roman" w:hAnsi="ITC Avant Garde" w:cstheme="minorHAnsi"/>
                <w:bCs/>
                <w:sz w:val="16"/>
                <w:szCs w:val="16"/>
                <w:lang w:eastAsia="es-MX"/>
              </w:rPr>
              <w:t xml:space="preserve"> a nivel nacional</w:t>
            </w:r>
            <w:r w:rsidRPr="00096E73">
              <w:rPr>
                <w:rFonts w:ascii="ITC Avant Garde" w:eastAsia="Times New Roman" w:hAnsi="ITC Avant Garde" w:cstheme="minorHAnsi"/>
                <w:bCs/>
                <w:sz w:val="16"/>
                <w:szCs w:val="16"/>
                <w:lang w:eastAsia="es-MX"/>
              </w:rPr>
              <w:t xml:space="preserve">, así como </w:t>
            </w:r>
            <w:r>
              <w:rPr>
                <w:rFonts w:ascii="ITC Avant Garde" w:eastAsia="Times New Roman" w:hAnsi="ITC Avant Garde" w:cstheme="minorHAnsi"/>
                <w:bCs/>
                <w:sz w:val="16"/>
                <w:szCs w:val="16"/>
                <w:lang w:eastAsia="es-MX"/>
              </w:rPr>
              <w:t xml:space="preserve">notas nacionales que muestran </w:t>
            </w:r>
            <w:r w:rsidRPr="00096E73">
              <w:rPr>
                <w:rFonts w:ascii="ITC Avant Garde" w:eastAsia="Times New Roman" w:hAnsi="ITC Avant Garde" w:cstheme="minorHAnsi"/>
                <w:bCs/>
                <w:sz w:val="16"/>
                <w:szCs w:val="16"/>
                <w:lang w:eastAsia="es-MX"/>
              </w:rPr>
              <w:t xml:space="preserve">información </w:t>
            </w:r>
            <w:r>
              <w:rPr>
                <w:rFonts w:ascii="ITC Avant Garde" w:eastAsia="Times New Roman" w:hAnsi="ITC Avant Garde" w:cstheme="minorHAnsi"/>
                <w:bCs/>
                <w:sz w:val="16"/>
                <w:szCs w:val="16"/>
                <w:lang w:eastAsia="es-MX"/>
              </w:rPr>
              <w:t xml:space="preserve">relevante </w:t>
            </w:r>
            <w:r w:rsidRPr="00096E73">
              <w:rPr>
                <w:rFonts w:ascii="ITC Avant Garde" w:eastAsia="Times New Roman" w:hAnsi="ITC Avant Garde" w:cstheme="minorHAnsi"/>
                <w:bCs/>
                <w:sz w:val="16"/>
                <w:szCs w:val="16"/>
                <w:lang w:eastAsia="es-MX"/>
              </w:rPr>
              <w:t>sobre</w:t>
            </w:r>
            <w:r>
              <w:rPr>
                <w:rFonts w:ascii="ITC Avant Garde" w:eastAsia="Times New Roman" w:hAnsi="ITC Avant Garde" w:cstheme="minorHAnsi"/>
                <w:bCs/>
                <w:sz w:val="16"/>
                <w:szCs w:val="16"/>
                <w:lang w:eastAsia="es-MX"/>
              </w:rPr>
              <w:t xml:space="preserve">: i) clasificación de bandas del espectro radioeléctrico, </w:t>
            </w:r>
            <w:proofErr w:type="spellStart"/>
            <w:r>
              <w:rPr>
                <w:rFonts w:ascii="ITC Avant Garde" w:eastAsia="Times New Roman" w:hAnsi="ITC Avant Garde" w:cstheme="minorHAnsi"/>
                <w:bCs/>
                <w:sz w:val="16"/>
                <w:szCs w:val="16"/>
                <w:lang w:eastAsia="es-MX"/>
              </w:rPr>
              <w:t>ii</w:t>
            </w:r>
            <w:proofErr w:type="spellEnd"/>
            <w:r>
              <w:rPr>
                <w:rFonts w:ascii="ITC Avant Garde" w:eastAsia="Times New Roman" w:hAnsi="ITC Avant Garde" w:cstheme="minorHAnsi"/>
                <w:bCs/>
                <w:sz w:val="16"/>
                <w:szCs w:val="16"/>
                <w:lang w:eastAsia="es-MX"/>
              </w:rPr>
              <w:t xml:space="preserve">) uso actual de las bandas de frecuencias, </w:t>
            </w:r>
            <w:proofErr w:type="spellStart"/>
            <w:r>
              <w:rPr>
                <w:rFonts w:ascii="ITC Avant Garde" w:eastAsia="Times New Roman" w:hAnsi="ITC Avant Garde" w:cstheme="minorHAnsi"/>
                <w:bCs/>
                <w:sz w:val="16"/>
                <w:szCs w:val="16"/>
                <w:lang w:eastAsia="es-MX"/>
              </w:rPr>
              <w:t>iii</w:t>
            </w:r>
            <w:proofErr w:type="spellEnd"/>
            <w:r>
              <w:rPr>
                <w:rFonts w:ascii="ITC Avant Garde" w:eastAsia="Times New Roman" w:hAnsi="ITC Avant Garde" w:cstheme="minorHAnsi"/>
                <w:bCs/>
                <w:sz w:val="16"/>
                <w:szCs w:val="16"/>
                <w:lang w:eastAsia="es-MX"/>
              </w:rPr>
              <w:t xml:space="preserve">) disposiciones o arreglos de frecuencias para ciertas bandas, </w:t>
            </w:r>
            <w:proofErr w:type="spellStart"/>
            <w:r>
              <w:rPr>
                <w:rFonts w:ascii="ITC Avant Garde" w:eastAsia="Times New Roman" w:hAnsi="ITC Avant Garde" w:cstheme="minorHAnsi"/>
                <w:bCs/>
                <w:sz w:val="16"/>
                <w:szCs w:val="16"/>
                <w:lang w:eastAsia="es-MX"/>
              </w:rPr>
              <w:t>iv</w:t>
            </w:r>
            <w:proofErr w:type="spellEnd"/>
            <w:r>
              <w:rPr>
                <w:rFonts w:ascii="ITC Avant Garde" w:eastAsia="Times New Roman" w:hAnsi="ITC Avant Garde" w:cstheme="minorHAnsi"/>
                <w:bCs/>
                <w:sz w:val="16"/>
                <w:szCs w:val="16"/>
                <w:lang w:eastAsia="es-MX"/>
              </w:rPr>
              <w:t>) instrumentos bilaterales para el uso del espectro en zonas fronterizas, v) referencias a disposiciones técnicas aplicables al uso de la banda de frecuencias, vi) las acciones de planificación proyectadas para una determinada banda de frecuencias en el corto, mediano y largo plazo y vi) aplicaciones inalámbricas asociadas con los servicios de radiocomunicaciones, de conformidad con el marco normativo nacional e internacional aplicable.</w:t>
            </w:r>
          </w:p>
          <w:p w14:paraId="64E4D581" w14:textId="77777777" w:rsidR="008416CA" w:rsidRDefault="008416CA" w:rsidP="008416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p w14:paraId="5A33243E" w14:textId="26B4E5A3" w:rsidR="008416CA" w:rsidRPr="00E209A6" w:rsidRDefault="008416CA" w:rsidP="008416CA">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r>
              <w:rPr>
                <w:rFonts w:ascii="ITC Avant Garde" w:eastAsia="Times New Roman" w:hAnsi="ITC Avant Garde" w:cstheme="minorHAnsi"/>
                <w:bCs/>
                <w:sz w:val="16"/>
                <w:szCs w:val="16"/>
                <w:lang w:eastAsia="es-MX"/>
              </w:rPr>
              <w:t>De lo anterior, es relevante mencionar los instrumentos que habilitan el uso del espectro radioeléctrico reconocidos en la Ley Federal de Telecomunicaciones y Radiodifusión, es decir, las concesiones y autorizaciones para los diferentes fines que se persigan.</w:t>
            </w:r>
          </w:p>
        </w:tc>
      </w:tr>
      <w:tr w:rsidR="00E209A6" w:rsidRPr="00E209A6" w14:paraId="1391A5B1" w14:textId="77777777" w:rsidTr="00C170E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2C80CAB7" w14:textId="77777777" w:rsidR="00E209A6" w:rsidRPr="00E209A6" w:rsidRDefault="00E209A6" w:rsidP="00C170E7">
            <w:pPr>
              <w:jc w:val="center"/>
              <w:rPr>
                <w:rFonts w:ascii="ITC Avant Garde" w:eastAsia="Times New Roman" w:hAnsi="ITC Avant Garde" w:cstheme="minorHAnsi"/>
                <w:sz w:val="18"/>
                <w:szCs w:val="18"/>
                <w:lang w:eastAsia="es-MX"/>
              </w:rPr>
            </w:pPr>
            <w:r w:rsidRPr="00E209A6">
              <w:rPr>
                <w:rFonts w:ascii="ITC Avant Garde" w:hAnsi="ITC Avant Garde"/>
                <w:b w:val="0"/>
                <w:bCs w:val="0"/>
                <w:sz w:val="18"/>
                <w:szCs w:val="18"/>
              </w:rPr>
              <w:t>Tabla de Atribuciones</w:t>
            </w:r>
          </w:p>
        </w:tc>
        <w:tc>
          <w:tcPr>
            <w:tcW w:w="2964" w:type="pct"/>
            <w:tcBorders>
              <w:right w:val="single" w:sz="4" w:space="0" w:color="A8D08D" w:themeColor="accent6" w:themeTint="99"/>
            </w:tcBorders>
            <w:shd w:val="clear" w:color="auto" w:fill="auto"/>
            <w:vAlign w:val="center"/>
          </w:tcPr>
          <w:p w14:paraId="63ED9E6D" w14:textId="7CCB0D5D" w:rsidR="00E209A6" w:rsidRPr="00E209A6" w:rsidRDefault="00E209A6"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E209A6">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2DE3B489" w14:textId="77777777" w:rsidR="00E209A6" w:rsidRPr="00E209A6" w:rsidRDefault="00E209A6"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E209A6" w:rsidRPr="00E209A6" w14:paraId="5AB203DD" w14:textId="77777777" w:rsidTr="00C170E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558E3A6F" w14:textId="77777777" w:rsidR="00E209A6" w:rsidRPr="00E209A6" w:rsidRDefault="00E209A6" w:rsidP="00C170E7">
            <w:pPr>
              <w:jc w:val="center"/>
              <w:rPr>
                <w:rFonts w:ascii="ITC Avant Garde" w:eastAsia="Times New Roman" w:hAnsi="ITC Avant Garde" w:cstheme="minorHAnsi"/>
                <w:sz w:val="18"/>
                <w:szCs w:val="18"/>
                <w:lang w:eastAsia="es-MX"/>
              </w:rPr>
            </w:pPr>
            <w:r w:rsidRPr="00E209A6">
              <w:rPr>
                <w:rFonts w:ascii="ITC Avant Garde" w:hAnsi="ITC Avant Garde"/>
                <w:b w:val="0"/>
                <w:bCs w:val="0"/>
                <w:sz w:val="18"/>
                <w:szCs w:val="18"/>
              </w:rPr>
              <w:t>Notas Nacionales</w:t>
            </w:r>
          </w:p>
        </w:tc>
        <w:tc>
          <w:tcPr>
            <w:tcW w:w="2964" w:type="pct"/>
            <w:tcBorders>
              <w:right w:val="single" w:sz="4" w:space="0" w:color="A8D08D" w:themeColor="accent6" w:themeTint="99"/>
            </w:tcBorders>
            <w:shd w:val="clear" w:color="auto" w:fill="auto"/>
            <w:vAlign w:val="center"/>
          </w:tcPr>
          <w:p w14:paraId="4C64AAEF" w14:textId="14CCA0F9" w:rsidR="00E209A6" w:rsidRPr="00E209A6" w:rsidRDefault="00E209A6"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209A6">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4CFE8145" w14:textId="77777777" w:rsidR="00E209A6" w:rsidRPr="00E209A6" w:rsidRDefault="00E209A6"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E209A6" w:rsidRPr="00280301" w14:paraId="481C2587" w14:textId="77777777" w:rsidTr="00C170E7">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7A4B2048" w14:textId="77777777" w:rsidR="00E209A6" w:rsidRPr="00E209A6" w:rsidRDefault="00E209A6" w:rsidP="00C170E7">
            <w:pPr>
              <w:jc w:val="center"/>
              <w:rPr>
                <w:rFonts w:ascii="ITC Avant Garde" w:eastAsia="Times New Roman" w:hAnsi="ITC Avant Garde" w:cstheme="minorHAnsi"/>
                <w:sz w:val="18"/>
                <w:szCs w:val="18"/>
                <w:lang w:eastAsia="es-MX"/>
              </w:rPr>
            </w:pPr>
            <w:r w:rsidRPr="00E209A6">
              <w:rPr>
                <w:rFonts w:ascii="ITC Avant Garde" w:hAnsi="ITC Avant Garde"/>
                <w:b w:val="0"/>
                <w:bCs w:val="0"/>
                <w:sz w:val="18"/>
                <w:szCs w:val="18"/>
              </w:rPr>
              <w:t>Observaciones generales</w:t>
            </w:r>
          </w:p>
        </w:tc>
        <w:tc>
          <w:tcPr>
            <w:tcW w:w="2964" w:type="pct"/>
            <w:tcBorders>
              <w:right w:val="single" w:sz="4" w:space="0" w:color="A8D08D" w:themeColor="accent6" w:themeTint="99"/>
            </w:tcBorders>
            <w:shd w:val="clear" w:color="auto" w:fill="auto"/>
            <w:vAlign w:val="center"/>
          </w:tcPr>
          <w:p w14:paraId="0948316C"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t xml:space="preserve">Thank you for opening the </w:t>
            </w:r>
            <w:r w:rsidRPr="00E209A6">
              <w:rPr>
                <w:rFonts w:ascii="ITC Avant Garde" w:eastAsia="Times New Roman" w:hAnsi="ITC Avant Garde" w:cstheme="minorHAnsi"/>
                <w:b/>
                <w:bCs/>
                <w:sz w:val="18"/>
                <w:szCs w:val="18"/>
                <w:lang w:val="en-GB" w:eastAsia="es-MX"/>
              </w:rPr>
              <w:t>“Public Consultation on Draft Agreement to Modify the National Frequency Allocation Chart”</w:t>
            </w:r>
            <w:r w:rsidRPr="00E209A6">
              <w:rPr>
                <w:rFonts w:ascii="ITC Avant Garde" w:eastAsia="Times New Roman" w:hAnsi="ITC Avant Garde" w:cstheme="minorHAnsi"/>
                <w:sz w:val="18"/>
                <w:szCs w:val="18"/>
                <w:lang w:val="en-GB" w:eastAsia="es-MX"/>
              </w:rPr>
              <w:t>, which will allow industry to file specific frequency requests.</w:t>
            </w:r>
          </w:p>
          <w:p w14:paraId="319CC238"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p>
          <w:p w14:paraId="65D3AAD8"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t xml:space="preserve">We, Continental </w:t>
            </w:r>
            <w:r w:rsidRPr="00E209A6">
              <w:rPr>
                <w:rFonts w:ascii="ITC Avant Garde" w:eastAsia="Times New Roman" w:hAnsi="ITC Avant Garde" w:cstheme="minorHAnsi"/>
                <w:b/>
                <w:bCs/>
                <w:sz w:val="18"/>
                <w:szCs w:val="18"/>
                <w:lang w:val="en-GB" w:eastAsia="es-MX"/>
              </w:rPr>
              <w:t>ADC Automotive Distance Control Systems GmbH,</w:t>
            </w:r>
            <w:r w:rsidRPr="00E209A6">
              <w:rPr>
                <w:rFonts w:ascii="ITC Avant Garde" w:eastAsia="Times New Roman" w:hAnsi="ITC Avant Garde" w:cstheme="minorHAnsi"/>
                <w:sz w:val="18"/>
                <w:szCs w:val="18"/>
                <w:lang w:val="en-GB" w:eastAsia="es-MX"/>
              </w:rPr>
              <w:t xml:space="preserve"> manufacturer of driver assistance systems, located in Germany. Continental is operating an R&amp;D </w:t>
            </w:r>
            <w:proofErr w:type="spellStart"/>
            <w:r w:rsidRPr="00E209A6">
              <w:rPr>
                <w:rFonts w:ascii="ITC Avant Garde" w:eastAsia="Times New Roman" w:hAnsi="ITC Avant Garde" w:cstheme="minorHAnsi"/>
                <w:sz w:val="18"/>
                <w:szCs w:val="18"/>
                <w:lang w:val="en-GB" w:eastAsia="es-MX"/>
              </w:rPr>
              <w:t>Center</w:t>
            </w:r>
            <w:proofErr w:type="spellEnd"/>
            <w:r w:rsidRPr="00E209A6">
              <w:rPr>
                <w:rFonts w:ascii="ITC Avant Garde" w:eastAsia="Times New Roman" w:hAnsi="ITC Avant Garde" w:cstheme="minorHAnsi"/>
                <w:sz w:val="18"/>
                <w:szCs w:val="18"/>
                <w:lang w:val="en-GB" w:eastAsia="es-MX"/>
              </w:rPr>
              <w:t xml:space="preserve"> in Mexico in Queretaro, also working on driver assist system for many years now. </w:t>
            </w:r>
          </w:p>
          <w:p w14:paraId="044E0BC5"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p>
          <w:p w14:paraId="5AD2D663"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t>Continental welcomes the public consultation and would like to use the opportunity to set-up a request for regulation / and licensing of the 77-81 GHz band for vehicle / automotive radar applications in Mexico</w:t>
            </w:r>
          </w:p>
          <w:p w14:paraId="33267937"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p>
          <w:p w14:paraId="4AAAAF02" w14:textId="6604F7D6"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u w:val="single"/>
                <w:lang w:val="en-GB" w:eastAsia="es-MX"/>
              </w:rPr>
            </w:pPr>
            <w:r w:rsidRPr="00E209A6">
              <w:rPr>
                <w:rFonts w:ascii="ITC Avant Garde" w:eastAsia="Times New Roman" w:hAnsi="ITC Avant Garde" w:cstheme="minorHAnsi"/>
                <w:b/>
                <w:bCs/>
                <w:sz w:val="18"/>
                <w:szCs w:val="18"/>
                <w:u w:val="single"/>
                <w:lang w:val="en-GB" w:eastAsia="es-MX"/>
              </w:rPr>
              <w:t>Application and technical info for our request:</w:t>
            </w:r>
          </w:p>
          <w:p w14:paraId="6831BF2A" w14:textId="176FAD1B"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b/>
                <w:bCs/>
                <w:sz w:val="18"/>
                <w:szCs w:val="18"/>
                <w:lang w:val="en-GB" w:eastAsia="es-MX"/>
              </w:rPr>
              <w:t>The 76-77 GHz</w:t>
            </w:r>
            <w:r w:rsidRPr="00E209A6">
              <w:rPr>
                <w:rFonts w:ascii="ITC Avant Garde" w:eastAsia="Times New Roman" w:hAnsi="ITC Avant Garde" w:cstheme="minorHAnsi"/>
                <w:sz w:val="18"/>
                <w:szCs w:val="18"/>
                <w:lang w:val="en-GB" w:eastAsia="es-MX"/>
              </w:rPr>
              <w:t xml:space="preserve"> is a well-established frequency band for vehicle radar applications around the world, and also regulated in Mexico by the provisions of the official letter </w:t>
            </w:r>
            <w:r w:rsidRPr="00E209A6">
              <w:rPr>
                <w:rFonts w:ascii="ITC Avant Garde" w:eastAsia="Times New Roman" w:hAnsi="ITC Avant Garde" w:cstheme="minorHAnsi"/>
                <w:b/>
                <w:bCs/>
                <w:sz w:val="18"/>
                <w:szCs w:val="18"/>
                <w:lang w:val="en-GB" w:eastAsia="es-MX"/>
              </w:rPr>
              <w:t>“IFT/222/UER/DG-IEET/1023/2017 dated August 15, 2017”</w:t>
            </w:r>
          </w:p>
          <w:p w14:paraId="5A678940"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p>
          <w:p w14:paraId="535B4FD4" w14:textId="38C0C955"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t xml:space="preserve">Considering new driver assist applications and safety features, radar sensor manufacturers around the world are planning to extend radar sensors also to the </w:t>
            </w:r>
            <w:r w:rsidRPr="00E209A6">
              <w:rPr>
                <w:rFonts w:ascii="ITC Avant Garde" w:eastAsia="Times New Roman" w:hAnsi="ITC Avant Garde" w:cstheme="minorHAnsi"/>
                <w:b/>
                <w:bCs/>
                <w:sz w:val="18"/>
                <w:szCs w:val="18"/>
                <w:lang w:val="en-GB" w:eastAsia="es-MX"/>
              </w:rPr>
              <w:t>adjacent frequency band 77 – 81 GHz.</w:t>
            </w:r>
          </w:p>
          <w:p w14:paraId="1810AF53"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p>
          <w:p w14:paraId="102E86A6" w14:textId="1746E34F"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t xml:space="preserve">Applications include but are not limited to e.g. </w:t>
            </w:r>
            <w:proofErr w:type="gramStart"/>
            <w:r w:rsidRPr="00E209A6">
              <w:rPr>
                <w:rFonts w:ascii="ITC Avant Garde" w:eastAsia="Times New Roman" w:hAnsi="ITC Avant Garde" w:cstheme="minorHAnsi"/>
                <w:sz w:val="18"/>
                <w:szCs w:val="18"/>
                <w:lang w:val="en-GB" w:eastAsia="es-MX"/>
              </w:rPr>
              <w:t>Short Range</w:t>
            </w:r>
            <w:proofErr w:type="gramEnd"/>
            <w:r w:rsidRPr="00E209A6">
              <w:rPr>
                <w:rFonts w:ascii="ITC Avant Garde" w:eastAsia="Times New Roman" w:hAnsi="ITC Avant Garde" w:cstheme="minorHAnsi"/>
                <w:sz w:val="18"/>
                <w:szCs w:val="18"/>
                <w:lang w:val="en-GB" w:eastAsia="es-MX"/>
              </w:rPr>
              <w:t xml:space="preserve"> Radar (SRR) for obstacle detection, </w:t>
            </w:r>
            <w:proofErr w:type="spellStart"/>
            <w:r w:rsidRPr="00E209A6">
              <w:rPr>
                <w:rFonts w:ascii="ITC Avant Garde" w:eastAsia="Times New Roman" w:hAnsi="ITC Avant Garde" w:cstheme="minorHAnsi"/>
                <w:sz w:val="18"/>
                <w:szCs w:val="18"/>
                <w:lang w:val="en-GB" w:eastAsia="es-MX"/>
              </w:rPr>
              <w:t>stop&amp;go</w:t>
            </w:r>
            <w:proofErr w:type="spellEnd"/>
            <w:r w:rsidRPr="00E209A6">
              <w:rPr>
                <w:rFonts w:ascii="ITC Avant Garde" w:eastAsia="Times New Roman" w:hAnsi="ITC Avant Garde" w:cstheme="minorHAnsi"/>
                <w:sz w:val="18"/>
                <w:szCs w:val="18"/>
                <w:lang w:val="en-GB" w:eastAsia="es-MX"/>
              </w:rPr>
              <w:t>, blind spot detection and pre-crash warning, Level 3 driving environmental perception, intersection assistance, parking assist and autonomous parking.</w:t>
            </w:r>
          </w:p>
          <w:p w14:paraId="131771BC"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p>
          <w:p w14:paraId="3E4A4C7F" w14:textId="77777777" w:rsid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t xml:space="preserve">Many of the above listed functions require higher bandwidth, not provided by the given Mexico allocation and regulation of the 76-77 GHz band. </w:t>
            </w:r>
            <w:r w:rsidRPr="00E209A6">
              <w:rPr>
                <w:rFonts w:ascii="ITC Avant Garde" w:eastAsia="Times New Roman" w:hAnsi="ITC Avant Garde" w:cstheme="minorHAnsi"/>
                <w:b/>
                <w:bCs/>
                <w:sz w:val="18"/>
                <w:szCs w:val="18"/>
                <w:lang w:val="en-GB" w:eastAsia="es-MX"/>
              </w:rPr>
              <w:t>The 4 GHz bandwidth</w:t>
            </w:r>
            <w:r w:rsidRPr="00E209A6">
              <w:rPr>
                <w:rFonts w:ascii="ITC Avant Garde" w:eastAsia="Times New Roman" w:hAnsi="ITC Avant Garde" w:cstheme="minorHAnsi"/>
                <w:sz w:val="18"/>
                <w:szCs w:val="18"/>
                <w:lang w:val="en-GB" w:eastAsia="es-MX"/>
              </w:rPr>
              <w:t xml:space="preserve"> of the 77-81 GHz band will enable advanced performance in resolution and support flexibility in the frequency use in a multi sensor vehicle environment for safety reasons.</w:t>
            </w:r>
          </w:p>
          <w:p w14:paraId="28C6C42C" w14:textId="77777777" w:rsid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p>
          <w:p w14:paraId="3A25C0F5" w14:textId="1073908E"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val="en-GB" w:eastAsia="es-MX"/>
              </w:rPr>
            </w:pPr>
            <w:r w:rsidRPr="00E209A6">
              <w:rPr>
                <w:rFonts w:ascii="ITC Avant Garde" w:eastAsia="Times New Roman" w:hAnsi="ITC Avant Garde" w:cstheme="minorHAnsi"/>
                <w:b/>
                <w:bCs/>
                <w:sz w:val="18"/>
                <w:szCs w:val="18"/>
                <w:lang w:val="en-GB" w:eastAsia="es-MX"/>
              </w:rPr>
              <w:t>Therefore, the 77-81 GHz band will be an important part of enabling vehicle automation features from driver support for safety assist functions up to automated driving.</w:t>
            </w:r>
          </w:p>
          <w:p w14:paraId="3075B6CD"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val="en-GB" w:eastAsia="es-MX"/>
              </w:rPr>
            </w:pPr>
          </w:p>
          <w:p w14:paraId="6861C3E0" w14:textId="77777777" w:rsid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val="en-GB" w:eastAsia="es-MX"/>
              </w:rPr>
            </w:pPr>
            <w:r w:rsidRPr="00E209A6">
              <w:rPr>
                <w:rFonts w:ascii="ITC Avant Garde" w:eastAsia="Times New Roman" w:hAnsi="ITC Avant Garde" w:cstheme="minorHAnsi"/>
                <w:b/>
                <w:bCs/>
                <w:sz w:val="18"/>
                <w:szCs w:val="18"/>
                <w:lang w:val="en-GB" w:eastAsia="es-MX"/>
              </w:rPr>
              <w:t>Providing a regulation for operation in 77-81 GHz will allow to provide such vehicle safety and driver assist functions also to the Mexican market.</w:t>
            </w:r>
          </w:p>
          <w:p w14:paraId="02EB0BD7" w14:textId="77777777" w:rsid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val="en-GB" w:eastAsia="es-MX"/>
              </w:rPr>
            </w:pPr>
          </w:p>
          <w:p w14:paraId="53611593" w14:textId="77777777" w:rsidR="00E209A6" w:rsidRP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u w:val="single"/>
                <w:lang w:val="en-GB" w:eastAsia="es-MX"/>
              </w:rPr>
            </w:pPr>
            <w:r w:rsidRPr="00E209A6">
              <w:rPr>
                <w:rFonts w:ascii="ITC Avant Garde" w:eastAsia="Times New Roman" w:hAnsi="ITC Avant Garde" w:cstheme="minorHAnsi"/>
                <w:b/>
                <w:bCs/>
                <w:sz w:val="18"/>
                <w:szCs w:val="18"/>
                <w:u w:val="single"/>
                <w:lang w:val="en-GB" w:eastAsia="es-MX"/>
              </w:rPr>
              <w:t>Regulation references:</w:t>
            </w:r>
          </w:p>
          <w:p w14:paraId="53A3C1A2" w14:textId="691E3696" w:rsid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lastRenderedPageBreak/>
              <w:t xml:space="preserve">The 76-81 GHz band has also been allocated by ITU </w:t>
            </w:r>
            <w:proofErr w:type="spellStart"/>
            <w:r w:rsidRPr="00E209A6">
              <w:rPr>
                <w:rFonts w:ascii="ITC Avant Garde" w:eastAsia="Times New Roman" w:hAnsi="ITC Avant Garde" w:cstheme="minorHAnsi"/>
                <w:sz w:val="18"/>
                <w:szCs w:val="18"/>
                <w:lang w:val="en-GB" w:eastAsia="es-MX"/>
              </w:rPr>
              <w:t>far</w:t>
            </w:r>
            <w:proofErr w:type="spellEnd"/>
            <w:r w:rsidRPr="00E209A6">
              <w:rPr>
                <w:rFonts w:ascii="ITC Avant Garde" w:eastAsia="Times New Roman" w:hAnsi="ITC Avant Garde" w:cstheme="minorHAnsi"/>
                <w:sz w:val="18"/>
                <w:szCs w:val="18"/>
                <w:lang w:val="en-GB" w:eastAsia="es-MX"/>
              </w:rPr>
              <w:t xml:space="preserve"> Radio Location Services. The ITU</w:t>
            </w:r>
            <w:r>
              <w:rPr>
                <w:rFonts w:ascii="ITC Avant Garde" w:eastAsia="Times New Roman" w:hAnsi="ITC Avant Garde" w:cstheme="minorHAnsi"/>
                <w:sz w:val="18"/>
                <w:szCs w:val="18"/>
                <w:lang w:val="en-GB" w:eastAsia="es-MX"/>
              </w:rPr>
              <w:t xml:space="preserve"> </w:t>
            </w:r>
            <w:r w:rsidRPr="00E209A6">
              <w:rPr>
                <w:rFonts w:ascii="ITC Avant Garde" w:eastAsia="Times New Roman" w:hAnsi="ITC Avant Garde" w:cstheme="minorHAnsi"/>
                <w:b/>
                <w:bCs/>
                <w:sz w:val="18"/>
                <w:szCs w:val="18"/>
                <w:lang w:val="en-GB" w:eastAsia="es-MX"/>
              </w:rPr>
              <w:t>Recommendation M.2057-1 (01/2018)</w:t>
            </w:r>
            <w:r w:rsidRPr="00E209A6">
              <w:rPr>
                <w:rFonts w:ascii="ITC Avant Garde" w:eastAsia="Times New Roman" w:hAnsi="ITC Avant Garde" w:cstheme="minorHAnsi"/>
                <w:sz w:val="18"/>
                <w:szCs w:val="18"/>
                <w:lang w:val="en-GB" w:eastAsia="es-MX"/>
              </w:rPr>
              <w:t xml:space="preserve"> which covers the </w:t>
            </w:r>
            <w:r w:rsidRPr="00E209A6">
              <w:rPr>
                <w:rFonts w:ascii="ITC Avant Garde" w:eastAsia="Times New Roman" w:hAnsi="ITC Avant Garde" w:cstheme="minorHAnsi"/>
                <w:b/>
                <w:bCs/>
                <w:sz w:val="18"/>
                <w:szCs w:val="18"/>
                <w:lang w:val="en-GB" w:eastAsia="es-MX"/>
              </w:rPr>
              <w:t>"Systems characteristics of automotive radars operating in· the frequency band 76-81 GHz for intelligent transport systems applications":</w:t>
            </w:r>
            <w:r w:rsidRPr="00E209A6">
              <w:rPr>
                <w:rFonts w:ascii="ITC Avant Garde" w:eastAsia="Times New Roman" w:hAnsi="ITC Avant Garde" w:cstheme="minorHAnsi"/>
                <w:sz w:val="18"/>
                <w:szCs w:val="18"/>
                <w:lang w:val="en-GB" w:eastAsia="es-MX"/>
              </w:rPr>
              <w:t xml:space="preserve"> Link: </w:t>
            </w:r>
            <w:hyperlink r:id="rId17" w:history="1">
              <w:r w:rsidRPr="00155B1A">
                <w:rPr>
                  <w:rStyle w:val="Hipervnculo"/>
                  <w:rFonts w:ascii="ITC Avant Garde" w:eastAsia="Times New Roman" w:hAnsi="ITC Avant Garde" w:cstheme="minorHAnsi"/>
                  <w:sz w:val="18"/>
                  <w:szCs w:val="18"/>
                  <w:lang w:val="en-GB" w:eastAsia="es-MX"/>
                </w:rPr>
                <w:t>https://www.itu.inVrec/R-REC-M.2057-1-201801-l/en</w:t>
              </w:r>
            </w:hyperlink>
            <w:r>
              <w:rPr>
                <w:rFonts w:ascii="ITC Avant Garde" w:eastAsia="Times New Roman" w:hAnsi="ITC Avant Garde" w:cstheme="minorHAnsi"/>
                <w:sz w:val="18"/>
                <w:szCs w:val="18"/>
                <w:lang w:val="en-GB" w:eastAsia="es-MX"/>
              </w:rPr>
              <w:t xml:space="preserve"> </w:t>
            </w:r>
          </w:p>
          <w:p w14:paraId="0A45830C" w14:textId="77777777" w:rsid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p>
          <w:p w14:paraId="6274DF5D" w14:textId="77777777" w:rsid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t>Continental ADC prop</w:t>
            </w:r>
            <w:r>
              <w:rPr>
                <w:rFonts w:ascii="ITC Avant Garde" w:eastAsia="Times New Roman" w:hAnsi="ITC Avant Garde" w:cstheme="minorHAnsi"/>
                <w:sz w:val="18"/>
                <w:szCs w:val="18"/>
                <w:lang w:val="en-GB" w:eastAsia="es-MX"/>
              </w:rPr>
              <w:t>o</w:t>
            </w:r>
            <w:r w:rsidRPr="00E209A6">
              <w:rPr>
                <w:rFonts w:ascii="ITC Avant Garde" w:eastAsia="Times New Roman" w:hAnsi="ITC Avant Garde" w:cstheme="minorHAnsi"/>
                <w:sz w:val="18"/>
                <w:szCs w:val="18"/>
                <w:lang w:val="en-GB" w:eastAsia="es-MX"/>
              </w:rPr>
              <w:t xml:space="preserve">ses to also consider the </w:t>
            </w:r>
            <w:r w:rsidRPr="00E209A6">
              <w:rPr>
                <w:rFonts w:ascii="ITC Avant Garde" w:eastAsia="Times New Roman" w:hAnsi="ITC Avant Garde" w:cstheme="minorHAnsi"/>
                <w:b/>
                <w:bCs/>
                <w:sz w:val="18"/>
                <w:szCs w:val="18"/>
                <w:lang w:val="en-GB" w:eastAsia="es-MX"/>
              </w:rPr>
              <w:t>76-81 GHz rules already released in North and South America countries.</w:t>
            </w:r>
            <w:r w:rsidRPr="00E209A6">
              <w:rPr>
                <w:rFonts w:ascii="ITC Avant Garde" w:eastAsia="Times New Roman" w:hAnsi="ITC Avant Garde" w:cstheme="minorHAnsi"/>
                <w:sz w:val="18"/>
                <w:szCs w:val="18"/>
                <w:lang w:val="en-GB" w:eastAsia="es-MX"/>
              </w:rPr>
              <w:t xml:space="preserve"> A merged band implementation combining the 76-77 GHz and 77-81</w:t>
            </w:r>
            <w:r>
              <w:rPr>
                <w:rFonts w:ascii="ITC Avant Garde" w:eastAsia="Times New Roman" w:hAnsi="ITC Avant Garde" w:cstheme="minorHAnsi"/>
                <w:sz w:val="18"/>
                <w:szCs w:val="18"/>
                <w:lang w:val="en-GB" w:eastAsia="es-MX"/>
              </w:rPr>
              <w:t xml:space="preserve"> </w:t>
            </w:r>
            <w:r w:rsidRPr="00E209A6">
              <w:rPr>
                <w:rFonts w:ascii="ITC Avant Garde" w:eastAsia="Times New Roman" w:hAnsi="ITC Avant Garde" w:cstheme="minorHAnsi"/>
                <w:sz w:val="18"/>
                <w:szCs w:val="18"/>
                <w:lang w:val="en-GB" w:eastAsia="es-MX"/>
              </w:rPr>
              <w:t>GHz band to one regulation would be beneficia! far industry, and also simplify the approval process.</w:t>
            </w:r>
          </w:p>
          <w:p w14:paraId="676C0D27" w14:textId="77777777" w:rsid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p>
          <w:p w14:paraId="517BB754" w14:textId="77777777" w:rsidR="00E209A6" w:rsidRDefault="00E209A6" w:rsidP="00E209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E209A6">
              <w:rPr>
                <w:rFonts w:ascii="ITC Avant Garde" w:eastAsia="Times New Roman" w:hAnsi="ITC Avant Garde" w:cstheme="minorHAnsi"/>
                <w:sz w:val="18"/>
                <w:szCs w:val="18"/>
                <w:lang w:val="en-GB" w:eastAsia="es-MX"/>
              </w:rPr>
              <w:t>Reference to other America countries where regulations for 76-81 GHz band are im</w:t>
            </w:r>
            <w:r>
              <w:rPr>
                <w:rFonts w:ascii="ITC Avant Garde" w:eastAsia="Times New Roman" w:hAnsi="ITC Avant Garde" w:cstheme="minorHAnsi"/>
                <w:sz w:val="18"/>
                <w:szCs w:val="18"/>
                <w:lang w:val="en-GB" w:eastAsia="es-MX"/>
              </w:rPr>
              <w:t>p</w:t>
            </w:r>
            <w:r w:rsidRPr="00E209A6">
              <w:rPr>
                <w:rFonts w:ascii="ITC Avant Garde" w:eastAsia="Times New Roman" w:hAnsi="ITC Avant Garde" w:cstheme="minorHAnsi"/>
                <w:sz w:val="18"/>
                <w:szCs w:val="18"/>
                <w:lang w:val="en-GB" w:eastAsia="es-MX"/>
              </w:rPr>
              <w:t>lemented</w:t>
            </w:r>
            <w:r>
              <w:rPr>
                <w:rFonts w:ascii="ITC Avant Garde" w:eastAsia="Times New Roman" w:hAnsi="ITC Avant Garde" w:cstheme="minorHAnsi"/>
                <w:sz w:val="18"/>
                <w:szCs w:val="18"/>
                <w:lang w:val="en-GB" w:eastAsia="es-MX"/>
              </w:rPr>
              <w:t>:</w:t>
            </w:r>
          </w:p>
          <w:p w14:paraId="1682EDB6" w14:textId="0D5EEC2D" w:rsidR="00D24F88" w:rsidRDefault="00D24F88" w:rsidP="00D24F8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Pr>
                <w:noProof/>
              </w:rPr>
              <w:drawing>
                <wp:inline distT="0" distB="0" distL="0" distR="0" wp14:anchorId="0D9725BC" wp14:editId="31470B11">
                  <wp:extent cx="4037162" cy="1244215"/>
                  <wp:effectExtent l="0" t="0" r="1905" b="0"/>
                  <wp:docPr id="16116413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41388" name=""/>
                          <pic:cNvPicPr/>
                        </pic:nvPicPr>
                        <pic:blipFill>
                          <a:blip r:embed="rId18"/>
                          <a:stretch>
                            <a:fillRect/>
                          </a:stretch>
                        </pic:blipFill>
                        <pic:spPr>
                          <a:xfrm>
                            <a:off x="0" y="0"/>
                            <a:ext cx="4075357" cy="1255986"/>
                          </a:xfrm>
                          <a:prstGeom prst="rect">
                            <a:avLst/>
                          </a:prstGeom>
                        </pic:spPr>
                      </pic:pic>
                    </a:graphicData>
                  </a:graphic>
                </wp:inline>
              </w:drawing>
            </w:r>
          </w:p>
          <w:p w14:paraId="2F2252AF" w14:textId="3531CE54" w:rsidR="00D24F88" w:rsidRPr="00E209A6" w:rsidRDefault="00D24F88" w:rsidP="00D24F88">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GB" w:eastAsia="es-MX"/>
              </w:rPr>
            </w:pPr>
            <w:r w:rsidRPr="00D24F88">
              <w:rPr>
                <w:rFonts w:ascii="ITC Avant Garde" w:eastAsia="Times New Roman" w:hAnsi="ITC Avant Garde" w:cstheme="minorHAnsi"/>
                <w:sz w:val="18"/>
                <w:szCs w:val="18"/>
                <w:lang w:val="en-GB" w:eastAsia="es-MX"/>
              </w:rPr>
              <w:t xml:space="preserve">Thank you </w:t>
            </w:r>
            <w:proofErr w:type="spellStart"/>
            <w:r w:rsidRPr="00D24F88">
              <w:rPr>
                <w:rFonts w:ascii="ITC Avant Garde" w:eastAsia="Times New Roman" w:hAnsi="ITC Avant Garde" w:cstheme="minorHAnsi"/>
                <w:sz w:val="18"/>
                <w:szCs w:val="18"/>
                <w:lang w:val="en-GB" w:eastAsia="es-MX"/>
              </w:rPr>
              <w:t>far</w:t>
            </w:r>
            <w:proofErr w:type="spellEnd"/>
            <w:r w:rsidRPr="00D24F88">
              <w:rPr>
                <w:rFonts w:ascii="ITC Avant Garde" w:eastAsia="Times New Roman" w:hAnsi="ITC Avant Garde" w:cstheme="minorHAnsi"/>
                <w:sz w:val="18"/>
                <w:szCs w:val="18"/>
                <w:lang w:val="en-GB" w:eastAsia="es-MX"/>
              </w:rPr>
              <w:t xml:space="preserve"> reviewing our application and proposals for 77-81 GHz band regulation and taking in</w:t>
            </w:r>
            <w:r>
              <w:rPr>
                <w:rFonts w:ascii="ITC Avant Garde" w:eastAsia="Times New Roman" w:hAnsi="ITC Avant Garde" w:cstheme="minorHAnsi"/>
                <w:sz w:val="18"/>
                <w:szCs w:val="18"/>
                <w:lang w:val="en-GB" w:eastAsia="es-MX"/>
              </w:rPr>
              <w:t xml:space="preserve"> </w:t>
            </w:r>
            <w:r w:rsidRPr="00D24F88">
              <w:rPr>
                <w:rFonts w:ascii="ITC Avant Garde" w:eastAsia="Times New Roman" w:hAnsi="ITC Avant Garde" w:cstheme="minorHAnsi"/>
                <w:sz w:val="18"/>
                <w:szCs w:val="18"/>
                <w:lang w:val="en-GB" w:eastAsia="es-MX"/>
              </w:rPr>
              <w:t>consideration.</w:t>
            </w:r>
          </w:p>
        </w:tc>
        <w:tc>
          <w:tcPr>
            <w:tcW w:w="1316" w:type="pct"/>
            <w:gridSpan w:val="2"/>
            <w:vMerge/>
            <w:tcBorders>
              <w:left w:val="single" w:sz="4" w:space="0" w:color="A8D08D" w:themeColor="accent6" w:themeTint="99"/>
            </w:tcBorders>
            <w:shd w:val="clear" w:color="auto" w:fill="auto"/>
            <w:vAlign w:val="center"/>
          </w:tcPr>
          <w:p w14:paraId="52CAC609" w14:textId="77777777" w:rsidR="00E209A6" w:rsidRPr="00E209A6" w:rsidRDefault="00E209A6"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val="en-GB" w:eastAsia="es-MX"/>
              </w:rPr>
            </w:pPr>
          </w:p>
        </w:tc>
      </w:tr>
    </w:tbl>
    <w:p w14:paraId="29BCBB70" w14:textId="77777777" w:rsidR="00893471" w:rsidRPr="00E209A6" w:rsidRDefault="00893471" w:rsidP="00893471">
      <w:pPr>
        <w:spacing w:after="0" w:line="240" w:lineRule="auto"/>
        <w:rPr>
          <w:rFonts w:ascii="ITC Avant Garde" w:hAnsi="ITC Avant Garde"/>
          <w:color w:val="000000"/>
          <w:sz w:val="14"/>
          <w:szCs w:val="14"/>
          <w:shd w:val="clear" w:color="auto" w:fill="FFFFFF"/>
          <w:lang w:val="en-GB"/>
        </w:rPr>
      </w:pPr>
    </w:p>
    <w:p w14:paraId="486F90A1" w14:textId="77777777" w:rsidR="00893471" w:rsidRPr="00E209A6" w:rsidRDefault="00893471" w:rsidP="00893471">
      <w:pPr>
        <w:spacing w:after="0" w:line="240" w:lineRule="auto"/>
        <w:rPr>
          <w:rFonts w:ascii="ITC Avant Garde" w:hAnsi="ITC Avant Garde"/>
          <w:color w:val="000000"/>
          <w:sz w:val="14"/>
          <w:szCs w:val="14"/>
          <w:shd w:val="clear" w:color="auto" w:fill="FFFFFF"/>
          <w:lang w:val="en-GB"/>
        </w:rPr>
      </w:pPr>
    </w:p>
    <w:p w14:paraId="7B0C3B43" w14:textId="77777777" w:rsidR="00893471" w:rsidRPr="00E209A6" w:rsidRDefault="00893471" w:rsidP="00893471">
      <w:pPr>
        <w:spacing w:after="0" w:line="240" w:lineRule="auto"/>
        <w:rPr>
          <w:rFonts w:ascii="ITC Avant Garde" w:hAnsi="ITC Avant Garde"/>
          <w:color w:val="000000"/>
          <w:sz w:val="14"/>
          <w:szCs w:val="14"/>
          <w:shd w:val="clear" w:color="auto" w:fill="FFFFFF"/>
          <w:lang w:val="en-GB"/>
        </w:rPr>
      </w:pPr>
    </w:p>
    <w:p w14:paraId="6774618A"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77500024"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6801DF02"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4FDC0382"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2438D921"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6385E33B"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064D9C14"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64BB2F58"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2D344542"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5EF721F2"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6B9ACE6B"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38665DC2"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71244D6E"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69570BC4"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6E17CFB9"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76C04DE5"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29EB793B" w14:textId="77777777" w:rsidR="00E92043" w:rsidRDefault="00E92043" w:rsidP="00893471">
      <w:pPr>
        <w:spacing w:after="0" w:line="240" w:lineRule="auto"/>
        <w:rPr>
          <w:rFonts w:ascii="ITC Avant Garde" w:hAnsi="ITC Avant Garde"/>
          <w:color w:val="000000"/>
          <w:sz w:val="14"/>
          <w:szCs w:val="14"/>
          <w:shd w:val="clear" w:color="auto" w:fill="FFFFFF"/>
          <w:lang w:val="en-GB"/>
        </w:rPr>
      </w:pPr>
    </w:p>
    <w:p w14:paraId="3133D719" w14:textId="77777777" w:rsidR="00E92043" w:rsidRPr="00E209A6" w:rsidRDefault="00E92043" w:rsidP="00893471">
      <w:pPr>
        <w:spacing w:after="0" w:line="240" w:lineRule="auto"/>
        <w:rPr>
          <w:rFonts w:ascii="ITC Avant Garde" w:hAnsi="ITC Avant Garde"/>
          <w:color w:val="000000"/>
          <w:sz w:val="14"/>
          <w:szCs w:val="14"/>
          <w:shd w:val="clear" w:color="auto" w:fill="FFFFFF"/>
          <w:lang w:val="en-GB"/>
        </w:rPr>
      </w:pPr>
    </w:p>
    <w:p w14:paraId="1F4A842F" w14:textId="77777777" w:rsidR="00893471" w:rsidRPr="00E209A6" w:rsidRDefault="00893471" w:rsidP="00893471">
      <w:pPr>
        <w:spacing w:after="0" w:line="240" w:lineRule="auto"/>
        <w:rPr>
          <w:rFonts w:ascii="ITC Avant Garde" w:hAnsi="ITC Avant Garde"/>
          <w:color w:val="000000"/>
          <w:sz w:val="14"/>
          <w:szCs w:val="14"/>
          <w:shd w:val="clear" w:color="auto" w:fill="FFFFFF"/>
          <w:lang w:val="en-GB"/>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893471" w:rsidRPr="00FD134A" w14:paraId="73D0365A" w14:textId="77777777" w:rsidTr="00E92043">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08BDC8E2" w14:textId="77777777" w:rsidR="00893471" w:rsidRPr="00FD134A" w:rsidRDefault="00893471" w:rsidP="00C170E7">
            <w:pPr>
              <w:ind w:left="316"/>
              <w:jc w:val="center"/>
              <w:rPr>
                <w:rFonts w:ascii="ITC Avant Garde" w:hAnsi="ITC Avant Garde"/>
                <w:b w:val="0"/>
                <w:sz w:val="18"/>
                <w:szCs w:val="18"/>
                <w:lang w:eastAsia="es-MX"/>
              </w:rPr>
            </w:pPr>
            <w:r w:rsidRPr="00FD134A">
              <w:rPr>
                <w:rFonts w:ascii="ITC Avant Garde" w:hAnsi="ITC Avant Garde"/>
                <w:bCs w:val="0"/>
                <w:sz w:val="18"/>
                <w:szCs w:val="18"/>
                <w:lang w:eastAsia="es-MX"/>
              </w:rPr>
              <w:lastRenderedPageBreak/>
              <w:t>Comentarios, opiniones, propuestas y aportaciones específicos de la persona participante sobre el asunto en Consulta Pública</w:t>
            </w:r>
          </w:p>
        </w:tc>
      </w:tr>
      <w:tr w:rsidR="00893471" w:rsidRPr="00FD134A" w14:paraId="10210640" w14:textId="77777777" w:rsidTr="00E92043">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5C21A00" w14:textId="77777777" w:rsidR="00893471" w:rsidRPr="00FD134A" w:rsidRDefault="00893471" w:rsidP="00C170E7">
            <w:pPr>
              <w:ind w:left="316"/>
              <w:rPr>
                <w:rFonts w:ascii="ITC Avant Garde" w:hAnsi="ITC Avant Garde"/>
                <w:sz w:val="18"/>
                <w:szCs w:val="18"/>
                <w:lang w:eastAsia="es-MX"/>
              </w:rPr>
            </w:pPr>
            <w:r w:rsidRPr="00FD134A">
              <w:rPr>
                <w:rFonts w:ascii="ITC Avant Garde" w:hAnsi="ITC Avant Garde"/>
                <w:sz w:val="18"/>
                <w:szCs w:val="18"/>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26C3CDA" w14:textId="5BACC8A4" w:rsidR="00893471" w:rsidRPr="00943B3A" w:rsidRDefault="00893471" w:rsidP="00C170E7">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lang w:val="fr-FR" w:eastAsia="es-MX"/>
              </w:rPr>
            </w:pPr>
            <w:proofErr w:type="spellStart"/>
            <w:r w:rsidRPr="00943B3A">
              <w:rPr>
                <w:rFonts w:ascii="ITC Avant Garde" w:hAnsi="ITC Avant Garde"/>
                <w:b w:val="0"/>
                <w:color w:val="000000" w:themeColor="text1"/>
                <w:sz w:val="18"/>
                <w:szCs w:val="18"/>
                <w:lang w:val="fr-FR" w:eastAsia="es-MX"/>
              </w:rPr>
              <w:t>S</w:t>
            </w:r>
            <w:r w:rsidR="00943B3A">
              <w:rPr>
                <w:rFonts w:ascii="ITC Avant Garde" w:hAnsi="ITC Avant Garde"/>
                <w:b w:val="0"/>
                <w:color w:val="000000" w:themeColor="text1"/>
                <w:sz w:val="18"/>
                <w:szCs w:val="18"/>
                <w:lang w:val="fr-FR" w:eastAsia="es-MX"/>
              </w:rPr>
              <w:t>atelio</w:t>
            </w:r>
            <w:proofErr w:type="spellEnd"/>
            <w:r w:rsidR="00943B3A">
              <w:rPr>
                <w:rFonts w:ascii="ITC Avant Garde" w:hAnsi="ITC Avant Garde"/>
                <w:b w:val="0"/>
                <w:color w:val="000000" w:themeColor="text1"/>
                <w:sz w:val="18"/>
                <w:szCs w:val="18"/>
                <w:lang w:val="fr-FR" w:eastAsia="es-MX"/>
              </w:rPr>
              <w:t xml:space="preserve"> IoT Services, S.L.</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D6762A5" w14:textId="77777777" w:rsidR="00893471" w:rsidRPr="00FD134A" w:rsidRDefault="00893471" w:rsidP="00C170E7">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lang w:eastAsia="es-MX"/>
              </w:rPr>
            </w:pPr>
            <w:r w:rsidRPr="00FD134A">
              <w:rPr>
                <w:rFonts w:ascii="ITC Avant Garde" w:hAnsi="ITC Avant Garde"/>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240198D" w14:textId="515AFEB0" w:rsidR="00893471" w:rsidRPr="00E92043" w:rsidRDefault="00893471" w:rsidP="00C170E7">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lang w:eastAsia="es-MX"/>
              </w:rPr>
            </w:pPr>
            <w:r w:rsidRPr="00E92043">
              <w:rPr>
                <w:rFonts w:ascii="ITC Avant Garde" w:hAnsi="ITC Avant Garde"/>
                <w:b w:val="0"/>
                <w:color w:val="000000" w:themeColor="text1"/>
                <w:sz w:val="18"/>
                <w:szCs w:val="18"/>
                <w:lang w:eastAsia="es-MX"/>
              </w:rPr>
              <w:t>20240628-CP_CNAF-010</w:t>
            </w:r>
          </w:p>
        </w:tc>
      </w:tr>
      <w:tr w:rsidR="00893471" w:rsidRPr="00FD134A" w14:paraId="3E7AA66C" w14:textId="77777777" w:rsidTr="00E920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5DF9786D" w14:textId="77777777" w:rsidR="00893471" w:rsidRPr="00E92043" w:rsidRDefault="00893471" w:rsidP="00C170E7">
            <w:pPr>
              <w:jc w:val="center"/>
              <w:rPr>
                <w:rFonts w:ascii="ITC Avant Garde" w:eastAsia="Times New Roman" w:hAnsi="ITC Avant Garde" w:cstheme="minorHAnsi"/>
                <w:color w:val="000000" w:themeColor="text1"/>
                <w:sz w:val="18"/>
                <w:szCs w:val="18"/>
                <w:lang w:eastAsia="es-MX"/>
              </w:rPr>
            </w:pPr>
            <w:r w:rsidRPr="00E92043">
              <w:rPr>
                <w:rFonts w:ascii="ITC Avant Garde" w:eastAsia="Times New Roman" w:hAnsi="ITC Avant Garde" w:cstheme="minorHAnsi"/>
                <w:color w:val="000000" w:themeColor="text1"/>
                <w:sz w:val="18"/>
                <w:szCs w:val="18"/>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468DC9C2" w14:textId="77777777" w:rsidR="00893471" w:rsidRPr="00E92043" w:rsidRDefault="00893471" w:rsidP="00C170E7">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8"/>
                <w:szCs w:val="18"/>
                <w:lang w:eastAsia="es-MX"/>
              </w:rPr>
            </w:pPr>
            <w:r w:rsidRPr="00E92043">
              <w:rPr>
                <w:rFonts w:ascii="ITC Avant Garde" w:eastAsia="Times New Roman" w:hAnsi="ITC Avant Garde" w:cstheme="minorHAnsi"/>
                <w:color w:val="000000" w:themeColor="text1"/>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4882015A" w14:textId="77777777" w:rsidR="00893471" w:rsidRPr="00E92043" w:rsidRDefault="00893471" w:rsidP="00C170E7">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8"/>
                <w:szCs w:val="18"/>
                <w:lang w:eastAsia="es-MX"/>
              </w:rPr>
            </w:pPr>
            <w:r w:rsidRPr="00E92043">
              <w:rPr>
                <w:rFonts w:ascii="ITC Avant Garde" w:eastAsia="Times New Roman" w:hAnsi="ITC Avant Garde" w:cstheme="minorHAnsi"/>
                <w:color w:val="000000" w:themeColor="text1"/>
                <w:sz w:val="18"/>
                <w:szCs w:val="18"/>
                <w:lang w:eastAsia="es-MX"/>
              </w:rPr>
              <w:t>Respuesta del Instituto</w:t>
            </w:r>
          </w:p>
        </w:tc>
      </w:tr>
      <w:tr w:rsidR="00893471" w:rsidRPr="00FD134A" w14:paraId="0669DDFA" w14:textId="77777777" w:rsidTr="0080283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024F5714" w14:textId="77777777" w:rsidR="00893471" w:rsidRPr="00FD134A" w:rsidRDefault="00893471" w:rsidP="00C170E7">
            <w:pPr>
              <w:jc w:val="center"/>
              <w:rPr>
                <w:rFonts w:ascii="ITC Avant Garde" w:eastAsia="Times New Roman" w:hAnsi="ITC Avant Garde" w:cstheme="minorHAnsi"/>
                <w:b w:val="0"/>
                <w:sz w:val="18"/>
                <w:szCs w:val="18"/>
                <w:lang w:eastAsia="es-MX"/>
              </w:rPr>
            </w:pPr>
            <w:r w:rsidRPr="00FD134A">
              <w:rPr>
                <w:rFonts w:ascii="ITC Avant Garde" w:eastAsia="Times New Roman" w:hAnsi="ITC Avant Garde" w:cstheme="minorHAnsi"/>
                <w:b w:val="0"/>
                <w:sz w:val="18"/>
                <w:szCs w:val="18"/>
                <w:lang w:eastAsia="es-MX"/>
              </w:rPr>
              <w:t>Sección introductoria</w:t>
            </w:r>
          </w:p>
        </w:tc>
        <w:tc>
          <w:tcPr>
            <w:tcW w:w="2964" w:type="pct"/>
            <w:tcBorders>
              <w:right w:val="single" w:sz="4" w:space="0" w:color="A8D08D" w:themeColor="accent6" w:themeTint="99"/>
            </w:tcBorders>
            <w:shd w:val="clear" w:color="auto" w:fill="auto"/>
            <w:vAlign w:val="center"/>
          </w:tcPr>
          <w:p w14:paraId="29316564" w14:textId="2AA8BCF6" w:rsidR="00FC3EF3" w:rsidRPr="00FC3EF3" w:rsidRDefault="00FC3EF3" w:rsidP="00FC3EF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FC3EF3">
              <w:rPr>
                <w:rFonts w:ascii="ITC Avant Garde" w:eastAsia="Times New Roman" w:hAnsi="ITC Avant Garde" w:cstheme="minorHAnsi"/>
                <w:b/>
                <w:bCs/>
                <w:sz w:val="18"/>
                <w:szCs w:val="18"/>
                <w:lang w:eastAsia="es-MX"/>
              </w:rPr>
              <w:t>Ref. Considerando Segundo.</w:t>
            </w:r>
          </w:p>
          <w:p w14:paraId="4F72E267" w14:textId="77777777" w:rsidR="00FC3EF3" w:rsidRDefault="00FC3EF3" w:rsidP="00FC3EF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FC3EF3">
              <w:rPr>
                <w:rFonts w:ascii="ITC Avant Garde" w:eastAsia="Times New Roman" w:hAnsi="ITC Avant Garde" w:cstheme="minorHAnsi"/>
                <w:b/>
                <w:bCs/>
                <w:sz w:val="18"/>
                <w:szCs w:val="18"/>
                <w:lang w:eastAsia="es-MX"/>
              </w:rPr>
              <w:t>Artículos 27, 60, 57</w:t>
            </w:r>
          </w:p>
          <w:p w14:paraId="7820E28F" w14:textId="77777777" w:rsidR="00FC3EF3" w:rsidRDefault="00FC3EF3" w:rsidP="00FC3EF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p>
          <w:p w14:paraId="556E46F7" w14:textId="77777777" w:rsidR="00FC3EF3" w:rsidRDefault="00FC3EF3" w:rsidP="00FC3EF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r w:rsidRPr="00FC3EF3">
              <w:rPr>
                <w:rFonts w:ascii="ITC Avant Garde" w:eastAsia="Times New Roman" w:hAnsi="ITC Avant Garde" w:cstheme="minorHAnsi"/>
                <w:sz w:val="18"/>
                <w:szCs w:val="18"/>
                <w:lang w:eastAsia="es-MX"/>
              </w:rPr>
              <w:t>Espectro como recurso escaso y la necesidad de su gestión</w:t>
            </w:r>
            <w:r>
              <w:rPr>
                <w:rFonts w:ascii="ITC Avant Garde" w:eastAsia="Times New Roman" w:hAnsi="ITC Avant Garde" w:cstheme="minorHAnsi"/>
                <w:sz w:val="18"/>
                <w:szCs w:val="18"/>
                <w:lang w:eastAsia="es-MX"/>
              </w:rPr>
              <w:t xml:space="preserve"> </w:t>
            </w:r>
            <w:r w:rsidRPr="00FC3EF3">
              <w:rPr>
                <w:rFonts w:ascii="ITC Avant Garde" w:eastAsia="Times New Roman" w:hAnsi="ITC Avant Garde" w:cstheme="minorHAnsi"/>
                <w:sz w:val="18"/>
                <w:szCs w:val="18"/>
                <w:lang w:eastAsia="es-MX"/>
              </w:rPr>
              <w:t>En total consonancia con lo considerado en la sección segunda del</w:t>
            </w:r>
            <w:r>
              <w:rPr>
                <w:rFonts w:ascii="ITC Avant Garde" w:eastAsia="Times New Roman" w:hAnsi="ITC Avant Garde" w:cstheme="minorHAnsi"/>
                <w:sz w:val="18"/>
                <w:szCs w:val="18"/>
                <w:lang w:eastAsia="es-MX"/>
              </w:rPr>
              <w:t xml:space="preserve"> </w:t>
            </w:r>
            <w:r w:rsidRPr="00FC3EF3">
              <w:rPr>
                <w:rFonts w:ascii="ITC Avant Garde" w:eastAsia="Times New Roman" w:hAnsi="ITC Avant Garde" w:cstheme="minorHAnsi"/>
                <w:sz w:val="18"/>
                <w:szCs w:val="18"/>
                <w:lang w:eastAsia="es-MX"/>
              </w:rPr>
              <w:t>anteproyecto, priorizar el uso útil y de impacto social y empresarial de espectro</w:t>
            </w:r>
            <w:r>
              <w:rPr>
                <w:rFonts w:ascii="ITC Avant Garde" w:eastAsia="Times New Roman" w:hAnsi="ITC Avant Garde" w:cstheme="minorHAnsi"/>
                <w:sz w:val="18"/>
                <w:szCs w:val="18"/>
                <w:lang w:eastAsia="es-MX"/>
              </w:rPr>
              <w:t xml:space="preserve"> </w:t>
            </w:r>
            <w:r w:rsidRPr="00FC3EF3">
              <w:rPr>
                <w:rFonts w:ascii="ITC Avant Garde" w:eastAsia="Times New Roman" w:hAnsi="ITC Avant Garde" w:cstheme="minorHAnsi"/>
                <w:sz w:val="18"/>
                <w:szCs w:val="18"/>
                <w:lang w:eastAsia="es-MX"/>
              </w:rPr>
              <w:t>radioeléctrico en México debe ser una prioridad innegociable. Por ende, y dada</w:t>
            </w:r>
            <w:r>
              <w:rPr>
                <w:rFonts w:ascii="ITC Avant Garde" w:eastAsia="Times New Roman" w:hAnsi="ITC Avant Garde" w:cstheme="minorHAnsi"/>
                <w:sz w:val="18"/>
                <w:szCs w:val="18"/>
                <w:lang w:eastAsia="es-MX"/>
              </w:rPr>
              <w:t xml:space="preserve"> </w:t>
            </w:r>
            <w:r w:rsidRPr="00FC3EF3">
              <w:rPr>
                <w:rFonts w:ascii="ITC Avant Garde" w:eastAsia="Times New Roman" w:hAnsi="ITC Avant Garde" w:cstheme="minorHAnsi"/>
                <w:sz w:val="18"/>
                <w:szCs w:val="18"/>
                <w:lang w:eastAsia="es-MX"/>
              </w:rPr>
              <w:t>la importancia actual del desarrollo de nuevas tecnologías satelitales en el</w:t>
            </w:r>
            <w:r>
              <w:rPr>
                <w:rFonts w:ascii="ITC Avant Garde" w:eastAsia="Times New Roman" w:hAnsi="ITC Avant Garde" w:cstheme="minorHAnsi"/>
                <w:sz w:val="18"/>
                <w:szCs w:val="18"/>
                <w:lang w:eastAsia="es-MX"/>
              </w:rPr>
              <w:t xml:space="preserve"> </w:t>
            </w:r>
            <w:r w:rsidRPr="00FC3EF3">
              <w:rPr>
                <w:rFonts w:ascii="ITC Avant Garde" w:eastAsia="Times New Roman" w:hAnsi="ITC Avant Garde" w:cstheme="minorHAnsi"/>
                <w:sz w:val="18"/>
                <w:szCs w:val="18"/>
                <w:lang w:eastAsia="es-MX"/>
              </w:rPr>
              <w:t>Servicio Móvil por Satélite (MSS en sus siglas en inglés), y los proyectos de</w:t>
            </w:r>
            <w:r>
              <w:rPr>
                <w:rFonts w:ascii="ITC Avant Garde" w:eastAsia="Times New Roman" w:hAnsi="ITC Avant Garde" w:cstheme="minorHAnsi"/>
                <w:sz w:val="18"/>
                <w:szCs w:val="18"/>
                <w:lang w:eastAsia="es-MX"/>
              </w:rPr>
              <w:t xml:space="preserve"> </w:t>
            </w:r>
            <w:r w:rsidRPr="00FC3EF3">
              <w:rPr>
                <w:rFonts w:ascii="ITC Avant Garde" w:eastAsia="Times New Roman" w:hAnsi="ITC Avant Garde" w:cstheme="minorHAnsi"/>
                <w:sz w:val="18"/>
                <w:szCs w:val="18"/>
                <w:lang w:eastAsia="es-MX"/>
              </w:rPr>
              <w:t xml:space="preserve">integración de redes terrestres y redes satelitales, </w:t>
            </w:r>
            <w:proofErr w:type="spellStart"/>
            <w:r w:rsidRPr="00FC3EF3">
              <w:rPr>
                <w:rFonts w:ascii="ITC Avant Garde" w:eastAsia="Times New Roman" w:hAnsi="ITC Avant Garde" w:cstheme="minorHAnsi"/>
                <w:sz w:val="18"/>
                <w:szCs w:val="18"/>
                <w:lang w:eastAsia="es-MX"/>
              </w:rPr>
              <w:t>Sateliot</w:t>
            </w:r>
            <w:proofErr w:type="spellEnd"/>
            <w:r w:rsidRPr="00FC3EF3">
              <w:rPr>
                <w:rFonts w:ascii="ITC Avant Garde" w:eastAsia="Times New Roman" w:hAnsi="ITC Avant Garde" w:cstheme="minorHAnsi"/>
                <w:sz w:val="18"/>
                <w:szCs w:val="18"/>
                <w:lang w:eastAsia="es-MX"/>
              </w:rPr>
              <w:t xml:space="preserve"> quisiera aportar una</w:t>
            </w:r>
            <w:r>
              <w:rPr>
                <w:rFonts w:ascii="ITC Avant Garde" w:eastAsia="Times New Roman" w:hAnsi="ITC Avant Garde" w:cstheme="minorHAnsi"/>
                <w:sz w:val="18"/>
                <w:szCs w:val="18"/>
                <w:lang w:eastAsia="es-MX"/>
              </w:rPr>
              <w:t xml:space="preserve"> </w:t>
            </w:r>
            <w:r w:rsidRPr="00FC3EF3">
              <w:rPr>
                <w:rFonts w:ascii="ITC Avant Garde" w:eastAsia="Times New Roman" w:hAnsi="ITC Avant Garde" w:cstheme="minorHAnsi"/>
                <w:sz w:val="18"/>
                <w:szCs w:val="18"/>
                <w:lang w:eastAsia="es-MX"/>
              </w:rPr>
              <w:t>serie de comentarios subsiguientes de acuerdo con las prioridades</w:t>
            </w:r>
            <w:r>
              <w:rPr>
                <w:rFonts w:ascii="ITC Avant Garde" w:eastAsia="Times New Roman" w:hAnsi="ITC Avant Garde" w:cstheme="minorHAnsi"/>
                <w:sz w:val="18"/>
                <w:szCs w:val="18"/>
                <w:lang w:eastAsia="es-MX"/>
              </w:rPr>
              <w:t xml:space="preserve"> </w:t>
            </w:r>
            <w:r w:rsidRPr="00FC3EF3">
              <w:rPr>
                <w:rFonts w:ascii="ITC Avant Garde" w:eastAsia="Times New Roman" w:hAnsi="ITC Avant Garde" w:cstheme="minorHAnsi"/>
                <w:sz w:val="18"/>
                <w:szCs w:val="18"/>
                <w:lang w:eastAsia="es-MX"/>
              </w:rPr>
              <w:t>expresadas por el IFT con su mandato referenciado en los artículos 27, 60 y 57,</w:t>
            </w:r>
            <w:r>
              <w:rPr>
                <w:rFonts w:ascii="ITC Avant Garde" w:eastAsia="Times New Roman" w:hAnsi="ITC Avant Garde" w:cstheme="minorHAnsi"/>
                <w:sz w:val="18"/>
                <w:szCs w:val="18"/>
                <w:lang w:eastAsia="es-MX"/>
              </w:rPr>
              <w:t xml:space="preserve"> </w:t>
            </w:r>
            <w:r w:rsidRPr="00FC3EF3">
              <w:rPr>
                <w:rFonts w:ascii="ITC Avant Garde" w:eastAsia="Times New Roman" w:hAnsi="ITC Avant Garde" w:cstheme="minorHAnsi"/>
                <w:sz w:val="18"/>
                <w:szCs w:val="18"/>
                <w:lang w:eastAsia="es-MX"/>
              </w:rPr>
              <w:t>entre otros:</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i/>
                <w:iCs/>
                <w:sz w:val="18"/>
                <w:szCs w:val="18"/>
                <w:lang w:eastAsia="es-MX"/>
              </w:rPr>
              <w:t>“…que se propicie el uso eficiente de dicho recurso espectral, favoreciendo con ello la competencia e introducción de nuevos servicios de telecomunicaciones en beneficio de los usuarios.”</w:t>
            </w:r>
          </w:p>
          <w:p w14:paraId="1C1CDD05" w14:textId="77777777" w:rsidR="00E92043" w:rsidRDefault="00E92043" w:rsidP="00FC3EF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p>
          <w:p w14:paraId="0AF59244" w14:textId="4D0B10A0"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r w:rsidRPr="00E92043">
              <w:rPr>
                <w:rFonts w:ascii="ITC Avant Garde" w:eastAsia="Times New Roman" w:hAnsi="ITC Avant Garde" w:cstheme="minorHAnsi"/>
                <w:i/>
                <w:iCs/>
                <w:sz w:val="18"/>
                <w:szCs w:val="18"/>
                <w:lang w:eastAsia="es-MX"/>
              </w:rPr>
              <w:t xml:space="preserve">“… vislumbrar y anticipar la utilización eficiente del espectro radioeléctrico, tomando en cuenta, entre otros factores, i) el desarrollo tecnológico; </w:t>
            </w:r>
            <w:proofErr w:type="spellStart"/>
            <w:r w:rsidRPr="00E92043">
              <w:rPr>
                <w:rFonts w:ascii="ITC Avant Garde" w:eastAsia="Times New Roman" w:hAnsi="ITC Avant Garde" w:cstheme="minorHAnsi"/>
                <w:i/>
                <w:iCs/>
                <w:sz w:val="18"/>
                <w:szCs w:val="18"/>
                <w:lang w:eastAsia="es-MX"/>
              </w:rPr>
              <w:t>ii</w:t>
            </w:r>
            <w:proofErr w:type="spellEnd"/>
            <w:r w:rsidRPr="00E92043">
              <w:rPr>
                <w:rFonts w:ascii="ITC Avant Garde" w:eastAsia="Times New Roman" w:hAnsi="ITC Avant Garde" w:cstheme="minorHAnsi"/>
                <w:i/>
                <w:iCs/>
                <w:sz w:val="18"/>
                <w:szCs w:val="18"/>
                <w:lang w:eastAsia="es-MX"/>
              </w:rPr>
              <w:t xml:space="preserve">) las tendencias internacionales de su uso y atribución; </w:t>
            </w:r>
            <w:proofErr w:type="spellStart"/>
            <w:r w:rsidRPr="00E92043">
              <w:rPr>
                <w:rFonts w:ascii="ITC Avant Garde" w:eastAsia="Times New Roman" w:hAnsi="ITC Avant Garde" w:cstheme="minorHAnsi"/>
                <w:i/>
                <w:iCs/>
                <w:sz w:val="18"/>
                <w:szCs w:val="18"/>
                <w:lang w:eastAsia="es-MX"/>
              </w:rPr>
              <w:t>iii</w:t>
            </w:r>
            <w:proofErr w:type="spellEnd"/>
            <w:r w:rsidRPr="00E92043">
              <w:rPr>
                <w:rFonts w:ascii="ITC Avant Garde" w:eastAsia="Times New Roman" w:hAnsi="ITC Avant Garde" w:cstheme="minorHAnsi"/>
                <w:i/>
                <w:iCs/>
                <w:sz w:val="18"/>
                <w:szCs w:val="18"/>
                <w:lang w:eastAsia="es-MX"/>
              </w:rPr>
              <w:t xml:space="preserve">) situaciones internas y externas de mercados o servicios; </w:t>
            </w:r>
            <w:proofErr w:type="spellStart"/>
            <w:r w:rsidRPr="00E92043">
              <w:rPr>
                <w:rFonts w:ascii="ITC Avant Garde" w:eastAsia="Times New Roman" w:hAnsi="ITC Avant Garde" w:cstheme="minorHAnsi"/>
                <w:i/>
                <w:iCs/>
                <w:sz w:val="18"/>
                <w:szCs w:val="18"/>
                <w:lang w:eastAsia="es-MX"/>
              </w:rPr>
              <w:t>iv</w:t>
            </w:r>
            <w:proofErr w:type="spellEnd"/>
            <w:r w:rsidRPr="00E92043">
              <w:rPr>
                <w:rFonts w:ascii="ITC Avant Garde" w:eastAsia="Times New Roman" w:hAnsi="ITC Avant Garde" w:cstheme="minorHAnsi"/>
                <w:i/>
                <w:iCs/>
                <w:sz w:val="18"/>
                <w:szCs w:val="18"/>
                <w:lang w:eastAsia="es-MX"/>
              </w:rPr>
              <w:t>) necesidades puntuales de diversos sectores económicos, y v) en general, beneficios</w:t>
            </w:r>
          </w:p>
          <w:p w14:paraId="0A1BAD1C"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r w:rsidRPr="00E92043">
              <w:rPr>
                <w:rFonts w:ascii="ITC Avant Garde" w:eastAsia="Times New Roman" w:hAnsi="ITC Avant Garde" w:cstheme="minorHAnsi"/>
                <w:i/>
                <w:iCs/>
                <w:sz w:val="18"/>
                <w:szCs w:val="18"/>
                <w:lang w:eastAsia="es-MX"/>
              </w:rPr>
              <w:t>sociales.”</w:t>
            </w:r>
          </w:p>
          <w:p w14:paraId="63AF387E"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p>
          <w:p w14:paraId="1A966962" w14:textId="4D665592"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r w:rsidRPr="00E92043">
              <w:rPr>
                <w:rFonts w:ascii="ITC Avant Garde" w:eastAsia="Times New Roman" w:hAnsi="ITC Avant Garde" w:cstheme="minorHAnsi"/>
                <w:i/>
                <w:iCs/>
                <w:sz w:val="18"/>
                <w:szCs w:val="18"/>
                <w:lang w:eastAsia="es-MX"/>
              </w:rPr>
              <w:t>“...gestionar de manera eficiente el uso y aprovechamiento del espectro</w:t>
            </w:r>
            <w:r>
              <w:rPr>
                <w:rFonts w:ascii="ITC Avant Garde" w:eastAsia="Times New Roman" w:hAnsi="ITC Avant Garde" w:cstheme="minorHAnsi"/>
                <w:i/>
                <w:iCs/>
                <w:sz w:val="18"/>
                <w:szCs w:val="18"/>
                <w:lang w:eastAsia="es-MX"/>
              </w:rPr>
              <w:t xml:space="preserve"> </w:t>
            </w:r>
            <w:r w:rsidRPr="00E92043">
              <w:rPr>
                <w:rFonts w:ascii="ITC Avant Garde" w:eastAsia="Times New Roman" w:hAnsi="ITC Avant Garde" w:cstheme="minorHAnsi"/>
                <w:i/>
                <w:iCs/>
                <w:sz w:val="18"/>
                <w:szCs w:val="18"/>
                <w:lang w:eastAsia="es-MX"/>
              </w:rPr>
              <w:t>radioeléctrico, en aras de otorgar al menor costo posible, el máximo beneficio</w:t>
            </w:r>
            <w:r>
              <w:rPr>
                <w:rFonts w:ascii="ITC Avant Garde" w:eastAsia="Times New Roman" w:hAnsi="ITC Avant Garde" w:cstheme="minorHAnsi"/>
                <w:i/>
                <w:iCs/>
                <w:sz w:val="18"/>
                <w:szCs w:val="18"/>
                <w:lang w:eastAsia="es-MX"/>
              </w:rPr>
              <w:t xml:space="preserve"> </w:t>
            </w:r>
            <w:r w:rsidRPr="00E92043">
              <w:rPr>
                <w:rFonts w:ascii="ITC Avant Garde" w:eastAsia="Times New Roman" w:hAnsi="ITC Avant Garde" w:cstheme="minorHAnsi"/>
                <w:i/>
                <w:iCs/>
                <w:sz w:val="18"/>
                <w:szCs w:val="18"/>
                <w:lang w:eastAsia="es-MX"/>
              </w:rPr>
              <w:t>a los usuarios finales”</w:t>
            </w:r>
          </w:p>
          <w:p w14:paraId="5B149D53" w14:textId="77777777"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p>
          <w:p w14:paraId="57346BD0"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r w:rsidRPr="00E92043">
              <w:rPr>
                <w:rFonts w:ascii="ITC Avant Garde" w:eastAsia="Times New Roman" w:hAnsi="ITC Avant Garde" w:cstheme="minorHAnsi"/>
                <w:i/>
                <w:iCs/>
                <w:sz w:val="18"/>
                <w:szCs w:val="18"/>
                <w:lang w:eastAsia="es-MX"/>
              </w:rPr>
              <w:t>“… las telecomunicaciones como servicio público de interés general sean</w:t>
            </w:r>
            <w:r>
              <w:rPr>
                <w:rFonts w:ascii="ITC Avant Garde" w:eastAsia="Times New Roman" w:hAnsi="ITC Avant Garde" w:cstheme="minorHAnsi"/>
                <w:i/>
                <w:iCs/>
                <w:sz w:val="18"/>
                <w:szCs w:val="18"/>
                <w:lang w:eastAsia="es-MX"/>
              </w:rPr>
              <w:t xml:space="preserve"> </w:t>
            </w:r>
            <w:r w:rsidRPr="00E92043">
              <w:rPr>
                <w:rFonts w:ascii="ITC Avant Garde" w:eastAsia="Times New Roman" w:hAnsi="ITC Avant Garde" w:cstheme="minorHAnsi"/>
                <w:i/>
                <w:iCs/>
                <w:sz w:val="18"/>
                <w:szCs w:val="18"/>
                <w:lang w:eastAsia="es-MX"/>
              </w:rPr>
              <w:t>prestados en condiciones de competencia, calidad, pluralidad, cobertura</w:t>
            </w:r>
            <w:r>
              <w:rPr>
                <w:rFonts w:ascii="ITC Avant Garde" w:eastAsia="Times New Roman" w:hAnsi="ITC Avant Garde" w:cstheme="minorHAnsi"/>
                <w:i/>
                <w:iCs/>
                <w:sz w:val="18"/>
                <w:szCs w:val="18"/>
                <w:lang w:eastAsia="es-MX"/>
              </w:rPr>
              <w:t xml:space="preserve"> </w:t>
            </w:r>
            <w:r w:rsidRPr="00E92043">
              <w:rPr>
                <w:rFonts w:ascii="ITC Avant Garde" w:eastAsia="Times New Roman" w:hAnsi="ITC Avant Garde" w:cstheme="minorHAnsi"/>
                <w:i/>
                <w:iCs/>
                <w:sz w:val="18"/>
                <w:szCs w:val="18"/>
                <w:lang w:eastAsia="es-MX"/>
              </w:rPr>
              <w:t>universal, interconexión, convergencia, continuidad,”</w:t>
            </w:r>
          </w:p>
          <w:p w14:paraId="053DFB3B"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p>
          <w:p w14:paraId="2F9571C6"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E92043">
              <w:rPr>
                <w:rFonts w:ascii="ITC Avant Garde" w:eastAsia="Times New Roman" w:hAnsi="ITC Avant Garde" w:cstheme="minorHAnsi"/>
                <w:b/>
                <w:bCs/>
                <w:sz w:val="18"/>
                <w:szCs w:val="18"/>
                <w:lang w:eastAsia="es-MX"/>
              </w:rPr>
              <w:t>Ref.</w:t>
            </w:r>
            <w:r>
              <w:rPr>
                <w:rFonts w:ascii="ITC Avant Garde" w:eastAsia="Times New Roman" w:hAnsi="ITC Avant Garde" w:cstheme="minorHAnsi"/>
                <w:b/>
                <w:bCs/>
                <w:sz w:val="18"/>
                <w:szCs w:val="18"/>
                <w:lang w:eastAsia="es-MX"/>
              </w:rPr>
              <w:t xml:space="preserve"> </w:t>
            </w:r>
            <w:r w:rsidRPr="00E92043">
              <w:rPr>
                <w:rFonts w:ascii="ITC Avant Garde" w:eastAsia="Times New Roman" w:hAnsi="ITC Avant Garde" w:cstheme="minorHAnsi"/>
                <w:b/>
                <w:bCs/>
                <w:sz w:val="18"/>
                <w:szCs w:val="18"/>
                <w:lang w:eastAsia="es-MX"/>
              </w:rPr>
              <w:t>Considerando</w:t>
            </w:r>
            <w:r>
              <w:rPr>
                <w:rFonts w:ascii="ITC Avant Garde" w:eastAsia="Times New Roman" w:hAnsi="ITC Avant Garde" w:cstheme="minorHAnsi"/>
                <w:b/>
                <w:bCs/>
                <w:sz w:val="18"/>
                <w:szCs w:val="18"/>
                <w:lang w:eastAsia="es-MX"/>
              </w:rPr>
              <w:t xml:space="preserve"> </w:t>
            </w:r>
            <w:r w:rsidRPr="00E92043">
              <w:rPr>
                <w:rFonts w:ascii="ITC Avant Garde" w:eastAsia="Times New Roman" w:hAnsi="ITC Avant Garde" w:cstheme="minorHAnsi"/>
                <w:b/>
                <w:bCs/>
                <w:sz w:val="18"/>
                <w:szCs w:val="18"/>
                <w:lang w:eastAsia="es-MX"/>
              </w:rPr>
              <w:t>Tercero</w:t>
            </w:r>
          </w:p>
          <w:p w14:paraId="4485B622"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p>
          <w:p w14:paraId="4ED81481" w14:textId="77777777"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E92043">
              <w:rPr>
                <w:rFonts w:ascii="ITC Avant Garde" w:eastAsia="Times New Roman" w:hAnsi="ITC Avant Garde" w:cstheme="minorHAnsi"/>
                <w:b/>
                <w:bCs/>
                <w:sz w:val="18"/>
                <w:szCs w:val="18"/>
                <w:lang w:eastAsia="es-MX"/>
              </w:rPr>
              <w:t>La importancia del espectro nacional para el ámbito comercial estatal:</w:t>
            </w:r>
          </w:p>
          <w:p w14:paraId="20C443FA" w14:textId="008AD1B1"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No podríamos estar más de acuerdo con el Instituto, en su referencia en el Considerando Tercero, sobre la escasez y el gran valor del espectro nacional. Particularmente, en las porciones de espectro dedicadas al MSS que dada su</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idoneidad técnica en la banda de 2GHz, requiere una visión estratégica de su</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uso a nivel estatal.</w:t>
            </w:r>
          </w:p>
          <w:p w14:paraId="2284B978" w14:textId="77777777"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0D369A1A" w14:textId="192BC5B0"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En el apartado referenciado, el IFT menciona dos puntos clave que motivan</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nuestra contribución:</w:t>
            </w:r>
          </w:p>
          <w:p w14:paraId="55B293E0" w14:textId="77777777"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48D26EF2" w14:textId="5D65B41A"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r w:rsidRPr="00E92043">
              <w:rPr>
                <w:rFonts w:ascii="ITC Avant Garde" w:eastAsia="Times New Roman" w:hAnsi="ITC Avant Garde" w:cstheme="minorHAnsi"/>
                <w:i/>
                <w:iCs/>
                <w:sz w:val="18"/>
                <w:szCs w:val="18"/>
                <w:lang w:eastAsia="es-MX"/>
              </w:rPr>
              <w:t>“…conforme a lo establecido en el CNAF y demás disposiciones aplicables, para lo cual, el Instituto deberá mantenerlo actualizado con base en el interés general y tomando en consideración la evolución tecnológica en materia de telecomunicaciones y radiodifusión,”</w:t>
            </w:r>
          </w:p>
          <w:p w14:paraId="23485910" w14:textId="77777777"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p>
          <w:p w14:paraId="7EBD4650"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r w:rsidRPr="00E92043">
              <w:rPr>
                <w:rFonts w:ascii="ITC Avant Garde" w:eastAsia="Times New Roman" w:hAnsi="ITC Avant Garde" w:cstheme="minorHAnsi"/>
                <w:i/>
                <w:iCs/>
                <w:sz w:val="18"/>
                <w:szCs w:val="18"/>
                <w:lang w:eastAsia="es-MX"/>
              </w:rPr>
              <w:t>“… aprovechamiento máximo del espectro radioeléctrico considerando su naturaleza de recurso finito.”</w:t>
            </w:r>
          </w:p>
          <w:p w14:paraId="233393BE"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i/>
                <w:iCs/>
                <w:sz w:val="18"/>
                <w:szCs w:val="18"/>
                <w:lang w:eastAsia="es-MX"/>
              </w:rPr>
            </w:pPr>
          </w:p>
          <w:p w14:paraId="1F9EAC4B" w14:textId="08B3D4A7"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roofErr w:type="spellStart"/>
            <w:r w:rsidRPr="00E92043">
              <w:rPr>
                <w:rFonts w:ascii="ITC Avant Garde" w:eastAsia="Times New Roman" w:hAnsi="ITC Avant Garde" w:cstheme="minorHAnsi"/>
                <w:sz w:val="18"/>
                <w:szCs w:val="18"/>
                <w:lang w:eastAsia="es-MX"/>
              </w:rPr>
              <w:lastRenderedPageBreak/>
              <w:t>Sateliot</w:t>
            </w:r>
            <w:proofErr w:type="spellEnd"/>
            <w:r w:rsidRPr="00E92043">
              <w:rPr>
                <w:rFonts w:ascii="ITC Avant Garde" w:eastAsia="Times New Roman" w:hAnsi="ITC Avant Garde" w:cstheme="minorHAnsi"/>
                <w:sz w:val="18"/>
                <w:szCs w:val="18"/>
                <w:lang w:eastAsia="es-MX"/>
              </w:rPr>
              <w:t xml:space="preserve"> aporta que particularmente en las porciones mencionadas en el Anexo</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I de nuestra contribución (página 8 en este documento), el IFT podría tomar</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 xml:space="preserve">acciones de carácter estratégico, beneficiando así al ecosistema </w:t>
            </w:r>
            <w:proofErr w:type="spellStart"/>
            <w:r w:rsidRPr="00E92043">
              <w:rPr>
                <w:rFonts w:ascii="ITC Avant Garde" w:eastAsia="Times New Roman" w:hAnsi="ITC Avant Garde" w:cstheme="minorHAnsi"/>
                <w:sz w:val="18"/>
                <w:szCs w:val="18"/>
                <w:lang w:eastAsia="es-MX"/>
              </w:rPr>
              <w:t>IoT</w:t>
            </w:r>
            <w:proofErr w:type="spellEnd"/>
            <w:r w:rsidRPr="00E92043">
              <w:rPr>
                <w:rFonts w:ascii="ITC Avant Garde" w:eastAsia="Times New Roman" w:hAnsi="ITC Avant Garde" w:cstheme="minorHAnsi"/>
                <w:sz w:val="18"/>
                <w:szCs w:val="18"/>
                <w:lang w:eastAsia="es-MX"/>
              </w:rPr>
              <w:t xml:space="preserve"> que se</w:t>
            </w:r>
          </w:p>
          <w:p w14:paraId="248D5943"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encuentra en auge y requiere diversificar el uso actual del MSS, así como el</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aprovechamiento del espectro MOVIL en áreas fuera de cobertura terrestre</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pudiéndose proponer así un uso secundario de dichas bandas para el MSS.</w:t>
            </w:r>
          </w:p>
          <w:p w14:paraId="47F024CE"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p>
          <w:p w14:paraId="11935A0F"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E92043">
              <w:rPr>
                <w:rFonts w:ascii="ITC Avant Garde" w:eastAsia="Times New Roman" w:hAnsi="ITC Avant Garde" w:cstheme="minorHAnsi"/>
                <w:b/>
                <w:bCs/>
                <w:sz w:val="18"/>
                <w:szCs w:val="18"/>
                <w:lang w:eastAsia="es-MX"/>
              </w:rPr>
              <w:t>Considerando</w:t>
            </w:r>
            <w:r>
              <w:rPr>
                <w:rFonts w:ascii="ITC Avant Garde" w:eastAsia="Times New Roman" w:hAnsi="ITC Avant Garde" w:cstheme="minorHAnsi"/>
                <w:b/>
                <w:bCs/>
                <w:sz w:val="18"/>
                <w:szCs w:val="18"/>
                <w:lang w:eastAsia="es-MX"/>
              </w:rPr>
              <w:t xml:space="preserve"> </w:t>
            </w:r>
            <w:r w:rsidRPr="00E92043">
              <w:rPr>
                <w:rFonts w:ascii="ITC Avant Garde" w:eastAsia="Times New Roman" w:hAnsi="ITC Avant Garde" w:cstheme="minorHAnsi"/>
                <w:b/>
                <w:bCs/>
                <w:sz w:val="18"/>
                <w:szCs w:val="18"/>
                <w:lang w:eastAsia="es-MX"/>
              </w:rPr>
              <w:t>Quinto</w:t>
            </w:r>
          </w:p>
          <w:p w14:paraId="5DF6AF59"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p>
          <w:p w14:paraId="7325E932"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E92043">
              <w:rPr>
                <w:rFonts w:ascii="ITC Avant Garde" w:eastAsia="Times New Roman" w:hAnsi="ITC Avant Garde" w:cstheme="minorHAnsi"/>
                <w:b/>
                <w:bCs/>
                <w:sz w:val="18"/>
                <w:szCs w:val="18"/>
                <w:lang w:eastAsia="es-MX"/>
              </w:rPr>
              <w:t>Rol del IFT para integrar desarrollo tecnológico de beneficio nacional</w:t>
            </w:r>
          </w:p>
          <w:p w14:paraId="4F28CEAE" w14:textId="77777777"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p>
          <w:p w14:paraId="500BF81A"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Teniendo en cuenta lo anterior, ambas acciones, en forma de Notas</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Nacionales, tendrían un impacto muy importante en varias áreas:</w:t>
            </w:r>
            <w:r>
              <w:rPr>
                <w:rFonts w:ascii="ITC Avant Garde" w:eastAsia="Times New Roman" w:hAnsi="ITC Avant Garde" w:cstheme="minorHAnsi"/>
                <w:sz w:val="18"/>
                <w:szCs w:val="18"/>
                <w:lang w:eastAsia="es-MX"/>
              </w:rPr>
              <w:t xml:space="preserve"> </w:t>
            </w:r>
          </w:p>
          <w:p w14:paraId="49CB3F68" w14:textId="77777777" w:rsidR="00E92043" w:rsidRDefault="00E92043" w:rsidP="00802834">
            <w:pPr>
              <w:pStyle w:val="Prrafodelista"/>
              <w:numPr>
                <w:ilvl w:val="0"/>
                <w:numId w:val="16"/>
              </w:num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Fortalecer la competitividad en el sector de las telecomunicaciones, con especial énfasis en el sector satelital emergente. Respondiendo a la innovación, y aprovechando los cambios en el CNAF para mantener el mismo ritmo de progreso en regulación frente a la tecnología en sí.</w:t>
            </w:r>
          </w:p>
          <w:p w14:paraId="1E521B80" w14:textId="77777777" w:rsidR="00E92043" w:rsidRDefault="00E92043" w:rsidP="00802834">
            <w:pPr>
              <w:pStyle w:val="Prrafodelista"/>
              <w:numPr>
                <w:ilvl w:val="0"/>
                <w:numId w:val="16"/>
              </w:num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Aun teniendo en cuenta las adjudicaciones actuales a operadores del MSS. La gestión estratégica del espectro (partición y diversificación) para el beneficio del tejido industrial nacional y usuarios finales, oportunamente referenciada por el IFT en el Considerando Quinto.</w:t>
            </w:r>
          </w:p>
          <w:p w14:paraId="5A279AE8" w14:textId="77777777" w:rsidR="00E92043" w:rsidRPr="00E92043" w:rsidRDefault="00E92043" w:rsidP="00E92043">
            <w:pPr>
              <w:pStyle w:val="Prrafodelista"/>
              <w:numPr>
                <w:ilvl w:val="0"/>
                <w:numId w:val="16"/>
              </w:num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E92043">
              <w:rPr>
                <w:rFonts w:ascii="ITC Avant Garde" w:eastAsia="Times New Roman" w:hAnsi="ITC Avant Garde" w:cstheme="minorHAnsi"/>
                <w:sz w:val="18"/>
                <w:szCs w:val="18"/>
                <w:lang w:eastAsia="es-MX"/>
              </w:rPr>
              <w:t>El apoyo a las redes móviles, en áreas donde es naturalmente difícil (y no rentable económicamente) extender redes terrestres; con la</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integración de sistemas no terrestres complementarios en el MSS se</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conseguiría dicha extensión.</w:t>
            </w:r>
          </w:p>
          <w:p w14:paraId="79038F86"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p>
          <w:p w14:paraId="0A45F0DE"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Habilitar la utilización estratégica y acuerdos comerciales</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Con mayor frecuencia de lo que normalmente podría pensarse, las</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habilitaciones regulatorias para el espectro radioeléctrico tienen un efecto</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inmediato en la utilización estratégica de dicho recurso escaso y la actividad</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comercial y empresarial a nivel estatal. Este aspecto se convierte en elemento</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crítico para la integración de redes satelitales y redes terrestres en el contexto</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internacional actual donde los operadores móviles buscan afianzar</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partenariados de itinerancia con operadores satelitales para dispositivos</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operativos en sus redes.</w:t>
            </w:r>
            <w:r>
              <w:rPr>
                <w:rFonts w:ascii="ITC Avant Garde" w:eastAsia="Times New Roman" w:hAnsi="ITC Avant Garde" w:cstheme="minorHAnsi"/>
                <w:sz w:val="18"/>
                <w:szCs w:val="18"/>
                <w:lang w:eastAsia="es-MX"/>
              </w:rPr>
              <w:t xml:space="preserve"> </w:t>
            </w:r>
          </w:p>
          <w:p w14:paraId="120435E9"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5B6BCFA3"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La introducción de una Nota Nacional a este respecto facilitaría que sistemas</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 xml:space="preserve">MSS como el de </w:t>
            </w:r>
            <w:proofErr w:type="spellStart"/>
            <w:r w:rsidRPr="00E92043">
              <w:rPr>
                <w:rFonts w:ascii="ITC Avant Garde" w:eastAsia="Times New Roman" w:hAnsi="ITC Avant Garde" w:cstheme="minorHAnsi"/>
                <w:sz w:val="18"/>
                <w:szCs w:val="18"/>
                <w:lang w:eastAsia="es-MX"/>
              </w:rPr>
              <w:t>Sateliot</w:t>
            </w:r>
            <w:proofErr w:type="spellEnd"/>
            <w:r w:rsidRPr="00E92043">
              <w:rPr>
                <w:rFonts w:ascii="ITC Avant Garde" w:eastAsia="Times New Roman" w:hAnsi="ITC Avant Garde" w:cstheme="minorHAnsi"/>
                <w:sz w:val="18"/>
                <w:szCs w:val="18"/>
                <w:lang w:eastAsia="es-MX"/>
              </w:rPr>
              <w:t>, y los operadores móviles nacionales, pudieran</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maximizar el uso espectro MOVIL en áreas sin cobertura terrestre.</w:t>
            </w:r>
          </w:p>
          <w:p w14:paraId="511AB711"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p>
          <w:p w14:paraId="231376F1" w14:textId="77777777"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E92043">
              <w:rPr>
                <w:rFonts w:ascii="ITC Avant Garde" w:eastAsia="Times New Roman" w:hAnsi="ITC Avant Garde" w:cstheme="minorHAnsi"/>
                <w:b/>
                <w:bCs/>
                <w:sz w:val="18"/>
                <w:szCs w:val="18"/>
                <w:lang w:eastAsia="es-MX"/>
              </w:rPr>
              <w:t>Promoción de la coexistencia e integración de sistemas de radiocomunicación</w:t>
            </w:r>
          </w:p>
          <w:p w14:paraId="2D46B071"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53269732" w14:textId="6928185B"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 xml:space="preserve">Redes como las de </w:t>
            </w:r>
            <w:proofErr w:type="spellStart"/>
            <w:r w:rsidRPr="00E92043">
              <w:rPr>
                <w:rFonts w:ascii="ITC Avant Garde" w:eastAsia="Times New Roman" w:hAnsi="ITC Avant Garde" w:cstheme="minorHAnsi"/>
                <w:sz w:val="18"/>
                <w:szCs w:val="18"/>
                <w:lang w:eastAsia="es-MX"/>
              </w:rPr>
              <w:t>Sateliot</w:t>
            </w:r>
            <w:proofErr w:type="spellEnd"/>
            <w:r w:rsidRPr="00E92043">
              <w:rPr>
                <w:rFonts w:ascii="ITC Avant Garde" w:eastAsia="Times New Roman" w:hAnsi="ITC Avant Garde" w:cstheme="minorHAnsi"/>
                <w:sz w:val="18"/>
                <w:szCs w:val="18"/>
                <w:lang w:eastAsia="es-MX"/>
              </w:rPr>
              <w:t>, diseñadas exclusivamente para proveer</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capacidad satelital complementaria a operadores móviles, presentan un</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valioso caso práctico. Lo anterior, con relación al beneficio que una potencial</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acción regulatoria por parte del IFT podría tener en el tejido industrial estatal,</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en tanto las necesidades de infraestructura terrestre en áreas dificultosas</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disminuyen sobremanera, y la capacidad de servicio al usuario final se</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convierte en inmediata.</w:t>
            </w:r>
          </w:p>
          <w:p w14:paraId="3A97EB1B" w14:textId="7BA71E22"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lastRenderedPageBreak/>
              <w:t>Redes y soluciones propietarias como la que varios de los operadores MSS</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actuales en México ofrecen, no proporcionan el beneficio descrito. Entre otras</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razones, históricamente la integración satelital-terrestre ha carecido</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de un</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estándar internacional que permita dicha integración y la certeza</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 xml:space="preserve">comercial-regulatoria para el ecosistema </w:t>
            </w:r>
            <w:proofErr w:type="spellStart"/>
            <w:r w:rsidRPr="00E92043">
              <w:rPr>
                <w:rFonts w:ascii="ITC Avant Garde" w:eastAsia="Times New Roman" w:hAnsi="ITC Avant Garde" w:cstheme="minorHAnsi"/>
                <w:sz w:val="18"/>
                <w:szCs w:val="18"/>
                <w:lang w:eastAsia="es-MX"/>
              </w:rPr>
              <w:t>IoT</w:t>
            </w:r>
            <w:proofErr w:type="spellEnd"/>
            <w:r w:rsidRPr="00E92043">
              <w:rPr>
                <w:rFonts w:ascii="ITC Avant Garde" w:eastAsia="Times New Roman" w:hAnsi="ITC Avant Garde" w:cstheme="minorHAnsi"/>
                <w:sz w:val="18"/>
                <w:szCs w:val="18"/>
                <w:lang w:eastAsia="es-MX"/>
              </w:rPr>
              <w:t>. Dicha dificultad técnica fue</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 xml:space="preserve">resuelta con la finalización por parte de la 3GPP de su </w:t>
            </w:r>
            <w:proofErr w:type="spellStart"/>
            <w:r w:rsidRPr="00E92043">
              <w:rPr>
                <w:rFonts w:ascii="ITC Avant Garde" w:eastAsia="Times New Roman" w:hAnsi="ITC Avant Garde" w:cstheme="minorHAnsi"/>
                <w:sz w:val="18"/>
                <w:szCs w:val="18"/>
                <w:lang w:eastAsia="es-MX"/>
              </w:rPr>
              <w:t>Release</w:t>
            </w:r>
            <w:proofErr w:type="spellEnd"/>
            <w:r w:rsidRPr="00E92043">
              <w:rPr>
                <w:rFonts w:ascii="ITC Avant Garde" w:eastAsia="Times New Roman" w:hAnsi="ITC Avant Garde" w:cstheme="minorHAnsi"/>
                <w:sz w:val="18"/>
                <w:szCs w:val="18"/>
                <w:lang w:eastAsia="es-MX"/>
              </w:rPr>
              <w:t xml:space="preserve"> 17, en junio de</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 xml:space="preserve">2022, sobre la que el sistema NGSO de </w:t>
            </w:r>
            <w:proofErr w:type="spellStart"/>
            <w:r w:rsidRPr="00E92043">
              <w:rPr>
                <w:rFonts w:ascii="ITC Avant Garde" w:eastAsia="Times New Roman" w:hAnsi="ITC Avant Garde" w:cstheme="minorHAnsi"/>
                <w:sz w:val="18"/>
                <w:szCs w:val="18"/>
                <w:lang w:eastAsia="es-MX"/>
              </w:rPr>
              <w:t>Sateliot</w:t>
            </w:r>
            <w:proofErr w:type="spellEnd"/>
            <w:r w:rsidRPr="00E92043">
              <w:rPr>
                <w:rFonts w:ascii="ITC Avant Garde" w:eastAsia="Times New Roman" w:hAnsi="ITC Avant Garde" w:cstheme="minorHAnsi"/>
                <w:sz w:val="18"/>
                <w:szCs w:val="18"/>
                <w:lang w:eastAsia="es-MX"/>
              </w:rPr>
              <w:t xml:space="preserve"> ha sido construido y que</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 xml:space="preserve">habilitan los acuerdos de itinerancia (o </w:t>
            </w:r>
            <w:proofErr w:type="spellStart"/>
            <w:r w:rsidRPr="00E92043">
              <w:rPr>
                <w:rFonts w:ascii="ITC Avant Garde" w:eastAsia="Times New Roman" w:hAnsi="ITC Avant Garde" w:cstheme="minorHAnsi"/>
                <w:sz w:val="18"/>
                <w:szCs w:val="18"/>
                <w:lang w:eastAsia="es-MX"/>
              </w:rPr>
              <w:t>roaming</w:t>
            </w:r>
            <w:proofErr w:type="spellEnd"/>
            <w:r w:rsidRPr="00E92043">
              <w:rPr>
                <w:rFonts w:ascii="ITC Avant Garde" w:eastAsia="Times New Roman" w:hAnsi="ITC Avant Garde" w:cstheme="minorHAnsi"/>
                <w:sz w:val="18"/>
                <w:szCs w:val="18"/>
                <w:lang w:eastAsia="es-MX"/>
              </w:rPr>
              <w:t>) entre operadores móviles y</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satelitales.</w:t>
            </w:r>
          </w:p>
          <w:p w14:paraId="7AFA4FCF" w14:textId="77777777" w:rsidR="00E92043" w:rsidRP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1447A3DA" w14:textId="77777777" w:rsidR="00E92043" w:rsidRDefault="00E92043" w:rsidP="00E9204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Es por ello, que nuestra aportación al IFT se centra en que:</w:t>
            </w:r>
          </w:p>
          <w:p w14:paraId="00C443F8" w14:textId="77777777" w:rsidR="00E92043" w:rsidRDefault="00E92043" w:rsidP="00802834">
            <w:pPr>
              <w:pStyle w:val="Prrafodelista"/>
              <w:numPr>
                <w:ilvl w:val="0"/>
                <w:numId w:val="17"/>
              </w:num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E92043">
              <w:rPr>
                <w:rFonts w:ascii="ITC Avant Garde" w:eastAsia="Times New Roman" w:hAnsi="ITC Avant Garde" w:cstheme="minorHAnsi"/>
                <w:sz w:val="18"/>
                <w:szCs w:val="18"/>
                <w:lang w:eastAsia="es-MX"/>
              </w:rPr>
              <w:t>considere que sistemas NGSO MSS (particularmente de banda angosta) sin adjudicación de espectro en el presente, sean habilitados a través de Notas Nacionales</w:t>
            </w:r>
          </w:p>
          <w:p w14:paraId="38CC4593" w14:textId="4B38889C" w:rsidR="00893471" w:rsidRPr="00E92043" w:rsidRDefault="00E92043" w:rsidP="00E92043">
            <w:pPr>
              <w:pStyle w:val="Prrafodelista"/>
              <w:numPr>
                <w:ilvl w:val="0"/>
                <w:numId w:val="17"/>
              </w:num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sz w:val="18"/>
                <w:szCs w:val="18"/>
                <w:lang w:eastAsia="es-MX"/>
              </w:rPr>
            </w:pPr>
            <w:r w:rsidRPr="00E92043">
              <w:rPr>
                <w:rFonts w:ascii="ITC Avant Garde" w:eastAsia="Times New Roman" w:hAnsi="ITC Avant Garde" w:cstheme="minorHAnsi"/>
                <w:sz w:val="18"/>
                <w:szCs w:val="18"/>
                <w:lang w:eastAsia="es-MX"/>
              </w:rPr>
              <w:t>y la repartición parcial del espectro MSS adjudicado a sistemas que no</w:t>
            </w:r>
            <w:r>
              <w:rPr>
                <w:rFonts w:ascii="ITC Avant Garde" w:eastAsia="Times New Roman" w:hAnsi="ITC Avant Garde" w:cstheme="minorHAnsi"/>
                <w:sz w:val="18"/>
                <w:szCs w:val="18"/>
                <w:lang w:eastAsia="es-MX"/>
              </w:rPr>
              <w:t xml:space="preserve"> </w:t>
            </w:r>
            <w:r w:rsidRPr="00E92043">
              <w:rPr>
                <w:rFonts w:ascii="ITC Avant Garde" w:eastAsia="Times New Roman" w:hAnsi="ITC Avant Garde" w:cstheme="minorHAnsi"/>
                <w:sz w:val="18"/>
                <w:szCs w:val="18"/>
                <w:lang w:eastAsia="es-MX"/>
              </w:rPr>
              <w:t>ofrecen el beneficio estratégico descrito anteriormente</w:t>
            </w:r>
          </w:p>
        </w:tc>
        <w:tc>
          <w:tcPr>
            <w:tcW w:w="1316" w:type="pct"/>
            <w:gridSpan w:val="2"/>
            <w:vMerge w:val="restart"/>
            <w:tcBorders>
              <w:left w:val="single" w:sz="4" w:space="0" w:color="A8D08D" w:themeColor="accent6" w:themeTint="99"/>
            </w:tcBorders>
            <w:shd w:val="clear" w:color="auto" w:fill="auto"/>
            <w:vAlign w:val="center"/>
          </w:tcPr>
          <w:p w14:paraId="1388B7F5" w14:textId="5BFB8EDF" w:rsidR="007B0FAF" w:rsidRPr="007A2893" w:rsidRDefault="00893471" w:rsidP="007B0FA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3C1D81">
              <w:rPr>
                <w:rFonts w:ascii="ITC Avant Garde" w:eastAsia="Times New Roman" w:hAnsi="ITC Avant Garde" w:cstheme="minorHAnsi"/>
                <w:bCs/>
                <w:sz w:val="16"/>
                <w:szCs w:val="16"/>
                <w:lang w:eastAsia="es-MX"/>
              </w:rPr>
              <w:lastRenderedPageBreak/>
              <w:t xml:space="preserve">El Instituto </w:t>
            </w:r>
            <w:r w:rsidR="0064143D">
              <w:rPr>
                <w:rFonts w:ascii="ITC Avant Garde" w:eastAsia="Times New Roman" w:hAnsi="ITC Avant Garde" w:cstheme="minorHAnsi"/>
                <w:bCs/>
                <w:sz w:val="16"/>
                <w:szCs w:val="16"/>
                <w:lang w:eastAsia="es-MX"/>
              </w:rPr>
              <w:t xml:space="preserve">Federal de Telecomunicaciones </w:t>
            </w:r>
            <w:r w:rsidRPr="003C1D81">
              <w:rPr>
                <w:rFonts w:ascii="ITC Avant Garde" w:eastAsia="Times New Roman" w:hAnsi="ITC Avant Garde" w:cstheme="minorHAnsi"/>
                <w:bCs/>
                <w:sz w:val="16"/>
                <w:szCs w:val="16"/>
                <w:lang w:eastAsia="es-MX"/>
              </w:rPr>
              <w:t>agradece l</w:t>
            </w:r>
            <w:r w:rsidR="008E7F15">
              <w:rPr>
                <w:rFonts w:ascii="ITC Avant Garde" w:eastAsia="Times New Roman" w:hAnsi="ITC Avant Garde" w:cstheme="minorHAnsi"/>
                <w:bCs/>
                <w:sz w:val="16"/>
                <w:szCs w:val="16"/>
                <w:lang w:eastAsia="es-MX"/>
              </w:rPr>
              <w:t xml:space="preserve">a manifestación realizada por </w:t>
            </w:r>
            <w:r w:rsidRPr="003C1D81">
              <w:rPr>
                <w:rFonts w:ascii="ITC Avant Garde" w:eastAsia="Times New Roman" w:hAnsi="ITC Avant Garde" w:cstheme="minorHAnsi"/>
                <w:bCs/>
                <w:sz w:val="16"/>
                <w:szCs w:val="16"/>
                <w:lang w:eastAsia="es-MX"/>
              </w:rPr>
              <w:t xml:space="preserve">la empresa </w:t>
            </w:r>
            <w:proofErr w:type="spellStart"/>
            <w:r w:rsidR="00CB25FB" w:rsidRPr="003C1D81">
              <w:rPr>
                <w:rFonts w:ascii="ITC Avant Garde" w:eastAsia="Times New Roman" w:hAnsi="ITC Avant Garde" w:cstheme="minorHAnsi"/>
                <w:bCs/>
                <w:sz w:val="16"/>
                <w:szCs w:val="16"/>
                <w:lang w:eastAsia="es-MX"/>
              </w:rPr>
              <w:t>Satelio</w:t>
            </w:r>
            <w:proofErr w:type="spellEnd"/>
            <w:r w:rsidR="00CB25FB" w:rsidRPr="003C1D81">
              <w:rPr>
                <w:rFonts w:ascii="ITC Avant Garde" w:eastAsia="Times New Roman" w:hAnsi="ITC Avant Garde" w:cstheme="minorHAnsi"/>
                <w:bCs/>
                <w:sz w:val="16"/>
                <w:szCs w:val="16"/>
                <w:lang w:eastAsia="es-MX"/>
              </w:rPr>
              <w:t xml:space="preserve"> </w:t>
            </w:r>
            <w:proofErr w:type="spellStart"/>
            <w:r w:rsidR="00CB25FB" w:rsidRPr="003C1D81">
              <w:rPr>
                <w:rFonts w:ascii="ITC Avant Garde" w:eastAsia="Times New Roman" w:hAnsi="ITC Avant Garde" w:cstheme="minorHAnsi"/>
                <w:bCs/>
                <w:sz w:val="16"/>
                <w:szCs w:val="16"/>
                <w:lang w:eastAsia="es-MX"/>
              </w:rPr>
              <w:t>IoT</w:t>
            </w:r>
            <w:proofErr w:type="spellEnd"/>
            <w:r w:rsidR="00CB25FB" w:rsidRPr="003C1D81">
              <w:rPr>
                <w:rFonts w:ascii="ITC Avant Garde" w:eastAsia="Times New Roman" w:hAnsi="ITC Avant Garde" w:cstheme="minorHAnsi"/>
                <w:bCs/>
                <w:sz w:val="16"/>
                <w:szCs w:val="16"/>
                <w:lang w:eastAsia="es-MX"/>
              </w:rPr>
              <w:t xml:space="preserve"> </w:t>
            </w:r>
            <w:proofErr w:type="spellStart"/>
            <w:r w:rsidR="00CB25FB" w:rsidRPr="003C1D81">
              <w:rPr>
                <w:rFonts w:ascii="ITC Avant Garde" w:eastAsia="Times New Roman" w:hAnsi="ITC Avant Garde" w:cstheme="minorHAnsi"/>
                <w:bCs/>
                <w:sz w:val="16"/>
                <w:szCs w:val="16"/>
                <w:lang w:eastAsia="es-MX"/>
              </w:rPr>
              <w:t>Services</w:t>
            </w:r>
            <w:proofErr w:type="spellEnd"/>
            <w:r w:rsidR="00CB25FB" w:rsidRPr="003C1D81">
              <w:rPr>
                <w:rFonts w:ascii="ITC Avant Garde" w:eastAsia="Times New Roman" w:hAnsi="ITC Avant Garde" w:cstheme="minorHAnsi"/>
                <w:bCs/>
                <w:sz w:val="16"/>
                <w:szCs w:val="16"/>
                <w:lang w:eastAsia="es-MX"/>
              </w:rPr>
              <w:t>, S.L.</w:t>
            </w:r>
            <w:r w:rsidR="007B0FAF" w:rsidRPr="003C1D81">
              <w:rPr>
                <w:rFonts w:ascii="ITC Avant Garde" w:eastAsia="Times New Roman" w:hAnsi="ITC Avant Garde" w:cstheme="minorHAnsi"/>
                <w:bCs/>
                <w:sz w:val="16"/>
                <w:szCs w:val="16"/>
                <w:lang w:eastAsia="es-MX"/>
              </w:rPr>
              <w:t xml:space="preserve">, </w:t>
            </w:r>
            <w:r w:rsidR="007B0FAF" w:rsidRPr="007A2893">
              <w:rPr>
                <w:rFonts w:ascii="ITC Avant Garde" w:eastAsia="Times New Roman" w:hAnsi="ITC Avant Garde" w:cstheme="minorHAnsi"/>
                <w:bCs/>
                <w:sz w:val="16"/>
                <w:szCs w:val="16"/>
                <w:lang w:eastAsia="es-MX"/>
              </w:rPr>
              <w:t xml:space="preserve">referente </w:t>
            </w:r>
            <w:r w:rsidR="008E7F15">
              <w:rPr>
                <w:rFonts w:ascii="ITC Avant Garde" w:eastAsia="Times New Roman" w:hAnsi="ITC Avant Garde" w:cstheme="minorHAnsi"/>
                <w:bCs/>
                <w:sz w:val="16"/>
                <w:szCs w:val="16"/>
                <w:lang w:eastAsia="es-MX"/>
              </w:rPr>
              <w:t xml:space="preserve">a </w:t>
            </w:r>
            <w:r w:rsidR="003C1D81">
              <w:rPr>
                <w:rFonts w:ascii="ITC Avant Garde" w:eastAsia="Times New Roman" w:hAnsi="ITC Avant Garde" w:cstheme="minorHAnsi"/>
                <w:bCs/>
                <w:sz w:val="16"/>
                <w:szCs w:val="16"/>
                <w:lang w:eastAsia="es-MX"/>
              </w:rPr>
              <w:t xml:space="preserve">las consideraciones establecidas en el Acuerdo de referencia y que son de interés para el participante al buscar un uso óptimo, eficiente y que fomente la competencia de las bandas de frecuencias atribuidas al servicio móvil por satélite en México, así como </w:t>
            </w:r>
            <w:r w:rsidR="007B0FAF" w:rsidRPr="007A2893">
              <w:rPr>
                <w:rFonts w:ascii="ITC Avant Garde" w:eastAsia="Times New Roman" w:hAnsi="ITC Avant Garde" w:cstheme="minorHAnsi"/>
                <w:bCs/>
                <w:sz w:val="16"/>
                <w:szCs w:val="16"/>
                <w:lang w:eastAsia="es-MX"/>
              </w:rPr>
              <w:t xml:space="preserve">a su </w:t>
            </w:r>
            <w:r w:rsidR="003C1D81">
              <w:rPr>
                <w:rFonts w:ascii="ITC Avant Garde" w:eastAsia="Times New Roman" w:hAnsi="ITC Avant Garde" w:cstheme="minorHAnsi"/>
                <w:bCs/>
                <w:sz w:val="16"/>
                <w:szCs w:val="16"/>
                <w:lang w:eastAsia="es-MX"/>
              </w:rPr>
              <w:t>proposición</w:t>
            </w:r>
            <w:r w:rsidR="007B0FAF" w:rsidRPr="007A2893">
              <w:rPr>
                <w:rFonts w:ascii="ITC Avant Garde" w:eastAsia="Times New Roman" w:hAnsi="ITC Avant Garde" w:cstheme="minorHAnsi"/>
                <w:bCs/>
                <w:sz w:val="16"/>
                <w:szCs w:val="16"/>
                <w:lang w:eastAsia="es-MX"/>
              </w:rPr>
              <w:t xml:space="preserve"> para </w:t>
            </w:r>
            <w:r w:rsidR="003C1D81">
              <w:rPr>
                <w:rFonts w:ascii="ITC Avant Garde" w:eastAsia="Times New Roman" w:hAnsi="ITC Avant Garde" w:cstheme="minorHAnsi"/>
                <w:bCs/>
                <w:sz w:val="16"/>
                <w:szCs w:val="16"/>
                <w:lang w:eastAsia="es-MX"/>
              </w:rPr>
              <w:t>adicionar notas nacionales en torno a la posibilidad de uso de ciertas bandas de frecuencias atribuidas al servicio móvil por satélite</w:t>
            </w:r>
            <w:r w:rsidR="007B0FAF" w:rsidRPr="007A2893">
              <w:rPr>
                <w:rFonts w:ascii="ITC Avant Garde" w:eastAsia="Times New Roman" w:hAnsi="ITC Avant Garde" w:cstheme="minorHAnsi"/>
                <w:bCs/>
                <w:sz w:val="16"/>
                <w:szCs w:val="16"/>
                <w:lang w:eastAsia="es-MX"/>
              </w:rPr>
              <w:t>.</w:t>
            </w:r>
          </w:p>
          <w:p w14:paraId="7F05F37D" w14:textId="77777777" w:rsidR="007B0FAF" w:rsidRPr="007A2893" w:rsidRDefault="007B0FAF" w:rsidP="007B0FA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5FF5B19B" w14:textId="531EA99D" w:rsidR="00893471" w:rsidRDefault="007B0FAF" w:rsidP="007B0FA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highlight w:val="yellow"/>
                <w:lang w:eastAsia="es-MX"/>
              </w:rPr>
            </w:pPr>
            <w:r>
              <w:rPr>
                <w:rFonts w:ascii="ITC Avant Garde" w:eastAsia="Times New Roman" w:hAnsi="ITC Avant Garde" w:cstheme="minorHAnsi"/>
                <w:bCs/>
                <w:sz w:val="16"/>
                <w:szCs w:val="16"/>
                <w:lang w:eastAsia="es-MX"/>
              </w:rPr>
              <w:t xml:space="preserve">A este respecto, se considera que </w:t>
            </w:r>
            <w:r w:rsidRPr="006D38C7">
              <w:rPr>
                <w:rFonts w:ascii="ITC Avant Garde" w:eastAsia="Times New Roman" w:hAnsi="ITC Avant Garde" w:cstheme="minorHAnsi"/>
                <w:bCs/>
                <w:sz w:val="16"/>
                <w:szCs w:val="16"/>
                <w:lang w:eastAsia="es-MX"/>
              </w:rPr>
              <w:t xml:space="preserve">el CNAF no es el instrumento mediante el cual </w:t>
            </w:r>
            <w:r>
              <w:rPr>
                <w:rFonts w:ascii="ITC Avant Garde" w:eastAsia="Times New Roman" w:hAnsi="ITC Avant Garde" w:cstheme="minorHAnsi"/>
                <w:bCs/>
                <w:sz w:val="16"/>
                <w:szCs w:val="16"/>
                <w:lang w:eastAsia="es-MX"/>
              </w:rPr>
              <w:t xml:space="preserve">se </w:t>
            </w:r>
            <w:r w:rsidRPr="006D38C7">
              <w:rPr>
                <w:rFonts w:ascii="ITC Avant Garde" w:eastAsia="Times New Roman" w:hAnsi="ITC Avant Garde" w:cstheme="minorHAnsi"/>
                <w:bCs/>
                <w:sz w:val="16"/>
                <w:szCs w:val="16"/>
                <w:lang w:eastAsia="es-MX"/>
              </w:rPr>
              <w:t xml:space="preserve">pueda desahogar </w:t>
            </w:r>
            <w:r>
              <w:rPr>
                <w:rFonts w:ascii="ITC Avant Garde" w:eastAsia="Times New Roman" w:hAnsi="ITC Avant Garde" w:cstheme="minorHAnsi"/>
                <w:bCs/>
                <w:sz w:val="16"/>
                <w:szCs w:val="16"/>
                <w:lang w:eastAsia="es-MX"/>
              </w:rPr>
              <w:t xml:space="preserve">directamente </w:t>
            </w:r>
            <w:r w:rsidRPr="006D38C7">
              <w:rPr>
                <w:rFonts w:ascii="ITC Avant Garde" w:eastAsia="Times New Roman" w:hAnsi="ITC Avant Garde" w:cstheme="minorHAnsi"/>
                <w:bCs/>
                <w:sz w:val="16"/>
                <w:szCs w:val="16"/>
                <w:lang w:eastAsia="es-MX"/>
              </w:rPr>
              <w:t>dicha</w:t>
            </w:r>
            <w:r>
              <w:rPr>
                <w:rFonts w:ascii="ITC Avant Garde" w:eastAsia="Times New Roman" w:hAnsi="ITC Avant Garde" w:cstheme="minorHAnsi"/>
                <w:bCs/>
                <w:sz w:val="16"/>
                <w:szCs w:val="16"/>
                <w:lang w:eastAsia="es-MX"/>
              </w:rPr>
              <w:t xml:space="preserve"> </w:t>
            </w:r>
            <w:r w:rsidR="003C1D81">
              <w:rPr>
                <w:rFonts w:ascii="ITC Avant Garde" w:eastAsia="Times New Roman" w:hAnsi="ITC Avant Garde" w:cstheme="minorHAnsi"/>
                <w:bCs/>
                <w:sz w:val="16"/>
                <w:szCs w:val="16"/>
                <w:lang w:eastAsia="es-MX"/>
              </w:rPr>
              <w:t>proposición</w:t>
            </w:r>
            <w:r>
              <w:rPr>
                <w:rFonts w:ascii="ITC Avant Garde" w:eastAsia="Times New Roman" w:hAnsi="ITC Avant Garde" w:cstheme="minorHAnsi"/>
                <w:bCs/>
                <w:sz w:val="16"/>
                <w:szCs w:val="16"/>
                <w:lang w:eastAsia="es-MX"/>
              </w:rPr>
              <w:t xml:space="preserve"> ya que </w:t>
            </w:r>
            <w:r w:rsidR="00AA00F3">
              <w:rPr>
                <w:rFonts w:ascii="ITC Avant Garde" w:eastAsia="Times New Roman" w:hAnsi="ITC Avant Garde" w:cstheme="minorHAnsi"/>
                <w:bCs/>
                <w:sz w:val="16"/>
                <w:szCs w:val="16"/>
                <w:lang w:eastAsia="es-MX"/>
              </w:rPr>
              <w:t xml:space="preserve">el CNAF </w:t>
            </w:r>
            <w:r w:rsidRPr="00177083">
              <w:rPr>
                <w:rFonts w:ascii="ITC Avant Garde" w:eastAsia="Times New Roman" w:hAnsi="ITC Avant Garde" w:cstheme="minorHAnsi"/>
                <w:bCs/>
                <w:sz w:val="16"/>
                <w:szCs w:val="16"/>
                <w:lang w:eastAsia="es-MX"/>
              </w:rPr>
              <w:t xml:space="preserve">es </w:t>
            </w:r>
            <w:r w:rsidR="00943B3A">
              <w:rPr>
                <w:rFonts w:ascii="ITC Avant Garde" w:eastAsia="Times New Roman" w:hAnsi="ITC Avant Garde" w:cstheme="minorHAnsi"/>
                <w:bCs/>
                <w:sz w:val="16"/>
                <w:szCs w:val="16"/>
                <w:lang w:eastAsia="es-MX"/>
              </w:rPr>
              <w:t>la</w:t>
            </w:r>
            <w:r w:rsidRPr="00177083">
              <w:rPr>
                <w:rFonts w:ascii="ITC Avant Garde" w:eastAsia="Times New Roman" w:hAnsi="ITC Avant Garde" w:cstheme="minorHAnsi"/>
                <w:bCs/>
                <w:sz w:val="16"/>
                <w:szCs w:val="16"/>
                <w:lang w:eastAsia="es-MX"/>
              </w:rPr>
              <w:t xml:space="preserve"> disposición administrativa que indica el servicio o servicios de radiocomunicaciones a los que se encuentra atribuida una determinada banda de frecuencias del espectro radioeléctrico a nivel nacional, </w:t>
            </w:r>
            <w:r w:rsidR="00AA00F3">
              <w:rPr>
                <w:rFonts w:ascii="ITC Avant Garde" w:eastAsia="Times New Roman" w:hAnsi="ITC Avant Garde" w:cstheme="minorHAnsi"/>
                <w:bCs/>
                <w:sz w:val="16"/>
                <w:szCs w:val="16"/>
                <w:lang w:eastAsia="es-MX"/>
              </w:rPr>
              <w:t>e incluye</w:t>
            </w:r>
            <w:r w:rsidRPr="00177083">
              <w:rPr>
                <w:rFonts w:ascii="ITC Avant Garde" w:eastAsia="Times New Roman" w:hAnsi="ITC Avant Garde" w:cstheme="minorHAnsi"/>
                <w:bCs/>
                <w:sz w:val="16"/>
                <w:szCs w:val="16"/>
                <w:lang w:eastAsia="es-MX"/>
              </w:rPr>
              <w:t xml:space="preserve"> notas nacionales que muestran información relevante de conformidad con el marco normativo nacional e internacional aplicable</w:t>
            </w:r>
            <w:r w:rsidR="00AA00F3">
              <w:rPr>
                <w:rFonts w:ascii="ITC Avant Garde" w:eastAsia="Times New Roman" w:hAnsi="ITC Avant Garde" w:cstheme="minorHAnsi"/>
                <w:bCs/>
                <w:sz w:val="16"/>
                <w:szCs w:val="16"/>
                <w:lang w:eastAsia="es-MX"/>
              </w:rPr>
              <w:t xml:space="preserve"> y vigente</w:t>
            </w:r>
            <w:r>
              <w:rPr>
                <w:rFonts w:ascii="ITC Avant Garde" w:eastAsia="Times New Roman" w:hAnsi="ITC Avant Garde" w:cstheme="minorHAnsi"/>
                <w:bCs/>
                <w:sz w:val="16"/>
                <w:szCs w:val="16"/>
                <w:lang w:eastAsia="es-MX"/>
              </w:rPr>
              <w:t xml:space="preserve">, </w:t>
            </w:r>
            <w:r w:rsidRPr="006D38C7">
              <w:rPr>
                <w:rFonts w:ascii="ITC Avant Garde" w:eastAsia="Times New Roman" w:hAnsi="ITC Avant Garde" w:cstheme="minorHAnsi"/>
                <w:bCs/>
                <w:sz w:val="16"/>
                <w:szCs w:val="16"/>
                <w:lang w:eastAsia="es-MX"/>
              </w:rPr>
              <w:t>por lo que</w:t>
            </w:r>
            <w:r>
              <w:rPr>
                <w:rFonts w:ascii="ITC Avant Garde" w:eastAsia="Times New Roman" w:hAnsi="ITC Avant Garde" w:cstheme="minorHAnsi"/>
                <w:bCs/>
                <w:sz w:val="16"/>
                <w:szCs w:val="16"/>
                <w:lang w:eastAsia="es-MX"/>
              </w:rPr>
              <w:t xml:space="preserve">, </w:t>
            </w:r>
            <w:r w:rsidR="00AA00F3">
              <w:rPr>
                <w:rFonts w:ascii="ITC Avant Garde" w:eastAsia="Times New Roman" w:hAnsi="ITC Avant Garde" w:cstheme="minorHAnsi"/>
                <w:bCs/>
                <w:sz w:val="16"/>
                <w:szCs w:val="16"/>
                <w:lang w:eastAsia="es-MX"/>
              </w:rPr>
              <w:t xml:space="preserve">al no contar con un marco regulatorio como el que se refiere en su participación para el uso secundario del servicio móvil por satélite, </w:t>
            </w:r>
            <w:r>
              <w:rPr>
                <w:rFonts w:ascii="ITC Avant Garde" w:eastAsia="Times New Roman" w:hAnsi="ITC Avant Garde" w:cstheme="minorHAnsi"/>
                <w:bCs/>
                <w:sz w:val="16"/>
                <w:szCs w:val="16"/>
                <w:lang w:eastAsia="es-MX"/>
              </w:rPr>
              <w:t>se toma de conocimiento la manifestación realizada por el participante para los fines de gestión y administración que resulten conducentes.</w:t>
            </w:r>
          </w:p>
          <w:p w14:paraId="4E89296A" w14:textId="77777777" w:rsidR="003C1D81" w:rsidRDefault="003C1D81" w:rsidP="007B0FA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0F95F1CC" w14:textId="5A5DD8AE" w:rsidR="00893471" w:rsidRPr="00AA00F3" w:rsidRDefault="003C1D81"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bCs/>
                <w:sz w:val="16"/>
                <w:szCs w:val="16"/>
                <w:lang w:eastAsia="es-MX"/>
              </w:rPr>
              <w:t>De lo anterior, es relevante mencionar los instrumentos que habilitan el uso del espectro radioeléctrico reconocidos en la Ley Federal de Telecomunicaciones y Radiodifusión, es decir, las concesiones y autorizaciones para los diferentes fines que se persigan.</w:t>
            </w:r>
          </w:p>
        </w:tc>
      </w:tr>
      <w:tr w:rsidR="00893471" w:rsidRPr="00FD134A" w14:paraId="0DB37540" w14:textId="77777777" w:rsidTr="00802834">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26758282" w14:textId="77777777" w:rsidR="00893471" w:rsidRPr="00FD134A" w:rsidRDefault="00893471"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lastRenderedPageBreak/>
              <w:t>Tabla de Atribuciones</w:t>
            </w:r>
          </w:p>
        </w:tc>
        <w:tc>
          <w:tcPr>
            <w:tcW w:w="2964" w:type="pct"/>
            <w:tcBorders>
              <w:right w:val="single" w:sz="4" w:space="0" w:color="A8D08D" w:themeColor="accent6" w:themeTint="99"/>
            </w:tcBorders>
            <w:shd w:val="clear" w:color="auto" w:fill="auto"/>
            <w:vAlign w:val="center"/>
          </w:tcPr>
          <w:p w14:paraId="10FF3F8F" w14:textId="77777777" w:rsidR="00FC3EF3" w:rsidRDefault="007B2BA6" w:rsidP="007B2B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eastAsia="es-MX"/>
              </w:rPr>
            </w:pPr>
            <w:r w:rsidRPr="007B2BA6">
              <w:rPr>
                <w:rFonts w:ascii="ITC Avant Garde" w:eastAsia="Times New Roman" w:hAnsi="ITC Avant Garde" w:cstheme="minorHAnsi"/>
                <w:b/>
                <w:bCs/>
                <w:sz w:val="18"/>
                <w:szCs w:val="18"/>
                <w:lang w:eastAsia="es-MX"/>
              </w:rPr>
              <w:t>Considerando Quinto</w:t>
            </w:r>
          </w:p>
          <w:p w14:paraId="49CD1EBE" w14:textId="77777777" w:rsidR="007B2BA6" w:rsidRPr="007B2BA6" w:rsidRDefault="007B2BA6" w:rsidP="007B2B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eastAsia="es-MX"/>
              </w:rPr>
            </w:pPr>
          </w:p>
          <w:p w14:paraId="377B8BFF" w14:textId="16768024" w:rsidR="007B2BA6" w:rsidRPr="007B2BA6" w:rsidRDefault="007B2BA6" w:rsidP="007B2B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Continuidad en las actuales atribuciones de MSS</w:t>
            </w:r>
            <w:r>
              <w:rPr>
                <w:rFonts w:ascii="ITC Avant Garde" w:eastAsia="Times New Roman" w:hAnsi="ITC Avant Garde" w:cstheme="minorHAnsi"/>
                <w:sz w:val="18"/>
                <w:szCs w:val="18"/>
                <w:lang w:eastAsia="es-MX"/>
              </w:rPr>
              <w:t xml:space="preserve"> </w:t>
            </w:r>
            <w:proofErr w:type="spellStart"/>
            <w:r w:rsidRPr="007B2BA6">
              <w:rPr>
                <w:rFonts w:ascii="ITC Avant Garde" w:eastAsia="Times New Roman" w:hAnsi="ITC Avant Garde" w:cstheme="minorHAnsi"/>
                <w:sz w:val="18"/>
                <w:szCs w:val="18"/>
                <w:lang w:eastAsia="es-MX"/>
              </w:rPr>
              <w:t>Sateliot</w:t>
            </w:r>
            <w:proofErr w:type="spellEnd"/>
            <w:r w:rsidRPr="007B2BA6">
              <w:rPr>
                <w:rFonts w:ascii="ITC Avant Garde" w:eastAsia="Times New Roman" w:hAnsi="ITC Avant Garde" w:cstheme="minorHAnsi"/>
                <w:sz w:val="18"/>
                <w:szCs w:val="18"/>
                <w:lang w:eastAsia="es-MX"/>
              </w:rPr>
              <w:t xml:space="preserve"> considera que las atribuciones actuales a título primario para</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el MSS</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en el CNAF mexicano deberían continuar. Únicamente sugiriendo notas</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nacionales de carácter estratégico (ver sección Notas Nacionales) en las</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siguientes bandas:</w:t>
            </w:r>
          </w:p>
          <w:p w14:paraId="19B67B9F" w14:textId="77777777" w:rsidR="007B2BA6" w:rsidRPr="007B2BA6" w:rsidRDefault="007B2BA6" w:rsidP="007B2B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1930 – 2000 MHz</w:t>
            </w:r>
          </w:p>
          <w:p w14:paraId="08B14F44" w14:textId="77777777" w:rsidR="007B2BA6" w:rsidRPr="007B2BA6" w:rsidRDefault="007B2BA6" w:rsidP="007B2B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2000 – 2025 MHz</w:t>
            </w:r>
          </w:p>
          <w:p w14:paraId="153AA8A4" w14:textId="77777777" w:rsidR="007B2BA6" w:rsidRPr="007B2BA6" w:rsidRDefault="007B2BA6" w:rsidP="007B2BA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2110 – 2180 MHz</w:t>
            </w:r>
          </w:p>
          <w:p w14:paraId="051C8208" w14:textId="06645341" w:rsidR="00893471" w:rsidRPr="00724CB7" w:rsidRDefault="007B2BA6"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2180 – 2200 MHz</w:t>
            </w:r>
          </w:p>
        </w:tc>
        <w:tc>
          <w:tcPr>
            <w:tcW w:w="1316" w:type="pct"/>
            <w:gridSpan w:val="2"/>
            <w:vMerge/>
            <w:tcBorders>
              <w:left w:val="single" w:sz="4" w:space="0" w:color="A8D08D" w:themeColor="accent6" w:themeTint="99"/>
            </w:tcBorders>
            <w:shd w:val="clear" w:color="auto" w:fill="auto"/>
            <w:vAlign w:val="center"/>
          </w:tcPr>
          <w:p w14:paraId="31B5275A" w14:textId="77777777" w:rsidR="00893471" w:rsidRPr="00FD134A" w:rsidRDefault="00893471"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893471" w:rsidRPr="00FD134A" w14:paraId="17953608" w14:textId="77777777" w:rsidTr="0080283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38A5CBA7" w14:textId="77777777" w:rsidR="00893471" w:rsidRPr="00FD134A" w:rsidRDefault="00893471"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Notas Nacionales</w:t>
            </w:r>
          </w:p>
        </w:tc>
        <w:tc>
          <w:tcPr>
            <w:tcW w:w="2964" w:type="pct"/>
            <w:tcBorders>
              <w:right w:val="single" w:sz="4" w:space="0" w:color="A8D08D" w:themeColor="accent6" w:themeTint="99"/>
            </w:tcBorders>
            <w:shd w:val="clear" w:color="auto" w:fill="auto"/>
            <w:vAlign w:val="center"/>
          </w:tcPr>
          <w:p w14:paraId="4A6DB5FE" w14:textId="77777777" w:rsid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7B2BA6">
              <w:rPr>
                <w:rFonts w:ascii="ITC Avant Garde" w:eastAsia="Times New Roman" w:hAnsi="ITC Avant Garde" w:cstheme="minorHAnsi"/>
                <w:b/>
                <w:bCs/>
                <w:sz w:val="18"/>
                <w:szCs w:val="18"/>
                <w:lang w:eastAsia="es-MX"/>
              </w:rPr>
              <w:t>Considerando Quinto</w:t>
            </w:r>
          </w:p>
          <w:p w14:paraId="25C9FBB4" w14:textId="77777777" w:rsid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p>
          <w:p w14:paraId="469CBC45" w14:textId="440FDEAF"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7B2BA6">
              <w:rPr>
                <w:rFonts w:ascii="ITC Avant Garde" w:eastAsia="Times New Roman" w:hAnsi="ITC Avant Garde" w:cstheme="minorHAnsi"/>
                <w:b/>
                <w:bCs/>
                <w:sz w:val="18"/>
                <w:szCs w:val="18"/>
                <w:lang w:eastAsia="es-MX"/>
              </w:rPr>
              <w:t xml:space="preserve">Proposición de Nota Nacional en bandas MOVIL, haciendo uso de dicho espectro para el MSS a título secundario, en base a acuerdos de </w:t>
            </w:r>
            <w:proofErr w:type="spellStart"/>
            <w:r w:rsidRPr="007B2BA6">
              <w:rPr>
                <w:rFonts w:ascii="ITC Avant Garde" w:eastAsia="Times New Roman" w:hAnsi="ITC Avant Garde" w:cstheme="minorHAnsi"/>
                <w:b/>
                <w:bCs/>
                <w:sz w:val="18"/>
                <w:szCs w:val="18"/>
                <w:lang w:eastAsia="es-MX"/>
              </w:rPr>
              <w:t>roaming</w:t>
            </w:r>
            <w:proofErr w:type="spellEnd"/>
            <w:r w:rsidRPr="007B2BA6">
              <w:rPr>
                <w:rFonts w:ascii="ITC Avant Garde" w:eastAsia="Times New Roman" w:hAnsi="ITC Avant Garde" w:cstheme="minorHAnsi"/>
                <w:b/>
                <w:bCs/>
                <w:sz w:val="18"/>
                <w:szCs w:val="18"/>
                <w:lang w:eastAsia="es-MX"/>
              </w:rPr>
              <w:t xml:space="preserve"> establecidos con operadores móviles (extensión de red).</w:t>
            </w:r>
          </w:p>
          <w:p w14:paraId="0F6D5E52" w14:textId="77777777"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4E5179AE" w14:textId="7DB46E09"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Considerar el uso de espectro MOVIL para el MSS a título secundario vía Notas</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Nacionales en parte de las bandas anteriormente citadas, y con el propósito</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de dar servicio de capacidad complementaria a operadores móviles, bajo</w:t>
            </w:r>
          </w:p>
          <w:p w14:paraId="26B5F0F6" w14:textId="77777777"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 xml:space="preserve">acuerdos de </w:t>
            </w:r>
            <w:proofErr w:type="spellStart"/>
            <w:r w:rsidRPr="007B2BA6">
              <w:rPr>
                <w:rFonts w:ascii="ITC Avant Garde" w:eastAsia="Times New Roman" w:hAnsi="ITC Avant Garde" w:cstheme="minorHAnsi"/>
                <w:sz w:val="18"/>
                <w:szCs w:val="18"/>
                <w:lang w:eastAsia="es-MX"/>
              </w:rPr>
              <w:t>roaming</w:t>
            </w:r>
            <w:proofErr w:type="spellEnd"/>
            <w:r w:rsidRPr="007B2BA6">
              <w:rPr>
                <w:rFonts w:ascii="ITC Avant Garde" w:eastAsia="Times New Roman" w:hAnsi="ITC Avant Garde" w:cstheme="minorHAnsi"/>
                <w:sz w:val="18"/>
                <w:szCs w:val="18"/>
                <w:lang w:eastAsia="es-MX"/>
              </w:rPr>
              <w:t xml:space="preserve"> </w:t>
            </w:r>
            <w:proofErr w:type="spellStart"/>
            <w:r w:rsidRPr="007B2BA6">
              <w:rPr>
                <w:rFonts w:ascii="ITC Avant Garde" w:eastAsia="Times New Roman" w:hAnsi="ITC Avant Garde" w:cstheme="minorHAnsi"/>
                <w:sz w:val="18"/>
                <w:szCs w:val="18"/>
                <w:lang w:eastAsia="es-MX"/>
              </w:rPr>
              <w:t>pre-establecidos</w:t>
            </w:r>
            <w:proofErr w:type="spellEnd"/>
            <w:r w:rsidRPr="007B2BA6">
              <w:rPr>
                <w:rFonts w:ascii="ITC Avant Garde" w:eastAsia="Times New Roman" w:hAnsi="ITC Avant Garde" w:cstheme="minorHAnsi"/>
                <w:sz w:val="18"/>
                <w:szCs w:val="18"/>
                <w:lang w:eastAsia="es-MX"/>
              </w:rPr>
              <w:t>.</w:t>
            </w:r>
          </w:p>
          <w:p w14:paraId="2CE9E4A9" w14:textId="77777777"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1930 – 2000 MHz</w:t>
            </w:r>
          </w:p>
          <w:p w14:paraId="23F5F253" w14:textId="77777777" w:rsid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2110 – 2180 MHz</w:t>
            </w:r>
          </w:p>
          <w:p w14:paraId="0888BC6F" w14:textId="77777777"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0FEC80BF" w14:textId="061B5E94"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Dichas notas, acogerían los avances técnicos estandarizados por la 3GPP,</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particularmente en las siguientes porciones:</w:t>
            </w:r>
          </w:p>
          <w:p w14:paraId="7F13C96B" w14:textId="77777777"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1980 – 2000 MHz</w:t>
            </w:r>
          </w:p>
          <w:p w14:paraId="476397AD" w14:textId="77777777" w:rsidR="00FC3EF3"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2170 – 2180 MHz.</w:t>
            </w:r>
          </w:p>
          <w:p w14:paraId="76DD6824" w14:textId="77777777" w:rsid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3B7398BB" w14:textId="77777777"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7B2BA6">
              <w:rPr>
                <w:rFonts w:ascii="ITC Avant Garde" w:eastAsia="Times New Roman" w:hAnsi="ITC Avant Garde" w:cstheme="minorHAnsi"/>
                <w:b/>
                <w:bCs/>
                <w:sz w:val="18"/>
                <w:szCs w:val="18"/>
                <w:lang w:eastAsia="es-MX"/>
              </w:rPr>
              <w:t xml:space="preserve">Proposición de Nota Nacional en bandas para dar cabida a aplicaciones de baja transmisión </w:t>
            </w:r>
          </w:p>
          <w:p w14:paraId="50E234C0" w14:textId="2FBE87FC"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lastRenderedPageBreak/>
              <w:t>Considerar la segmentación de parte del espectro nacional adjudicado a MSS</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para aplicaciones de baja transmisión (o “</w:t>
            </w:r>
            <w:proofErr w:type="spellStart"/>
            <w:r w:rsidRPr="007B2BA6">
              <w:rPr>
                <w:rFonts w:ascii="ITC Avant Garde" w:eastAsia="Times New Roman" w:hAnsi="ITC Avant Garde" w:cstheme="minorHAnsi"/>
                <w:sz w:val="18"/>
                <w:szCs w:val="18"/>
                <w:lang w:eastAsia="es-MX"/>
              </w:rPr>
              <w:t>low</w:t>
            </w:r>
            <w:proofErr w:type="spellEnd"/>
            <w:r w:rsidRPr="007B2BA6">
              <w:rPr>
                <w:rFonts w:ascii="ITC Avant Garde" w:eastAsia="Times New Roman" w:hAnsi="ITC Avant Garde" w:cstheme="minorHAnsi"/>
                <w:sz w:val="18"/>
                <w:szCs w:val="18"/>
                <w:lang w:eastAsia="es-MX"/>
              </w:rPr>
              <w:t xml:space="preserve"> data </w:t>
            </w:r>
            <w:proofErr w:type="spellStart"/>
            <w:r w:rsidRPr="007B2BA6">
              <w:rPr>
                <w:rFonts w:ascii="ITC Avant Garde" w:eastAsia="Times New Roman" w:hAnsi="ITC Avant Garde" w:cstheme="minorHAnsi"/>
                <w:sz w:val="18"/>
                <w:szCs w:val="18"/>
                <w:lang w:eastAsia="es-MX"/>
              </w:rPr>
              <w:t>rate</w:t>
            </w:r>
            <w:proofErr w:type="spellEnd"/>
            <w:r w:rsidRPr="007B2BA6">
              <w:rPr>
                <w:rFonts w:ascii="ITC Avant Garde" w:eastAsia="Times New Roman" w:hAnsi="ITC Avant Garde" w:cstheme="minorHAnsi"/>
                <w:sz w:val="18"/>
                <w:szCs w:val="18"/>
                <w:lang w:eastAsia="es-MX"/>
              </w:rPr>
              <w:t>” en su expresión</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inglesa), acogiendo el desarrollo técnico provisto por la 3GPP a nivel</w:t>
            </w:r>
            <w:r>
              <w:rPr>
                <w:rFonts w:ascii="ITC Avant Garde" w:eastAsia="Times New Roman" w:hAnsi="ITC Avant Garde" w:cstheme="minorHAnsi"/>
                <w:sz w:val="18"/>
                <w:szCs w:val="18"/>
                <w:lang w:eastAsia="es-MX"/>
              </w:rPr>
              <w:t xml:space="preserve"> </w:t>
            </w:r>
            <w:r w:rsidRPr="007B2BA6">
              <w:rPr>
                <w:rFonts w:ascii="ITC Avant Garde" w:eastAsia="Times New Roman" w:hAnsi="ITC Avant Garde" w:cstheme="minorHAnsi"/>
                <w:sz w:val="18"/>
                <w:szCs w:val="18"/>
                <w:lang w:eastAsia="es-MX"/>
              </w:rPr>
              <w:t>internacional, particularmente en los tramos de banda:</w:t>
            </w:r>
          </w:p>
          <w:p w14:paraId="110E9CB1" w14:textId="77777777" w:rsidR="007B2BA6" w:rsidRPr="007B2BA6" w:rsidRDefault="007B2BA6" w:rsidP="007B2BA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2000 – 2025 MHz</w:t>
            </w:r>
          </w:p>
          <w:p w14:paraId="4B82905F" w14:textId="789DFE33" w:rsidR="00893471" w:rsidRPr="00FD134A" w:rsidRDefault="007B2BA6"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sidRPr="007B2BA6">
              <w:rPr>
                <w:rFonts w:ascii="ITC Avant Garde" w:eastAsia="Times New Roman" w:hAnsi="ITC Avant Garde" w:cstheme="minorHAnsi"/>
                <w:sz w:val="18"/>
                <w:szCs w:val="18"/>
                <w:lang w:eastAsia="es-MX"/>
              </w:rPr>
              <w:t>2180 – 2200 MHz</w:t>
            </w:r>
          </w:p>
        </w:tc>
        <w:tc>
          <w:tcPr>
            <w:tcW w:w="1316" w:type="pct"/>
            <w:gridSpan w:val="2"/>
            <w:vMerge/>
            <w:tcBorders>
              <w:left w:val="single" w:sz="4" w:space="0" w:color="A8D08D" w:themeColor="accent6" w:themeTint="99"/>
            </w:tcBorders>
            <w:shd w:val="clear" w:color="auto" w:fill="auto"/>
            <w:vAlign w:val="center"/>
          </w:tcPr>
          <w:p w14:paraId="6AE96A05" w14:textId="77777777" w:rsidR="00893471" w:rsidRPr="00FD134A" w:rsidRDefault="00893471"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893471" w:rsidRPr="00FD134A" w14:paraId="08A4ED06" w14:textId="77777777" w:rsidTr="00802834">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5246A041" w14:textId="77777777" w:rsidR="00893471" w:rsidRPr="00FD134A" w:rsidRDefault="00893471"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Observaciones generales</w:t>
            </w:r>
          </w:p>
        </w:tc>
        <w:tc>
          <w:tcPr>
            <w:tcW w:w="2964" w:type="pct"/>
            <w:tcBorders>
              <w:right w:val="single" w:sz="4" w:space="0" w:color="A8D08D" w:themeColor="accent6" w:themeTint="99"/>
            </w:tcBorders>
            <w:shd w:val="clear" w:color="auto" w:fill="auto"/>
            <w:vAlign w:val="center"/>
          </w:tcPr>
          <w:p w14:paraId="51764D40"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eastAsia="es-MX"/>
              </w:rPr>
            </w:pPr>
            <w:r w:rsidRPr="009C5091">
              <w:rPr>
                <w:rFonts w:ascii="ITC Avant Garde" w:eastAsia="Times New Roman" w:hAnsi="ITC Avant Garde" w:cstheme="minorHAnsi"/>
                <w:b/>
                <w:bCs/>
                <w:sz w:val="18"/>
                <w:szCs w:val="18"/>
                <w:lang w:eastAsia="es-MX"/>
              </w:rPr>
              <w:t xml:space="preserve">Discusiones pertinentes relativas a la </w:t>
            </w:r>
            <w:proofErr w:type="spellStart"/>
            <w:r w:rsidRPr="009C5091">
              <w:rPr>
                <w:rFonts w:ascii="ITC Avant Garde" w:eastAsia="Times New Roman" w:hAnsi="ITC Avant Garde" w:cstheme="minorHAnsi"/>
                <w:b/>
                <w:bCs/>
                <w:sz w:val="18"/>
                <w:szCs w:val="18"/>
                <w:lang w:eastAsia="es-MX"/>
              </w:rPr>
              <w:t>afordabilidad</w:t>
            </w:r>
            <w:proofErr w:type="spellEnd"/>
            <w:r w:rsidRPr="009C5091">
              <w:rPr>
                <w:rFonts w:ascii="ITC Avant Garde" w:eastAsia="Times New Roman" w:hAnsi="ITC Avant Garde" w:cstheme="minorHAnsi"/>
                <w:b/>
                <w:bCs/>
                <w:sz w:val="18"/>
                <w:szCs w:val="18"/>
                <w:lang w:eastAsia="es-MX"/>
              </w:rPr>
              <w:t xml:space="preserve"> de dispositivos</w:t>
            </w:r>
          </w:p>
          <w:p w14:paraId="131E8D59" w14:textId="77777777" w:rsidR="009C5091" w:rsidRP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eastAsia="es-MX"/>
              </w:rPr>
            </w:pPr>
          </w:p>
          <w:p w14:paraId="67B083A8" w14:textId="7133720A"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9C5091">
              <w:rPr>
                <w:rFonts w:ascii="ITC Avant Garde" w:eastAsia="Times New Roman" w:hAnsi="ITC Avant Garde" w:cstheme="minorHAnsi"/>
                <w:sz w:val="18"/>
                <w:szCs w:val="18"/>
                <w:lang w:eastAsia="es-MX"/>
              </w:rPr>
              <w:t xml:space="preserve">En 2022, la Unión Internacional de </w:t>
            </w:r>
            <w:proofErr w:type="spellStart"/>
            <w:r w:rsidRPr="009C5091">
              <w:rPr>
                <w:rFonts w:ascii="ITC Avant Garde" w:eastAsia="Times New Roman" w:hAnsi="ITC Avant Garde" w:cstheme="minorHAnsi"/>
                <w:sz w:val="18"/>
                <w:szCs w:val="18"/>
                <w:lang w:eastAsia="es-MX"/>
              </w:rPr>
              <w:t>Tecomunicaciones</w:t>
            </w:r>
            <w:proofErr w:type="spellEnd"/>
            <w:r w:rsidRPr="009C5091">
              <w:rPr>
                <w:rFonts w:ascii="ITC Avant Garde" w:eastAsia="Times New Roman" w:hAnsi="ITC Avant Garde" w:cstheme="minorHAnsi"/>
                <w:sz w:val="18"/>
                <w:szCs w:val="18"/>
                <w:lang w:eastAsia="es-MX"/>
              </w:rPr>
              <w:t xml:space="preserve"> (UIT) publicó a través de su sección para el Desarrollo</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 xml:space="preserve">(ITU-D) el </w:t>
            </w:r>
            <w:proofErr w:type="spellStart"/>
            <w:r w:rsidRPr="009C5091">
              <w:rPr>
                <w:rFonts w:ascii="ITC Avant Garde" w:eastAsia="Times New Roman" w:hAnsi="ITC Avant Garde" w:cstheme="minorHAnsi"/>
                <w:sz w:val="18"/>
                <w:szCs w:val="18"/>
                <w:lang w:eastAsia="es-MX"/>
              </w:rPr>
              <w:t>Policy</w:t>
            </w:r>
            <w:proofErr w:type="spellEnd"/>
            <w:r w:rsidRPr="009C5091">
              <w:rPr>
                <w:rFonts w:ascii="ITC Avant Garde" w:eastAsia="Times New Roman" w:hAnsi="ITC Avant Garde" w:cstheme="minorHAnsi"/>
                <w:sz w:val="18"/>
                <w:szCs w:val="18"/>
                <w:lang w:eastAsia="es-MX"/>
              </w:rPr>
              <w:t xml:space="preserve"> </w:t>
            </w:r>
            <w:proofErr w:type="spellStart"/>
            <w:r w:rsidRPr="009C5091">
              <w:rPr>
                <w:rFonts w:ascii="ITC Avant Garde" w:eastAsia="Times New Roman" w:hAnsi="ITC Avant Garde" w:cstheme="minorHAnsi"/>
                <w:sz w:val="18"/>
                <w:szCs w:val="18"/>
                <w:lang w:eastAsia="es-MX"/>
              </w:rPr>
              <w:t>Brief</w:t>
            </w:r>
            <w:proofErr w:type="spellEnd"/>
            <w:r w:rsidRPr="009C5091">
              <w:rPr>
                <w:rFonts w:ascii="ITC Avant Garde" w:eastAsia="Times New Roman" w:hAnsi="ITC Avant Garde" w:cstheme="minorHAnsi"/>
                <w:sz w:val="18"/>
                <w:szCs w:val="18"/>
                <w:lang w:eastAsia="es-MX"/>
              </w:rPr>
              <w:t xml:space="preserve"> e informe sobre la </w:t>
            </w:r>
            <w:proofErr w:type="spellStart"/>
            <w:r w:rsidRPr="009C5091">
              <w:rPr>
                <w:rFonts w:ascii="ITC Avant Garde" w:eastAsia="Times New Roman" w:hAnsi="ITC Avant Garde" w:cstheme="minorHAnsi"/>
                <w:sz w:val="18"/>
                <w:szCs w:val="18"/>
                <w:lang w:eastAsia="es-MX"/>
              </w:rPr>
              <w:t>Afordabilidad</w:t>
            </w:r>
            <w:proofErr w:type="spellEnd"/>
            <w:r w:rsidRPr="009C5091">
              <w:rPr>
                <w:rFonts w:ascii="ITC Avant Garde" w:eastAsia="Times New Roman" w:hAnsi="ITC Avant Garde" w:cstheme="minorHAnsi"/>
                <w:sz w:val="18"/>
                <w:szCs w:val="18"/>
                <w:lang w:eastAsia="es-MX"/>
              </w:rPr>
              <w:t xml:space="preserve"> de las TIC en la actualidad. El aspecto más</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importante de este informe es que a día de hoy el coste de la conectividad y los dispositivos asociados</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siguen siendo una barrera para los usuarios finales y la habilidad del tejido empresarial para combatir la</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 xml:space="preserve">brecha digital. Esta brecha es tan importante en el ecosistema </w:t>
            </w:r>
            <w:proofErr w:type="spellStart"/>
            <w:r w:rsidRPr="009C5091">
              <w:rPr>
                <w:rFonts w:ascii="ITC Avant Garde" w:eastAsia="Times New Roman" w:hAnsi="ITC Avant Garde" w:cstheme="minorHAnsi"/>
                <w:sz w:val="18"/>
                <w:szCs w:val="18"/>
                <w:lang w:eastAsia="es-MX"/>
              </w:rPr>
              <w:t>IoT</w:t>
            </w:r>
            <w:proofErr w:type="spellEnd"/>
            <w:r w:rsidRPr="009C5091">
              <w:rPr>
                <w:rFonts w:ascii="ITC Avant Garde" w:eastAsia="Times New Roman" w:hAnsi="ITC Avant Garde" w:cstheme="minorHAnsi"/>
                <w:sz w:val="18"/>
                <w:szCs w:val="18"/>
                <w:lang w:eastAsia="es-MX"/>
              </w:rPr>
              <w:t xml:space="preserve"> que afecta a industrias base como la</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agricultura, como lo es para la telefonía móvil. Respondiendo a este problema global, las redes satelitales</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 xml:space="preserve">de banda angosta como la de </w:t>
            </w:r>
            <w:proofErr w:type="spellStart"/>
            <w:r w:rsidRPr="009C5091">
              <w:rPr>
                <w:rFonts w:ascii="ITC Avant Garde" w:eastAsia="Times New Roman" w:hAnsi="ITC Avant Garde" w:cstheme="minorHAnsi"/>
                <w:sz w:val="18"/>
                <w:szCs w:val="18"/>
                <w:lang w:eastAsia="es-MX"/>
              </w:rPr>
              <w:t>Sateliot</w:t>
            </w:r>
            <w:proofErr w:type="spellEnd"/>
            <w:r w:rsidRPr="009C5091">
              <w:rPr>
                <w:rFonts w:ascii="ITC Avant Garde" w:eastAsia="Times New Roman" w:hAnsi="ITC Avant Garde" w:cstheme="minorHAnsi"/>
                <w:sz w:val="18"/>
                <w:szCs w:val="18"/>
                <w:lang w:eastAsia="es-MX"/>
              </w:rPr>
              <w:t>, por su diseño y alineamiento con un estándar global como 3GPP,</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ofrecen una solución única de reducción de coste en conectividad y coste por dispositivo en áreas críticas</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no urbanas.</w:t>
            </w:r>
          </w:p>
          <w:p w14:paraId="0077CCE4" w14:textId="77777777" w:rsidR="009C5091" w:rsidRP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6C837ACC" w14:textId="77777777" w:rsidR="00FC3EF3"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9C5091">
              <w:rPr>
                <w:rFonts w:ascii="ITC Avant Garde" w:eastAsia="Times New Roman" w:hAnsi="ITC Avant Garde" w:cstheme="minorHAnsi"/>
                <w:sz w:val="18"/>
                <w:szCs w:val="18"/>
                <w:lang w:eastAsia="es-MX"/>
              </w:rPr>
              <w:t>Es por ello, que nuestra aportación al IFT es que considere esta discusión estatal e internacional tan</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 xml:space="preserve">pertinente para un desarrollo del ecosistema </w:t>
            </w:r>
            <w:proofErr w:type="spellStart"/>
            <w:r w:rsidRPr="009C5091">
              <w:rPr>
                <w:rFonts w:ascii="ITC Avant Garde" w:eastAsia="Times New Roman" w:hAnsi="ITC Avant Garde" w:cstheme="minorHAnsi"/>
                <w:sz w:val="18"/>
                <w:szCs w:val="18"/>
                <w:lang w:eastAsia="es-MX"/>
              </w:rPr>
              <w:t>IoT</w:t>
            </w:r>
            <w:proofErr w:type="spellEnd"/>
            <w:r w:rsidRPr="009C5091">
              <w:rPr>
                <w:rFonts w:ascii="ITC Avant Garde" w:eastAsia="Times New Roman" w:hAnsi="ITC Avant Garde" w:cstheme="minorHAnsi"/>
                <w:sz w:val="18"/>
                <w:szCs w:val="18"/>
                <w:lang w:eastAsia="es-MX"/>
              </w:rPr>
              <w:t xml:space="preserve"> que sea inclusivo e impactante para la economía nacional.</w:t>
            </w:r>
          </w:p>
          <w:p w14:paraId="39E8D9C7"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48275295"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eastAsia="es-MX"/>
              </w:rPr>
            </w:pPr>
            <w:r w:rsidRPr="009C5091">
              <w:rPr>
                <w:rFonts w:ascii="ITC Avant Garde" w:eastAsia="Times New Roman" w:hAnsi="ITC Avant Garde" w:cstheme="minorHAnsi"/>
                <w:b/>
                <w:bCs/>
                <w:sz w:val="18"/>
                <w:szCs w:val="18"/>
                <w:lang w:eastAsia="es-MX"/>
              </w:rPr>
              <w:t>Discusión pertinente relativa a la integración de sistemas satelitales y móviles</w:t>
            </w:r>
          </w:p>
          <w:p w14:paraId="4DDD76AD" w14:textId="77777777" w:rsidR="009C5091" w:rsidRP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eastAsia="es-MX"/>
              </w:rPr>
            </w:pPr>
          </w:p>
          <w:p w14:paraId="48D54752"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9C5091">
              <w:rPr>
                <w:rFonts w:ascii="ITC Avant Garde" w:eastAsia="Times New Roman" w:hAnsi="ITC Avant Garde" w:cstheme="minorHAnsi"/>
                <w:sz w:val="18"/>
                <w:szCs w:val="18"/>
                <w:lang w:eastAsia="es-MX"/>
              </w:rPr>
              <w:t xml:space="preserve">México, y el IFT en particular han sido participantes </w:t>
            </w:r>
            <w:proofErr w:type="spellStart"/>
            <w:r w:rsidRPr="009C5091">
              <w:rPr>
                <w:rFonts w:ascii="ITC Avant Garde" w:eastAsia="Times New Roman" w:hAnsi="ITC Avant Garde" w:cstheme="minorHAnsi"/>
                <w:sz w:val="18"/>
                <w:szCs w:val="18"/>
                <w:lang w:eastAsia="es-MX"/>
              </w:rPr>
              <w:t>protqgonistas</w:t>
            </w:r>
            <w:proofErr w:type="spellEnd"/>
            <w:r w:rsidRPr="009C5091">
              <w:rPr>
                <w:rFonts w:ascii="ITC Avant Garde" w:eastAsia="Times New Roman" w:hAnsi="ITC Avant Garde" w:cstheme="minorHAnsi"/>
                <w:sz w:val="18"/>
                <w:szCs w:val="18"/>
                <w:lang w:eastAsia="es-MX"/>
              </w:rPr>
              <w:t xml:space="preserve"> en las discusiones internacionales sobre</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las tecnologías IMT, y más específicamente en las discusiones relativas a tecnologías consideradas bajo</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IMT-2020, para las que la componente satelital de IMT es un elemento central. Es por ello que creemos</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importante hacer referencia a la recomendación UIT-R M.2150, para resaltar que gran parte del desarrollo</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del marco IMT-2020 considera entre otras 1) las comunicaciones masivas de tipo máquina (</w:t>
            </w:r>
            <w:proofErr w:type="spellStart"/>
            <w:r w:rsidRPr="009C5091">
              <w:rPr>
                <w:rFonts w:ascii="ITC Avant Garde" w:eastAsia="Times New Roman" w:hAnsi="ITC Avant Garde" w:cstheme="minorHAnsi"/>
                <w:sz w:val="18"/>
                <w:szCs w:val="18"/>
                <w:lang w:eastAsia="es-MX"/>
              </w:rPr>
              <w:t>IoT</w:t>
            </w:r>
            <w:proofErr w:type="spellEnd"/>
            <w:r w:rsidRPr="009C5091">
              <w:rPr>
                <w:rFonts w:ascii="ITC Avant Garde" w:eastAsia="Times New Roman" w:hAnsi="ITC Avant Garde" w:cstheme="minorHAnsi"/>
                <w:sz w:val="18"/>
                <w:szCs w:val="18"/>
                <w:lang w:eastAsia="es-MX"/>
              </w:rPr>
              <w:t>), 2) que una</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variedad de sistemas (y velocidades de datos) son requeridos para dar servicio a la movilidad de estos</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dispositivos y sus usuarios; 3) que las economías de escala y la colaboración entre diferentes segmentos del</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sector de las comunicaciones son fundamentales.</w:t>
            </w:r>
          </w:p>
          <w:p w14:paraId="4EEDA16B"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6696C262"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9C5091">
              <w:rPr>
                <w:rFonts w:ascii="ITC Avant Garde" w:eastAsia="Times New Roman" w:hAnsi="ITC Avant Garde" w:cstheme="minorHAnsi"/>
                <w:sz w:val="18"/>
                <w:szCs w:val="18"/>
                <w:lang w:eastAsia="es-MX"/>
              </w:rPr>
              <w:t>En este sentido, nuestras contribuciones quisieran acercar estos objetivos de manera práctica a la CNAF</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en México, particularmente apoyando la diversificación de sistemas satelitales (MSS) en servicio a las</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tecnologías IMT.</w:t>
            </w:r>
          </w:p>
          <w:p w14:paraId="239985E1"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7A7A63D3"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eastAsia="es-MX"/>
              </w:rPr>
            </w:pPr>
            <w:r w:rsidRPr="009C5091">
              <w:rPr>
                <w:rFonts w:ascii="ITC Avant Garde" w:eastAsia="Times New Roman" w:hAnsi="ITC Avant Garde" w:cstheme="minorHAnsi"/>
                <w:b/>
                <w:bCs/>
                <w:sz w:val="18"/>
                <w:szCs w:val="18"/>
                <w:lang w:eastAsia="es-MX"/>
              </w:rPr>
              <w:t>Discusión pertinente sobre la demanda y necesidad de espectro MSS adicional</w:t>
            </w:r>
          </w:p>
          <w:p w14:paraId="17B104EF" w14:textId="77777777" w:rsidR="009C5091" w:rsidRP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sz w:val="18"/>
                <w:szCs w:val="18"/>
                <w:lang w:eastAsia="es-MX"/>
              </w:rPr>
            </w:pPr>
          </w:p>
          <w:p w14:paraId="2FF662C0" w14:textId="54852DF6"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9C5091">
              <w:rPr>
                <w:rFonts w:ascii="ITC Avant Garde" w:eastAsia="Times New Roman" w:hAnsi="ITC Avant Garde" w:cstheme="minorHAnsi"/>
                <w:sz w:val="18"/>
                <w:szCs w:val="18"/>
                <w:lang w:eastAsia="es-MX"/>
              </w:rPr>
              <w:t>En el marco actual del ciclo de estudio de la Conferencia Mundial de Radio (CMR), se están considerando</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hasta 3 puntos de agenda para la atribución de espectro global a tecnologías en el MSS. Una situación sin</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precedentes, pero ciertamente motivada por las necesidades de conexión no-urbana, y los desarrollos</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 xml:space="preserve">tecnológicos en los ámbitos de </w:t>
            </w:r>
            <w:r w:rsidRPr="009C5091">
              <w:rPr>
                <w:rFonts w:ascii="ITC Avant Garde" w:eastAsia="Times New Roman" w:hAnsi="ITC Avant Garde" w:cstheme="minorHAnsi"/>
                <w:sz w:val="18"/>
                <w:szCs w:val="18"/>
                <w:lang w:eastAsia="es-MX"/>
              </w:rPr>
              <w:lastRenderedPageBreak/>
              <w:t>conexión satelital directa a teléfonos móviles; la necesidad de extensión de</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 xml:space="preserve">redes terrestres en el ámbito de </w:t>
            </w:r>
            <w:proofErr w:type="spellStart"/>
            <w:r w:rsidRPr="009C5091">
              <w:rPr>
                <w:rFonts w:ascii="ITC Avant Garde" w:eastAsia="Times New Roman" w:hAnsi="ITC Avant Garde" w:cstheme="minorHAnsi"/>
                <w:sz w:val="18"/>
                <w:szCs w:val="18"/>
                <w:lang w:eastAsia="es-MX"/>
              </w:rPr>
              <w:t>IoT</w:t>
            </w:r>
            <w:proofErr w:type="spellEnd"/>
            <w:r w:rsidRPr="009C5091">
              <w:rPr>
                <w:rFonts w:ascii="ITC Avant Garde" w:eastAsia="Times New Roman" w:hAnsi="ITC Avant Garde" w:cstheme="minorHAnsi"/>
                <w:sz w:val="18"/>
                <w:szCs w:val="18"/>
                <w:lang w:eastAsia="es-MX"/>
              </w:rPr>
              <w:t>; y la diversificación y crecimiento del número de operadores interesados</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en proveer dicha capacidad satelital.</w:t>
            </w:r>
          </w:p>
          <w:p w14:paraId="20DADEA0" w14:textId="77777777" w:rsidR="009C5091" w:rsidRP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3763F525"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9C5091">
              <w:rPr>
                <w:rFonts w:ascii="ITC Avant Garde" w:eastAsia="Times New Roman" w:hAnsi="ITC Avant Garde" w:cstheme="minorHAnsi"/>
                <w:sz w:val="18"/>
                <w:szCs w:val="18"/>
                <w:lang w:eastAsia="es-MX"/>
              </w:rPr>
              <w:t>Mediante Notas Nacionales estratégicas como las propuestas en esta contribución, y la segmentación</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estratégica de bandas adjudicadas, el IFT puede dar respuesta a esta demanda.</w:t>
            </w:r>
          </w:p>
          <w:p w14:paraId="406B6677"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40F3EE85" w14:textId="59607CFA"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9C5091">
              <w:rPr>
                <w:rFonts w:ascii="ITC Avant Garde" w:eastAsia="Times New Roman" w:hAnsi="ITC Avant Garde" w:cstheme="minorHAnsi"/>
                <w:b/>
                <w:bCs/>
                <w:sz w:val="18"/>
                <w:szCs w:val="18"/>
                <w:lang w:eastAsia="es-MX"/>
              </w:rPr>
              <w:t xml:space="preserve">Discusión pertinente relativa a la coexistencia de sistemas satelitales, y </w:t>
            </w:r>
            <w:proofErr w:type="spellStart"/>
            <w:r w:rsidRPr="009C5091">
              <w:rPr>
                <w:rFonts w:ascii="ITC Avant Garde" w:eastAsia="Times New Roman" w:hAnsi="ITC Avant Garde" w:cstheme="minorHAnsi"/>
                <w:b/>
                <w:bCs/>
                <w:sz w:val="18"/>
                <w:szCs w:val="18"/>
                <w:lang w:eastAsia="es-MX"/>
              </w:rPr>
              <w:t>particulamente</w:t>
            </w:r>
            <w:proofErr w:type="spellEnd"/>
            <w:r w:rsidRPr="009C5091">
              <w:rPr>
                <w:rFonts w:ascii="ITC Avant Garde" w:eastAsia="Times New Roman" w:hAnsi="ITC Avant Garde" w:cstheme="minorHAnsi"/>
                <w:b/>
                <w:bCs/>
                <w:sz w:val="18"/>
                <w:szCs w:val="18"/>
                <w:lang w:eastAsia="es-MX"/>
              </w:rPr>
              <w:t xml:space="preserve"> de NB-</w:t>
            </w:r>
            <w:proofErr w:type="spellStart"/>
            <w:r w:rsidRPr="009C5091">
              <w:rPr>
                <w:rFonts w:ascii="ITC Avant Garde" w:eastAsia="Times New Roman" w:hAnsi="ITC Avant Garde" w:cstheme="minorHAnsi"/>
                <w:b/>
                <w:bCs/>
                <w:sz w:val="18"/>
                <w:szCs w:val="18"/>
                <w:lang w:eastAsia="es-MX"/>
              </w:rPr>
              <w:t>IoT</w:t>
            </w:r>
            <w:proofErr w:type="spellEnd"/>
            <w:r w:rsidRPr="009C5091">
              <w:rPr>
                <w:rFonts w:ascii="ITC Avant Garde" w:eastAsia="Times New Roman" w:hAnsi="ITC Avant Garde" w:cstheme="minorHAnsi"/>
                <w:b/>
                <w:bCs/>
                <w:sz w:val="18"/>
                <w:szCs w:val="18"/>
                <w:lang w:eastAsia="es-MX"/>
              </w:rPr>
              <w:t xml:space="preserve"> como el de </w:t>
            </w:r>
            <w:proofErr w:type="spellStart"/>
            <w:r w:rsidRPr="009C5091">
              <w:rPr>
                <w:rFonts w:ascii="ITC Avant Garde" w:eastAsia="Times New Roman" w:hAnsi="ITC Avant Garde" w:cstheme="minorHAnsi"/>
                <w:b/>
                <w:bCs/>
                <w:sz w:val="18"/>
                <w:szCs w:val="18"/>
                <w:lang w:eastAsia="es-MX"/>
              </w:rPr>
              <w:t>Sateliot</w:t>
            </w:r>
            <w:proofErr w:type="spellEnd"/>
            <w:r w:rsidRPr="009C5091">
              <w:rPr>
                <w:rFonts w:ascii="ITC Avant Garde" w:eastAsia="Times New Roman" w:hAnsi="ITC Avant Garde" w:cstheme="minorHAnsi"/>
                <w:b/>
                <w:bCs/>
                <w:sz w:val="18"/>
                <w:szCs w:val="18"/>
                <w:lang w:eastAsia="es-MX"/>
              </w:rPr>
              <w:t xml:space="preserve">, con otros sistemas en banda. Maximizando el uso de estas bandas idóneas para </w:t>
            </w:r>
            <w:proofErr w:type="spellStart"/>
            <w:r w:rsidRPr="009C5091">
              <w:rPr>
                <w:rFonts w:ascii="ITC Avant Garde" w:eastAsia="Times New Roman" w:hAnsi="ITC Avant Garde" w:cstheme="minorHAnsi"/>
                <w:b/>
                <w:bCs/>
                <w:sz w:val="18"/>
                <w:szCs w:val="18"/>
                <w:lang w:eastAsia="es-MX"/>
              </w:rPr>
              <w:t>múltiplesservicios</w:t>
            </w:r>
            <w:proofErr w:type="spellEnd"/>
            <w:r w:rsidRPr="009C5091">
              <w:rPr>
                <w:rFonts w:ascii="ITC Avant Garde" w:eastAsia="Times New Roman" w:hAnsi="ITC Avant Garde" w:cstheme="minorHAnsi"/>
                <w:b/>
                <w:bCs/>
                <w:sz w:val="18"/>
                <w:szCs w:val="18"/>
                <w:lang w:eastAsia="es-MX"/>
              </w:rPr>
              <w:t xml:space="preserve"> en el MSS</w:t>
            </w:r>
            <w:r w:rsidRPr="009C5091">
              <w:rPr>
                <w:rFonts w:ascii="ITC Avant Garde" w:eastAsia="Times New Roman" w:hAnsi="ITC Avant Garde" w:cstheme="minorHAnsi"/>
                <w:sz w:val="18"/>
                <w:szCs w:val="18"/>
                <w:lang w:eastAsia="es-MX"/>
              </w:rPr>
              <w:t>.</w:t>
            </w:r>
          </w:p>
          <w:p w14:paraId="60DCAE17" w14:textId="77777777" w:rsidR="009C5091" w:rsidRP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63D1B8DC"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9C5091">
              <w:rPr>
                <w:rFonts w:ascii="ITC Avant Garde" w:eastAsia="Times New Roman" w:hAnsi="ITC Avant Garde" w:cstheme="minorHAnsi"/>
                <w:sz w:val="18"/>
                <w:szCs w:val="18"/>
                <w:lang w:eastAsia="es-MX"/>
              </w:rPr>
              <w:t xml:space="preserve">Finalmente, a título informativo, </w:t>
            </w:r>
            <w:proofErr w:type="spellStart"/>
            <w:r w:rsidRPr="009C5091">
              <w:rPr>
                <w:rFonts w:ascii="ITC Avant Garde" w:eastAsia="Times New Roman" w:hAnsi="ITC Avant Garde" w:cstheme="minorHAnsi"/>
                <w:sz w:val="18"/>
                <w:szCs w:val="18"/>
                <w:lang w:eastAsia="es-MX"/>
              </w:rPr>
              <w:t>Sateliot</w:t>
            </w:r>
            <w:proofErr w:type="spellEnd"/>
            <w:r w:rsidRPr="009C5091">
              <w:rPr>
                <w:rFonts w:ascii="ITC Avant Garde" w:eastAsia="Times New Roman" w:hAnsi="ITC Avant Garde" w:cstheme="minorHAnsi"/>
                <w:sz w:val="18"/>
                <w:szCs w:val="18"/>
                <w:lang w:eastAsia="es-MX"/>
              </w:rPr>
              <w:t xml:space="preserve"> viene dando respuesta a nivel internacional a preguntas sobre la</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potencial interferencia de sistemas de banda angosta sobre sistemas operando en este espectro MSS. De</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esta forma, quisiéramos prestar nuestro análisis técnico al IFT en el formato y tiempo que consideren</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oportuno, con la convicción de que ayudará a la toma de decisiones estratégica propuesta en nuestra</w:t>
            </w:r>
            <w:r>
              <w:rPr>
                <w:rFonts w:ascii="ITC Avant Garde" w:eastAsia="Times New Roman" w:hAnsi="ITC Avant Garde" w:cstheme="minorHAnsi"/>
                <w:sz w:val="18"/>
                <w:szCs w:val="18"/>
                <w:lang w:eastAsia="es-MX"/>
              </w:rPr>
              <w:t xml:space="preserve"> </w:t>
            </w:r>
            <w:r w:rsidRPr="009C5091">
              <w:rPr>
                <w:rFonts w:ascii="ITC Avant Garde" w:eastAsia="Times New Roman" w:hAnsi="ITC Avant Garde" w:cstheme="minorHAnsi"/>
                <w:sz w:val="18"/>
                <w:szCs w:val="18"/>
                <w:lang w:eastAsia="es-MX"/>
              </w:rPr>
              <w:t>contribución.</w:t>
            </w:r>
          </w:p>
          <w:p w14:paraId="482203CD" w14:textId="77777777" w:rsidR="009C5091" w:rsidRDefault="009C5091" w:rsidP="009C509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7A7EC529" w14:textId="0A2BD0F4" w:rsidR="00893471" w:rsidRPr="00FD134A" w:rsidRDefault="009C5091" w:rsidP="009C509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Pr>
                <w:noProof/>
              </w:rPr>
              <w:drawing>
                <wp:inline distT="0" distB="0" distL="0" distR="0" wp14:anchorId="4DFBCBCC" wp14:editId="1111CAEA">
                  <wp:extent cx="3021359" cy="3434316"/>
                  <wp:effectExtent l="0" t="0" r="7620" b="0"/>
                  <wp:docPr id="6419835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83500" name=""/>
                          <pic:cNvPicPr/>
                        </pic:nvPicPr>
                        <pic:blipFill>
                          <a:blip r:embed="rId19"/>
                          <a:stretch>
                            <a:fillRect/>
                          </a:stretch>
                        </pic:blipFill>
                        <pic:spPr>
                          <a:xfrm>
                            <a:off x="0" y="0"/>
                            <a:ext cx="3125748" cy="3552973"/>
                          </a:xfrm>
                          <a:prstGeom prst="rect">
                            <a:avLst/>
                          </a:prstGeom>
                        </pic:spPr>
                      </pic:pic>
                    </a:graphicData>
                  </a:graphic>
                </wp:inline>
              </w:drawing>
            </w:r>
          </w:p>
        </w:tc>
        <w:tc>
          <w:tcPr>
            <w:tcW w:w="1316" w:type="pct"/>
            <w:gridSpan w:val="2"/>
            <w:vMerge/>
            <w:tcBorders>
              <w:left w:val="single" w:sz="4" w:space="0" w:color="A8D08D" w:themeColor="accent6" w:themeTint="99"/>
            </w:tcBorders>
            <w:shd w:val="clear" w:color="auto" w:fill="auto"/>
            <w:vAlign w:val="center"/>
          </w:tcPr>
          <w:p w14:paraId="6C5EB725" w14:textId="77777777" w:rsidR="00893471" w:rsidRPr="00FD134A" w:rsidRDefault="00893471"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bl>
    <w:p w14:paraId="6FCCC1C9" w14:textId="77777777" w:rsidR="00893471" w:rsidRDefault="00893471" w:rsidP="00893471">
      <w:pPr>
        <w:spacing w:after="0" w:line="240" w:lineRule="auto"/>
        <w:rPr>
          <w:rFonts w:ascii="ITC Avant Garde" w:hAnsi="ITC Avant Garde"/>
          <w:color w:val="000000"/>
          <w:sz w:val="14"/>
          <w:szCs w:val="14"/>
          <w:shd w:val="clear" w:color="auto" w:fill="FFFFFF"/>
        </w:rPr>
      </w:pPr>
    </w:p>
    <w:p w14:paraId="1D3320CD" w14:textId="77777777" w:rsidR="00893471" w:rsidRDefault="00893471" w:rsidP="00893471">
      <w:pPr>
        <w:spacing w:after="0" w:line="240" w:lineRule="auto"/>
        <w:rPr>
          <w:rFonts w:ascii="ITC Avant Garde" w:hAnsi="ITC Avant Garde"/>
          <w:color w:val="000000"/>
          <w:sz w:val="14"/>
          <w:szCs w:val="14"/>
          <w:shd w:val="clear" w:color="auto" w:fill="FFFFFF"/>
        </w:rPr>
      </w:pPr>
    </w:p>
    <w:p w14:paraId="4D7E17C9" w14:textId="77777777" w:rsidR="00893471" w:rsidRDefault="00893471" w:rsidP="00893471">
      <w:pPr>
        <w:spacing w:after="0" w:line="240" w:lineRule="auto"/>
        <w:rPr>
          <w:rFonts w:ascii="ITC Avant Garde" w:hAnsi="ITC Avant Garde"/>
          <w:color w:val="000000"/>
          <w:sz w:val="14"/>
          <w:szCs w:val="14"/>
          <w:shd w:val="clear" w:color="auto" w:fill="FFFFFF"/>
        </w:rPr>
      </w:pPr>
    </w:p>
    <w:p w14:paraId="79636683" w14:textId="77777777" w:rsidR="00893471" w:rsidRDefault="00893471" w:rsidP="00893471">
      <w:pPr>
        <w:spacing w:after="0" w:line="240" w:lineRule="auto"/>
        <w:rPr>
          <w:rFonts w:ascii="ITC Avant Garde" w:hAnsi="ITC Avant Garde"/>
          <w:color w:val="000000"/>
          <w:sz w:val="14"/>
          <w:szCs w:val="14"/>
          <w:shd w:val="clear" w:color="auto" w:fill="FFFFFF"/>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893471" w:rsidRPr="00FD134A" w14:paraId="195BCF76" w14:textId="77777777" w:rsidTr="00C170E7">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7560B063" w14:textId="77777777" w:rsidR="00893471" w:rsidRPr="00FD134A" w:rsidRDefault="00893471" w:rsidP="00C170E7">
            <w:pPr>
              <w:ind w:left="316"/>
              <w:jc w:val="center"/>
              <w:rPr>
                <w:rFonts w:ascii="ITC Avant Garde" w:hAnsi="ITC Avant Garde"/>
                <w:b w:val="0"/>
                <w:sz w:val="18"/>
                <w:szCs w:val="18"/>
                <w:lang w:eastAsia="es-MX"/>
              </w:rPr>
            </w:pPr>
            <w:r w:rsidRPr="00FD134A">
              <w:rPr>
                <w:rFonts w:ascii="ITC Avant Garde" w:hAnsi="ITC Avant Garde"/>
                <w:bCs w:val="0"/>
                <w:sz w:val="18"/>
                <w:szCs w:val="18"/>
                <w:lang w:eastAsia="es-MX"/>
              </w:rPr>
              <w:t>Comentarios, opiniones, propuestas y aportaciones específicos de la persona participante sobre el asunto en Consulta Pública</w:t>
            </w:r>
          </w:p>
        </w:tc>
      </w:tr>
      <w:tr w:rsidR="00893471" w:rsidRPr="00FD134A" w14:paraId="4DCA125D" w14:textId="77777777" w:rsidTr="00C170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7232A154" w14:textId="77777777" w:rsidR="00893471" w:rsidRPr="00FD134A" w:rsidRDefault="00893471" w:rsidP="00C170E7">
            <w:pPr>
              <w:ind w:left="316"/>
              <w:rPr>
                <w:rFonts w:ascii="ITC Avant Garde" w:hAnsi="ITC Avant Garde"/>
                <w:sz w:val="18"/>
                <w:szCs w:val="18"/>
                <w:lang w:eastAsia="es-MX"/>
              </w:rPr>
            </w:pPr>
            <w:r w:rsidRPr="00FD134A">
              <w:rPr>
                <w:rFonts w:ascii="ITC Avant Garde" w:hAnsi="ITC Avant Garde"/>
                <w:color w:val="FFFFFF" w:themeColor="background1"/>
                <w:sz w:val="18"/>
                <w:szCs w:val="18"/>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B640DF3" w14:textId="4AE05519" w:rsidR="00893471" w:rsidRPr="000F03A3" w:rsidRDefault="00893471" w:rsidP="00C170E7">
            <w:pPr>
              <w:ind w:left="34"/>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0F03A3">
              <w:rPr>
                <w:rFonts w:ascii="ITC Avant Garde" w:hAnsi="ITC Avant Garde"/>
                <w:sz w:val="18"/>
                <w:szCs w:val="18"/>
                <w:lang w:eastAsia="es-MX"/>
              </w:rPr>
              <w:t>Rigoberto Cruz</w:t>
            </w:r>
            <w:r w:rsidR="000F03A3" w:rsidRPr="000F03A3">
              <w:rPr>
                <w:rFonts w:ascii="ITC Avant Garde" w:hAnsi="ITC Avant Garde"/>
                <w:sz w:val="18"/>
                <w:szCs w:val="18"/>
                <w:lang w:eastAsia="es-MX"/>
              </w:rPr>
              <w:t xml:space="preserve"> – Perito en T</w:t>
            </w:r>
            <w:r w:rsidR="000F03A3">
              <w:rPr>
                <w:rFonts w:ascii="ITC Avant Garde" w:hAnsi="ITC Avant Garde"/>
                <w:sz w:val="18"/>
                <w:szCs w:val="18"/>
                <w:lang w:eastAsia="es-MX"/>
              </w:rPr>
              <w:t>elecomunicaciones</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0AD47" w:themeFill="accent6"/>
            <w:vAlign w:val="center"/>
          </w:tcPr>
          <w:p w14:paraId="6877F59F" w14:textId="77777777" w:rsidR="00893471" w:rsidRPr="00FD134A" w:rsidRDefault="00893471" w:rsidP="00C170E7">
            <w:pPr>
              <w:ind w:left="316"/>
              <w:cnfStyle w:val="000000100000" w:firstRow="0" w:lastRow="0" w:firstColumn="0" w:lastColumn="0" w:oddVBand="0" w:evenVBand="0" w:oddHBand="1" w:evenHBand="0" w:firstRowFirstColumn="0" w:firstRowLastColumn="0" w:lastRowFirstColumn="0" w:lastRowLastColumn="0"/>
              <w:rPr>
                <w:rFonts w:ascii="ITC Avant Garde" w:hAnsi="ITC Avant Garde"/>
                <w:b/>
                <w:bCs/>
                <w:sz w:val="18"/>
                <w:szCs w:val="18"/>
                <w:lang w:eastAsia="es-MX"/>
              </w:rPr>
            </w:pPr>
            <w:r w:rsidRPr="00FD134A">
              <w:rPr>
                <w:rFonts w:ascii="ITC Avant Garde" w:hAnsi="ITC Avant Garde"/>
                <w:b/>
                <w:bCs/>
                <w:color w:val="FFFFFF" w:themeColor="background1"/>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D16C680" w14:textId="28EA4906" w:rsidR="00893471" w:rsidRPr="00FD134A" w:rsidRDefault="00893471" w:rsidP="00C170E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7D112C">
              <w:rPr>
                <w:rFonts w:ascii="ITC Avant Garde" w:hAnsi="ITC Avant Garde"/>
                <w:sz w:val="18"/>
                <w:szCs w:val="18"/>
                <w:lang w:eastAsia="es-MX"/>
              </w:rPr>
              <w:t>20240628-CP_CNAF-0</w:t>
            </w:r>
            <w:r>
              <w:rPr>
                <w:rFonts w:ascii="ITC Avant Garde" w:hAnsi="ITC Avant Garde"/>
                <w:sz w:val="18"/>
                <w:szCs w:val="18"/>
                <w:lang w:eastAsia="es-MX"/>
              </w:rPr>
              <w:t>11</w:t>
            </w:r>
          </w:p>
        </w:tc>
      </w:tr>
      <w:tr w:rsidR="00893471" w:rsidRPr="00FD134A" w14:paraId="31AE10BB" w14:textId="77777777" w:rsidTr="00C170E7">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5C2F48E8" w14:textId="77777777" w:rsidR="00893471" w:rsidRPr="00FD134A" w:rsidRDefault="00893471" w:rsidP="00C170E7">
            <w:pPr>
              <w:jc w:val="center"/>
              <w:rPr>
                <w:rFonts w:ascii="ITC Avant Garde" w:eastAsia="Times New Roman" w:hAnsi="ITC Avant Garde" w:cstheme="minorHAnsi"/>
                <w:bCs w:val="0"/>
                <w:sz w:val="18"/>
                <w:szCs w:val="18"/>
                <w:lang w:eastAsia="es-MX"/>
              </w:rPr>
            </w:pPr>
            <w:r w:rsidRPr="00FD134A">
              <w:rPr>
                <w:rFonts w:ascii="ITC Avant Garde" w:eastAsia="Times New Roman" w:hAnsi="ITC Avant Garde" w:cstheme="minorHAnsi"/>
                <w:bCs w:val="0"/>
                <w:sz w:val="18"/>
                <w:szCs w:val="18"/>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1D0CE54B" w14:textId="77777777" w:rsidR="00893471" w:rsidRPr="00FD134A" w:rsidRDefault="00893471" w:rsidP="00C170E7">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FD134A">
              <w:rPr>
                <w:rFonts w:ascii="ITC Avant Garde" w:eastAsia="Times New Roman" w:hAnsi="ITC Avant Garde" w:cstheme="minorHAnsi"/>
                <w:b/>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12C52F23" w14:textId="77777777" w:rsidR="00893471" w:rsidRPr="00FD134A" w:rsidRDefault="00893471" w:rsidP="00C170E7">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8"/>
                <w:szCs w:val="18"/>
                <w:lang w:eastAsia="es-MX"/>
              </w:rPr>
            </w:pPr>
            <w:r w:rsidRPr="00FD134A">
              <w:rPr>
                <w:rFonts w:ascii="ITC Avant Garde" w:eastAsia="Times New Roman" w:hAnsi="ITC Avant Garde" w:cstheme="minorHAnsi"/>
                <w:b/>
                <w:sz w:val="18"/>
                <w:szCs w:val="18"/>
                <w:lang w:eastAsia="es-MX"/>
              </w:rPr>
              <w:t>Respuesta del Instituto</w:t>
            </w:r>
          </w:p>
        </w:tc>
      </w:tr>
      <w:tr w:rsidR="00893471" w:rsidRPr="00FD134A" w14:paraId="06E1B17A" w14:textId="77777777" w:rsidTr="0080283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7DC4A68E" w14:textId="77777777" w:rsidR="00893471" w:rsidRPr="00FD134A" w:rsidRDefault="00893471" w:rsidP="00C170E7">
            <w:pPr>
              <w:jc w:val="center"/>
              <w:rPr>
                <w:rFonts w:ascii="ITC Avant Garde" w:eastAsia="Times New Roman" w:hAnsi="ITC Avant Garde" w:cstheme="minorHAnsi"/>
                <w:b w:val="0"/>
                <w:sz w:val="18"/>
                <w:szCs w:val="18"/>
                <w:lang w:eastAsia="es-MX"/>
              </w:rPr>
            </w:pPr>
            <w:r w:rsidRPr="00FD134A">
              <w:rPr>
                <w:rFonts w:ascii="ITC Avant Garde" w:eastAsia="Times New Roman" w:hAnsi="ITC Avant Garde" w:cstheme="minorHAnsi"/>
                <w:b w:val="0"/>
                <w:sz w:val="18"/>
                <w:szCs w:val="18"/>
                <w:lang w:eastAsia="es-MX"/>
              </w:rPr>
              <w:t>Sección introductoria</w:t>
            </w:r>
          </w:p>
        </w:tc>
        <w:tc>
          <w:tcPr>
            <w:tcW w:w="2964" w:type="pct"/>
            <w:tcBorders>
              <w:right w:val="single" w:sz="4" w:space="0" w:color="A8D08D" w:themeColor="accent6" w:themeTint="99"/>
            </w:tcBorders>
            <w:shd w:val="clear" w:color="auto" w:fill="auto"/>
            <w:vAlign w:val="center"/>
          </w:tcPr>
          <w:p w14:paraId="7C368081" w14:textId="0B9904B6" w:rsidR="00893471" w:rsidRPr="00FD134A" w:rsidRDefault="00434E8F"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val="restart"/>
            <w:tcBorders>
              <w:left w:val="single" w:sz="4" w:space="0" w:color="A8D08D" w:themeColor="accent6" w:themeTint="99"/>
            </w:tcBorders>
            <w:shd w:val="clear" w:color="auto" w:fill="auto"/>
            <w:vAlign w:val="center"/>
          </w:tcPr>
          <w:p w14:paraId="068C9CD9" w14:textId="2F529B37" w:rsidR="00781E92" w:rsidRPr="007A2893" w:rsidRDefault="00CB25FB" w:rsidP="00781E9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8E7F15">
              <w:rPr>
                <w:rFonts w:ascii="ITC Avant Garde" w:eastAsia="Times New Roman" w:hAnsi="ITC Avant Garde" w:cstheme="minorHAnsi"/>
                <w:bCs/>
                <w:sz w:val="16"/>
                <w:szCs w:val="16"/>
                <w:lang w:eastAsia="es-MX"/>
              </w:rPr>
              <w:t>El Instituto</w:t>
            </w:r>
            <w:r w:rsidR="008E7F15">
              <w:rPr>
                <w:rFonts w:ascii="ITC Avant Garde" w:eastAsia="Times New Roman" w:hAnsi="ITC Avant Garde" w:cstheme="minorHAnsi"/>
                <w:bCs/>
                <w:sz w:val="16"/>
                <w:szCs w:val="16"/>
                <w:lang w:eastAsia="es-MX"/>
              </w:rPr>
              <w:t xml:space="preserve"> Federal de Telecomunicaciones </w:t>
            </w:r>
            <w:r w:rsidRPr="008E7F15">
              <w:rPr>
                <w:rFonts w:ascii="ITC Avant Garde" w:eastAsia="Times New Roman" w:hAnsi="ITC Avant Garde" w:cstheme="minorHAnsi"/>
                <w:bCs/>
                <w:sz w:val="16"/>
                <w:szCs w:val="16"/>
                <w:lang w:eastAsia="es-MX"/>
              </w:rPr>
              <w:t xml:space="preserve">agradece </w:t>
            </w:r>
            <w:r w:rsidR="008E7F15">
              <w:rPr>
                <w:rFonts w:ascii="ITC Avant Garde" w:eastAsia="Times New Roman" w:hAnsi="ITC Avant Garde" w:cstheme="minorHAnsi"/>
                <w:bCs/>
                <w:sz w:val="16"/>
                <w:szCs w:val="16"/>
                <w:lang w:eastAsia="es-MX"/>
              </w:rPr>
              <w:t xml:space="preserve">la manifestación realizada por </w:t>
            </w:r>
            <w:r w:rsidRPr="008E7F15">
              <w:rPr>
                <w:rFonts w:ascii="ITC Avant Garde" w:hAnsi="ITC Avant Garde"/>
                <w:sz w:val="16"/>
                <w:szCs w:val="16"/>
                <w:lang w:eastAsia="es-MX"/>
              </w:rPr>
              <w:t>Rigoberto Cruz</w:t>
            </w:r>
            <w:r w:rsidRPr="008E7F15">
              <w:rPr>
                <w:rFonts w:ascii="ITC Avant Garde" w:eastAsia="Times New Roman" w:hAnsi="ITC Avant Garde" w:cstheme="minorHAnsi"/>
                <w:bCs/>
                <w:sz w:val="16"/>
                <w:szCs w:val="16"/>
                <w:lang w:eastAsia="es-MX"/>
              </w:rPr>
              <w:t xml:space="preserve">, </w:t>
            </w:r>
            <w:r w:rsidR="00434E8F" w:rsidRPr="008E7F15">
              <w:rPr>
                <w:rFonts w:ascii="ITC Avant Garde" w:eastAsia="Times New Roman" w:hAnsi="ITC Avant Garde" w:cstheme="minorHAnsi"/>
                <w:bCs/>
                <w:sz w:val="16"/>
                <w:szCs w:val="16"/>
                <w:lang w:eastAsia="es-MX"/>
              </w:rPr>
              <w:t>Perito en Telecomunicaciones</w:t>
            </w:r>
            <w:r w:rsidR="00781E92" w:rsidRPr="008E7F15">
              <w:rPr>
                <w:rFonts w:ascii="ITC Avant Garde" w:eastAsia="Times New Roman" w:hAnsi="ITC Avant Garde" w:cstheme="minorHAnsi"/>
                <w:bCs/>
                <w:sz w:val="16"/>
                <w:szCs w:val="16"/>
                <w:lang w:eastAsia="es-MX"/>
              </w:rPr>
              <w:t>,</w:t>
            </w:r>
            <w:r w:rsidR="00781E92">
              <w:rPr>
                <w:rFonts w:ascii="ITC Avant Garde" w:eastAsia="Times New Roman" w:hAnsi="ITC Avant Garde" w:cstheme="minorHAnsi"/>
                <w:bCs/>
                <w:sz w:val="18"/>
                <w:szCs w:val="18"/>
                <w:lang w:eastAsia="es-MX"/>
              </w:rPr>
              <w:t xml:space="preserve"> </w:t>
            </w:r>
            <w:r w:rsidR="00781E92" w:rsidRPr="007A2893">
              <w:rPr>
                <w:rFonts w:ascii="ITC Avant Garde" w:eastAsia="Times New Roman" w:hAnsi="ITC Avant Garde" w:cstheme="minorHAnsi"/>
                <w:bCs/>
                <w:sz w:val="16"/>
                <w:szCs w:val="16"/>
                <w:lang w:eastAsia="es-MX"/>
              </w:rPr>
              <w:t>referente a su solicitud para la protección y no afectación al funcionamiento de las comunicaciones aeroterrestres, sistemas y equipos: DME / SSR / ACAS / ADS-B / GNSS, a efecto de mantener la seguridad operacional de las aeronaves y salvaguardar la vida humana.</w:t>
            </w:r>
          </w:p>
          <w:p w14:paraId="5B69F5FD" w14:textId="77777777" w:rsidR="00781E92" w:rsidRPr="007A2893" w:rsidRDefault="00781E92" w:rsidP="00781E9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0B0EDDDB" w14:textId="0C8E1A4B" w:rsidR="00781E92" w:rsidRDefault="00781E92" w:rsidP="00781E9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A este respecto, se considera que </w:t>
            </w:r>
            <w:r w:rsidRPr="006D38C7">
              <w:rPr>
                <w:rFonts w:ascii="ITC Avant Garde" w:eastAsia="Times New Roman" w:hAnsi="ITC Avant Garde" w:cstheme="minorHAnsi"/>
                <w:bCs/>
                <w:sz w:val="16"/>
                <w:szCs w:val="16"/>
                <w:lang w:eastAsia="es-MX"/>
              </w:rPr>
              <w:t xml:space="preserve">el CNAF no es el instrumento mediante el cual </w:t>
            </w:r>
            <w:r>
              <w:rPr>
                <w:rFonts w:ascii="ITC Avant Garde" w:eastAsia="Times New Roman" w:hAnsi="ITC Avant Garde" w:cstheme="minorHAnsi"/>
                <w:bCs/>
                <w:sz w:val="16"/>
                <w:szCs w:val="16"/>
                <w:lang w:eastAsia="es-MX"/>
              </w:rPr>
              <w:t xml:space="preserve">se </w:t>
            </w:r>
            <w:r w:rsidRPr="006D38C7">
              <w:rPr>
                <w:rFonts w:ascii="ITC Avant Garde" w:eastAsia="Times New Roman" w:hAnsi="ITC Avant Garde" w:cstheme="minorHAnsi"/>
                <w:bCs/>
                <w:sz w:val="16"/>
                <w:szCs w:val="16"/>
                <w:lang w:eastAsia="es-MX"/>
              </w:rPr>
              <w:t xml:space="preserve">pueda desahogar </w:t>
            </w:r>
            <w:r>
              <w:rPr>
                <w:rFonts w:ascii="ITC Avant Garde" w:eastAsia="Times New Roman" w:hAnsi="ITC Avant Garde" w:cstheme="minorHAnsi"/>
                <w:bCs/>
                <w:sz w:val="16"/>
                <w:szCs w:val="16"/>
                <w:lang w:eastAsia="es-MX"/>
              </w:rPr>
              <w:t xml:space="preserve">directamente </w:t>
            </w:r>
            <w:r w:rsidRPr="006D38C7">
              <w:rPr>
                <w:rFonts w:ascii="ITC Avant Garde" w:eastAsia="Times New Roman" w:hAnsi="ITC Avant Garde" w:cstheme="minorHAnsi"/>
                <w:bCs/>
                <w:sz w:val="16"/>
                <w:szCs w:val="16"/>
                <w:lang w:eastAsia="es-MX"/>
              </w:rPr>
              <w:t>dicha</w:t>
            </w:r>
            <w:r>
              <w:rPr>
                <w:rFonts w:ascii="ITC Avant Garde" w:eastAsia="Times New Roman" w:hAnsi="ITC Avant Garde" w:cstheme="minorHAnsi"/>
                <w:bCs/>
                <w:sz w:val="16"/>
                <w:szCs w:val="16"/>
                <w:lang w:eastAsia="es-MX"/>
              </w:rPr>
              <w:t xml:space="preserve"> recomendación ya que </w:t>
            </w:r>
            <w:r w:rsidR="00323DFF">
              <w:rPr>
                <w:rFonts w:ascii="ITC Avant Garde" w:eastAsia="Times New Roman" w:hAnsi="ITC Avant Garde" w:cstheme="minorHAnsi"/>
                <w:bCs/>
                <w:sz w:val="16"/>
                <w:szCs w:val="16"/>
                <w:lang w:eastAsia="es-MX"/>
              </w:rPr>
              <w:t>el CNAF es la</w:t>
            </w:r>
            <w:r w:rsidRPr="00177083">
              <w:rPr>
                <w:rFonts w:ascii="ITC Avant Garde" w:eastAsia="Times New Roman" w:hAnsi="ITC Avant Garde" w:cstheme="minorHAnsi"/>
                <w:bCs/>
                <w:sz w:val="16"/>
                <w:szCs w:val="16"/>
                <w:lang w:eastAsia="es-MX"/>
              </w:rPr>
              <w:t xml:space="preserve"> disposición administrativa que indica el servicio o servicios de radiocomunicaciones a los que se encuentra atribuida una determinada banda de frecuencias del espectro radioeléctrico a nivel nacional, así como notas nacionales que muestran información relevante de conformidad con el marco normativo nacional e internacional aplicable</w:t>
            </w:r>
            <w:r>
              <w:rPr>
                <w:rFonts w:ascii="ITC Avant Garde" w:eastAsia="Times New Roman" w:hAnsi="ITC Avant Garde" w:cstheme="minorHAnsi"/>
                <w:bCs/>
                <w:sz w:val="16"/>
                <w:szCs w:val="16"/>
                <w:lang w:eastAsia="es-MX"/>
              </w:rPr>
              <w:t xml:space="preserve">, </w:t>
            </w:r>
            <w:r w:rsidRPr="006D38C7">
              <w:rPr>
                <w:rFonts w:ascii="ITC Avant Garde" w:eastAsia="Times New Roman" w:hAnsi="ITC Avant Garde" w:cstheme="minorHAnsi"/>
                <w:bCs/>
                <w:sz w:val="16"/>
                <w:szCs w:val="16"/>
                <w:lang w:eastAsia="es-MX"/>
              </w:rPr>
              <w:t>por lo que</w:t>
            </w:r>
            <w:r>
              <w:rPr>
                <w:rFonts w:ascii="ITC Avant Garde" w:eastAsia="Times New Roman" w:hAnsi="ITC Avant Garde" w:cstheme="minorHAnsi"/>
                <w:bCs/>
                <w:sz w:val="16"/>
                <w:szCs w:val="16"/>
                <w:lang w:eastAsia="es-MX"/>
              </w:rPr>
              <w:t>, se toma de conocimiento la manifestación realizada por el participante para los fines de gestión y administración que resulten conducentes.</w:t>
            </w:r>
          </w:p>
          <w:p w14:paraId="451358FF" w14:textId="124A0748" w:rsidR="00781E92" w:rsidRDefault="00781E92" w:rsidP="00781E9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51ECDCDB" w14:textId="262CAC76" w:rsidR="00893471" w:rsidRPr="00781E92" w:rsidRDefault="00781E92"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bCs/>
                <w:sz w:val="16"/>
                <w:szCs w:val="16"/>
                <w:lang w:eastAsia="es-MX"/>
              </w:rPr>
              <w:t>No obstante, actualmente el CNAF incluye notas nacionales relacionadas con la protección de diferentes frecuencias, canales de frecuencias y bandas de frecuencias clasificadas como espectro protegido, de conformidad con lo establecido en la propia Ley Federal de Telecomunicaciones y Radiodifusión.</w:t>
            </w:r>
          </w:p>
        </w:tc>
      </w:tr>
      <w:tr w:rsidR="00893471" w:rsidRPr="00FD134A" w14:paraId="34CFB762" w14:textId="77777777" w:rsidTr="00802834">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1B6248B9" w14:textId="77777777" w:rsidR="00893471" w:rsidRPr="00FD134A" w:rsidRDefault="00893471"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Tabla de Atribuciones</w:t>
            </w:r>
          </w:p>
        </w:tc>
        <w:tc>
          <w:tcPr>
            <w:tcW w:w="2964" w:type="pct"/>
            <w:tcBorders>
              <w:right w:val="single" w:sz="4" w:space="0" w:color="A8D08D" w:themeColor="accent6" w:themeTint="99"/>
            </w:tcBorders>
            <w:shd w:val="clear" w:color="auto" w:fill="auto"/>
            <w:vAlign w:val="center"/>
          </w:tcPr>
          <w:p w14:paraId="248CABEA" w14:textId="08567AA2" w:rsidR="00893471" w:rsidRPr="00724CB7" w:rsidRDefault="00434E8F"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43ABE728" w14:textId="77777777" w:rsidR="00893471" w:rsidRPr="00FD134A" w:rsidRDefault="00893471"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893471" w:rsidRPr="00FD134A" w14:paraId="34676D38" w14:textId="77777777" w:rsidTr="0080283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1FBAF9E1" w14:textId="77777777" w:rsidR="00893471" w:rsidRPr="00FD134A" w:rsidRDefault="00893471"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Notas Nacionales</w:t>
            </w:r>
          </w:p>
        </w:tc>
        <w:tc>
          <w:tcPr>
            <w:tcW w:w="2964" w:type="pct"/>
            <w:tcBorders>
              <w:right w:val="single" w:sz="4" w:space="0" w:color="A8D08D" w:themeColor="accent6" w:themeTint="99"/>
            </w:tcBorders>
            <w:shd w:val="clear" w:color="auto" w:fill="auto"/>
            <w:vAlign w:val="center"/>
          </w:tcPr>
          <w:p w14:paraId="6310E6F5" w14:textId="78AB5B62" w:rsidR="00893471" w:rsidRPr="00FD134A" w:rsidRDefault="00434E8F"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r>
              <w:rPr>
                <w:rFonts w:ascii="ITC Avant Garde" w:eastAsia="Times New Roman" w:hAnsi="ITC Avant Garde" w:cstheme="minorHAnsi"/>
                <w:sz w:val="18"/>
                <w:szCs w:val="18"/>
                <w:lang w:eastAsia="es-MX"/>
              </w:rPr>
              <w:t>-</w:t>
            </w:r>
          </w:p>
        </w:tc>
        <w:tc>
          <w:tcPr>
            <w:tcW w:w="1316" w:type="pct"/>
            <w:gridSpan w:val="2"/>
            <w:vMerge/>
            <w:tcBorders>
              <w:left w:val="single" w:sz="4" w:space="0" w:color="A8D08D" w:themeColor="accent6" w:themeTint="99"/>
            </w:tcBorders>
            <w:shd w:val="clear" w:color="auto" w:fill="auto"/>
            <w:vAlign w:val="center"/>
          </w:tcPr>
          <w:p w14:paraId="1A792404" w14:textId="77777777" w:rsidR="00893471" w:rsidRPr="00FD134A" w:rsidRDefault="00893471"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893471" w:rsidRPr="00280301" w14:paraId="24870B64" w14:textId="77777777" w:rsidTr="00802834">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7ED5C6EB" w14:textId="77777777" w:rsidR="00893471" w:rsidRPr="00FD134A" w:rsidRDefault="00893471"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Observaciones generales</w:t>
            </w:r>
          </w:p>
        </w:tc>
        <w:tc>
          <w:tcPr>
            <w:tcW w:w="2964" w:type="pct"/>
            <w:tcBorders>
              <w:right w:val="single" w:sz="4" w:space="0" w:color="A8D08D" w:themeColor="accent6" w:themeTint="99"/>
            </w:tcBorders>
            <w:shd w:val="clear" w:color="auto" w:fill="auto"/>
            <w:vAlign w:val="center"/>
          </w:tcPr>
          <w:p w14:paraId="31EF57F7" w14:textId="77777777" w:rsid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434E8F">
              <w:rPr>
                <w:rFonts w:ascii="ITC Avant Garde" w:eastAsia="Times New Roman" w:hAnsi="ITC Avant Garde" w:cstheme="minorHAnsi"/>
                <w:sz w:val="18"/>
                <w:szCs w:val="18"/>
                <w:lang w:eastAsia="es-MX"/>
              </w:rPr>
              <w:t>Considero muy importante y apoyo, la modificación-actualización del Cuadro Nacional de Atribución de</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Frecuencias; sería muy importante integrar las decisiones adoptadas durante la CMR-23, de ser posible.</w:t>
            </w:r>
            <w:r>
              <w:rPr>
                <w:rFonts w:ascii="ITC Avant Garde" w:eastAsia="Times New Roman" w:hAnsi="ITC Avant Garde" w:cstheme="minorHAnsi"/>
                <w:sz w:val="18"/>
                <w:szCs w:val="18"/>
                <w:lang w:eastAsia="es-MX"/>
              </w:rPr>
              <w:t xml:space="preserve"> </w:t>
            </w:r>
          </w:p>
          <w:p w14:paraId="3457EA49" w14:textId="77777777" w:rsid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0DB26311" w14:textId="77777777" w:rsid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434E8F">
              <w:rPr>
                <w:rFonts w:ascii="ITC Avant Garde" w:eastAsia="Times New Roman" w:hAnsi="ITC Avant Garde" w:cstheme="minorHAnsi"/>
                <w:sz w:val="18"/>
                <w:szCs w:val="18"/>
                <w:lang w:eastAsia="es-MX"/>
              </w:rPr>
              <w:t>Esto sin perder y recalcar el cuidar la protección y no causar interferencias perjudiciales a los servicios que</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operen bajo lo establecido en el CNAF.</w:t>
            </w:r>
          </w:p>
          <w:p w14:paraId="07219476" w14:textId="77777777" w:rsid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608A78FB" w14:textId="77777777" w:rsid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434E8F">
              <w:rPr>
                <w:rFonts w:ascii="ITC Avant Garde" w:eastAsia="Times New Roman" w:hAnsi="ITC Avant Garde" w:cstheme="minorHAnsi"/>
                <w:sz w:val="18"/>
                <w:szCs w:val="18"/>
                <w:lang w:eastAsia="es-MX"/>
              </w:rPr>
              <w:t>En consistencia con el artículo 7 de la LFTR que establece que el Instituto tiene a su cargo la regulación,</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promoción y supervisión del uso, aprovechamiento y explotación de bandas de frecuencias del espectro</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radioeléctrico, el Instituto podrá autorizar el uso y aprovechamiento temporal de bandas de frecuencias del</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espectro radioeléctrico mediante el otorgamiento de concesiones para uso privado con propósitos de</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experimentación, comprobación de viabilidad técnica y económica de tecnologías en desarrollo o pruebas</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temporales de equipo; así como mediante el otorgamiento de constancias de autorización para uso</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secundario del espectro radioeléctrico; para cualquier servicio de radiocomunicación, independientemente</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de su atribución en la Tabla de Atribuciones del CNAF, a reserva de no causar interferencias perjudiciales a</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los servicios que operen bajo lo establecido en el CNAF.</w:t>
            </w:r>
            <w:r>
              <w:rPr>
                <w:rFonts w:ascii="ITC Avant Garde" w:eastAsia="Times New Roman" w:hAnsi="ITC Avant Garde" w:cstheme="minorHAnsi"/>
                <w:sz w:val="18"/>
                <w:szCs w:val="18"/>
                <w:lang w:eastAsia="es-MX"/>
              </w:rPr>
              <w:t xml:space="preserve"> </w:t>
            </w:r>
          </w:p>
          <w:p w14:paraId="09CA65F1" w14:textId="77777777" w:rsid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671BBDD3" w14:textId="77777777" w:rsid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434E8F">
              <w:rPr>
                <w:rFonts w:ascii="ITC Avant Garde" w:eastAsia="Times New Roman" w:hAnsi="ITC Avant Garde" w:cstheme="minorHAnsi"/>
                <w:sz w:val="18"/>
                <w:szCs w:val="18"/>
                <w:lang w:eastAsia="es-MX"/>
              </w:rPr>
              <w:t>En estos casos no se podrán reclamar protección contra interferencias</w:t>
            </w:r>
            <w:r>
              <w:t xml:space="preserve"> </w:t>
            </w:r>
            <w:r w:rsidRPr="00434E8F">
              <w:rPr>
                <w:rFonts w:ascii="ITC Avant Garde" w:eastAsia="Times New Roman" w:hAnsi="ITC Avant Garde" w:cstheme="minorHAnsi"/>
                <w:sz w:val="18"/>
                <w:szCs w:val="18"/>
                <w:lang w:eastAsia="es-MX"/>
              </w:rPr>
              <w:t>perjudiciales</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causadas por dichos servicios</w:t>
            </w:r>
          </w:p>
          <w:p w14:paraId="5AAA78EF" w14:textId="77777777" w:rsid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68866230" w14:textId="456146AF" w:rsidR="00434E8F" w:rsidRP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434E8F">
              <w:rPr>
                <w:rFonts w:ascii="ITC Avant Garde" w:eastAsia="Times New Roman" w:hAnsi="ITC Avant Garde" w:cstheme="minorHAnsi"/>
                <w:sz w:val="18"/>
                <w:szCs w:val="18"/>
                <w:lang w:eastAsia="es-MX"/>
              </w:rPr>
              <w:t>As Importante recalcar la asignación a título primario para las comunicaciones aeroterrestres, sistemas y</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equipos: DME / SSR / ACAS / ADS-B / GNSS; por lo que es importante la protección y no afectación al</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funcionamiento de dichos equipos, a efecto de mantener la seguridad operacional de las aeronaves y</w:t>
            </w:r>
            <w:r>
              <w:rPr>
                <w:rFonts w:ascii="ITC Avant Garde" w:eastAsia="Times New Roman" w:hAnsi="ITC Avant Garde" w:cstheme="minorHAnsi"/>
                <w:sz w:val="18"/>
                <w:szCs w:val="18"/>
                <w:lang w:eastAsia="es-MX"/>
              </w:rPr>
              <w:t xml:space="preserve"> </w:t>
            </w:r>
            <w:r w:rsidRPr="00434E8F">
              <w:rPr>
                <w:rFonts w:ascii="ITC Avant Garde" w:eastAsia="Times New Roman" w:hAnsi="ITC Avant Garde" w:cstheme="minorHAnsi"/>
                <w:sz w:val="18"/>
                <w:szCs w:val="18"/>
                <w:lang w:eastAsia="es-MX"/>
              </w:rPr>
              <w:t>salvaguardar la vida humana.</w:t>
            </w:r>
          </w:p>
          <w:p w14:paraId="6DCA1C18" w14:textId="77777777" w:rsidR="00434E8F"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p>
          <w:p w14:paraId="0671C8A6" w14:textId="7865A078" w:rsidR="00434E8F" w:rsidRPr="00280301"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US" w:eastAsia="es-MX"/>
              </w:rPr>
            </w:pPr>
            <w:proofErr w:type="spellStart"/>
            <w:r w:rsidRPr="00280301">
              <w:rPr>
                <w:rFonts w:ascii="ITC Avant Garde" w:eastAsia="Times New Roman" w:hAnsi="ITC Avant Garde" w:cstheme="minorHAnsi"/>
                <w:sz w:val="18"/>
                <w:szCs w:val="18"/>
                <w:lang w:val="en-US" w:eastAsia="es-MX"/>
              </w:rPr>
              <w:t>Acrónimos</w:t>
            </w:r>
            <w:proofErr w:type="spellEnd"/>
          </w:p>
          <w:p w14:paraId="562B296C" w14:textId="254CA341" w:rsidR="00434E8F" w:rsidRPr="00280301"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US" w:eastAsia="es-MX"/>
              </w:rPr>
            </w:pPr>
            <w:r w:rsidRPr="00280301">
              <w:rPr>
                <w:rFonts w:ascii="ITC Avant Garde" w:eastAsia="Times New Roman" w:hAnsi="ITC Avant Garde" w:cstheme="minorHAnsi"/>
                <w:sz w:val="18"/>
                <w:szCs w:val="18"/>
                <w:lang w:val="en-US" w:eastAsia="es-MX"/>
              </w:rPr>
              <w:t>DME     Distance Measure Equipment</w:t>
            </w:r>
          </w:p>
          <w:p w14:paraId="50E0F903" w14:textId="0D202589" w:rsidR="00434E8F" w:rsidRPr="00280301"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US" w:eastAsia="es-MX"/>
              </w:rPr>
            </w:pPr>
            <w:r w:rsidRPr="00280301">
              <w:rPr>
                <w:rFonts w:ascii="ITC Avant Garde" w:eastAsia="Times New Roman" w:hAnsi="ITC Avant Garde" w:cstheme="minorHAnsi"/>
                <w:sz w:val="18"/>
                <w:szCs w:val="18"/>
                <w:lang w:val="en-US" w:eastAsia="es-MX"/>
              </w:rPr>
              <w:t>SSR       Secondary Surveillance Radar</w:t>
            </w:r>
          </w:p>
          <w:p w14:paraId="61BDCDB1" w14:textId="753F0142" w:rsidR="00434E8F" w:rsidRPr="00280301"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US" w:eastAsia="es-MX"/>
              </w:rPr>
            </w:pPr>
            <w:r w:rsidRPr="00280301">
              <w:rPr>
                <w:rFonts w:ascii="ITC Avant Garde" w:eastAsia="Times New Roman" w:hAnsi="ITC Avant Garde" w:cstheme="minorHAnsi"/>
                <w:sz w:val="18"/>
                <w:szCs w:val="18"/>
                <w:lang w:val="en-US" w:eastAsia="es-MX"/>
              </w:rPr>
              <w:t>ACAS   Airborne Collision Avoidance System</w:t>
            </w:r>
          </w:p>
          <w:p w14:paraId="4988E4D4" w14:textId="362118BB" w:rsidR="00434E8F" w:rsidRPr="00280301" w:rsidRDefault="00434E8F" w:rsidP="00434E8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US" w:eastAsia="es-MX"/>
              </w:rPr>
            </w:pPr>
            <w:r w:rsidRPr="00280301">
              <w:rPr>
                <w:rFonts w:ascii="ITC Avant Garde" w:eastAsia="Times New Roman" w:hAnsi="ITC Avant Garde" w:cstheme="minorHAnsi"/>
                <w:sz w:val="18"/>
                <w:szCs w:val="18"/>
                <w:lang w:val="en-US" w:eastAsia="es-MX"/>
              </w:rPr>
              <w:t>ADS-</w:t>
            </w:r>
            <w:proofErr w:type="gramStart"/>
            <w:r w:rsidRPr="00280301">
              <w:rPr>
                <w:rFonts w:ascii="ITC Avant Garde" w:eastAsia="Times New Roman" w:hAnsi="ITC Avant Garde" w:cstheme="minorHAnsi"/>
                <w:sz w:val="18"/>
                <w:szCs w:val="18"/>
                <w:lang w:val="en-US" w:eastAsia="es-MX"/>
              </w:rPr>
              <w:t>B  Automatic</w:t>
            </w:r>
            <w:proofErr w:type="gramEnd"/>
            <w:r w:rsidRPr="00280301">
              <w:rPr>
                <w:rFonts w:ascii="ITC Avant Garde" w:eastAsia="Times New Roman" w:hAnsi="ITC Avant Garde" w:cstheme="minorHAnsi"/>
                <w:sz w:val="18"/>
                <w:szCs w:val="18"/>
                <w:lang w:val="en-US" w:eastAsia="es-MX"/>
              </w:rPr>
              <w:t xml:space="preserve"> Dependent Surveillance-B</w:t>
            </w:r>
          </w:p>
          <w:p w14:paraId="6A3D33CF" w14:textId="115B43A6" w:rsidR="00893471" w:rsidRPr="00280301" w:rsidRDefault="00434E8F"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US" w:eastAsia="es-MX"/>
              </w:rPr>
            </w:pPr>
            <w:r w:rsidRPr="00280301">
              <w:rPr>
                <w:rFonts w:ascii="ITC Avant Garde" w:eastAsia="Times New Roman" w:hAnsi="ITC Avant Garde" w:cstheme="minorHAnsi"/>
                <w:sz w:val="18"/>
                <w:szCs w:val="18"/>
                <w:lang w:val="en-US" w:eastAsia="es-MX"/>
              </w:rPr>
              <w:t xml:space="preserve">GNSS   Global </w:t>
            </w:r>
            <w:proofErr w:type="spellStart"/>
            <w:r w:rsidRPr="00280301">
              <w:rPr>
                <w:rFonts w:ascii="ITC Avant Garde" w:eastAsia="Times New Roman" w:hAnsi="ITC Avant Garde" w:cstheme="minorHAnsi"/>
                <w:sz w:val="18"/>
                <w:szCs w:val="18"/>
                <w:lang w:val="en-US" w:eastAsia="es-MX"/>
              </w:rPr>
              <w:t>Navegation</w:t>
            </w:r>
            <w:proofErr w:type="spellEnd"/>
            <w:r w:rsidRPr="00280301">
              <w:rPr>
                <w:rFonts w:ascii="ITC Avant Garde" w:eastAsia="Times New Roman" w:hAnsi="ITC Avant Garde" w:cstheme="minorHAnsi"/>
                <w:sz w:val="18"/>
                <w:szCs w:val="18"/>
                <w:lang w:val="en-US" w:eastAsia="es-MX"/>
              </w:rPr>
              <w:t xml:space="preserve"> Satellite System</w:t>
            </w:r>
          </w:p>
        </w:tc>
        <w:tc>
          <w:tcPr>
            <w:tcW w:w="1316" w:type="pct"/>
            <w:gridSpan w:val="2"/>
            <w:vMerge/>
            <w:tcBorders>
              <w:left w:val="single" w:sz="4" w:space="0" w:color="A8D08D" w:themeColor="accent6" w:themeTint="99"/>
            </w:tcBorders>
            <w:shd w:val="clear" w:color="auto" w:fill="auto"/>
            <w:vAlign w:val="center"/>
          </w:tcPr>
          <w:p w14:paraId="48F97194" w14:textId="77777777" w:rsidR="00893471" w:rsidRPr="00280301" w:rsidRDefault="00893471"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val="en-US" w:eastAsia="es-MX"/>
              </w:rPr>
            </w:pPr>
          </w:p>
        </w:tc>
      </w:tr>
    </w:tbl>
    <w:p w14:paraId="5CF5C72B" w14:textId="77777777" w:rsidR="00197CFD" w:rsidRPr="00280301" w:rsidRDefault="00197CFD" w:rsidP="00197CFD">
      <w:pPr>
        <w:spacing w:after="0" w:line="240" w:lineRule="auto"/>
        <w:rPr>
          <w:rFonts w:ascii="ITC Avant Garde" w:hAnsi="ITC Avant Garde"/>
          <w:color w:val="000000"/>
          <w:sz w:val="14"/>
          <w:szCs w:val="14"/>
          <w:shd w:val="clear" w:color="auto" w:fill="FFFFFF"/>
          <w:lang w:val="en-US"/>
        </w:rPr>
      </w:pPr>
    </w:p>
    <w:p w14:paraId="5BE6AA21" w14:textId="77777777" w:rsidR="00197CFD" w:rsidRPr="00280301" w:rsidRDefault="00197CFD" w:rsidP="00197CFD">
      <w:pPr>
        <w:spacing w:after="0" w:line="240" w:lineRule="auto"/>
        <w:rPr>
          <w:rFonts w:ascii="ITC Avant Garde" w:hAnsi="ITC Avant Garde"/>
          <w:color w:val="000000"/>
          <w:sz w:val="14"/>
          <w:szCs w:val="14"/>
          <w:shd w:val="clear" w:color="auto" w:fill="FFFFFF"/>
          <w:lang w:val="en-US"/>
        </w:rPr>
      </w:pPr>
    </w:p>
    <w:p w14:paraId="3B19A38F" w14:textId="77777777" w:rsidR="00197CFD" w:rsidRPr="00280301" w:rsidRDefault="00197CFD" w:rsidP="00197CFD">
      <w:pPr>
        <w:spacing w:after="0" w:line="240" w:lineRule="auto"/>
        <w:rPr>
          <w:rFonts w:ascii="ITC Avant Garde" w:hAnsi="ITC Avant Garde"/>
          <w:color w:val="000000"/>
          <w:sz w:val="14"/>
          <w:szCs w:val="14"/>
          <w:shd w:val="clear" w:color="auto" w:fill="FFFFFF"/>
          <w:lang w:val="en-US"/>
        </w:rPr>
      </w:pPr>
    </w:p>
    <w:p w14:paraId="61A46A2E" w14:textId="77777777" w:rsidR="00197CFD" w:rsidRPr="00280301" w:rsidRDefault="00197CFD" w:rsidP="00197CFD">
      <w:pPr>
        <w:spacing w:after="0" w:line="240" w:lineRule="auto"/>
        <w:rPr>
          <w:rFonts w:ascii="ITC Avant Garde" w:hAnsi="ITC Avant Garde"/>
          <w:color w:val="000000"/>
          <w:sz w:val="14"/>
          <w:szCs w:val="14"/>
          <w:shd w:val="clear" w:color="auto" w:fill="FFFFFF"/>
          <w:lang w:val="en-US"/>
        </w:rPr>
      </w:pPr>
    </w:p>
    <w:tbl>
      <w:tblPr>
        <w:tblStyle w:val="Tabladelista4-nfasis6"/>
        <w:tblW w:w="5000" w:type="pct"/>
        <w:tblLayout w:type="fixed"/>
        <w:tblLook w:val="04A0" w:firstRow="1" w:lastRow="0" w:firstColumn="1" w:lastColumn="0" w:noHBand="0" w:noVBand="1"/>
      </w:tblPr>
      <w:tblGrid>
        <w:gridCol w:w="2530"/>
        <w:gridCol w:w="10411"/>
        <w:gridCol w:w="1317"/>
        <w:gridCol w:w="3305"/>
      </w:tblGrid>
      <w:tr w:rsidR="00197CFD" w:rsidRPr="00FD134A" w14:paraId="06A97B8C" w14:textId="77777777" w:rsidTr="00152AC9">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vAlign w:val="center"/>
          </w:tcPr>
          <w:p w14:paraId="7B8A609E" w14:textId="77777777" w:rsidR="00197CFD" w:rsidRPr="00FD134A" w:rsidRDefault="00197CFD" w:rsidP="00C170E7">
            <w:pPr>
              <w:ind w:left="316"/>
              <w:jc w:val="center"/>
              <w:rPr>
                <w:rFonts w:ascii="ITC Avant Garde" w:hAnsi="ITC Avant Garde"/>
                <w:b w:val="0"/>
                <w:sz w:val="18"/>
                <w:szCs w:val="18"/>
                <w:lang w:eastAsia="es-MX"/>
              </w:rPr>
            </w:pPr>
            <w:r w:rsidRPr="00FD134A">
              <w:rPr>
                <w:rFonts w:ascii="ITC Avant Garde" w:hAnsi="ITC Avant Garde"/>
                <w:bCs w:val="0"/>
                <w:sz w:val="18"/>
                <w:szCs w:val="18"/>
                <w:lang w:eastAsia="es-MX"/>
              </w:rPr>
              <w:lastRenderedPageBreak/>
              <w:t>Comentarios, opiniones, propuestas y aportaciones específicos de la persona participante sobre el asunto en Consulta Pública</w:t>
            </w:r>
          </w:p>
        </w:tc>
      </w:tr>
      <w:tr w:rsidR="00197CFD" w:rsidRPr="00FD134A" w14:paraId="49F9D6DC" w14:textId="77777777" w:rsidTr="00152AC9">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EF55DF0" w14:textId="77777777" w:rsidR="00197CFD" w:rsidRPr="00FD134A" w:rsidRDefault="00197CFD" w:rsidP="00C170E7">
            <w:pPr>
              <w:ind w:left="316"/>
              <w:rPr>
                <w:rFonts w:ascii="ITC Avant Garde" w:hAnsi="ITC Avant Garde"/>
                <w:sz w:val="18"/>
                <w:szCs w:val="18"/>
                <w:lang w:eastAsia="es-MX"/>
              </w:rPr>
            </w:pPr>
            <w:r w:rsidRPr="00FD134A">
              <w:rPr>
                <w:rFonts w:ascii="ITC Avant Garde" w:hAnsi="ITC Avant Garde"/>
                <w:sz w:val="18"/>
                <w:szCs w:val="18"/>
                <w:lang w:eastAsia="es-MX"/>
              </w:rPr>
              <w:t>Participante</w:t>
            </w:r>
          </w:p>
        </w:tc>
        <w:tc>
          <w:tcPr>
            <w:tcW w:w="296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6217CE2" w14:textId="382C0609" w:rsidR="00197CFD" w:rsidRPr="00152AC9" w:rsidRDefault="00197CFD" w:rsidP="00197CFD">
            <w:pPr>
              <w:ind w:left="3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lang w:eastAsia="es-MX"/>
              </w:rPr>
            </w:pPr>
            <w:r w:rsidRPr="00152AC9">
              <w:rPr>
                <w:rFonts w:ascii="ITC Avant Garde" w:hAnsi="ITC Avant Garde"/>
                <w:b w:val="0"/>
                <w:color w:val="000000" w:themeColor="text1"/>
                <w:sz w:val="18"/>
                <w:szCs w:val="18"/>
                <w:lang w:eastAsia="es-MX"/>
              </w:rPr>
              <w:t>Colegio de Ingenieros Mecánicos Electricistas y Ramas Afines AC</w:t>
            </w:r>
          </w:p>
        </w:tc>
        <w:tc>
          <w:tcPr>
            <w:tcW w:w="3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DC0A286" w14:textId="77777777" w:rsidR="00197CFD" w:rsidRPr="00FD134A" w:rsidRDefault="00197CFD" w:rsidP="00C170E7">
            <w:pPr>
              <w:ind w:left="316"/>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lang w:eastAsia="es-MX"/>
              </w:rPr>
            </w:pPr>
            <w:r w:rsidRPr="00FD134A">
              <w:rPr>
                <w:rFonts w:ascii="ITC Avant Garde" w:hAnsi="ITC Avant Garde"/>
                <w:sz w:val="18"/>
                <w:szCs w:val="18"/>
                <w:lang w:eastAsia="es-MX"/>
              </w:rPr>
              <w:t>Folio:</w:t>
            </w:r>
          </w:p>
        </w:tc>
        <w:tc>
          <w:tcPr>
            <w:tcW w:w="94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227BFE8" w14:textId="1F899CB2" w:rsidR="00197CFD" w:rsidRPr="00152AC9" w:rsidRDefault="00197CFD" w:rsidP="00C170E7">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8"/>
                <w:szCs w:val="18"/>
                <w:lang w:eastAsia="es-MX"/>
              </w:rPr>
            </w:pPr>
            <w:r w:rsidRPr="00152AC9">
              <w:rPr>
                <w:rFonts w:ascii="ITC Avant Garde" w:hAnsi="ITC Avant Garde"/>
                <w:b w:val="0"/>
                <w:color w:val="000000" w:themeColor="text1"/>
                <w:sz w:val="18"/>
                <w:szCs w:val="18"/>
                <w:lang w:eastAsia="es-MX"/>
              </w:rPr>
              <w:t>20240628-CP_CNAF-01</w:t>
            </w:r>
            <w:r w:rsidR="00CB25FB" w:rsidRPr="00152AC9">
              <w:rPr>
                <w:rFonts w:ascii="ITC Avant Garde" w:hAnsi="ITC Avant Garde"/>
                <w:b w:val="0"/>
                <w:color w:val="000000" w:themeColor="text1"/>
                <w:sz w:val="18"/>
                <w:szCs w:val="18"/>
                <w:lang w:eastAsia="es-MX"/>
              </w:rPr>
              <w:t>2</w:t>
            </w:r>
          </w:p>
        </w:tc>
      </w:tr>
      <w:tr w:rsidR="00197CFD" w:rsidRPr="00FD134A" w14:paraId="5B593266" w14:textId="77777777" w:rsidTr="00152A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 w:type="pct"/>
            <w:tcBorders>
              <w:top w:val="single" w:sz="18" w:space="0" w:color="FFFFFF" w:themeColor="background1"/>
              <w:right w:val="single" w:sz="4" w:space="0" w:color="70AD47" w:themeColor="accent6"/>
            </w:tcBorders>
            <w:shd w:val="clear" w:color="auto" w:fill="FFF2CC" w:themeFill="accent4" w:themeFillTint="33"/>
          </w:tcPr>
          <w:p w14:paraId="10B49CE1" w14:textId="77777777" w:rsidR="00197CFD" w:rsidRPr="00152AC9" w:rsidRDefault="00197CFD" w:rsidP="00C170E7">
            <w:pPr>
              <w:jc w:val="center"/>
              <w:rPr>
                <w:rFonts w:ascii="ITC Avant Garde" w:eastAsia="Times New Roman" w:hAnsi="ITC Avant Garde" w:cstheme="minorHAnsi"/>
                <w:color w:val="000000" w:themeColor="text1"/>
                <w:sz w:val="18"/>
                <w:szCs w:val="18"/>
                <w:lang w:eastAsia="es-MX"/>
              </w:rPr>
            </w:pPr>
            <w:r w:rsidRPr="00152AC9">
              <w:rPr>
                <w:rFonts w:ascii="ITC Avant Garde" w:eastAsia="Times New Roman" w:hAnsi="ITC Avant Garde" w:cstheme="minorHAnsi"/>
                <w:color w:val="000000" w:themeColor="text1"/>
                <w:sz w:val="18"/>
                <w:szCs w:val="18"/>
                <w:lang w:eastAsia="es-MX"/>
              </w:rPr>
              <w:t>Artículo o apartado</w:t>
            </w:r>
          </w:p>
        </w:tc>
        <w:tc>
          <w:tcPr>
            <w:tcW w:w="2964" w:type="pct"/>
            <w:tcBorders>
              <w:top w:val="single" w:sz="18" w:space="0" w:color="FFFFFF" w:themeColor="background1"/>
              <w:right w:val="single" w:sz="4" w:space="0" w:color="70AD47" w:themeColor="accent6"/>
            </w:tcBorders>
            <w:shd w:val="clear" w:color="auto" w:fill="FFF2CC" w:themeFill="accent4" w:themeFillTint="33"/>
            <w:vAlign w:val="center"/>
          </w:tcPr>
          <w:p w14:paraId="7BF31DE1" w14:textId="77777777" w:rsidR="00197CFD" w:rsidRPr="00152AC9" w:rsidRDefault="00197CFD" w:rsidP="00C170E7">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8"/>
                <w:szCs w:val="18"/>
                <w:lang w:eastAsia="es-MX"/>
              </w:rPr>
            </w:pPr>
            <w:r w:rsidRPr="00152AC9">
              <w:rPr>
                <w:rFonts w:ascii="ITC Avant Garde" w:eastAsia="Times New Roman" w:hAnsi="ITC Avant Garde" w:cstheme="minorHAnsi"/>
                <w:color w:val="000000" w:themeColor="text1"/>
                <w:sz w:val="18"/>
                <w:szCs w:val="18"/>
                <w:lang w:eastAsia="es-MX"/>
              </w:rPr>
              <w:t>Comentario(s), opinión(es), aportación(es) u otros elementos de análisis</w:t>
            </w:r>
          </w:p>
        </w:tc>
        <w:tc>
          <w:tcPr>
            <w:tcW w:w="1316" w:type="pct"/>
            <w:gridSpan w:val="2"/>
            <w:tcBorders>
              <w:top w:val="single" w:sz="18" w:space="0" w:color="FFFFFF" w:themeColor="background1"/>
              <w:left w:val="single" w:sz="4" w:space="0" w:color="70AD47" w:themeColor="accent6"/>
            </w:tcBorders>
            <w:shd w:val="clear" w:color="auto" w:fill="FFF2CC" w:themeFill="accent4" w:themeFillTint="33"/>
            <w:vAlign w:val="center"/>
          </w:tcPr>
          <w:p w14:paraId="38CE3F25" w14:textId="77777777" w:rsidR="00197CFD" w:rsidRPr="00152AC9" w:rsidRDefault="00197CFD" w:rsidP="00C170E7">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8"/>
                <w:szCs w:val="18"/>
                <w:lang w:eastAsia="es-MX"/>
              </w:rPr>
            </w:pPr>
            <w:r w:rsidRPr="00152AC9">
              <w:rPr>
                <w:rFonts w:ascii="ITC Avant Garde" w:eastAsia="Times New Roman" w:hAnsi="ITC Avant Garde" w:cstheme="minorHAnsi"/>
                <w:color w:val="000000" w:themeColor="text1"/>
                <w:sz w:val="18"/>
                <w:szCs w:val="18"/>
                <w:lang w:eastAsia="es-MX"/>
              </w:rPr>
              <w:t>Respuesta del Instituto</w:t>
            </w:r>
          </w:p>
        </w:tc>
      </w:tr>
      <w:tr w:rsidR="00197CFD" w:rsidRPr="00FD134A" w14:paraId="7DD7A1BB" w14:textId="77777777" w:rsidTr="0080283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vAlign w:val="center"/>
          </w:tcPr>
          <w:p w14:paraId="07EF6998" w14:textId="77777777" w:rsidR="00197CFD" w:rsidRPr="00FD134A" w:rsidRDefault="00197CFD" w:rsidP="00C170E7">
            <w:pPr>
              <w:jc w:val="center"/>
              <w:rPr>
                <w:rFonts w:ascii="ITC Avant Garde" w:eastAsia="Times New Roman" w:hAnsi="ITC Avant Garde" w:cstheme="minorHAnsi"/>
                <w:b w:val="0"/>
                <w:sz w:val="18"/>
                <w:szCs w:val="18"/>
                <w:lang w:eastAsia="es-MX"/>
              </w:rPr>
            </w:pPr>
            <w:r w:rsidRPr="00FD134A">
              <w:rPr>
                <w:rFonts w:ascii="ITC Avant Garde" w:eastAsia="Times New Roman" w:hAnsi="ITC Avant Garde" w:cstheme="minorHAnsi"/>
                <w:b w:val="0"/>
                <w:sz w:val="18"/>
                <w:szCs w:val="18"/>
                <w:lang w:eastAsia="es-MX"/>
              </w:rPr>
              <w:t>Sección introductoria</w:t>
            </w:r>
          </w:p>
        </w:tc>
        <w:tc>
          <w:tcPr>
            <w:tcW w:w="2964" w:type="pct"/>
            <w:tcBorders>
              <w:right w:val="single" w:sz="4" w:space="0" w:color="A8D08D" w:themeColor="accent6" w:themeTint="99"/>
            </w:tcBorders>
            <w:shd w:val="clear" w:color="auto" w:fill="auto"/>
            <w:vAlign w:val="center"/>
          </w:tcPr>
          <w:p w14:paraId="77F5A141" w14:textId="0731F1B8" w:rsidR="00434E8F" w:rsidRPr="00434E8F" w:rsidRDefault="00434E8F" w:rsidP="00434E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sz w:val="18"/>
                <w:szCs w:val="18"/>
                <w:lang w:eastAsia="es-MX"/>
              </w:rPr>
            </w:pPr>
            <w:r w:rsidRPr="00434E8F">
              <w:rPr>
                <w:rFonts w:ascii="ITC Avant Garde" w:eastAsia="Times New Roman" w:hAnsi="ITC Avant Garde" w:cstheme="minorHAnsi"/>
                <w:b/>
                <w:bCs/>
                <w:sz w:val="18"/>
                <w:szCs w:val="18"/>
                <w:lang w:eastAsia="es-MX"/>
              </w:rPr>
              <w:t>Acuerdos “Único” de frecuencias: “806 - 1215 MHz”,</w:t>
            </w:r>
          </w:p>
          <w:p w14:paraId="7926D664" w14:textId="77777777" w:rsidR="00434E8F" w:rsidRDefault="00434E8F" w:rsidP="00434E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56A29F54" w14:textId="2A78C764" w:rsidR="00434E8F" w:rsidRPr="009B3D7B" w:rsidRDefault="00434E8F" w:rsidP="00434E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eastAsia="es-MX"/>
              </w:rPr>
            </w:pPr>
            <w:r w:rsidRPr="009B3D7B">
              <w:rPr>
                <w:rFonts w:ascii="ITC Avant Garde" w:eastAsia="Times New Roman" w:hAnsi="ITC Avant Garde" w:cstheme="minorHAnsi"/>
                <w:i/>
                <w:iCs/>
                <w:sz w:val="18"/>
                <w:szCs w:val="18"/>
                <w:lang w:eastAsia="es-MX"/>
              </w:rPr>
              <w:t xml:space="preserve">En atención a la Consulta Pública sobre el Anteproyecto de Acuerdo de modificación del Cuadro Nacional de Atribución de Frecuencias, mediante la cual se MODIFICAN el apartado “Atribución y categorías”, de la “Sección Introductoria”; los rangos de frecuencias: “806 - 1215 MHz”, 7.75 - 8.55 GHz y 65 - 78 GHz de la “Tabla de Atribuciones del CNAF”, así como las Notas Nacionales MX115, MX131 y MX134; se ADICIONAN cuatro párrafos subsiguientes a la “Tabla 3 – Categoría de los servicios” del apartado “Atribución y categorías”… sobre el particular, hacemos de su conocimiento que en la banda de frecuencias de 960-1 164 MHz esta asignada a título primario para las comunicaciones aeroterrestres, sistemas y equipos: DME / SSR / ACAS / ADS-B / GNSS; por lo tanto, solicitamos como Colegio y como Peritos en Telecomunicaciones, la protección y no afectación al funcionamiento de dichos equipos, a efecto de mantener la seguridad operacional de las aeronaves y salvaguardar la vida humana. Y en caso de haber alguna interferencia por la cercanía de este segmento protegido, se dará prioridad al desalojo de las frecuencias que se </w:t>
            </w:r>
            <w:proofErr w:type="spellStart"/>
            <w:r w:rsidRPr="009B3D7B">
              <w:rPr>
                <w:rFonts w:ascii="ITC Avant Garde" w:eastAsia="Times New Roman" w:hAnsi="ITC Avant Garde" w:cstheme="minorHAnsi"/>
                <w:i/>
                <w:iCs/>
                <w:sz w:val="18"/>
                <w:szCs w:val="18"/>
                <w:lang w:eastAsia="es-MX"/>
              </w:rPr>
              <w:t>esten</w:t>
            </w:r>
            <w:proofErr w:type="spellEnd"/>
            <w:r w:rsidRPr="009B3D7B">
              <w:rPr>
                <w:rFonts w:ascii="ITC Avant Garde" w:eastAsia="Times New Roman" w:hAnsi="ITC Avant Garde" w:cstheme="minorHAnsi"/>
                <w:i/>
                <w:iCs/>
                <w:sz w:val="18"/>
                <w:szCs w:val="18"/>
                <w:lang w:eastAsia="es-MX"/>
              </w:rPr>
              <w:t xml:space="preserve"> </w:t>
            </w:r>
            <w:proofErr w:type="spellStart"/>
            <w:r w:rsidRPr="009B3D7B">
              <w:rPr>
                <w:rFonts w:ascii="ITC Avant Garde" w:eastAsia="Times New Roman" w:hAnsi="ITC Avant Garde" w:cstheme="minorHAnsi"/>
                <w:i/>
                <w:iCs/>
                <w:sz w:val="18"/>
                <w:szCs w:val="18"/>
                <w:lang w:eastAsia="es-MX"/>
              </w:rPr>
              <w:t>interfiniendo</w:t>
            </w:r>
            <w:proofErr w:type="spellEnd"/>
            <w:r w:rsidRPr="009B3D7B">
              <w:rPr>
                <w:rFonts w:ascii="ITC Avant Garde" w:eastAsia="Times New Roman" w:hAnsi="ITC Avant Garde" w:cstheme="minorHAnsi"/>
                <w:i/>
                <w:iCs/>
                <w:sz w:val="18"/>
                <w:szCs w:val="18"/>
                <w:lang w:eastAsia="es-MX"/>
              </w:rPr>
              <w:t xml:space="preserve"> por terceros.</w:t>
            </w:r>
          </w:p>
          <w:p w14:paraId="12FB1D10" w14:textId="77777777" w:rsidR="00434E8F" w:rsidRPr="00434E8F" w:rsidRDefault="00434E8F" w:rsidP="00434E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eastAsia="es-MX"/>
              </w:rPr>
            </w:pPr>
          </w:p>
          <w:p w14:paraId="37C7457D" w14:textId="77777777" w:rsidR="00434E8F" w:rsidRPr="00280301" w:rsidRDefault="00434E8F" w:rsidP="00434E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val="en-US" w:eastAsia="es-MX"/>
              </w:rPr>
            </w:pPr>
            <w:proofErr w:type="spellStart"/>
            <w:r w:rsidRPr="00280301">
              <w:rPr>
                <w:rFonts w:ascii="ITC Avant Garde" w:eastAsia="Times New Roman" w:hAnsi="ITC Avant Garde" w:cstheme="minorHAnsi"/>
                <w:i/>
                <w:iCs/>
                <w:sz w:val="18"/>
                <w:szCs w:val="18"/>
                <w:lang w:val="en-US" w:eastAsia="es-MX"/>
              </w:rPr>
              <w:t>Acrónimos</w:t>
            </w:r>
            <w:proofErr w:type="spellEnd"/>
          </w:p>
          <w:p w14:paraId="72C19C6E" w14:textId="71B25625" w:rsidR="00434E8F" w:rsidRPr="00280301" w:rsidRDefault="00434E8F" w:rsidP="00434E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val="en-US" w:eastAsia="es-MX"/>
              </w:rPr>
            </w:pPr>
            <w:r w:rsidRPr="00280301">
              <w:rPr>
                <w:rFonts w:ascii="ITC Avant Garde" w:eastAsia="Times New Roman" w:hAnsi="ITC Avant Garde" w:cstheme="minorHAnsi"/>
                <w:i/>
                <w:iCs/>
                <w:sz w:val="18"/>
                <w:szCs w:val="18"/>
                <w:lang w:val="en-US" w:eastAsia="es-MX"/>
              </w:rPr>
              <w:t xml:space="preserve">DME </w:t>
            </w:r>
            <w:r w:rsidR="009B3D7B" w:rsidRPr="00280301">
              <w:rPr>
                <w:rFonts w:ascii="ITC Avant Garde" w:eastAsia="Times New Roman" w:hAnsi="ITC Avant Garde" w:cstheme="minorHAnsi"/>
                <w:i/>
                <w:iCs/>
                <w:sz w:val="18"/>
                <w:szCs w:val="18"/>
                <w:lang w:val="en-US" w:eastAsia="es-MX"/>
              </w:rPr>
              <w:t xml:space="preserve">    </w:t>
            </w:r>
            <w:r w:rsidRPr="00280301">
              <w:rPr>
                <w:rFonts w:ascii="ITC Avant Garde" w:eastAsia="Times New Roman" w:hAnsi="ITC Avant Garde" w:cstheme="minorHAnsi"/>
                <w:i/>
                <w:iCs/>
                <w:sz w:val="18"/>
                <w:szCs w:val="18"/>
                <w:lang w:val="en-US" w:eastAsia="es-MX"/>
              </w:rPr>
              <w:t>Distance Measure Equipment</w:t>
            </w:r>
          </w:p>
          <w:p w14:paraId="089B27DE" w14:textId="1BADB55C" w:rsidR="00434E8F" w:rsidRPr="00280301" w:rsidRDefault="00434E8F" w:rsidP="00434E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val="en-US" w:eastAsia="es-MX"/>
              </w:rPr>
            </w:pPr>
            <w:r w:rsidRPr="00280301">
              <w:rPr>
                <w:rFonts w:ascii="ITC Avant Garde" w:eastAsia="Times New Roman" w:hAnsi="ITC Avant Garde" w:cstheme="minorHAnsi"/>
                <w:i/>
                <w:iCs/>
                <w:sz w:val="18"/>
                <w:szCs w:val="18"/>
                <w:lang w:val="en-US" w:eastAsia="es-MX"/>
              </w:rPr>
              <w:t xml:space="preserve">SSR </w:t>
            </w:r>
            <w:r w:rsidR="009B3D7B" w:rsidRPr="00280301">
              <w:rPr>
                <w:rFonts w:ascii="ITC Avant Garde" w:eastAsia="Times New Roman" w:hAnsi="ITC Avant Garde" w:cstheme="minorHAnsi"/>
                <w:i/>
                <w:iCs/>
                <w:sz w:val="18"/>
                <w:szCs w:val="18"/>
                <w:lang w:val="en-US" w:eastAsia="es-MX"/>
              </w:rPr>
              <w:t xml:space="preserve">      </w:t>
            </w:r>
            <w:r w:rsidRPr="00280301">
              <w:rPr>
                <w:rFonts w:ascii="ITC Avant Garde" w:eastAsia="Times New Roman" w:hAnsi="ITC Avant Garde" w:cstheme="minorHAnsi"/>
                <w:i/>
                <w:iCs/>
                <w:sz w:val="18"/>
                <w:szCs w:val="18"/>
                <w:lang w:val="en-US" w:eastAsia="es-MX"/>
              </w:rPr>
              <w:t>Secondary Surveillance Radar</w:t>
            </w:r>
          </w:p>
          <w:p w14:paraId="0CBE3205" w14:textId="77777777" w:rsidR="00434E8F" w:rsidRPr="00280301" w:rsidRDefault="00434E8F" w:rsidP="00434E8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val="en-US" w:eastAsia="es-MX"/>
              </w:rPr>
            </w:pPr>
            <w:r w:rsidRPr="00280301">
              <w:rPr>
                <w:rFonts w:ascii="ITC Avant Garde" w:eastAsia="Times New Roman" w:hAnsi="ITC Avant Garde" w:cstheme="minorHAnsi"/>
                <w:i/>
                <w:iCs/>
                <w:sz w:val="18"/>
                <w:szCs w:val="18"/>
                <w:lang w:val="en-US" w:eastAsia="es-MX"/>
              </w:rPr>
              <w:t xml:space="preserve">ACAS </w:t>
            </w:r>
            <w:r w:rsidR="009B3D7B" w:rsidRPr="00280301">
              <w:rPr>
                <w:rFonts w:ascii="ITC Avant Garde" w:eastAsia="Times New Roman" w:hAnsi="ITC Avant Garde" w:cstheme="minorHAnsi"/>
                <w:i/>
                <w:iCs/>
                <w:sz w:val="18"/>
                <w:szCs w:val="18"/>
                <w:lang w:val="en-US" w:eastAsia="es-MX"/>
              </w:rPr>
              <w:t xml:space="preserve">  </w:t>
            </w:r>
            <w:r w:rsidRPr="00280301">
              <w:rPr>
                <w:rFonts w:ascii="ITC Avant Garde" w:eastAsia="Times New Roman" w:hAnsi="ITC Avant Garde" w:cstheme="minorHAnsi"/>
                <w:i/>
                <w:iCs/>
                <w:sz w:val="18"/>
                <w:szCs w:val="18"/>
                <w:lang w:val="en-US" w:eastAsia="es-MX"/>
              </w:rPr>
              <w:t>Airborne Collision Avoidance System</w:t>
            </w:r>
          </w:p>
          <w:p w14:paraId="32C59E39" w14:textId="1FCA5749" w:rsidR="009B3D7B" w:rsidRPr="00280301" w:rsidRDefault="009B3D7B" w:rsidP="009B3D7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iCs/>
                <w:sz w:val="18"/>
                <w:szCs w:val="18"/>
                <w:lang w:val="en-US" w:eastAsia="es-MX"/>
              </w:rPr>
            </w:pPr>
            <w:r w:rsidRPr="00280301">
              <w:rPr>
                <w:rFonts w:ascii="ITC Avant Garde" w:eastAsia="Times New Roman" w:hAnsi="ITC Avant Garde" w:cstheme="minorHAnsi"/>
                <w:i/>
                <w:iCs/>
                <w:sz w:val="18"/>
                <w:szCs w:val="18"/>
                <w:lang w:val="en-US" w:eastAsia="es-MX"/>
              </w:rPr>
              <w:t>ADS-B   Automatic Dependent Surveillance-B</w:t>
            </w:r>
          </w:p>
          <w:p w14:paraId="06B2AD56" w14:textId="1839498D" w:rsidR="00197CFD" w:rsidRPr="00280301" w:rsidRDefault="009B3D7B"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8"/>
                <w:szCs w:val="18"/>
                <w:lang w:val="en-US" w:eastAsia="es-MX"/>
              </w:rPr>
            </w:pPr>
            <w:r w:rsidRPr="00280301">
              <w:rPr>
                <w:rFonts w:ascii="ITC Avant Garde" w:eastAsia="Times New Roman" w:hAnsi="ITC Avant Garde" w:cstheme="minorHAnsi"/>
                <w:i/>
                <w:iCs/>
                <w:sz w:val="18"/>
                <w:szCs w:val="18"/>
                <w:lang w:val="en-US" w:eastAsia="es-MX"/>
              </w:rPr>
              <w:t xml:space="preserve">GNSS    Global </w:t>
            </w:r>
            <w:proofErr w:type="spellStart"/>
            <w:r w:rsidRPr="00280301">
              <w:rPr>
                <w:rFonts w:ascii="ITC Avant Garde" w:eastAsia="Times New Roman" w:hAnsi="ITC Avant Garde" w:cstheme="minorHAnsi"/>
                <w:i/>
                <w:iCs/>
                <w:sz w:val="18"/>
                <w:szCs w:val="18"/>
                <w:lang w:val="en-US" w:eastAsia="es-MX"/>
              </w:rPr>
              <w:t>Navegation</w:t>
            </w:r>
            <w:proofErr w:type="spellEnd"/>
            <w:r w:rsidRPr="00280301">
              <w:rPr>
                <w:rFonts w:ascii="ITC Avant Garde" w:eastAsia="Times New Roman" w:hAnsi="ITC Avant Garde" w:cstheme="minorHAnsi"/>
                <w:i/>
                <w:iCs/>
                <w:sz w:val="18"/>
                <w:szCs w:val="18"/>
                <w:lang w:val="en-US" w:eastAsia="es-MX"/>
              </w:rPr>
              <w:t xml:space="preserve"> Satellite System</w:t>
            </w:r>
          </w:p>
        </w:tc>
        <w:tc>
          <w:tcPr>
            <w:tcW w:w="1316" w:type="pct"/>
            <w:gridSpan w:val="2"/>
            <w:vMerge w:val="restart"/>
            <w:tcBorders>
              <w:left w:val="single" w:sz="4" w:space="0" w:color="A8D08D" w:themeColor="accent6" w:themeTint="99"/>
            </w:tcBorders>
            <w:shd w:val="clear" w:color="auto" w:fill="auto"/>
            <w:vAlign w:val="center"/>
          </w:tcPr>
          <w:p w14:paraId="48D4B4BA" w14:textId="6A83549B" w:rsidR="007A2893" w:rsidRPr="007A2893" w:rsidRDefault="00197CFD" w:rsidP="007A289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7A2893">
              <w:rPr>
                <w:rFonts w:ascii="ITC Avant Garde" w:eastAsia="Times New Roman" w:hAnsi="ITC Avant Garde" w:cstheme="minorHAnsi"/>
                <w:bCs/>
                <w:sz w:val="16"/>
                <w:szCs w:val="16"/>
                <w:lang w:eastAsia="es-MX"/>
              </w:rPr>
              <w:t xml:space="preserve">El Instituto agradece </w:t>
            </w:r>
            <w:r w:rsidR="0064143D">
              <w:rPr>
                <w:rFonts w:ascii="ITC Avant Garde" w:eastAsia="Times New Roman" w:hAnsi="ITC Avant Garde" w:cstheme="minorHAnsi"/>
                <w:bCs/>
                <w:sz w:val="16"/>
                <w:szCs w:val="16"/>
                <w:lang w:eastAsia="es-MX"/>
              </w:rPr>
              <w:t xml:space="preserve">la manifestación realizada por </w:t>
            </w:r>
            <w:r w:rsidRPr="007A2893">
              <w:rPr>
                <w:rFonts w:ascii="ITC Avant Garde" w:eastAsia="Times New Roman" w:hAnsi="ITC Avant Garde" w:cstheme="minorHAnsi"/>
                <w:bCs/>
                <w:sz w:val="16"/>
                <w:szCs w:val="16"/>
                <w:lang w:eastAsia="es-MX"/>
              </w:rPr>
              <w:t>el</w:t>
            </w:r>
            <w:r w:rsidR="00CB25FB" w:rsidRPr="007A2893">
              <w:rPr>
                <w:rFonts w:ascii="ITC Avant Garde" w:eastAsia="Times New Roman" w:hAnsi="ITC Avant Garde" w:cstheme="minorHAnsi"/>
                <w:bCs/>
                <w:sz w:val="16"/>
                <w:szCs w:val="16"/>
                <w:lang w:eastAsia="es-MX"/>
              </w:rPr>
              <w:t xml:space="preserve"> Colegio de Ingenieros Mecánicos Electricistas y Ramas Afines AC</w:t>
            </w:r>
            <w:r w:rsidR="007A2893" w:rsidRPr="007A2893">
              <w:rPr>
                <w:rFonts w:ascii="ITC Avant Garde" w:eastAsia="Times New Roman" w:hAnsi="ITC Avant Garde" w:cstheme="minorHAnsi"/>
                <w:bCs/>
                <w:sz w:val="16"/>
                <w:szCs w:val="16"/>
                <w:lang w:eastAsia="es-MX"/>
              </w:rPr>
              <w:t>, referente a su solicitud para la protección y no afectación al funcionamiento de las comunicaciones aeroterrestres, sistemas y equipos: DME / SSR / ACAS / ADS-B / GNSS</w:t>
            </w:r>
            <w:r w:rsidR="00781E92">
              <w:rPr>
                <w:rFonts w:ascii="ITC Avant Garde" w:eastAsia="Times New Roman" w:hAnsi="ITC Avant Garde" w:cstheme="minorHAnsi"/>
                <w:bCs/>
                <w:sz w:val="16"/>
                <w:szCs w:val="16"/>
                <w:lang w:eastAsia="es-MX"/>
              </w:rPr>
              <w:t xml:space="preserve"> en la banda de frecuencias 960-1164 MHz</w:t>
            </w:r>
            <w:r w:rsidR="007A2893" w:rsidRPr="007A2893">
              <w:rPr>
                <w:rFonts w:ascii="ITC Avant Garde" w:eastAsia="Times New Roman" w:hAnsi="ITC Avant Garde" w:cstheme="minorHAnsi"/>
                <w:bCs/>
                <w:sz w:val="16"/>
                <w:szCs w:val="16"/>
                <w:lang w:eastAsia="es-MX"/>
              </w:rPr>
              <w:t>, a efecto de mantener la seguridad operacional de las aeronaves y salvaguardar la vida humana.</w:t>
            </w:r>
          </w:p>
          <w:p w14:paraId="23261E89" w14:textId="77777777" w:rsidR="007A2893" w:rsidRPr="007A2893" w:rsidRDefault="007A2893" w:rsidP="007A289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086E34E1" w14:textId="300EBFF5" w:rsidR="007A2893" w:rsidRDefault="007A2893" w:rsidP="007A289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Pr>
                <w:rFonts w:ascii="ITC Avant Garde" w:eastAsia="Times New Roman" w:hAnsi="ITC Avant Garde" w:cstheme="minorHAnsi"/>
                <w:bCs/>
                <w:sz w:val="16"/>
                <w:szCs w:val="16"/>
                <w:lang w:eastAsia="es-MX"/>
              </w:rPr>
              <w:t xml:space="preserve">A este respecto, se considera que </w:t>
            </w:r>
            <w:r w:rsidRPr="006D38C7">
              <w:rPr>
                <w:rFonts w:ascii="ITC Avant Garde" w:eastAsia="Times New Roman" w:hAnsi="ITC Avant Garde" w:cstheme="minorHAnsi"/>
                <w:bCs/>
                <w:sz w:val="16"/>
                <w:szCs w:val="16"/>
                <w:lang w:eastAsia="es-MX"/>
              </w:rPr>
              <w:t xml:space="preserve">el CNAF no es el instrumento mediante el cual </w:t>
            </w:r>
            <w:r w:rsidR="007E7BA0">
              <w:rPr>
                <w:rFonts w:ascii="ITC Avant Garde" w:eastAsia="Times New Roman" w:hAnsi="ITC Avant Garde" w:cstheme="minorHAnsi"/>
                <w:bCs/>
                <w:sz w:val="16"/>
                <w:szCs w:val="16"/>
                <w:lang w:eastAsia="es-MX"/>
              </w:rPr>
              <w:t xml:space="preserve">se </w:t>
            </w:r>
            <w:r w:rsidRPr="006D38C7">
              <w:rPr>
                <w:rFonts w:ascii="ITC Avant Garde" w:eastAsia="Times New Roman" w:hAnsi="ITC Avant Garde" w:cstheme="minorHAnsi"/>
                <w:bCs/>
                <w:sz w:val="16"/>
                <w:szCs w:val="16"/>
                <w:lang w:eastAsia="es-MX"/>
              </w:rPr>
              <w:t xml:space="preserve">pueda desahogar </w:t>
            </w:r>
            <w:r w:rsidR="00177083">
              <w:rPr>
                <w:rFonts w:ascii="ITC Avant Garde" w:eastAsia="Times New Roman" w:hAnsi="ITC Avant Garde" w:cstheme="minorHAnsi"/>
                <w:bCs/>
                <w:sz w:val="16"/>
                <w:szCs w:val="16"/>
                <w:lang w:eastAsia="es-MX"/>
              </w:rPr>
              <w:t xml:space="preserve">directamente </w:t>
            </w:r>
            <w:r w:rsidRPr="006D38C7">
              <w:rPr>
                <w:rFonts w:ascii="ITC Avant Garde" w:eastAsia="Times New Roman" w:hAnsi="ITC Avant Garde" w:cstheme="minorHAnsi"/>
                <w:bCs/>
                <w:sz w:val="16"/>
                <w:szCs w:val="16"/>
                <w:lang w:eastAsia="es-MX"/>
              </w:rPr>
              <w:t>dicha</w:t>
            </w:r>
            <w:r>
              <w:rPr>
                <w:rFonts w:ascii="ITC Avant Garde" w:eastAsia="Times New Roman" w:hAnsi="ITC Avant Garde" w:cstheme="minorHAnsi"/>
                <w:bCs/>
                <w:sz w:val="16"/>
                <w:szCs w:val="16"/>
                <w:lang w:eastAsia="es-MX"/>
              </w:rPr>
              <w:t xml:space="preserve"> recomendación</w:t>
            </w:r>
            <w:r w:rsidR="00177083">
              <w:rPr>
                <w:rFonts w:ascii="ITC Avant Garde" w:eastAsia="Times New Roman" w:hAnsi="ITC Avant Garde" w:cstheme="minorHAnsi"/>
                <w:bCs/>
                <w:sz w:val="16"/>
                <w:szCs w:val="16"/>
                <w:lang w:eastAsia="es-MX"/>
              </w:rPr>
              <w:t xml:space="preserve"> ya que </w:t>
            </w:r>
            <w:r w:rsidR="00323DFF">
              <w:rPr>
                <w:rFonts w:ascii="ITC Avant Garde" w:eastAsia="Times New Roman" w:hAnsi="ITC Avant Garde" w:cstheme="minorHAnsi"/>
                <w:bCs/>
                <w:sz w:val="16"/>
                <w:szCs w:val="16"/>
                <w:lang w:eastAsia="es-MX"/>
              </w:rPr>
              <w:t>el CNAF es la</w:t>
            </w:r>
            <w:r w:rsidR="00177083" w:rsidRPr="00177083">
              <w:rPr>
                <w:rFonts w:ascii="ITC Avant Garde" w:eastAsia="Times New Roman" w:hAnsi="ITC Avant Garde" w:cstheme="minorHAnsi"/>
                <w:bCs/>
                <w:sz w:val="16"/>
                <w:szCs w:val="16"/>
                <w:lang w:eastAsia="es-MX"/>
              </w:rPr>
              <w:t xml:space="preserve"> disposición administrativa que indica el servicio o servicios de radiocomunicaciones a los que se encuentra atribuida una determinada banda de frecuencias del espectro radioeléctrico a nivel nacional, así como notas nacionales que muestran información relevante de conformidad con el marco normativo nacional e internacional aplicable</w:t>
            </w:r>
            <w:r>
              <w:rPr>
                <w:rFonts w:ascii="ITC Avant Garde" w:eastAsia="Times New Roman" w:hAnsi="ITC Avant Garde" w:cstheme="minorHAnsi"/>
                <w:bCs/>
                <w:sz w:val="16"/>
                <w:szCs w:val="16"/>
                <w:lang w:eastAsia="es-MX"/>
              </w:rPr>
              <w:t xml:space="preserve">, </w:t>
            </w:r>
            <w:r w:rsidRPr="006D38C7">
              <w:rPr>
                <w:rFonts w:ascii="ITC Avant Garde" w:eastAsia="Times New Roman" w:hAnsi="ITC Avant Garde" w:cstheme="minorHAnsi"/>
                <w:bCs/>
                <w:sz w:val="16"/>
                <w:szCs w:val="16"/>
                <w:lang w:eastAsia="es-MX"/>
              </w:rPr>
              <w:t>por lo que</w:t>
            </w:r>
            <w:r>
              <w:rPr>
                <w:rFonts w:ascii="ITC Avant Garde" w:eastAsia="Times New Roman" w:hAnsi="ITC Avant Garde" w:cstheme="minorHAnsi"/>
                <w:bCs/>
                <w:sz w:val="16"/>
                <w:szCs w:val="16"/>
                <w:lang w:eastAsia="es-MX"/>
              </w:rPr>
              <w:t>, se toma de conocimiento la manifestación realizada por el participante para los fines de gestión y administración que resulten conducentes.</w:t>
            </w:r>
          </w:p>
          <w:p w14:paraId="635DE35B" w14:textId="23E7FA1E" w:rsidR="00177083" w:rsidRDefault="00177083" w:rsidP="007A2893">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p>
          <w:p w14:paraId="0FB069CD" w14:textId="20BE4D95" w:rsidR="00197CFD" w:rsidRPr="00C32655" w:rsidRDefault="00177083"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bCs/>
                <w:sz w:val="16"/>
                <w:szCs w:val="16"/>
                <w:lang w:eastAsia="es-MX"/>
              </w:rPr>
              <w:t xml:space="preserve">No </w:t>
            </w:r>
            <w:proofErr w:type="gramStart"/>
            <w:r>
              <w:rPr>
                <w:rFonts w:ascii="ITC Avant Garde" w:eastAsia="Times New Roman" w:hAnsi="ITC Avant Garde" w:cstheme="minorHAnsi"/>
                <w:bCs/>
                <w:sz w:val="16"/>
                <w:szCs w:val="16"/>
                <w:lang w:eastAsia="es-MX"/>
              </w:rPr>
              <w:t>obstante</w:t>
            </w:r>
            <w:proofErr w:type="gramEnd"/>
            <w:r w:rsidR="00323DFF">
              <w:rPr>
                <w:rFonts w:ascii="ITC Avant Garde" w:eastAsia="Times New Roman" w:hAnsi="ITC Avant Garde" w:cstheme="minorHAnsi"/>
                <w:bCs/>
                <w:sz w:val="16"/>
                <w:szCs w:val="16"/>
                <w:lang w:eastAsia="es-MX"/>
              </w:rPr>
              <w:t xml:space="preserve"> lo anterior</w:t>
            </w:r>
            <w:r>
              <w:rPr>
                <w:rFonts w:ascii="ITC Avant Garde" w:eastAsia="Times New Roman" w:hAnsi="ITC Avant Garde" w:cstheme="minorHAnsi"/>
                <w:bCs/>
                <w:sz w:val="16"/>
                <w:szCs w:val="16"/>
                <w:lang w:eastAsia="es-MX"/>
              </w:rPr>
              <w:t xml:space="preserve">, actualmente el CNAF incluye las notas nacionales MX8 y MX165, en relación a la protección de la banda de frecuencias </w:t>
            </w:r>
            <w:r w:rsidRPr="00177083">
              <w:rPr>
                <w:rFonts w:ascii="ITC Avant Garde" w:eastAsia="Times New Roman" w:hAnsi="ITC Avant Garde" w:cstheme="minorHAnsi"/>
                <w:bCs/>
                <w:sz w:val="16"/>
                <w:szCs w:val="16"/>
                <w:lang w:eastAsia="es-MX"/>
              </w:rPr>
              <w:t>960 - 1164 MHz</w:t>
            </w:r>
            <w:r w:rsidR="00781E92">
              <w:rPr>
                <w:rFonts w:ascii="ITC Avant Garde" w:eastAsia="Times New Roman" w:hAnsi="ITC Avant Garde" w:cstheme="minorHAnsi"/>
                <w:bCs/>
                <w:sz w:val="16"/>
                <w:szCs w:val="16"/>
                <w:lang w:eastAsia="es-MX"/>
              </w:rPr>
              <w:t>, de conformidad con lo establecido en la propia Ley Federal de Telecomunicaciones y Radiodifusión</w:t>
            </w:r>
            <w:r>
              <w:rPr>
                <w:rFonts w:ascii="ITC Avant Garde" w:eastAsia="Times New Roman" w:hAnsi="ITC Avant Garde" w:cstheme="minorHAnsi"/>
                <w:bCs/>
                <w:sz w:val="16"/>
                <w:szCs w:val="16"/>
                <w:lang w:eastAsia="es-MX"/>
              </w:rPr>
              <w:t>.</w:t>
            </w:r>
          </w:p>
        </w:tc>
      </w:tr>
      <w:tr w:rsidR="00197CFD" w:rsidRPr="00FD134A" w14:paraId="21CCB086" w14:textId="77777777" w:rsidTr="00802834">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54646EFB" w14:textId="77777777" w:rsidR="00197CFD" w:rsidRPr="00FD134A" w:rsidRDefault="00197CFD"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Tabla de Atribuciones</w:t>
            </w:r>
          </w:p>
        </w:tc>
        <w:tc>
          <w:tcPr>
            <w:tcW w:w="2964" w:type="pct"/>
            <w:tcBorders>
              <w:right w:val="single" w:sz="4" w:space="0" w:color="A8D08D" w:themeColor="accent6" w:themeTint="99"/>
            </w:tcBorders>
            <w:shd w:val="clear" w:color="auto" w:fill="auto"/>
            <w:vAlign w:val="center"/>
          </w:tcPr>
          <w:p w14:paraId="4C0BDC21" w14:textId="6CCC07A4" w:rsidR="00152AC9" w:rsidRDefault="00152AC9" w:rsidP="00152AC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i/>
                <w:iCs/>
                <w:sz w:val="18"/>
                <w:szCs w:val="18"/>
                <w:lang w:eastAsia="es-MX"/>
              </w:rPr>
            </w:pPr>
            <w:r w:rsidRPr="00152AC9">
              <w:rPr>
                <w:rFonts w:ascii="ITC Avant Garde" w:eastAsia="Times New Roman" w:hAnsi="ITC Avant Garde" w:cstheme="minorHAnsi"/>
                <w:i/>
                <w:iCs/>
                <w:sz w:val="18"/>
                <w:szCs w:val="18"/>
                <w:lang w:eastAsia="es-MX"/>
              </w:rPr>
              <w:t>En términos de lo señalado en el artículo 56 de la LFTR todo uso, aprovechamiento o explotación de bandas de frecuencias</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del espectro radioeléctrico deberá realizarse de conformidad con lo establecido en el CNAF y demás disposiciones</w:t>
            </w:r>
            <w:r w:rsidRPr="00152AC9">
              <w:rPr>
                <w:rFonts w:ascii="ITC Avant Garde" w:eastAsia="Times New Roman" w:hAnsi="ITC Avant Garde" w:cstheme="minorHAnsi"/>
                <w:sz w:val="18"/>
                <w:szCs w:val="18"/>
                <w:lang w:eastAsia="es-MX"/>
              </w:rPr>
              <w:t xml:space="preserve"> </w:t>
            </w:r>
            <w:r w:rsidRPr="00152AC9">
              <w:rPr>
                <w:rFonts w:ascii="ITC Avant Garde" w:eastAsia="Times New Roman" w:hAnsi="ITC Avant Garde" w:cstheme="minorHAnsi"/>
                <w:i/>
                <w:iCs/>
                <w:sz w:val="18"/>
                <w:szCs w:val="18"/>
                <w:lang w:eastAsia="es-MX"/>
              </w:rPr>
              <w:t>aplicables.</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El mismo artículo 56 señala el deber del Instituto de mantener actualizado el CNAF teniendo en consideración la evolución</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tecnológica en materia de telecomunicaciones y radiodifusión. Al respecto, el CNAF se compone de las atribuciones</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nacionales, notas nacionales, atribuciones internacionales y notas internacionales, tomando de base la normativa nacional e</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internacional aplicable a los diferentes rangos, bandas, segmentos o canales de frecuencias del espectro radioeléctrico que</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corresponda.</w:t>
            </w:r>
          </w:p>
          <w:p w14:paraId="51619771" w14:textId="77777777" w:rsidR="00152AC9" w:rsidRPr="00152AC9" w:rsidRDefault="00152AC9" w:rsidP="00152AC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i/>
                <w:iCs/>
                <w:sz w:val="18"/>
                <w:szCs w:val="18"/>
                <w:lang w:eastAsia="es-MX"/>
              </w:rPr>
            </w:pPr>
          </w:p>
          <w:p w14:paraId="7E08C370" w14:textId="77777777" w:rsidR="00152AC9" w:rsidRPr="00152AC9" w:rsidRDefault="00152AC9" w:rsidP="00152AC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i/>
                <w:iCs/>
                <w:sz w:val="18"/>
                <w:szCs w:val="18"/>
                <w:lang w:eastAsia="es-MX"/>
              </w:rPr>
            </w:pPr>
            <w:r w:rsidRPr="00152AC9">
              <w:rPr>
                <w:rFonts w:ascii="ITC Avant Garde" w:eastAsia="Times New Roman" w:hAnsi="ITC Avant Garde" w:cstheme="minorHAnsi"/>
                <w:i/>
                <w:iCs/>
                <w:sz w:val="18"/>
                <w:szCs w:val="18"/>
                <w:lang w:eastAsia="es-MX"/>
              </w:rPr>
              <w:t>En consistencia con el artículo 7 de la LFTR que establece que el Instituto tiene a su cargo la regulación, promoción y</w:t>
            </w:r>
          </w:p>
          <w:p w14:paraId="5CA92392" w14:textId="488E9942" w:rsidR="00152AC9" w:rsidRPr="00152AC9" w:rsidRDefault="00152AC9" w:rsidP="00152AC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i/>
                <w:iCs/>
                <w:sz w:val="18"/>
                <w:szCs w:val="18"/>
                <w:lang w:eastAsia="es-MX"/>
              </w:rPr>
            </w:pPr>
            <w:r w:rsidRPr="00152AC9">
              <w:rPr>
                <w:rFonts w:ascii="ITC Avant Garde" w:eastAsia="Times New Roman" w:hAnsi="ITC Avant Garde" w:cstheme="minorHAnsi"/>
                <w:i/>
                <w:iCs/>
                <w:sz w:val="18"/>
                <w:szCs w:val="18"/>
                <w:lang w:eastAsia="es-MX"/>
              </w:rPr>
              <w:t>supervisión del uso, aprovechamiento y explotación de bandas de frecuencias del espectro radioeléctrico, el Instituto podrá</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autorizar el uso y aprovechamiento temporal de bandas de frecuencias del espectro radioeléctrico mediante el otorgamiento</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de concesiones para uso privado con propósitos de experimentación, comprobación de viabilidad técnica y económica de</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tecnologías en desarrollo o pruebas temporales de equipo; así como mediante el otorgamiento de constancias de autorización</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para uso secundario del espectro radioeléctrico; para cualquier servicio de radiocomunicación, independientemente de su</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atribución en la Tabla de Atribuciones del CNAF, a reserva de no causar interferencias perjudiciales a los servicios que operen</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bajo lo establecido en el CNAF. En estos casos no se podrán reclamar protección contra interferencias perjudiciales causadas</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por dichos servicios.</w:t>
            </w:r>
          </w:p>
          <w:p w14:paraId="67481EFB" w14:textId="77777777" w:rsidR="00C3158F" w:rsidRPr="00152AC9" w:rsidRDefault="00C3158F" w:rsidP="00152AC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i/>
                <w:iCs/>
                <w:sz w:val="18"/>
                <w:szCs w:val="18"/>
                <w:lang w:eastAsia="es-MX"/>
              </w:rPr>
            </w:pPr>
          </w:p>
          <w:p w14:paraId="2C026A54" w14:textId="2858C846" w:rsidR="00197CFD" w:rsidRPr="00724CB7" w:rsidRDefault="00152AC9"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8"/>
                <w:lang w:eastAsia="es-MX"/>
              </w:rPr>
            </w:pPr>
            <w:r w:rsidRPr="00152AC9">
              <w:rPr>
                <w:rFonts w:ascii="ITC Avant Garde" w:eastAsia="Times New Roman" w:hAnsi="ITC Avant Garde" w:cstheme="minorHAnsi"/>
                <w:i/>
                <w:iCs/>
                <w:sz w:val="18"/>
                <w:szCs w:val="18"/>
                <w:lang w:eastAsia="es-MX"/>
              </w:rPr>
              <w:lastRenderedPageBreak/>
              <w:t>Mas sin embargo no desconocemos los alcances de estas autorizaciones y/o modificaciones al CNAF y sobre el particular,</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hacemos de su conocimiento que en la banda de frecuencias de 960-1 164 MHz se tiene asignado a título primario para la</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administración y uso a SENEAM (Servicios a la Navegación en el Espacio Aéreo Mexicano) para las comunicaciones</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aeroterrestres, sistemas y equipos: DME / SSR / ACAS / ADS-B / GNSS; por lo tanto, solicitamos la protección y no afectación</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al funcionamiento de dichos equipos, a efecto de mantener la seguridad operacional de las aeronaves y salvaguardar la vida</w:t>
            </w:r>
            <w:r>
              <w:rPr>
                <w:rFonts w:ascii="ITC Avant Garde" w:eastAsia="Times New Roman" w:hAnsi="ITC Avant Garde" w:cstheme="minorHAnsi"/>
                <w:i/>
                <w:iCs/>
                <w:sz w:val="18"/>
                <w:szCs w:val="18"/>
                <w:lang w:eastAsia="es-MX"/>
              </w:rPr>
              <w:t xml:space="preserve"> </w:t>
            </w:r>
            <w:r w:rsidRPr="00152AC9">
              <w:rPr>
                <w:rFonts w:ascii="ITC Avant Garde" w:eastAsia="Times New Roman" w:hAnsi="ITC Avant Garde" w:cstheme="minorHAnsi"/>
                <w:i/>
                <w:iCs/>
                <w:sz w:val="18"/>
                <w:szCs w:val="18"/>
                <w:lang w:eastAsia="es-MX"/>
              </w:rPr>
              <w:t>humana</w:t>
            </w:r>
          </w:p>
        </w:tc>
        <w:tc>
          <w:tcPr>
            <w:tcW w:w="1316" w:type="pct"/>
            <w:gridSpan w:val="2"/>
            <w:vMerge/>
            <w:tcBorders>
              <w:left w:val="single" w:sz="4" w:space="0" w:color="A8D08D" w:themeColor="accent6" w:themeTint="99"/>
            </w:tcBorders>
            <w:shd w:val="clear" w:color="auto" w:fill="auto"/>
            <w:vAlign w:val="center"/>
          </w:tcPr>
          <w:p w14:paraId="73B5D581" w14:textId="77777777" w:rsidR="00197CFD" w:rsidRPr="00FD134A" w:rsidRDefault="00197CFD"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197CFD" w:rsidRPr="00FD134A" w14:paraId="1123D87A" w14:textId="77777777" w:rsidTr="0080283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449CC57E" w14:textId="77777777" w:rsidR="00197CFD" w:rsidRPr="00FD134A" w:rsidRDefault="00197CFD"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Notas Nacionales</w:t>
            </w:r>
          </w:p>
        </w:tc>
        <w:tc>
          <w:tcPr>
            <w:tcW w:w="2964" w:type="pct"/>
            <w:tcBorders>
              <w:right w:val="single" w:sz="4" w:space="0" w:color="A8D08D" w:themeColor="accent6" w:themeTint="99"/>
            </w:tcBorders>
            <w:shd w:val="clear" w:color="auto" w:fill="auto"/>
            <w:vAlign w:val="center"/>
          </w:tcPr>
          <w:p w14:paraId="4D51512F" w14:textId="27F05157" w:rsidR="00197CFD" w:rsidRPr="00152AC9" w:rsidRDefault="00152AC9"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sz w:val="18"/>
                <w:szCs w:val="18"/>
                <w:lang w:eastAsia="es-MX"/>
              </w:rPr>
            </w:pPr>
            <w:r w:rsidRPr="00152AC9">
              <w:rPr>
                <w:rFonts w:ascii="ITC Avant Garde" w:eastAsia="Times New Roman" w:hAnsi="ITC Avant Garde" w:cstheme="minorHAnsi"/>
                <w:i/>
                <w:iCs/>
                <w:sz w:val="18"/>
                <w:szCs w:val="18"/>
                <w:lang w:eastAsia="es-MX"/>
              </w:rPr>
              <w:t xml:space="preserve">Circular Obligatoria de </w:t>
            </w:r>
            <w:r w:rsidRPr="00152AC9">
              <w:rPr>
                <w:rFonts w:ascii="ITC Avant Garde" w:eastAsia="Times New Roman" w:hAnsi="ITC Avant Garde" w:cstheme="minorHAnsi"/>
                <w:b/>
                <w:bCs/>
                <w:i/>
                <w:iCs/>
                <w:sz w:val="18"/>
                <w:szCs w:val="18"/>
                <w:lang w:eastAsia="es-MX"/>
              </w:rPr>
              <w:t>AFAC CO AV-21.05/10 R2</w:t>
            </w:r>
            <w:r w:rsidRPr="00152AC9">
              <w:rPr>
                <w:rFonts w:ascii="ITC Avant Garde" w:eastAsia="Times New Roman" w:hAnsi="ITC Avant Garde" w:cstheme="minorHAnsi"/>
                <w:i/>
                <w:iCs/>
                <w:sz w:val="18"/>
                <w:szCs w:val="18"/>
                <w:lang w:eastAsia="es-MX"/>
              </w:rPr>
              <w:t xml:space="preserve"> Que establece las Reglas de Tránsito Aéreo que regula la utilización del Espectro de Radiofrecuencias Aeronáuticas</w:t>
            </w:r>
          </w:p>
        </w:tc>
        <w:tc>
          <w:tcPr>
            <w:tcW w:w="1316" w:type="pct"/>
            <w:gridSpan w:val="2"/>
            <w:vMerge/>
            <w:tcBorders>
              <w:left w:val="single" w:sz="4" w:space="0" w:color="A8D08D" w:themeColor="accent6" w:themeTint="99"/>
            </w:tcBorders>
            <w:shd w:val="clear" w:color="auto" w:fill="auto"/>
            <w:vAlign w:val="center"/>
          </w:tcPr>
          <w:p w14:paraId="43A44CD1" w14:textId="77777777" w:rsidR="00197CFD" w:rsidRPr="00FD134A" w:rsidRDefault="00197CFD" w:rsidP="00C170E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8"/>
                <w:szCs w:val="18"/>
                <w:lang w:eastAsia="es-MX"/>
              </w:rPr>
            </w:pPr>
          </w:p>
        </w:tc>
      </w:tr>
      <w:tr w:rsidR="00197CFD" w:rsidRPr="00FD134A" w14:paraId="0485DD01" w14:textId="77777777" w:rsidTr="00802834">
        <w:trPr>
          <w:trHeight w:val="77"/>
        </w:trPr>
        <w:tc>
          <w:tcPr>
            <w:cnfStyle w:val="001000000000" w:firstRow="0" w:lastRow="0" w:firstColumn="1" w:lastColumn="0" w:oddVBand="0" w:evenVBand="0" w:oddHBand="0" w:evenHBand="0" w:firstRowFirstColumn="0" w:firstRowLastColumn="0" w:lastRowFirstColumn="0" w:lastRowLastColumn="0"/>
            <w:tcW w:w="720" w:type="pct"/>
            <w:tcBorders>
              <w:right w:val="single" w:sz="4" w:space="0" w:color="A8D08D" w:themeColor="accent6" w:themeTint="99"/>
            </w:tcBorders>
            <w:shd w:val="clear" w:color="auto" w:fill="auto"/>
          </w:tcPr>
          <w:p w14:paraId="27347F0A" w14:textId="77777777" w:rsidR="00197CFD" w:rsidRPr="00FD134A" w:rsidRDefault="00197CFD" w:rsidP="00C170E7">
            <w:pPr>
              <w:jc w:val="center"/>
              <w:rPr>
                <w:rFonts w:ascii="ITC Avant Garde" w:eastAsia="Times New Roman" w:hAnsi="ITC Avant Garde" w:cstheme="minorHAnsi"/>
                <w:sz w:val="18"/>
                <w:szCs w:val="18"/>
                <w:lang w:eastAsia="es-MX"/>
              </w:rPr>
            </w:pPr>
            <w:r w:rsidRPr="00FD134A">
              <w:rPr>
                <w:rFonts w:ascii="ITC Avant Garde" w:hAnsi="ITC Avant Garde"/>
                <w:b w:val="0"/>
                <w:bCs w:val="0"/>
                <w:sz w:val="18"/>
                <w:szCs w:val="18"/>
              </w:rPr>
              <w:t>Observaciones generales</w:t>
            </w:r>
          </w:p>
        </w:tc>
        <w:tc>
          <w:tcPr>
            <w:tcW w:w="2964" w:type="pct"/>
            <w:tcBorders>
              <w:right w:val="single" w:sz="4" w:space="0" w:color="A8D08D" w:themeColor="accent6" w:themeTint="99"/>
            </w:tcBorders>
            <w:shd w:val="clear" w:color="auto" w:fill="auto"/>
            <w:vAlign w:val="center"/>
          </w:tcPr>
          <w:p w14:paraId="23FA5762" w14:textId="2CFE01A6" w:rsidR="00197CFD" w:rsidRPr="00152AC9" w:rsidRDefault="00152AC9"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i/>
                <w:sz w:val="18"/>
                <w:szCs w:val="18"/>
                <w:lang w:eastAsia="es-MX"/>
              </w:rPr>
            </w:pPr>
            <w:r w:rsidRPr="00152AC9">
              <w:rPr>
                <w:rFonts w:ascii="ITC Avant Garde" w:eastAsia="Times New Roman" w:hAnsi="ITC Avant Garde" w:cstheme="minorHAnsi"/>
                <w:i/>
                <w:iCs/>
                <w:sz w:val="18"/>
                <w:szCs w:val="18"/>
                <w:lang w:eastAsia="es-MX"/>
              </w:rPr>
              <w:t>Sobre el particular, hacemos de su conocimiento que en la banda de frecuencias de 960-1 164 MHz lo tiene asignado a título primario SENEAM para las comunicaciones aeroterrestres, sistemas y equipos: DME / SSR / ACAS / ADS-B / GNSS; por lo tanto, solicitamos la protección y no afectación al funcionamiento de dichos equipos, a efecto de mantener la seguridad operacional de las aeronaves y salvaguardar la vida humana</w:t>
            </w:r>
          </w:p>
        </w:tc>
        <w:tc>
          <w:tcPr>
            <w:tcW w:w="1316" w:type="pct"/>
            <w:gridSpan w:val="2"/>
            <w:vMerge/>
            <w:tcBorders>
              <w:left w:val="single" w:sz="4" w:space="0" w:color="A8D08D" w:themeColor="accent6" w:themeTint="99"/>
            </w:tcBorders>
            <w:shd w:val="clear" w:color="auto" w:fill="auto"/>
            <w:vAlign w:val="center"/>
          </w:tcPr>
          <w:p w14:paraId="55F71FA5" w14:textId="77777777" w:rsidR="00197CFD" w:rsidRPr="00FD134A" w:rsidRDefault="00197CFD" w:rsidP="00C170E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8"/>
                <w:szCs w:val="18"/>
                <w:lang w:eastAsia="es-MX"/>
              </w:rPr>
            </w:pPr>
          </w:p>
        </w:tc>
      </w:tr>
    </w:tbl>
    <w:p w14:paraId="2DA4391A" w14:textId="77777777" w:rsidR="007D067A" w:rsidRPr="00326733" w:rsidRDefault="007D067A" w:rsidP="007D067A">
      <w:pPr>
        <w:spacing w:after="0" w:line="240" w:lineRule="auto"/>
        <w:rPr>
          <w:rFonts w:ascii="ITC Avant Garde" w:hAnsi="ITC Avant Garde"/>
          <w:color w:val="000000"/>
          <w:sz w:val="14"/>
          <w:szCs w:val="14"/>
          <w:shd w:val="clear" w:color="auto" w:fill="FFFFFF"/>
        </w:rPr>
      </w:pPr>
    </w:p>
    <w:sectPr w:rsidR="007D067A" w:rsidRPr="00326733" w:rsidSect="007D067A">
      <w:pgSz w:w="20160" w:h="12240" w:orient="landscape" w:code="5"/>
      <w:pgMar w:top="709" w:right="1134"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452DC" w14:textId="77777777" w:rsidR="00A25729" w:rsidRDefault="00A25729" w:rsidP="00E62709">
      <w:pPr>
        <w:spacing w:after="0" w:line="240" w:lineRule="auto"/>
      </w:pPr>
      <w:r>
        <w:separator/>
      </w:r>
    </w:p>
  </w:endnote>
  <w:endnote w:type="continuationSeparator" w:id="0">
    <w:p w14:paraId="3729CD72" w14:textId="77777777" w:rsidR="00A25729" w:rsidRDefault="00A25729" w:rsidP="00E62709">
      <w:pPr>
        <w:spacing w:after="0" w:line="240" w:lineRule="auto"/>
      </w:pPr>
      <w:r>
        <w:continuationSeparator/>
      </w:r>
    </w:p>
  </w:endnote>
  <w:endnote w:type="continuationNotice" w:id="1">
    <w:p w14:paraId="03EC2AB0" w14:textId="77777777" w:rsidR="00A25729" w:rsidRDefault="00A25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6"/>
        <w:szCs w:val="18"/>
      </w:rPr>
      <w:id w:val="910820150"/>
      <w:docPartObj>
        <w:docPartGallery w:val="Page Numbers (Bottom of Page)"/>
        <w:docPartUnique/>
      </w:docPartObj>
    </w:sdtPr>
    <w:sdtEndPr/>
    <w:sdtContent>
      <w:sdt>
        <w:sdtPr>
          <w:rPr>
            <w:rFonts w:ascii="ITC Avant Garde" w:hAnsi="ITC Avant Garde"/>
            <w:sz w:val="16"/>
            <w:szCs w:val="18"/>
          </w:rPr>
          <w:id w:val="-1769616900"/>
          <w:docPartObj>
            <w:docPartGallery w:val="Page Numbers (Top of Page)"/>
            <w:docPartUnique/>
          </w:docPartObj>
        </w:sdtPr>
        <w:sdtEndPr/>
        <w:sdtContent>
          <w:p w14:paraId="7A3A958B" w14:textId="662115E1" w:rsidR="00CC7D88" w:rsidRPr="00571897" w:rsidRDefault="00CC7D88">
            <w:pPr>
              <w:pStyle w:val="Piedepgina"/>
              <w:jc w:val="right"/>
              <w:rPr>
                <w:rFonts w:ascii="ITC Avant Garde" w:hAnsi="ITC Avant Garde"/>
                <w:sz w:val="16"/>
                <w:szCs w:val="18"/>
              </w:rPr>
            </w:pPr>
            <w:r w:rsidRPr="00571897">
              <w:rPr>
                <w:rFonts w:ascii="ITC Avant Garde" w:hAnsi="ITC Avant Garde"/>
                <w:sz w:val="16"/>
                <w:szCs w:val="18"/>
                <w:lang w:val="es-ES"/>
              </w:rPr>
              <w:t xml:space="preserve">Página </w:t>
            </w:r>
            <w:r w:rsidRPr="00571897">
              <w:rPr>
                <w:rFonts w:ascii="ITC Avant Garde" w:hAnsi="ITC Avant Garde"/>
                <w:b/>
                <w:bCs/>
                <w:sz w:val="16"/>
                <w:szCs w:val="18"/>
              </w:rPr>
              <w:fldChar w:fldCharType="begin"/>
            </w:r>
            <w:r w:rsidRPr="00571897">
              <w:rPr>
                <w:rFonts w:ascii="ITC Avant Garde" w:hAnsi="ITC Avant Garde"/>
                <w:b/>
                <w:bCs/>
                <w:sz w:val="16"/>
                <w:szCs w:val="18"/>
              </w:rPr>
              <w:instrText>PAGE</w:instrText>
            </w:r>
            <w:r w:rsidRPr="00571897">
              <w:rPr>
                <w:rFonts w:ascii="ITC Avant Garde" w:hAnsi="ITC Avant Garde"/>
                <w:b/>
                <w:bCs/>
                <w:sz w:val="16"/>
                <w:szCs w:val="18"/>
              </w:rPr>
              <w:fldChar w:fldCharType="separate"/>
            </w:r>
            <w:r>
              <w:rPr>
                <w:rFonts w:ascii="ITC Avant Garde" w:hAnsi="ITC Avant Garde"/>
                <w:b/>
                <w:bCs/>
                <w:noProof/>
                <w:sz w:val="16"/>
                <w:szCs w:val="18"/>
              </w:rPr>
              <w:t>5</w:t>
            </w:r>
            <w:r w:rsidRPr="00571897">
              <w:rPr>
                <w:rFonts w:ascii="ITC Avant Garde" w:hAnsi="ITC Avant Garde"/>
                <w:b/>
                <w:bCs/>
                <w:sz w:val="16"/>
                <w:szCs w:val="18"/>
              </w:rPr>
              <w:fldChar w:fldCharType="end"/>
            </w:r>
            <w:r w:rsidRPr="00571897">
              <w:rPr>
                <w:rFonts w:ascii="ITC Avant Garde" w:hAnsi="ITC Avant Garde"/>
                <w:sz w:val="16"/>
                <w:szCs w:val="18"/>
                <w:lang w:val="es-ES"/>
              </w:rPr>
              <w:t xml:space="preserve"> de </w:t>
            </w:r>
            <w:r w:rsidRPr="00571897">
              <w:rPr>
                <w:rFonts w:ascii="ITC Avant Garde" w:hAnsi="ITC Avant Garde"/>
                <w:b/>
                <w:bCs/>
                <w:sz w:val="16"/>
                <w:szCs w:val="18"/>
              </w:rPr>
              <w:fldChar w:fldCharType="begin"/>
            </w:r>
            <w:r w:rsidRPr="00571897">
              <w:rPr>
                <w:rFonts w:ascii="ITC Avant Garde" w:hAnsi="ITC Avant Garde"/>
                <w:b/>
                <w:bCs/>
                <w:sz w:val="16"/>
                <w:szCs w:val="18"/>
              </w:rPr>
              <w:instrText>NUMPAGES</w:instrText>
            </w:r>
            <w:r w:rsidRPr="00571897">
              <w:rPr>
                <w:rFonts w:ascii="ITC Avant Garde" w:hAnsi="ITC Avant Garde"/>
                <w:b/>
                <w:bCs/>
                <w:sz w:val="16"/>
                <w:szCs w:val="18"/>
              </w:rPr>
              <w:fldChar w:fldCharType="separate"/>
            </w:r>
            <w:r>
              <w:rPr>
                <w:rFonts w:ascii="ITC Avant Garde" w:hAnsi="ITC Avant Garde"/>
                <w:b/>
                <w:bCs/>
                <w:noProof/>
                <w:sz w:val="16"/>
                <w:szCs w:val="18"/>
              </w:rPr>
              <w:t>6</w:t>
            </w:r>
            <w:r w:rsidRPr="00571897">
              <w:rPr>
                <w:rFonts w:ascii="ITC Avant Garde" w:hAnsi="ITC Avant Garde"/>
                <w:b/>
                <w:bCs/>
                <w:sz w:val="16"/>
                <w:szCs w:val="18"/>
              </w:rPr>
              <w:fldChar w:fldCharType="end"/>
            </w:r>
          </w:p>
        </w:sdtContent>
      </w:sdt>
    </w:sdtContent>
  </w:sdt>
  <w:p w14:paraId="4A12EEC6" w14:textId="77777777" w:rsidR="00CC7D88" w:rsidRDefault="00CC7D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873F" w14:textId="77777777" w:rsidR="00A25729" w:rsidRDefault="00A25729" w:rsidP="00E62709">
      <w:pPr>
        <w:spacing w:after="0" w:line="240" w:lineRule="auto"/>
      </w:pPr>
      <w:r>
        <w:separator/>
      </w:r>
    </w:p>
  </w:footnote>
  <w:footnote w:type="continuationSeparator" w:id="0">
    <w:p w14:paraId="7B97D255" w14:textId="77777777" w:rsidR="00A25729" w:rsidRDefault="00A25729" w:rsidP="00E62709">
      <w:pPr>
        <w:spacing w:after="0" w:line="240" w:lineRule="auto"/>
      </w:pPr>
      <w:r>
        <w:continuationSeparator/>
      </w:r>
    </w:p>
  </w:footnote>
  <w:footnote w:type="continuationNotice" w:id="1">
    <w:p w14:paraId="1045E9F4" w14:textId="77777777" w:rsidR="00A25729" w:rsidRDefault="00A25729">
      <w:pPr>
        <w:spacing w:after="0" w:line="240" w:lineRule="auto"/>
      </w:pPr>
    </w:p>
  </w:footnote>
  <w:footnote w:id="2">
    <w:p w14:paraId="2A668D7D" w14:textId="2309A081" w:rsidR="00CC7D88" w:rsidRPr="00627BC0" w:rsidRDefault="00CC7D88" w:rsidP="00335CD2">
      <w:pPr>
        <w:pStyle w:val="Textonotapie"/>
        <w:jc w:val="both"/>
        <w:rPr>
          <w:rFonts w:ascii="ITC Avant Garde" w:hAnsi="ITC Avant Garde"/>
          <w:sz w:val="16"/>
          <w:szCs w:val="16"/>
        </w:rPr>
      </w:pPr>
      <w:r w:rsidRPr="00627BC0">
        <w:rPr>
          <w:rStyle w:val="Refdenotaalpie"/>
          <w:rFonts w:ascii="ITC Avant Garde" w:hAnsi="ITC Avant Garde"/>
          <w:sz w:val="16"/>
          <w:szCs w:val="16"/>
        </w:rPr>
        <w:footnoteRef/>
      </w:r>
      <w:r w:rsidRPr="00627BC0">
        <w:rPr>
          <w:rFonts w:ascii="ITC Avant Garde" w:hAnsi="ITC Avant Garde"/>
          <w:sz w:val="16"/>
          <w:szCs w:val="16"/>
        </w:rPr>
        <w:t xml:space="preserve"> Disponible para consulta en: </w:t>
      </w:r>
      <w:hyperlink r:id="rId1" w:history="1">
        <w:r w:rsidRPr="00627BC0">
          <w:rPr>
            <w:rStyle w:val="Hipervnculo"/>
            <w:rFonts w:ascii="ITC Avant Garde" w:hAnsi="ITC Avant Garde"/>
            <w:sz w:val="16"/>
            <w:szCs w:val="16"/>
          </w:rPr>
          <w:t>https://www.ift.org.mx/industria/consultas-publicas/consulta-publica-sobre-el-anteproyecto-de-acuerdo-de-modificacion-del-cuadro-nacional-de-atribucion</w:t>
        </w:r>
      </w:hyperlink>
    </w:p>
  </w:footnote>
  <w:footnote w:id="3">
    <w:p w14:paraId="7FC9445B" w14:textId="3030BD60" w:rsidR="00CC7D88" w:rsidRPr="00827A56" w:rsidRDefault="00CC7D88">
      <w:pPr>
        <w:pStyle w:val="Textonotapie"/>
        <w:rPr>
          <w:rFonts w:ascii="ITC Avant Garde" w:hAnsi="ITC Avant Garde"/>
          <w:sz w:val="16"/>
          <w:szCs w:val="16"/>
        </w:rPr>
      </w:pPr>
      <w:r w:rsidRPr="00827A56">
        <w:rPr>
          <w:rStyle w:val="Refdenotaalpie"/>
          <w:rFonts w:ascii="ITC Avant Garde" w:hAnsi="ITC Avant Garde"/>
          <w:sz w:val="16"/>
          <w:szCs w:val="16"/>
        </w:rPr>
        <w:footnoteRef/>
      </w:r>
      <w:r w:rsidRPr="00827A56">
        <w:rPr>
          <w:rFonts w:ascii="ITC Avant Garde" w:hAnsi="ITC Avant Garde"/>
          <w:sz w:val="16"/>
          <w:szCs w:val="16"/>
        </w:rPr>
        <w:t xml:space="preserve"> Consultable en: </w:t>
      </w:r>
      <w:hyperlink r:id="rId2" w:history="1">
        <w:r w:rsidRPr="00827A56">
          <w:rPr>
            <w:rStyle w:val="Hipervnculo"/>
            <w:rFonts w:ascii="ITC Avant Garde" w:hAnsi="ITC Avant Garde"/>
            <w:sz w:val="16"/>
            <w:szCs w:val="16"/>
          </w:rPr>
          <w:t>https://www.ift.org.mx/industria/consultas-publicas/consulta-publica-sobre-el-anteproyecto-de-acuerdo-de-modificacion-del-cuadro-nacional-de-atribucion</w:t>
        </w:r>
      </w:hyperlink>
      <w:r w:rsidRPr="00827A56">
        <w:rPr>
          <w:rFonts w:ascii="ITC Avant Garde" w:hAnsi="ITC Avant Garde"/>
          <w:sz w:val="16"/>
          <w:szCs w:val="16"/>
        </w:rPr>
        <w:t xml:space="preserve"> </w:t>
      </w:r>
    </w:p>
  </w:footnote>
  <w:footnote w:id="4">
    <w:p w14:paraId="6B5EB667" w14:textId="3A9B5C3B" w:rsidR="00CC7D88" w:rsidRPr="00895CF3" w:rsidRDefault="00CC7D88" w:rsidP="00CE77DC">
      <w:pPr>
        <w:pStyle w:val="Textonotapie"/>
        <w:jc w:val="both"/>
        <w:rPr>
          <w:rFonts w:ascii="ITC Avant Garde" w:hAnsi="ITC Avant Garde"/>
          <w:sz w:val="16"/>
          <w:szCs w:val="16"/>
        </w:rPr>
      </w:pPr>
      <w:r w:rsidRPr="00627BC0">
        <w:rPr>
          <w:rStyle w:val="Refdenotaalpie"/>
          <w:rFonts w:ascii="ITC Avant Garde" w:hAnsi="ITC Avant Garde"/>
          <w:sz w:val="16"/>
          <w:szCs w:val="16"/>
        </w:rPr>
        <w:footnoteRef/>
      </w:r>
      <w:r w:rsidRPr="00627BC0">
        <w:rPr>
          <w:rFonts w:ascii="ITC Avant Garde" w:hAnsi="ITC Avant Garde"/>
          <w:sz w:val="16"/>
          <w:szCs w:val="16"/>
        </w:rPr>
        <w:t xml:space="preserve"> Consultable en: </w:t>
      </w:r>
      <w:hyperlink r:id="rId3" w:history="1">
        <w:r w:rsidRPr="00DE5104">
          <w:rPr>
            <w:rStyle w:val="Hipervnculo"/>
            <w:rFonts w:ascii="ITC Avant Garde" w:hAnsi="ITC Avant Garde"/>
            <w:sz w:val="16"/>
            <w:szCs w:val="16"/>
          </w:rPr>
          <w:t>https://www.ift.org.mx/industria/consultas-publicas/buscador</w:t>
        </w:r>
      </w:hyperlink>
      <w:r>
        <w:rPr>
          <w:rFonts w:ascii="ITC Avant Garde" w:hAnsi="ITC Avant Garde"/>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09C0"/>
    <w:multiLevelType w:val="hybridMultilevel"/>
    <w:tmpl w:val="F99C6154"/>
    <w:lvl w:ilvl="0" w:tplc="443AF4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B11BD"/>
    <w:multiLevelType w:val="hybridMultilevel"/>
    <w:tmpl w:val="7E760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122D3C"/>
    <w:multiLevelType w:val="hybridMultilevel"/>
    <w:tmpl w:val="1ADCB49A"/>
    <w:lvl w:ilvl="0" w:tplc="365CDB7E">
      <w:start w:val="13"/>
      <w:numFmt w:val="decimal"/>
      <w:lvlText w:val="%1)"/>
      <w:lvlJc w:val="left"/>
      <w:pPr>
        <w:ind w:left="603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787059"/>
    <w:multiLevelType w:val="hybridMultilevel"/>
    <w:tmpl w:val="43A46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3B3D60"/>
    <w:multiLevelType w:val="hybridMultilevel"/>
    <w:tmpl w:val="E57A26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A914B2"/>
    <w:multiLevelType w:val="hybridMultilevel"/>
    <w:tmpl w:val="7E760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1F50E3"/>
    <w:multiLevelType w:val="hybridMultilevel"/>
    <w:tmpl w:val="CDF6E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64DFF"/>
    <w:multiLevelType w:val="hybridMultilevel"/>
    <w:tmpl w:val="7E760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D57C2A"/>
    <w:multiLevelType w:val="hybridMultilevel"/>
    <w:tmpl w:val="E57A26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F855FA"/>
    <w:multiLevelType w:val="hybridMultilevel"/>
    <w:tmpl w:val="78D88808"/>
    <w:lvl w:ilvl="0" w:tplc="1DAE0504">
      <w:start w:val="1"/>
      <w:numFmt w:val="decimal"/>
      <w:lvlText w:val="%1)"/>
      <w:lvlJc w:val="left"/>
      <w:pPr>
        <w:ind w:left="603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A04F1"/>
    <w:multiLevelType w:val="multilevel"/>
    <w:tmpl w:val="F05C9B0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rPr>
    </w:lvl>
    <w:lvl w:ilvl="2">
      <w:start w:val="5"/>
      <w:numFmt w:val="decimal"/>
      <w:isLgl/>
      <w:lvlText w:val="%1.%2.%3"/>
      <w:lvlJc w:val="left"/>
      <w:pPr>
        <w:ind w:left="760" w:hanging="40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1" w15:restartNumberingAfterBreak="0">
    <w:nsid w:val="4B6068D0"/>
    <w:multiLevelType w:val="hybridMultilevel"/>
    <w:tmpl w:val="8822F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7E2E30"/>
    <w:multiLevelType w:val="hybridMultilevel"/>
    <w:tmpl w:val="642A08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B52067"/>
    <w:multiLevelType w:val="hybridMultilevel"/>
    <w:tmpl w:val="AB7C2DF6"/>
    <w:lvl w:ilvl="0" w:tplc="912EFA1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1A5E2D"/>
    <w:multiLevelType w:val="hybridMultilevel"/>
    <w:tmpl w:val="5E6CB1A6"/>
    <w:lvl w:ilvl="0" w:tplc="912EFA1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DD701A"/>
    <w:multiLevelType w:val="hybridMultilevel"/>
    <w:tmpl w:val="D604ECEC"/>
    <w:lvl w:ilvl="0" w:tplc="4E1841A6">
      <w:start w:val="3"/>
      <w:numFmt w:val="decimal"/>
      <w:lvlText w:val="%1)"/>
      <w:lvlJc w:val="left"/>
      <w:pPr>
        <w:ind w:left="603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3472F5"/>
    <w:multiLevelType w:val="hybridMultilevel"/>
    <w:tmpl w:val="DA826536"/>
    <w:lvl w:ilvl="0" w:tplc="912EFA1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12"/>
  </w:num>
  <w:num w:numId="6">
    <w:abstractNumId w:val="3"/>
  </w:num>
  <w:num w:numId="7">
    <w:abstractNumId w:val="5"/>
  </w:num>
  <w:num w:numId="8">
    <w:abstractNumId w:val="8"/>
  </w:num>
  <w:num w:numId="9">
    <w:abstractNumId w:val="4"/>
  </w:num>
  <w:num w:numId="10">
    <w:abstractNumId w:val="1"/>
  </w:num>
  <w:num w:numId="11">
    <w:abstractNumId w:val="7"/>
  </w:num>
  <w:num w:numId="12">
    <w:abstractNumId w:val="6"/>
  </w:num>
  <w:num w:numId="13">
    <w:abstractNumId w:val="2"/>
  </w:num>
  <w:num w:numId="14">
    <w:abstractNumId w:val="15"/>
  </w:num>
  <w:num w:numId="15">
    <w:abstractNumId w:val="11"/>
  </w:num>
  <w:num w:numId="16">
    <w:abstractNumId w:val="14"/>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MX" w:vendorID="64" w:dllVersion="6" w:nlCheck="1" w:checkStyle="0"/>
  <w:activeWritingStyle w:appName="MSWord" w:lang="en-US" w:vendorID="64" w:dllVersion="6" w:nlCheck="1" w:checkStyle="1"/>
  <w:activeWritingStyle w:appName="MSWord" w:lang="es-AR" w:vendorID="64" w:dllVersion="6" w:nlCheck="1" w:checkStyle="0"/>
  <w:activeWritingStyle w:appName="MSWord" w:lang="es-ES" w:vendorID="64" w:dllVersion="6" w:nlCheck="1" w:checkStyle="0"/>
  <w:activeWritingStyle w:appName="MSWord" w:lang="es-419" w:vendorID="64" w:dllVersion="6" w:nlCheck="1" w:checkStyle="0"/>
  <w:activeWritingStyle w:appName="MSWord" w:lang="es-CO"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US" w:vendorID="64" w:dllVersion="4096" w:nlCheck="1" w:checkStyle="0"/>
  <w:activeWritingStyle w:appName="MSWord" w:lang="es-419"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US" w:vendorID="64" w:dllVersion="0" w:nlCheck="1" w:checkStyle="0"/>
  <w:activeWritingStyle w:appName="MSWord" w:lang="es-CO" w:vendorID="64" w:dllVersion="0" w:nlCheck="1" w:checkStyle="0"/>
  <w:activeWritingStyle w:appName="MSWord" w:lang="en-GB" w:vendorID="64" w:dllVersion="0" w:nlCheck="1" w:checkStyle="0"/>
  <w:activeWritingStyle w:appName="MSWord" w:lang="es-419" w:vendorID="64" w:dllVersion="0" w:nlCheck="1" w:checkStyle="0"/>
  <w:activeWritingStyle w:appName="MSWord" w:lang="es-E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20"/>
    <w:rsid w:val="00000803"/>
    <w:rsid w:val="0000096C"/>
    <w:rsid w:val="000010C0"/>
    <w:rsid w:val="00001508"/>
    <w:rsid w:val="000029B9"/>
    <w:rsid w:val="00002B04"/>
    <w:rsid w:val="00002EAA"/>
    <w:rsid w:val="000033B3"/>
    <w:rsid w:val="00003428"/>
    <w:rsid w:val="00005C5A"/>
    <w:rsid w:val="0000619D"/>
    <w:rsid w:val="00006D97"/>
    <w:rsid w:val="000111D0"/>
    <w:rsid w:val="00012061"/>
    <w:rsid w:val="00013249"/>
    <w:rsid w:val="000160F7"/>
    <w:rsid w:val="00016ADB"/>
    <w:rsid w:val="000179BF"/>
    <w:rsid w:val="00020D0B"/>
    <w:rsid w:val="000236E8"/>
    <w:rsid w:val="00023826"/>
    <w:rsid w:val="0002451B"/>
    <w:rsid w:val="000254FB"/>
    <w:rsid w:val="00025966"/>
    <w:rsid w:val="0002596B"/>
    <w:rsid w:val="000259B9"/>
    <w:rsid w:val="00026029"/>
    <w:rsid w:val="0002783C"/>
    <w:rsid w:val="00030506"/>
    <w:rsid w:val="00032AFF"/>
    <w:rsid w:val="00032CFF"/>
    <w:rsid w:val="00032D14"/>
    <w:rsid w:val="000376A2"/>
    <w:rsid w:val="00037B97"/>
    <w:rsid w:val="00040A5F"/>
    <w:rsid w:val="000415DB"/>
    <w:rsid w:val="00043306"/>
    <w:rsid w:val="00043605"/>
    <w:rsid w:val="00043E58"/>
    <w:rsid w:val="0004488B"/>
    <w:rsid w:val="00045578"/>
    <w:rsid w:val="00045B2F"/>
    <w:rsid w:val="000466C3"/>
    <w:rsid w:val="00046B98"/>
    <w:rsid w:val="00046DE2"/>
    <w:rsid w:val="0004713F"/>
    <w:rsid w:val="00050DF7"/>
    <w:rsid w:val="00051006"/>
    <w:rsid w:val="0005360B"/>
    <w:rsid w:val="00053C6B"/>
    <w:rsid w:val="00053E4E"/>
    <w:rsid w:val="00053FFD"/>
    <w:rsid w:val="00055224"/>
    <w:rsid w:val="00055F0E"/>
    <w:rsid w:val="00056F2D"/>
    <w:rsid w:val="000572C7"/>
    <w:rsid w:val="000602C7"/>
    <w:rsid w:val="00060696"/>
    <w:rsid w:val="00061559"/>
    <w:rsid w:val="000617D1"/>
    <w:rsid w:val="00062591"/>
    <w:rsid w:val="000633B2"/>
    <w:rsid w:val="000634D6"/>
    <w:rsid w:val="00064D6B"/>
    <w:rsid w:val="0006527F"/>
    <w:rsid w:val="00066131"/>
    <w:rsid w:val="00066346"/>
    <w:rsid w:val="00067175"/>
    <w:rsid w:val="0007084B"/>
    <w:rsid w:val="0007153C"/>
    <w:rsid w:val="0007160E"/>
    <w:rsid w:val="00071888"/>
    <w:rsid w:val="000735A1"/>
    <w:rsid w:val="00073F5D"/>
    <w:rsid w:val="00073F80"/>
    <w:rsid w:val="000741F7"/>
    <w:rsid w:val="000745AC"/>
    <w:rsid w:val="000751BE"/>
    <w:rsid w:val="00075E88"/>
    <w:rsid w:val="00075EAD"/>
    <w:rsid w:val="00076621"/>
    <w:rsid w:val="00076964"/>
    <w:rsid w:val="00076B21"/>
    <w:rsid w:val="00077804"/>
    <w:rsid w:val="00080333"/>
    <w:rsid w:val="0008057B"/>
    <w:rsid w:val="00080D84"/>
    <w:rsid w:val="00082321"/>
    <w:rsid w:val="000825B1"/>
    <w:rsid w:val="000832C7"/>
    <w:rsid w:val="00083B6E"/>
    <w:rsid w:val="00083D2F"/>
    <w:rsid w:val="00083F60"/>
    <w:rsid w:val="0008498A"/>
    <w:rsid w:val="00084DA4"/>
    <w:rsid w:val="00085143"/>
    <w:rsid w:val="00086200"/>
    <w:rsid w:val="000864EB"/>
    <w:rsid w:val="00086D55"/>
    <w:rsid w:val="0008775F"/>
    <w:rsid w:val="00087D3F"/>
    <w:rsid w:val="000909E8"/>
    <w:rsid w:val="00090C09"/>
    <w:rsid w:val="00091AB9"/>
    <w:rsid w:val="00092CC9"/>
    <w:rsid w:val="00094A60"/>
    <w:rsid w:val="000956BD"/>
    <w:rsid w:val="00096687"/>
    <w:rsid w:val="00096E73"/>
    <w:rsid w:val="00097761"/>
    <w:rsid w:val="000A143B"/>
    <w:rsid w:val="000A1C4B"/>
    <w:rsid w:val="000A2026"/>
    <w:rsid w:val="000A225E"/>
    <w:rsid w:val="000A25F5"/>
    <w:rsid w:val="000A2CF5"/>
    <w:rsid w:val="000A2F78"/>
    <w:rsid w:val="000A36D1"/>
    <w:rsid w:val="000A4CD0"/>
    <w:rsid w:val="000A4D0A"/>
    <w:rsid w:val="000A5EB3"/>
    <w:rsid w:val="000A6CE6"/>
    <w:rsid w:val="000B10A9"/>
    <w:rsid w:val="000B1290"/>
    <w:rsid w:val="000B1410"/>
    <w:rsid w:val="000B2351"/>
    <w:rsid w:val="000B3523"/>
    <w:rsid w:val="000B4FB4"/>
    <w:rsid w:val="000B6D6F"/>
    <w:rsid w:val="000B7CB5"/>
    <w:rsid w:val="000B7FD4"/>
    <w:rsid w:val="000C02D7"/>
    <w:rsid w:val="000C07AD"/>
    <w:rsid w:val="000C07E7"/>
    <w:rsid w:val="000C1ACA"/>
    <w:rsid w:val="000C1AF1"/>
    <w:rsid w:val="000C1B29"/>
    <w:rsid w:val="000C1BF8"/>
    <w:rsid w:val="000C2098"/>
    <w:rsid w:val="000C27F1"/>
    <w:rsid w:val="000C2D39"/>
    <w:rsid w:val="000C3B3D"/>
    <w:rsid w:val="000C4B20"/>
    <w:rsid w:val="000C5988"/>
    <w:rsid w:val="000C6AE5"/>
    <w:rsid w:val="000C74D6"/>
    <w:rsid w:val="000C761C"/>
    <w:rsid w:val="000C767F"/>
    <w:rsid w:val="000D02BC"/>
    <w:rsid w:val="000D09BF"/>
    <w:rsid w:val="000D1786"/>
    <w:rsid w:val="000D28B8"/>
    <w:rsid w:val="000D2B90"/>
    <w:rsid w:val="000D40C6"/>
    <w:rsid w:val="000D4190"/>
    <w:rsid w:val="000D4594"/>
    <w:rsid w:val="000D618F"/>
    <w:rsid w:val="000D6764"/>
    <w:rsid w:val="000D70C2"/>
    <w:rsid w:val="000D71B1"/>
    <w:rsid w:val="000D79A1"/>
    <w:rsid w:val="000D7FF7"/>
    <w:rsid w:val="000E044C"/>
    <w:rsid w:val="000E0839"/>
    <w:rsid w:val="000E12B4"/>
    <w:rsid w:val="000E14D7"/>
    <w:rsid w:val="000E1F89"/>
    <w:rsid w:val="000E244B"/>
    <w:rsid w:val="000E330E"/>
    <w:rsid w:val="000E3C42"/>
    <w:rsid w:val="000E4264"/>
    <w:rsid w:val="000E447E"/>
    <w:rsid w:val="000E4E11"/>
    <w:rsid w:val="000E5102"/>
    <w:rsid w:val="000E52E7"/>
    <w:rsid w:val="000E678F"/>
    <w:rsid w:val="000F03A3"/>
    <w:rsid w:val="000F074F"/>
    <w:rsid w:val="000F1BBC"/>
    <w:rsid w:val="000F217E"/>
    <w:rsid w:val="000F2353"/>
    <w:rsid w:val="000F48A8"/>
    <w:rsid w:val="000F4C5F"/>
    <w:rsid w:val="000F50A1"/>
    <w:rsid w:val="000F565A"/>
    <w:rsid w:val="000F5E96"/>
    <w:rsid w:val="000F5F72"/>
    <w:rsid w:val="000F5FCB"/>
    <w:rsid w:val="000F600A"/>
    <w:rsid w:val="000F6A50"/>
    <w:rsid w:val="000F6CB8"/>
    <w:rsid w:val="000F6E2F"/>
    <w:rsid w:val="000F79EE"/>
    <w:rsid w:val="0010001E"/>
    <w:rsid w:val="00100823"/>
    <w:rsid w:val="00101A1A"/>
    <w:rsid w:val="00103491"/>
    <w:rsid w:val="00105D3F"/>
    <w:rsid w:val="001064D9"/>
    <w:rsid w:val="00106C2E"/>
    <w:rsid w:val="001074B4"/>
    <w:rsid w:val="001114C1"/>
    <w:rsid w:val="00111F9A"/>
    <w:rsid w:val="00114944"/>
    <w:rsid w:val="00114AA6"/>
    <w:rsid w:val="00115250"/>
    <w:rsid w:val="00115316"/>
    <w:rsid w:val="001160A7"/>
    <w:rsid w:val="0011688A"/>
    <w:rsid w:val="00116A5C"/>
    <w:rsid w:val="00116B80"/>
    <w:rsid w:val="00116C2A"/>
    <w:rsid w:val="00116D81"/>
    <w:rsid w:val="00116FF9"/>
    <w:rsid w:val="001204E2"/>
    <w:rsid w:val="001224B9"/>
    <w:rsid w:val="00124CE4"/>
    <w:rsid w:val="0012535B"/>
    <w:rsid w:val="00126AA0"/>
    <w:rsid w:val="00127811"/>
    <w:rsid w:val="0013053D"/>
    <w:rsid w:val="00130609"/>
    <w:rsid w:val="00131811"/>
    <w:rsid w:val="00132373"/>
    <w:rsid w:val="00132785"/>
    <w:rsid w:val="00132940"/>
    <w:rsid w:val="0013380E"/>
    <w:rsid w:val="001342FF"/>
    <w:rsid w:val="00134742"/>
    <w:rsid w:val="00134A82"/>
    <w:rsid w:val="001362DF"/>
    <w:rsid w:val="00136308"/>
    <w:rsid w:val="00136591"/>
    <w:rsid w:val="00136DE1"/>
    <w:rsid w:val="0014038E"/>
    <w:rsid w:val="00140443"/>
    <w:rsid w:val="00141B87"/>
    <w:rsid w:val="001429E9"/>
    <w:rsid w:val="00143216"/>
    <w:rsid w:val="00143412"/>
    <w:rsid w:val="001441CB"/>
    <w:rsid w:val="0014439C"/>
    <w:rsid w:val="00145070"/>
    <w:rsid w:val="00145460"/>
    <w:rsid w:val="00145A6B"/>
    <w:rsid w:val="00146630"/>
    <w:rsid w:val="00147D38"/>
    <w:rsid w:val="001527B7"/>
    <w:rsid w:val="00152A1F"/>
    <w:rsid w:val="00152AC9"/>
    <w:rsid w:val="00153B98"/>
    <w:rsid w:val="001542F4"/>
    <w:rsid w:val="00154E1A"/>
    <w:rsid w:val="0015542D"/>
    <w:rsid w:val="00156351"/>
    <w:rsid w:val="001564AD"/>
    <w:rsid w:val="00157A91"/>
    <w:rsid w:val="00161A5A"/>
    <w:rsid w:val="001622F4"/>
    <w:rsid w:val="001633CB"/>
    <w:rsid w:val="00166604"/>
    <w:rsid w:val="001700A5"/>
    <w:rsid w:val="0017163F"/>
    <w:rsid w:val="001726BF"/>
    <w:rsid w:val="00174B60"/>
    <w:rsid w:val="00175436"/>
    <w:rsid w:val="00175663"/>
    <w:rsid w:val="001758F7"/>
    <w:rsid w:val="00176F8A"/>
    <w:rsid w:val="00177083"/>
    <w:rsid w:val="001770F4"/>
    <w:rsid w:val="001774A0"/>
    <w:rsid w:val="00177D25"/>
    <w:rsid w:val="001801FC"/>
    <w:rsid w:val="00180DB8"/>
    <w:rsid w:val="001845A4"/>
    <w:rsid w:val="001846FB"/>
    <w:rsid w:val="00184C72"/>
    <w:rsid w:val="00184CD7"/>
    <w:rsid w:val="00184CF7"/>
    <w:rsid w:val="001855B3"/>
    <w:rsid w:val="00185D60"/>
    <w:rsid w:val="00185EB2"/>
    <w:rsid w:val="00185F86"/>
    <w:rsid w:val="00190106"/>
    <w:rsid w:val="00190366"/>
    <w:rsid w:val="00190A2F"/>
    <w:rsid w:val="00190E74"/>
    <w:rsid w:val="00190EE3"/>
    <w:rsid w:val="00191B9C"/>
    <w:rsid w:val="00191EE7"/>
    <w:rsid w:val="00191F53"/>
    <w:rsid w:val="001922DE"/>
    <w:rsid w:val="00192DB7"/>
    <w:rsid w:val="0019623D"/>
    <w:rsid w:val="00196567"/>
    <w:rsid w:val="00197C68"/>
    <w:rsid w:val="00197CFD"/>
    <w:rsid w:val="001A074A"/>
    <w:rsid w:val="001A154A"/>
    <w:rsid w:val="001A2476"/>
    <w:rsid w:val="001A2D7F"/>
    <w:rsid w:val="001A2FF1"/>
    <w:rsid w:val="001A3387"/>
    <w:rsid w:val="001A34FB"/>
    <w:rsid w:val="001A4034"/>
    <w:rsid w:val="001A516E"/>
    <w:rsid w:val="001A5689"/>
    <w:rsid w:val="001A63CA"/>
    <w:rsid w:val="001A63D9"/>
    <w:rsid w:val="001A688C"/>
    <w:rsid w:val="001A6F6E"/>
    <w:rsid w:val="001A734E"/>
    <w:rsid w:val="001B0088"/>
    <w:rsid w:val="001B0637"/>
    <w:rsid w:val="001B0F22"/>
    <w:rsid w:val="001B16C3"/>
    <w:rsid w:val="001B1988"/>
    <w:rsid w:val="001B1B5A"/>
    <w:rsid w:val="001B288F"/>
    <w:rsid w:val="001B2DD9"/>
    <w:rsid w:val="001B376E"/>
    <w:rsid w:val="001B5246"/>
    <w:rsid w:val="001B550F"/>
    <w:rsid w:val="001B5CAC"/>
    <w:rsid w:val="001B5E67"/>
    <w:rsid w:val="001B6B69"/>
    <w:rsid w:val="001C0680"/>
    <w:rsid w:val="001C1B69"/>
    <w:rsid w:val="001C20C6"/>
    <w:rsid w:val="001C23F3"/>
    <w:rsid w:val="001C2B09"/>
    <w:rsid w:val="001C4F7B"/>
    <w:rsid w:val="001C5B6B"/>
    <w:rsid w:val="001C66C0"/>
    <w:rsid w:val="001C7AF9"/>
    <w:rsid w:val="001D0038"/>
    <w:rsid w:val="001D08A5"/>
    <w:rsid w:val="001D1D57"/>
    <w:rsid w:val="001D307B"/>
    <w:rsid w:val="001D312A"/>
    <w:rsid w:val="001D3ADC"/>
    <w:rsid w:val="001D3F4B"/>
    <w:rsid w:val="001D4C36"/>
    <w:rsid w:val="001D5CF3"/>
    <w:rsid w:val="001D6A1B"/>
    <w:rsid w:val="001D7043"/>
    <w:rsid w:val="001D721F"/>
    <w:rsid w:val="001E07BF"/>
    <w:rsid w:val="001E0F27"/>
    <w:rsid w:val="001E17DA"/>
    <w:rsid w:val="001E253A"/>
    <w:rsid w:val="001E2CE9"/>
    <w:rsid w:val="001E2FEE"/>
    <w:rsid w:val="001E4323"/>
    <w:rsid w:val="001E4CB4"/>
    <w:rsid w:val="001E4F35"/>
    <w:rsid w:val="001E516E"/>
    <w:rsid w:val="001E5C05"/>
    <w:rsid w:val="001E5E0B"/>
    <w:rsid w:val="001E6412"/>
    <w:rsid w:val="001E7CDA"/>
    <w:rsid w:val="001F16CE"/>
    <w:rsid w:val="001F1C2A"/>
    <w:rsid w:val="001F1D05"/>
    <w:rsid w:val="001F2B71"/>
    <w:rsid w:val="001F3F71"/>
    <w:rsid w:val="001F436A"/>
    <w:rsid w:val="001F4D4F"/>
    <w:rsid w:val="001F4EB1"/>
    <w:rsid w:val="001F5145"/>
    <w:rsid w:val="001F55ED"/>
    <w:rsid w:val="001F5BE5"/>
    <w:rsid w:val="001F6587"/>
    <w:rsid w:val="001F6769"/>
    <w:rsid w:val="001F70FF"/>
    <w:rsid w:val="001F72EB"/>
    <w:rsid w:val="001F7FD2"/>
    <w:rsid w:val="002012AC"/>
    <w:rsid w:val="00201AD0"/>
    <w:rsid w:val="00201C28"/>
    <w:rsid w:val="00202488"/>
    <w:rsid w:val="002034A0"/>
    <w:rsid w:val="002052E1"/>
    <w:rsid w:val="00205ECC"/>
    <w:rsid w:val="00205F12"/>
    <w:rsid w:val="0020692E"/>
    <w:rsid w:val="00207433"/>
    <w:rsid w:val="002075F5"/>
    <w:rsid w:val="00210068"/>
    <w:rsid w:val="00210971"/>
    <w:rsid w:val="002114C3"/>
    <w:rsid w:val="00211777"/>
    <w:rsid w:val="00213583"/>
    <w:rsid w:val="00213F74"/>
    <w:rsid w:val="00216269"/>
    <w:rsid w:val="002177D0"/>
    <w:rsid w:val="00217855"/>
    <w:rsid w:val="00217BDE"/>
    <w:rsid w:val="00222188"/>
    <w:rsid w:val="002223F3"/>
    <w:rsid w:val="0022277F"/>
    <w:rsid w:val="0022370E"/>
    <w:rsid w:val="0022395B"/>
    <w:rsid w:val="00223CC4"/>
    <w:rsid w:val="00224D54"/>
    <w:rsid w:val="00225827"/>
    <w:rsid w:val="002258EE"/>
    <w:rsid w:val="0022611B"/>
    <w:rsid w:val="00226E26"/>
    <w:rsid w:val="0022728E"/>
    <w:rsid w:val="00227DC6"/>
    <w:rsid w:val="00230079"/>
    <w:rsid w:val="00230108"/>
    <w:rsid w:val="00230A07"/>
    <w:rsid w:val="002312A4"/>
    <w:rsid w:val="00231C9F"/>
    <w:rsid w:val="00232CD3"/>
    <w:rsid w:val="0023303B"/>
    <w:rsid w:val="002331B2"/>
    <w:rsid w:val="002345C7"/>
    <w:rsid w:val="0023461F"/>
    <w:rsid w:val="00234804"/>
    <w:rsid w:val="00234806"/>
    <w:rsid w:val="00234DCA"/>
    <w:rsid w:val="00234FD3"/>
    <w:rsid w:val="00235378"/>
    <w:rsid w:val="00235B27"/>
    <w:rsid w:val="002368B0"/>
    <w:rsid w:val="00236AC3"/>
    <w:rsid w:val="002373EC"/>
    <w:rsid w:val="00240CF5"/>
    <w:rsid w:val="00241003"/>
    <w:rsid w:val="002410C2"/>
    <w:rsid w:val="0024298C"/>
    <w:rsid w:val="00243061"/>
    <w:rsid w:val="002432CE"/>
    <w:rsid w:val="00245138"/>
    <w:rsid w:val="00245FAD"/>
    <w:rsid w:val="00247202"/>
    <w:rsid w:val="00247309"/>
    <w:rsid w:val="00247588"/>
    <w:rsid w:val="0024794E"/>
    <w:rsid w:val="002514F4"/>
    <w:rsid w:val="00251573"/>
    <w:rsid w:val="00251B95"/>
    <w:rsid w:val="00252211"/>
    <w:rsid w:val="002525F9"/>
    <w:rsid w:val="00252850"/>
    <w:rsid w:val="0025383A"/>
    <w:rsid w:val="00254016"/>
    <w:rsid w:val="0025469D"/>
    <w:rsid w:val="0025681F"/>
    <w:rsid w:val="002568FC"/>
    <w:rsid w:val="002578B5"/>
    <w:rsid w:val="00257E4D"/>
    <w:rsid w:val="00265B5E"/>
    <w:rsid w:val="00267DEA"/>
    <w:rsid w:val="0027116E"/>
    <w:rsid w:val="0027168F"/>
    <w:rsid w:val="00271858"/>
    <w:rsid w:val="00271F62"/>
    <w:rsid w:val="00272849"/>
    <w:rsid w:val="0027409D"/>
    <w:rsid w:val="00277428"/>
    <w:rsid w:val="0027771D"/>
    <w:rsid w:val="002777C3"/>
    <w:rsid w:val="00277A3D"/>
    <w:rsid w:val="00280301"/>
    <w:rsid w:val="002808AF"/>
    <w:rsid w:val="00281011"/>
    <w:rsid w:val="002811DC"/>
    <w:rsid w:val="0028154E"/>
    <w:rsid w:val="00281EDE"/>
    <w:rsid w:val="0028292B"/>
    <w:rsid w:val="00282D4A"/>
    <w:rsid w:val="002834F7"/>
    <w:rsid w:val="00284396"/>
    <w:rsid w:val="0028564C"/>
    <w:rsid w:val="002857DF"/>
    <w:rsid w:val="002868A4"/>
    <w:rsid w:val="00286B6C"/>
    <w:rsid w:val="002872C1"/>
    <w:rsid w:val="00290A09"/>
    <w:rsid w:val="00290A1C"/>
    <w:rsid w:val="00291B6D"/>
    <w:rsid w:val="00292F75"/>
    <w:rsid w:val="002937F4"/>
    <w:rsid w:val="00294512"/>
    <w:rsid w:val="00295241"/>
    <w:rsid w:val="00296B22"/>
    <w:rsid w:val="0029727F"/>
    <w:rsid w:val="00297655"/>
    <w:rsid w:val="00297781"/>
    <w:rsid w:val="00297A5C"/>
    <w:rsid w:val="002A05A8"/>
    <w:rsid w:val="002A19D4"/>
    <w:rsid w:val="002A202A"/>
    <w:rsid w:val="002A2186"/>
    <w:rsid w:val="002A67DB"/>
    <w:rsid w:val="002A7171"/>
    <w:rsid w:val="002A7B20"/>
    <w:rsid w:val="002A7EA6"/>
    <w:rsid w:val="002B0C87"/>
    <w:rsid w:val="002B0E74"/>
    <w:rsid w:val="002B1F9E"/>
    <w:rsid w:val="002B1FFD"/>
    <w:rsid w:val="002B3139"/>
    <w:rsid w:val="002B5A92"/>
    <w:rsid w:val="002B5D7E"/>
    <w:rsid w:val="002B6334"/>
    <w:rsid w:val="002B6CBF"/>
    <w:rsid w:val="002B74B1"/>
    <w:rsid w:val="002B78B1"/>
    <w:rsid w:val="002B7B79"/>
    <w:rsid w:val="002C0027"/>
    <w:rsid w:val="002C05CB"/>
    <w:rsid w:val="002C13CB"/>
    <w:rsid w:val="002C223E"/>
    <w:rsid w:val="002C2565"/>
    <w:rsid w:val="002C3218"/>
    <w:rsid w:val="002C3709"/>
    <w:rsid w:val="002C39C1"/>
    <w:rsid w:val="002C3D0B"/>
    <w:rsid w:val="002C42BE"/>
    <w:rsid w:val="002C42C9"/>
    <w:rsid w:val="002C4C2C"/>
    <w:rsid w:val="002C5129"/>
    <w:rsid w:val="002C57C7"/>
    <w:rsid w:val="002C5CC7"/>
    <w:rsid w:val="002C76D3"/>
    <w:rsid w:val="002D00DF"/>
    <w:rsid w:val="002D0A9B"/>
    <w:rsid w:val="002D0D7C"/>
    <w:rsid w:val="002D0F17"/>
    <w:rsid w:val="002D143C"/>
    <w:rsid w:val="002D184A"/>
    <w:rsid w:val="002D57FA"/>
    <w:rsid w:val="002D591A"/>
    <w:rsid w:val="002D5BC7"/>
    <w:rsid w:val="002D6B6E"/>
    <w:rsid w:val="002D7249"/>
    <w:rsid w:val="002D74E9"/>
    <w:rsid w:val="002D7836"/>
    <w:rsid w:val="002E0270"/>
    <w:rsid w:val="002E056B"/>
    <w:rsid w:val="002E1B4F"/>
    <w:rsid w:val="002E2B75"/>
    <w:rsid w:val="002E2EB5"/>
    <w:rsid w:val="002E2FB2"/>
    <w:rsid w:val="002E311D"/>
    <w:rsid w:val="002E3A41"/>
    <w:rsid w:val="002E5844"/>
    <w:rsid w:val="002F104D"/>
    <w:rsid w:val="002F1D93"/>
    <w:rsid w:val="002F1E75"/>
    <w:rsid w:val="002F25ED"/>
    <w:rsid w:val="002F2F29"/>
    <w:rsid w:val="002F35B5"/>
    <w:rsid w:val="002F3F69"/>
    <w:rsid w:val="002F5AD9"/>
    <w:rsid w:val="002F6BA7"/>
    <w:rsid w:val="002F6FDB"/>
    <w:rsid w:val="002F73D9"/>
    <w:rsid w:val="003000D6"/>
    <w:rsid w:val="00300657"/>
    <w:rsid w:val="003006D3"/>
    <w:rsid w:val="003008F0"/>
    <w:rsid w:val="00301403"/>
    <w:rsid w:val="00303B78"/>
    <w:rsid w:val="00303D5A"/>
    <w:rsid w:val="0030422E"/>
    <w:rsid w:val="0030509C"/>
    <w:rsid w:val="00306C44"/>
    <w:rsid w:val="00306C6D"/>
    <w:rsid w:val="00306FCB"/>
    <w:rsid w:val="003070B7"/>
    <w:rsid w:val="00307CF3"/>
    <w:rsid w:val="00310170"/>
    <w:rsid w:val="003123D3"/>
    <w:rsid w:val="00312DF3"/>
    <w:rsid w:val="00313839"/>
    <w:rsid w:val="00314B4C"/>
    <w:rsid w:val="00316811"/>
    <w:rsid w:val="003174F3"/>
    <w:rsid w:val="00317767"/>
    <w:rsid w:val="00317AF4"/>
    <w:rsid w:val="003201D4"/>
    <w:rsid w:val="003202EE"/>
    <w:rsid w:val="00320878"/>
    <w:rsid w:val="00320897"/>
    <w:rsid w:val="00320FC1"/>
    <w:rsid w:val="00323DFF"/>
    <w:rsid w:val="00324347"/>
    <w:rsid w:val="00324953"/>
    <w:rsid w:val="00325CE9"/>
    <w:rsid w:val="00326733"/>
    <w:rsid w:val="0032692C"/>
    <w:rsid w:val="003307A1"/>
    <w:rsid w:val="00330AB2"/>
    <w:rsid w:val="00331471"/>
    <w:rsid w:val="00331B4D"/>
    <w:rsid w:val="00332633"/>
    <w:rsid w:val="00333165"/>
    <w:rsid w:val="0033367B"/>
    <w:rsid w:val="003336EB"/>
    <w:rsid w:val="0033384E"/>
    <w:rsid w:val="00333AE8"/>
    <w:rsid w:val="003347AE"/>
    <w:rsid w:val="00334846"/>
    <w:rsid w:val="00335004"/>
    <w:rsid w:val="00335CD2"/>
    <w:rsid w:val="00336B97"/>
    <w:rsid w:val="00336D36"/>
    <w:rsid w:val="00337D4A"/>
    <w:rsid w:val="00337F54"/>
    <w:rsid w:val="0034066F"/>
    <w:rsid w:val="00341536"/>
    <w:rsid w:val="0034163B"/>
    <w:rsid w:val="00344B67"/>
    <w:rsid w:val="00346248"/>
    <w:rsid w:val="00346FA4"/>
    <w:rsid w:val="00347FEE"/>
    <w:rsid w:val="003509B4"/>
    <w:rsid w:val="00350C17"/>
    <w:rsid w:val="003514D6"/>
    <w:rsid w:val="0035161B"/>
    <w:rsid w:val="003522D8"/>
    <w:rsid w:val="0035328A"/>
    <w:rsid w:val="00353B35"/>
    <w:rsid w:val="00354178"/>
    <w:rsid w:val="0035435D"/>
    <w:rsid w:val="003557A1"/>
    <w:rsid w:val="00355BB8"/>
    <w:rsid w:val="003565C9"/>
    <w:rsid w:val="00356FFA"/>
    <w:rsid w:val="003575E6"/>
    <w:rsid w:val="00357C7D"/>
    <w:rsid w:val="00360393"/>
    <w:rsid w:val="00360E24"/>
    <w:rsid w:val="00361077"/>
    <w:rsid w:val="003613EE"/>
    <w:rsid w:val="00363013"/>
    <w:rsid w:val="00363D7C"/>
    <w:rsid w:val="003647DA"/>
    <w:rsid w:val="00365CB0"/>
    <w:rsid w:val="0036610E"/>
    <w:rsid w:val="00366799"/>
    <w:rsid w:val="00366FF8"/>
    <w:rsid w:val="0036713C"/>
    <w:rsid w:val="00370145"/>
    <w:rsid w:val="00370319"/>
    <w:rsid w:val="00371682"/>
    <w:rsid w:val="00371D3C"/>
    <w:rsid w:val="003722C7"/>
    <w:rsid w:val="00374368"/>
    <w:rsid w:val="00374C31"/>
    <w:rsid w:val="00374F40"/>
    <w:rsid w:val="003757F9"/>
    <w:rsid w:val="003770A5"/>
    <w:rsid w:val="0037742E"/>
    <w:rsid w:val="00380937"/>
    <w:rsid w:val="00381182"/>
    <w:rsid w:val="003814BA"/>
    <w:rsid w:val="00382C52"/>
    <w:rsid w:val="0038310B"/>
    <w:rsid w:val="00383641"/>
    <w:rsid w:val="00383D90"/>
    <w:rsid w:val="003841D3"/>
    <w:rsid w:val="0038574F"/>
    <w:rsid w:val="00386807"/>
    <w:rsid w:val="0038731A"/>
    <w:rsid w:val="00390ED5"/>
    <w:rsid w:val="0039258B"/>
    <w:rsid w:val="003925C3"/>
    <w:rsid w:val="0039260A"/>
    <w:rsid w:val="00393D0E"/>
    <w:rsid w:val="00395F8E"/>
    <w:rsid w:val="0039644E"/>
    <w:rsid w:val="00397692"/>
    <w:rsid w:val="003A0434"/>
    <w:rsid w:val="003A0B31"/>
    <w:rsid w:val="003A0EE0"/>
    <w:rsid w:val="003A12D9"/>
    <w:rsid w:val="003A164F"/>
    <w:rsid w:val="003A208B"/>
    <w:rsid w:val="003A2BA1"/>
    <w:rsid w:val="003A2C5C"/>
    <w:rsid w:val="003A2EB9"/>
    <w:rsid w:val="003A3052"/>
    <w:rsid w:val="003A444E"/>
    <w:rsid w:val="003A4CD4"/>
    <w:rsid w:val="003A4F89"/>
    <w:rsid w:val="003A651D"/>
    <w:rsid w:val="003A6AE4"/>
    <w:rsid w:val="003A7239"/>
    <w:rsid w:val="003A7770"/>
    <w:rsid w:val="003A7A17"/>
    <w:rsid w:val="003A7BC4"/>
    <w:rsid w:val="003B022E"/>
    <w:rsid w:val="003B0BDA"/>
    <w:rsid w:val="003B0ED8"/>
    <w:rsid w:val="003B0FF5"/>
    <w:rsid w:val="003B151D"/>
    <w:rsid w:val="003B2B49"/>
    <w:rsid w:val="003B2C5B"/>
    <w:rsid w:val="003B32E7"/>
    <w:rsid w:val="003B383D"/>
    <w:rsid w:val="003B3C09"/>
    <w:rsid w:val="003B40C7"/>
    <w:rsid w:val="003B4A96"/>
    <w:rsid w:val="003B4FF6"/>
    <w:rsid w:val="003B6B03"/>
    <w:rsid w:val="003B7C7A"/>
    <w:rsid w:val="003B7F1C"/>
    <w:rsid w:val="003C0854"/>
    <w:rsid w:val="003C0C8A"/>
    <w:rsid w:val="003C0CBB"/>
    <w:rsid w:val="003C0F25"/>
    <w:rsid w:val="003C13EF"/>
    <w:rsid w:val="003C179C"/>
    <w:rsid w:val="003C19D7"/>
    <w:rsid w:val="003C1D81"/>
    <w:rsid w:val="003C1FE7"/>
    <w:rsid w:val="003C25A8"/>
    <w:rsid w:val="003C318A"/>
    <w:rsid w:val="003C32C5"/>
    <w:rsid w:val="003C3877"/>
    <w:rsid w:val="003C4B50"/>
    <w:rsid w:val="003C4FE4"/>
    <w:rsid w:val="003C547C"/>
    <w:rsid w:val="003C6ABF"/>
    <w:rsid w:val="003C7664"/>
    <w:rsid w:val="003C7914"/>
    <w:rsid w:val="003C7D2F"/>
    <w:rsid w:val="003D0FB4"/>
    <w:rsid w:val="003D15DB"/>
    <w:rsid w:val="003D263A"/>
    <w:rsid w:val="003D3CE5"/>
    <w:rsid w:val="003D4276"/>
    <w:rsid w:val="003D54B7"/>
    <w:rsid w:val="003D60FD"/>
    <w:rsid w:val="003D7079"/>
    <w:rsid w:val="003D7D6E"/>
    <w:rsid w:val="003D7E1A"/>
    <w:rsid w:val="003E03BB"/>
    <w:rsid w:val="003E252E"/>
    <w:rsid w:val="003E3D41"/>
    <w:rsid w:val="003E49C8"/>
    <w:rsid w:val="003E722F"/>
    <w:rsid w:val="003E7EB6"/>
    <w:rsid w:val="003F0766"/>
    <w:rsid w:val="003F0A8C"/>
    <w:rsid w:val="003F13FB"/>
    <w:rsid w:val="003F29C2"/>
    <w:rsid w:val="003F2AC4"/>
    <w:rsid w:val="003F2E0B"/>
    <w:rsid w:val="003F3844"/>
    <w:rsid w:val="003F3FA0"/>
    <w:rsid w:val="003F483F"/>
    <w:rsid w:val="003F5096"/>
    <w:rsid w:val="003F520A"/>
    <w:rsid w:val="003F5793"/>
    <w:rsid w:val="003F5B6E"/>
    <w:rsid w:val="003F62C2"/>
    <w:rsid w:val="003F68FC"/>
    <w:rsid w:val="0040059B"/>
    <w:rsid w:val="00401AC7"/>
    <w:rsid w:val="00402137"/>
    <w:rsid w:val="004024F4"/>
    <w:rsid w:val="00402677"/>
    <w:rsid w:val="00403F80"/>
    <w:rsid w:val="004040A9"/>
    <w:rsid w:val="004053FB"/>
    <w:rsid w:val="00406F01"/>
    <w:rsid w:val="004104ED"/>
    <w:rsid w:val="00410777"/>
    <w:rsid w:val="00411175"/>
    <w:rsid w:val="00411F7F"/>
    <w:rsid w:val="00412012"/>
    <w:rsid w:val="0041221B"/>
    <w:rsid w:val="0041251F"/>
    <w:rsid w:val="0041284E"/>
    <w:rsid w:val="00412FB6"/>
    <w:rsid w:val="00415835"/>
    <w:rsid w:val="00415DCB"/>
    <w:rsid w:val="0042091F"/>
    <w:rsid w:val="00420950"/>
    <w:rsid w:val="004215AB"/>
    <w:rsid w:val="004218C0"/>
    <w:rsid w:val="00422289"/>
    <w:rsid w:val="00422D82"/>
    <w:rsid w:val="00424777"/>
    <w:rsid w:val="00425BB7"/>
    <w:rsid w:val="00430596"/>
    <w:rsid w:val="00431297"/>
    <w:rsid w:val="00431563"/>
    <w:rsid w:val="00431602"/>
    <w:rsid w:val="00432D7A"/>
    <w:rsid w:val="004339EA"/>
    <w:rsid w:val="00433CBF"/>
    <w:rsid w:val="00434E8F"/>
    <w:rsid w:val="00435FC6"/>
    <w:rsid w:val="0043679F"/>
    <w:rsid w:val="00436EB0"/>
    <w:rsid w:val="004371B8"/>
    <w:rsid w:val="004378E6"/>
    <w:rsid w:val="0043791B"/>
    <w:rsid w:val="00440CFD"/>
    <w:rsid w:val="0044106D"/>
    <w:rsid w:val="004421C8"/>
    <w:rsid w:val="00442909"/>
    <w:rsid w:val="00442CD5"/>
    <w:rsid w:val="00443E84"/>
    <w:rsid w:val="00443EA3"/>
    <w:rsid w:val="0044481D"/>
    <w:rsid w:val="00444AD0"/>
    <w:rsid w:val="00445492"/>
    <w:rsid w:val="00445809"/>
    <w:rsid w:val="004458EB"/>
    <w:rsid w:val="00450BCD"/>
    <w:rsid w:val="00451344"/>
    <w:rsid w:val="00451A29"/>
    <w:rsid w:val="00451B31"/>
    <w:rsid w:val="0045221E"/>
    <w:rsid w:val="0045249B"/>
    <w:rsid w:val="00452B2D"/>
    <w:rsid w:val="00452D6E"/>
    <w:rsid w:val="00453732"/>
    <w:rsid w:val="0045388D"/>
    <w:rsid w:val="00453DC3"/>
    <w:rsid w:val="004543A4"/>
    <w:rsid w:val="004552F6"/>
    <w:rsid w:val="00455482"/>
    <w:rsid w:val="0045575A"/>
    <w:rsid w:val="004558C5"/>
    <w:rsid w:val="00455C39"/>
    <w:rsid w:val="00456763"/>
    <w:rsid w:val="004570C8"/>
    <w:rsid w:val="00457307"/>
    <w:rsid w:val="0046122A"/>
    <w:rsid w:val="0046123E"/>
    <w:rsid w:val="0046181C"/>
    <w:rsid w:val="004619B5"/>
    <w:rsid w:val="004634A2"/>
    <w:rsid w:val="00463665"/>
    <w:rsid w:val="00463BCF"/>
    <w:rsid w:val="00463EB7"/>
    <w:rsid w:val="004645B6"/>
    <w:rsid w:val="0046520C"/>
    <w:rsid w:val="004669FA"/>
    <w:rsid w:val="00466B81"/>
    <w:rsid w:val="0047086E"/>
    <w:rsid w:val="004710C2"/>
    <w:rsid w:val="00471166"/>
    <w:rsid w:val="00471797"/>
    <w:rsid w:val="00471CDC"/>
    <w:rsid w:val="00472642"/>
    <w:rsid w:val="0047304C"/>
    <w:rsid w:val="004737BC"/>
    <w:rsid w:val="00474C6E"/>
    <w:rsid w:val="00475496"/>
    <w:rsid w:val="00476AC9"/>
    <w:rsid w:val="0047798C"/>
    <w:rsid w:val="00477FFA"/>
    <w:rsid w:val="004803E5"/>
    <w:rsid w:val="00481969"/>
    <w:rsid w:val="00482B7E"/>
    <w:rsid w:val="0048356B"/>
    <w:rsid w:val="004844F5"/>
    <w:rsid w:val="0048545E"/>
    <w:rsid w:val="004864CC"/>
    <w:rsid w:val="00486E2F"/>
    <w:rsid w:val="00487DED"/>
    <w:rsid w:val="004905DA"/>
    <w:rsid w:val="0049132C"/>
    <w:rsid w:val="00493640"/>
    <w:rsid w:val="004938B8"/>
    <w:rsid w:val="00493A98"/>
    <w:rsid w:val="0049458E"/>
    <w:rsid w:val="00494BD0"/>
    <w:rsid w:val="00495462"/>
    <w:rsid w:val="00495EA7"/>
    <w:rsid w:val="004A0905"/>
    <w:rsid w:val="004A09BF"/>
    <w:rsid w:val="004A11C4"/>
    <w:rsid w:val="004A1C68"/>
    <w:rsid w:val="004A2C0F"/>
    <w:rsid w:val="004A34B7"/>
    <w:rsid w:val="004A38AD"/>
    <w:rsid w:val="004A4FF8"/>
    <w:rsid w:val="004A5136"/>
    <w:rsid w:val="004A58AC"/>
    <w:rsid w:val="004A6695"/>
    <w:rsid w:val="004A7A67"/>
    <w:rsid w:val="004B0255"/>
    <w:rsid w:val="004B08A5"/>
    <w:rsid w:val="004B09FB"/>
    <w:rsid w:val="004B0C2E"/>
    <w:rsid w:val="004B0FC6"/>
    <w:rsid w:val="004B321D"/>
    <w:rsid w:val="004B3579"/>
    <w:rsid w:val="004B4195"/>
    <w:rsid w:val="004B449D"/>
    <w:rsid w:val="004B5200"/>
    <w:rsid w:val="004B72E5"/>
    <w:rsid w:val="004C288D"/>
    <w:rsid w:val="004C3029"/>
    <w:rsid w:val="004C3152"/>
    <w:rsid w:val="004C42A5"/>
    <w:rsid w:val="004C558A"/>
    <w:rsid w:val="004C64A8"/>
    <w:rsid w:val="004C668C"/>
    <w:rsid w:val="004C67D3"/>
    <w:rsid w:val="004C77BA"/>
    <w:rsid w:val="004D049E"/>
    <w:rsid w:val="004D0502"/>
    <w:rsid w:val="004D176C"/>
    <w:rsid w:val="004D2BB4"/>
    <w:rsid w:val="004D2E78"/>
    <w:rsid w:val="004D31E0"/>
    <w:rsid w:val="004D3CCA"/>
    <w:rsid w:val="004D4616"/>
    <w:rsid w:val="004D4F27"/>
    <w:rsid w:val="004D5E42"/>
    <w:rsid w:val="004D6CAC"/>
    <w:rsid w:val="004D730F"/>
    <w:rsid w:val="004D79C6"/>
    <w:rsid w:val="004D7EDF"/>
    <w:rsid w:val="004E0038"/>
    <w:rsid w:val="004E0DCC"/>
    <w:rsid w:val="004E108D"/>
    <w:rsid w:val="004E1B32"/>
    <w:rsid w:val="004E20A1"/>
    <w:rsid w:val="004E3730"/>
    <w:rsid w:val="004E39C5"/>
    <w:rsid w:val="004E60DF"/>
    <w:rsid w:val="004E6E70"/>
    <w:rsid w:val="004E6EFA"/>
    <w:rsid w:val="004F04D0"/>
    <w:rsid w:val="004F0FB2"/>
    <w:rsid w:val="004F1444"/>
    <w:rsid w:val="004F15A2"/>
    <w:rsid w:val="004F18D2"/>
    <w:rsid w:val="004F1E7F"/>
    <w:rsid w:val="004F35C2"/>
    <w:rsid w:val="004F39F7"/>
    <w:rsid w:val="004F3AC8"/>
    <w:rsid w:val="004F4190"/>
    <w:rsid w:val="004F4BC0"/>
    <w:rsid w:val="004F5C19"/>
    <w:rsid w:val="004F70DD"/>
    <w:rsid w:val="004F7C1F"/>
    <w:rsid w:val="005006CE"/>
    <w:rsid w:val="00500A76"/>
    <w:rsid w:val="005017D9"/>
    <w:rsid w:val="005031B6"/>
    <w:rsid w:val="00503207"/>
    <w:rsid w:val="00504C8D"/>
    <w:rsid w:val="005051E2"/>
    <w:rsid w:val="00506C93"/>
    <w:rsid w:val="0050723B"/>
    <w:rsid w:val="0050746A"/>
    <w:rsid w:val="0050777F"/>
    <w:rsid w:val="0051073B"/>
    <w:rsid w:val="00510FF0"/>
    <w:rsid w:val="005116B3"/>
    <w:rsid w:val="005126BB"/>
    <w:rsid w:val="00513889"/>
    <w:rsid w:val="005142B3"/>
    <w:rsid w:val="00514935"/>
    <w:rsid w:val="00514A3D"/>
    <w:rsid w:val="00514E65"/>
    <w:rsid w:val="00515760"/>
    <w:rsid w:val="0051694D"/>
    <w:rsid w:val="00516B07"/>
    <w:rsid w:val="0052186E"/>
    <w:rsid w:val="00521A18"/>
    <w:rsid w:val="00521D26"/>
    <w:rsid w:val="005220E9"/>
    <w:rsid w:val="00523796"/>
    <w:rsid w:val="00523C52"/>
    <w:rsid w:val="00524CB0"/>
    <w:rsid w:val="00524D73"/>
    <w:rsid w:val="0052595F"/>
    <w:rsid w:val="005266DE"/>
    <w:rsid w:val="00526EE2"/>
    <w:rsid w:val="00527135"/>
    <w:rsid w:val="005272C9"/>
    <w:rsid w:val="005278C1"/>
    <w:rsid w:val="0052791E"/>
    <w:rsid w:val="00530916"/>
    <w:rsid w:val="00530ACF"/>
    <w:rsid w:val="00530B1E"/>
    <w:rsid w:val="0053156F"/>
    <w:rsid w:val="0053219E"/>
    <w:rsid w:val="00533E3C"/>
    <w:rsid w:val="0053585F"/>
    <w:rsid w:val="00535BBC"/>
    <w:rsid w:val="00536635"/>
    <w:rsid w:val="005371E8"/>
    <w:rsid w:val="00540CED"/>
    <w:rsid w:val="00540F35"/>
    <w:rsid w:val="0054153B"/>
    <w:rsid w:val="00541666"/>
    <w:rsid w:val="00541C66"/>
    <w:rsid w:val="00543951"/>
    <w:rsid w:val="005441A3"/>
    <w:rsid w:val="00544357"/>
    <w:rsid w:val="005449B2"/>
    <w:rsid w:val="00545159"/>
    <w:rsid w:val="005461CF"/>
    <w:rsid w:val="00546257"/>
    <w:rsid w:val="005467A5"/>
    <w:rsid w:val="0054681B"/>
    <w:rsid w:val="00546D7D"/>
    <w:rsid w:val="00546F72"/>
    <w:rsid w:val="00547E82"/>
    <w:rsid w:val="00550914"/>
    <w:rsid w:val="00550F98"/>
    <w:rsid w:val="0055101D"/>
    <w:rsid w:val="005512FA"/>
    <w:rsid w:val="00551CB4"/>
    <w:rsid w:val="005528FE"/>
    <w:rsid w:val="005535FD"/>
    <w:rsid w:val="005540DB"/>
    <w:rsid w:val="00554147"/>
    <w:rsid w:val="0055435C"/>
    <w:rsid w:val="005548E8"/>
    <w:rsid w:val="00554E28"/>
    <w:rsid w:val="005554A4"/>
    <w:rsid w:val="0055595F"/>
    <w:rsid w:val="00555FAA"/>
    <w:rsid w:val="00556FDF"/>
    <w:rsid w:val="00556FEA"/>
    <w:rsid w:val="00557864"/>
    <w:rsid w:val="00562846"/>
    <w:rsid w:val="005631DE"/>
    <w:rsid w:val="005643B6"/>
    <w:rsid w:val="005659AE"/>
    <w:rsid w:val="005670D9"/>
    <w:rsid w:val="005673C5"/>
    <w:rsid w:val="005676DB"/>
    <w:rsid w:val="00567B7A"/>
    <w:rsid w:val="00567E0D"/>
    <w:rsid w:val="00570775"/>
    <w:rsid w:val="0057102A"/>
    <w:rsid w:val="0057143C"/>
    <w:rsid w:val="00571897"/>
    <w:rsid w:val="005724CE"/>
    <w:rsid w:val="00572AAF"/>
    <w:rsid w:val="00572D6C"/>
    <w:rsid w:val="00572E4F"/>
    <w:rsid w:val="0057316E"/>
    <w:rsid w:val="0057362A"/>
    <w:rsid w:val="005738F1"/>
    <w:rsid w:val="0057397B"/>
    <w:rsid w:val="00573A1F"/>
    <w:rsid w:val="005740CA"/>
    <w:rsid w:val="00574646"/>
    <w:rsid w:val="00575B67"/>
    <w:rsid w:val="00575C2A"/>
    <w:rsid w:val="00576C33"/>
    <w:rsid w:val="005770C2"/>
    <w:rsid w:val="0057756F"/>
    <w:rsid w:val="00577A62"/>
    <w:rsid w:val="005802ED"/>
    <w:rsid w:val="00580979"/>
    <w:rsid w:val="00581616"/>
    <w:rsid w:val="005820EB"/>
    <w:rsid w:val="0058219D"/>
    <w:rsid w:val="00583A27"/>
    <w:rsid w:val="00583FA3"/>
    <w:rsid w:val="005842A1"/>
    <w:rsid w:val="00584E1C"/>
    <w:rsid w:val="00585CDA"/>
    <w:rsid w:val="00585F25"/>
    <w:rsid w:val="00587858"/>
    <w:rsid w:val="0059004A"/>
    <w:rsid w:val="005903E9"/>
    <w:rsid w:val="005908A3"/>
    <w:rsid w:val="005909E6"/>
    <w:rsid w:val="00591ED8"/>
    <w:rsid w:val="00592B45"/>
    <w:rsid w:val="005933B2"/>
    <w:rsid w:val="00594022"/>
    <w:rsid w:val="0059463F"/>
    <w:rsid w:val="00595033"/>
    <w:rsid w:val="00595D73"/>
    <w:rsid w:val="005965A8"/>
    <w:rsid w:val="00596792"/>
    <w:rsid w:val="00596831"/>
    <w:rsid w:val="00596971"/>
    <w:rsid w:val="005A0712"/>
    <w:rsid w:val="005A09F7"/>
    <w:rsid w:val="005A1058"/>
    <w:rsid w:val="005A1FDE"/>
    <w:rsid w:val="005A207F"/>
    <w:rsid w:val="005A2FB1"/>
    <w:rsid w:val="005A35C0"/>
    <w:rsid w:val="005A4007"/>
    <w:rsid w:val="005A402B"/>
    <w:rsid w:val="005A4208"/>
    <w:rsid w:val="005A469D"/>
    <w:rsid w:val="005A4BC6"/>
    <w:rsid w:val="005A5339"/>
    <w:rsid w:val="005A5694"/>
    <w:rsid w:val="005A5736"/>
    <w:rsid w:val="005A6ACE"/>
    <w:rsid w:val="005A773B"/>
    <w:rsid w:val="005B03B6"/>
    <w:rsid w:val="005B2959"/>
    <w:rsid w:val="005B2EBA"/>
    <w:rsid w:val="005B5DB2"/>
    <w:rsid w:val="005B5F02"/>
    <w:rsid w:val="005B7196"/>
    <w:rsid w:val="005C011C"/>
    <w:rsid w:val="005C2C72"/>
    <w:rsid w:val="005C36D4"/>
    <w:rsid w:val="005C3ACE"/>
    <w:rsid w:val="005C3C78"/>
    <w:rsid w:val="005C4474"/>
    <w:rsid w:val="005C4A27"/>
    <w:rsid w:val="005C595F"/>
    <w:rsid w:val="005C5DC0"/>
    <w:rsid w:val="005C7152"/>
    <w:rsid w:val="005C7634"/>
    <w:rsid w:val="005D098A"/>
    <w:rsid w:val="005D09D5"/>
    <w:rsid w:val="005D0C16"/>
    <w:rsid w:val="005D0C84"/>
    <w:rsid w:val="005D14F1"/>
    <w:rsid w:val="005D1D47"/>
    <w:rsid w:val="005D207B"/>
    <w:rsid w:val="005D37F2"/>
    <w:rsid w:val="005D3AB7"/>
    <w:rsid w:val="005D3CC6"/>
    <w:rsid w:val="005D4618"/>
    <w:rsid w:val="005D46A5"/>
    <w:rsid w:val="005D50C4"/>
    <w:rsid w:val="005D59D9"/>
    <w:rsid w:val="005D5B9F"/>
    <w:rsid w:val="005D6499"/>
    <w:rsid w:val="005D6601"/>
    <w:rsid w:val="005D7037"/>
    <w:rsid w:val="005E12BA"/>
    <w:rsid w:val="005E1B93"/>
    <w:rsid w:val="005E1C52"/>
    <w:rsid w:val="005E223E"/>
    <w:rsid w:val="005E311F"/>
    <w:rsid w:val="005E3131"/>
    <w:rsid w:val="005E3270"/>
    <w:rsid w:val="005E4A9B"/>
    <w:rsid w:val="005E543A"/>
    <w:rsid w:val="005E5F60"/>
    <w:rsid w:val="005E626B"/>
    <w:rsid w:val="005E6297"/>
    <w:rsid w:val="005F019C"/>
    <w:rsid w:val="005F0C75"/>
    <w:rsid w:val="005F1628"/>
    <w:rsid w:val="005F233B"/>
    <w:rsid w:val="005F2D44"/>
    <w:rsid w:val="005F2D4E"/>
    <w:rsid w:val="005F33F6"/>
    <w:rsid w:val="005F3C4D"/>
    <w:rsid w:val="005F4C43"/>
    <w:rsid w:val="005F4CC2"/>
    <w:rsid w:val="005F5BE6"/>
    <w:rsid w:val="005F7980"/>
    <w:rsid w:val="005F79FC"/>
    <w:rsid w:val="00600B86"/>
    <w:rsid w:val="00601045"/>
    <w:rsid w:val="00601453"/>
    <w:rsid w:val="00601FB6"/>
    <w:rsid w:val="006023B6"/>
    <w:rsid w:val="00602754"/>
    <w:rsid w:val="00603296"/>
    <w:rsid w:val="00603E78"/>
    <w:rsid w:val="006057AB"/>
    <w:rsid w:val="00605D3D"/>
    <w:rsid w:val="00605F41"/>
    <w:rsid w:val="0060649E"/>
    <w:rsid w:val="00606D49"/>
    <w:rsid w:val="0061052D"/>
    <w:rsid w:val="00610941"/>
    <w:rsid w:val="00611ED9"/>
    <w:rsid w:val="006125BC"/>
    <w:rsid w:val="00613579"/>
    <w:rsid w:val="00614403"/>
    <w:rsid w:val="00615AAD"/>
    <w:rsid w:val="00616F35"/>
    <w:rsid w:val="00620B2D"/>
    <w:rsid w:val="006210B3"/>
    <w:rsid w:val="00621C29"/>
    <w:rsid w:val="00621DA0"/>
    <w:rsid w:val="0062271D"/>
    <w:rsid w:val="00623571"/>
    <w:rsid w:val="00624D20"/>
    <w:rsid w:val="00624D54"/>
    <w:rsid w:val="006258C4"/>
    <w:rsid w:val="00627BC0"/>
    <w:rsid w:val="00627DC8"/>
    <w:rsid w:val="0063060C"/>
    <w:rsid w:val="00630BDF"/>
    <w:rsid w:val="00631560"/>
    <w:rsid w:val="00631819"/>
    <w:rsid w:val="006324D7"/>
    <w:rsid w:val="00632C12"/>
    <w:rsid w:val="00632E8D"/>
    <w:rsid w:val="006337F5"/>
    <w:rsid w:val="00633964"/>
    <w:rsid w:val="006342D1"/>
    <w:rsid w:val="006349CE"/>
    <w:rsid w:val="0063571F"/>
    <w:rsid w:val="006362AB"/>
    <w:rsid w:val="00637F1F"/>
    <w:rsid w:val="0064143D"/>
    <w:rsid w:val="006436D7"/>
    <w:rsid w:val="0064371F"/>
    <w:rsid w:val="00643720"/>
    <w:rsid w:val="00644237"/>
    <w:rsid w:val="00646044"/>
    <w:rsid w:val="00646510"/>
    <w:rsid w:val="006468B9"/>
    <w:rsid w:val="0064737E"/>
    <w:rsid w:val="00647564"/>
    <w:rsid w:val="0064797E"/>
    <w:rsid w:val="00652017"/>
    <w:rsid w:val="0065309E"/>
    <w:rsid w:val="00653C3D"/>
    <w:rsid w:val="006540AB"/>
    <w:rsid w:val="006548EB"/>
    <w:rsid w:val="00654DBB"/>
    <w:rsid w:val="006558F1"/>
    <w:rsid w:val="0065664F"/>
    <w:rsid w:val="006574A7"/>
    <w:rsid w:val="00657C40"/>
    <w:rsid w:val="00660274"/>
    <w:rsid w:val="00662019"/>
    <w:rsid w:val="0066254A"/>
    <w:rsid w:val="00663E5B"/>
    <w:rsid w:val="00666378"/>
    <w:rsid w:val="0066686C"/>
    <w:rsid w:val="00666C01"/>
    <w:rsid w:val="00667C11"/>
    <w:rsid w:val="00667CB1"/>
    <w:rsid w:val="0067004B"/>
    <w:rsid w:val="006713CB"/>
    <w:rsid w:val="00671535"/>
    <w:rsid w:val="00671E0C"/>
    <w:rsid w:val="00672E11"/>
    <w:rsid w:val="00673562"/>
    <w:rsid w:val="0067475A"/>
    <w:rsid w:val="0067584A"/>
    <w:rsid w:val="00676255"/>
    <w:rsid w:val="00676BFE"/>
    <w:rsid w:val="00677264"/>
    <w:rsid w:val="0068193D"/>
    <w:rsid w:val="00682254"/>
    <w:rsid w:val="006829FD"/>
    <w:rsid w:val="00683601"/>
    <w:rsid w:val="00683747"/>
    <w:rsid w:val="00683D0D"/>
    <w:rsid w:val="00683EEC"/>
    <w:rsid w:val="00684E07"/>
    <w:rsid w:val="006853A8"/>
    <w:rsid w:val="00686A97"/>
    <w:rsid w:val="00686DD4"/>
    <w:rsid w:val="00687C57"/>
    <w:rsid w:val="0069068C"/>
    <w:rsid w:val="00690E82"/>
    <w:rsid w:val="00690F89"/>
    <w:rsid w:val="00691103"/>
    <w:rsid w:val="006914CE"/>
    <w:rsid w:val="00692920"/>
    <w:rsid w:val="00692C5F"/>
    <w:rsid w:val="00694884"/>
    <w:rsid w:val="006957AA"/>
    <w:rsid w:val="006958C1"/>
    <w:rsid w:val="00695EFF"/>
    <w:rsid w:val="0069608F"/>
    <w:rsid w:val="00696FC4"/>
    <w:rsid w:val="006978F0"/>
    <w:rsid w:val="00697AB0"/>
    <w:rsid w:val="006A0F5B"/>
    <w:rsid w:val="006A163B"/>
    <w:rsid w:val="006A223A"/>
    <w:rsid w:val="006A2B13"/>
    <w:rsid w:val="006A2BAA"/>
    <w:rsid w:val="006A2D62"/>
    <w:rsid w:val="006A5815"/>
    <w:rsid w:val="006A5F18"/>
    <w:rsid w:val="006A6310"/>
    <w:rsid w:val="006A6515"/>
    <w:rsid w:val="006B041C"/>
    <w:rsid w:val="006B0D46"/>
    <w:rsid w:val="006B0F4E"/>
    <w:rsid w:val="006B1242"/>
    <w:rsid w:val="006B1A50"/>
    <w:rsid w:val="006B1B07"/>
    <w:rsid w:val="006B1D30"/>
    <w:rsid w:val="006B293A"/>
    <w:rsid w:val="006B2BB0"/>
    <w:rsid w:val="006B43AF"/>
    <w:rsid w:val="006B5039"/>
    <w:rsid w:val="006B611F"/>
    <w:rsid w:val="006B6C5C"/>
    <w:rsid w:val="006B7A31"/>
    <w:rsid w:val="006B7A92"/>
    <w:rsid w:val="006C008B"/>
    <w:rsid w:val="006C01B1"/>
    <w:rsid w:val="006C0770"/>
    <w:rsid w:val="006C12CA"/>
    <w:rsid w:val="006C1BD6"/>
    <w:rsid w:val="006C1C7A"/>
    <w:rsid w:val="006C25F2"/>
    <w:rsid w:val="006C27A3"/>
    <w:rsid w:val="006C2C13"/>
    <w:rsid w:val="006C46F4"/>
    <w:rsid w:val="006C531B"/>
    <w:rsid w:val="006C5835"/>
    <w:rsid w:val="006C5D4A"/>
    <w:rsid w:val="006C5D69"/>
    <w:rsid w:val="006C67AC"/>
    <w:rsid w:val="006C7228"/>
    <w:rsid w:val="006C7A78"/>
    <w:rsid w:val="006C7E28"/>
    <w:rsid w:val="006C7F47"/>
    <w:rsid w:val="006D02B9"/>
    <w:rsid w:val="006D0C6B"/>
    <w:rsid w:val="006D10C1"/>
    <w:rsid w:val="006D1F93"/>
    <w:rsid w:val="006D2022"/>
    <w:rsid w:val="006D28C2"/>
    <w:rsid w:val="006D38C7"/>
    <w:rsid w:val="006D56BD"/>
    <w:rsid w:val="006D597A"/>
    <w:rsid w:val="006D6147"/>
    <w:rsid w:val="006D74AE"/>
    <w:rsid w:val="006E0A07"/>
    <w:rsid w:val="006E0D7B"/>
    <w:rsid w:val="006E151E"/>
    <w:rsid w:val="006E1E6E"/>
    <w:rsid w:val="006E2042"/>
    <w:rsid w:val="006E22E3"/>
    <w:rsid w:val="006E3C8F"/>
    <w:rsid w:val="006E3F98"/>
    <w:rsid w:val="006E4CC2"/>
    <w:rsid w:val="006E53BA"/>
    <w:rsid w:val="006E6593"/>
    <w:rsid w:val="006E7335"/>
    <w:rsid w:val="006E7DCE"/>
    <w:rsid w:val="006F0570"/>
    <w:rsid w:val="006F0833"/>
    <w:rsid w:val="006F1FC9"/>
    <w:rsid w:val="006F3484"/>
    <w:rsid w:val="006F3BC8"/>
    <w:rsid w:val="006F457D"/>
    <w:rsid w:val="006F49C8"/>
    <w:rsid w:val="006F528C"/>
    <w:rsid w:val="006F5A4B"/>
    <w:rsid w:val="006F5F8C"/>
    <w:rsid w:val="006F6231"/>
    <w:rsid w:val="006F691B"/>
    <w:rsid w:val="006F707F"/>
    <w:rsid w:val="006F726E"/>
    <w:rsid w:val="006F7A23"/>
    <w:rsid w:val="006F7A4B"/>
    <w:rsid w:val="006F7A84"/>
    <w:rsid w:val="006F7E4B"/>
    <w:rsid w:val="007009FD"/>
    <w:rsid w:val="00701D98"/>
    <w:rsid w:val="00702550"/>
    <w:rsid w:val="007034BF"/>
    <w:rsid w:val="00703E74"/>
    <w:rsid w:val="00704B86"/>
    <w:rsid w:val="00704E90"/>
    <w:rsid w:val="007055F5"/>
    <w:rsid w:val="007056F5"/>
    <w:rsid w:val="00705ABD"/>
    <w:rsid w:val="00707F46"/>
    <w:rsid w:val="007122DF"/>
    <w:rsid w:val="0071251E"/>
    <w:rsid w:val="00712B5D"/>
    <w:rsid w:val="00713136"/>
    <w:rsid w:val="00713A3F"/>
    <w:rsid w:val="00713E34"/>
    <w:rsid w:val="00713FD7"/>
    <w:rsid w:val="00714149"/>
    <w:rsid w:val="00714BD0"/>
    <w:rsid w:val="0071536F"/>
    <w:rsid w:val="00715E42"/>
    <w:rsid w:val="00715F4B"/>
    <w:rsid w:val="007162FA"/>
    <w:rsid w:val="00716488"/>
    <w:rsid w:val="007167BD"/>
    <w:rsid w:val="00716C49"/>
    <w:rsid w:val="007172FC"/>
    <w:rsid w:val="0071749C"/>
    <w:rsid w:val="00720EC4"/>
    <w:rsid w:val="00722631"/>
    <w:rsid w:val="00722BD7"/>
    <w:rsid w:val="0072357A"/>
    <w:rsid w:val="00723A64"/>
    <w:rsid w:val="00724CB7"/>
    <w:rsid w:val="00725063"/>
    <w:rsid w:val="00725647"/>
    <w:rsid w:val="007265C5"/>
    <w:rsid w:val="00730DD6"/>
    <w:rsid w:val="007346F5"/>
    <w:rsid w:val="00735159"/>
    <w:rsid w:val="007358D9"/>
    <w:rsid w:val="00737B2E"/>
    <w:rsid w:val="00740477"/>
    <w:rsid w:val="007407B7"/>
    <w:rsid w:val="007412A3"/>
    <w:rsid w:val="00741353"/>
    <w:rsid w:val="0074139B"/>
    <w:rsid w:val="00741472"/>
    <w:rsid w:val="007417D1"/>
    <w:rsid w:val="00741A8D"/>
    <w:rsid w:val="007423A2"/>
    <w:rsid w:val="00743A8D"/>
    <w:rsid w:val="0074475D"/>
    <w:rsid w:val="00744A65"/>
    <w:rsid w:val="00745AA6"/>
    <w:rsid w:val="007462D0"/>
    <w:rsid w:val="00750BB8"/>
    <w:rsid w:val="00752D7B"/>
    <w:rsid w:val="00754E91"/>
    <w:rsid w:val="00755C25"/>
    <w:rsid w:val="0075691C"/>
    <w:rsid w:val="00756B5B"/>
    <w:rsid w:val="00756BB1"/>
    <w:rsid w:val="0075776B"/>
    <w:rsid w:val="00757F91"/>
    <w:rsid w:val="007611AB"/>
    <w:rsid w:val="00762290"/>
    <w:rsid w:val="00762951"/>
    <w:rsid w:val="007630AD"/>
    <w:rsid w:val="00763B58"/>
    <w:rsid w:val="00764368"/>
    <w:rsid w:val="00764E15"/>
    <w:rsid w:val="00764FDD"/>
    <w:rsid w:val="00765BF9"/>
    <w:rsid w:val="00765FBD"/>
    <w:rsid w:val="00767CB0"/>
    <w:rsid w:val="007725AD"/>
    <w:rsid w:val="00772A79"/>
    <w:rsid w:val="00772FD8"/>
    <w:rsid w:val="00774D3A"/>
    <w:rsid w:val="00775700"/>
    <w:rsid w:val="00775FDE"/>
    <w:rsid w:val="00776103"/>
    <w:rsid w:val="0077634D"/>
    <w:rsid w:val="0077693D"/>
    <w:rsid w:val="007779E6"/>
    <w:rsid w:val="00777CAC"/>
    <w:rsid w:val="007800EE"/>
    <w:rsid w:val="0078025C"/>
    <w:rsid w:val="007802D6"/>
    <w:rsid w:val="00781E92"/>
    <w:rsid w:val="007820C2"/>
    <w:rsid w:val="00782E2D"/>
    <w:rsid w:val="00783726"/>
    <w:rsid w:val="00783CB7"/>
    <w:rsid w:val="00783D72"/>
    <w:rsid w:val="00784199"/>
    <w:rsid w:val="00784F30"/>
    <w:rsid w:val="00785ADE"/>
    <w:rsid w:val="0078653E"/>
    <w:rsid w:val="00787F19"/>
    <w:rsid w:val="00790171"/>
    <w:rsid w:val="00790446"/>
    <w:rsid w:val="00793477"/>
    <w:rsid w:val="007942B3"/>
    <w:rsid w:val="00794A5D"/>
    <w:rsid w:val="00796126"/>
    <w:rsid w:val="00796A5E"/>
    <w:rsid w:val="00796F61"/>
    <w:rsid w:val="00797442"/>
    <w:rsid w:val="007A0314"/>
    <w:rsid w:val="007A0F7E"/>
    <w:rsid w:val="007A12C5"/>
    <w:rsid w:val="007A2893"/>
    <w:rsid w:val="007A3069"/>
    <w:rsid w:val="007A3AF0"/>
    <w:rsid w:val="007A4475"/>
    <w:rsid w:val="007A4F1B"/>
    <w:rsid w:val="007A60E7"/>
    <w:rsid w:val="007A6678"/>
    <w:rsid w:val="007A738A"/>
    <w:rsid w:val="007B002F"/>
    <w:rsid w:val="007B03FD"/>
    <w:rsid w:val="007B0FAF"/>
    <w:rsid w:val="007B1720"/>
    <w:rsid w:val="007B1806"/>
    <w:rsid w:val="007B1C8C"/>
    <w:rsid w:val="007B1FD4"/>
    <w:rsid w:val="007B2BA6"/>
    <w:rsid w:val="007B2F91"/>
    <w:rsid w:val="007B46BB"/>
    <w:rsid w:val="007B4B99"/>
    <w:rsid w:val="007B582A"/>
    <w:rsid w:val="007B7D65"/>
    <w:rsid w:val="007C0BCB"/>
    <w:rsid w:val="007C1A4D"/>
    <w:rsid w:val="007C1C3F"/>
    <w:rsid w:val="007C2218"/>
    <w:rsid w:val="007C385C"/>
    <w:rsid w:val="007C3F6C"/>
    <w:rsid w:val="007C472E"/>
    <w:rsid w:val="007C4F5C"/>
    <w:rsid w:val="007C4FFC"/>
    <w:rsid w:val="007C5FB5"/>
    <w:rsid w:val="007C79BD"/>
    <w:rsid w:val="007D067A"/>
    <w:rsid w:val="007D097D"/>
    <w:rsid w:val="007D112C"/>
    <w:rsid w:val="007D139D"/>
    <w:rsid w:val="007D2349"/>
    <w:rsid w:val="007D2884"/>
    <w:rsid w:val="007D2AAF"/>
    <w:rsid w:val="007D396D"/>
    <w:rsid w:val="007D4944"/>
    <w:rsid w:val="007D4A18"/>
    <w:rsid w:val="007D4F97"/>
    <w:rsid w:val="007D5322"/>
    <w:rsid w:val="007D5D85"/>
    <w:rsid w:val="007D72FB"/>
    <w:rsid w:val="007D7B69"/>
    <w:rsid w:val="007E03EA"/>
    <w:rsid w:val="007E0701"/>
    <w:rsid w:val="007E1BF4"/>
    <w:rsid w:val="007E2011"/>
    <w:rsid w:val="007E4B9D"/>
    <w:rsid w:val="007E4CC2"/>
    <w:rsid w:val="007E4E2D"/>
    <w:rsid w:val="007E643D"/>
    <w:rsid w:val="007E6C7C"/>
    <w:rsid w:val="007E7BA0"/>
    <w:rsid w:val="007F190C"/>
    <w:rsid w:val="007F1DFA"/>
    <w:rsid w:val="007F4620"/>
    <w:rsid w:val="007F500B"/>
    <w:rsid w:val="007F52FA"/>
    <w:rsid w:val="007F6EC8"/>
    <w:rsid w:val="007F77C6"/>
    <w:rsid w:val="007F7B2C"/>
    <w:rsid w:val="007F7E84"/>
    <w:rsid w:val="0080047F"/>
    <w:rsid w:val="00801958"/>
    <w:rsid w:val="00802834"/>
    <w:rsid w:val="0080416A"/>
    <w:rsid w:val="00804AA2"/>
    <w:rsid w:val="00804B00"/>
    <w:rsid w:val="008061BD"/>
    <w:rsid w:val="008068BA"/>
    <w:rsid w:val="00806DAC"/>
    <w:rsid w:val="00807994"/>
    <w:rsid w:val="00807E4D"/>
    <w:rsid w:val="00810C01"/>
    <w:rsid w:val="00810FAF"/>
    <w:rsid w:val="0081446D"/>
    <w:rsid w:val="00816D1C"/>
    <w:rsid w:val="00817075"/>
    <w:rsid w:val="008176F1"/>
    <w:rsid w:val="00817FAE"/>
    <w:rsid w:val="00820B1D"/>
    <w:rsid w:val="008213DA"/>
    <w:rsid w:val="00821B81"/>
    <w:rsid w:val="00821BF6"/>
    <w:rsid w:val="00822B49"/>
    <w:rsid w:val="0082554B"/>
    <w:rsid w:val="00825553"/>
    <w:rsid w:val="00825918"/>
    <w:rsid w:val="00826042"/>
    <w:rsid w:val="008264B0"/>
    <w:rsid w:val="008268F5"/>
    <w:rsid w:val="008270BF"/>
    <w:rsid w:val="00827A56"/>
    <w:rsid w:val="00827D98"/>
    <w:rsid w:val="00827F16"/>
    <w:rsid w:val="0083027F"/>
    <w:rsid w:val="008308A5"/>
    <w:rsid w:val="00830B2D"/>
    <w:rsid w:val="008310C9"/>
    <w:rsid w:val="00831F4A"/>
    <w:rsid w:val="0083227B"/>
    <w:rsid w:val="0083382D"/>
    <w:rsid w:val="00834914"/>
    <w:rsid w:val="00835020"/>
    <w:rsid w:val="0083532F"/>
    <w:rsid w:val="00835C6F"/>
    <w:rsid w:val="00837493"/>
    <w:rsid w:val="00837623"/>
    <w:rsid w:val="008376EA"/>
    <w:rsid w:val="00837A72"/>
    <w:rsid w:val="008409C4"/>
    <w:rsid w:val="00840EEA"/>
    <w:rsid w:val="008410C5"/>
    <w:rsid w:val="008416CA"/>
    <w:rsid w:val="00841FB7"/>
    <w:rsid w:val="00842646"/>
    <w:rsid w:val="00843B55"/>
    <w:rsid w:val="008440D8"/>
    <w:rsid w:val="008444C5"/>
    <w:rsid w:val="00845384"/>
    <w:rsid w:val="00845F21"/>
    <w:rsid w:val="0084612C"/>
    <w:rsid w:val="008464BE"/>
    <w:rsid w:val="00847641"/>
    <w:rsid w:val="0085231F"/>
    <w:rsid w:val="00852C41"/>
    <w:rsid w:val="00852D16"/>
    <w:rsid w:val="00852EB2"/>
    <w:rsid w:val="00853422"/>
    <w:rsid w:val="00853777"/>
    <w:rsid w:val="00853A23"/>
    <w:rsid w:val="0085490F"/>
    <w:rsid w:val="00855674"/>
    <w:rsid w:val="00856DE1"/>
    <w:rsid w:val="00856F62"/>
    <w:rsid w:val="00857142"/>
    <w:rsid w:val="00857351"/>
    <w:rsid w:val="0085767E"/>
    <w:rsid w:val="008618F2"/>
    <w:rsid w:val="0086354B"/>
    <w:rsid w:val="00863BFC"/>
    <w:rsid w:val="00865D3A"/>
    <w:rsid w:val="00865FC0"/>
    <w:rsid w:val="00866420"/>
    <w:rsid w:val="00866DBF"/>
    <w:rsid w:val="008676AA"/>
    <w:rsid w:val="00867A5D"/>
    <w:rsid w:val="0087011D"/>
    <w:rsid w:val="008710EC"/>
    <w:rsid w:val="00871485"/>
    <w:rsid w:val="0087346B"/>
    <w:rsid w:val="00875A0D"/>
    <w:rsid w:val="00875C3F"/>
    <w:rsid w:val="00876746"/>
    <w:rsid w:val="008768A0"/>
    <w:rsid w:val="008776B5"/>
    <w:rsid w:val="00877A02"/>
    <w:rsid w:val="0088047F"/>
    <w:rsid w:val="00880E82"/>
    <w:rsid w:val="00881D8E"/>
    <w:rsid w:val="00882559"/>
    <w:rsid w:val="00882C0E"/>
    <w:rsid w:val="008832C7"/>
    <w:rsid w:val="008837E0"/>
    <w:rsid w:val="00884C49"/>
    <w:rsid w:val="00884D74"/>
    <w:rsid w:val="00884E71"/>
    <w:rsid w:val="00885D6C"/>
    <w:rsid w:val="00886D19"/>
    <w:rsid w:val="00887247"/>
    <w:rsid w:val="00890814"/>
    <w:rsid w:val="00890E11"/>
    <w:rsid w:val="00891961"/>
    <w:rsid w:val="00891A12"/>
    <w:rsid w:val="00891EEE"/>
    <w:rsid w:val="0089322C"/>
    <w:rsid w:val="00893471"/>
    <w:rsid w:val="0089392B"/>
    <w:rsid w:val="00893CE0"/>
    <w:rsid w:val="00895CF3"/>
    <w:rsid w:val="008963AD"/>
    <w:rsid w:val="00896B8E"/>
    <w:rsid w:val="008978A4"/>
    <w:rsid w:val="008A0628"/>
    <w:rsid w:val="008A0897"/>
    <w:rsid w:val="008A0E89"/>
    <w:rsid w:val="008A1B03"/>
    <w:rsid w:val="008A2A92"/>
    <w:rsid w:val="008A2DF6"/>
    <w:rsid w:val="008A3749"/>
    <w:rsid w:val="008A3D25"/>
    <w:rsid w:val="008A3F1B"/>
    <w:rsid w:val="008A4148"/>
    <w:rsid w:val="008A50A9"/>
    <w:rsid w:val="008A53D4"/>
    <w:rsid w:val="008A5D4D"/>
    <w:rsid w:val="008A67D8"/>
    <w:rsid w:val="008A6FBE"/>
    <w:rsid w:val="008A79DB"/>
    <w:rsid w:val="008B01DD"/>
    <w:rsid w:val="008B0857"/>
    <w:rsid w:val="008B0E10"/>
    <w:rsid w:val="008B185B"/>
    <w:rsid w:val="008B3B2B"/>
    <w:rsid w:val="008B4AE0"/>
    <w:rsid w:val="008B4C2D"/>
    <w:rsid w:val="008B581E"/>
    <w:rsid w:val="008B5CA3"/>
    <w:rsid w:val="008B640F"/>
    <w:rsid w:val="008B7EDF"/>
    <w:rsid w:val="008C00DE"/>
    <w:rsid w:val="008C1338"/>
    <w:rsid w:val="008C17FD"/>
    <w:rsid w:val="008C1D2C"/>
    <w:rsid w:val="008C2147"/>
    <w:rsid w:val="008C256A"/>
    <w:rsid w:val="008C2896"/>
    <w:rsid w:val="008C38B1"/>
    <w:rsid w:val="008C4960"/>
    <w:rsid w:val="008C6961"/>
    <w:rsid w:val="008C6B2B"/>
    <w:rsid w:val="008C6F7E"/>
    <w:rsid w:val="008C7252"/>
    <w:rsid w:val="008C7CA4"/>
    <w:rsid w:val="008C7F55"/>
    <w:rsid w:val="008D02A0"/>
    <w:rsid w:val="008D05A7"/>
    <w:rsid w:val="008D1858"/>
    <w:rsid w:val="008D2766"/>
    <w:rsid w:val="008D3D49"/>
    <w:rsid w:val="008D4021"/>
    <w:rsid w:val="008D4466"/>
    <w:rsid w:val="008D5FAD"/>
    <w:rsid w:val="008D64BC"/>
    <w:rsid w:val="008D6904"/>
    <w:rsid w:val="008E03FD"/>
    <w:rsid w:val="008E1295"/>
    <w:rsid w:val="008E2AB3"/>
    <w:rsid w:val="008E2CE3"/>
    <w:rsid w:val="008E3BB5"/>
    <w:rsid w:val="008E583B"/>
    <w:rsid w:val="008E658D"/>
    <w:rsid w:val="008E6BCC"/>
    <w:rsid w:val="008E7F15"/>
    <w:rsid w:val="008F0998"/>
    <w:rsid w:val="008F18D7"/>
    <w:rsid w:val="008F19F7"/>
    <w:rsid w:val="008F3E35"/>
    <w:rsid w:val="008F5875"/>
    <w:rsid w:val="008F5964"/>
    <w:rsid w:val="008F5972"/>
    <w:rsid w:val="008F5C51"/>
    <w:rsid w:val="008F6C76"/>
    <w:rsid w:val="008F6D13"/>
    <w:rsid w:val="008F6F4F"/>
    <w:rsid w:val="008F78FE"/>
    <w:rsid w:val="008F7E8D"/>
    <w:rsid w:val="009005A0"/>
    <w:rsid w:val="00901353"/>
    <w:rsid w:val="00901641"/>
    <w:rsid w:val="0090297F"/>
    <w:rsid w:val="00903A91"/>
    <w:rsid w:val="00903C33"/>
    <w:rsid w:val="009046F1"/>
    <w:rsid w:val="0090514F"/>
    <w:rsid w:val="00905EE6"/>
    <w:rsid w:val="009063AF"/>
    <w:rsid w:val="009064F0"/>
    <w:rsid w:val="009066BC"/>
    <w:rsid w:val="009077BB"/>
    <w:rsid w:val="00910E16"/>
    <w:rsid w:val="009111A1"/>
    <w:rsid w:val="00911311"/>
    <w:rsid w:val="00911DC1"/>
    <w:rsid w:val="009124F8"/>
    <w:rsid w:val="00914A82"/>
    <w:rsid w:val="00914D11"/>
    <w:rsid w:val="00915AB2"/>
    <w:rsid w:val="00915BEF"/>
    <w:rsid w:val="009167D6"/>
    <w:rsid w:val="0091784E"/>
    <w:rsid w:val="009218DA"/>
    <w:rsid w:val="009219F1"/>
    <w:rsid w:val="00922755"/>
    <w:rsid w:val="00924E3A"/>
    <w:rsid w:val="00924F4D"/>
    <w:rsid w:val="00925A25"/>
    <w:rsid w:val="009260A8"/>
    <w:rsid w:val="00926436"/>
    <w:rsid w:val="00926DAD"/>
    <w:rsid w:val="009274F1"/>
    <w:rsid w:val="00930221"/>
    <w:rsid w:val="00930BEB"/>
    <w:rsid w:val="009333E3"/>
    <w:rsid w:val="009342F9"/>
    <w:rsid w:val="00936DD8"/>
    <w:rsid w:val="00937AD8"/>
    <w:rsid w:val="00937AE0"/>
    <w:rsid w:val="00937DC5"/>
    <w:rsid w:val="0094173B"/>
    <w:rsid w:val="00941844"/>
    <w:rsid w:val="0094278E"/>
    <w:rsid w:val="00942B6C"/>
    <w:rsid w:val="00942EE8"/>
    <w:rsid w:val="00943586"/>
    <w:rsid w:val="00943761"/>
    <w:rsid w:val="00943B3A"/>
    <w:rsid w:val="00943EEE"/>
    <w:rsid w:val="0094558C"/>
    <w:rsid w:val="009471AE"/>
    <w:rsid w:val="00950C56"/>
    <w:rsid w:val="00952221"/>
    <w:rsid w:val="00953364"/>
    <w:rsid w:val="00954555"/>
    <w:rsid w:val="00954791"/>
    <w:rsid w:val="00955F68"/>
    <w:rsid w:val="00956315"/>
    <w:rsid w:val="00957F9B"/>
    <w:rsid w:val="00960B20"/>
    <w:rsid w:val="00960B79"/>
    <w:rsid w:val="00961815"/>
    <w:rsid w:val="00961D17"/>
    <w:rsid w:val="009623C6"/>
    <w:rsid w:val="00963160"/>
    <w:rsid w:val="009635A7"/>
    <w:rsid w:val="009637C1"/>
    <w:rsid w:val="0096396F"/>
    <w:rsid w:val="0096453D"/>
    <w:rsid w:val="00965D58"/>
    <w:rsid w:val="00965F74"/>
    <w:rsid w:val="009667BE"/>
    <w:rsid w:val="00967189"/>
    <w:rsid w:val="00967989"/>
    <w:rsid w:val="00967D65"/>
    <w:rsid w:val="00970316"/>
    <w:rsid w:val="00970E77"/>
    <w:rsid w:val="009725D5"/>
    <w:rsid w:val="0097268F"/>
    <w:rsid w:val="00973CB2"/>
    <w:rsid w:val="0097491D"/>
    <w:rsid w:val="009753BE"/>
    <w:rsid w:val="00975B4F"/>
    <w:rsid w:val="00975BDE"/>
    <w:rsid w:val="00977543"/>
    <w:rsid w:val="00977A42"/>
    <w:rsid w:val="00977D4F"/>
    <w:rsid w:val="0098038F"/>
    <w:rsid w:val="009815DC"/>
    <w:rsid w:val="00981A63"/>
    <w:rsid w:val="00982100"/>
    <w:rsid w:val="00982EE3"/>
    <w:rsid w:val="00983C5F"/>
    <w:rsid w:val="00984FCE"/>
    <w:rsid w:val="00985410"/>
    <w:rsid w:val="0098555F"/>
    <w:rsid w:val="00986264"/>
    <w:rsid w:val="00986E6F"/>
    <w:rsid w:val="009879DD"/>
    <w:rsid w:val="00987E58"/>
    <w:rsid w:val="0099004D"/>
    <w:rsid w:val="00990648"/>
    <w:rsid w:val="00990E7A"/>
    <w:rsid w:val="009928DD"/>
    <w:rsid w:val="009942F8"/>
    <w:rsid w:val="009943BB"/>
    <w:rsid w:val="009944ED"/>
    <w:rsid w:val="00996F2E"/>
    <w:rsid w:val="00997DDC"/>
    <w:rsid w:val="009A0695"/>
    <w:rsid w:val="009A06A8"/>
    <w:rsid w:val="009A0C68"/>
    <w:rsid w:val="009A13BE"/>
    <w:rsid w:val="009A3710"/>
    <w:rsid w:val="009A37AD"/>
    <w:rsid w:val="009A3816"/>
    <w:rsid w:val="009A3CAB"/>
    <w:rsid w:val="009A3DA1"/>
    <w:rsid w:val="009A3DA5"/>
    <w:rsid w:val="009A44B6"/>
    <w:rsid w:val="009A5303"/>
    <w:rsid w:val="009A5444"/>
    <w:rsid w:val="009A6ABC"/>
    <w:rsid w:val="009A7040"/>
    <w:rsid w:val="009A7088"/>
    <w:rsid w:val="009A7B1B"/>
    <w:rsid w:val="009A7FE3"/>
    <w:rsid w:val="009B0181"/>
    <w:rsid w:val="009B17C8"/>
    <w:rsid w:val="009B1A4E"/>
    <w:rsid w:val="009B2419"/>
    <w:rsid w:val="009B38F2"/>
    <w:rsid w:val="009B3D7B"/>
    <w:rsid w:val="009B4EB4"/>
    <w:rsid w:val="009B5D4C"/>
    <w:rsid w:val="009B72C8"/>
    <w:rsid w:val="009B7D5C"/>
    <w:rsid w:val="009B7F9E"/>
    <w:rsid w:val="009C0059"/>
    <w:rsid w:val="009C091D"/>
    <w:rsid w:val="009C2617"/>
    <w:rsid w:val="009C27F5"/>
    <w:rsid w:val="009C3579"/>
    <w:rsid w:val="009C3CC2"/>
    <w:rsid w:val="009C42B6"/>
    <w:rsid w:val="009C4D0C"/>
    <w:rsid w:val="009C4E01"/>
    <w:rsid w:val="009C4E9B"/>
    <w:rsid w:val="009C5091"/>
    <w:rsid w:val="009C58C5"/>
    <w:rsid w:val="009C69C0"/>
    <w:rsid w:val="009C6F8E"/>
    <w:rsid w:val="009C7BCF"/>
    <w:rsid w:val="009C7D4E"/>
    <w:rsid w:val="009D1616"/>
    <w:rsid w:val="009D19A4"/>
    <w:rsid w:val="009D2061"/>
    <w:rsid w:val="009D228F"/>
    <w:rsid w:val="009D2495"/>
    <w:rsid w:val="009D2FE0"/>
    <w:rsid w:val="009D3789"/>
    <w:rsid w:val="009D3894"/>
    <w:rsid w:val="009D3AF0"/>
    <w:rsid w:val="009D3B4C"/>
    <w:rsid w:val="009D4019"/>
    <w:rsid w:val="009D5036"/>
    <w:rsid w:val="009D6BB3"/>
    <w:rsid w:val="009D7178"/>
    <w:rsid w:val="009D7929"/>
    <w:rsid w:val="009D7C92"/>
    <w:rsid w:val="009E0D6C"/>
    <w:rsid w:val="009E24F8"/>
    <w:rsid w:val="009E296B"/>
    <w:rsid w:val="009E3FA4"/>
    <w:rsid w:val="009E4DF5"/>
    <w:rsid w:val="009E55E8"/>
    <w:rsid w:val="009E5803"/>
    <w:rsid w:val="009E67C9"/>
    <w:rsid w:val="009E6B1C"/>
    <w:rsid w:val="009E6BAB"/>
    <w:rsid w:val="009E7FE9"/>
    <w:rsid w:val="009F0089"/>
    <w:rsid w:val="009F04B7"/>
    <w:rsid w:val="009F08CA"/>
    <w:rsid w:val="009F153B"/>
    <w:rsid w:val="009F1784"/>
    <w:rsid w:val="009F1BFD"/>
    <w:rsid w:val="009F21B3"/>
    <w:rsid w:val="009F24F5"/>
    <w:rsid w:val="009F2BA2"/>
    <w:rsid w:val="009F2D20"/>
    <w:rsid w:val="009F302E"/>
    <w:rsid w:val="009F3396"/>
    <w:rsid w:val="009F3584"/>
    <w:rsid w:val="009F4AB3"/>
    <w:rsid w:val="009F5D77"/>
    <w:rsid w:val="009F6E57"/>
    <w:rsid w:val="009F7A91"/>
    <w:rsid w:val="009F7D44"/>
    <w:rsid w:val="00A00368"/>
    <w:rsid w:val="00A00CCA"/>
    <w:rsid w:val="00A01011"/>
    <w:rsid w:val="00A01D4E"/>
    <w:rsid w:val="00A0312F"/>
    <w:rsid w:val="00A0315E"/>
    <w:rsid w:val="00A039AE"/>
    <w:rsid w:val="00A04053"/>
    <w:rsid w:val="00A04D67"/>
    <w:rsid w:val="00A05B27"/>
    <w:rsid w:val="00A06808"/>
    <w:rsid w:val="00A07432"/>
    <w:rsid w:val="00A07501"/>
    <w:rsid w:val="00A07762"/>
    <w:rsid w:val="00A079DF"/>
    <w:rsid w:val="00A10D71"/>
    <w:rsid w:val="00A10E97"/>
    <w:rsid w:val="00A11093"/>
    <w:rsid w:val="00A12168"/>
    <w:rsid w:val="00A129CB"/>
    <w:rsid w:val="00A13324"/>
    <w:rsid w:val="00A14AAA"/>
    <w:rsid w:val="00A14DCB"/>
    <w:rsid w:val="00A15444"/>
    <w:rsid w:val="00A1600E"/>
    <w:rsid w:val="00A1606D"/>
    <w:rsid w:val="00A165AC"/>
    <w:rsid w:val="00A16648"/>
    <w:rsid w:val="00A169E1"/>
    <w:rsid w:val="00A17779"/>
    <w:rsid w:val="00A17E5E"/>
    <w:rsid w:val="00A2136A"/>
    <w:rsid w:val="00A2189C"/>
    <w:rsid w:val="00A21B8F"/>
    <w:rsid w:val="00A21C5C"/>
    <w:rsid w:val="00A23762"/>
    <w:rsid w:val="00A241A4"/>
    <w:rsid w:val="00A248B3"/>
    <w:rsid w:val="00A25729"/>
    <w:rsid w:val="00A25865"/>
    <w:rsid w:val="00A2708D"/>
    <w:rsid w:val="00A27480"/>
    <w:rsid w:val="00A27C05"/>
    <w:rsid w:val="00A30149"/>
    <w:rsid w:val="00A30A0D"/>
    <w:rsid w:val="00A31817"/>
    <w:rsid w:val="00A31965"/>
    <w:rsid w:val="00A321C3"/>
    <w:rsid w:val="00A33EC3"/>
    <w:rsid w:val="00A34674"/>
    <w:rsid w:val="00A3473C"/>
    <w:rsid w:val="00A353EA"/>
    <w:rsid w:val="00A36020"/>
    <w:rsid w:val="00A36145"/>
    <w:rsid w:val="00A36871"/>
    <w:rsid w:val="00A36E52"/>
    <w:rsid w:val="00A37C73"/>
    <w:rsid w:val="00A407B3"/>
    <w:rsid w:val="00A4155C"/>
    <w:rsid w:val="00A41EDE"/>
    <w:rsid w:val="00A42273"/>
    <w:rsid w:val="00A42ED0"/>
    <w:rsid w:val="00A43648"/>
    <w:rsid w:val="00A439DE"/>
    <w:rsid w:val="00A43F57"/>
    <w:rsid w:val="00A4437E"/>
    <w:rsid w:val="00A45701"/>
    <w:rsid w:val="00A457C7"/>
    <w:rsid w:val="00A45881"/>
    <w:rsid w:val="00A46362"/>
    <w:rsid w:val="00A47217"/>
    <w:rsid w:val="00A475DC"/>
    <w:rsid w:val="00A47AF7"/>
    <w:rsid w:val="00A503C6"/>
    <w:rsid w:val="00A5197D"/>
    <w:rsid w:val="00A52D17"/>
    <w:rsid w:val="00A53786"/>
    <w:rsid w:val="00A54432"/>
    <w:rsid w:val="00A55AFC"/>
    <w:rsid w:val="00A5699D"/>
    <w:rsid w:val="00A57A6A"/>
    <w:rsid w:val="00A57AC3"/>
    <w:rsid w:val="00A60DE6"/>
    <w:rsid w:val="00A63159"/>
    <w:rsid w:val="00A63B97"/>
    <w:rsid w:val="00A64415"/>
    <w:rsid w:val="00A64E70"/>
    <w:rsid w:val="00A66AB6"/>
    <w:rsid w:val="00A70218"/>
    <w:rsid w:val="00A70287"/>
    <w:rsid w:val="00A71211"/>
    <w:rsid w:val="00A71458"/>
    <w:rsid w:val="00A720B0"/>
    <w:rsid w:val="00A72163"/>
    <w:rsid w:val="00A7306C"/>
    <w:rsid w:val="00A73240"/>
    <w:rsid w:val="00A73363"/>
    <w:rsid w:val="00A738A6"/>
    <w:rsid w:val="00A74546"/>
    <w:rsid w:val="00A746B3"/>
    <w:rsid w:val="00A757A1"/>
    <w:rsid w:val="00A8180A"/>
    <w:rsid w:val="00A822E8"/>
    <w:rsid w:val="00A828FD"/>
    <w:rsid w:val="00A83B51"/>
    <w:rsid w:val="00A83C6B"/>
    <w:rsid w:val="00A841E9"/>
    <w:rsid w:val="00A84EBC"/>
    <w:rsid w:val="00A86A34"/>
    <w:rsid w:val="00A87971"/>
    <w:rsid w:val="00A910D0"/>
    <w:rsid w:val="00A91870"/>
    <w:rsid w:val="00A9372A"/>
    <w:rsid w:val="00A9386D"/>
    <w:rsid w:val="00A94047"/>
    <w:rsid w:val="00A94DEA"/>
    <w:rsid w:val="00A95D2A"/>
    <w:rsid w:val="00A9668D"/>
    <w:rsid w:val="00A9795C"/>
    <w:rsid w:val="00AA00F3"/>
    <w:rsid w:val="00AA13CC"/>
    <w:rsid w:val="00AA14E7"/>
    <w:rsid w:val="00AA16A8"/>
    <w:rsid w:val="00AA2146"/>
    <w:rsid w:val="00AA246B"/>
    <w:rsid w:val="00AA2CFA"/>
    <w:rsid w:val="00AA3763"/>
    <w:rsid w:val="00AA37EA"/>
    <w:rsid w:val="00AA3AE7"/>
    <w:rsid w:val="00AA3D34"/>
    <w:rsid w:val="00AA55D7"/>
    <w:rsid w:val="00AA5B4B"/>
    <w:rsid w:val="00AA5D5C"/>
    <w:rsid w:val="00AA6F97"/>
    <w:rsid w:val="00AA71E4"/>
    <w:rsid w:val="00AB0B69"/>
    <w:rsid w:val="00AB175B"/>
    <w:rsid w:val="00AB1A76"/>
    <w:rsid w:val="00AB1B78"/>
    <w:rsid w:val="00AB1E4F"/>
    <w:rsid w:val="00AB21EB"/>
    <w:rsid w:val="00AB37BB"/>
    <w:rsid w:val="00AB47B5"/>
    <w:rsid w:val="00AB5C42"/>
    <w:rsid w:val="00AB5DFA"/>
    <w:rsid w:val="00AB62E6"/>
    <w:rsid w:val="00AB6868"/>
    <w:rsid w:val="00AB6D41"/>
    <w:rsid w:val="00AC0215"/>
    <w:rsid w:val="00AC0B22"/>
    <w:rsid w:val="00AC0D81"/>
    <w:rsid w:val="00AC1481"/>
    <w:rsid w:val="00AC1D46"/>
    <w:rsid w:val="00AC2A9E"/>
    <w:rsid w:val="00AC359B"/>
    <w:rsid w:val="00AC3ECC"/>
    <w:rsid w:val="00AC4A2B"/>
    <w:rsid w:val="00AC56DB"/>
    <w:rsid w:val="00AC5F42"/>
    <w:rsid w:val="00AC5F5E"/>
    <w:rsid w:val="00AC631C"/>
    <w:rsid w:val="00AC63EE"/>
    <w:rsid w:val="00AC6B2D"/>
    <w:rsid w:val="00AC6D50"/>
    <w:rsid w:val="00AC6E7A"/>
    <w:rsid w:val="00AC78B6"/>
    <w:rsid w:val="00AD05AD"/>
    <w:rsid w:val="00AD08F7"/>
    <w:rsid w:val="00AD11BD"/>
    <w:rsid w:val="00AD13DF"/>
    <w:rsid w:val="00AD23E8"/>
    <w:rsid w:val="00AD2C90"/>
    <w:rsid w:val="00AD380F"/>
    <w:rsid w:val="00AD3D64"/>
    <w:rsid w:val="00AD53F8"/>
    <w:rsid w:val="00AD5E45"/>
    <w:rsid w:val="00AD796F"/>
    <w:rsid w:val="00AD7A9B"/>
    <w:rsid w:val="00AD7FA4"/>
    <w:rsid w:val="00AE0853"/>
    <w:rsid w:val="00AE1701"/>
    <w:rsid w:val="00AE1785"/>
    <w:rsid w:val="00AE1AF2"/>
    <w:rsid w:val="00AE1BDF"/>
    <w:rsid w:val="00AE1D41"/>
    <w:rsid w:val="00AE23B9"/>
    <w:rsid w:val="00AE324C"/>
    <w:rsid w:val="00AE3791"/>
    <w:rsid w:val="00AE5876"/>
    <w:rsid w:val="00AE58EF"/>
    <w:rsid w:val="00AE6BE6"/>
    <w:rsid w:val="00AE6F55"/>
    <w:rsid w:val="00AE7477"/>
    <w:rsid w:val="00AE7F02"/>
    <w:rsid w:val="00AF0C86"/>
    <w:rsid w:val="00AF0F42"/>
    <w:rsid w:val="00AF1217"/>
    <w:rsid w:val="00AF1BAF"/>
    <w:rsid w:val="00AF2546"/>
    <w:rsid w:val="00AF25D3"/>
    <w:rsid w:val="00AF3386"/>
    <w:rsid w:val="00AF451E"/>
    <w:rsid w:val="00AF49A3"/>
    <w:rsid w:val="00AF5BD1"/>
    <w:rsid w:val="00AF61BE"/>
    <w:rsid w:val="00AF6EEB"/>
    <w:rsid w:val="00AF72C6"/>
    <w:rsid w:val="00B016BC"/>
    <w:rsid w:val="00B0263B"/>
    <w:rsid w:val="00B02C13"/>
    <w:rsid w:val="00B03FEC"/>
    <w:rsid w:val="00B04CDD"/>
    <w:rsid w:val="00B0501F"/>
    <w:rsid w:val="00B05129"/>
    <w:rsid w:val="00B069FC"/>
    <w:rsid w:val="00B071DF"/>
    <w:rsid w:val="00B0761A"/>
    <w:rsid w:val="00B07760"/>
    <w:rsid w:val="00B111DD"/>
    <w:rsid w:val="00B11422"/>
    <w:rsid w:val="00B11B1D"/>
    <w:rsid w:val="00B127F2"/>
    <w:rsid w:val="00B1322E"/>
    <w:rsid w:val="00B14781"/>
    <w:rsid w:val="00B15C6E"/>
    <w:rsid w:val="00B15CF3"/>
    <w:rsid w:val="00B15D24"/>
    <w:rsid w:val="00B15F21"/>
    <w:rsid w:val="00B17DF8"/>
    <w:rsid w:val="00B20064"/>
    <w:rsid w:val="00B20D83"/>
    <w:rsid w:val="00B21960"/>
    <w:rsid w:val="00B2332D"/>
    <w:rsid w:val="00B23860"/>
    <w:rsid w:val="00B23BB6"/>
    <w:rsid w:val="00B2468D"/>
    <w:rsid w:val="00B24C54"/>
    <w:rsid w:val="00B269AB"/>
    <w:rsid w:val="00B26CED"/>
    <w:rsid w:val="00B27184"/>
    <w:rsid w:val="00B27EE6"/>
    <w:rsid w:val="00B27F00"/>
    <w:rsid w:val="00B31D64"/>
    <w:rsid w:val="00B31DE0"/>
    <w:rsid w:val="00B3258C"/>
    <w:rsid w:val="00B32993"/>
    <w:rsid w:val="00B339AD"/>
    <w:rsid w:val="00B34562"/>
    <w:rsid w:val="00B347EC"/>
    <w:rsid w:val="00B34C6D"/>
    <w:rsid w:val="00B35421"/>
    <w:rsid w:val="00B35AAF"/>
    <w:rsid w:val="00B35DCC"/>
    <w:rsid w:val="00B36670"/>
    <w:rsid w:val="00B36B00"/>
    <w:rsid w:val="00B374A6"/>
    <w:rsid w:val="00B37C4F"/>
    <w:rsid w:val="00B4034C"/>
    <w:rsid w:val="00B407C8"/>
    <w:rsid w:val="00B409E1"/>
    <w:rsid w:val="00B43BAF"/>
    <w:rsid w:val="00B44468"/>
    <w:rsid w:val="00B44862"/>
    <w:rsid w:val="00B4491E"/>
    <w:rsid w:val="00B44DA6"/>
    <w:rsid w:val="00B44FC5"/>
    <w:rsid w:val="00B47DAF"/>
    <w:rsid w:val="00B50D83"/>
    <w:rsid w:val="00B50DEF"/>
    <w:rsid w:val="00B520DB"/>
    <w:rsid w:val="00B52712"/>
    <w:rsid w:val="00B52A6F"/>
    <w:rsid w:val="00B533D0"/>
    <w:rsid w:val="00B54277"/>
    <w:rsid w:val="00B542D2"/>
    <w:rsid w:val="00B55F8D"/>
    <w:rsid w:val="00B561AF"/>
    <w:rsid w:val="00B572AB"/>
    <w:rsid w:val="00B60199"/>
    <w:rsid w:val="00B60391"/>
    <w:rsid w:val="00B608FC"/>
    <w:rsid w:val="00B617E6"/>
    <w:rsid w:val="00B61DFF"/>
    <w:rsid w:val="00B627CE"/>
    <w:rsid w:val="00B62AE1"/>
    <w:rsid w:val="00B637EB"/>
    <w:rsid w:val="00B64336"/>
    <w:rsid w:val="00B647C2"/>
    <w:rsid w:val="00B651A0"/>
    <w:rsid w:val="00B65D12"/>
    <w:rsid w:val="00B66B94"/>
    <w:rsid w:val="00B672E4"/>
    <w:rsid w:val="00B67A94"/>
    <w:rsid w:val="00B70D41"/>
    <w:rsid w:val="00B70DF6"/>
    <w:rsid w:val="00B71634"/>
    <w:rsid w:val="00B71651"/>
    <w:rsid w:val="00B720F7"/>
    <w:rsid w:val="00B721FC"/>
    <w:rsid w:val="00B728AF"/>
    <w:rsid w:val="00B73CBC"/>
    <w:rsid w:val="00B760F5"/>
    <w:rsid w:val="00B768B0"/>
    <w:rsid w:val="00B76A89"/>
    <w:rsid w:val="00B7703C"/>
    <w:rsid w:val="00B800AD"/>
    <w:rsid w:val="00B80402"/>
    <w:rsid w:val="00B8128F"/>
    <w:rsid w:val="00B823D2"/>
    <w:rsid w:val="00B8289F"/>
    <w:rsid w:val="00B830EB"/>
    <w:rsid w:val="00B83B8D"/>
    <w:rsid w:val="00B8413D"/>
    <w:rsid w:val="00B84327"/>
    <w:rsid w:val="00B84932"/>
    <w:rsid w:val="00B84BAF"/>
    <w:rsid w:val="00B85E04"/>
    <w:rsid w:val="00B868A4"/>
    <w:rsid w:val="00B916CA"/>
    <w:rsid w:val="00B91A1B"/>
    <w:rsid w:val="00B91C90"/>
    <w:rsid w:val="00B925B1"/>
    <w:rsid w:val="00B925E9"/>
    <w:rsid w:val="00B932B3"/>
    <w:rsid w:val="00B938A8"/>
    <w:rsid w:val="00B93B54"/>
    <w:rsid w:val="00B945BE"/>
    <w:rsid w:val="00B9478B"/>
    <w:rsid w:val="00B9528C"/>
    <w:rsid w:val="00B961E6"/>
    <w:rsid w:val="00B970EE"/>
    <w:rsid w:val="00B97AE6"/>
    <w:rsid w:val="00BA0022"/>
    <w:rsid w:val="00BA016D"/>
    <w:rsid w:val="00BA1E5B"/>
    <w:rsid w:val="00BA2DEE"/>
    <w:rsid w:val="00BA37D3"/>
    <w:rsid w:val="00BA4BD0"/>
    <w:rsid w:val="00BA4CDB"/>
    <w:rsid w:val="00BA5535"/>
    <w:rsid w:val="00BA5867"/>
    <w:rsid w:val="00BA5A88"/>
    <w:rsid w:val="00BA70AF"/>
    <w:rsid w:val="00BA7F7D"/>
    <w:rsid w:val="00BA7F88"/>
    <w:rsid w:val="00BB1FFA"/>
    <w:rsid w:val="00BB2AAD"/>
    <w:rsid w:val="00BB3F5C"/>
    <w:rsid w:val="00BB40FD"/>
    <w:rsid w:val="00BB5254"/>
    <w:rsid w:val="00BB52EF"/>
    <w:rsid w:val="00BB7115"/>
    <w:rsid w:val="00BB796B"/>
    <w:rsid w:val="00BC1724"/>
    <w:rsid w:val="00BC2CB0"/>
    <w:rsid w:val="00BC2E0C"/>
    <w:rsid w:val="00BC3114"/>
    <w:rsid w:val="00BC39E4"/>
    <w:rsid w:val="00BC3F73"/>
    <w:rsid w:val="00BC60ED"/>
    <w:rsid w:val="00BC6DC1"/>
    <w:rsid w:val="00BC6F39"/>
    <w:rsid w:val="00BC7136"/>
    <w:rsid w:val="00BD034B"/>
    <w:rsid w:val="00BD0ABE"/>
    <w:rsid w:val="00BD0EDE"/>
    <w:rsid w:val="00BD16B6"/>
    <w:rsid w:val="00BD1FF5"/>
    <w:rsid w:val="00BD2265"/>
    <w:rsid w:val="00BD2813"/>
    <w:rsid w:val="00BD2894"/>
    <w:rsid w:val="00BD2FBA"/>
    <w:rsid w:val="00BD3A31"/>
    <w:rsid w:val="00BD414B"/>
    <w:rsid w:val="00BD5417"/>
    <w:rsid w:val="00BD5906"/>
    <w:rsid w:val="00BD6AA4"/>
    <w:rsid w:val="00BD7848"/>
    <w:rsid w:val="00BE0073"/>
    <w:rsid w:val="00BE25E6"/>
    <w:rsid w:val="00BE7BF1"/>
    <w:rsid w:val="00BF0CF6"/>
    <w:rsid w:val="00BF1911"/>
    <w:rsid w:val="00BF33C9"/>
    <w:rsid w:val="00BF3526"/>
    <w:rsid w:val="00BF44C3"/>
    <w:rsid w:val="00BF5762"/>
    <w:rsid w:val="00BF68F2"/>
    <w:rsid w:val="00BF704A"/>
    <w:rsid w:val="00BF75E4"/>
    <w:rsid w:val="00C0075E"/>
    <w:rsid w:val="00C00C6D"/>
    <w:rsid w:val="00C00CB1"/>
    <w:rsid w:val="00C011AC"/>
    <w:rsid w:val="00C01CC8"/>
    <w:rsid w:val="00C02804"/>
    <w:rsid w:val="00C034A6"/>
    <w:rsid w:val="00C038A9"/>
    <w:rsid w:val="00C049E4"/>
    <w:rsid w:val="00C06865"/>
    <w:rsid w:val="00C06DA1"/>
    <w:rsid w:val="00C06F46"/>
    <w:rsid w:val="00C101B3"/>
    <w:rsid w:val="00C10CAA"/>
    <w:rsid w:val="00C10FB9"/>
    <w:rsid w:val="00C11AFE"/>
    <w:rsid w:val="00C13D32"/>
    <w:rsid w:val="00C13E57"/>
    <w:rsid w:val="00C147A4"/>
    <w:rsid w:val="00C157B2"/>
    <w:rsid w:val="00C15FA1"/>
    <w:rsid w:val="00C16598"/>
    <w:rsid w:val="00C170E7"/>
    <w:rsid w:val="00C207C3"/>
    <w:rsid w:val="00C2093E"/>
    <w:rsid w:val="00C21ED1"/>
    <w:rsid w:val="00C22DF4"/>
    <w:rsid w:val="00C266B1"/>
    <w:rsid w:val="00C26AF2"/>
    <w:rsid w:val="00C26C0C"/>
    <w:rsid w:val="00C30460"/>
    <w:rsid w:val="00C3158F"/>
    <w:rsid w:val="00C32655"/>
    <w:rsid w:val="00C34DA2"/>
    <w:rsid w:val="00C368A3"/>
    <w:rsid w:val="00C36B81"/>
    <w:rsid w:val="00C3740E"/>
    <w:rsid w:val="00C37CC9"/>
    <w:rsid w:val="00C40443"/>
    <w:rsid w:val="00C40AF0"/>
    <w:rsid w:val="00C40B39"/>
    <w:rsid w:val="00C413D4"/>
    <w:rsid w:val="00C4187F"/>
    <w:rsid w:val="00C41B3F"/>
    <w:rsid w:val="00C42C0E"/>
    <w:rsid w:val="00C44849"/>
    <w:rsid w:val="00C45AA4"/>
    <w:rsid w:val="00C47B1C"/>
    <w:rsid w:val="00C47B68"/>
    <w:rsid w:val="00C508AE"/>
    <w:rsid w:val="00C51A4F"/>
    <w:rsid w:val="00C52629"/>
    <w:rsid w:val="00C5341F"/>
    <w:rsid w:val="00C539F6"/>
    <w:rsid w:val="00C54E49"/>
    <w:rsid w:val="00C55158"/>
    <w:rsid w:val="00C56520"/>
    <w:rsid w:val="00C570F8"/>
    <w:rsid w:val="00C577F6"/>
    <w:rsid w:val="00C57E1C"/>
    <w:rsid w:val="00C57F29"/>
    <w:rsid w:val="00C57F78"/>
    <w:rsid w:val="00C60060"/>
    <w:rsid w:val="00C6058A"/>
    <w:rsid w:val="00C60EDC"/>
    <w:rsid w:val="00C61763"/>
    <w:rsid w:val="00C61882"/>
    <w:rsid w:val="00C62C3E"/>
    <w:rsid w:val="00C62FEA"/>
    <w:rsid w:val="00C631A7"/>
    <w:rsid w:val="00C63C9D"/>
    <w:rsid w:val="00C642C8"/>
    <w:rsid w:val="00C64E9F"/>
    <w:rsid w:val="00C65EFF"/>
    <w:rsid w:val="00C67BEC"/>
    <w:rsid w:val="00C70F83"/>
    <w:rsid w:val="00C71D6E"/>
    <w:rsid w:val="00C71F51"/>
    <w:rsid w:val="00C72767"/>
    <w:rsid w:val="00C72E15"/>
    <w:rsid w:val="00C73A12"/>
    <w:rsid w:val="00C74EA5"/>
    <w:rsid w:val="00C75042"/>
    <w:rsid w:val="00C75BEE"/>
    <w:rsid w:val="00C76129"/>
    <w:rsid w:val="00C768A5"/>
    <w:rsid w:val="00C772E5"/>
    <w:rsid w:val="00C777FD"/>
    <w:rsid w:val="00C77E45"/>
    <w:rsid w:val="00C80BB1"/>
    <w:rsid w:val="00C8160E"/>
    <w:rsid w:val="00C819A2"/>
    <w:rsid w:val="00C82524"/>
    <w:rsid w:val="00C82A55"/>
    <w:rsid w:val="00C82C71"/>
    <w:rsid w:val="00C83667"/>
    <w:rsid w:val="00C848DE"/>
    <w:rsid w:val="00C85FF5"/>
    <w:rsid w:val="00C86B0E"/>
    <w:rsid w:val="00C8703C"/>
    <w:rsid w:val="00C87356"/>
    <w:rsid w:val="00C90C2F"/>
    <w:rsid w:val="00C920CA"/>
    <w:rsid w:val="00C93D5D"/>
    <w:rsid w:val="00C94145"/>
    <w:rsid w:val="00C94C5F"/>
    <w:rsid w:val="00C950AF"/>
    <w:rsid w:val="00C9554F"/>
    <w:rsid w:val="00C95738"/>
    <w:rsid w:val="00C95DFC"/>
    <w:rsid w:val="00C95E5E"/>
    <w:rsid w:val="00C96A6D"/>
    <w:rsid w:val="00C96EFF"/>
    <w:rsid w:val="00C96F2C"/>
    <w:rsid w:val="00C97624"/>
    <w:rsid w:val="00C979EE"/>
    <w:rsid w:val="00CA08F8"/>
    <w:rsid w:val="00CA0A46"/>
    <w:rsid w:val="00CA0C0D"/>
    <w:rsid w:val="00CA4478"/>
    <w:rsid w:val="00CA4AEE"/>
    <w:rsid w:val="00CA5233"/>
    <w:rsid w:val="00CA547A"/>
    <w:rsid w:val="00CA6050"/>
    <w:rsid w:val="00CA6056"/>
    <w:rsid w:val="00CB079D"/>
    <w:rsid w:val="00CB09F0"/>
    <w:rsid w:val="00CB1364"/>
    <w:rsid w:val="00CB1780"/>
    <w:rsid w:val="00CB25FB"/>
    <w:rsid w:val="00CB2DCE"/>
    <w:rsid w:val="00CB382F"/>
    <w:rsid w:val="00CB3D09"/>
    <w:rsid w:val="00CB4908"/>
    <w:rsid w:val="00CB4AF6"/>
    <w:rsid w:val="00CB56F2"/>
    <w:rsid w:val="00CB7D3F"/>
    <w:rsid w:val="00CC0BF0"/>
    <w:rsid w:val="00CC181F"/>
    <w:rsid w:val="00CC1C89"/>
    <w:rsid w:val="00CC2208"/>
    <w:rsid w:val="00CC45CA"/>
    <w:rsid w:val="00CC46D0"/>
    <w:rsid w:val="00CC4912"/>
    <w:rsid w:val="00CC49AA"/>
    <w:rsid w:val="00CC6544"/>
    <w:rsid w:val="00CC67A9"/>
    <w:rsid w:val="00CC73B3"/>
    <w:rsid w:val="00CC75A2"/>
    <w:rsid w:val="00CC7646"/>
    <w:rsid w:val="00CC7D0F"/>
    <w:rsid w:val="00CC7D88"/>
    <w:rsid w:val="00CD1025"/>
    <w:rsid w:val="00CD13AA"/>
    <w:rsid w:val="00CD39A3"/>
    <w:rsid w:val="00CD3B43"/>
    <w:rsid w:val="00CD3E70"/>
    <w:rsid w:val="00CD46A9"/>
    <w:rsid w:val="00CD47E5"/>
    <w:rsid w:val="00CE039B"/>
    <w:rsid w:val="00CE1265"/>
    <w:rsid w:val="00CE1375"/>
    <w:rsid w:val="00CE1521"/>
    <w:rsid w:val="00CE173A"/>
    <w:rsid w:val="00CE1850"/>
    <w:rsid w:val="00CE1DF9"/>
    <w:rsid w:val="00CE3AB4"/>
    <w:rsid w:val="00CE40CB"/>
    <w:rsid w:val="00CE5521"/>
    <w:rsid w:val="00CE57B1"/>
    <w:rsid w:val="00CE5905"/>
    <w:rsid w:val="00CE6C2E"/>
    <w:rsid w:val="00CE77DC"/>
    <w:rsid w:val="00CE7FC6"/>
    <w:rsid w:val="00CF0947"/>
    <w:rsid w:val="00CF1DD1"/>
    <w:rsid w:val="00CF27C1"/>
    <w:rsid w:val="00CF2BCA"/>
    <w:rsid w:val="00CF4722"/>
    <w:rsid w:val="00CF4834"/>
    <w:rsid w:val="00CF53BE"/>
    <w:rsid w:val="00CF6DA1"/>
    <w:rsid w:val="00D0063D"/>
    <w:rsid w:val="00D02947"/>
    <w:rsid w:val="00D02CD7"/>
    <w:rsid w:val="00D03532"/>
    <w:rsid w:val="00D036D6"/>
    <w:rsid w:val="00D03A57"/>
    <w:rsid w:val="00D043BF"/>
    <w:rsid w:val="00D04847"/>
    <w:rsid w:val="00D04C34"/>
    <w:rsid w:val="00D051E1"/>
    <w:rsid w:val="00D10945"/>
    <w:rsid w:val="00D1164D"/>
    <w:rsid w:val="00D121F9"/>
    <w:rsid w:val="00D14A26"/>
    <w:rsid w:val="00D14C3B"/>
    <w:rsid w:val="00D14D5F"/>
    <w:rsid w:val="00D15553"/>
    <w:rsid w:val="00D1567C"/>
    <w:rsid w:val="00D15909"/>
    <w:rsid w:val="00D15927"/>
    <w:rsid w:val="00D16783"/>
    <w:rsid w:val="00D1724B"/>
    <w:rsid w:val="00D17C4C"/>
    <w:rsid w:val="00D17CE5"/>
    <w:rsid w:val="00D214B8"/>
    <w:rsid w:val="00D21FBE"/>
    <w:rsid w:val="00D22C6F"/>
    <w:rsid w:val="00D23844"/>
    <w:rsid w:val="00D2404F"/>
    <w:rsid w:val="00D248A8"/>
    <w:rsid w:val="00D24F88"/>
    <w:rsid w:val="00D261AE"/>
    <w:rsid w:val="00D277AF"/>
    <w:rsid w:val="00D303BE"/>
    <w:rsid w:val="00D30873"/>
    <w:rsid w:val="00D30948"/>
    <w:rsid w:val="00D3167A"/>
    <w:rsid w:val="00D324CC"/>
    <w:rsid w:val="00D325CE"/>
    <w:rsid w:val="00D33116"/>
    <w:rsid w:val="00D33273"/>
    <w:rsid w:val="00D33972"/>
    <w:rsid w:val="00D340F1"/>
    <w:rsid w:val="00D34115"/>
    <w:rsid w:val="00D34130"/>
    <w:rsid w:val="00D34B9C"/>
    <w:rsid w:val="00D354FF"/>
    <w:rsid w:val="00D368D5"/>
    <w:rsid w:val="00D37C34"/>
    <w:rsid w:val="00D37E1F"/>
    <w:rsid w:val="00D40EBA"/>
    <w:rsid w:val="00D41637"/>
    <w:rsid w:val="00D4164E"/>
    <w:rsid w:val="00D41D0F"/>
    <w:rsid w:val="00D4208F"/>
    <w:rsid w:val="00D439E3"/>
    <w:rsid w:val="00D43DE8"/>
    <w:rsid w:val="00D44531"/>
    <w:rsid w:val="00D44D45"/>
    <w:rsid w:val="00D45A4D"/>
    <w:rsid w:val="00D45E1F"/>
    <w:rsid w:val="00D4614A"/>
    <w:rsid w:val="00D461C2"/>
    <w:rsid w:val="00D475C2"/>
    <w:rsid w:val="00D47638"/>
    <w:rsid w:val="00D478D3"/>
    <w:rsid w:val="00D510BE"/>
    <w:rsid w:val="00D5129F"/>
    <w:rsid w:val="00D514E0"/>
    <w:rsid w:val="00D520F8"/>
    <w:rsid w:val="00D5346F"/>
    <w:rsid w:val="00D53AEA"/>
    <w:rsid w:val="00D54921"/>
    <w:rsid w:val="00D5593C"/>
    <w:rsid w:val="00D560E5"/>
    <w:rsid w:val="00D564D1"/>
    <w:rsid w:val="00D5665A"/>
    <w:rsid w:val="00D5670E"/>
    <w:rsid w:val="00D5677D"/>
    <w:rsid w:val="00D60351"/>
    <w:rsid w:val="00D6038D"/>
    <w:rsid w:val="00D606F0"/>
    <w:rsid w:val="00D610B5"/>
    <w:rsid w:val="00D613A9"/>
    <w:rsid w:val="00D61FFD"/>
    <w:rsid w:val="00D6217F"/>
    <w:rsid w:val="00D6328E"/>
    <w:rsid w:val="00D6509E"/>
    <w:rsid w:val="00D6623E"/>
    <w:rsid w:val="00D66440"/>
    <w:rsid w:val="00D66CF7"/>
    <w:rsid w:val="00D67080"/>
    <w:rsid w:val="00D67E7F"/>
    <w:rsid w:val="00D70F46"/>
    <w:rsid w:val="00D71280"/>
    <w:rsid w:val="00D72044"/>
    <w:rsid w:val="00D72B71"/>
    <w:rsid w:val="00D74089"/>
    <w:rsid w:val="00D742BC"/>
    <w:rsid w:val="00D75209"/>
    <w:rsid w:val="00D759B6"/>
    <w:rsid w:val="00D76169"/>
    <w:rsid w:val="00D7639B"/>
    <w:rsid w:val="00D76FC2"/>
    <w:rsid w:val="00D772BD"/>
    <w:rsid w:val="00D7780A"/>
    <w:rsid w:val="00D80770"/>
    <w:rsid w:val="00D80D7D"/>
    <w:rsid w:val="00D80F3B"/>
    <w:rsid w:val="00D8221A"/>
    <w:rsid w:val="00D83AC1"/>
    <w:rsid w:val="00D8440E"/>
    <w:rsid w:val="00D85D11"/>
    <w:rsid w:val="00D8735C"/>
    <w:rsid w:val="00D8774E"/>
    <w:rsid w:val="00D8775C"/>
    <w:rsid w:val="00D87A4F"/>
    <w:rsid w:val="00D92598"/>
    <w:rsid w:val="00D92B08"/>
    <w:rsid w:val="00D92CA5"/>
    <w:rsid w:val="00D93722"/>
    <w:rsid w:val="00D937D4"/>
    <w:rsid w:val="00D93F06"/>
    <w:rsid w:val="00D95114"/>
    <w:rsid w:val="00D95C4E"/>
    <w:rsid w:val="00D964BE"/>
    <w:rsid w:val="00D97368"/>
    <w:rsid w:val="00DA012A"/>
    <w:rsid w:val="00DA01D5"/>
    <w:rsid w:val="00DA088C"/>
    <w:rsid w:val="00DA1332"/>
    <w:rsid w:val="00DA13FC"/>
    <w:rsid w:val="00DA18BF"/>
    <w:rsid w:val="00DA1A37"/>
    <w:rsid w:val="00DA1BD8"/>
    <w:rsid w:val="00DA1DC0"/>
    <w:rsid w:val="00DA24B0"/>
    <w:rsid w:val="00DA3B55"/>
    <w:rsid w:val="00DA3F91"/>
    <w:rsid w:val="00DA40FD"/>
    <w:rsid w:val="00DA49C9"/>
    <w:rsid w:val="00DA55D3"/>
    <w:rsid w:val="00DA76A9"/>
    <w:rsid w:val="00DA76BB"/>
    <w:rsid w:val="00DB1194"/>
    <w:rsid w:val="00DB1195"/>
    <w:rsid w:val="00DB2822"/>
    <w:rsid w:val="00DB2C08"/>
    <w:rsid w:val="00DB4EE5"/>
    <w:rsid w:val="00DB64D5"/>
    <w:rsid w:val="00DB7A1A"/>
    <w:rsid w:val="00DC001D"/>
    <w:rsid w:val="00DC018E"/>
    <w:rsid w:val="00DC0AE9"/>
    <w:rsid w:val="00DC17FE"/>
    <w:rsid w:val="00DC184F"/>
    <w:rsid w:val="00DC198A"/>
    <w:rsid w:val="00DC1AE5"/>
    <w:rsid w:val="00DC1BB8"/>
    <w:rsid w:val="00DC4177"/>
    <w:rsid w:val="00DC7951"/>
    <w:rsid w:val="00DD068D"/>
    <w:rsid w:val="00DD0CED"/>
    <w:rsid w:val="00DD1C22"/>
    <w:rsid w:val="00DD1C34"/>
    <w:rsid w:val="00DD1DA8"/>
    <w:rsid w:val="00DD35B1"/>
    <w:rsid w:val="00DD48D1"/>
    <w:rsid w:val="00DD50ED"/>
    <w:rsid w:val="00DD522D"/>
    <w:rsid w:val="00DD6A9E"/>
    <w:rsid w:val="00DD75B8"/>
    <w:rsid w:val="00DE00FB"/>
    <w:rsid w:val="00DE0198"/>
    <w:rsid w:val="00DE174A"/>
    <w:rsid w:val="00DE1885"/>
    <w:rsid w:val="00DE2106"/>
    <w:rsid w:val="00DE25FA"/>
    <w:rsid w:val="00DE2758"/>
    <w:rsid w:val="00DE31B4"/>
    <w:rsid w:val="00DE3F21"/>
    <w:rsid w:val="00DE44F1"/>
    <w:rsid w:val="00DE468A"/>
    <w:rsid w:val="00DE4862"/>
    <w:rsid w:val="00DE4C5D"/>
    <w:rsid w:val="00DE5CD5"/>
    <w:rsid w:val="00DE6379"/>
    <w:rsid w:val="00DE6F7C"/>
    <w:rsid w:val="00DE7662"/>
    <w:rsid w:val="00DF0098"/>
    <w:rsid w:val="00DF0BA2"/>
    <w:rsid w:val="00DF1E27"/>
    <w:rsid w:val="00DF1EA4"/>
    <w:rsid w:val="00DF27D9"/>
    <w:rsid w:val="00DF2B8F"/>
    <w:rsid w:val="00DF30A1"/>
    <w:rsid w:val="00DF565D"/>
    <w:rsid w:val="00DF5B63"/>
    <w:rsid w:val="00DF6DDC"/>
    <w:rsid w:val="00DF7D4E"/>
    <w:rsid w:val="00E000AE"/>
    <w:rsid w:val="00E0027E"/>
    <w:rsid w:val="00E00620"/>
    <w:rsid w:val="00E01316"/>
    <w:rsid w:val="00E02553"/>
    <w:rsid w:val="00E02C8E"/>
    <w:rsid w:val="00E03512"/>
    <w:rsid w:val="00E03B5F"/>
    <w:rsid w:val="00E03BB3"/>
    <w:rsid w:val="00E04974"/>
    <w:rsid w:val="00E04AEE"/>
    <w:rsid w:val="00E053F4"/>
    <w:rsid w:val="00E05822"/>
    <w:rsid w:val="00E112DB"/>
    <w:rsid w:val="00E11ED0"/>
    <w:rsid w:val="00E12102"/>
    <w:rsid w:val="00E13F78"/>
    <w:rsid w:val="00E147D4"/>
    <w:rsid w:val="00E155D0"/>
    <w:rsid w:val="00E15EC7"/>
    <w:rsid w:val="00E16309"/>
    <w:rsid w:val="00E16498"/>
    <w:rsid w:val="00E16A78"/>
    <w:rsid w:val="00E178A1"/>
    <w:rsid w:val="00E200BB"/>
    <w:rsid w:val="00E208C8"/>
    <w:rsid w:val="00E209A6"/>
    <w:rsid w:val="00E2114E"/>
    <w:rsid w:val="00E21D07"/>
    <w:rsid w:val="00E21D0F"/>
    <w:rsid w:val="00E22634"/>
    <w:rsid w:val="00E22DAE"/>
    <w:rsid w:val="00E23EF8"/>
    <w:rsid w:val="00E24D49"/>
    <w:rsid w:val="00E25548"/>
    <w:rsid w:val="00E256D7"/>
    <w:rsid w:val="00E265B0"/>
    <w:rsid w:val="00E26C99"/>
    <w:rsid w:val="00E26D61"/>
    <w:rsid w:val="00E306A0"/>
    <w:rsid w:val="00E31667"/>
    <w:rsid w:val="00E324B5"/>
    <w:rsid w:val="00E33D69"/>
    <w:rsid w:val="00E3426E"/>
    <w:rsid w:val="00E3650D"/>
    <w:rsid w:val="00E367EF"/>
    <w:rsid w:val="00E368E7"/>
    <w:rsid w:val="00E36B46"/>
    <w:rsid w:val="00E3742D"/>
    <w:rsid w:val="00E409C9"/>
    <w:rsid w:val="00E40BAF"/>
    <w:rsid w:val="00E4182E"/>
    <w:rsid w:val="00E42060"/>
    <w:rsid w:val="00E425C6"/>
    <w:rsid w:val="00E43197"/>
    <w:rsid w:val="00E44361"/>
    <w:rsid w:val="00E444D6"/>
    <w:rsid w:val="00E451AA"/>
    <w:rsid w:val="00E45581"/>
    <w:rsid w:val="00E4565D"/>
    <w:rsid w:val="00E4764F"/>
    <w:rsid w:val="00E47D81"/>
    <w:rsid w:val="00E47E3B"/>
    <w:rsid w:val="00E51B1D"/>
    <w:rsid w:val="00E51E1D"/>
    <w:rsid w:val="00E5306F"/>
    <w:rsid w:val="00E53C07"/>
    <w:rsid w:val="00E53F75"/>
    <w:rsid w:val="00E54496"/>
    <w:rsid w:val="00E548F5"/>
    <w:rsid w:val="00E54B96"/>
    <w:rsid w:val="00E56062"/>
    <w:rsid w:val="00E563C8"/>
    <w:rsid w:val="00E56927"/>
    <w:rsid w:val="00E57419"/>
    <w:rsid w:val="00E57EDD"/>
    <w:rsid w:val="00E57EEC"/>
    <w:rsid w:val="00E6048B"/>
    <w:rsid w:val="00E60DD6"/>
    <w:rsid w:val="00E613CF"/>
    <w:rsid w:val="00E62709"/>
    <w:rsid w:val="00E6386C"/>
    <w:rsid w:val="00E63A53"/>
    <w:rsid w:val="00E647D1"/>
    <w:rsid w:val="00E6504A"/>
    <w:rsid w:val="00E65CF1"/>
    <w:rsid w:val="00E673D3"/>
    <w:rsid w:val="00E676F5"/>
    <w:rsid w:val="00E67C13"/>
    <w:rsid w:val="00E7023B"/>
    <w:rsid w:val="00E70D93"/>
    <w:rsid w:val="00E715C1"/>
    <w:rsid w:val="00E71E66"/>
    <w:rsid w:val="00E71FB4"/>
    <w:rsid w:val="00E7352C"/>
    <w:rsid w:val="00E738BE"/>
    <w:rsid w:val="00E75634"/>
    <w:rsid w:val="00E75911"/>
    <w:rsid w:val="00E75CE1"/>
    <w:rsid w:val="00E76C62"/>
    <w:rsid w:val="00E7759D"/>
    <w:rsid w:val="00E77B2A"/>
    <w:rsid w:val="00E77BE4"/>
    <w:rsid w:val="00E827FC"/>
    <w:rsid w:val="00E83143"/>
    <w:rsid w:val="00E835EB"/>
    <w:rsid w:val="00E840C4"/>
    <w:rsid w:val="00E84530"/>
    <w:rsid w:val="00E85C18"/>
    <w:rsid w:val="00E86431"/>
    <w:rsid w:val="00E8683E"/>
    <w:rsid w:val="00E8700B"/>
    <w:rsid w:val="00E8700F"/>
    <w:rsid w:val="00E901DE"/>
    <w:rsid w:val="00E90F1E"/>
    <w:rsid w:val="00E9189F"/>
    <w:rsid w:val="00E92043"/>
    <w:rsid w:val="00E94DB0"/>
    <w:rsid w:val="00E9689A"/>
    <w:rsid w:val="00E96F32"/>
    <w:rsid w:val="00EA12EF"/>
    <w:rsid w:val="00EA1C5F"/>
    <w:rsid w:val="00EA2765"/>
    <w:rsid w:val="00EA348E"/>
    <w:rsid w:val="00EA3DDE"/>
    <w:rsid w:val="00EA50E6"/>
    <w:rsid w:val="00EA6816"/>
    <w:rsid w:val="00EA6927"/>
    <w:rsid w:val="00EA7A93"/>
    <w:rsid w:val="00EA7D02"/>
    <w:rsid w:val="00EA7DE0"/>
    <w:rsid w:val="00EB0339"/>
    <w:rsid w:val="00EB131B"/>
    <w:rsid w:val="00EB2800"/>
    <w:rsid w:val="00EB2A67"/>
    <w:rsid w:val="00EB3CD2"/>
    <w:rsid w:val="00EB3F40"/>
    <w:rsid w:val="00EB57A3"/>
    <w:rsid w:val="00EB5D0F"/>
    <w:rsid w:val="00EB609A"/>
    <w:rsid w:val="00EB6B49"/>
    <w:rsid w:val="00EB7A29"/>
    <w:rsid w:val="00EB7BA3"/>
    <w:rsid w:val="00EC0C6E"/>
    <w:rsid w:val="00EC3250"/>
    <w:rsid w:val="00EC39B5"/>
    <w:rsid w:val="00EC3C62"/>
    <w:rsid w:val="00EC3F3A"/>
    <w:rsid w:val="00EC4846"/>
    <w:rsid w:val="00EC4950"/>
    <w:rsid w:val="00EC4B4D"/>
    <w:rsid w:val="00EC4D1B"/>
    <w:rsid w:val="00EC5C26"/>
    <w:rsid w:val="00EC610A"/>
    <w:rsid w:val="00EC65C9"/>
    <w:rsid w:val="00EC6635"/>
    <w:rsid w:val="00EC696D"/>
    <w:rsid w:val="00EC7BD5"/>
    <w:rsid w:val="00ED007E"/>
    <w:rsid w:val="00ED030D"/>
    <w:rsid w:val="00ED0B65"/>
    <w:rsid w:val="00ED12F7"/>
    <w:rsid w:val="00ED17AD"/>
    <w:rsid w:val="00ED1EF1"/>
    <w:rsid w:val="00ED3EBF"/>
    <w:rsid w:val="00ED4ECB"/>
    <w:rsid w:val="00ED587E"/>
    <w:rsid w:val="00ED58F1"/>
    <w:rsid w:val="00ED5ED2"/>
    <w:rsid w:val="00ED61D7"/>
    <w:rsid w:val="00ED6984"/>
    <w:rsid w:val="00ED6AA4"/>
    <w:rsid w:val="00ED6D3F"/>
    <w:rsid w:val="00ED72EA"/>
    <w:rsid w:val="00ED77F5"/>
    <w:rsid w:val="00ED7D18"/>
    <w:rsid w:val="00ED7E94"/>
    <w:rsid w:val="00EE0212"/>
    <w:rsid w:val="00EE0C82"/>
    <w:rsid w:val="00EE1786"/>
    <w:rsid w:val="00EE380C"/>
    <w:rsid w:val="00EE38EC"/>
    <w:rsid w:val="00EE3A7C"/>
    <w:rsid w:val="00EE3D3E"/>
    <w:rsid w:val="00EE4A00"/>
    <w:rsid w:val="00EE4FE2"/>
    <w:rsid w:val="00EE5324"/>
    <w:rsid w:val="00EE55CE"/>
    <w:rsid w:val="00EE5ACB"/>
    <w:rsid w:val="00EE6A64"/>
    <w:rsid w:val="00EF0E34"/>
    <w:rsid w:val="00EF0E96"/>
    <w:rsid w:val="00EF21FA"/>
    <w:rsid w:val="00EF2BA4"/>
    <w:rsid w:val="00EF36EB"/>
    <w:rsid w:val="00EF46B5"/>
    <w:rsid w:val="00EF4F03"/>
    <w:rsid w:val="00EF5585"/>
    <w:rsid w:val="00EF6AE9"/>
    <w:rsid w:val="00EF7FD3"/>
    <w:rsid w:val="00F004D2"/>
    <w:rsid w:val="00F0069F"/>
    <w:rsid w:val="00F01EAE"/>
    <w:rsid w:val="00F02762"/>
    <w:rsid w:val="00F02A83"/>
    <w:rsid w:val="00F03A14"/>
    <w:rsid w:val="00F04598"/>
    <w:rsid w:val="00F0479F"/>
    <w:rsid w:val="00F0488E"/>
    <w:rsid w:val="00F04FB1"/>
    <w:rsid w:val="00F051EE"/>
    <w:rsid w:val="00F06146"/>
    <w:rsid w:val="00F07189"/>
    <w:rsid w:val="00F10253"/>
    <w:rsid w:val="00F10AEC"/>
    <w:rsid w:val="00F1172D"/>
    <w:rsid w:val="00F11B93"/>
    <w:rsid w:val="00F12437"/>
    <w:rsid w:val="00F132CD"/>
    <w:rsid w:val="00F132DB"/>
    <w:rsid w:val="00F13D91"/>
    <w:rsid w:val="00F14B84"/>
    <w:rsid w:val="00F15439"/>
    <w:rsid w:val="00F154B4"/>
    <w:rsid w:val="00F154F4"/>
    <w:rsid w:val="00F15649"/>
    <w:rsid w:val="00F16533"/>
    <w:rsid w:val="00F17B32"/>
    <w:rsid w:val="00F20CC3"/>
    <w:rsid w:val="00F22396"/>
    <w:rsid w:val="00F2281A"/>
    <w:rsid w:val="00F2498A"/>
    <w:rsid w:val="00F24C4A"/>
    <w:rsid w:val="00F24F61"/>
    <w:rsid w:val="00F269C2"/>
    <w:rsid w:val="00F27D02"/>
    <w:rsid w:val="00F30B34"/>
    <w:rsid w:val="00F311E4"/>
    <w:rsid w:val="00F33A89"/>
    <w:rsid w:val="00F363DB"/>
    <w:rsid w:val="00F374E4"/>
    <w:rsid w:val="00F40B90"/>
    <w:rsid w:val="00F416C1"/>
    <w:rsid w:val="00F4192F"/>
    <w:rsid w:val="00F42FD0"/>
    <w:rsid w:val="00F434F3"/>
    <w:rsid w:val="00F43B24"/>
    <w:rsid w:val="00F43BD1"/>
    <w:rsid w:val="00F440E8"/>
    <w:rsid w:val="00F4577C"/>
    <w:rsid w:val="00F45F8A"/>
    <w:rsid w:val="00F46AA9"/>
    <w:rsid w:val="00F46BB2"/>
    <w:rsid w:val="00F46CE6"/>
    <w:rsid w:val="00F47586"/>
    <w:rsid w:val="00F50BE5"/>
    <w:rsid w:val="00F518FC"/>
    <w:rsid w:val="00F52127"/>
    <w:rsid w:val="00F538AD"/>
    <w:rsid w:val="00F548A6"/>
    <w:rsid w:val="00F56841"/>
    <w:rsid w:val="00F56C69"/>
    <w:rsid w:val="00F570C8"/>
    <w:rsid w:val="00F57770"/>
    <w:rsid w:val="00F60BDE"/>
    <w:rsid w:val="00F60C24"/>
    <w:rsid w:val="00F60E9F"/>
    <w:rsid w:val="00F61042"/>
    <w:rsid w:val="00F61328"/>
    <w:rsid w:val="00F62E07"/>
    <w:rsid w:val="00F63ED8"/>
    <w:rsid w:val="00F644D1"/>
    <w:rsid w:val="00F64F8E"/>
    <w:rsid w:val="00F65DF0"/>
    <w:rsid w:val="00F667B4"/>
    <w:rsid w:val="00F67A6B"/>
    <w:rsid w:val="00F702C7"/>
    <w:rsid w:val="00F70869"/>
    <w:rsid w:val="00F70AAF"/>
    <w:rsid w:val="00F7121E"/>
    <w:rsid w:val="00F7142C"/>
    <w:rsid w:val="00F71454"/>
    <w:rsid w:val="00F732AF"/>
    <w:rsid w:val="00F73EAD"/>
    <w:rsid w:val="00F74677"/>
    <w:rsid w:val="00F74CD5"/>
    <w:rsid w:val="00F76A4D"/>
    <w:rsid w:val="00F772C3"/>
    <w:rsid w:val="00F777D3"/>
    <w:rsid w:val="00F804BF"/>
    <w:rsid w:val="00F80961"/>
    <w:rsid w:val="00F810D9"/>
    <w:rsid w:val="00F811F5"/>
    <w:rsid w:val="00F843E7"/>
    <w:rsid w:val="00F84759"/>
    <w:rsid w:val="00F87B14"/>
    <w:rsid w:val="00F96B7D"/>
    <w:rsid w:val="00F96D82"/>
    <w:rsid w:val="00FA0D54"/>
    <w:rsid w:val="00FA1B4B"/>
    <w:rsid w:val="00FA2728"/>
    <w:rsid w:val="00FA3C12"/>
    <w:rsid w:val="00FA4DE4"/>
    <w:rsid w:val="00FA4F7F"/>
    <w:rsid w:val="00FA51AB"/>
    <w:rsid w:val="00FA53ED"/>
    <w:rsid w:val="00FA66BE"/>
    <w:rsid w:val="00FA77B9"/>
    <w:rsid w:val="00FB0C05"/>
    <w:rsid w:val="00FB10C4"/>
    <w:rsid w:val="00FB13E1"/>
    <w:rsid w:val="00FB1633"/>
    <w:rsid w:val="00FB1876"/>
    <w:rsid w:val="00FB1C29"/>
    <w:rsid w:val="00FB26C5"/>
    <w:rsid w:val="00FB339A"/>
    <w:rsid w:val="00FB3489"/>
    <w:rsid w:val="00FB3CE1"/>
    <w:rsid w:val="00FB3EC4"/>
    <w:rsid w:val="00FB4149"/>
    <w:rsid w:val="00FB46FD"/>
    <w:rsid w:val="00FB4E91"/>
    <w:rsid w:val="00FB5081"/>
    <w:rsid w:val="00FB5CC1"/>
    <w:rsid w:val="00FB6136"/>
    <w:rsid w:val="00FB621B"/>
    <w:rsid w:val="00FB7319"/>
    <w:rsid w:val="00FB796E"/>
    <w:rsid w:val="00FB7D59"/>
    <w:rsid w:val="00FC01D1"/>
    <w:rsid w:val="00FC0EC8"/>
    <w:rsid w:val="00FC1310"/>
    <w:rsid w:val="00FC1F30"/>
    <w:rsid w:val="00FC3EF3"/>
    <w:rsid w:val="00FC41B9"/>
    <w:rsid w:val="00FC440C"/>
    <w:rsid w:val="00FC4D0A"/>
    <w:rsid w:val="00FC5F76"/>
    <w:rsid w:val="00FC7155"/>
    <w:rsid w:val="00FC79DC"/>
    <w:rsid w:val="00FD134A"/>
    <w:rsid w:val="00FD24D4"/>
    <w:rsid w:val="00FD2E24"/>
    <w:rsid w:val="00FD2EC4"/>
    <w:rsid w:val="00FD46FC"/>
    <w:rsid w:val="00FD48ED"/>
    <w:rsid w:val="00FD4989"/>
    <w:rsid w:val="00FD59D4"/>
    <w:rsid w:val="00FD6D9D"/>
    <w:rsid w:val="00FD739C"/>
    <w:rsid w:val="00FE073C"/>
    <w:rsid w:val="00FE0CC6"/>
    <w:rsid w:val="00FE126A"/>
    <w:rsid w:val="00FE1AFE"/>
    <w:rsid w:val="00FE2BAF"/>
    <w:rsid w:val="00FE3948"/>
    <w:rsid w:val="00FE4B79"/>
    <w:rsid w:val="00FE4EF5"/>
    <w:rsid w:val="00FE5235"/>
    <w:rsid w:val="00FE68A6"/>
    <w:rsid w:val="00FE7047"/>
    <w:rsid w:val="00FF0386"/>
    <w:rsid w:val="00FF112E"/>
    <w:rsid w:val="00FF14AA"/>
    <w:rsid w:val="00FF2EAC"/>
    <w:rsid w:val="00FF4DBF"/>
    <w:rsid w:val="00FF6577"/>
    <w:rsid w:val="00FF6882"/>
    <w:rsid w:val="00FF6932"/>
    <w:rsid w:val="00FF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CEFD"/>
  <w15:chartTrackingRefBased/>
  <w15:docId w15:val="{1BCEC688-3ED0-4572-996F-FB3FEDAF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945"/>
  </w:style>
  <w:style w:type="paragraph" w:styleId="Ttulo1">
    <w:name w:val="heading 1"/>
    <w:basedOn w:val="Normal"/>
    <w:next w:val="Normal"/>
    <w:link w:val="Ttulo1Car"/>
    <w:uiPriority w:val="9"/>
    <w:qFormat/>
    <w:rsid w:val="00905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05E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75B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8D6904"/>
    <w:pPr>
      <w:ind w:left="720"/>
      <w:contextualSpacing/>
    </w:pPr>
  </w:style>
  <w:style w:type="character" w:styleId="Textoennegrita">
    <w:name w:val="Strong"/>
    <w:basedOn w:val="Fuentedeprrafopredeter"/>
    <w:uiPriority w:val="22"/>
    <w:qFormat/>
    <w:rsid w:val="009F0089"/>
    <w:rPr>
      <w:b/>
      <w:bCs/>
    </w:rPr>
  </w:style>
  <w:style w:type="character" w:styleId="Hipervnculo">
    <w:name w:val="Hyperlink"/>
    <w:basedOn w:val="Fuentedeprrafopredeter"/>
    <w:uiPriority w:val="99"/>
    <w:unhideWhenUsed/>
    <w:rsid w:val="00AD13DF"/>
    <w:rPr>
      <w:color w:val="0563C1" w:themeColor="hyperlink"/>
      <w:u w:val="single"/>
    </w:rPr>
  </w:style>
  <w:style w:type="paragraph" w:styleId="Textonotapie">
    <w:name w:val="footnote text"/>
    <w:aliases w:val="ft,Geneva 9,Font: Geneva 9,Boston 10,f,Fußnotentextr,Texto nota pie Car Car,single space,footnote text,Footnote Text Char Char Char12,Footnote Text Char1 Char Char Char Char12,Footnote Text Char1 Char Char Char12,fn,Fußn,F,Char,Char Char"/>
    <w:basedOn w:val="Normal"/>
    <w:link w:val="TextonotapieCar"/>
    <w:uiPriority w:val="99"/>
    <w:unhideWhenUsed/>
    <w:qFormat/>
    <w:rsid w:val="00E62709"/>
    <w:pPr>
      <w:spacing w:after="0" w:line="240" w:lineRule="auto"/>
    </w:pPr>
    <w:rPr>
      <w:sz w:val="20"/>
      <w:szCs w:val="20"/>
    </w:rPr>
  </w:style>
  <w:style w:type="character" w:customStyle="1" w:styleId="TextonotapieCar">
    <w:name w:val="Texto nota pie Car"/>
    <w:aliases w:val="ft Car,Geneva 9 Car,Font: Geneva 9 Car,Boston 10 Car,f Car,Fußnotentextr Car,Texto nota pie Car Car Car,single space Car,footnote text Car,Footnote Text Char Char Char12 Car,Footnote Text Char1 Char Char Char Char12 Car,fn Car,F Car"/>
    <w:basedOn w:val="Fuentedeprrafopredeter"/>
    <w:link w:val="Textonotapie"/>
    <w:uiPriority w:val="99"/>
    <w:qFormat/>
    <w:rsid w:val="00E62709"/>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E62709"/>
    <w:rPr>
      <w:vertAlign w:val="superscript"/>
    </w:rPr>
  </w:style>
  <w:style w:type="table" w:styleId="Tabladelista4-nfasis6">
    <w:name w:val="List Table 4 Accent 6"/>
    <w:basedOn w:val="Tablanormal"/>
    <w:uiPriority w:val="49"/>
    <w:rsid w:val="00E835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115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250"/>
  </w:style>
  <w:style w:type="paragraph" w:styleId="Piedepgina">
    <w:name w:val="footer"/>
    <w:basedOn w:val="Normal"/>
    <w:link w:val="PiedepginaCar"/>
    <w:uiPriority w:val="99"/>
    <w:unhideWhenUsed/>
    <w:rsid w:val="00115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250"/>
  </w:style>
  <w:style w:type="table" w:styleId="Tablaconcuadrcula">
    <w:name w:val="Table Grid"/>
    <w:basedOn w:val="Tablanormal"/>
    <w:uiPriority w:val="39"/>
    <w:rsid w:val="0011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30596"/>
    <w:pPr>
      <w:spacing w:after="0" w:line="240" w:lineRule="auto"/>
      <w:jc w:val="center"/>
    </w:pPr>
    <w:rPr>
      <w:rFonts w:ascii="ITC Avant Garde" w:hAnsi="ITC Avant Garde"/>
      <w:b/>
      <w:i/>
      <w:iCs/>
      <w:color w:val="70AD47" w:themeColor="accent6"/>
      <w:sz w:val="18"/>
      <w:szCs w:val="18"/>
    </w:rPr>
  </w:style>
  <w:style w:type="paragraph" w:customStyle="1" w:styleId="Notasalpie">
    <w:name w:val="Notas al pie"/>
    <w:basedOn w:val="Textonotapie"/>
    <w:link w:val="NotasalpieCar"/>
    <w:qFormat/>
    <w:rsid w:val="00430596"/>
    <w:rPr>
      <w:rFonts w:ascii="Arial" w:hAnsi="Arial" w:cs="Arial"/>
      <w:sz w:val="14"/>
      <w:szCs w:val="14"/>
    </w:rPr>
  </w:style>
  <w:style w:type="character" w:customStyle="1" w:styleId="NotasalpieCar">
    <w:name w:val="Notas al pie Car"/>
    <w:basedOn w:val="Fuentedeprrafopredeter"/>
    <w:link w:val="Notasalpie"/>
    <w:rsid w:val="00430596"/>
    <w:rPr>
      <w:rFonts w:ascii="Arial" w:hAnsi="Arial" w:cs="Arial"/>
      <w:sz w:val="14"/>
      <w:szCs w:val="14"/>
    </w:rPr>
  </w:style>
  <w:style w:type="paragraph" w:styleId="Textodeglobo">
    <w:name w:val="Balloon Text"/>
    <w:basedOn w:val="Normal"/>
    <w:link w:val="TextodegloboCar"/>
    <w:uiPriority w:val="99"/>
    <w:semiHidden/>
    <w:unhideWhenUsed/>
    <w:rsid w:val="00CB07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79D"/>
    <w:rPr>
      <w:rFonts w:ascii="Segoe UI" w:hAnsi="Segoe UI" w:cs="Segoe UI"/>
      <w:sz w:val="18"/>
      <w:szCs w:val="18"/>
    </w:rPr>
  </w:style>
  <w:style w:type="character" w:styleId="Refdecomentario">
    <w:name w:val="annotation reference"/>
    <w:basedOn w:val="Fuentedeprrafopredeter"/>
    <w:uiPriority w:val="99"/>
    <w:semiHidden/>
    <w:unhideWhenUsed/>
    <w:rsid w:val="00FC0EC8"/>
    <w:rPr>
      <w:sz w:val="16"/>
      <w:szCs w:val="16"/>
    </w:rPr>
  </w:style>
  <w:style w:type="paragraph" w:styleId="Textocomentario">
    <w:name w:val="annotation text"/>
    <w:basedOn w:val="Normal"/>
    <w:link w:val="TextocomentarioCar"/>
    <w:uiPriority w:val="99"/>
    <w:unhideWhenUsed/>
    <w:rsid w:val="00FC0EC8"/>
    <w:pPr>
      <w:spacing w:line="240" w:lineRule="auto"/>
    </w:pPr>
    <w:rPr>
      <w:sz w:val="20"/>
      <w:szCs w:val="20"/>
    </w:rPr>
  </w:style>
  <w:style w:type="character" w:customStyle="1" w:styleId="TextocomentarioCar">
    <w:name w:val="Texto comentario Car"/>
    <w:basedOn w:val="Fuentedeprrafopredeter"/>
    <w:link w:val="Textocomentario"/>
    <w:uiPriority w:val="99"/>
    <w:rsid w:val="00FC0EC8"/>
    <w:rPr>
      <w:sz w:val="20"/>
      <w:szCs w:val="20"/>
    </w:rPr>
  </w:style>
  <w:style w:type="paragraph" w:styleId="Asuntodelcomentario">
    <w:name w:val="annotation subject"/>
    <w:basedOn w:val="Textocomentario"/>
    <w:next w:val="Textocomentario"/>
    <w:link w:val="AsuntodelcomentarioCar"/>
    <w:uiPriority w:val="99"/>
    <w:semiHidden/>
    <w:unhideWhenUsed/>
    <w:rsid w:val="00FC0EC8"/>
    <w:rPr>
      <w:b/>
      <w:bCs/>
    </w:rPr>
  </w:style>
  <w:style w:type="character" w:customStyle="1" w:styleId="AsuntodelcomentarioCar">
    <w:name w:val="Asunto del comentario Car"/>
    <w:basedOn w:val="TextocomentarioCar"/>
    <w:link w:val="Asuntodelcomentario"/>
    <w:uiPriority w:val="99"/>
    <w:semiHidden/>
    <w:rsid w:val="00FC0EC8"/>
    <w:rPr>
      <w:b/>
      <w:bCs/>
      <w:sz w:val="20"/>
      <w:szCs w:val="20"/>
    </w:rPr>
  </w:style>
  <w:style w:type="paragraph" w:styleId="NormalWeb">
    <w:name w:val="Normal (Web)"/>
    <w:basedOn w:val="Normal"/>
    <w:uiPriority w:val="99"/>
    <w:unhideWhenUsed/>
    <w:rsid w:val="009A0695"/>
    <w:rPr>
      <w:rFonts w:ascii="Times New Roman" w:eastAsia="Calibri" w:hAnsi="Times New Roman" w:cs="Times New Roman"/>
      <w:sz w:val="24"/>
      <w:szCs w:val="24"/>
    </w:rPr>
  </w:style>
  <w:style w:type="paragraph" w:styleId="Revisin">
    <w:name w:val="Revision"/>
    <w:hidden/>
    <w:uiPriority w:val="99"/>
    <w:semiHidden/>
    <w:rsid w:val="00C02804"/>
    <w:pPr>
      <w:spacing w:after="0" w:line="240" w:lineRule="auto"/>
    </w:pPr>
  </w:style>
  <w:style w:type="paragraph" w:customStyle="1" w:styleId="Default">
    <w:name w:val="Default"/>
    <w:rsid w:val="00F363D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F363DB"/>
  </w:style>
  <w:style w:type="paragraph" w:customStyle="1" w:styleId="TableParagraph">
    <w:name w:val="Table Paragraph"/>
    <w:basedOn w:val="Normal"/>
    <w:uiPriority w:val="1"/>
    <w:qFormat/>
    <w:rsid w:val="00722BD7"/>
    <w:pPr>
      <w:widowControl w:val="0"/>
      <w:autoSpaceDE w:val="0"/>
      <w:autoSpaceDN w:val="0"/>
      <w:spacing w:after="0" w:line="240" w:lineRule="auto"/>
    </w:pPr>
    <w:rPr>
      <w:rFonts w:ascii="Arial" w:eastAsia="Arial" w:hAnsi="Arial" w:cs="Arial"/>
      <w:lang w:val="en-US"/>
    </w:rPr>
  </w:style>
  <w:style w:type="character" w:styleId="Hipervnculovisitado">
    <w:name w:val="FollowedHyperlink"/>
    <w:basedOn w:val="Fuentedeprrafopredeter"/>
    <w:uiPriority w:val="99"/>
    <w:semiHidden/>
    <w:unhideWhenUsed/>
    <w:rsid w:val="006B041C"/>
    <w:rPr>
      <w:color w:val="954F72" w:themeColor="followedHyperlink"/>
      <w:u w:val="single"/>
    </w:rPr>
  </w:style>
  <w:style w:type="character" w:customStyle="1" w:styleId="Ttulo1Car">
    <w:name w:val="Título 1 Car"/>
    <w:basedOn w:val="Fuentedeprrafopredeter"/>
    <w:link w:val="Ttulo1"/>
    <w:uiPriority w:val="9"/>
    <w:rsid w:val="00905EE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05EE6"/>
    <w:rPr>
      <w:rFonts w:asciiTheme="majorHAnsi" w:eastAsiaTheme="majorEastAsia" w:hAnsiTheme="majorHAnsi" w:cstheme="majorBidi"/>
      <w:color w:val="2E74B5" w:themeColor="accent1" w:themeShade="BF"/>
      <w:sz w:val="26"/>
      <w:szCs w:val="26"/>
    </w:rPr>
  </w:style>
  <w:style w:type="paragraph" w:customStyle="1" w:styleId="Listavistosa-nfasis11">
    <w:name w:val="Lista vistosa - Énfasis 11"/>
    <w:basedOn w:val="Normal"/>
    <w:uiPriority w:val="34"/>
    <w:qFormat/>
    <w:rsid w:val="0094278E"/>
    <w:pPr>
      <w:ind w:left="720"/>
      <w:contextualSpacing/>
    </w:pPr>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94278E"/>
    <w:rPr>
      <w:color w:val="605E5C"/>
      <w:shd w:val="clear" w:color="auto" w:fill="E1DFDD"/>
    </w:rPr>
  </w:style>
  <w:style w:type="paragraph" w:styleId="Textonotaalfinal">
    <w:name w:val="endnote text"/>
    <w:basedOn w:val="Normal"/>
    <w:link w:val="TextonotaalfinalCar"/>
    <w:uiPriority w:val="99"/>
    <w:semiHidden/>
    <w:unhideWhenUsed/>
    <w:rsid w:val="007A667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A6678"/>
    <w:rPr>
      <w:sz w:val="20"/>
      <w:szCs w:val="20"/>
    </w:rPr>
  </w:style>
  <w:style w:type="character" w:styleId="Refdenotaalfinal">
    <w:name w:val="endnote reference"/>
    <w:basedOn w:val="Fuentedeprrafopredeter"/>
    <w:uiPriority w:val="99"/>
    <w:semiHidden/>
    <w:unhideWhenUsed/>
    <w:rsid w:val="007A6678"/>
    <w:rPr>
      <w:vertAlign w:val="superscript"/>
    </w:rPr>
  </w:style>
  <w:style w:type="character" w:styleId="Mencinsinresolver">
    <w:name w:val="Unresolved Mention"/>
    <w:basedOn w:val="Fuentedeprrafopredeter"/>
    <w:uiPriority w:val="99"/>
    <w:semiHidden/>
    <w:unhideWhenUsed/>
    <w:rsid w:val="007412A3"/>
    <w:rPr>
      <w:color w:val="605E5C"/>
      <w:shd w:val="clear" w:color="auto" w:fill="E1DFDD"/>
    </w:rPr>
  </w:style>
  <w:style w:type="table" w:styleId="Tablaconcuadrcula4-nfasis3">
    <w:name w:val="Grid Table 4 Accent 3"/>
    <w:basedOn w:val="Tablanormal"/>
    <w:uiPriority w:val="49"/>
    <w:rsid w:val="008A6F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975B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563">
      <w:bodyDiv w:val="1"/>
      <w:marLeft w:val="0"/>
      <w:marRight w:val="0"/>
      <w:marTop w:val="0"/>
      <w:marBottom w:val="0"/>
      <w:divBdr>
        <w:top w:val="none" w:sz="0" w:space="0" w:color="auto"/>
        <w:left w:val="none" w:sz="0" w:space="0" w:color="auto"/>
        <w:bottom w:val="none" w:sz="0" w:space="0" w:color="auto"/>
        <w:right w:val="none" w:sz="0" w:space="0" w:color="auto"/>
      </w:divBdr>
    </w:div>
    <w:div w:id="8651623">
      <w:bodyDiv w:val="1"/>
      <w:marLeft w:val="0"/>
      <w:marRight w:val="0"/>
      <w:marTop w:val="0"/>
      <w:marBottom w:val="0"/>
      <w:divBdr>
        <w:top w:val="none" w:sz="0" w:space="0" w:color="auto"/>
        <w:left w:val="none" w:sz="0" w:space="0" w:color="auto"/>
        <w:bottom w:val="none" w:sz="0" w:space="0" w:color="auto"/>
        <w:right w:val="none" w:sz="0" w:space="0" w:color="auto"/>
      </w:divBdr>
    </w:div>
    <w:div w:id="19748134">
      <w:bodyDiv w:val="1"/>
      <w:marLeft w:val="0"/>
      <w:marRight w:val="0"/>
      <w:marTop w:val="0"/>
      <w:marBottom w:val="0"/>
      <w:divBdr>
        <w:top w:val="none" w:sz="0" w:space="0" w:color="auto"/>
        <w:left w:val="none" w:sz="0" w:space="0" w:color="auto"/>
        <w:bottom w:val="none" w:sz="0" w:space="0" w:color="auto"/>
        <w:right w:val="none" w:sz="0" w:space="0" w:color="auto"/>
      </w:divBdr>
    </w:div>
    <w:div w:id="26299731">
      <w:bodyDiv w:val="1"/>
      <w:marLeft w:val="0"/>
      <w:marRight w:val="0"/>
      <w:marTop w:val="0"/>
      <w:marBottom w:val="0"/>
      <w:divBdr>
        <w:top w:val="none" w:sz="0" w:space="0" w:color="auto"/>
        <w:left w:val="none" w:sz="0" w:space="0" w:color="auto"/>
        <w:bottom w:val="none" w:sz="0" w:space="0" w:color="auto"/>
        <w:right w:val="none" w:sz="0" w:space="0" w:color="auto"/>
      </w:divBdr>
    </w:div>
    <w:div w:id="26951282">
      <w:bodyDiv w:val="1"/>
      <w:marLeft w:val="0"/>
      <w:marRight w:val="0"/>
      <w:marTop w:val="0"/>
      <w:marBottom w:val="0"/>
      <w:divBdr>
        <w:top w:val="none" w:sz="0" w:space="0" w:color="auto"/>
        <w:left w:val="none" w:sz="0" w:space="0" w:color="auto"/>
        <w:bottom w:val="none" w:sz="0" w:space="0" w:color="auto"/>
        <w:right w:val="none" w:sz="0" w:space="0" w:color="auto"/>
      </w:divBdr>
    </w:div>
    <w:div w:id="31030740">
      <w:bodyDiv w:val="1"/>
      <w:marLeft w:val="0"/>
      <w:marRight w:val="0"/>
      <w:marTop w:val="0"/>
      <w:marBottom w:val="0"/>
      <w:divBdr>
        <w:top w:val="none" w:sz="0" w:space="0" w:color="auto"/>
        <w:left w:val="none" w:sz="0" w:space="0" w:color="auto"/>
        <w:bottom w:val="none" w:sz="0" w:space="0" w:color="auto"/>
        <w:right w:val="none" w:sz="0" w:space="0" w:color="auto"/>
      </w:divBdr>
    </w:div>
    <w:div w:id="34931631">
      <w:bodyDiv w:val="1"/>
      <w:marLeft w:val="0"/>
      <w:marRight w:val="0"/>
      <w:marTop w:val="0"/>
      <w:marBottom w:val="0"/>
      <w:divBdr>
        <w:top w:val="none" w:sz="0" w:space="0" w:color="auto"/>
        <w:left w:val="none" w:sz="0" w:space="0" w:color="auto"/>
        <w:bottom w:val="none" w:sz="0" w:space="0" w:color="auto"/>
        <w:right w:val="none" w:sz="0" w:space="0" w:color="auto"/>
      </w:divBdr>
    </w:div>
    <w:div w:id="39136872">
      <w:bodyDiv w:val="1"/>
      <w:marLeft w:val="0"/>
      <w:marRight w:val="0"/>
      <w:marTop w:val="0"/>
      <w:marBottom w:val="0"/>
      <w:divBdr>
        <w:top w:val="none" w:sz="0" w:space="0" w:color="auto"/>
        <w:left w:val="none" w:sz="0" w:space="0" w:color="auto"/>
        <w:bottom w:val="none" w:sz="0" w:space="0" w:color="auto"/>
        <w:right w:val="none" w:sz="0" w:space="0" w:color="auto"/>
      </w:divBdr>
    </w:div>
    <w:div w:id="57629837">
      <w:bodyDiv w:val="1"/>
      <w:marLeft w:val="0"/>
      <w:marRight w:val="0"/>
      <w:marTop w:val="0"/>
      <w:marBottom w:val="0"/>
      <w:divBdr>
        <w:top w:val="none" w:sz="0" w:space="0" w:color="auto"/>
        <w:left w:val="none" w:sz="0" w:space="0" w:color="auto"/>
        <w:bottom w:val="none" w:sz="0" w:space="0" w:color="auto"/>
        <w:right w:val="none" w:sz="0" w:space="0" w:color="auto"/>
      </w:divBdr>
    </w:div>
    <w:div w:id="64690778">
      <w:bodyDiv w:val="1"/>
      <w:marLeft w:val="0"/>
      <w:marRight w:val="0"/>
      <w:marTop w:val="0"/>
      <w:marBottom w:val="0"/>
      <w:divBdr>
        <w:top w:val="none" w:sz="0" w:space="0" w:color="auto"/>
        <w:left w:val="none" w:sz="0" w:space="0" w:color="auto"/>
        <w:bottom w:val="none" w:sz="0" w:space="0" w:color="auto"/>
        <w:right w:val="none" w:sz="0" w:space="0" w:color="auto"/>
      </w:divBdr>
    </w:div>
    <w:div w:id="69430677">
      <w:bodyDiv w:val="1"/>
      <w:marLeft w:val="0"/>
      <w:marRight w:val="0"/>
      <w:marTop w:val="0"/>
      <w:marBottom w:val="0"/>
      <w:divBdr>
        <w:top w:val="none" w:sz="0" w:space="0" w:color="auto"/>
        <w:left w:val="none" w:sz="0" w:space="0" w:color="auto"/>
        <w:bottom w:val="none" w:sz="0" w:space="0" w:color="auto"/>
        <w:right w:val="none" w:sz="0" w:space="0" w:color="auto"/>
      </w:divBdr>
    </w:div>
    <w:div w:id="69472169">
      <w:bodyDiv w:val="1"/>
      <w:marLeft w:val="0"/>
      <w:marRight w:val="0"/>
      <w:marTop w:val="0"/>
      <w:marBottom w:val="0"/>
      <w:divBdr>
        <w:top w:val="none" w:sz="0" w:space="0" w:color="auto"/>
        <w:left w:val="none" w:sz="0" w:space="0" w:color="auto"/>
        <w:bottom w:val="none" w:sz="0" w:space="0" w:color="auto"/>
        <w:right w:val="none" w:sz="0" w:space="0" w:color="auto"/>
      </w:divBdr>
    </w:div>
    <w:div w:id="69811266">
      <w:bodyDiv w:val="1"/>
      <w:marLeft w:val="0"/>
      <w:marRight w:val="0"/>
      <w:marTop w:val="0"/>
      <w:marBottom w:val="0"/>
      <w:divBdr>
        <w:top w:val="none" w:sz="0" w:space="0" w:color="auto"/>
        <w:left w:val="none" w:sz="0" w:space="0" w:color="auto"/>
        <w:bottom w:val="none" w:sz="0" w:space="0" w:color="auto"/>
        <w:right w:val="none" w:sz="0" w:space="0" w:color="auto"/>
      </w:divBdr>
    </w:div>
    <w:div w:id="70086707">
      <w:bodyDiv w:val="1"/>
      <w:marLeft w:val="0"/>
      <w:marRight w:val="0"/>
      <w:marTop w:val="0"/>
      <w:marBottom w:val="0"/>
      <w:divBdr>
        <w:top w:val="none" w:sz="0" w:space="0" w:color="auto"/>
        <w:left w:val="none" w:sz="0" w:space="0" w:color="auto"/>
        <w:bottom w:val="none" w:sz="0" w:space="0" w:color="auto"/>
        <w:right w:val="none" w:sz="0" w:space="0" w:color="auto"/>
      </w:divBdr>
    </w:div>
    <w:div w:id="77140476">
      <w:bodyDiv w:val="1"/>
      <w:marLeft w:val="0"/>
      <w:marRight w:val="0"/>
      <w:marTop w:val="0"/>
      <w:marBottom w:val="0"/>
      <w:divBdr>
        <w:top w:val="none" w:sz="0" w:space="0" w:color="auto"/>
        <w:left w:val="none" w:sz="0" w:space="0" w:color="auto"/>
        <w:bottom w:val="none" w:sz="0" w:space="0" w:color="auto"/>
        <w:right w:val="none" w:sz="0" w:space="0" w:color="auto"/>
      </w:divBdr>
    </w:div>
    <w:div w:id="92749677">
      <w:bodyDiv w:val="1"/>
      <w:marLeft w:val="0"/>
      <w:marRight w:val="0"/>
      <w:marTop w:val="0"/>
      <w:marBottom w:val="0"/>
      <w:divBdr>
        <w:top w:val="none" w:sz="0" w:space="0" w:color="auto"/>
        <w:left w:val="none" w:sz="0" w:space="0" w:color="auto"/>
        <w:bottom w:val="none" w:sz="0" w:space="0" w:color="auto"/>
        <w:right w:val="none" w:sz="0" w:space="0" w:color="auto"/>
      </w:divBdr>
    </w:div>
    <w:div w:id="110058070">
      <w:bodyDiv w:val="1"/>
      <w:marLeft w:val="0"/>
      <w:marRight w:val="0"/>
      <w:marTop w:val="0"/>
      <w:marBottom w:val="0"/>
      <w:divBdr>
        <w:top w:val="none" w:sz="0" w:space="0" w:color="auto"/>
        <w:left w:val="none" w:sz="0" w:space="0" w:color="auto"/>
        <w:bottom w:val="none" w:sz="0" w:space="0" w:color="auto"/>
        <w:right w:val="none" w:sz="0" w:space="0" w:color="auto"/>
      </w:divBdr>
    </w:div>
    <w:div w:id="121769013">
      <w:bodyDiv w:val="1"/>
      <w:marLeft w:val="0"/>
      <w:marRight w:val="0"/>
      <w:marTop w:val="0"/>
      <w:marBottom w:val="0"/>
      <w:divBdr>
        <w:top w:val="none" w:sz="0" w:space="0" w:color="auto"/>
        <w:left w:val="none" w:sz="0" w:space="0" w:color="auto"/>
        <w:bottom w:val="none" w:sz="0" w:space="0" w:color="auto"/>
        <w:right w:val="none" w:sz="0" w:space="0" w:color="auto"/>
      </w:divBdr>
    </w:div>
    <w:div w:id="133526654">
      <w:bodyDiv w:val="1"/>
      <w:marLeft w:val="0"/>
      <w:marRight w:val="0"/>
      <w:marTop w:val="0"/>
      <w:marBottom w:val="0"/>
      <w:divBdr>
        <w:top w:val="none" w:sz="0" w:space="0" w:color="auto"/>
        <w:left w:val="none" w:sz="0" w:space="0" w:color="auto"/>
        <w:bottom w:val="none" w:sz="0" w:space="0" w:color="auto"/>
        <w:right w:val="none" w:sz="0" w:space="0" w:color="auto"/>
      </w:divBdr>
    </w:div>
    <w:div w:id="136804656">
      <w:bodyDiv w:val="1"/>
      <w:marLeft w:val="0"/>
      <w:marRight w:val="0"/>
      <w:marTop w:val="0"/>
      <w:marBottom w:val="0"/>
      <w:divBdr>
        <w:top w:val="none" w:sz="0" w:space="0" w:color="auto"/>
        <w:left w:val="none" w:sz="0" w:space="0" w:color="auto"/>
        <w:bottom w:val="none" w:sz="0" w:space="0" w:color="auto"/>
        <w:right w:val="none" w:sz="0" w:space="0" w:color="auto"/>
      </w:divBdr>
    </w:div>
    <w:div w:id="146869109">
      <w:bodyDiv w:val="1"/>
      <w:marLeft w:val="0"/>
      <w:marRight w:val="0"/>
      <w:marTop w:val="0"/>
      <w:marBottom w:val="0"/>
      <w:divBdr>
        <w:top w:val="none" w:sz="0" w:space="0" w:color="auto"/>
        <w:left w:val="none" w:sz="0" w:space="0" w:color="auto"/>
        <w:bottom w:val="none" w:sz="0" w:space="0" w:color="auto"/>
        <w:right w:val="none" w:sz="0" w:space="0" w:color="auto"/>
      </w:divBdr>
    </w:div>
    <w:div w:id="150799552">
      <w:bodyDiv w:val="1"/>
      <w:marLeft w:val="0"/>
      <w:marRight w:val="0"/>
      <w:marTop w:val="0"/>
      <w:marBottom w:val="0"/>
      <w:divBdr>
        <w:top w:val="none" w:sz="0" w:space="0" w:color="auto"/>
        <w:left w:val="none" w:sz="0" w:space="0" w:color="auto"/>
        <w:bottom w:val="none" w:sz="0" w:space="0" w:color="auto"/>
        <w:right w:val="none" w:sz="0" w:space="0" w:color="auto"/>
      </w:divBdr>
    </w:div>
    <w:div w:id="152138480">
      <w:bodyDiv w:val="1"/>
      <w:marLeft w:val="0"/>
      <w:marRight w:val="0"/>
      <w:marTop w:val="0"/>
      <w:marBottom w:val="0"/>
      <w:divBdr>
        <w:top w:val="none" w:sz="0" w:space="0" w:color="auto"/>
        <w:left w:val="none" w:sz="0" w:space="0" w:color="auto"/>
        <w:bottom w:val="none" w:sz="0" w:space="0" w:color="auto"/>
        <w:right w:val="none" w:sz="0" w:space="0" w:color="auto"/>
      </w:divBdr>
    </w:div>
    <w:div w:id="153184736">
      <w:bodyDiv w:val="1"/>
      <w:marLeft w:val="0"/>
      <w:marRight w:val="0"/>
      <w:marTop w:val="0"/>
      <w:marBottom w:val="0"/>
      <w:divBdr>
        <w:top w:val="none" w:sz="0" w:space="0" w:color="auto"/>
        <w:left w:val="none" w:sz="0" w:space="0" w:color="auto"/>
        <w:bottom w:val="none" w:sz="0" w:space="0" w:color="auto"/>
        <w:right w:val="none" w:sz="0" w:space="0" w:color="auto"/>
      </w:divBdr>
    </w:div>
    <w:div w:id="158353934">
      <w:bodyDiv w:val="1"/>
      <w:marLeft w:val="0"/>
      <w:marRight w:val="0"/>
      <w:marTop w:val="0"/>
      <w:marBottom w:val="0"/>
      <w:divBdr>
        <w:top w:val="none" w:sz="0" w:space="0" w:color="auto"/>
        <w:left w:val="none" w:sz="0" w:space="0" w:color="auto"/>
        <w:bottom w:val="none" w:sz="0" w:space="0" w:color="auto"/>
        <w:right w:val="none" w:sz="0" w:space="0" w:color="auto"/>
      </w:divBdr>
    </w:div>
    <w:div w:id="186800914">
      <w:bodyDiv w:val="1"/>
      <w:marLeft w:val="0"/>
      <w:marRight w:val="0"/>
      <w:marTop w:val="0"/>
      <w:marBottom w:val="0"/>
      <w:divBdr>
        <w:top w:val="none" w:sz="0" w:space="0" w:color="auto"/>
        <w:left w:val="none" w:sz="0" w:space="0" w:color="auto"/>
        <w:bottom w:val="none" w:sz="0" w:space="0" w:color="auto"/>
        <w:right w:val="none" w:sz="0" w:space="0" w:color="auto"/>
      </w:divBdr>
    </w:div>
    <w:div w:id="214006062">
      <w:bodyDiv w:val="1"/>
      <w:marLeft w:val="0"/>
      <w:marRight w:val="0"/>
      <w:marTop w:val="0"/>
      <w:marBottom w:val="0"/>
      <w:divBdr>
        <w:top w:val="none" w:sz="0" w:space="0" w:color="auto"/>
        <w:left w:val="none" w:sz="0" w:space="0" w:color="auto"/>
        <w:bottom w:val="none" w:sz="0" w:space="0" w:color="auto"/>
        <w:right w:val="none" w:sz="0" w:space="0" w:color="auto"/>
      </w:divBdr>
    </w:div>
    <w:div w:id="220023764">
      <w:bodyDiv w:val="1"/>
      <w:marLeft w:val="0"/>
      <w:marRight w:val="0"/>
      <w:marTop w:val="0"/>
      <w:marBottom w:val="0"/>
      <w:divBdr>
        <w:top w:val="none" w:sz="0" w:space="0" w:color="auto"/>
        <w:left w:val="none" w:sz="0" w:space="0" w:color="auto"/>
        <w:bottom w:val="none" w:sz="0" w:space="0" w:color="auto"/>
        <w:right w:val="none" w:sz="0" w:space="0" w:color="auto"/>
      </w:divBdr>
    </w:div>
    <w:div w:id="223178480">
      <w:bodyDiv w:val="1"/>
      <w:marLeft w:val="0"/>
      <w:marRight w:val="0"/>
      <w:marTop w:val="0"/>
      <w:marBottom w:val="0"/>
      <w:divBdr>
        <w:top w:val="none" w:sz="0" w:space="0" w:color="auto"/>
        <w:left w:val="none" w:sz="0" w:space="0" w:color="auto"/>
        <w:bottom w:val="none" w:sz="0" w:space="0" w:color="auto"/>
        <w:right w:val="none" w:sz="0" w:space="0" w:color="auto"/>
      </w:divBdr>
    </w:div>
    <w:div w:id="232089995">
      <w:bodyDiv w:val="1"/>
      <w:marLeft w:val="0"/>
      <w:marRight w:val="0"/>
      <w:marTop w:val="0"/>
      <w:marBottom w:val="0"/>
      <w:divBdr>
        <w:top w:val="none" w:sz="0" w:space="0" w:color="auto"/>
        <w:left w:val="none" w:sz="0" w:space="0" w:color="auto"/>
        <w:bottom w:val="none" w:sz="0" w:space="0" w:color="auto"/>
        <w:right w:val="none" w:sz="0" w:space="0" w:color="auto"/>
      </w:divBdr>
    </w:div>
    <w:div w:id="235551563">
      <w:bodyDiv w:val="1"/>
      <w:marLeft w:val="0"/>
      <w:marRight w:val="0"/>
      <w:marTop w:val="0"/>
      <w:marBottom w:val="0"/>
      <w:divBdr>
        <w:top w:val="none" w:sz="0" w:space="0" w:color="auto"/>
        <w:left w:val="none" w:sz="0" w:space="0" w:color="auto"/>
        <w:bottom w:val="none" w:sz="0" w:space="0" w:color="auto"/>
        <w:right w:val="none" w:sz="0" w:space="0" w:color="auto"/>
      </w:divBdr>
    </w:div>
    <w:div w:id="242229336">
      <w:bodyDiv w:val="1"/>
      <w:marLeft w:val="0"/>
      <w:marRight w:val="0"/>
      <w:marTop w:val="0"/>
      <w:marBottom w:val="0"/>
      <w:divBdr>
        <w:top w:val="none" w:sz="0" w:space="0" w:color="auto"/>
        <w:left w:val="none" w:sz="0" w:space="0" w:color="auto"/>
        <w:bottom w:val="none" w:sz="0" w:space="0" w:color="auto"/>
        <w:right w:val="none" w:sz="0" w:space="0" w:color="auto"/>
      </w:divBdr>
    </w:div>
    <w:div w:id="244415138">
      <w:bodyDiv w:val="1"/>
      <w:marLeft w:val="0"/>
      <w:marRight w:val="0"/>
      <w:marTop w:val="0"/>
      <w:marBottom w:val="0"/>
      <w:divBdr>
        <w:top w:val="none" w:sz="0" w:space="0" w:color="auto"/>
        <w:left w:val="none" w:sz="0" w:space="0" w:color="auto"/>
        <w:bottom w:val="none" w:sz="0" w:space="0" w:color="auto"/>
        <w:right w:val="none" w:sz="0" w:space="0" w:color="auto"/>
      </w:divBdr>
    </w:div>
    <w:div w:id="250623204">
      <w:bodyDiv w:val="1"/>
      <w:marLeft w:val="0"/>
      <w:marRight w:val="0"/>
      <w:marTop w:val="0"/>
      <w:marBottom w:val="0"/>
      <w:divBdr>
        <w:top w:val="none" w:sz="0" w:space="0" w:color="auto"/>
        <w:left w:val="none" w:sz="0" w:space="0" w:color="auto"/>
        <w:bottom w:val="none" w:sz="0" w:space="0" w:color="auto"/>
        <w:right w:val="none" w:sz="0" w:space="0" w:color="auto"/>
      </w:divBdr>
    </w:div>
    <w:div w:id="255098581">
      <w:bodyDiv w:val="1"/>
      <w:marLeft w:val="0"/>
      <w:marRight w:val="0"/>
      <w:marTop w:val="0"/>
      <w:marBottom w:val="0"/>
      <w:divBdr>
        <w:top w:val="none" w:sz="0" w:space="0" w:color="auto"/>
        <w:left w:val="none" w:sz="0" w:space="0" w:color="auto"/>
        <w:bottom w:val="none" w:sz="0" w:space="0" w:color="auto"/>
        <w:right w:val="none" w:sz="0" w:space="0" w:color="auto"/>
      </w:divBdr>
    </w:div>
    <w:div w:id="255751237">
      <w:bodyDiv w:val="1"/>
      <w:marLeft w:val="0"/>
      <w:marRight w:val="0"/>
      <w:marTop w:val="0"/>
      <w:marBottom w:val="0"/>
      <w:divBdr>
        <w:top w:val="none" w:sz="0" w:space="0" w:color="auto"/>
        <w:left w:val="none" w:sz="0" w:space="0" w:color="auto"/>
        <w:bottom w:val="none" w:sz="0" w:space="0" w:color="auto"/>
        <w:right w:val="none" w:sz="0" w:space="0" w:color="auto"/>
      </w:divBdr>
    </w:div>
    <w:div w:id="265426972">
      <w:bodyDiv w:val="1"/>
      <w:marLeft w:val="0"/>
      <w:marRight w:val="0"/>
      <w:marTop w:val="0"/>
      <w:marBottom w:val="0"/>
      <w:divBdr>
        <w:top w:val="none" w:sz="0" w:space="0" w:color="auto"/>
        <w:left w:val="none" w:sz="0" w:space="0" w:color="auto"/>
        <w:bottom w:val="none" w:sz="0" w:space="0" w:color="auto"/>
        <w:right w:val="none" w:sz="0" w:space="0" w:color="auto"/>
      </w:divBdr>
    </w:div>
    <w:div w:id="267467231">
      <w:bodyDiv w:val="1"/>
      <w:marLeft w:val="0"/>
      <w:marRight w:val="0"/>
      <w:marTop w:val="0"/>
      <w:marBottom w:val="0"/>
      <w:divBdr>
        <w:top w:val="none" w:sz="0" w:space="0" w:color="auto"/>
        <w:left w:val="none" w:sz="0" w:space="0" w:color="auto"/>
        <w:bottom w:val="none" w:sz="0" w:space="0" w:color="auto"/>
        <w:right w:val="none" w:sz="0" w:space="0" w:color="auto"/>
      </w:divBdr>
    </w:div>
    <w:div w:id="270363214">
      <w:bodyDiv w:val="1"/>
      <w:marLeft w:val="0"/>
      <w:marRight w:val="0"/>
      <w:marTop w:val="0"/>
      <w:marBottom w:val="0"/>
      <w:divBdr>
        <w:top w:val="none" w:sz="0" w:space="0" w:color="auto"/>
        <w:left w:val="none" w:sz="0" w:space="0" w:color="auto"/>
        <w:bottom w:val="none" w:sz="0" w:space="0" w:color="auto"/>
        <w:right w:val="none" w:sz="0" w:space="0" w:color="auto"/>
      </w:divBdr>
    </w:div>
    <w:div w:id="272833666">
      <w:bodyDiv w:val="1"/>
      <w:marLeft w:val="0"/>
      <w:marRight w:val="0"/>
      <w:marTop w:val="0"/>
      <w:marBottom w:val="0"/>
      <w:divBdr>
        <w:top w:val="none" w:sz="0" w:space="0" w:color="auto"/>
        <w:left w:val="none" w:sz="0" w:space="0" w:color="auto"/>
        <w:bottom w:val="none" w:sz="0" w:space="0" w:color="auto"/>
        <w:right w:val="none" w:sz="0" w:space="0" w:color="auto"/>
      </w:divBdr>
    </w:div>
    <w:div w:id="275328162">
      <w:bodyDiv w:val="1"/>
      <w:marLeft w:val="0"/>
      <w:marRight w:val="0"/>
      <w:marTop w:val="0"/>
      <w:marBottom w:val="0"/>
      <w:divBdr>
        <w:top w:val="none" w:sz="0" w:space="0" w:color="auto"/>
        <w:left w:val="none" w:sz="0" w:space="0" w:color="auto"/>
        <w:bottom w:val="none" w:sz="0" w:space="0" w:color="auto"/>
        <w:right w:val="none" w:sz="0" w:space="0" w:color="auto"/>
      </w:divBdr>
    </w:div>
    <w:div w:id="294070921">
      <w:bodyDiv w:val="1"/>
      <w:marLeft w:val="0"/>
      <w:marRight w:val="0"/>
      <w:marTop w:val="0"/>
      <w:marBottom w:val="0"/>
      <w:divBdr>
        <w:top w:val="none" w:sz="0" w:space="0" w:color="auto"/>
        <w:left w:val="none" w:sz="0" w:space="0" w:color="auto"/>
        <w:bottom w:val="none" w:sz="0" w:space="0" w:color="auto"/>
        <w:right w:val="none" w:sz="0" w:space="0" w:color="auto"/>
      </w:divBdr>
    </w:div>
    <w:div w:id="300962307">
      <w:bodyDiv w:val="1"/>
      <w:marLeft w:val="0"/>
      <w:marRight w:val="0"/>
      <w:marTop w:val="0"/>
      <w:marBottom w:val="0"/>
      <w:divBdr>
        <w:top w:val="none" w:sz="0" w:space="0" w:color="auto"/>
        <w:left w:val="none" w:sz="0" w:space="0" w:color="auto"/>
        <w:bottom w:val="none" w:sz="0" w:space="0" w:color="auto"/>
        <w:right w:val="none" w:sz="0" w:space="0" w:color="auto"/>
      </w:divBdr>
    </w:div>
    <w:div w:id="301351373">
      <w:bodyDiv w:val="1"/>
      <w:marLeft w:val="0"/>
      <w:marRight w:val="0"/>
      <w:marTop w:val="0"/>
      <w:marBottom w:val="0"/>
      <w:divBdr>
        <w:top w:val="none" w:sz="0" w:space="0" w:color="auto"/>
        <w:left w:val="none" w:sz="0" w:space="0" w:color="auto"/>
        <w:bottom w:val="none" w:sz="0" w:space="0" w:color="auto"/>
        <w:right w:val="none" w:sz="0" w:space="0" w:color="auto"/>
      </w:divBdr>
    </w:div>
    <w:div w:id="303312053">
      <w:bodyDiv w:val="1"/>
      <w:marLeft w:val="0"/>
      <w:marRight w:val="0"/>
      <w:marTop w:val="0"/>
      <w:marBottom w:val="0"/>
      <w:divBdr>
        <w:top w:val="none" w:sz="0" w:space="0" w:color="auto"/>
        <w:left w:val="none" w:sz="0" w:space="0" w:color="auto"/>
        <w:bottom w:val="none" w:sz="0" w:space="0" w:color="auto"/>
        <w:right w:val="none" w:sz="0" w:space="0" w:color="auto"/>
      </w:divBdr>
    </w:div>
    <w:div w:id="309137246">
      <w:bodyDiv w:val="1"/>
      <w:marLeft w:val="0"/>
      <w:marRight w:val="0"/>
      <w:marTop w:val="0"/>
      <w:marBottom w:val="0"/>
      <w:divBdr>
        <w:top w:val="none" w:sz="0" w:space="0" w:color="auto"/>
        <w:left w:val="none" w:sz="0" w:space="0" w:color="auto"/>
        <w:bottom w:val="none" w:sz="0" w:space="0" w:color="auto"/>
        <w:right w:val="none" w:sz="0" w:space="0" w:color="auto"/>
      </w:divBdr>
    </w:div>
    <w:div w:id="309603058">
      <w:bodyDiv w:val="1"/>
      <w:marLeft w:val="0"/>
      <w:marRight w:val="0"/>
      <w:marTop w:val="0"/>
      <w:marBottom w:val="0"/>
      <w:divBdr>
        <w:top w:val="none" w:sz="0" w:space="0" w:color="auto"/>
        <w:left w:val="none" w:sz="0" w:space="0" w:color="auto"/>
        <w:bottom w:val="none" w:sz="0" w:space="0" w:color="auto"/>
        <w:right w:val="none" w:sz="0" w:space="0" w:color="auto"/>
      </w:divBdr>
    </w:div>
    <w:div w:id="311452082">
      <w:bodyDiv w:val="1"/>
      <w:marLeft w:val="0"/>
      <w:marRight w:val="0"/>
      <w:marTop w:val="0"/>
      <w:marBottom w:val="0"/>
      <w:divBdr>
        <w:top w:val="none" w:sz="0" w:space="0" w:color="auto"/>
        <w:left w:val="none" w:sz="0" w:space="0" w:color="auto"/>
        <w:bottom w:val="none" w:sz="0" w:space="0" w:color="auto"/>
        <w:right w:val="none" w:sz="0" w:space="0" w:color="auto"/>
      </w:divBdr>
    </w:div>
    <w:div w:id="312835044">
      <w:bodyDiv w:val="1"/>
      <w:marLeft w:val="0"/>
      <w:marRight w:val="0"/>
      <w:marTop w:val="0"/>
      <w:marBottom w:val="0"/>
      <w:divBdr>
        <w:top w:val="none" w:sz="0" w:space="0" w:color="auto"/>
        <w:left w:val="none" w:sz="0" w:space="0" w:color="auto"/>
        <w:bottom w:val="none" w:sz="0" w:space="0" w:color="auto"/>
        <w:right w:val="none" w:sz="0" w:space="0" w:color="auto"/>
      </w:divBdr>
    </w:div>
    <w:div w:id="323169268">
      <w:bodyDiv w:val="1"/>
      <w:marLeft w:val="0"/>
      <w:marRight w:val="0"/>
      <w:marTop w:val="0"/>
      <w:marBottom w:val="0"/>
      <w:divBdr>
        <w:top w:val="none" w:sz="0" w:space="0" w:color="auto"/>
        <w:left w:val="none" w:sz="0" w:space="0" w:color="auto"/>
        <w:bottom w:val="none" w:sz="0" w:space="0" w:color="auto"/>
        <w:right w:val="none" w:sz="0" w:space="0" w:color="auto"/>
      </w:divBdr>
    </w:div>
    <w:div w:id="329993660">
      <w:bodyDiv w:val="1"/>
      <w:marLeft w:val="0"/>
      <w:marRight w:val="0"/>
      <w:marTop w:val="0"/>
      <w:marBottom w:val="0"/>
      <w:divBdr>
        <w:top w:val="none" w:sz="0" w:space="0" w:color="auto"/>
        <w:left w:val="none" w:sz="0" w:space="0" w:color="auto"/>
        <w:bottom w:val="none" w:sz="0" w:space="0" w:color="auto"/>
        <w:right w:val="none" w:sz="0" w:space="0" w:color="auto"/>
      </w:divBdr>
    </w:div>
    <w:div w:id="338506173">
      <w:bodyDiv w:val="1"/>
      <w:marLeft w:val="0"/>
      <w:marRight w:val="0"/>
      <w:marTop w:val="0"/>
      <w:marBottom w:val="0"/>
      <w:divBdr>
        <w:top w:val="none" w:sz="0" w:space="0" w:color="auto"/>
        <w:left w:val="none" w:sz="0" w:space="0" w:color="auto"/>
        <w:bottom w:val="none" w:sz="0" w:space="0" w:color="auto"/>
        <w:right w:val="none" w:sz="0" w:space="0" w:color="auto"/>
      </w:divBdr>
    </w:div>
    <w:div w:id="342517977">
      <w:bodyDiv w:val="1"/>
      <w:marLeft w:val="0"/>
      <w:marRight w:val="0"/>
      <w:marTop w:val="0"/>
      <w:marBottom w:val="0"/>
      <w:divBdr>
        <w:top w:val="none" w:sz="0" w:space="0" w:color="auto"/>
        <w:left w:val="none" w:sz="0" w:space="0" w:color="auto"/>
        <w:bottom w:val="none" w:sz="0" w:space="0" w:color="auto"/>
        <w:right w:val="none" w:sz="0" w:space="0" w:color="auto"/>
      </w:divBdr>
    </w:div>
    <w:div w:id="351490638">
      <w:bodyDiv w:val="1"/>
      <w:marLeft w:val="0"/>
      <w:marRight w:val="0"/>
      <w:marTop w:val="0"/>
      <w:marBottom w:val="0"/>
      <w:divBdr>
        <w:top w:val="none" w:sz="0" w:space="0" w:color="auto"/>
        <w:left w:val="none" w:sz="0" w:space="0" w:color="auto"/>
        <w:bottom w:val="none" w:sz="0" w:space="0" w:color="auto"/>
        <w:right w:val="none" w:sz="0" w:space="0" w:color="auto"/>
      </w:divBdr>
    </w:div>
    <w:div w:id="354313145">
      <w:bodyDiv w:val="1"/>
      <w:marLeft w:val="0"/>
      <w:marRight w:val="0"/>
      <w:marTop w:val="0"/>
      <w:marBottom w:val="0"/>
      <w:divBdr>
        <w:top w:val="none" w:sz="0" w:space="0" w:color="auto"/>
        <w:left w:val="none" w:sz="0" w:space="0" w:color="auto"/>
        <w:bottom w:val="none" w:sz="0" w:space="0" w:color="auto"/>
        <w:right w:val="none" w:sz="0" w:space="0" w:color="auto"/>
      </w:divBdr>
    </w:div>
    <w:div w:id="354356515">
      <w:bodyDiv w:val="1"/>
      <w:marLeft w:val="0"/>
      <w:marRight w:val="0"/>
      <w:marTop w:val="0"/>
      <w:marBottom w:val="0"/>
      <w:divBdr>
        <w:top w:val="none" w:sz="0" w:space="0" w:color="auto"/>
        <w:left w:val="none" w:sz="0" w:space="0" w:color="auto"/>
        <w:bottom w:val="none" w:sz="0" w:space="0" w:color="auto"/>
        <w:right w:val="none" w:sz="0" w:space="0" w:color="auto"/>
      </w:divBdr>
    </w:div>
    <w:div w:id="358170372">
      <w:bodyDiv w:val="1"/>
      <w:marLeft w:val="0"/>
      <w:marRight w:val="0"/>
      <w:marTop w:val="0"/>
      <w:marBottom w:val="0"/>
      <w:divBdr>
        <w:top w:val="none" w:sz="0" w:space="0" w:color="auto"/>
        <w:left w:val="none" w:sz="0" w:space="0" w:color="auto"/>
        <w:bottom w:val="none" w:sz="0" w:space="0" w:color="auto"/>
        <w:right w:val="none" w:sz="0" w:space="0" w:color="auto"/>
      </w:divBdr>
    </w:div>
    <w:div w:id="360479385">
      <w:bodyDiv w:val="1"/>
      <w:marLeft w:val="0"/>
      <w:marRight w:val="0"/>
      <w:marTop w:val="0"/>
      <w:marBottom w:val="0"/>
      <w:divBdr>
        <w:top w:val="none" w:sz="0" w:space="0" w:color="auto"/>
        <w:left w:val="none" w:sz="0" w:space="0" w:color="auto"/>
        <w:bottom w:val="none" w:sz="0" w:space="0" w:color="auto"/>
        <w:right w:val="none" w:sz="0" w:space="0" w:color="auto"/>
      </w:divBdr>
    </w:div>
    <w:div w:id="360667384">
      <w:bodyDiv w:val="1"/>
      <w:marLeft w:val="0"/>
      <w:marRight w:val="0"/>
      <w:marTop w:val="0"/>
      <w:marBottom w:val="0"/>
      <w:divBdr>
        <w:top w:val="none" w:sz="0" w:space="0" w:color="auto"/>
        <w:left w:val="none" w:sz="0" w:space="0" w:color="auto"/>
        <w:bottom w:val="none" w:sz="0" w:space="0" w:color="auto"/>
        <w:right w:val="none" w:sz="0" w:space="0" w:color="auto"/>
      </w:divBdr>
    </w:div>
    <w:div w:id="361050626">
      <w:bodyDiv w:val="1"/>
      <w:marLeft w:val="0"/>
      <w:marRight w:val="0"/>
      <w:marTop w:val="0"/>
      <w:marBottom w:val="0"/>
      <w:divBdr>
        <w:top w:val="none" w:sz="0" w:space="0" w:color="auto"/>
        <w:left w:val="none" w:sz="0" w:space="0" w:color="auto"/>
        <w:bottom w:val="none" w:sz="0" w:space="0" w:color="auto"/>
        <w:right w:val="none" w:sz="0" w:space="0" w:color="auto"/>
      </w:divBdr>
    </w:div>
    <w:div w:id="386808207">
      <w:bodyDiv w:val="1"/>
      <w:marLeft w:val="0"/>
      <w:marRight w:val="0"/>
      <w:marTop w:val="0"/>
      <w:marBottom w:val="0"/>
      <w:divBdr>
        <w:top w:val="none" w:sz="0" w:space="0" w:color="auto"/>
        <w:left w:val="none" w:sz="0" w:space="0" w:color="auto"/>
        <w:bottom w:val="none" w:sz="0" w:space="0" w:color="auto"/>
        <w:right w:val="none" w:sz="0" w:space="0" w:color="auto"/>
      </w:divBdr>
    </w:div>
    <w:div w:id="392001321">
      <w:bodyDiv w:val="1"/>
      <w:marLeft w:val="0"/>
      <w:marRight w:val="0"/>
      <w:marTop w:val="0"/>
      <w:marBottom w:val="0"/>
      <w:divBdr>
        <w:top w:val="none" w:sz="0" w:space="0" w:color="auto"/>
        <w:left w:val="none" w:sz="0" w:space="0" w:color="auto"/>
        <w:bottom w:val="none" w:sz="0" w:space="0" w:color="auto"/>
        <w:right w:val="none" w:sz="0" w:space="0" w:color="auto"/>
      </w:divBdr>
    </w:div>
    <w:div w:id="394864211">
      <w:bodyDiv w:val="1"/>
      <w:marLeft w:val="0"/>
      <w:marRight w:val="0"/>
      <w:marTop w:val="0"/>
      <w:marBottom w:val="0"/>
      <w:divBdr>
        <w:top w:val="none" w:sz="0" w:space="0" w:color="auto"/>
        <w:left w:val="none" w:sz="0" w:space="0" w:color="auto"/>
        <w:bottom w:val="none" w:sz="0" w:space="0" w:color="auto"/>
        <w:right w:val="none" w:sz="0" w:space="0" w:color="auto"/>
      </w:divBdr>
    </w:div>
    <w:div w:id="396830676">
      <w:bodyDiv w:val="1"/>
      <w:marLeft w:val="0"/>
      <w:marRight w:val="0"/>
      <w:marTop w:val="0"/>
      <w:marBottom w:val="0"/>
      <w:divBdr>
        <w:top w:val="none" w:sz="0" w:space="0" w:color="auto"/>
        <w:left w:val="none" w:sz="0" w:space="0" w:color="auto"/>
        <w:bottom w:val="none" w:sz="0" w:space="0" w:color="auto"/>
        <w:right w:val="none" w:sz="0" w:space="0" w:color="auto"/>
      </w:divBdr>
    </w:div>
    <w:div w:id="403181225">
      <w:bodyDiv w:val="1"/>
      <w:marLeft w:val="0"/>
      <w:marRight w:val="0"/>
      <w:marTop w:val="0"/>
      <w:marBottom w:val="0"/>
      <w:divBdr>
        <w:top w:val="none" w:sz="0" w:space="0" w:color="auto"/>
        <w:left w:val="none" w:sz="0" w:space="0" w:color="auto"/>
        <w:bottom w:val="none" w:sz="0" w:space="0" w:color="auto"/>
        <w:right w:val="none" w:sz="0" w:space="0" w:color="auto"/>
      </w:divBdr>
    </w:div>
    <w:div w:id="403183241">
      <w:bodyDiv w:val="1"/>
      <w:marLeft w:val="0"/>
      <w:marRight w:val="0"/>
      <w:marTop w:val="0"/>
      <w:marBottom w:val="0"/>
      <w:divBdr>
        <w:top w:val="none" w:sz="0" w:space="0" w:color="auto"/>
        <w:left w:val="none" w:sz="0" w:space="0" w:color="auto"/>
        <w:bottom w:val="none" w:sz="0" w:space="0" w:color="auto"/>
        <w:right w:val="none" w:sz="0" w:space="0" w:color="auto"/>
      </w:divBdr>
    </w:div>
    <w:div w:id="424615639">
      <w:bodyDiv w:val="1"/>
      <w:marLeft w:val="0"/>
      <w:marRight w:val="0"/>
      <w:marTop w:val="0"/>
      <w:marBottom w:val="0"/>
      <w:divBdr>
        <w:top w:val="none" w:sz="0" w:space="0" w:color="auto"/>
        <w:left w:val="none" w:sz="0" w:space="0" w:color="auto"/>
        <w:bottom w:val="none" w:sz="0" w:space="0" w:color="auto"/>
        <w:right w:val="none" w:sz="0" w:space="0" w:color="auto"/>
      </w:divBdr>
    </w:div>
    <w:div w:id="433985285">
      <w:bodyDiv w:val="1"/>
      <w:marLeft w:val="0"/>
      <w:marRight w:val="0"/>
      <w:marTop w:val="0"/>
      <w:marBottom w:val="0"/>
      <w:divBdr>
        <w:top w:val="none" w:sz="0" w:space="0" w:color="auto"/>
        <w:left w:val="none" w:sz="0" w:space="0" w:color="auto"/>
        <w:bottom w:val="none" w:sz="0" w:space="0" w:color="auto"/>
        <w:right w:val="none" w:sz="0" w:space="0" w:color="auto"/>
      </w:divBdr>
    </w:div>
    <w:div w:id="439302143">
      <w:bodyDiv w:val="1"/>
      <w:marLeft w:val="0"/>
      <w:marRight w:val="0"/>
      <w:marTop w:val="0"/>
      <w:marBottom w:val="0"/>
      <w:divBdr>
        <w:top w:val="none" w:sz="0" w:space="0" w:color="auto"/>
        <w:left w:val="none" w:sz="0" w:space="0" w:color="auto"/>
        <w:bottom w:val="none" w:sz="0" w:space="0" w:color="auto"/>
        <w:right w:val="none" w:sz="0" w:space="0" w:color="auto"/>
      </w:divBdr>
    </w:div>
    <w:div w:id="444077607">
      <w:bodyDiv w:val="1"/>
      <w:marLeft w:val="0"/>
      <w:marRight w:val="0"/>
      <w:marTop w:val="0"/>
      <w:marBottom w:val="0"/>
      <w:divBdr>
        <w:top w:val="none" w:sz="0" w:space="0" w:color="auto"/>
        <w:left w:val="none" w:sz="0" w:space="0" w:color="auto"/>
        <w:bottom w:val="none" w:sz="0" w:space="0" w:color="auto"/>
        <w:right w:val="none" w:sz="0" w:space="0" w:color="auto"/>
      </w:divBdr>
    </w:div>
    <w:div w:id="445470731">
      <w:bodyDiv w:val="1"/>
      <w:marLeft w:val="0"/>
      <w:marRight w:val="0"/>
      <w:marTop w:val="0"/>
      <w:marBottom w:val="0"/>
      <w:divBdr>
        <w:top w:val="none" w:sz="0" w:space="0" w:color="auto"/>
        <w:left w:val="none" w:sz="0" w:space="0" w:color="auto"/>
        <w:bottom w:val="none" w:sz="0" w:space="0" w:color="auto"/>
        <w:right w:val="none" w:sz="0" w:space="0" w:color="auto"/>
      </w:divBdr>
    </w:div>
    <w:div w:id="450369039">
      <w:bodyDiv w:val="1"/>
      <w:marLeft w:val="0"/>
      <w:marRight w:val="0"/>
      <w:marTop w:val="0"/>
      <w:marBottom w:val="0"/>
      <w:divBdr>
        <w:top w:val="none" w:sz="0" w:space="0" w:color="auto"/>
        <w:left w:val="none" w:sz="0" w:space="0" w:color="auto"/>
        <w:bottom w:val="none" w:sz="0" w:space="0" w:color="auto"/>
        <w:right w:val="none" w:sz="0" w:space="0" w:color="auto"/>
      </w:divBdr>
    </w:div>
    <w:div w:id="450511840">
      <w:bodyDiv w:val="1"/>
      <w:marLeft w:val="0"/>
      <w:marRight w:val="0"/>
      <w:marTop w:val="0"/>
      <w:marBottom w:val="0"/>
      <w:divBdr>
        <w:top w:val="none" w:sz="0" w:space="0" w:color="auto"/>
        <w:left w:val="none" w:sz="0" w:space="0" w:color="auto"/>
        <w:bottom w:val="none" w:sz="0" w:space="0" w:color="auto"/>
        <w:right w:val="none" w:sz="0" w:space="0" w:color="auto"/>
      </w:divBdr>
    </w:div>
    <w:div w:id="463086981">
      <w:bodyDiv w:val="1"/>
      <w:marLeft w:val="0"/>
      <w:marRight w:val="0"/>
      <w:marTop w:val="0"/>
      <w:marBottom w:val="0"/>
      <w:divBdr>
        <w:top w:val="none" w:sz="0" w:space="0" w:color="auto"/>
        <w:left w:val="none" w:sz="0" w:space="0" w:color="auto"/>
        <w:bottom w:val="none" w:sz="0" w:space="0" w:color="auto"/>
        <w:right w:val="none" w:sz="0" w:space="0" w:color="auto"/>
      </w:divBdr>
    </w:div>
    <w:div w:id="463546221">
      <w:bodyDiv w:val="1"/>
      <w:marLeft w:val="0"/>
      <w:marRight w:val="0"/>
      <w:marTop w:val="0"/>
      <w:marBottom w:val="0"/>
      <w:divBdr>
        <w:top w:val="none" w:sz="0" w:space="0" w:color="auto"/>
        <w:left w:val="none" w:sz="0" w:space="0" w:color="auto"/>
        <w:bottom w:val="none" w:sz="0" w:space="0" w:color="auto"/>
        <w:right w:val="none" w:sz="0" w:space="0" w:color="auto"/>
      </w:divBdr>
    </w:div>
    <w:div w:id="497234080">
      <w:bodyDiv w:val="1"/>
      <w:marLeft w:val="0"/>
      <w:marRight w:val="0"/>
      <w:marTop w:val="0"/>
      <w:marBottom w:val="0"/>
      <w:divBdr>
        <w:top w:val="none" w:sz="0" w:space="0" w:color="auto"/>
        <w:left w:val="none" w:sz="0" w:space="0" w:color="auto"/>
        <w:bottom w:val="none" w:sz="0" w:space="0" w:color="auto"/>
        <w:right w:val="none" w:sz="0" w:space="0" w:color="auto"/>
      </w:divBdr>
    </w:div>
    <w:div w:id="499002365">
      <w:bodyDiv w:val="1"/>
      <w:marLeft w:val="0"/>
      <w:marRight w:val="0"/>
      <w:marTop w:val="0"/>
      <w:marBottom w:val="0"/>
      <w:divBdr>
        <w:top w:val="none" w:sz="0" w:space="0" w:color="auto"/>
        <w:left w:val="none" w:sz="0" w:space="0" w:color="auto"/>
        <w:bottom w:val="none" w:sz="0" w:space="0" w:color="auto"/>
        <w:right w:val="none" w:sz="0" w:space="0" w:color="auto"/>
      </w:divBdr>
    </w:div>
    <w:div w:id="500851770">
      <w:bodyDiv w:val="1"/>
      <w:marLeft w:val="0"/>
      <w:marRight w:val="0"/>
      <w:marTop w:val="0"/>
      <w:marBottom w:val="0"/>
      <w:divBdr>
        <w:top w:val="none" w:sz="0" w:space="0" w:color="auto"/>
        <w:left w:val="none" w:sz="0" w:space="0" w:color="auto"/>
        <w:bottom w:val="none" w:sz="0" w:space="0" w:color="auto"/>
        <w:right w:val="none" w:sz="0" w:space="0" w:color="auto"/>
      </w:divBdr>
    </w:div>
    <w:div w:id="502744270">
      <w:bodyDiv w:val="1"/>
      <w:marLeft w:val="0"/>
      <w:marRight w:val="0"/>
      <w:marTop w:val="0"/>
      <w:marBottom w:val="0"/>
      <w:divBdr>
        <w:top w:val="none" w:sz="0" w:space="0" w:color="auto"/>
        <w:left w:val="none" w:sz="0" w:space="0" w:color="auto"/>
        <w:bottom w:val="none" w:sz="0" w:space="0" w:color="auto"/>
        <w:right w:val="none" w:sz="0" w:space="0" w:color="auto"/>
      </w:divBdr>
    </w:div>
    <w:div w:id="505824083">
      <w:bodyDiv w:val="1"/>
      <w:marLeft w:val="0"/>
      <w:marRight w:val="0"/>
      <w:marTop w:val="0"/>
      <w:marBottom w:val="0"/>
      <w:divBdr>
        <w:top w:val="none" w:sz="0" w:space="0" w:color="auto"/>
        <w:left w:val="none" w:sz="0" w:space="0" w:color="auto"/>
        <w:bottom w:val="none" w:sz="0" w:space="0" w:color="auto"/>
        <w:right w:val="none" w:sz="0" w:space="0" w:color="auto"/>
      </w:divBdr>
    </w:div>
    <w:div w:id="507981421">
      <w:bodyDiv w:val="1"/>
      <w:marLeft w:val="0"/>
      <w:marRight w:val="0"/>
      <w:marTop w:val="0"/>
      <w:marBottom w:val="0"/>
      <w:divBdr>
        <w:top w:val="none" w:sz="0" w:space="0" w:color="auto"/>
        <w:left w:val="none" w:sz="0" w:space="0" w:color="auto"/>
        <w:bottom w:val="none" w:sz="0" w:space="0" w:color="auto"/>
        <w:right w:val="none" w:sz="0" w:space="0" w:color="auto"/>
      </w:divBdr>
    </w:div>
    <w:div w:id="507985579">
      <w:bodyDiv w:val="1"/>
      <w:marLeft w:val="0"/>
      <w:marRight w:val="0"/>
      <w:marTop w:val="0"/>
      <w:marBottom w:val="0"/>
      <w:divBdr>
        <w:top w:val="none" w:sz="0" w:space="0" w:color="auto"/>
        <w:left w:val="none" w:sz="0" w:space="0" w:color="auto"/>
        <w:bottom w:val="none" w:sz="0" w:space="0" w:color="auto"/>
        <w:right w:val="none" w:sz="0" w:space="0" w:color="auto"/>
      </w:divBdr>
    </w:div>
    <w:div w:id="535002932">
      <w:bodyDiv w:val="1"/>
      <w:marLeft w:val="0"/>
      <w:marRight w:val="0"/>
      <w:marTop w:val="0"/>
      <w:marBottom w:val="0"/>
      <w:divBdr>
        <w:top w:val="none" w:sz="0" w:space="0" w:color="auto"/>
        <w:left w:val="none" w:sz="0" w:space="0" w:color="auto"/>
        <w:bottom w:val="none" w:sz="0" w:space="0" w:color="auto"/>
        <w:right w:val="none" w:sz="0" w:space="0" w:color="auto"/>
      </w:divBdr>
    </w:div>
    <w:div w:id="550002214">
      <w:bodyDiv w:val="1"/>
      <w:marLeft w:val="0"/>
      <w:marRight w:val="0"/>
      <w:marTop w:val="0"/>
      <w:marBottom w:val="0"/>
      <w:divBdr>
        <w:top w:val="none" w:sz="0" w:space="0" w:color="auto"/>
        <w:left w:val="none" w:sz="0" w:space="0" w:color="auto"/>
        <w:bottom w:val="none" w:sz="0" w:space="0" w:color="auto"/>
        <w:right w:val="none" w:sz="0" w:space="0" w:color="auto"/>
      </w:divBdr>
    </w:div>
    <w:div w:id="550044113">
      <w:bodyDiv w:val="1"/>
      <w:marLeft w:val="0"/>
      <w:marRight w:val="0"/>
      <w:marTop w:val="0"/>
      <w:marBottom w:val="0"/>
      <w:divBdr>
        <w:top w:val="none" w:sz="0" w:space="0" w:color="auto"/>
        <w:left w:val="none" w:sz="0" w:space="0" w:color="auto"/>
        <w:bottom w:val="none" w:sz="0" w:space="0" w:color="auto"/>
        <w:right w:val="none" w:sz="0" w:space="0" w:color="auto"/>
      </w:divBdr>
    </w:div>
    <w:div w:id="552695304">
      <w:bodyDiv w:val="1"/>
      <w:marLeft w:val="0"/>
      <w:marRight w:val="0"/>
      <w:marTop w:val="0"/>
      <w:marBottom w:val="0"/>
      <w:divBdr>
        <w:top w:val="none" w:sz="0" w:space="0" w:color="auto"/>
        <w:left w:val="none" w:sz="0" w:space="0" w:color="auto"/>
        <w:bottom w:val="none" w:sz="0" w:space="0" w:color="auto"/>
        <w:right w:val="none" w:sz="0" w:space="0" w:color="auto"/>
      </w:divBdr>
    </w:div>
    <w:div w:id="556088812">
      <w:bodyDiv w:val="1"/>
      <w:marLeft w:val="0"/>
      <w:marRight w:val="0"/>
      <w:marTop w:val="0"/>
      <w:marBottom w:val="0"/>
      <w:divBdr>
        <w:top w:val="none" w:sz="0" w:space="0" w:color="auto"/>
        <w:left w:val="none" w:sz="0" w:space="0" w:color="auto"/>
        <w:bottom w:val="none" w:sz="0" w:space="0" w:color="auto"/>
        <w:right w:val="none" w:sz="0" w:space="0" w:color="auto"/>
      </w:divBdr>
    </w:div>
    <w:div w:id="574053625">
      <w:bodyDiv w:val="1"/>
      <w:marLeft w:val="0"/>
      <w:marRight w:val="0"/>
      <w:marTop w:val="0"/>
      <w:marBottom w:val="0"/>
      <w:divBdr>
        <w:top w:val="none" w:sz="0" w:space="0" w:color="auto"/>
        <w:left w:val="none" w:sz="0" w:space="0" w:color="auto"/>
        <w:bottom w:val="none" w:sz="0" w:space="0" w:color="auto"/>
        <w:right w:val="none" w:sz="0" w:space="0" w:color="auto"/>
      </w:divBdr>
    </w:div>
    <w:div w:id="575436506">
      <w:bodyDiv w:val="1"/>
      <w:marLeft w:val="0"/>
      <w:marRight w:val="0"/>
      <w:marTop w:val="0"/>
      <w:marBottom w:val="0"/>
      <w:divBdr>
        <w:top w:val="none" w:sz="0" w:space="0" w:color="auto"/>
        <w:left w:val="none" w:sz="0" w:space="0" w:color="auto"/>
        <w:bottom w:val="none" w:sz="0" w:space="0" w:color="auto"/>
        <w:right w:val="none" w:sz="0" w:space="0" w:color="auto"/>
      </w:divBdr>
    </w:div>
    <w:div w:id="611477164">
      <w:bodyDiv w:val="1"/>
      <w:marLeft w:val="0"/>
      <w:marRight w:val="0"/>
      <w:marTop w:val="0"/>
      <w:marBottom w:val="0"/>
      <w:divBdr>
        <w:top w:val="none" w:sz="0" w:space="0" w:color="auto"/>
        <w:left w:val="none" w:sz="0" w:space="0" w:color="auto"/>
        <w:bottom w:val="none" w:sz="0" w:space="0" w:color="auto"/>
        <w:right w:val="none" w:sz="0" w:space="0" w:color="auto"/>
      </w:divBdr>
    </w:div>
    <w:div w:id="614948247">
      <w:bodyDiv w:val="1"/>
      <w:marLeft w:val="0"/>
      <w:marRight w:val="0"/>
      <w:marTop w:val="0"/>
      <w:marBottom w:val="0"/>
      <w:divBdr>
        <w:top w:val="none" w:sz="0" w:space="0" w:color="auto"/>
        <w:left w:val="none" w:sz="0" w:space="0" w:color="auto"/>
        <w:bottom w:val="none" w:sz="0" w:space="0" w:color="auto"/>
        <w:right w:val="none" w:sz="0" w:space="0" w:color="auto"/>
      </w:divBdr>
    </w:div>
    <w:div w:id="615597041">
      <w:bodyDiv w:val="1"/>
      <w:marLeft w:val="0"/>
      <w:marRight w:val="0"/>
      <w:marTop w:val="0"/>
      <w:marBottom w:val="0"/>
      <w:divBdr>
        <w:top w:val="none" w:sz="0" w:space="0" w:color="auto"/>
        <w:left w:val="none" w:sz="0" w:space="0" w:color="auto"/>
        <w:bottom w:val="none" w:sz="0" w:space="0" w:color="auto"/>
        <w:right w:val="none" w:sz="0" w:space="0" w:color="auto"/>
      </w:divBdr>
    </w:div>
    <w:div w:id="627200170">
      <w:bodyDiv w:val="1"/>
      <w:marLeft w:val="0"/>
      <w:marRight w:val="0"/>
      <w:marTop w:val="0"/>
      <w:marBottom w:val="0"/>
      <w:divBdr>
        <w:top w:val="none" w:sz="0" w:space="0" w:color="auto"/>
        <w:left w:val="none" w:sz="0" w:space="0" w:color="auto"/>
        <w:bottom w:val="none" w:sz="0" w:space="0" w:color="auto"/>
        <w:right w:val="none" w:sz="0" w:space="0" w:color="auto"/>
      </w:divBdr>
    </w:div>
    <w:div w:id="637538858">
      <w:bodyDiv w:val="1"/>
      <w:marLeft w:val="0"/>
      <w:marRight w:val="0"/>
      <w:marTop w:val="0"/>
      <w:marBottom w:val="0"/>
      <w:divBdr>
        <w:top w:val="none" w:sz="0" w:space="0" w:color="auto"/>
        <w:left w:val="none" w:sz="0" w:space="0" w:color="auto"/>
        <w:bottom w:val="none" w:sz="0" w:space="0" w:color="auto"/>
        <w:right w:val="none" w:sz="0" w:space="0" w:color="auto"/>
      </w:divBdr>
    </w:div>
    <w:div w:id="637614191">
      <w:bodyDiv w:val="1"/>
      <w:marLeft w:val="0"/>
      <w:marRight w:val="0"/>
      <w:marTop w:val="0"/>
      <w:marBottom w:val="0"/>
      <w:divBdr>
        <w:top w:val="none" w:sz="0" w:space="0" w:color="auto"/>
        <w:left w:val="none" w:sz="0" w:space="0" w:color="auto"/>
        <w:bottom w:val="none" w:sz="0" w:space="0" w:color="auto"/>
        <w:right w:val="none" w:sz="0" w:space="0" w:color="auto"/>
      </w:divBdr>
    </w:div>
    <w:div w:id="641694889">
      <w:bodyDiv w:val="1"/>
      <w:marLeft w:val="0"/>
      <w:marRight w:val="0"/>
      <w:marTop w:val="0"/>
      <w:marBottom w:val="0"/>
      <w:divBdr>
        <w:top w:val="none" w:sz="0" w:space="0" w:color="auto"/>
        <w:left w:val="none" w:sz="0" w:space="0" w:color="auto"/>
        <w:bottom w:val="none" w:sz="0" w:space="0" w:color="auto"/>
        <w:right w:val="none" w:sz="0" w:space="0" w:color="auto"/>
      </w:divBdr>
    </w:div>
    <w:div w:id="662010832">
      <w:bodyDiv w:val="1"/>
      <w:marLeft w:val="0"/>
      <w:marRight w:val="0"/>
      <w:marTop w:val="0"/>
      <w:marBottom w:val="0"/>
      <w:divBdr>
        <w:top w:val="none" w:sz="0" w:space="0" w:color="auto"/>
        <w:left w:val="none" w:sz="0" w:space="0" w:color="auto"/>
        <w:bottom w:val="none" w:sz="0" w:space="0" w:color="auto"/>
        <w:right w:val="none" w:sz="0" w:space="0" w:color="auto"/>
      </w:divBdr>
    </w:div>
    <w:div w:id="666440638">
      <w:bodyDiv w:val="1"/>
      <w:marLeft w:val="0"/>
      <w:marRight w:val="0"/>
      <w:marTop w:val="0"/>
      <w:marBottom w:val="0"/>
      <w:divBdr>
        <w:top w:val="none" w:sz="0" w:space="0" w:color="auto"/>
        <w:left w:val="none" w:sz="0" w:space="0" w:color="auto"/>
        <w:bottom w:val="none" w:sz="0" w:space="0" w:color="auto"/>
        <w:right w:val="none" w:sz="0" w:space="0" w:color="auto"/>
      </w:divBdr>
    </w:div>
    <w:div w:id="672605108">
      <w:bodyDiv w:val="1"/>
      <w:marLeft w:val="0"/>
      <w:marRight w:val="0"/>
      <w:marTop w:val="0"/>
      <w:marBottom w:val="0"/>
      <w:divBdr>
        <w:top w:val="none" w:sz="0" w:space="0" w:color="auto"/>
        <w:left w:val="none" w:sz="0" w:space="0" w:color="auto"/>
        <w:bottom w:val="none" w:sz="0" w:space="0" w:color="auto"/>
        <w:right w:val="none" w:sz="0" w:space="0" w:color="auto"/>
      </w:divBdr>
    </w:div>
    <w:div w:id="682361657">
      <w:bodyDiv w:val="1"/>
      <w:marLeft w:val="0"/>
      <w:marRight w:val="0"/>
      <w:marTop w:val="0"/>
      <w:marBottom w:val="0"/>
      <w:divBdr>
        <w:top w:val="none" w:sz="0" w:space="0" w:color="auto"/>
        <w:left w:val="none" w:sz="0" w:space="0" w:color="auto"/>
        <w:bottom w:val="none" w:sz="0" w:space="0" w:color="auto"/>
        <w:right w:val="none" w:sz="0" w:space="0" w:color="auto"/>
      </w:divBdr>
    </w:div>
    <w:div w:id="700128390">
      <w:bodyDiv w:val="1"/>
      <w:marLeft w:val="0"/>
      <w:marRight w:val="0"/>
      <w:marTop w:val="0"/>
      <w:marBottom w:val="0"/>
      <w:divBdr>
        <w:top w:val="none" w:sz="0" w:space="0" w:color="auto"/>
        <w:left w:val="none" w:sz="0" w:space="0" w:color="auto"/>
        <w:bottom w:val="none" w:sz="0" w:space="0" w:color="auto"/>
        <w:right w:val="none" w:sz="0" w:space="0" w:color="auto"/>
      </w:divBdr>
    </w:div>
    <w:div w:id="707024101">
      <w:bodyDiv w:val="1"/>
      <w:marLeft w:val="0"/>
      <w:marRight w:val="0"/>
      <w:marTop w:val="0"/>
      <w:marBottom w:val="0"/>
      <w:divBdr>
        <w:top w:val="none" w:sz="0" w:space="0" w:color="auto"/>
        <w:left w:val="none" w:sz="0" w:space="0" w:color="auto"/>
        <w:bottom w:val="none" w:sz="0" w:space="0" w:color="auto"/>
        <w:right w:val="none" w:sz="0" w:space="0" w:color="auto"/>
      </w:divBdr>
    </w:div>
    <w:div w:id="717586354">
      <w:bodyDiv w:val="1"/>
      <w:marLeft w:val="0"/>
      <w:marRight w:val="0"/>
      <w:marTop w:val="0"/>
      <w:marBottom w:val="0"/>
      <w:divBdr>
        <w:top w:val="none" w:sz="0" w:space="0" w:color="auto"/>
        <w:left w:val="none" w:sz="0" w:space="0" w:color="auto"/>
        <w:bottom w:val="none" w:sz="0" w:space="0" w:color="auto"/>
        <w:right w:val="none" w:sz="0" w:space="0" w:color="auto"/>
      </w:divBdr>
    </w:div>
    <w:div w:id="725614943">
      <w:bodyDiv w:val="1"/>
      <w:marLeft w:val="0"/>
      <w:marRight w:val="0"/>
      <w:marTop w:val="0"/>
      <w:marBottom w:val="0"/>
      <w:divBdr>
        <w:top w:val="none" w:sz="0" w:space="0" w:color="auto"/>
        <w:left w:val="none" w:sz="0" w:space="0" w:color="auto"/>
        <w:bottom w:val="none" w:sz="0" w:space="0" w:color="auto"/>
        <w:right w:val="none" w:sz="0" w:space="0" w:color="auto"/>
      </w:divBdr>
    </w:div>
    <w:div w:id="727146917">
      <w:bodyDiv w:val="1"/>
      <w:marLeft w:val="0"/>
      <w:marRight w:val="0"/>
      <w:marTop w:val="0"/>
      <w:marBottom w:val="0"/>
      <w:divBdr>
        <w:top w:val="none" w:sz="0" w:space="0" w:color="auto"/>
        <w:left w:val="none" w:sz="0" w:space="0" w:color="auto"/>
        <w:bottom w:val="none" w:sz="0" w:space="0" w:color="auto"/>
        <w:right w:val="none" w:sz="0" w:space="0" w:color="auto"/>
      </w:divBdr>
    </w:div>
    <w:div w:id="731006234">
      <w:bodyDiv w:val="1"/>
      <w:marLeft w:val="0"/>
      <w:marRight w:val="0"/>
      <w:marTop w:val="0"/>
      <w:marBottom w:val="0"/>
      <w:divBdr>
        <w:top w:val="none" w:sz="0" w:space="0" w:color="auto"/>
        <w:left w:val="none" w:sz="0" w:space="0" w:color="auto"/>
        <w:bottom w:val="none" w:sz="0" w:space="0" w:color="auto"/>
        <w:right w:val="none" w:sz="0" w:space="0" w:color="auto"/>
      </w:divBdr>
    </w:div>
    <w:div w:id="734281600">
      <w:bodyDiv w:val="1"/>
      <w:marLeft w:val="0"/>
      <w:marRight w:val="0"/>
      <w:marTop w:val="0"/>
      <w:marBottom w:val="0"/>
      <w:divBdr>
        <w:top w:val="none" w:sz="0" w:space="0" w:color="auto"/>
        <w:left w:val="none" w:sz="0" w:space="0" w:color="auto"/>
        <w:bottom w:val="none" w:sz="0" w:space="0" w:color="auto"/>
        <w:right w:val="none" w:sz="0" w:space="0" w:color="auto"/>
      </w:divBdr>
    </w:div>
    <w:div w:id="748506114">
      <w:bodyDiv w:val="1"/>
      <w:marLeft w:val="0"/>
      <w:marRight w:val="0"/>
      <w:marTop w:val="0"/>
      <w:marBottom w:val="0"/>
      <w:divBdr>
        <w:top w:val="none" w:sz="0" w:space="0" w:color="auto"/>
        <w:left w:val="none" w:sz="0" w:space="0" w:color="auto"/>
        <w:bottom w:val="none" w:sz="0" w:space="0" w:color="auto"/>
        <w:right w:val="none" w:sz="0" w:space="0" w:color="auto"/>
      </w:divBdr>
    </w:div>
    <w:div w:id="757553656">
      <w:bodyDiv w:val="1"/>
      <w:marLeft w:val="0"/>
      <w:marRight w:val="0"/>
      <w:marTop w:val="0"/>
      <w:marBottom w:val="0"/>
      <w:divBdr>
        <w:top w:val="none" w:sz="0" w:space="0" w:color="auto"/>
        <w:left w:val="none" w:sz="0" w:space="0" w:color="auto"/>
        <w:bottom w:val="none" w:sz="0" w:space="0" w:color="auto"/>
        <w:right w:val="none" w:sz="0" w:space="0" w:color="auto"/>
      </w:divBdr>
    </w:div>
    <w:div w:id="765660556">
      <w:bodyDiv w:val="1"/>
      <w:marLeft w:val="0"/>
      <w:marRight w:val="0"/>
      <w:marTop w:val="0"/>
      <w:marBottom w:val="0"/>
      <w:divBdr>
        <w:top w:val="none" w:sz="0" w:space="0" w:color="auto"/>
        <w:left w:val="none" w:sz="0" w:space="0" w:color="auto"/>
        <w:bottom w:val="none" w:sz="0" w:space="0" w:color="auto"/>
        <w:right w:val="none" w:sz="0" w:space="0" w:color="auto"/>
      </w:divBdr>
    </w:div>
    <w:div w:id="773213405">
      <w:bodyDiv w:val="1"/>
      <w:marLeft w:val="0"/>
      <w:marRight w:val="0"/>
      <w:marTop w:val="0"/>
      <w:marBottom w:val="0"/>
      <w:divBdr>
        <w:top w:val="none" w:sz="0" w:space="0" w:color="auto"/>
        <w:left w:val="none" w:sz="0" w:space="0" w:color="auto"/>
        <w:bottom w:val="none" w:sz="0" w:space="0" w:color="auto"/>
        <w:right w:val="none" w:sz="0" w:space="0" w:color="auto"/>
      </w:divBdr>
    </w:div>
    <w:div w:id="784809622">
      <w:bodyDiv w:val="1"/>
      <w:marLeft w:val="0"/>
      <w:marRight w:val="0"/>
      <w:marTop w:val="0"/>
      <w:marBottom w:val="0"/>
      <w:divBdr>
        <w:top w:val="none" w:sz="0" w:space="0" w:color="auto"/>
        <w:left w:val="none" w:sz="0" w:space="0" w:color="auto"/>
        <w:bottom w:val="none" w:sz="0" w:space="0" w:color="auto"/>
        <w:right w:val="none" w:sz="0" w:space="0" w:color="auto"/>
      </w:divBdr>
    </w:div>
    <w:div w:id="790437610">
      <w:bodyDiv w:val="1"/>
      <w:marLeft w:val="0"/>
      <w:marRight w:val="0"/>
      <w:marTop w:val="0"/>
      <w:marBottom w:val="0"/>
      <w:divBdr>
        <w:top w:val="none" w:sz="0" w:space="0" w:color="auto"/>
        <w:left w:val="none" w:sz="0" w:space="0" w:color="auto"/>
        <w:bottom w:val="none" w:sz="0" w:space="0" w:color="auto"/>
        <w:right w:val="none" w:sz="0" w:space="0" w:color="auto"/>
      </w:divBdr>
    </w:div>
    <w:div w:id="791100069">
      <w:bodyDiv w:val="1"/>
      <w:marLeft w:val="0"/>
      <w:marRight w:val="0"/>
      <w:marTop w:val="0"/>
      <w:marBottom w:val="0"/>
      <w:divBdr>
        <w:top w:val="none" w:sz="0" w:space="0" w:color="auto"/>
        <w:left w:val="none" w:sz="0" w:space="0" w:color="auto"/>
        <w:bottom w:val="none" w:sz="0" w:space="0" w:color="auto"/>
        <w:right w:val="none" w:sz="0" w:space="0" w:color="auto"/>
      </w:divBdr>
    </w:div>
    <w:div w:id="802428670">
      <w:bodyDiv w:val="1"/>
      <w:marLeft w:val="0"/>
      <w:marRight w:val="0"/>
      <w:marTop w:val="0"/>
      <w:marBottom w:val="0"/>
      <w:divBdr>
        <w:top w:val="none" w:sz="0" w:space="0" w:color="auto"/>
        <w:left w:val="none" w:sz="0" w:space="0" w:color="auto"/>
        <w:bottom w:val="none" w:sz="0" w:space="0" w:color="auto"/>
        <w:right w:val="none" w:sz="0" w:space="0" w:color="auto"/>
      </w:divBdr>
    </w:div>
    <w:div w:id="805666160">
      <w:bodyDiv w:val="1"/>
      <w:marLeft w:val="0"/>
      <w:marRight w:val="0"/>
      <w:marTop w:val="0"/>
      <w:marBottom w:val="0"/>
      <w:divBdr>
        <w:top w:val="none" w:sz="0" w:space="0" w:color="auto"/>
        <w:left w:val="none" w:sz="0" w:space="0" w:color="auto"/>
        <w:bottom w:val="none" w:sz="0" w:space="0" w:color="auto"/>
        <w:right w:val="none" w:sz="0" w:space="0" w:color="auto"/>
      </w:divBdr>
    </w:div>
    <w:div w:id="807623156">
      <w:bodyDiv w:val="1"/>
      <w:marLeft w:val="0"/>
      <w:marRight w:val="0"/>
      <w:marTop w:val="0"/>
      <w:marBottom w:val="0"/>
      <w:divBdr>
        <w:top w:val="none" w:sz="0" w:space="0" w:color="auto"/>
        <w:left w:val="none" w:sz="0" w:space="0" w:color="auto"/>
        <w:bottom w:val="none" w:sz="0" w:space="0" w:color="auto"/>
        <w:right w:val="none" w:sz="0" w:space="0" w:color="auto"/>
      </w:divBdr>
    </w:div>
    <w:div w:id="815991644">
      <w:bodyDiv w:val="1"/>
      <w:marLeft w:val="0"/>
      <w:marRight w:val="0"/>
      <w:marTop w:val="0"/>
      <w:marBottom w:val="0"/>
      <w:divBdr>
        <w:top w:val="none" w:sz="0" w:space="0" w:color="auto"/>
        <w:left w:val="none" w:sz="0" w:space="0" w:color="auto"/>
        <w:bottom w:val="none" w:sz="0" w:space="0" w:color="auto"/>
        <w:right w:val="none" w:sz="0" w:space="0" w:color="auto"/>
      </w:divBdr>
    </w:div>
    <w:div w:id="834877102">
      <w:bodyDiv w:val="1"/>
      <w:marLeft w:val="0"/>
      <w:marRight w:val="0"/>
      <w:marTop w:val="0"/>
      <w:marBottom w:val="0"/>
      <w:divBdr>
        <w:top w:val="none" w:sz="0" w:space="0" w:color="auto"/>
        <w:left w:val="none" w:sz="0" w:space="0" w:color="auto"/>
        <w:bottom w:val="none" w:sz="0" w:space="0" w:color="auto"/>
        <w:right w:val="none" w:sz="0" w:space="0" w:color="auto"/>
      </w:divBdr>
    </w:div>
    <w:div w:id="836699362">
      <w:bodyDiv w:val="1"/>
      <w:marLeft w:val="0"/>
      <w:marRight w:val="0"/>
      <w:marTop w:val="0"/>
      <w:marBottom w:val="0"/>
      <w:divBdr>
        <w:top w:val="none" w:sz="0" w:space="0" w:color="auto"/>
        <w:left w:val="none" w:sz="0" w:space="0" w:color="auto"/>
        <w:bottom w:val="none" w:sz="0" w:space="0" w:color="auto"/>
        <w:right w:val="none" w:sz="0" w:space="0" w:color="auto"/>
      </w:divBdr>
    </w:div>
    <w:div w:id="841042450">
      <w:bodyDiv w:val="1"/>
      <w:marLeft w:val="0"/>
      <w:marRight w:val="0"/>
      <w:marTop w:val="0"/>
      <w:marBottom w:val="0"/>
      <w:divBdr>
        <w:top w:val="none" w:sz="0" w:space="0" w:color="auto"/>
        <w:left w:val="none" w:sz="0" w:space="0" w:color="auto"/>
        <w:bottom w:val="none" w:sz="0" w:space="0" w:color="auto"/>
        <w:right w:val="none" w:sz="0" w:space="0" w:color="auto"/>
      </w:divBdr>
    </w:div>
    <w:div w:id="847209416">
      <w:bodyDiv w:val="1"/>
      <w:marLeft w:val="0"/>
      <w:marRight w:val="0"/>
      <w:marTop w:val="0"/>
      <w:marBottom w:val="0"/>
      <w:divBdr>
        <w:top w:val="none" w:sz="0" w:space="0" w:color="auto"/>
        <w:left w:val="none" w:sz="0" w:space="0" w:color="auto"/>
        <w:bottom w:val="none" w:sz="0" w:space="0" w:color="auto"/>
        <w:right w:val="none" w:sz="0" w:space="0" w:color="auto"/>
      </w:divBdr>
    </w:div>
    <w:div w:id="849026264">
      <w:bodyDiv w:val="1"/>
      <w:marLeft w:val="0"/>
      <w:marRight w:val="0"/>
      <w:marTop w:val="0"/>
      <w:marBottom w:val="0"/>
      <w:divBdr>
        <w:top w:val="none" w:sz="0" w:space="0" w:color="auto"/>
        <w:left w:val="none" w:sz="0" w:space="0" w:color="auto"/>
        <w:bottom w:val="none" w:sz="0" w:space="0" w:color="auto"/>
        <w:right w:val="none" w:sz="0" w:space="0" w:color="auto"/>
      </w:divBdr>
    </w:div>
    <w:div w:id="850679026">
      <w:bodyDiv w:val="1"/>
      <w:marLeft w:val="0"/>
      <w:marRight w:val="0"/>
      <w:marTop w:val="0"/>
      <w:marBottom w:val="0"/>
      <w:divBdr>
        <w:top w:val="none" w:sz="0" w:space="0" w:color="auto"/>
        <w:left w:val="none" w:sz="0" w:space="0" w:color="auto"/>
        <w:bottom w:val="none" w:sz="0" w:space="0" w:color="auto"/>
        <w:right w:val="none" w:sz="0" w:space="0" w:color="auto"/>
      </w:divBdr>
    </w:div>
    <w:div w:id="852959558">
      <w:bodyDiv w:val="1"/>
      <w:marLeft w:val="0"/>
      <w:marRight w:val="0"/>
      <w:marTop w:val="0"/>
      <w:marBottom w:val="0"/>
      <w:divBdr>
        <w:top w:val="none" w:sz="0" w:space="0" w:color="auto"/>
        <w:left w:val="none" w:sz="0" w:space="0" w:color="auto"/>
        <w:bottom w:val="none" w:sz="0" w:space="0" w:color="auto"/>
        <w:right w:val="none" w:sz="0" w:space="0" w:color="auto"/>
      </w:divBdr>
    </w:div>
    <w:div w:id="860314213">
      <w:bodyDiv w:val="1"/>
      <w:marLeft w:val="0"/>
      <w:marRight w:val="0"/>
      <w:marTop w:val="0"/>
      <w:marBottom w:val="0"/>
      <w:divBdr>
        <w:top w:val="none" w:sz="0" w:space="0" w:color="auto"/>
        <w:left w:val="none" w:sz="0" w:space="0" w:color="auto"/>
        <w:bottom w:val="none" w:sz="0" w:space="0" w:color="auto"/>
        <w:right w:val="none" w:sz="0" w:space="0" w:color="auto"/>
      </w:divBdr>
    </w:div>
    <w:div w:id="860320836">
      <w:bodyDiv w:val="1"/>
      <w:marLeft w:val="0"/>
      <w:marRight w:val="0"/>
      <w:marTop w:val="0"/>
      <w:marBottom w:val="0"/>
      <w:divBdr>
        <w:top w:val="none" w:sz="0" w:space="0" w:color="auto"/>
        <w:left w:val="none" w:sz="0" w:space="0" w:color="auto"/>
        <w:bottom w:val="none" w:sz="0" w:space="0" w:color="auto"/>
        <w:right w:val="none" w:sz="0" w:space="0" w:color="auto"/>
      </w:divBdr>
    </w:div>
    <w:div w:id="864833198">
      <w:bodyDiv w:val="1"/>
      <w:marLeft w:val="0"/>
      <w:marRight w:val="0"/>
      <w:marTop w:val="0"/>
      <w:marBottom w:val="0"/>
      <w:divBdr>
        <w:top w:val="none" w:sz="0" w:space="0" w:color="auto"/>
        <w:left w:val="none" w:sz="0" w:space="0" w:color="auto"/>
        <w:bottom w:val="none" w:sz="0" w:space="0" w:color="auto"/>
        <w:right w:val="none" w:sz="0" w:space="0" w:color="auto"/>
      </w:divBdr>
    </w:div>
    <w:div w:id="876820200">
      <w:bodyDiv w:val="1"/>
      <w:marLeft w:val="0"/>
      <w:marRight w:val="0"/>
      <w:marTop w:val="0"/>
      <w:marBottom w:val="0"/>
      <w:divBdr>
        <w:top w:val="none" w:sz="0" w:space="0" w:color="auto"/>
        <w:left w:val="none" w:sz="0" w:space="0" w:color="auto"/>
        <w:bottom w:val="none" w:sz="0" w:space="0" w:color="auto"/>
        <w:right w:val="none" w:sz="0" w:space="0" w:color="auto"/>
      </w:divBdr>
    </w:div>
    <w:div w:id="895968769">
      <w:bodyDiv w:val="1"/>
      <w:marLeft w:val="0"/>
      <w:marRight w:val="0"/>
      <w:marTop w:val="0"/>
      <w:marBottom w:val="0"/>
      <w:divBdr>
        <w:top w:val="none" w:sz="0" w:space="0" w:color="auto"/>
        <w:left w:val="none" w:sz="0" w:space="0" w:color="auto"/>
        <w:bottom w:val="none" w:sz="0" w:space="0" w:color="auto"/>
        <w:right w:val="none" w:sz="0" w:space="0" w:color="auto"/>
      </w:divBdr>
    </w:div>
    <w:div w:id="904729778">
      <w:bodyDiv w:val="1"/>
      <w:marLeft w:val="0"/>
      <w:marRight w:val="0"/>
      <w:marTop w:val="0"/>
      <w:marBottom w:val="0"/>
      <w:divBdr>
        <w:top w:val="none" w:sz="0" w:space="0" w:color="auto"/>
        <w:left w:val="none" w:sz="0" w:space="0" w:color="auto"/>
        <w:bottom w:val="none" w:sz="0" w:space="0" w:color="auto"/>
        <w:right w:val="none" w:sz="0" w:space="0" w:color="auto"/>
      </w:divBdr>
    </w:div>
    <w:div w:id="908268318">
      <w:bodyDiv w:val="1"/>
      <w:marLeft w:val="0"/>
      <w:marRight w:val="0"/>
      <w:marTop w:val="0"/>
      <w:marBottom w:val="0"/>
      <w:divBdr>
        <w:top w:val="none" w:sz="0" w:space="0" w:color="auto"/>
        <w:left w:val="none" w:sz="0" w:space="0" w:color="auto"/>
        <w:bottom w:val="none" w:sz="0" w:space="0" w:color="auto"/>
        <w:right w:val="none" w:sz="0" w:space="0" w:color="auto"/>
      </w:divBdr>
    </w:div>
    <w:div w:id="908802853">
      <w:bodyDiv w:val="1"/>
      <w:marLeft w:val="0"/>
      <w:marRight w:val="0"/>
      <w:marTop w:val="0"/>
      <w:marBottom w:val="0"/>
      <w:divBdr>
        <w:top w:val="none" w:sz="0" w:space="0" w:color="auto"/>
        <w:left w:val="none" w:sz="0" w:space="0" w:color="auto"/>
        <w:bottom w:val="none" w:sz="0" w:space="0" w:color="auto"/>
        <w:right w:val="none" w:sz="0" w:space="0" w:color="auto"/>
      </w:divBdr>
    </w:div>
    <w:div w:id="928579676">
      <w:bodyDiv w:val="1"/>
      <w:marLeft w:val="0"/>
      <w:marRight w:val="0"/>
      <w:marTop w:val="0"/>
      <w:marBottom w:val="0"/>
      <w:divBdr>
        <w:top w:val="none" w:sz="0" w:space="0" w:color="auto"/>
        <w:left w:val="none" w:sz="0" w:space="0" w:color="auto"/>
        <w:bottom w:val="none" w:sz="0" w:space="0" w:color="auto"/>
        <w:right w:val="none" w:sz="0" w:space="0" w:color="auto"/>
      </w:divBdr>
    </w:div>
    <w:div w:id="952520609">
      <w:bodyDiv w:val="1"/>
      <w:marLeft w:val="0"/>
      <w:marRight w:val="0"/>
      <w:marTop w:val="0"/>
      <w:marBottom w:val="0"/>
      <w:divBdr>
        <w:top w:val="none" w:sz="0" w:space="0" w:color="auto"/>
        <w:left w:val="none" w:sz="0" w:space="0" w:color="auto"/>
        <w:bottom w:val="none" w:sz="0" w:space="0" w:color="auto"/>
        <w:right w:val="none" w:sz="0" w:space="0" w:color="auto"/>
      </w:divBdr>
    </w:div>
    <w:div w:id="957569740">
      <w:bodyDiv w:val="1"/>
      <w:marLeft w:val="0"/>
      <w:marRight w:val="0"/>
      <w:marTop w:val="0"/>
      <w:marBottom w:val="0"/>
      <w:divBdr>
        <w:top w:val="none" w:sz="0" w:space="0" w:color="auto"/>
        <w:left w:val="none" w:sz="0" w:space="0" w:color="auto"/>
        <w:bottom w:val="none" w:sz="0" w:space="0" w:color="auto"/>
        <w:right w:val="none" w:sz="0" w:space="0" w:color="auto"/>
      </w:divBdr>
    </w:div>
    <w:div w:id="958923893">
      <w:bodyDiv w:val="1"/>
      <w:marLeft w:val="0"/>
      <w:marRight w:val="0"/>
      <w:marTop w:val="0"/>
      <w:marBottom w:val="0"/>
      <w:divBdr>
        <w:top w:val="none" w:sz="0" w:space="0" w:color="auto"/>
        <w:left w:val="none" w:sz="0" w:space="0" w:color="auto"/>
        <w:bottom w:val="none" w:sz="0" w:space="0" w:color="auto"/>
        <w:right w:val="none" w:sz="0" w:space="0" w:color="auto"/>
      </w:divBdr>
    </w:div>
    <w:div w:id="969214464">
      <w:bodyDiv w:val="1"/>
      <w:marLeft w:val="0"/>
      <w:marRight w:val="0"/>
      <w:marTop w:val="0"/>
      <w:marBottom w:val="0"/>
      <w:divBdr>
        <w:top w:val="none" w:sz="0" w:space="0" w:color="auto"/>
        <w:left w:val="none" w:sz="0" w:space="0" w:color="auto"/>
        <w:bottom w:val="none" w:sz="0" w:space="0" w:color="auto"/>
        <w:right w:val="none" w:sz="0" w:space="0" w:color="auto"/>
      </w:divBdr>
    </w:div>
    <w:div w:id="980041523">
      <w:bodyDiv w:val="1"/>
      <w:marLeft w:val="0"/>
      <w:marRight w:val="0"/>
      <w:marTop w:val="0"/>
      <w:marBottom w:val="0"/>
      <w:divBdr>
        <w:top w:val="none" w:sz="0" w:space="0" w:color="auto"/>
        <w:left w:val="none" w:sz="0" w:space="0" w:color="auto"/>
        <w:bottom w:val="none" w:sz="0" w:space="0" w:color="auto"/>
        <w:right w:val="none" w:sz="0" w:space="0" w:color="auto"/>
      </w:divBdr>
    </w:div>
    <w:div w:id="982319306">
      <w:bodyDiv w:val="1"/>
      <w:marLeft w:val="0"/>
      <w:marRight w:val="0"/>
      <w:marTop w:val="0"/>
      <w:marBottom w:val="0"/>
      <w:divBdr>
        <w:top w:val="none" w:sz="0" w:space="0" w:color="auto"/>
        <w:left w:val="none" w:sz="0" w:space="0" w:color="auto"/>
        <w:bottom w:val="none" w:sz="0" w:space="0" w:color="auto"/>
        <w:right w:val="none" w:sz="0" w:space="0" w:color="auto"/>
      </w:divBdr>
    </w:div>
    <w:div w:id="1021929870">
      <w:bodyDiv w:val="1"/>
      <w:marLeft w:val="0"/>
      <w:marRight w:val="0"/>
      <w:marTop w:val="0"/>
      <w:marBottom w:val="0"/>
      <w:divBdr>
        <w:top w:val="none" w:sz="0" w:space="0" w:color="auto"/>
        <w:left w:val="none" w:sz="0" w:space="0" w:color="auto"/>
        <w:bottom w:val="none" w:sz="0" w:space="0" w:color="auto"/>
        <w:right w:val="none" w:sz="0" w:space="0" w:color="auto"/>
      </w:divBdr>
    </w:div>
    <w:div w:id="1035152064">
      <w:bodyDiv w:val="1"/>
      <w:marLeft w:val="0"/>
      <w:marRight w:val="0"/>
      <w:marTop w:val="0"/>
      <w:marBottom w:val="0"/>
      <w:divBdr>
        <w:top w:val="none" w:sz="0" w:space="0" w:color="auto"/>
        <w:left w:val="none" w:sz="0" w:space="0" w:color="auto"/>
        <w:bottom w:val="none" w:sz="0" w:space="0" w:color="auto"/>
        <w:right w:val="none" w:sz="0" w:space="0" w:color="auto"/>
      </w:divBdr>
    </w:div>
    <w:div w:id="1036852058">
      <w:bodyDiv w:val="1"/>
      <w:marLeft w:val="0"/>
      <w:marRight w:val="0"/>
      <w:marTop w:val="0"/>
      <w:marBottom w:val="0"/>
      <w:divBdr>
        <w:top w:val="none" w:sz="0" w:space="0" w:color="auto"/>
        <w:left w:val="none" w:sz="0" w:space="0" w:color="auto"/>
        <w:bottom w:val="none" w:sz="0" w:space="0" w:color="auto"/>
        <w:right w:val="none" w:sz="0" w:space="0" w:color="auto"/>
      </w:divBdr>
    </w:div>
    <w:div w:id="1044213288">
      <w:bodyDiv w:val="1"/>
      <w:marLeft w:val="0"/>
      <w:marRight w:val="0"/>
      <w:marTop w:val="0"/>
      <w:marBottom w:val="0"/>
      <w:divBdr>
        <w:top w:val="none" w:sz="0" w:space="0" w:color="auto"/>
        <w:left w:val="none" w:sz="0" w:space="0" w:color="auto"/>
        <w:bottom w:val="none" w:sz="0" w:space="0" w:color="auto"/>
        <w:right w:val="none" w:sz="0" w:space="0" w:color="auto"/>
      </w:divBdr>
    </w:div>
    <w:div w:id="1050883678">
      <w:bodyDiv w:val="1"/>
      <w:marLeft w:val="0"/>
      <w:marRight w:val="0"/>
      <w:marTop w:val="0"/>
      <w:marBottom w:val="0"/>
      <w:divBdr>
        <w:top w:val="none" w:sz="0" w:space="0" w:color="auto"/>
        <w:left w:val="none" w:sz="0" w:space="0" w:color="auto"/>
        <w:bottom w:val="none" w:sz="0" w:space="0" w:color="auto"/>
        <w:right w:val="none" w:sz="0" w:space="0" w:color="auto"/>
      </w:divBdr>
    </w:div>
    <w:div w:id="1051152612">
      <w:bodyDiv w:val="1"/>
      <w:marLeft w:val="0"/>
      <w:marRight w:val="0"/>
      <w:marTop w:val="0"/>
      <w:marBottom w:val="0"/>
      <w:divBdr>
        <w:top w:val="none" w:sz="0" w:space="0" w:color="auto"/>
        <w:left w:val="none" w:sz="0" w:space="0" w:color="auto"/>
        <w:bottom w:val="none" w:sz="0" w:space="0" w:color="auto"/>
        <w:right w:val="none" w:sz="0" w:space="0" w:color="auto"/>
      </w:divBdr>
    </w:div>
    <w:div w:id="1094399706">
      <w:bodyDiv w:val="1"/>
      <w:marLeft w:val="0"/>
      <w:marRight w:val="0"/>
      <w:marTop w:val="0"/>
      <w:marBottom w:val="0"/>
      <w:divBdr>
        <w:top w:val="none" w:sz="0" w:space="0" w:color="auto"/>
        <w:left w:val="none" w:sz="0" w:space="0" w:color="auto"/>
        <w:bottom w:val="none" w:sz="0" w:space="0" w:color="auto"/>
        <w:right w:val="none" w:sz="0" w:space="0" w:color="auto"/>
      </w:divBdr>
    </w:div>
    <w:div w:id="1095321834">
      <w:bodyDiv w:val="1"/>
      <w:marLeft w:val="0"/>
      <w:marRight w:val="0"/>
      <w:marTop w:val="0"/>
      <w:marBottom w:val="0"/>
      <w:divBdr>
        <w:top w:val="none" w:sz="0" w:space="0" w:color="auto"/>
        <w:left w:val="none" w:sz="0" w:space="0" w:color="auto"/>
        <w:bottom w:val="none" w:sz="0" w:space="0" w:color="auto"/>
        <w:right w:val="none" w:sz="0" w:space="0" w:color="auto"/>
      </w:divBdr>
    </w:div>
    <w:div w:id="1107122484">
      <w:bodyDiv w:val="1"/>
      <w:marLeft w:val="0"/>
      <w:marRight w:val="0"/>
      <w:marTop w:val="0"/>
      <w:marBottom w:val="0"/>
      <w:divBdr>
        <w:top w:val="none" w:sz="0" w:space="0" w:color="auto"/>
        <w:left w:val="none" w:sz="0" w:space="0" w:color="auto"/>
        <w:bottom w:val="none" w:sz="0" w:space="0" w:color="auto"/>
        <w:right w:val="none" w:sz="0" w:space="0" w:color="auto"/>
      </w:divBdr>
    </w:div>
    <w:div w:id="1117216546">
      <w:bodyDiv w:val="1"/>
      <w:marLeft w:val="0"/>
      <w:marRight w:val="0"/>
      <w:marTop w:val="0"/>
      <w:marBottom w:val="0"/>
      <w:divBdr>
        <w:top w:val="none" w:sz="0" w:space="0" w:color="auto"/>
        <w:left w:val="none" w:sz="0" w:space="0" w:color="auto"/>
        <w:bottom w:val="none" w:sz="0" w:space="0" w:color="auto"/>
        <w:right w:val="none" w:sz="0" w:space="0" w:color="auto"/>
      </w:divBdr>
    </w:div>
    <w:div w:id="1118061421">
      <w:bodyDiv w:val="1"/>
      <w:marLeft w:val="0"/>
      <w:marRight w:val="0"/>
      <w:marTop w:val="0"/>
      <w:marBottom w:val="0"/>
      <w:divBdr>
        <w:top w:val="none" w:sz="0" w:space="0" w:color="auto"/>
        <w:left w:val="none" w:sz="0" w:space="0" w:color="auto"/>
        <w:bottom w:val="none" w:sz="0" w:space="0" w:color="auto"/>
        <w:right w:val="none" w:sz="0" w:space="0" w:color="auto"/>
      </w:divBdr>
    </w:div>
    <w:div w:id="1119909687">
      <w:bodyDiv w:val="1"/>
      <w:marLeft w:val="0"/>
      <w:marRight w:val="0"/>
      <w:marTop w:val="0"/>
      <w:marBottom w:val="0"/>
      <w:divBdr>
        <w:top w:val="none" w:sz="0" w:space="0" w:color="auto"/>
        <w:left w:val="none" w:sz="0" w:space="0" w:color="auto"/>
        <w:bottom w:val="none" w:sz="0" w:space="0" w:color="auto"/>
        <w:right w:val="none" w:sz="0" w:space="0" w:color="auto"/>
      </w:divBdr>
    </w:div>
    <w:div w:id="1124231698">
      <w:bodyDiv w:val="1"/>
      <w:marLeft w:val="0"/>
      <w:marRight w:val="0"/>
      <w:marTop w:val="0"/>
      <w:marBottom w:val="0"/>
      <w:divBdr>
        <w:top w:val="none" w:sz="0" w:space="0" w:color="auto"/>
        <w:left w:val="none" w:sz="0" w:space="0" w:color="auto"/>
        <w:bottom w:val="none" w:sz="0" w:space="0" w:color="auto"/>
        <w:right w:val="none" w:sz="0" w:space="0" w:color="auto"/>
      </w:divBdr>
    </w:div>
    <w:div w:id="1140226250">
      <w:bodyDiv w:val="1"/>
      <w:marLeft w:val="0"/>
      <w:marRight w:val="0"/>
      <w:marTop w:val="0"/>
      <w:marBottom w:val="0"/>
      <w:divBdr>
        <w:top w:val="none" w:sz="0" w:space="0" w:color="auto"/>
        <w:left w:val="none" w:sz="0" w:space="0" w:color="auto"/>
        <w:bottom w:val="none" w:sz="0" w:space="0" w:color="auto"/>
        <w:right w:val="none" w:sz="0" w:space="0" w:color="auto"/>
      </w:divBdr>
    </w:div>
    <w:div w:id="1148671406">
      <w:bodyDiv w:val="1"/>
      <w:marLeft w:val="0"/>
      <w:marRight w:val="0"/>
      <w:marTop w:val="0"/>
      <w:marBottom w:val="0"/>
      <w:divBdr>
        <w:top w:val="none" w:sz="0" w:space="0" w:color="auto"/>
        <w:left w:val="none" w:sz="0" w:space="0" w:color="auto"/>
        <w:bottom w:val="none" w:sz="0" w:space="0" w:color="auto"/>
        <w:right w:val="none" w:sz="0" w:space="0" w:color="auto"/>
      </w:divBdr>
    </w:div>
    <w:div w:id="1161042890">
      <w:bodyDiv w:val="1"/>
      <w:marLeft w:val="0"/>
      <w:marRight w:val="0"/>
      <w:marTop w:val="0"/>
      <w:marBottom w:val="0"/>
      <w:divBdr>
        <w:top w:val="none" w:sz="0" w:space="0" w:color="auto"/>
        <w:left w:val="none" w:sz="0" w:space="0" w:color="auto"/>
        <w:bottom w:val="none" w:sz="0" w:space="0" w:color="auto"/>
        <w:right w:val="none" w:sz="0" w:space="0" w:color="auto"/>
      </w:divBdr>
    </w:div>
    <w:div w:id="1165827960">
      <w:bodyDiv w:val="1"/>
      <w:marLeft w:val="0"/>
      <w:marRight w:val="0"/>
      <w:marTop w:val="0"/>
      <w:marBottom w:val="0"/>
      <w:divBdr>
        <w:top w:val="none" w:sz="0" w:space="0" w:color="auto"/>
        <w:left w:val="none" w:sz="0" w:space="0" w:color="auto"/>
        <w:bottom w:val="none" w:sz="0" w:space="0" w:color="auto"/>
        <w:right w:val="none" w:sz="0" w:space="0" w:color="auto"/>
      </w:divBdr>
    </w:div>
    <w:div w:id="1168903518">
      <w:bodyDiv w:val="1"/>
      <w:marLeft w:val="0"/>
      <w:marRight w:val="0"/>
      <w:marTop w:val="0"/>
      <w:marBottom w:val="0"/>
      <w:divBdr>
        <w:top w:val="none" w:sz="0" w:space="0" w:color="auto"/>
        <w:left w:val="none" w:sz="0" w:space="0" w:color="auto"/>
        <w:bottom w:val="none" w:sz="0" w:space="0" w:color="auto"/>
        <w:right w:val="none" w:sz="0" w:space="0" w:color="auto"/>
      </w:divBdr>
    </w:div>
    <w:div w:id="1176189295">
      <w:bodyDiv w:val="1"/>
      <w:marLeft w:val="0"/>
      <w:marRight w:val="0"/>
      <w:marTop w:val="0"/>
      <w:marBottom w:val="0"/>
      <w:divBdr>
        <w:top w:val="none" w:sz="0" w:space="0" w:color="auto"/>
        <w:left w:val="none" w:sz="0" w:space="0" w:color="auto"/>
        <w:bottom w:val="none" w:sz="0" w:space="0" w:color="auto"/>
        <w:right w:val="none" w:sz="0" w:space="0" w:color="auto"/>
      </w:divBdr>
    </w:div>
    <w:div w:id="1182010993">
      <w:bodyDiv w:val="1"/>
      <w:marLeft w:val="0"/>
      <w:marRight w:val="0"/>
      <w:marTop w:val="0"/>
      <w:marBottom w:val="0"/>
      <w:divBdr>
        <w:top w:val="none" w:sz="0" w:space="0" w:color="auto"/>
        <w:left w:val="none" w:sz="0" w:space="0" w:color="auto"/>
        <w:bottom w:val="none" w:sz="0" w:space="0" w:color="auto"/>
        <w:right w:val="none" w:sz="0" w:space="0" w:color="auto"/>
      </w:divBdr>
    </w:div>
    <w:div w:id="1188789700">
      <w:bodyDiv w:val="1"/>
      <w:marLeft w:val="0"/>
      <w:marRight w:val="0"/>
      <w:marTop w:val="0"/>
      <w:marBottom w:val="0"/>
      <w:divBdr>
        <w:top w:val="none" w:sz="0" w:space="0" w:color="auto"/>
        <w:left w:val="none" w:sz="0" w:space="0" w:color="auto"/>
        <w:bottom w:val="none" w:sz="0" w:space="0" w:color="auto"/>
        <w:right w:val="none" w:sz="0" w:space="0" w:color="auto"/>
      </w:divBdr>
    </w:div>
    <w:div w:id="1189098086">
      <w:bodyDiv w:val="1"/>
      <w:marLeft w:val="0"/>
      <w:marRight w:val="0"/>
      <w:marTop w:val="0"/>
      <w:marBottom w:val="0"/>
      <w:divBdr>
        <w:top w:val="none" w:sz="0" w:space="0" w:color="auto"/>
        <w:left w:val="none" w:sz="0" w:space="0" w:color="auto"/>
        <w:bottom w:val="none" w:sz="0" w:space="0" w:color="auto"/>
        <w:right w:val="none" w:sz="0" w:space="0" w:color="auto"/>
      </w:divBdr>
    </w:div>
    <w:div w:id="1203706854">
      <w:bodyDiv w:val="1"/>
      <w:marLeft w:val="0"/>
      <w:marRight w:val="0"/>
      <w:marTop w:val="0"/>
      <w:marBottom w:val="0"/>
      <w:divBdr>
        <w:top w:val="none" w:sz="0" w:space="0" w:color="auto"/>
        <w:left w:val="none" w:sz="0" w:space="0" w:color="auto"/>
        <w:bottom w:val="none" w:sz="0" w:space="0" w:color="auto"/>
        <w:right w:val="none" w:sz="0" w:space="0" w:color="auto"/>
      </w:divBdr>
    </w:div>
    <w:div w:id="1213155769">
      <w:bodyDiv w:val="1"/>
      <w:marLeft w:val="0"/>
      <w:marRight w:val="0"/>
      <w:marTop w:val="0"/>
      <w:marBottom w:val="0"/>
      <w:divBdr>
        <w:top w:val="none" w:sz="0" w:space="0" w:color="auto"/>
        <w:left w:val="none" w:sz="0" w:space="0" w:color="auto"/>
        <w:bottom w:val="none" w:sz="0" w:space="0" w:color="auto"/>
        <w:right w:val="none" w:sz="0" w:space="0" w:color="auto"/>
      </w:divBdr>
    </w:div>
    <w:div w:id="1218083231">
      <w:bodyDiv w:val="1"/>
      <w:marLeft w:val="0"/>
      <w:marRight w:val="0"/>
      <w:marTop w:val="0"/>
      <w:marBottom w:val="0"/>
      <w:divBdr>
        <w:top w:val="none" w:sz="0" w:space="0" w:color="auto"/>
        <w:left w:val="none" w:sz="0" w:space="0" w:color="auto"/>
        <w:bottom w:val="none" w:sz="0" w:space="0" w:color="auto"/>
        <w:right w:val="none" w:sz="0" w:space="0" w:color="auto"/>
      </w:divBdr>
    </w:div>
    <w:div w:id="1221986964">
      <w:bodyDiv w:val="1"/>
      <w:marLeft w:val="0"/>
      <w:marRight w:val="0"/>
      <w:marTop w:val="0"/>
      <w:marBottom w:val="0"/>
      <w:divBdr>
        <w:top w:val="none" w:sz="0" w:space="0" w:color="auto"/>
        <w:left w:val="none" w:sz="0" w:space="0" w:color="auto"/>
        <w:bottom w:val="none" w:sz="0" w:space="0" w:color="auto"/>
        <w:right w:val="none" w:sz="0" w:space="0" w:color="auto"/>
      </w:divBdr>
    </w:div>
    <w:div w:id="1227372844">
      <w:bodyDiv w:val="1"/>
      <w:marLeft w:val="0"/>
      <w:marRight w:val="0"/>
      <w:marTop w:val="0"/>
      <w:marBottom w:val="0"/>
      <w:divBdr>
        <w:top w:val="none" w:sz="0" w:space="0" w:color="auto"/>
        <w:left w:val="none" w:sz="0" w:space="0" w:color="auto"/>
        <w:bottom w:val="none" w:sz="0" w:space="0" w:color="auto"/>
        <w:right w:val="none" w:sz="0" w:space="0" w:color="auto"/>
      </w:divBdr>
    </w:div>
    <w:div w:id="1228682421">
      <w:bodyDiv w:val="1"/>
      <w:marLeft w:val="0"/>
      <w:marRight w:val="0"/>
      <w:marTop w:val="0"/>
      <w:marBottom w:val="0"/>
      <w:divBdr>
        <w:top w:val="none" w:sz="0" w:space="0" w:color="auto"/>
        <w:left w:val="none" w:sz="0" w:space="0" w:color="auto"/>
        <w:bottom w:val="none" w:sz="0" w:space="0" w:color="auto"/>
        <w:right w:val="none" w:sz="0" w:space="0" w:color="auto"/>
      </w:divBdr>
    </w:div>
    <w:div w:id="1238050389">
      <w:bodyDiv w:val="1"/>
      <w:marLeft w:val="0"/>
      <w:marRight w:val="0"/>
      <w:marTop w:val="0"/>
      <w:marBottom w:val="0"/>
      <w:divBdr>
        <w:top w:val="none" w:sz="0" w:space="0" w:color="auto"/>
        <w:left w:val="none" w:sz="0" w:space="0" w:color="auto"/>
        <w:bottom w:val="none" w:sz="0" w:space="0" w:color="auto"/>
        <w:right w:val="none" w:sz="0" w:space="0" w:color="auto"/>
      </w:divBdr>
    </w:div>
    <w:div w:id="1241210625">
      <w:bodyDiv w:val="1"/>
      <w:marLeft w:val="0"/>
      <w:marRight w:val="0"/>
      <w:marTop w:val="0"/>
      <w:marBottom w:val="0"/>
      <w:divBdr>
        <w:top w:val="none" w:sz="0" w:space="0" w:color="auto"/>
        <w:left w:val="none" w:sz="0" w:space="0" w:color="auto"/>
        <w:bottom w:val="none" w:sz="0" w:space="0" w:color="auto"/>
        <w:right w:val="none" w:sz="0" w:space="0" w:color="auto"/>
      </w:divBdr>
    </w:div>
    <w:div w:id="1243681210">
      <w:bodyDiv w:val="1"/>
      <w:marLeft w:val="0"/>
      <w:marRight w:val="0"/>
      <w:marTop w:val="0"/>
      <w:marBottom w:val="0"/>
      <w:divBdr>
        <w:top w:val="none" w:sz="0" w:space="0" w:color="auto"/>
        <w:left w:val="none" w:sz="0" w:space="0" w:color="auto"/>
        <w:bottom w:val="none" w:sz="0" w:space="0" w:color="auto"/>
        <w:right w:val="none" w:sz="0" w:space="0" w:color="auto"/>
      </w:divBdr>
    </w:div>
    <w:div w:id="1244099708">
      <w:bodyDiv w:val="1"/>
      <w:marLeft w:val="0"/>
      <w:marRight w:val="0"/>
      <w:marTop w:val="0"/>
      <w:marBottom w:val="0"/>
      <w:divBdr>
        <w:top w:val="none" w:sz="0" w:space="0" w:color="auto"/>
        <w:left w:val="none" w:sz="0" w:space="0" w:color="auto"/>
        <w:bottom w:val="none" w:sz="0" w:space="0" w:color="auto"/>
        <w:right w:val="none" w:sz="0" w:space="0" w:color="auto"/>
      </w:divBdr>
    </w:div>
    <w:div w:id="1249775504">
      <w:bodyDiv w:val="1"/>
      <w:marLeft w:val="0"/>
      <w:marRight w:val="0"/>
      <w:marTop w:val="0"/>
      <w:marBottom w:val="0"/>
      <w:divBdr>
        <w:top w:val="none" w:sz="0" w:space="0" w:color="auto"/>
        <w:left w:val="none" w:sz="0" w:space="0" w:color="auto"/>
        <w:bottom w:val="none" w:sz="0" w:space="0" w:color="auto"/>
        <w:right w:val="none" w:sz="0" w:space="0" w:color="auto"/>
      </w:divBdr>
    </w:div>
    <w:div w:id="1256130470">
      <w:bodyDiv w:val="1"/>
      <w:marLeft w:val="0"/>
      <w:marRight w:val="0"/>
      <w:marTop w:val="0"/>
      <w:marBottom w:val="0"/>
      <w:divBdr>
        <w:top w:val="none" w:sz="0" w:space="0" w:color="auto"/>
        <w:left w:val="none" w:sz="0" w:space="0" w:color="auto"/>
        <w:bottom w:val="none" w:sz="0" w:space="0" w:color="auto"/>
        <w:right w:val="none" w:sz="0" w:space="0" w:color="auto"/>
      </w:divBdr>
    </w:div>
    <w:div w:id="1285692497">
      <w:bodyDiv w:val="1"/>
      <w:marLeft w:val="0"/>
      <w:marRight w:val="0"/>
      <w:marTop w:val="0"/>
      <w:marBottom w:val="0"/>
      <w:divBdr>
        <w:top w:val="none" w:sz="0" w:space="0" w:color="auto"/>
        <w:left w:val="none" w:sz="0" w:space="0" w:color="auto"/>
        <w:bottom w:val="none" w:sz="0" w:space="0" w:color="auto"/>
        <w:right w:val="none" w:sz="0" w:space="0" w:color="auto"/>
      </w:divBdr>
    </w:div>
    <w:div w:id="1318145311">
      <w:bodyDiv w:val="1"/>
      <w:marLeft w:val="0"/>
      <w:marRight w:val="0"/>
      <w:marTop w:val="0"/>
      <w:marBottom w:val="0"/>
      <w:divBdr>
        <w:top w:val="none" w:sz="0" w:space="0" w:color="auto"/>
        <w:left w:val="none" w:sz="0" w:space="0" w:color="auto"/>
        <w:bottom w:val="none" w:sz="0" w:space="0" w:color="auto"/>
        <w:right w:val="none" w:sz="0" w:space="0" w:color="auto"/>
      </w:divBdr>
    </w:div>
    <w:div w:id="1333289507">
      <w:bodyDiv w:val="1"/>
      <w:marLeft w:val="0"/>
      <w:marRight w:val="0"/>
      <w:marTop w:val="0"/>
      <w:marBottom w:val="0"/>
      <w:divBdr>
        <w:top w:val="none" w:sz="0" w:space="0" w:color="auto"/>
        <w:left w:val="none" w:sz="0" w:space="0" w:color="auto"/>
        <w:bottom w:val="none" w:sz="0" w:space="0" w:color="auto"/>
        <w:right w:val="none" w:sz="0" w:space="0" w:color="auto"/>
      </w:divBdr>
    </w:div>
    <w:div w:id="1333751663">
      <w:bodyDiv w:val="1"/>
      <w:marLeft w:val="0"/>
      <w:marRight w:val="0"/>
      <w:marTop w:val="0"/>
      <w:marBottom w:val="0"/>
      <w:divBdr>
        <w:top w:val="none" w:sz="0" w:space="0" w:color="auto"/>
        <w:left w:val="none" w:sz="0" w:space="0" w:color="auto"/>
        <w:bottom w:val="none" w:sz="0" w:space="0" w:color="auto"/>
        <w:right w:val="none" w:sz="0" w:space="0" w:color="auto"/>
      </w:divBdr>
    </w:div>
    <w:div w:id="1342853556">
      <w:bodyDiv w:val="1"/>
      <w:marLeft w:val="0"/>
      <w:marRight w:val="0"/>
      <w:marTop w:val="0"/>
      <w:marBottom w:val="0"/>
      <w:divBdr>
        <w:top w:val="none" w:sz="0" w:space="0" w:color="auto"/>
        <w:left w:val="none" w:sz="0" w:space="0" w:color="auto"/>
        <w:bottom w:val="none" w:sz="0" w:space="0" w:color="auto"/>
        <w:right w:val="none" w:sz="0" w:space="0" w:color="auto"/>
      </w:divBdr>
    </w:div>
    <w:div w:id="1354262392">
      <w:bodyDiv w:val="1"/>
      <w:marLeft w:val="0"/>
      <w:marRight w:val="0"/>
      <w:marTop w:val="0"/>
      <w:marBottom w:val="0"/>
      <w:divBdr>
        <w:top w:val="none" w:sz="0" w:space="0" w:color="auto"/>
        <w:left w:val="none" w:sz="0" w:space="0" w:color="auto"/>
        <w:bottom w:val="none" w:sz="0" w:space="0" w:color="auto"/>
        <w:right w:val="none" w:sz="0" w:space="0" w:color="auto"/>
      </w:divBdr>
    </w:div>
    <w:div w:id="1355888962">
      <w:bodyDiv w:val="1"/>
      <w:marLeft w:val="0"/>
      <w:marRight w:val="0"/>
      <w:marTop w:val="0"/>
      <w:marBottom w:val="0"/>
      <w:divBdr>
        <w:top w:val="none" w:sz="0" w:space="0" w:color="auto"/>
        <w:left w:val="none" w:sz="0" w:space="0" w:color="auto"/>
        <w:bottom w:val="none" w:sz="0" w:space="0" w:color="auto"/>
        <w:right w:val="none" w:sz="0" w:space="0" w:color="auto"/>
      </w:divBdr>
    </w:div>
    <w:div w:id="1359620328">
      <w:bodyDiv w:val="1"/>
      <w:marLeft w:val="0"/>
      <w:marRight w:val="0"/>
      <w:marTop w:val="0"/>
      <w:marBottom w:val="0"/>
      <w:divBdr>
        <w:top w:val="none" w:sz="0" w:space="0" w:color="auto"/>
        <w:left w:val="none" w:sz="0" w:space="0" w:color="auto"/>
        <w:bottom w:val="none" w:sz="0" w:space="0" w:color="auto"/>
        <w:right w:val="none" w:sz="0" w:space="0" w:color="auto"/>
      </w:divBdr>
    </w:div>
    <w:div w:id="1362322101">
      <w:bodyDiv w:val="1"/>
      <w:marLeft w:val="0"/>
      <w:marRight w:val="0"/>
      <w:marTop w:val="0"/>
      <w:marBottom w:val="0"/>
      <w:divBdr>
        <w:top w:val="none" w:sz="0" w:space="0" w:color="auto"/>
        <w:left w:val="none" w:sz="0" w:space="0" w:color="auto"/>
        <w:bottom w:val="none" w:sz="0" w:space="0" w:color="auto"/>
        <w:right w:val="none" w:sz="0" w:space="0" w:color="auto"/>
      </w:divBdr>
    </w:div>
    <w:div w:id="1370454165">
      <w:bodyDiv w:val="1"/>
      <w:marLeft w:val="0"/>
      <w:marRight w:val="0"/>
      <w:marTop w:val="0"/>
      <w:marBottom w:val="0"/>
      <w:divBdr>
        <w:top w:val="none" w:sz="0" w:space="0" w:color="auto"/>
        <w:left w:val="none" w:sz="0" w:space="0" w:color="auto"/>
        <w:bottom w:val="none" w:sz="0" w:space="0" w:color="auto"/>
        <w:right w:val="none" w:sz="0" w:space="0" w:color="auto"/>
      </w:divBdr>
    </w:div>
    <w:div w:id="1374577574">
      <w:bodyDiv w:val="1"/>
      <w:marLeft w:val="0"/>
      <w:marRight w:val="0"/>
      <w:marTop w:val="0"/>
      <w:marBottom w:val="0"/>
      <w:divBdr>
        <w:top w:val="none" w:sz="0" w:space="0" w:color="auto"/>
        <w:left w:val="none" w:sz="0" w:space="0" w:color="auto"/>
        <w:bottom w:val="none" w:sz="0" w:space="0" w:color="auto"/>
        <w:right w:val="none" w:sz="0" w:space="0" w:color="auto"/>
      </w:divBdr>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384058308">
      <w:bodyDiv w:val="1"/>
      <w:marLeft w:val="0"/>
      <w:marRight w:val="0"/>
      <w:marTop w:val="0"/>
      <w:marBottom w:val="0"/>
      <w:divBdr>
        <w:top w:val="none" w:sz="0" w:space="0" w:color="auto"/>
        <w:left w:val="none" w:sz="0" w:space="0" w:color="auto"/>
        <w:bottom w:val="none" w:sz="0" w:space="0" w:color="auto"/>
        <w:right w:val="none" w:sz="0" w:space="0" w:color="auto"/>
      </w:divBdr>
    </w:div>
    <w:div w:id="1388064177">
      <w:bodyDiv w:val="1"/>
      <w:marLeft w:val="0"/>
      <w:marRight w:val="0"/>
      <w:marTop w:val="0"/>
      <w:marBottom w:val="0"/>
      <w:divBdr>
        <w:top w:val="none" w:sz="0" w:space="0" w:color="auto"/>
        <w:left w:val="none" w:sz="0" w:space="0" w:color="auto"/>
        <w:bottom w:val="none" w:sz="0" w:space="0" w:color="auto"/>
        <w:right w:val="none" w:sz="0" w:space="0" w:color="auto"/>
      </w:divBdr>
    </w:div>
    <w:div w:id="1398046187">
      <w:bodyDiv w:val="1"/>
      <w:marLeft w:val="0"/>
      <w:marRight w:val="0"/>
      <w:marTop w:val="0"/>
      <w:marBottom w:val="0"/>
      <w:divBdr>
        <w:top w:val="none" w:sz="0" w:space="0" w:color="auto"/>
        <w:left w:val="none" w:sz="0" w:space="0" w:color="auto"/>
        <w:bottom w:val="none" w:sz="0" w:space="0" w:color="auto"/>
        <w:right w:val="none" w:sz="0" w:space="0" w:color="auto"/>
      </w:divBdr>
    </w:div>
    <w:div w:id="1409378373">
      <w:bodyDiv w:val="1"/>
      <w:marLeft w:val="0"/>
      <w:marRight w:val="0"/>
      <w:marTop w:val="0"/>
      <w:marBottom w:val="0"/>
      <w:divBdr>
        <w:top w:val="none" w:sz="0" w:space="0" w:color="auto"/>
        <w:left w:val="none" w:sz="0" w:space="0" w:color="auto"/>
        <w:bottom w:val="none" w:sz="0" w:space="0" w:color="auto"/>
        <w:right w:val="none" w:sz="0" w:space="0" w:color="auto"/>
      </w:divBdr>
    </w:div>
    <w:div w:id="1413619802">
      <w:bodyDiv w:val="1"/>
      <w:marLeft w:val="0"/>
      <w:marRight w:val="0"/>
      <w:marTop w:val="0"/>
      <w:marBottom w:val="0"/>
      <w:divBdr>
        <w:top w:val="none" w:sz="0" w:space="0" w:color="auto"/>
        <w:left w:val="none" w:sz="0" w:space="0" w:color="auto"/>
        <w:bottom w:val="none" w:sz="0" w:space="0" w:color="auto"/>
        <w:right w:val="none" w:sz="0" w:space="0" w:color="auto"/>
      </w:divBdr>
    </w:div>
    <w:div w:id="1420365002">
      <w:bodyDiv w:val="1"/>
      <w:marLeft w:val="0"/>
      <w:marRight w:val="0"/>
      <w:marTop w:val="0"/>
      <w:marBottom w:val="0"/>
      <w:divBdr>
        <w:top w:val="none" w:sz="0" w:space="0" w:color="auto"/>
        <w:left w:val="none" w:sz="0" w:space="0" w:color="auto"/>
        <w:bottom w:val="none" w:sz="0" w:space="0" w:color="auto"/>
        <w:right w:val="none" w:sz="0" w:space="0" w:color="auto"/>
      </w:divBdr>
    </w:div>
    <w:div w:id="1421171258">
      <w:bodyDiv w:val="1"/>
      <w:marLeft w:val="0"/>
      <w:marRight w:val="0"/>
      <w:marTop w:val="0"/>
      <w:marBottom w:val="0"/>
      <w:divBdr>
        <w:top w:val="none" w:sz="0" w:space="0" w:color="auto"/>
        <w:left w:val="none" w:sz="0" w:space="0" w:color="auto"/>
        <w:bottom w:val="none" w:sz="0" w:space="0" w:color="auto"/>
        <w:right w:val="none" w:sz="0" w:space="0" w:color="auto"/>
      </w:divBdr>
    </w:div>
    <w:div w:id="1434201132">
      <w:bodyDiv w:val="1"/>
      <w:marLeft w:val="0"/>
      <w:marRight w:val="0"/>
      <w:marTop w:val="0"/>
      <w:marBottom w:val="0"/>
      <w:divBdr>
        <w:top w:val="none" w:sz="0" w:space="0" w:color="auto"/>
        <w:left w:val="none" w:sz="0" w:space="0" w:color="auto"/>
        <w:bottom w:val="none" w:sz="0" w:space="0" w:color="auto"/>
        <w:right w:val="none" w:sz="0" w:space="0" w:color="auto"/>
      </w:divBdr>
    </w:div>
    <w:div w:id="1447388624">
      <w:bodyDiv w:val="1"/>
      <w:marLeft w:val="0"/>
      <w:marRight w:val="0"/>
      <w:marTop w:val="0"/>
      <w:marBottom w:val="0"/>
      <w:divBdr>
        <w:top w:val="none" w:sz="0" w:space="0" w:color="auto"/>
        <w:left w:val="none" w:sz="0" w:space="0" w:color="auto"/>
        <w:bottom w:val="none" w:sz="0" w:space="0" w:color="auto"/>
        <w:right w:val="none" w:sz="0" w:space="0" w:color="auto"/>
      </w:divBdr>
    </w:div>
    <w:div w:id="1450078318">
      <w:bodyDiv w:val="1"/>
      <w:marLeft w:val="0"/>
      <w:marRight w:val="0"/>
      <w:marTop w:val="0"/>
      <w:marBottom w:val="0"/>
      <w:divBdr>
        <w:top w:val="none" w:sz="0" w:space="0" w:color="auto"/>
        <w:left w:val="none" w:sz="0" w:space="0" w:color="auto"/>
        <w:bottom w:val="none" w:sz="0" w:space="0" w:color="auto"/>
        <w:right w:val="none" w:sz="0" w:space="0" w:color="auto"/>
      </w:divBdr>
    </w:div>
    <w:div w:id="1452824584">
      <w:bodyDiv w:val="1"/>
      <w:marLeft w:val="0"/>
      <w:marRight w:val="0"/>
      <w:marTop w:val="0"/>
      <w:marBottom w:val="0"/>
      <w:divBdr>
        <w:top w:val="none" w:sz="0" w:space="0" w:color="auto"/>
        <w:left w:val="none" w:sz="0" w:space="0" w:color="auto"/>
        <w:bottom w:val="none" w:sz="0" w:space="0" w:color="auto"/>
        <w:right w:val="none" w:sz="0" w:space="0" w:color="auto"/>
      </w:divBdr>
    </w:div>
    <w:div w:id="1463881316">
      <w:bodyDiv w:val="1"/>
      <w:marLeft w:val="0"/>
      <w:marRight w:val="0"/>
      <w:marTop w:val="0"/>
      <w:marBottom w:val="0"/>
      <w:divBdr>
        <w:top w:val="none" w:sz="0" w:space="0" w:color="auto"/>
        <w:left w:val="none" w:sz="0" w:space="0" w:color="auto"/>
        <w:bottom w:val="none" w:sz="0" w:space="0" w:color="auto"/>
        <w:right w:val="none" w:sz="0" w:space="0" w:color="auto"/>
      </w:divBdr>
    </w:div>
    <w:div w:id="1466003609">
      <w:bodyDiv w:val="1"/>
      <w:marLeft w:val="0"/>
      <w:marRight w:val="0"/>
      <w:marTop w:val="0"/>
      <w:marBottom w:val="0"/>
      <w:divBdr>
        <w:top w:val="none" w:sz="0" w:space="0" w:color="auto"/>
        <w:left w:val="none" w:sz="0" w:space="0" w:color="auto"/>
        <w:bottom w:val="none" w:sz="0" w:space="0" w:color="auto"/>
        <w:right w:val="none" w:sz="0" w:space="0" w:color="auto"/>
      </w:divBdr>
    </w:div>
    <w:div w:id="1473911876">
      <w:bodyDiv w:val="1"/>
      <w:marLeft w:val="0"/>
      <w:marRight w:val="0"/>
      <w:marTop w:val="0"/>
      <w:marBottom w:val="0"/>
      <w:divBdr>
        <w:top w:val="none" w:sz="0" w:space="0" w:color="auto"/>
        <w:left w:val="none" w:sz="0" w:space="0" w:color="auto"/>
        <w:bottom w:val="none" w:sz="0" w:space="0" w:color="auto"/>
        <w:right w:val="none" w:sz="0" w:space="0" w:color="auto"/>
      </w:divBdr>
    </w:div>
    <w:div w:id="1482965246">
      <w:bodyDiv w:val="1"/>
      <w:marLeft w:val="0"/>
      <w:marRight w:val="0"/>
      <w:marTop w:val="0"/>
      <w:marBottom w:val="0"/>
      <w:divBdr>
        <w:top w:val="none" w:sz="0" w:space="0" w:color="auto"/>
        <w:left w:val="none" w:sz="0" w:space="0" w:color="auto"/>
        <w:bottom w:val="none" w:sz="0" w:space="0" w:color="auto"/>
        <w:right w:val="none" w:sz="0" w:space="0" w:color="auto"/>
      </w:divBdr>
    </w:div>
    <w:div w:id="1499999765">
      <w:bodyDiv w:val="1"/>
      <w:marLeft w:val="0"/>
      <w:marRight w:val="0"/>
      <w:marTop w:val="0"/>
      <w:marBottom w:val="0"/>
      <w:divBdr>
        <w:top w:val="none" w:sz="0" w:space="0" w:color="auto"/>
        <w:left w:val="none" w:sz="0" w:space="0" w:color="auto"/>
        <w:bottom w:val="none" w:sz="0" w:space="0" w:color="auto"/>
        <w:right w:val="none" w:sz="0" w:space="0" w:color="auto"/>
      </w:divBdr>
    </w:div>
    <w:div w:id="1510219911">
      <w:bodyDiv w:val="1"/>
      <w:marLeft w:val="0"/>
      <w:marRight w:val="0"/>
      <w:marTop w:val="0"/>
      <w:marBottom w:val="0"/>
      <w:divBdr>
        <w:top w:val="none" w:sz="0" w:space="0" w:color="auto"/>
        <w:left w:val="none" w:sz="0" w:space="0" w:color="auto"/>
        <w:bottom w:val="none" w:sz="0" w:space="0" w:color="auto"/>
        <w:right w:val="none" w:sz="0" w:space="0" w:color="auto"/>
      </w:divBdr>
    </w:div>
    <w:div w:id="1519272192">
      <w:bodyDiv w:val="1"/>
      <w:marLeft w:val="0"/>
      <w:marRight w:val="0"/>
      <w:marTop w:val="0"/>
      <w:marBottom w:val="0"/>
      <w:divBdr>
        <w:top w:val="none" w:sz="0" w:space="0" w:color="auto"/>
        <w:left w:val="none" w:sz="0" w:space="0" w:color="auto"/>
        <w:bottom w:val="none" w:sz="0" w:space="0" w:color="auto"/>
        <w:right w:val="none" w:sz="0" w:space="0" w:color="auto"/>
      </w:divBdr>
    </w:div>
    <w:div w:id="1523938154">
      <w:bodyDiv w:val="1"/>
      <w:marLeft w:val="0"/>
      <w:marRight w:val="0"/>
      <w:marTop w:val="0"/>
      <w:marBottom w:val="0"/>
      <w:divBdr>
        <w:top w:val="none" w:sz="0" w:space="0" w:color="auto"/>
        <w:left w:val="none" w:sz="0" w:space="0" w:color="auto"/>
        <w:bottom w:val="none" w:sz="0" w:space="0" w:color="auto"/>
        <w:right w:val="none" w:sz="0" w:space="0" w:color="auto"/>
      </w:divBdr>
    </w:div>
    <w:div w:id="1529219236">
      <w:bodyDiv w:val="1"/>
      <w:marLeft w:val="0"/>
      <w:marRight w:val="0"/>
      <w:marTop w:val="0"/>
      <w:marBottom w:val="0"/>
      <w:divBdr>
        <w:top w:val="none" w:sz="0" w:space="0" w:color="auto"/>
        <w:left w:val="none" w:sz="0" w:space="0" w:color="auto"/>
        <w:bottom w:val="none" w:sz="0" w:space="0" w:color="auto"/>
        <w:right w:val="none" w:sz="0" w:space="0" w:color="auto"/>
      </w:divBdr>
    </w:div>
    <w:div w:id="1533762212">
      <w:bodyDiv w:val="1"/>
      <w:marLeft w:val="0"/>
      <w:marRight w:val="0"/>
      <w:marTop w:val="0"/>
      <w:marBottom w:val="0"/>
      <w:divBdr>
        <w:top w:val="none" w:sz="0" w:space="0" w:color="auto"/>
        <w:left w:val="none" w:sz="0" w:space="0" w:color="auto"/>
        <w:bottom w:val="none" w:sz="0" w:space="0" w:color="auto"/>
        <w:right w:val="none" w:sz="0" w:space="0" w:color="auto"/>
      </w:divBdr>
    </w:div>
    <w:div w:id="1545798562">
      <w:bodyDiv w:val="1"/>
      <w:marLeft w:val="0"/>
      <w:marRight w:val="0"/>
      <w:marTop w:val="0"/>
      <w:marBottom w:val="0"/>
      <w:divBdr>
        <w:top w:val="none" w:sz="0" w:space="0" w:color="auto"/>
        <w:left w:val="none" w:sz="0" w:space="0" w:color="auto"/>
        <w:bottom w:val="none" w:sz="0" w:space="0" w:color="auto"/>
        <w:right w:val="none" w:sz="0" w:space="0" w:color="auto"/>
      </w:divBdr>
    </w:div>
    <w:div w:id="1550190586">
      <w:bodyDiv w:val="1"/>
      <w:marLeft w:val="0"/>
      <w:marRight w:val="0"/>
      <w:marTop w:val="0"/>
      <w:marBottom w:val="0"/>
      <w:divBdr>
        <w:top w:val="none" w:sz="0" w:space="0" w:color="auto"/>
        <w:left w:val="none" w:sz="0" w:space="0" w:color="auto"/>
        <w:bottom w:val="none" w:sz="0" w:space="0" w:color="auto"/>
        <w:right w:val="none" w:sz="0" w:space="0" w:color="auto"/>
      </w:divBdr>
    </w:div>
    <w:div w:id="1560706567">
      <w:bodyDiv w:val="1"/>
      <w:marLeft w:val="0"/>
      <w:marRight w:val="0"/>
      <w:marTop w:val="0"/>
      <w:marBottom w:val="0"/>
      <w:divBdr>
        <w:top w:val="none" w:sz="0" w:space="0" w:color="auto"/>
        <w:left w:val="none" w:sz="0" w:space="0" w:color="auto"/>
        <w:bottom w:val="none" w:sz="0" w:space="0" w:color="auto"/>
        <w:right w:val="none" w:sz="0" w:space="0" w:color="auto"/>
      </w:divBdr>
    </w:div>
    <w:div w:id="1570844885">
      <w:bodyDiv w:val="1"/>
      <w:marLeft w:val="0"/>
      <w:marRight w:val="0"/>
      <w:marTop w:val="0"/>
      <w:marBottom w:val="0"/>
      <w:divBdr>
        <w:top w:val="none" w:sz="0" w:space="0" w:color="auto"/>
        <w:left w:val="none" w:sz="0" w:space="0" w:color="auto"/>
        <w:bottom w:val="none" w:sz="0" w:space="0" w:color="auto"/>
        <w:right w:val="none" w:sz="0" w:space="0" w:color="auto"/>
      </w:divBdr>
    </w:div>
    <w:div w:id="1580871876">
      <w:bodyDiv w:val="1"/>
      <w:marLeft w:val="0"/>
      <w:marRight w:val="0"/>
      <w:marTop w:val="0"/>
      <w:marBottom w:val="0"/>
      <w:divBdr>
        <w:top w:val="none" w:sz="0" w:space="0" w:color="auto"/>
        <w:left w:val="none" w:sz="0" w:space="0" w:color="auto"/>
        <w:bottom w:val="none" w:sz="0" w:space="0" w:color="auto"/>
        <w:right w:val="none" w:sz="0" w:space="0" w:color="auto"/>
      </w:divBdr>
    </w:div>
    <w:div w:id="1594434674">
      <w:bodyDiv w:val="1"/>
      <w:marLeft w:val="0"/>
      <w:marRight w:val="0"/>
      <w:marTop w:val="0"/>
      <w:marBottom w:val="0"/>
      <w:divBdr>
        <w:top w:val="none" w:sz="0" w:space="0" w:color="auto"/>
        <w:left w:val="none" w:sz="0" w:space="0" w:color="auto"/>
        <w:bottom w:val="none" w:sz="0" w:space="0" w:color="auto"/>
        <w:right w:val="none" w:sz="0" w:space="0" w:color="auto"/>
      </w:divBdr>
    </w:div>
    <w:div w:id="1609922299">
      <w:bodyDiv w:val="1"/>
      <w:marLeft w:val="0"/>
      <w:marRight w:val="0"/>
      <w:marTop w:val="0"/>
      <w:marBottom w:val="0"/>
      <w:divBdr>
        <w:top w:val="none" w:sz="0" w:space="0" w:color="auto"/>
        <w:left w:val="none" w:sz="0" w:space="0" w:color="auto"/>
        <w:bottom w:val="none" w:sz="0" w:space="0" w:color="auto"/>
        <w:right w:val="none" w:sz="0" w:space="0" w:color="auto"/>
      </w:divBdr>
    </w:div>
    <w:div w:id="1612320923">
      <w:bodyDiv w:val="1"/>
      <w:marLeft w:val="0"/>
      <w:marRight w:val="0"/>
      <w:marTop w:val="0"/>
      <w:marBottom w:val="0"/>
      <w:divBdr>
        <w:top w:val="none" w:sz="0" w:space="0" w:color="auto"/>
        <w:left w:val="none" w:sz="0" w:space="0" w:color="auto"/>
        <w:bottom w:val="none" w:sz="0" w:space="0" w:color="auto"/>
        <w:right w:val="none" w:sz="0" w:space="0" w:color="auto"/>
      </w:divBdr>
    </w:div>
    <w:div w:id="1615014976">
      <w:bodyDiv w:val="1"/>
      <w:marLeft w:val="0"/>
      <w:marRight w:val="0"/>
      <w:marTop w:val="0"/>
      <w:marBottom w:val="0"/>
      <w:divBdr>
        <w:top w:val="none" w:sz="0" w:space="0" w:color="auto"/>
        <w:left w:val="none" w:sz="0" w:space="0" w:color="auto"/>
        <w:bottom w:val="none" w:sz="0" w:space="0" w:color="auto"/>
        <w:right w:val="none" w:sz="0" w:space="0" w:color="auto"/>
      </w:divBdr>
    </w:div>
    <w:div w:id="1618873920">
      <w:bodyDiv w:val="1"/>
      <w:marLeft w:val="0"/>
      <w:marRight w:val="0"/>
      <w:marTop w:val="0"/>
      <w:marBottom w:val="0"/>
      <w:divBdr>
        <w:top w:val="none" w:sz="0" w:space="0" w:color="auto"/>
        <w:left w:val="none" w:sz="0" w:space="0" w:color="auto"/>
        <w:bottom w:val="none" w:sz="0" w:space="0" w:color="auto"/>
        <w:right w:val="none" w:sz="0" w:space="0" w:color="auto"/>
      </w:divBdr>
    </w:div>
    <w:div w:id="1619489188">
      <w:bodyDiv w:val="1"/>
      <w:marLeft w:val="0"/>
      <w:marRight w:val="0"/>
      <w:marTop w:val="0"/>
      <w:marBottom w:val="0"/>
      <w:divBdr>
        <w:top w:val="none" w:sz="0" w:space="0" w:color="auto"/>
        <w:left w:val="none" w:sz="0" w:space="0" w:color="auto"/>
        <w:bottom w:val="none" w:sz="0" w:space="0" w:color="auto"/>
        <w:right w:val="none" w:sz="0" w:space="0" w:color="auto"/>
      </w:divBdr>
    </w:div>
    <w:div w:id="1621761425">
      <w:bodyDiv w:val="1"/>
      <w:marLeft w:val="0"/>
      <w:marRight w:val="0"/>
      <w:marTop w:val="0"/>
      <w:marBottom w:val="0"/>
      <w:divBdr>
        <w:top w:val="none" w:sz="0" w:space="0" w:color="auto"/>
        <w:left w:val="none" w:sz="0" w:space="0" w:color="auto"/>
        <w:bottom w:val="none" w:sz="0" w:space="0" w:color="auto"/>
        <w:right w:val="none" w:sz="0" w:space="0" w:color="auto"/>
      </w:divBdr>
    </w:div>
    <w:div w:id="1629706761">
      <w:bodyDiv w:val="1"/>
      <w:marLeft w:val="0"/>
      <w:marRight w:val="0"/>
      <w:marTop w:val="0"/>
      <w:marBottom w:val="0"/>
      <w:divBdr>
        <w:top w:val="none" w:sz="0" w:space="0" w:color="auto"/>
        <w:left w:val="none" w:sz="0" w:space="0" w:color="auto"/>
        <w:bottom w:val="none" w:sz="0" w:space="0" w:color="auto"/>
        <w:right w:val="none" w:sz="0" w:space="0" w:color="auto"/>
      </w:divBdr>
    </w:div>
    <w:div w:id="1633247234">
      <w:bodyDiv w:val="1"/>
      <w:marLeft w:val="0"/>
      <w:marRight w:val="0"/>
      <w:marTop w:val="0"/>
      <w:marBottom w:val="0"/>
      <w:divBdr>
        <w:top w:val="none" w:sz="0" w:space="0" w:color="auto"/>
        <w:left w:val="none" w:sz="0" w:space="0" w:color="auto"/>
        <w:bottom w:val="none" w:sz="0" w:space="0" w:color="auto"/>
        <w:right w:val="none" w:sz="0" w:space="0" w:color="auto"/>
      </w:divBdr>
    </w:div>
    <w:div w:id="1633944469">
      <w:bodyDiv w:val="1"/>
      <w:marLeft w:val="0"/>
      <w:marRight w:val="0"/>
      <w:marTop w:val="0"/>
      <w:marBottom w:val="0"/>
      <w:divBdr>
        <w:top w:val="none" w:sz="0" w:space="0" w:color="auto"/>
        <w:left w:val="none" w:sz="0" w:space="0" w:color="auto"/>
        <w:bottom w:val="none" w:sz="0" w:space="0" w:color="auto"/>
        <w:right w:val="none" w:sz="0" w:space="0" w:color="auto"/>
      </w:divBdr>
    </w:div>
    <w:div w:id="1638759503">
      <w:bodyDiv w:val="1"/>
      <w:marLeft w:val="0"/>
      <w:marRight w:val="0"/>
      <w:marTop w:val="0"/>
      <w:marBottom w:val="0"/>
      <w:divBdr>
        <w:top w:val="none" w:sz="0" w:space="0" w:color="auto"/>
        <w:left w:val="none" w:sz="0" w:space="0" w:color="auto"/>
        <w:bottom w:val="none" w:sz="0" w:space="0" w:color="auto"/>
        <w:right w:val="none" w:sz="0" w:space="0" w:color="auto"/>
      </w:divBdr>
    </w:div>
    <w:div w:id="1639022350">
      <w:bodyDiv w:val="1"/>
      <w:marLeft w:val="0"/>
      <w:marRight w:val="0"/>
      <w:marTop w:val="0"/>
      <w:marBottom w:val="0"/>
      <w:divBdr>
        <w:top w:val="none" w:sz="0" w:space="0" w:color="auto"/>
        <w:left w:val="none" w:sz="0" w:space="0" w:color="auto"/>
        <w:bottom w:val="none" w:sz="0" w:space="0" w:color="auto"/>
        <w:right w:val="none" w:sz="0" w:space="0" w:color="auto"/>
      </w:divBdr>
    </w:div>
    <w:div w:id="1643076822">
      <w:bodyDiv w:val="1"/>
      <w:marLeft w:val="0"/>
      <w:marRight w:val="0"/>
      <w:marTop w:val="0"/>
      <w:marBottom w:val="0"/>
      <w:divBdr>
        <w:top w:val="none" w:sz="0" w:space="0" w:color="auto"/>
        <w:left w:val="none" w:sz="0" w:space="0" w:color="auto"/>
        <w:bottom w:val="none" w:sz="0" w:space="0" w:color="auto"/>
        <w:right w:val="none" w:sz="0" w:space="0" w:color="auto"/>
      </w:divBdr>
    </w:div>
    <w:div w:id="1653288066">
      <w:bodyDiv w:val="1"/>
      <w:marLeft w:val="0"/>
      <w:marRight w:val="0"/>
      <w:marTop w:val="0"/>
      <w:marBottom w:val="0"/>
      <w:divBdr>
        <w:top w:val="none" w:sz="0" w:space="0" w:color="auto"/>
        <w:left w:val="none" w:sz="0" w:space="0" w:color="auto"/>
        <w:bottom w:val="none" w:sz="0" w:space="0" w:color="auto"/>
        <w:right w:val="none" w:sz="0" w:space="0" w:color="auto"/>
      </w:divBdr>
    </w:div>
    <w:div w:id="1666207843">
      <w:bodyDiv w:val="1"/>
      <w:marLeft w:val="0"/>
      <w:marRight w:val="0"/>
      <w:marTop w:val="0"/>
      <w:marBottom w:val="0"/>
      <w:divBdr>
        <w:top w:val="none" w:sz="0" w:space="0" w:color="auto"/>
        <w:left w:val="none" w:sz="0" w:space="0" w:color="auto"/>
        <w:bottom w:val="none" w:sz="0" w:space="0" w:color="auto"/>
        <w:right w:val="none" w:sz="0" w:space="0" w:color="auto"/>
      </w:divBdr>
    </w:div>
    <w:div w:id="1670139033">
      <w:bodyDiv w:val="1"/>
      <w:marLeft w:val="0"/>
      <w:marRight w:val="0"/>
      <w:marTop w:val="0"/>
      <w:marBottom w:val="0"/>
      <w:divBdr>
        <w:top w:val="none" w:sz="0" w:space="0" w:color="auto"/>
        <w:left w:val="none" w:sz="0" w:space="0" w:color="auto"/>
        <w:bottom w:val="none" w:sz="0" w:space="0" w:color="auto"/>
        <w:right w:val="none" w:sz="0" w:space="0" w:color="auto"/>
      </w:divBdr>
    </w:div>
    <w:div w:id="1671980988">
      <w:bodyDiv w:val="1"/>
      <w:marLeft w:val="0"/>
      <w:marRight w:val="0"/>
      <w:marTop w:val="0"/>
      <w:marBottom w:val="0"/>
      <w:divBdr>
        <w:top w:val="none" w:sz="0" w:space="0" w:color="auto"/>
        <w:left w:val="none" w:sz="0" w:space="0" w:color="auto"/>
        <w:bottom w:val="none" w:sz="0" w:space="0" w:color="auto"/>
        <w:right w:val="none" w:sz="0" w:space="0" w:color="auto"/>
      </w:divBdr>
    </w:div>
    <w:div w:id="1692223644">
      <w:bodyDiv w:val="1"/>
      <w:marLeft w:val="0"/>
      <w:marRight w:val="0"/>
      <w:marTop w:val="0"/>
      <w:marBottom w:val="0"/>
      <w:divBdr>
        <w:top w:val="none" w:sz="0" w:space="0" w:color="auto"/>
        <w:left w:val="none" w:sz="0" w:space="0" w:color="auto"/>
        <w:bottom w:val="none" w:sz="0" w:space="0" w:color="auto"/>
        <w:right w:val="none" w:sz="0" w:space="0" w:color="auto"/>
      </w:divBdr>
    </w:div>
    <w:div w:id="1698118467">
      <w:bodyDiv w:val="1"/>
      <w:marLeft w:val="0"/>
      <w:marRight w:val="0"/>
      <w:marTop w:val="0"/>
      <w:marBottom w:val="0"/>
      <w:divBdr>
        <w:top w:val="none" w:sz="0" w:space="0" w:color="auto"/>
        <w:left w:val="none" w:sz="0" w:space="0" w:color="auto"/>
        <w:bottom w:val="none" w:sz="0" w:space="0" w:color="auto"/>
        <w:right w:val="none" w:sz="0" w:space="0" w:color="auto"/>
      </w:divBdr>
    </w:div>
    <w:div w:id="1709143966">
      <w:bodyDiv w:val="1"/>
      <w:marLeft w:val="0"/>
      <w:marRight w:val="0"/>
      <w:marTop w:val="0"/>
      <w:marBottom w:val="0"/>
      <w:divBdr>
        <w:top w:val="none" w:sz="0" w:space="0" w:color="auto"/>
        <w:left w:val="none" w:sz="0" w:space="0" w:color="auto"/>
        <w:bottom w:val="none" w:sz="0" w:space="0" w:color="auto"/>
        <w:right w:val="none" w:sz="0" w:space="0" w:color="auto"/>
      </w:divBdr>
    </w:div>
    <w:div w:id="1711489828">
      <w:bodyDiv w:val="1"/>
      <w:marLeft w:val="0"/>
      <w:marRight w:val="0"/>
      <w:marTop w:val="0"/>
      <w:marBottom w:val="0"/>
      <w:divBdr>
        <w:top w:val="none" w:sz="0" w:space="0" w:color="auto"/>
        <w:left w:val="none" w:sz="0" w:space="0" w:color="auto"/>
        <w:bottom w:val="none" w:sz="0" w:space="0" w:color="auto"/>
        <w:right w:val="none" w:sz="0" w:space="0" w:color="auto"/>
      </w:divBdr>
    </w:div>
    <w:div w:id="1719671261">
      <w:bodyDiv w:val="1"/>
      <w:marLeft w:val="0"/>
      <w:marRight w:val="0"/>
      <w:marTop w:val="0"/>
      <w:marBottom w:val="0"/>
      <w:divBdr>
        <w:top w:val="none" w:sz="0" w:space="0" w:color="auto"/>
        <w:left w:val="none" w:sz="0" w:space="0" w:color="auto"/>
        <w:bottom w:val="none" w:sz="0" w:space="0" w:color="auto"/>
        <w:right w:val="none" w:sz="0" w:space="0" w:color="auto"/>
      </w:divBdr>
    </w:div>
    <w:div w:id="1728995731">
      <w:bodyDiv w:val="1"/>
      <w:marLeft w:val="0"/>
      <w:marRight w:val="0"/>
      <w:marTop w:val="0"/>
      <w:marBottom w:val="0"/>
      <w:divBdr>
        <w:top w:val="none" w:sz="0" w:space="0" w:color="auto"/>
        <w:left w:val="none" w:sz="0" w:space="0" w:color="auto"/>
        <w:bottom w:val="none" w:sz="0" w:space="0" w:color="auto"/>
        <w:right w:val="none" w:sz="0" w:space="0" w:color="auto"/>
      </w:divBdr>
    </w:div>
    <w:div w:id="1751076946">
      <w:bodyDiv w:val="1"/>
      <w:marLeft w:val="0"/>
      <w:marRight w:val="0"/>
      <w:marTop w:val="0"/>
      <w:marBottom w:val="0"/>
      <w:divBdr>
        <w:top w:val="none" w:sz="0" w:space="0" w:color="auto"/>
        <w:left w:val="none" w:sz="0" w:space="0" w:color="auto"/>
        <w:bottom w:val="none" w:sz="0" w:space="0" w:color="auto"/>
        <w:right w:val="none" w:sz="0" w:space="0" w:color="auto"/>
      </w:divBdr>
    </w:div>
    <w:div w:id="1752503927">
      <w:bodyDiv w:val="1"/>
      <w:marLeft w:val="0"/>
      <w:marRight w:val="0"/>
      <w:marTop w:val="0"/>
      <w:marBottom w:val="0"/>
      <w:divBdr>
        <w:top w:val="none" w:sz="0" w:space="0" w:color="auto"/>
        <w:left w:val="none" w:sz="0" w:space="0" w:color="auto"/>
        <w:bottom w:val="none" w:sz="0" w:space="0" w:color="auto"/>
        <w:right w:val="none" w:sz="0" w:space="0" w:color="auto"/>
      </w:divBdr>
    </w:div>
    <w:div w:id="1767849740">
      <w:bodyDiv w:val="1"/>
      <w:marLeft w:val="0"/>
      <w:marRight w:val="0"/>
      <w:marTop w:val="0"/>
      <w:marBottom w:val="0"/>
      <w:divBdr>
        <w:top w:val="none" w:sz="0" w:space="0" w:color="auto"/>
        <w:left w:val="none" w:sz="0" w:space="0" w:color="auto"/>
        <w:bottom w:val="none" w:sz="0" w:space="0" w:color="auto"/>
        <w:right w:val="none" w:sz="0" w:space="0" w:color="auto"/>
      </w:divBdr>
    </w:div>
    <w:div w:id="1775711487">
      <w:bodyDiv w:val="1"/>
      <w:marLeft w:val="0"/>
      <w:marRight w:val="0"/>
      <w:marTop w:val="0"/>
      <w:marBottom w:val="0"/>
      <w:divBdr>
        <w:top w:val="none" w:sz="0" w:space="0" w:color="auto"/>
        <w:left w:val="none" w:sz="0" w:space="0" w:color="auto"/>
        <w:bottom w:val="none" w:sz="0" w:space="0" w:color="auto"/>
        <w:right w:val="none" w:sz="0" w:space="0" w:color="auto"/>
      </w:divBdr>
    </w:div>
    <w:div w:id="1776442076">
      <w:bodyDiv w:val="1"/>
      <w:marLeft w:val="0"/>
      <w:marRight w:val="0"/>
      <w:marTop w:val="0"/>
      <w:marBottom w:val="0"/>
      <w:divBdr>
        <w:top w:val="none" w:sz="0" w:space="0" w:color="auto"/>
        <w:left w:val="none" w:sz="0" w:space="0" w:color="auto"/>
        <w:bottom w:val="none" w:sz="0" w:space="0" w:color="auto"/>
        <w:right w:val="none" w:sz="0" w:space="0" w:color="auto"/>
      </w:divBdr>
    </w:div>
    <w:div w:id="1783767855">
      <w:bodyDiv w:val="1"/>
      <w:marLeft w:val="0"/>
      <w:marRight w:val="0"/>
      <w:marTop w:val="0"/>
      <w:marBottom w:val="0"/>
      <w:divBdr>
        <w:top w:val="none" w:sz="0" w:space="0" w:color="auto"/>
        <w:left w:val="none" w:sz="0" w:space="0" w:color="auto"/>
        <w:bottom w:val="none" w:sz="0" w:space="0" w:color="auto"/>
        <w:right w:val="none" w:sz="0" w:space="0" w:color="auto"/>
      </w:divBdr>
    </w:div>
    <w:div w:id="1786734900">
      <w:bodyDiv w:val="1"/>
      <w:marLeft w:val="0"/>
      <w:marRight w:val="0"/>
      <w:marTop w:val="0"/>
      <w:marBottom w:val="0"/>
      <w:divBdr>
        <w:top w:val="none" w:sz="0" w:space="0" w:color="auto"/>
        <w:left w:val="none" w:sz="0" w:space="0" w:color="auto"/>
        <w:bottom w:val="none" w:sz="0" w:space="0" w:color="auto"/>
        <w:right w:val="none" w:sz="0" w:space="0" w:color="auto"/>
      </w:divBdr>
    </w:div>
    <w:div w:id="1792283857">
      <w:bodyDiv w:val="1"/>
      <w:marLeft w:val="0"/>
      <w:marRight w:val="0"/>
      <w:marTop w:val="0"/>
      <w:marBottom w:val="0"/>
      <w:divBdr>
        <w:top w:val="none" w:sz="0" w:space="0" w:color="auto"/>
        <w:left w:val="none" w:sz="0" w:space="0" w:color="auto"/>
        <w:bottom w:val="none" w:sz="0" w:space="0" w:color="auto"/>
        <w:right w:val="none" w:sz="0" w:space="0" w:color="auto"/>
      </w:divBdr>
    </w:div>
    <w:div w:id="1792284316">
      <w:bodyDiv w:val="1"/>
      <w:marLeft w:val="0"/>
      <w:marRight w:val="0"/>
      <w:marTop w:val="0"/>
      <w:marBottom w:val="0"/>
      <w:divBdr>
        <w:top w:val="none" w:sz="0" w:space="0" w:color="auto"/>
        <w:left w:val="none" w:sz="0" w:space="0" w:color="auto"/>
        <w:bottom w:val="none" w:sz="0" w:space="0" w:color="auto"/>
        <w:right w:val="none" w:sz="0" w:space="0" w:color="auto"/>
      </w:divBdr>
    </w:div>
    <w:div w:id="1793817677">
      <w:bodyDiv w:val="1"/>
      <w:marLeft w:val="0"/>
      <w:marRight w:val="0"/>
      <w:marTop w:val="0"/>
      <w:marBottom w:val="0"/>
      <w:divBdr>
        <w:top w:val="none" w:sz="0" w:space="0" w:color="auto"/>
        <w:left w:val="none" w:sz="0" w:space="0" w:color="auto"/>
        <w:bottom w:val="none" w:sz="0" w:space="0" w:color="auto"/>
        <w:right w:val="none" w:sz="0" w:space="0" w:color="auto"/>
      </w:divBdr>
    </w:div>
    <w:div w:id="1804426797">
      <w:bodyDiv w:val="1"/>
      <w:marLeft w:val="0"/>
      <w:marRight w:val="0"/>
      <w:marTop w:val="0"/>
      <w:marBottom w:val="0"/>
      <w:divBdr>
        <w:top w:val="none" w:sz="0" w:space="0" w:color="auto"/>
        <w:left w:val="none" w:sz="0" w:space="0" w:color="auto"/>
        <w:bottom w:val="none" w:sz="0" w:space="0" w:color="auto"/>
        <w:right w:val="none" w:sz="0" w:space="0" w:color="auto"/>
      </w:divBdr>
    </w:div>
    <w:div w:id="1809279719">
      <w:bodyDiv w:val="1"/>
      <w:marLeft w:val="0"/>
      <w:marRight w:val="0"/>
      <w:marTop w:val="0"/>
      <w:marBottom w:val="0"/>
      <w:divBdr>
        <w:top w:val="none" w:sz="0" w:space="0" w:color="auto"/>
        <w:left w:val="none" w:sz="0" w:space="0" w:color="auto"/>
        <w:bottom w:val="none" w:sz="0" w:space="0" w:color="auto"/>
        <w:right w:val="none" w:sz="0" w:space="0" w:color="auto"/>
      </w:divBdr>
    </w:div>
    <w:div w:id="1822041074">
      <w:bodyDiv w:val="1"/>
      <w:marLeft w:val="0"/>
      <w:marRight w:val="0"/>
      <w:marTop w:val="0"/>
      <w:marBottom w:val="0"/>
      <w:divBdr>
        <w:top w:val="none" w:sz="0" w:space="0" w:color="auto"/>
        <w:left w:val="none" w:sz="0" w:space="0" w:color="auto"/>
        <w:bottom w:val="none" w:sz="0" w:space="0" w:color="auto"/>
        <w:right w:val="none" w:sz="0" w:space="0" w:color="auto"/>
      </w:divBdr>
    </w:div>
    <w:div w:id="1830514594">
      <w:bodyDiv w:val="1"/>
      <w:marLeft w:val="0"/>
      <w:marRight w:val="0"/>
      <w:marTop w:val="0"/>
      <w:marBottom w:val="0"/>
      <w:divBdr>
        <w:top w:val="none" w:sz="0" w:space="0" w:color="auto"/>
        <w:left w:val="none" w:sz="0" w:space="0" w:color="auto"/>
        <w:bottom w:val="none" w:sz="0" w:space="0" w:color="auto"/>
        <w:right w:val="none" w:sz="0" w:space="0" w:color="auto"/>
      </w:divBdr>
    </w:div>
    <w:div w:id="1837499755">
      <w:bodyDiv w:val="1"/>
      <w:marLeft w:val="0"/>
      <w:marRight w:val="0"/>
      <w:marTop w:val="0"/>
      <w:marBottom w:val="0"/>
      <w:divBdr>
        <w:top w:val="none" w:sz="0" w:space="0" w:color="auto"/>
        <w:left w:val="none" w:sz="0" w:space="0" w:color="auto"/>
        <w:bottom w:val="none" w:sz="0" w:space="0" w:color="auto"/>
        <w:right w:val="none" w:sz="0" w:space="0" w:color="auto"/>
      </w:divBdr>
    </w:div>
    <w:div w:id="1837527245">
      <w:bodyDiv w:val="1"/>
      <w:marLeft w:val="0"/>
      <w:marRight w:val="0"/>
      <w:marTop w:val="0"/>
      <w:marBottom w:val="0"/>
      <w:divBdr>
        <w:top w:val="none" w:sz="0" w:space="0" w:color="auto"/>
        <w:left w:val="none" w:sz="0" w:space="0" w:color="auto"/>
        <w:bottom w:val="none" w:sz="0" w:space="0" w:color="auto"/>
        <w:right w:val="none" w:sz="0" w:space="0" w:color="auto"/>
      </w:divBdr>
    </w:div>
    <w:div w:id="1843932401">
      <w:bodyDiv w:val="1"/>
      <w:marLeft w:val="0"/>
      <w:marRight w:val="0"/>
      <w:marTop w:val="0"/>
      <w:marBottom w:val="0"/>
      <w:divBdr>
        <w:top w:val="none" w:sz="0" w:space="0" w:color="auto"/>
        <w:left w:val="none" w:sz="0" w:space="0" w:color="auto"/>
        <w:bottom w:val="none" w:sz="0" w:space="0" w:color="auto"/>
        <w:right w:val="none" w:sz="0" w:space="0" w:color="auto"/>
      </w:divBdr>
    </w:div>
    <w:div w:id="1847211735">
      <w:bodyDiv w:val="1"/>
      <w:marLeft w:val="0"/>
      <w:marRight w:val="0"/>
      <w:marTop w:val="0"/>
      <w:marBottom w:val="0"/>
      <w:divBdr>
        <w:top w:val="none" w:sz="0" w:space="0" w:color="auto"/>
        <w:left w:val="none" w:sz="0" w:space="0" w:color="auto"/>
        <w:bottom w:val="none" w:sz="0" w:space="0" w:color="auto"/>
        <w:right w:val="none" w:sz="0" w:space="0" w:color="auto"/>
      </w:divBdr>
    </w:div>
    <w:div w:id="1851792468">
      <w:bodyDiv w:val="1"/>
      <w:marLeft w:val="0"/>
      <w:marRight w:val="0"/>
      <w:marTop w:val="0"/>
      <w:marBottom w:val="0"/>
      <w:divBdr>
        <w:top w:val="none" w:sz="0" w:space="0" w:color="auto"/>
        <w:left w:val="none" w:sz="0" w:space="0" w:color="auto"/>
        <w:bottom w:val="none" w:sz="0" w:space="0" w:color="auto"/>
        <w:right w:val="none" w:sz="0" w:space="0" w:color="auto"/>
      </w:divBdr>
    </w:div>
    <w:div w:id="1866478345">
      <w:bodyDiv w:val="1"/>
      <w:marLeft w:val="0"/>
      <w:marRight w:val="0"/>
      <w:marTop w:val="0"/>
      <w:marBottom w:val="0"/>
      <w:divBdr>
        <w:top w:val="none" w:sz="0" w:space="0" w:color="auto"/>
        <w:left w:val="none" w:sz="0" w:space="0" w:color="auto"/>
        <w:bottom w:val="none" w:sz="0" w:space="0" w:color="auto"/>
        <w:right w:val="none" w:sz="0" w:space="0" w:color="auto"/>
      </w:divBdr>
    </w:div>
    <w:div w:id="1875847451">
      <w:bodyDiv w:val="1"/>
      <w:marLeft w:val="0"/>
      <w:marRight w:val="0"/>
      <w:marTop w:val="0"/>
      <w:marBottom w:val="0"/>
      <w:divBdr>
        <w:top w:val="none" w:sz="0" w:space="0" w:color="auto"/>
        <w:left w:val="none" w:sz="0" w:space="0" w:color="auto"/>
        <w:bottom w:val="none" w:sz="0" w:space="0" w:color="auto"/>
        <w:right w:val="none" w:sz="0" w:space="0" w:color="auto"/>
      </w:divBdr>
    </w:div>
    <w:div w:id="1886797316">
      <w:bodyDiv w:val="1"/>
      <w:marLeft w:val="0"/>
      <w:marRight w:val="0"/>
      <w:marTop w:val="0"/>
      <w:marBottom w:val="0"/>
      <w:divBdr>
        <w:top w:val="none" w:sz="0" w:space="0" w:color="auto"/>
        <w:left w:val="none" w:sz="0" w:space="0" w:color="auto"/>
        <w:bottom w:val="none" w:sz="0" w:space="0" w:color="auto"/>
        <w:right w:val="none" w:sz="0" w:space="0" w:color="auto"/>
      </w:divBdr>
    </w:div>
    <w:div w:id="1887789362">
      <w:bodyDiv w:val="1"/>
      <w:marLeft w:val="0"/>
      <w:marRight w:val="0"/>
      <w:marTop w:val="0"/>
      <w:marBottom w:val="0"/>
      <w:divBdr>
        <w:top w:val="none" w:sz="0" w:space="0" w:color="auto"/>
        <w:left w:val="none" w:sz="0" w:space="0" w:color="auto"/>
        <w:bottom w:val="none" w:sz="0" w:space="0" w:color="auto"/>
        <w:right w:val="none" w:sz="0" w:space="0" w:color="auto"/>
      </w:divBdr>
    </w:div>
    <w:div w:id="1893225632">
      <w:bodyDiv w:val="1"/>
      <w:marLeft w:val="0"/>
      <w:marRight w:val="0"/>
      <w:marTop w:val="0"/>
      <w:marBottom w:val="0"/>
      <w:divBdr>
        <w:top w:val="none" w:sz="0" w:space="0" w:color="auto"/>
        <w:left w:val="none" w:sz="0" w:space="0" w:color="auto"/>
        <w:bottom w:val="none" w:sz="0" w:space="0" w:color="auto"/>
        <w:right w:val="none" w:sz="0" w:space="0" w:color="auto"/>
      </w:divBdr>
    </w:div>
    <w:div w:id="1898006669">
      <w:bodyDiv w:val="1"/>
      <w:marLeft w:val="0"/>
      <w:marRight w:val="0"/>
      <w:marTop w:val="0"/>
      <w:marBottom w:val="0"/>
      <w:divBdr>
        <w:top w:val="none" w:sz="0" w:space="0" w:color="auto"/>
        <w:left w:val="none" w:sz="0" w:space="0" w:color="auto"/>
        <w:bottom w:val="none" w:sz="0" w:space="0" w:color="auto"/>
        <w:right w:val="none" w:sz="0" w:space="0" w:color="auto"/>
      </w:divBdr>
    </w:div>
    <w:div w:id="1903329185">
      <w:bodyDiv w:val="1"/>
      <w:marLeft w:val="0"/>
      <w:marRight w:val="0"/>
      <w:marTop w:val="0"/>
      <w:marBottom w:val="0"/>
      <w:divBdr>
        <w:top w:val="none" w:sz="0" w:space="0" w:color="auto"/>
        <w:left w:val="none" w:sz="0" w:space="0" w:color="auto"/>
        <w:bottom w:val="none" w:sz="0" w:space="0" w:color="auto"/>
        <w:right w:val="none" w:sz="0" w:space="0" w:color="auto"/>
      </w:divBdr>
    </w:div>
    <w:div w:id="1904482942">
      <w:bodyDiv w:val="1"/>
      <w:marLeft w:val="0"/>
      <w:marRight w:val="0"/>
      <w:marTop w:val="0"/>
      <w:marBottom w:val="0"/>
      <w:divBdr>
        <w:top w:val="none" w:sz="0" w:space="0" w:color="auto"/>
        <w:left w:val="none" w:sz="0" w:space="0" w:color="auto"/>
        <w:bottom w:val="none" w:sz="0" w:space="0" w:color="auto"/>
        <w:right w:val="none" w:sz="0" w:space="0" w:color="auto"/>
      </w:divBdr>
    </w:div>
    <w:div w:id="1912419524">
      <w:bodyDiv w:val="1"/>
      <w:marLeft w:val="0"/>
      <w:marRight w:val="0"/>
      <w:marTop w:val="0"/>
      <w:marBottom w:val="0"/>
      <w:divBdr>
        <w:top w:val="none" w:sz="0" w:space="0" w:color="auto"/>
        <w:left w:val="none" w:sz="0" w:space="0" w:color="auto"/>
        <w:bottom w:val="none" w:sz="0" w:space="0" w:color="auto"/>
        <w:right w:val="none" w:sz="0" w:space="0" w:color="auto"/>
      </w:divBdr>
    </w:div>
    <w:div w:id="1913193277">
      <w:bodyDiv w:val="1"/>
      <w:marLeft w:val="0"/>
      <w:marRight w:val="0"/>
      <w:marTop w:val="0"/>
      <w:marBottom w:val="0"/>
      <w:divBdr>
        <w:top w:val="none" w:sz="0" w:space="0" w:color="auto"/>
        <w:left w:val="none" w:sz="0" w:space="0" w:color="auto"/>
        <w:bottom w:val="none" w:sz="0" w:space="0" w:color="auto"/>
        <w:right w:val="none" w:sz="0" w:space="0" w:color="auto"/>
      </w:divBdr>
    </w:div>
    <w:div w:id="1944650033">
      <w:bodyDiv w:val="1"/>
      <w:marLeft w:val="0"/>
      <w:marRight w:val="0"/>
      <w:marTop w:val="0"/>
      <w:marBottom w:val="0"/>
      <w:divBdr>
        <w:top w:val="none" w:sz="0" w:space="0" w:color="auto"/>
        <w:left w:val="none" w:sz="0" w:space="0" w:color="auto"/>
        <w:bottom w:val="none" w:sz="0" w:space="0" w:color="auto"/>
        <w:right w:val="none" w:sz="0" w:space="0" w:color="auto"/>
      </w:divBdr>
    </w:div>
    <w:div w:id="1966041912">
      <w:bodyDiv w:val="1"/>
      <w:marLeft w:val="0"/>
      <w:marRight w:val="0"/>
      <w:marTop w:val="0"/>
      <w:marBottom w:val="0"/>
      <w:divBdr>
        <w:top w:val="none" w:sz="0" w:space="0" w:color="auto"/>
        <w:left w:val="none" w:sz="0" w:space="0" w:color="auto"/>
        <w:bottom w:val="none" w:sz="0" w:space="0" w:color="auto"/>
        <w:right w:val="none" w:sz="0" w:space="0" w:color="auto"/>
      </w:divBdr>
    </w:div>
    <w:div w:id="1970092658">
      <w:bodyDiv w:val="1"/>
      <w:marLeft w:val="0"/>
      <w:marRight w:val="0"/>
      <w:marTop w:val="0"/>
      <w:marBottom w:val="0"/>
      <w:divBdr>
        <w:top w:val="none" w:sz="0" w:space="0" w:color="auto"/>
        <w:left w:val="none" w:sz="0" w:space="0" w:color="auto"/>
        <w:bottom w:val="none" w:sz="0" w:space="0" w:color="auto"/>
        <w:right w:val="none" w:sz="0" w:space="0" w:color="auto"/>
      </w:divBdr>
    </w:div>
    <w:div w:id="1972203807">
      <w:bodyDiv w:val="1"/>
      <w:marLeft w:val="0"/>
      <w:marRight w:val="0"/>
      <w:marTop w:val="0"/>
      <w:marBottom w:val="0"/>
      <w:divBdr>
        <w:top w:val="none" w:sz="0" w:space="0" w:color="auto"/>
        <w:left w:val="none" w:sz="0" w:space="0" w:color="auto"/>
        <w:bottom w:val="none" w:sz="0" w:space="0" w:color="auto"/>
        <w:right w:val="none" w:sz="0" w:space="0" w:color="auto"/>
      </w:divBdr>
    </w:div>
    <w:div w:id="1994329572">
      <w:bodyDiv w:val="1"/>
      <w:marLeft w:val="0"/>
      <w:marRight w:val="0"/>
      <w:marTop w:val="0"/>
      <w:marBottom w:val="0"/>
      <w:divBdr>
        <w:top w:val="none" w:sz="0" w:space="0" w:color="auto"/>
        <w:left w:val="none" w:sz="0" w:space="0" w:color="auto"/>
        <w:bottom w:val="none" w:sz="0" w:space="0" w:color="auto"/>
        <w:right w:val="none" w:sz="0" w:space="0" w:color="auto"/>
      </w:divBdr>
    </w:div>
    <w:div w:id="1995522030">
      <w:bodyDiv w:val="1"/>
      <w:marLeft w:val="0"/>
      <w:marRight w:val="0"/>
      <w:marTop w:val="0"/>
      <w:marBottom w:val="0"/>
      <w:divBdr>
        <w:top w:val="none" w:sz="0" w:space="0" w:color="auto"/>
        <w:left w:val="none" w:sz="0" w:space="0" w:color="auto"/>
        <w:bottom w:val="none" w:sz="0" w:space="0" w:color="auto"/>
        <w:right w:val="none" w:sz="0" w:space="0" w:color="auto"/>
      </w:divBdr>
    </w:div>
    <w:div w:id="2004433531">
      <w:bodyDiv w:val="1"/>
      <w:marLeft w:val="0"/>
      <w:marRight w:val="0"/>
      <w:marTop w:val="0"/>
      <w:marBottom w:val="0"/>
      <w:divBdr>
        <w:top w:val="none" w:sz="0" w:space="0" w:color="auto"/>
        <w:left w:val="none" w:sz="0" w:space="0" w:color="auto"/>
        <w:bottom w:val="none" w:sz="0" w:space="0" w:color="auto"/>
        <w:right w:val="none" w:sz="0" w:space="0" w:color="auto"/>
      </w:divBdr>
    </w:div>
    <w:div w:id="2009013480">
      <w:bodyDiv w:val="1"/>
      <w:marLeft w:val="0"/>
      <w:marRight w:val="0"/>
      <w:marTop w:val="0"/>
      <w:marBottom w:val="0"/>
      <w:divBdr>
        <w:top w:val="none" w:sz="0" w:space="0" w:color="auto"/>
        <w:left w:val="none" w:sz="0" w:space="0" w:color="auto"/>
        <w:bottom w:val="none" w:sz="0" w:space="0" w:color="auto"/>
        <w:right w:val="none" w:sz="0" w:space="0" w:color="auto"/>
      </w:divBdr>
    </w:div>
    <w:div w:id="2028404957">
      <w:bodyDiv w:val="1"/>
      <w:marLeft w:val="0"/>
      <w:marRight w:val="0"/>
      <w:marTop w:val="0"/>
      <w:marBottom w:val="0"/>
      <w:divBdr>
        <w:top w:val="none" w:sz="0" w:space="0" w:color="auto"/>
        <w:left w:val="none" w:sz="0" w:space="0" w:color="auto"/>
        <w:bottom w:val="none" w:sz="0" w:space="0" w:color="auto"/>
        <w:right w:val="none" w:sz="0" w:space="0" w:color="auto"/>
      </w:divBdr>
    </w:div>
    <w:div w:id="2029523054">
      <w:bodyDiv w:val="1"/>
      <w:marLeft w:val="0"/>
      <w:marRight w:val="0"/>
      <w:marTop w:val="0"/>
      <w:marBottom w:val="0"/>
      <w:divBdr>
        <w:top w:val="none" w:sz="0" w:space="0" w:color="auto"/>
        <w:left w:val="none" w:sz="0" w:space="0" w:color="auto"/>
        <w:bottom w:val="none" w:sz="0" w:space="0" w:color="auto"/>
        <w:right w:val="none" w:sz="0" w:space="0" w:color="auto"/>
      </w:divBdr>
    </w:div>
    <w:div w:id="2036616800">
      <w:bodyDiv w:val="1"/>
      <w:marLeft w:val="0"/>
      <w:marRight w:val="0"/>
      <w:marTop w:val="0"/>
      <w:marBottom w:val="0"/>
      <w:divBdr>
        <w:top w:val="none" w:sz="0" w:space="0" w:color="auto"/>
        <w:left w:val="none" w:sz="0" w:space="0" w:color="auto"/>
        <w:bottom w:val="none" w:sz="0" w:space="0" w:color="auto"/>
        <w:right w:val="none" w:sz="0" w:space="0" w:color="auto"/>
      </w:divBdr>
    </w:div>
    <w:div w:id="2077164518">
      <w:bodyDiv w:val="1"/>
      <w:marLeft w:val="0"/>
      <w:marRight w:val="0"/>
      <w:marTop w:val="0"/>
      <w:marBottom w:val="0"/>
      <w:divBdr>
        <w:top w:val="none" w:sz="0" w:space="0" w:color="auto"/>
        <w:left w:val="none" w:sz="0" w:space="0" w:color="auto"/>
        <w:bottom w:val="none" w:sz="0" w:space="0" w:color="auto"/>
        <w:right w:val="none" w:sz="0" w:space="0" w:color="auto"/>
      </w:divBdr>
    </w:div>
    <w:div w:id="2078046790">
      <w:bodyDiv w:val="1"/>
      <w:marLeft w:val="0"/>
      <w:marRight w:val="0"/>
      <w:marTop w:val="0"/>
      <w:marBottom w:val="0"/>
      <w:divBdr>
        <w:top w:val="none" w:sz="0" w:space="0" w:color="auto"/>
        <w:left w:val="none" w:sz="0" w:space="0" w:color="auto"/>
        <w:bottom w:val="none" w:sz="0" w:space="0" w:color="auto"/>
        <w:right w:val="none" w:sz="0" w:space="0" w:color="auto"/>
      </w:divBdr>
    </w:div>
    <w:div w:id="2081711371">
      <w:bodyDiv w:val="1"/>
      <w:marLeft w:val="0"/>
      <w:marRight w:val="0"/>
      <w:marTop w:val="0"/>
      <w:marBottom w:val="0"/>
      <w:divBdr>
        <w:top w:val="none" w:sz="0" w:space="0" w:color="auto"/>
        <w:left w:val="none" w:sz="0" w:space="0" w:color="auto"/>
        <w:bottom w:val="none" w:sz="0" w:space="0" w:color="auto"/>
        <w:right w:val="none" w:sz="0" w:space="0" w:color="auto"/>
      </w:divBdr>
    </w:div>
    <w:div w:id="2103868008">
      <w:bodyDiv w:val="1"/>
      <w:marLeft w:val="0"/>
      <w:marRight w:val="0"/>
      <w:marTop w:val="0"/>
      <w:marBottom w:val="0"/>
      <w:divBdr>
        <w:top w:val="none" w:sz="0" w:space="0" w:color="auto"/>
        <w:left w:val="none" w:sz="0" w:space="0" w:color="auto"/>
        <w:bottom w:val="none" w:sz="0" w:space="0" w:color="auto"/>
        <w:right w:val="none" w:sz="0" w:space="0" w:color="auto"/>
      </w:divBdr>
    </w:div>
    <w:div w:id="2104258562">
      <w:bodyDiv w:val="1"/>
      <w:marLeft w:val="0"/>
      <w:marRight w:val="0"/>
      <w:marTop w:val="0"/>
      <w:marBottom w:val="0"/>
      <w:divBdr>
        <w:top w:val="none" w:sz="0" w:space="0" w:color="auto"/>
        <w:left w:val="none" w:sz="0" w:space="0" w:color="auto"/>
        <w:bottom w:val="none" w:sz="0" w:space="0" w:color="auto"/>
        <w:right w:val="none" w:sz="0" w:space="0" w:color="auto"/>
      </w:divBdr>
    </w:div>
    <w:div w:id="2137025424">
      <w:bodyDiv w:val="1"/>
      <w:marLeft w:val="0"/>
      <w:marRight w:val="0"/>
      <w:marTop w:val="0"/>
      <w:marBottom w:val="0"/>
      <w:divBdr>
        <w:top w:val="none" w:sz="0" w:space="0" w:color="auto"/>
        <w:left w:val="none" w:sz="0" w:space="0" w:color="auto"/>
        <w:bottom w:val="none" w:sz="0" w:space="0" w:color="auto"/>
        <w:right w:val="none" w:sz="0" w:space="0" w:color="auto"/>
      </w:divBdr>
    </w:div>
    <w:div w:id="21424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t.org.mx/industria/consultas-publicas/consulta-publica-sobre-el-anteproyecto-de-acuerdo-de-modificacion-del-cuadro-nacional-de-atribucion"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tu.inVrec/R-REC-M.2057-1-201801-l/en" TargetMode="External"/><Relationship Id="rId2" Type="http://schemas.openxmlformats.org/officeDocument/2006/relationships/customXml" Target="../customXml/item2.xml"/><Relationship Id="rId16" Type="http://schemas.openxmlformats.org/officeDocument/2006/relationships/hyperlink" Target="https://www.dof.gob.mx/nota_detalle.php?codigo=5609418&amp;fecha=04/01/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cnaf@ift.org.m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ft.org.mx/industria/consultas-publicas/buscador" TargetMode="External"/><Relationship Id="rId2" Type="http://schemas.openxmlformats.org/officeDocument/2006/relationships/hyperlink" Target="https://www.ift.org.mx/industria/consultas-publicas/consulta-publica-sobre-el-anteproyecto-de-acuerdo-de-modificacion-del-cuadro-nacional-de-atribucion" TargetMode="External"/><Relationship Id="rId1" Type="http://schemas.openxmlformats.org/officeDocument/2006/relationships/hyperlink" Target="https://www.ift.org.mx/industria/consultas-publicas/consulta-publica-sobre-el-anteproyecto-de-acuerdo-de-modificacion-del-cuadro-nacional-de-atribu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E545-AF03-47AF-BC73-4DBD60729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8FFB7-3BD7-4D44-8940-7327DE713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9F15F-CDF2-4ADF-95DA-D6CA903D219C}">
  <ds:schemaRefs>
    <ds:schemaRef ds:uri="http://schemas.microsoft.com/sharepoint/v3/contenttype/forms"/>
  </ds:schemaRefs>
</ds:datastoreItem>
</file>

<file path=customXml/itemProps4.xml><?xml version="1.0" encoding="utf-8"?>
<ds:datastoreItem xmlns:ds="http://schemas.openxmlformats.org/officeDocument/2006/customXml" ds:itemID="{91397D71-6198-4025-9654-BFE7F981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14675</Words>
  <Characters>80714</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Esthephanie Marisela Alvarez Martínez</dc:creator>
  <cp:keywords/>
  <dc:description/>
  <cp:lastModifiedBy>Josue Teoyotl Calderón</cp:lastModifiedBy>
  <cp:revision>3</cp:revision>
  <cp:lastPrinted>2024-08-21T16:50:00Z</cp:lastPrinted>
  <dcterms:created xsi:type="dcterms:W3CDTF">2024-08-21T16:50:00Z</dcterms:created>
  <dcterms:modified xsi:type="dcterms:W3CDTF">2024-08-21T16:53:00Z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