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3BD82" w14:textId="00DD535F" w:rsidR="00350F69" w:rsidRPr="003C5A43" w:rsidRDefault="00E623F1" w:rsidP="00421615">
      <w:pPr>
        <w:tabs>
          <w:tab w:val="left" w:pos="4536"/>
        </w:tabs>
        <w:spacing w:after="0"/>
        <w:jc w:val="both"/>
        <w:rPr>
          <w:rFonts w:ascii="Arial" w:eastAsia="Times New Roman" w:hAnsi="Arial" w:cs="Arial"/>
          <w:b/>
          <w:sz w:val="18"/>
          <w:szCs w:val="18"/>
          <w:lang w:eastAsia="es-MX"/>
        </w:rPr>
      </w:pPr>
      <w:bookmarkStart w:id="0" w:name="_Hlk85801610"/>
      <w:r w:rsidRPr="003C5A43">
        <w:rPr>
          <w:rFonts w:ascii="Arial" w:eastAsia="Times New Roman" w:hAnsi="Arial" w:cs="Arial"/>
          <w:b/>
          <w:sz w:val="18"/>
          <w:szCs w:val="18"/>
          <w:lang w:eastAsia="es-MX"/>
        </w:rPr>
        <w:t xml:space="preserve">Acuerdo mediante el cual el </w:t>
      </w:r>
      <w:r w:rsidR="009E44EA" w:rsidRPr="003C5A43">
        <w:rPr>
          <w:rFonts w:ascii="Arial" w:eastAsia="Times New Roman" w:hAnsi="Arial" w:cs="Arial"/>
          <w:b/>
          <w:sz w:val="18"/>
          <w:szCs w:val="18"/>
          <w:lang w:eastAsia="es-MX"/>
        </w:rPr>
        <w:t>P</w:t>
      </w:r>
      <w:r w:rsidRPr="003C5A43">
        <w:rPr>
          <w:rFonts w:ascii="Arial" w:eastAsia="Times New Roman" w:hAnsi="Arial" w:cs="Arial"/>
          <w:b/>
          <w:sz w:val="18"/>
          <w:szCs w:val="18"/>
          <w:lang w:eastAsia="es-MX"/>
        </w:rPr>
        <w:t xml:space="preserve">leno del </w:t>
      </w:r>
      <w:r w:rsidR="009E44EA" w:rsidRPr="003C5A43">
        <w:rPr>
          <w:rFonts w:ascii="Arial" w:eastAsia="Times New Roman" w:hAnsi="Arial" w:cs="Arial"/>
          <w:b/>
          <w:sz w:val="18"/>
          <w:szCs w:val="18"/>
          <w:lang w:eastAsia="es-MX"/>
        </w:rPr>
        <w:t>I</w:t>
      </w:r>
      <w:r w:rsidRPr="003C5A43">
        <w:rPr>
          <w:rFonts w:ascii="Arial" w:eastAsia="Times New Roman" w:hAnsi="Arial" w:cs="Arial"/>
          <w:b/>
          <w:sz w:val="18"/>
          <w:szCs w:val="18"/>
          <w:lang w:eastAsia="es-MX"/>
        </w:rPr>
        <w:t xml:space="preserve">nstituto </w:t>
      </w:r>
      <w:r w:rsidR="009E44EA" w:rsidRPr="003C5A43">
        <w:rPr>
          <w:rFonts w:ascii="Arial" w:eastAsia="Times New Roman" w:hAnsi="Arial" w:cs="Arial"/>
          <w:b/>
          <w:sz w:val="18"/>
          <w:szCs w:val="18"/>
          <w:lang w:eastAsia="es-MX"/>
        </w:rPr>
        <w:t>F</w:t>
      </w:r>
      <w:r w:rsidRPr="003C5A43">
        <w:rPr>
          <w:rFonts w:ascii="Arial" w:eastAsia="Times New Roman" w:hAnsi="Arial" w:cs="Arial"/>
          <w:b/>
          <w:sz w:val="18"/>
          <w:szCs w:val="18"/>
          <w:lang w:eastAsia="es-MX"/>
        </w:rPr>
        <w:t xml:space="preserve">ederal de </w:t>
      </w:r>
      <w:r w:rsidR="009E44EA" w:rsidRPr="003C5A43">
        <w:rPr>
          <w:rFonts w:ascii="Arial" w:eastAsia="Times New Roman" w:hAnsi="Arial" w:cs="Arial"/>
          <w:b/>
          <w:sz w:val="18"/>
          <w:szCs w:val="18"/>
          <w:lang w:eastAsia="es-MX"/>
        </w:rPr>
        <w:t>T</w:t>
      </w:r>
      <w:r w:rsidRPr="003C5A43">
        <w:rPr>
          <w:rFonts w:ascii="Arial" w:eastAsia="Times New Roman" w:hAnsi="Arial" w:cs="Arial"/>
          <w:b/>
          <w:sz w:val="18"/>
          <w:szCs w:val="18"/>
          <w:lang w:eastAsia="es-MX"/>
        </w:rPr>
        <w:t xml:space="preserve">elecomunicaciones establece </w:t>
      </w:r>
      <w:bookmarkStart w:id="1" w:name="_GoBack"/>
      <w:bookmarkEnd w:id="1"/>
      <w:r w:rsidRPr="003C5A43">
        <w:rPr>
          <w:rFonts w:ascii="Arial" w:eastAsia="Times New Roman" w:hAnsi="Arial" w:cs="Arial"/>
          <w:b/>
          <w:sz w:val="18"/>
          <w:szCs w:val="18"/>
          <w:lang w:eastAsia="es-MX"/>
        </w:rPr>
        <w:t xml:space="preserve">las </w:t>
      </w:r>
      <w:r w:rsidR="009E44EA" w:rsidRPr="003C5A43">
        <w:rPr>
          <w:rFonts w:ascii="Arial" w:eastAsia="Times New Roman" w:hAnsi="Arial" w:cs="Arial"/>
          <w:b/>
          <w:sz w:val="18"/>
          <w:szCs w:val="18"/>
          <w:lang w:eastAsia="es-MX"/>
        </w:rPr>
        <w:t>C</w:t>
      </w:r>
      <w:r w:rsidRPr="003C5A43">
        <w:rPr>
          <w:rFonts w:ascii="Arial" w:eastAsia="Times New Roman" w:hAnsi="Arial" w:cs="Arial"/>
          <w:b/>
          <w:sz w:val="18"/>
          <w:szCs w:val="18"/>
          <w:lang w:eastAsia="es-MX"/>
        </w:rPr>
        <w:t xml:space="preserve">ondiciones </w:t>
      </w:r>
      <w:r w:rsidR="009E44EA" w:rsidRPr="003C5A43">
        <w:rPr>
          <w:rFonts w:ascii="Arial" w:eastAsia="Times New Roman" w:hAnsi="Arial" w:cs="Arial"/>
          <w:b/>
          <w:sz w:val="18"/>
          <w:szCs w:val="18"/>
          <w:lang w:eastAsia="es-MX"/>
        </w:rPr>
        <w:t>T</w:t>
      </w:r>
      <w:r w:rsidRPr="003C5A43">
        <w:rPr>
          <w:rFonts w:ascii="Arial" w:eastAsia="Times New Roman" w:hAnsi="Arial" w:cs="Arial"/>
          <w:b/>
          <w:sz w:val="18"/>
          <w:szCs w:val="18"/>
          <w:lang w:eastAsia="es-MX"/>
        </w:rPr>
        <w:t xml:space="preserve">écnicas </w:t>
      </w:r>
      <w:r w:rsidR="009E44EA" w:rsidRPr="003C5A43">
        <w:rPr>
          <w:rFonts w:ascii="Arial" w:eastAsia="Times New Roman" w:hAnsi="Arial" w:cs="Arial"/>
          <w:b/>
          <w:sz w:val="18"/>
          <w:szCs w:val="18"/>
          <w:lang w:eastAsia="es-MX"/>
        </w:rPr>
        <w:t>M</w:t>
      </w:r>
      <w:r w:rsidRPr="003C5A43">
        <w:rPr>
          <w:rFonts w:ascii="Arial" w:eastAsia="Times New Roman" w:hAnsi="Arial" w:cs="Arial"/>
          <w:b/>
          <w:sz w:val="18"/>
          <w:szCs w:val="18"/>
          <w:lang w:eastAsia="es-MX"/>
        </w:rPr>
        <w:t xml:space="preserve">ínimas para la interconexión entre concesionarios que operen redes públicas de telecomunicaciones y determina las tarifas de interconexión resultado de la metodología para el cálculo de costos de interconexión que estarán vigentes del 1 de enero al 31 de diciembre de </w:t>
      </w:r>
      <w:r w:rsidR="00350F69" w:rsidRPr="003C5A43">
        <w:rPr>
          <w:rFonts w:ascii="Arial" w:eastAsia="Times New Roman" w:hAnsi="Arial" w:cs="Arial"/>
          <w:b/>
          <w:sz w:val="18"/>
          <w:szCs w:val="18"/>
          <w:lang w:eastAsia="es-MX"/>
        </w:rPr>
        <w:t>202</w:t>
      </w:r>
      <w:r w:rsidR="00416460">
        <w:rPr>
          <w:rFonts w:ascii="Arial" w:eastAsia="Times New Roman" w:hAnsi="Arial" w:cs="Arial"/>
          <w:b/>
          <w:sz w:val="18"/>
          <w:szCs w:val="18"/>
          <w:lang w:eastAsia="es-MX"/>
        </w:rPr>
        <w:t>5</w:t>
      </w:r>
      <w:r w:rsidR="00350F69" w:rsidRPr="003C5A43">
        <w:rPr>
          <w:rFonts w:ascii="Arial" w:eastAsia="Times New Roman" w:hAnsi="Arial" w:cs="Arial"/>
          <w:b/>
          <w:sz w:val="18"/>
          <w:szCs w:val="18"/>
          <w:lang w:eastAsia="es-MX"/>
        </w:rPr>
        <w:t>.</w:t>
      </w:r>
    </w:p>
    <w:bookmarkEnd w:id="0"/>
    <w:p w14:paraId="1E7FF31B" w14:textId="77777777" w:rsidR="001B163B" w:rsidRPr="007740FC" w:rsidRDefault="001B163B" w:rsidP="00210CFA">
      <w:pPr>
        <w:spacing w:after="0"/>
        <w:rPr>
          <w:rFonts w:ascii="Arial" w:hAnsi="Arial" w:cs="Arial"/>
          <w:b/>
          <w:bCs/>
          <w:sz w:val="18"/>
          <w:szCs w:val="18"/>
          <w:lang w:eastAsia="es-MX"/>
        </w:rPr>
      </w:pPr>
    </w:p>
    <w:p w14:paraId="24BF9509" w14:textId="76F40A21" w:rsidR="001B163B" w:rsidRPr="001B525F" w:rsidRDefault="001B163B" w:rsidP="00E521F5">
      <w:pPr>
        <w:spacing w:after="0"/>
        <w:jc w:val="center"/>
        <w:rPr>
          <w:rFonts w:ascii="Arial" w:hAnsi="Arial" w:cs="Arial"/>
          <w:b/>
          <w:sz w:val="18"/>
          <w:szCs w:val="18"/>
        </w:rPr>
      </w:pPr>
      <w:r w:rsidRPr="007740FC">
        <w:rPr>
          <w:rFonts w:ascii="Arial" w:hAnsi="Arial" w:cs="Arial"/>
          <w:b/>
          <w:bCs/>
          <w:sz w:val="18"/>
          <w:szCs w:val="18"/>
          <w:lang w:eastAsia="es-MX"/>
        </w:rPr>
        <w:t>Antecedentes</w:t>
      </w:r>
    </w:p>
    <w:p w14:paraId="64C53E3A" w14:textId="77777777" w:rsidR="001B163B" w:rsidRPr="001B525F" w:rsidRDefault="001B163B" w:rsidP="00210CFA">
      <w:pPr>
        <w:spacing w:after="0"/>
        <w:rPr>
          <w:rFonts w:ascii="Arial" w:hAnsi="Arial" w:cs="Arial"/>
          <w:b/>
          <w:sz w:val="18"/>
          <w:szCs w:val="18"/>
        </w:rPr>
      </w:pPr>
    </w:p>
    <w:p w14:paraId="68658A32" w14:textId="32BE3D33" w:rsidR="00350F69" w:rsidRPr="001B525F" w:rsidRDefault="00350F69" w:rsidP="00CC0143">
      <w:pPr>
        <w:spacing w:after="0"/>
        <w:contextualSpacing/>
        <w:jc w:val="both"/>
        <w:rPr>
          <w:rFonts w:ascii="Arial" w:hAnsi="Arial" w:cs="Arial"/>
          <w:sz w:val="18"/>
          <w:szCs w:val="18"/>
        </w:rPr>
      </w:pPr>
      <w:r w:rsidRPr="001B525F">
        <w:rPr>
          <w:rFonts w:ascii="Arial" w:hAnsi="Arial" w:cs="Arial"/>
          <w:b/>
          <w:sz w:val="18"/>
          <w:szCs w:val="18"/>
        </w:rPr>
        <w:t xml:space="preserve">Primero.- </w:t>
      </w:r>
      <w:r w:rsidR="00DD7168">
        <w:rPr>
          <w:rFonts w:ascii="Arial" w:hAnsi="Arial" w:cs="Arial"/>
          <w:b/>
          <w:sz w:val="18"/>
          <w:szCs w:val="18"/>
        </w:rPr>
        <w:t>Decreto de Reforma Constitucional</w:t>
      </w:r>
      <w:r w:rsidRPr="001B525F">
        <w:rPr>
          <w:rFonts w:ascii="Arial" w:hAnsi="Arial" w:cs="Arial"/>
          <w:b/>
          <w:sz w:val="18"/>
          <w:szCs w:val="18"/>
        </w:rPr>
        <w:t>.</w:t>
      </w:r>
      <w:r w:rsidRPr="001B525F">
        <w:rPr>
          <w:rFonts w:ascii="Arial" w:hAnsi="Arial" w:cs="Arial"/>
          <w:sz w:val="18"/>
          <w:szCs w:val="18"/>
        </w:rPr>
        <w:t xml:space="preserve"> El 11 de junio de 2013, se publicó en el Diario Oficial de la Federación (en lo sucesivo, el “DOF”), el “</w:t>
      </w:r>
      <w:r w:rsidRPr="001B525F">
        <w:rPr>
          <w:rFonts w:ascii="Arial" w:hAnsi="Arial" w:cs="Arial"/>
          <w:i/>
          <w:sz w:val="18"/>
          <w:szCs w:val="18"/>
        </w:rPr>
        <w:t>Decreto por el que se reforman y adicionan diversas disposiciones de los artículos 6°, 7°, 27, 28, 73, 78, 94 y 105 de la Constitución Política de los Estados Unidos Mexicanos, en materia de telecomunicaciones</w:t>
      </w:r>
      <w:r w:rsidRPr="001B525F">
        <w:rPr>
          <w:rFonts w:ascii="Arial" w:hAnsi="Arial" w:cs="Arial"/>
          <w:sz w:val="18"/>
          <w:szCs w:val="18"/>
        </w:rPr>
        <w:t>”</w:t>
      </w:r>
      <w:r w:rsidR="0054506E" w:rsidRPr="001B525F">
        <w:rPr>
          <w:rFonts w:ascii="Arial" w:hAnsi="Arial" w:cs="Arial"/>
          <w:sz w:val="18"/>
          <w:szCs w:val="18"/>
        </w:rPr>
        <w:t xml:space="preserve"> </w:t>
      </w:r>
      <w:r w:rsidRPr="001B525F">
        <w:rPr>
          <w:rFonts w:ascii="Arial" w:hAnsi="Arial" w:cs="Arial"/>
          <w:sz w:val="18"/>
          <w:szCs w:val="18"/>
        </w:rPr>
        <w:t>mediante el cual se creó el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adelante,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w:t>
      </w:r>
    </w:p>
    <w:p w14:paraId="1A73974D" w14:textId="77777777" w:rsidR="00350F69" w:rsidRPr="001B525F" w:rsidRDefault="00350F69" w:rsidP="00CC0143">
      <w:pPr>
        <w:spacing w:after="0"/>
        <w:contextualSpacing/>
        <w:jc w:val="both"/>
        <w:rPr>
          <w:rFonts w:ascii="Arial" w:hAnsi="Arial" w:cs="Arial"/>
          <w:sz w:val="18"/>
          <w:szCs w:val="18"/>
        </w:rPr>
      </w:pPr>
      <w:r w:rsidRPr="001B525F">
        <w:rPr>
          <w:rFonts w:ascii="Arial" w:hAnsi="Arial" w:cs="Arial"/>
          <w:sz w:val="18"/>
          <w:szCs w:val="18"/>
        </w:rPr>
        <w:tab/>
      </w:r>
    </w:p>
    <w:p w14:paraId="5F803778" w14:textId="2DBD4F59" w:rsidR="00350F69" w:rsidRPr="001B525F" w:rsidRDefault="00350F69" w:rsidP="00CC0143">
      <w:pPr>
        <w:spacing w:after="0"/>
        <w:contextualSpacing/>
        <w:jc w:val="both"/>
        <w:rPr>
          <w:rFonts w:ascii="Arial" w:hAnsi="Arial" w:cs="Arial"/>
          <w:sz w:val="18"/>
          <w:szCs w:val="18"/>
        </w:rPr>
      </w:pPr>
      <w:r w:rsidRPr="001B525F">
        <w:rPr>
          <w:rFonts w:ascii="Arial" w:hAnsi="Arial" w:cs="Arial"/>
          <w:b/>
          <w:sz w:val="18"/>
          <w:szCs w:val="18"/>
        </w:rPr>
        <w:t xml:space="preserve">Segundo.- Determinación del Agente Económico Preponderante. </w:t>
      </w:r>
      <w:r w:rsidRPr="001B525F">
        <w:rPr>
          <w:rFonts w:ascii="Arial" w:hAnsi="Arial" w:cs="Arial"/>
          <w:sz w:val="18"/>
          <w:szCs w:val="18"/>
        </w:rPr>
        <w:t>El 6 de marzo de 2014, el Pleno del Instituto aprobó la “</w:t>
      </w:r>
      <w:r w:rsidRPr="001B525F">
        <w:rPr>
          <w:rFonts w:ascii="Arial" w:hAnsi="Arial" w:cs="Arial"/>
          <w:i/>
          <w:sz w:val="18"/>
          <w:szCs w:val="18"/>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1B525F">
        <w:rPr>
          <w:rFonts w:ascii="Arial" w:hAnsi="Arial" w:cs="Arial"/>
          <w:sz w:val="18"/>
          <w:szCs w:val="18"/>
        </w:rPr>
        <w:t>”,</w:t>
      </w:r>
      <w:r w:rsidR="00DD7168">
        <w:rPr>
          <w:rFonts w:ascii="Arial" w:hAnsi="Arial" w:cs="Arial"/>
          <w:sz w:val="18"/>
          <w:szCs w:val="18"/>
        </w:rPr>
        <w:t xml:space="preserve"> </w:t>
      </w:r>
      <w:r w:rsidRPr="001B525F">
        <w:rPr>
          <w:rFonts w:ascii="Arial" w:hAnsi="Arial" w:cs="Arial"/>
          <w:sz w:val="18"/>
          <w:szCs w:val="18"/>
        </w:rPr>
        <w:t>mediante Acuerdo P/IFT/EXT/060314/76 (en lo sucesivo, la “Resolución del AEP”).</w:t>
      </w:r>
    </w:p>
    <w:p w14:paraId="54DCCFE8" w14:textId="77777777" w:rsidR="00350F69" w:rsidRPr="001B525F" w:rsidRDefault="00350F69" w:rsidP="00CC0143">
      <w:pPr>
        <w:spacing w:after="0"/>
        <w:contextualSpacing/>
        <w:jc w:val="both"/>
        <w:rPr>
          <w:rFonts w:ascii="Arial" w:hAnsi="Arial" w:cs="Arial"/>
          <w:sz w:val="18"/>
          <w:szCs w:val="18"/>
        </w:rPr>
      </w:pPr>
    </w:p>
    <w:p w14:paraId="3620E4E7" w14:textId="72E061E1" w:rsidR="00350F69" w:rsidRPr="007740FC" w:rsidRDefault="00DD7168" w:rsidP="00CC0143">
      <w:pPr>
        <w:spacing w:after="0"/>
        <w:contextualSpacing/>
        <w:jc w:val="both"/>
        <w:rPr>
          <w:rFonts w:ascii="Arial" w:hAnsi="Arial" w:cs="Arial"/>
          <w:bCs/>
          <w:i/>
          <w:sz w:val="18"/>
          <w:szCs w:val="18"/>
        </w:rPr>
      </w:pPr>
      <w:r>
        <w:rPr>
          <w:rFonts w:ascii="Arial" w:hAnsi="Arial" w:cs="Arial"/>
          <w:bCs/>
          <w:sz w:val="18"/>
          <w:szCs w:val="18"/>
        </w:rPr>
        <w:t xml:space="preserve">En la Resolución del AEP, </w:t>
      </w:r>
      <w:r w:rsidR="00350F69" w:rsidRPr="007740FC">
        <w:rPr>
          <w:rFonts w:ascii="Arial" w:hAnsi="Arial" w:cs="Arial"/>
          <w:bCs/>
          <w:sz w:val="18"/>
          <w:szCs w:val="18"/>
        </w:rPr>
        <w:t xml:space="preserve">el Pleno del Instituto </w:t>
      </w:r>
      <w:r>
        <w:rPr>
          <w:rFonts w:ascii="Arial" w:hAnsi="Arial" w:cs="Arial"/>
          <w:bCs/>
          <w:sz w:val="18"/>
          <w:szCs w:val="18"/>
        </w:rPr>
        <w:t xml:space="preserve">emitió el Anexo 1 denominado </w:t>
      </w:r>
      <w:r w:rsidR="00350F69" w:rsidRPr="007740FC">
        <w:rPr>
          <w:rFonts w:ascii="Arial" w:hAnsi="Arial" w:cs="Arial"/>
          <w:bCs/>
          <w:i/>
          <w:sz w:val="18"/>
          <w:szCs w:val="18"/>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26FA41CB" w14:textId="77777777" w:rsidR="00350F69" w:rsidRPr="007740FC" w:rsidRDefault="00350F69" w:rsidP="00CC0143">
      <w:pPr>
        <w:spacing w:after="0"/>
        <w:contextualSpacing/>
        <w:jc w:val="both"/>
        <w:rPr>
          <w:rFonts w:ascii="Arial" w:hAnsi="Arial" w:cs="Arial"/>
          <w:bCs/>
          <w:i/>
          <w:sz w:val="18"/>
          <w:szCs w:val="18"/>
        </w:rPr>
      </w:pPr>
    </w:p>
    <w:p w14:paraId="69BAD459" w14:textId="403D6919" w:rsidR="00350F69" w:rsidRPr="001B525F" w:rsidRDefault="00350F69" w:rsidP="00CC0143">
      <w:pPr>
        <w:spacing w:after="0"/>
        <w:contextualSpacing/>
        <w:jc w:val="both"/>
        <w:rPr>
          <w:rFonts w:ascii="Arial" w:hAnsi="Arial" w:cs="Arial"/>
          <w:sz w:val="18"/>
          <w:szCs w:val="18"/>
        </w:rPr>
      </w:pPr>
      <w:r w:rsidRPr="007740FC">
        <w:rPr>
          <w:rFonts w:ascii="Arial" w:hAnsi="Arial" w:cs="Arial"/>
          <w:bCs/>
          <w:sz w:val="18"/>
          <w:szCs w:val="18"/>
        </w:rPr>
        <w:t xml:space="preserve">Asimismo, como Anexo 2, el Pleno del Instituto </w:t>
      </w:r>
      <w:r w:rsidR="00DD7168">
        <w:rPr>
          <w:rFonts w:ascii="Arial" w:hAnsi="Arial" w:cs="Arial"/>
          <w:bCs/>
          <w:sz w:val="18"/>
          <w:szCs w:val="18"/>
        </w:rPr>
        <w:t>emitió</w:t>
      </w:r>
      <w:r w:rsidR="00DD7168" w:rsidRPr="007740FC">
        <w:rPr>
          <w:rFonts w:ascii="Arial" w:hAnsi="Arial" w:cs="Arial"/>
          <w:bCs/>
          <w:sz w:val="18"/>
          <w:szCs w:val="18"/>
        </w:rPr>
        <w:t xml:space="preserve"> </w:t>
      </w:r>
      <w:r w:rsidRPr="007740FC">
        <w:rPr>
          <w:rFonts w:ascii="Arial" w:hAnsi="Arial" w:cs="Arial"/>
          <w:bCs/>
          <w:sz w:val="18"/>
          <w:szCs w:val="18"/>
        </w:rPr>
        <w:t>las</w:t>
      </w:r>
      <w:r w:rsidRPr="007740FC">
        <w:rPr>
          <w:rFonts w:ascii="Arial" w:hAnsi="Arial" w:cs="Arial"/>
          <w:bCs/>
          <w:i/>
          <w:sz w:val="18"/>
          <w:szCs w:val="18"/>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7740FC">
        <w:rPr>
          <w:rFonts w:ascii="Arial" w:hAnsi="Arial" w:cs="Arial"/>
          <w:bCs/>
          <w:sz w:val="18"/>
          <w:szCs w:val="18"/>
        </w:rPr>
        <w:t>.</w:t>
      </w:r>
    </w:p>
    <w:p w14:paraId="3F713EBC" w14:textId="77777777" w:rsidR="00350F69" w:rsidRPr="001B525F" w:rsidRDefault="00350F69" w:rsidP="00CC0143">
      <w:pPr>
        <w:spacing w:after="0"/>
        <w:contextualSpacing/>
        <w:jc w:val="both"/>
        <w:rPr>
          <w:rFonts w:ascii="Arial" w:hAnsi="Arial" w:cs="Arial"/>
          <w:sz w:val="18"/>
          <w:szCs w:val="18"/>
        </w:rPr>
      </w:pPr>
    </w:p>
    <w:p w14:paraId="76809B6B" w14:textId="02F1D50E" w:rsidR="00350F69" w:rsidRPr="001B525F" w:rsidRDefault="00350F69" w:rsidP="00CC0143">
      <w:pPr>
        <w:spacing w:after="0"/>
        <w:jc w:val="both"/>
        <w:rPr>
          <w:rFonts w:ascii="Arial" w:hAnsi="Arial" w:cs="Arial"/>
          <w:sz w:val="18"/>
          <w:szCs w:val="18"/>
        </w:rPr>
      </w:pPr>
      <w:r w:rsidRPr="001B525F">
        <w:rPr>
          <w:rFonts w:ascii="Arial" w:hAnsi="Arial" w:cs="Arial"/>
          <w:b/>
          <w:sz w:val="18"/>
          <w:szCs w:val="18"/>
        </w:rPr>
        <w:t xml:space="preserve">Tercero.- Ley Federal de Telecomunicaciones y Radiodifusión. </w:t>
      </w:r>
      <w:r w:rsidRPr="001B525F">
        <w:rPr>
          <w:rFonts w:ascii="Arial" w:hAnsi="Arial" w:cs="Arial"/>
          <w:sz w:val="18"/>
          <w:szCs w:val="18"/>
        </w:rPr>
        <w:t xml:space="preserve">El 14 de julio de 2014, se publicó en el DOF el </w:t>
      </w:r>
      <w:r w:rsidRPr="001B525F">
        <w:rPr>
          <w:rFonts w:ascii="Arial" w:hAnsi="Arial" w:cs="Arial"/>
          <w:i/>
          <w:sz w:val="18"/>
          <w:szCs w:val="18"/>
        </w:rPr>
        <w:t xml:space="preserve">“Decreto por el que se expide la Ley Federal de Telecomunicaciones y Radiodifusión, y la Ley del Sistema Público del Estado Mexicano; y se reforman, adicionan y derogan diversas disposiciones en materia de telecomunicaciones y radiodifusión”, </w:t>
      </w:r>
      <w:r w:rsidRPr="001B525F">
        <w:rPr>
          <w:rFonts w:ascii="Arial" w:hAnsi="Arial" w:cs="Arial"/>
          <w:sz w:val="18"/>
          <w:szCs w:val="18"/>
        </w:rPr>
        <w:t>entrando en vigor la Ley Federal de Telecomunicaciones y Radiodifusión (en lo sucesivo, la “LFTR”) el 13 de agosto de 2014</w:t>
      </w:r>
      <w:r w:rsidR="00194AE2" w:rsidRPr="001B525F">
        <w:rPr>
          <w:rFonts w:ascii="Arial" w:hAnsi="Arial" w:cs="Arial"/>
          <w:sz w:val="18"/>
          <w:szCs w:val="18"/>
        </w:rPr>
        <w:t>.</w:t>
      </w:r>
    </w:p>
    <w:p w14:paraId="3ED75201" w14:textId="77777777" w:rsidR="00350F69" w:rsidRPr="001B525F" w:rsidRDefault="00350F69" w:rsidP="00CC0143">
      <w:pPr>
        <w:spacing w:after="0"/>
        <w:jc w:val="both"/>
        <w:rPr>
          <w:rFonts w:ascii="Arial" w:hAnsi="Arial" w:cs="Arial"/>
          <w:sz w:val="18"/>
          <w:szCs w:val="18"/>
        </w:rPr>
      </w:pPr>
    </w:p>
    <w:p w14:paraId="6571CD33" w14:textId="22C4CB8D" w:rsidR="00350F69" w:rsidRDefault="00350F69" w:rsidP="00CC0143">
      <w:pPr>
        <w:spacing w:after="0"/>
        <w:jc w:val="both"/>
        <w:rPr>
          <w:rFonts w:ascii="Arial" w:hAnsi="Arial" w:cs="Arial"/>
          <w:sz w:val="18"/>
          <w:szCs w:val="18"/>
        </w:rPr>
      </w:pPr>
      <w:r w:rsidRPr="001B525F">
        <w:rPr>
          <w:rFonts w:ascii="Arial" w:hAnsi="Arial" w:cs="Arial"/>
          <w:b/>
          <w:sz w:val="18"/>
          <w:szCs w:val="18"/>
        </w:rPr>
        <w:t>Cuarto.- Aprobación de la metodología para el cálculo de costos de interconexión.</w:t>
      </w:r>
      <w:r w:rsidRPr="001B525F">
        <w:rPr>
          <w:rFonts w:ascii="Arial" w:hAnsi="Arial" w:cs="Arial"/>
          <w:sz w:val="18"/>
          <w:szCs w:val="18"/>
        </w:rPr>
        <w:t xml:space="preserve"> El 18 de diciembre de 2014, el Instituto publicó en el DOF</w:t>
      </w:r>
      <w:r w:rsidR="002D39C5">
        <w:rPr>
          <w:rFonts w:ascii="Arial" w:hAnsi="Arial" w:cs="Arial"/>
          <w:sz w:val="18"/>
          <w:szCs w:val="18"/>
        </w:rPr>
        <w:t>,</w:t>
      </w:r>
      <w:r w:rsidRPr="001B525F">
        <w:rPr>
          <w:rFonts w:ascii="Arial" w:hAnsi="Arial" w:cs="Arial"/>
          <w:sz w:val="18"/>
          <w:szCs w:val="18"/>
        </w:rPr>
        <w:t xml:space="preserve"> el</w:t>
      </w:r>
      <w:r w:rsidRPr="001B525F">
        <w:rPr>
          <w:rFonts w:ascii="Arial" w:hAnsi="Arial" w:cs="Arial"/>
          <w:i/>
          <w:sz w:val="18"/>
          <w:szCs w:val="18"/>
        </w:rPr>
        <w:t xml:space="preserve"> “Acuerdo mediante el cual el Pleno del Instituto Federal de Telecomunicaciones emite la metodología para el cálculo de costos de interconexión de conformidad con la Ley Federal de Telecomunicaciones y Radiodifusión”</w:t>
      </w:r>
      <w:r w:rsidR="00DD7168">
        <w:rPr>
          <w:rFonts w:ascii="Arial" w:hAnsi="Arial" w:cs="Arial"/>
          <w:i/>
          <w:sz w:val="18"/>
          <w:szCs w:val="18"/>
        </w:rPr>
        <w:t xml:space="preserve">, </w:t>
      </w:r>
      <w:r w:rsidR="00DD7168" w:rsidRPr="00967F7D">
        <w:rPr>
          <w:rFonts w:ascii="Arial" w:hAnsi="Arial" w:cs="Arial"/>
          <w:iCs/>
          <w:sz w:val="18"/>
          <w:szCs w:val="18"/>
        </w:rPr>
        <w:t>aprobado</w:t>
      </w:r>
      <w:r w:rsidR="00DD7168">
        <w:rPr>
          <w:rFonts w:ascii="Arial" w:hAnsi="Arial" w:cs="Arial"/>
          <w:i/>
          <w:sz w:val="18"/>
          <w:szCs w:val="18"/>
        </w:rPr>
        <w:t xml:space="preserve"> </w:t>
      </w:r>
      <w:r w:rsidR="00DD7168" w:rsidRPr="001B525F">
        <w:rPr>
          <w:rFonts w:ascii="Arial" w:hAnsi="Arial" w:cs="Arial"/>
          <w:sz w:val="18"/>
          <w:szCs w:val="18"/>
        </w:rPr>
        <w:t>mediante Acuerdo P/IFT/EXT/</w:t>
      </w:r>
      <w:r w:rsidR="00381892">
        <w:rPr>
          <w:rFonts w:ascii="Arial" w:hAnsi="Arial" w:cs="Arial"/>
          <w:sz w:val="18"/>
          <w:szCs w:val="18"/>
        </w:rPr>
        <w:t>161214</w:t>
      </w:r>
      <w:r w:rsidR="00DD7168" w:rsidRPr="001B525F">
        <w:rPr>
          <w:rFonts w:ascii="Arial" w:hAnsi="Arial" w:cs="Arial"/>
          <w:sz w:val="18"/>
          <w:szCs w:val="18"/>
        </w:rPr>
        <w:t>/</w:t>
      </w:r>
      <w:r w:rsidR="00381892">
        <w:rPr>
          <w:rFonts w:ascii="Arial" w:hAnsi="Arial" w:cs="Arial"/>
          <w:sz w:val="18"/>
          <w:szCs w:val="18"/>
        </w:rPr>
        <w:t>277</w:t>
      </w:r>
      <w:r w:rsidR="00DD7168" w:rsidRPr="001B525F">
        <w:rPr>
          <w:rFonts w:ascii="Arial" w:hAnsi="Arial" w:cs="Arial"/>
          <w:sz w:val="18"/>
          <w:szCs w:val="18"/>
        </w:rPr>
        <w:t xml:space="preserve"> </w:t>
      </w:r>
      <w:r w:rsidRPr="001B525F">
        <w:rPr>
          <w:rFonts w:ascii="Arial" w:hAnsi="Arial" w:cs="Arial"/>
          <w:sz w:val="18"/>
          <w:szCs w:val="18"/>
        </w:rPr>
        <w:t xml:space="preserve">(en lo sucesivo, la “Metodología de Costos”). </w:t>
      </w:r>
    </w:p>
    <w:p w14:paraId="3B29F12F" w14:textId="77777777" w:rsidR="00DD7168" w:rsidRPr="001B525F" w:rsidRDefault="00DD7168" w:rsidP="00CC0143">
      <w:pPr>
        <w:spacing w:after="0"/>
        <w:jc w:val="both"/>
        <w:rPr>
          <w:rFonts w:ascii="Arial" w:hAnsi="Arial" w:cs="Arial"/>
          <w:sz w:val="18"/>
          <w:szCs w:val="18"/>
        </w:rPr>
      </w:pPr>
    </w:p>
    <w:p w14:paraId="1A413F55" w14:textId="591F7B73" w:rsidR="00350F69" w:rsidRPr="001B525F" w:rsidRDefault="00350F69" w:rsidP="00CC0143">
      <w:pPr>
        <w:spacing w:after="0"/>
        <w:jc w:val="both"/>
        <w:rPr>
          <w:rFonts w:ascii="Arial" w:hAnsi="Arial" w:cs="Arial"/>
          <w:sz w:val="18"/>
          <w:szCs w:val="18"/>
        </w:rPr>
      </w:pPr>
      <w:r w:rsidRPr="001B525F">
        <w:rPr>
          <w:rFonts w:ascii="Arial" w:hAnsi="Arial" w:cs="Arial"/>
          <w:b/>
          <w:bCs/>
          <w:sz w:val="18"/>
          <w:szCs w:val="18"/>
        </w:rPr>
        <w:lastRenderedPageBreak/>
        <w:t xml:space="preserve">Quinto.- </w:t>
      </w:r>
      <w:r w:rsidR="00307A40" w:rsidRPr="001B525F">
        <w:rPr>
          <w:rFonts w:ascii="Arial" w:hAnsi="Arial" w:cs="Arial"/>
          <w:b/>
          <w:bCs/>
          <w:sz w:val="18"/>
          <w:szCs w:val="18"/>
        </w:rPr>
        <w:t>Primer Resolución</w:t>
      </w:r>
      <w:r w:rsidRPr="001B525F">
        <w:rPr>
          <w:rFonts w:ascii="Arial" w:hAnsi="Arial" w:cs="Arial"/>
          <w:b/>
          <w:bCs/>
          <w:sz w:val="18"/>
          <w:szCs w:val="18"/>
        </w:rPr>
        <w:t xml:space="preserve"> Bienal</w:t>
      </w:r>
      <w:r w:rsidRPr="001B525F">
        <w:rPr>
          <w:rFonts w:ascii="Arial" w:hAnsi="Arial" w:cs="Arial"/>
          <w:bCs/>
          <w:sz w:val="18"/>
          <w:szCs w:val="18"/>
        </w:rPr>
        <w:t xml:space="preserve">. </w:t>
      </w:r>
      <w:r w:rsidRPr="001B525F">
        <w:rPr>
          <w:rFonts w:ascii="Arial" w:hAnsi="Arial" w:cs="Arial"/>
          <w:sz w:val="18"/>
          <w:szCs w:val="18"/>
        </w:rPr>
        <w:t>El 27 de febrero de 2017</w:t>
      </w:r>
      <w:r w:rsidR="00381892">
        <w:rPr>
          <w:rFonts w:ascii="Arial" w:hAnsi="Arial" w:cs="Arial"/>
          <w:sz w:val="18"/>
          <w:szCs w:val="18"/>
        </w:rPr>
        <w:t>,</w:t>
      </w:r>
      <w:r w:rsidRPr="001B525F">
        <w:rPr>
          <w:rFonts w:ascii="Arial" w:hAnsi="Arial" w:cs="Arial"/>
          <w:sz w:val="18"/>
          <w:szCs w:val="18"/>
        </w:rPr>
        <w:t xml:space="preserve"> el Pleno del Instituto aprobó la “</w:t>
      </w:r>
      <w:r w:rsidRPr="001B525F">
        <w:rPr>
          <w:rFonts w:ascii="Arial" w:hAnsi="Arial" w:cs="Arial"/>
          <w:i/>
          <w:sz w:val="18"/>
          <w:szCs w:val="18"/>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P/IFT/EXT/060314/79”</w:t>
      </w:r>
      <w:r w:rsidR="00381892">
        <w:rPr>
          <w:rFonts w:ascii="Arial" w:hAnsi="Arial" w:cs="Arial"/>
          <w:i/>
          <w:sz w:val="18"/>
          <w:szCs w:val="18"/>
        </w:rPr>
        <w:t xml:space="preserve">, </w:t>
      </w:r>
      <w:r w:rsidR="00381892" w:rsidRPr="001B525F">
        <w:rPr>
          <w:rFonts w:ascii="Arial" w:hAnsi="Arial" w:cs="Arial"/>
          <w:sz w:val="18"/>
          <w:szCs w:val="18"/>
        </w:rPr>
        <w:t>mediante Acuerdo P/IFT/EXT/270217/119</w:t>
      </w:r>
      <w:r w:rsidRPr="001B525F">
        <w:rPr>
          <w:rFonts w:ascii="Arial" w:hAnsi="Arial" w:cs="Arial"/>
          <w:sz w:val="18"/>
          <w:szCs w:val="18"/>
        </w:rPr>
        <w:t xml:space="preserve"> (en lo sucesivo, la “</w:t>
      </w:r>
      <w:r w:rsidR="00307A40" w:rsidRPr="001B525F">
        <w:rPr>
          <w:rFonts w:ascii="Arial" w:hAnsi="Arial" w:cs="Arial"/>
          <w:sz w:val="18"/>
          <w:szCs w:val="18"/>
        </w:rPr>
        <w:t>Resolución</w:t>
      </w:r>
      <w:r w:rsidRPr="001B525F">
        <w:rPr>
          <w:rFonts w:ascii="Arial" w:hAnsi="Arial" w:cs="Arial"/>
          <w:sz w:val="18"/>
          <w:szCs w:val="18"/>
        </w:rPr>
        <w:t xml:space="preserve"> Bienal”).</w:t>
      </w:r>
    </w:p>
    <w:p w14:paraId="542756BA" w14:textId="77777777" w:rsidR="00350F69" w:rsidRPr="001B525F" w:rsidRDefault="00350F69" w:rsidP="00CC0143">
      <w:pPr>
        <w:spacing w:after="0"/>
        <w:jc w:val="both"/>
        <w:rPr>
          <w:rFonts w:ascii="Arial" w:hAnsi="Arial" w:cs="Arial"/>
          <w:sz w:val="18"/>
          <w:szCs w:val="18"/>
        </w:rPr>
      </w:pPr>
    </w:p>
    <w:p w14:paraId="4B84CB67" w14:textId="4A97F5D4" w:rsidR="00350F69" w:rsidRPr="001B525F" w:rsidRDefault="00381892" w:rsidP="00CC0143">
      <w:pPr>
        <w:spacing w:after="0"/>
        <w:contextualSpacing/>
        <w:jc w:val="both"/>
        <w:rPr>
          <w:rFonts w:ascii="Arial" w:eastAsia="Times New Roman" w:hAnsi="Arial" w:cs="Arial"/>
          <w:sz w:val="18"/>
          <w:szCs w:val="18"/>
        </w:rPr>
      </w:pPr>
      <w:r>
        <w:rPr>
          <w:rFonts w:ascii="Arial" w:hAnsi="Arial" w:cs="Arial"/>
          <w:sz w:val="18"/>
          <w:szCs w:val="18"/>
        </w:rPr>
        <w:t xml:space="preserve">En la Resolución Bienal el </w:t>
      </w:r>
      <w:r w:rsidR="00350F69" w:rsidRPr="001B525F">
        <w:rPr>
          <w:rFonts w:ascii="Arial" w:hAnsi="Arial" w:cs="Arial"/>
          <w:sz w:val="18"/>
          <w:szCs w:val="18"/>
        </w:rPr>
        <w:t>Pleno del Instituto emitió el 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 incisos 3), 10), 11), 12), 18) y 29) y Sexagésima Tercera del Anexo 1 de la Resolución del AEP.</w:t>
      </w:r>
    </w:p>
    <w:p w14:paraId="721ED498" w14:textId="77777777" w:rsidR="00350F69" w:rsidRPr="001B525F" w:rsidRDefault="00350F69" w:rsidP="00CC0143">
      <w:pPr>
        <w:widowControl w:val="0"/>
        <w:spacing w:after="0"/>
        <w:ind w:left="426"/>
        <w:contextualSpacing/>
        <w:jc w:val="both"/>
        <w:rPr>
          <w:rFonts w:ascii="Arial" w:eastAsia="Times New Roman" w:hAnsi="Arial" w:cs="Arial"/>
          <w:sz w:val="18"/>
          <w:szCs w:val="18"/>
          <w:lang w:val="x-none"/>
        </w:rPr>
      </w:pPr>
    </w:p>
    <w:p w14:paraId="23CEB70B" w14:textId="4EFA21BE" w:rsidR="00350F69" w:rsidRPr="001B525F" w:rsidRDefault="00350F69" w:rsidP="00CC0143">
      <w:pPr>
        <w:widowControl w:val="0"/>
        <w:spacing w:after="0"/>
        <w:contextualSpacing/>
        <w:jc w:val="both"/>
        <w:rPr>
          <w:rFonts w:ascii="Arial" w:eastAsia="Times New Roman" w:hAnsi="Arial" w:cs="Arial"/>
          <w:sz w:val="18"/>
          <w:szCs w:val="18"/>
        </w:rPr>
      </w:pPr>
      <w:r w:rsidRPr="001B525F">
        <w:rPr>
          <w:rFonts w:ascii="Arial" w:eastAsia="Times New Roman" w:hAnsi="Arial" w:cs="Arial"/>
          <w:sz w:val="18"/>
          <w:szCs w:val="18"/>
        </w:rPr>
        <w:t xml:space="preserve">Asimismo, en la </w:t>
      </w:r>
      <w:r w:rsidR="00307A40" w:rsidRPr="001B525F">
        <w:rPr>
          <w:rFonts w:ascii="Arial" w:eastAsia="Times New Roman" w:hAnsi="Arial" w:cs="Arial"/>
          <w:sz w:val="18"/>
          <w:szCs w:val="18"/>
        </w:rPr>
        <w:t>Resolución</w:t>
      </w:r>
      <w:r w:rsidRPr="001B525F">
        <w:rPr>
          <w:rFonts w:ascii="Arial" w:eastAsia="Times New Roman" w:hAnsi="Arial" w:cs="Arial"/>
          <w:sz w:val="18"/>
          <w:szCs w:val="18"/>
        </w:rPr>
        <w:t xml:space="preserve"> 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 del AEP.</w:t>
      </w:r>
    </w:p>
    <w:p w14:paraId="4C50E328" w14:textId="77777777" w:rsidR="00350F69" w:rsidRPr="001B525F" w:rsidRDefault="00350F69" w:rsidP="00CC0143">
      <w:pPr>
        <w:widowControl w:val="0"/>
        <w:spacing w:after="0"/>
        <w:ind w:left="426"/>
        <w:contextualSpacing/>
        <w:jc w:val="both"/>
        <w:rPr>
          <w:rFonts w:ascii="Arial" w:eastAsia="Times New Roman" w:hAnsi="Arial" w:cs="Arial"/>
          <w:sz w:val="18"/>
          <w:szCs w:val="18"/>
        </w:rPr>
      </w:pPr>
    </w:p>
    <w:p w14:paraId="4BE851B5" w14:textId="04BFBFC1" w:rsidR="00350F69" w:rsidRPr="001B525F" w:rsidRDefault="00350F69" w:rsidP="00CC0143">
      <w:pPr>
        <w:spacing w:after="0"/>
        <w:contextualSpacing/>
        <w:jc w:val="both"/>
        <w:rPr>
          <w:rFonts w:ascii="Arial" w:hAnsi="Arial" w:cs="Arial"/>
          <w:sz w:val="18"/>
          <w:szCs w:val="18"/>
          <w:lang w:eastAsia="es-MX"/>
        </w:rPr>
      </w:pPr>
      <w:r w:rsidRPr="001B525F">
        <w:rPr>
          <w:rFonts w:ascii="Arial" w:hAnsi="Arial" w:cs="Arial"/>
          <w:b/>
          <w:sz w:val="18"/>
          <w:szCs w:val="18"/>
        </w:rPr>
        <w:t xml:space="preserve">Sexto.- Ejecutoria del amparo en revisión A.R. 1100/2015. </w:t>
      </w:r>
      <w:r w:rsidRPr="001B525F">
        <w:rPr>
          <w:rFonts w:ascii="Arial" w:hAnsi="Arial" w:cs="Arial"/>
          <w:sz w:val="18"/>
          <w:szCs w:val="18"/>
        </w:rPr>
        <w:t>Mediante ejecutoria de fecha 16 de agosto de 2017 correspondiente al amparo en revisión A.R. 1100/2015, la Segunda Sala de la Suprema Corte de Justicia de la Nación, resolvió amparar y proteger a Radiomóvil Dipsa, S.A. de C.V. en contra de los artículos 131, segundo párrafo inciso a), y párrafo tercero; Sexto, Vigésimo y Trigésimo Quinto transitorios, en las porciones referidas en la propia ejecutoria, de la Ley Federal de Telecomunicaciones y Radiodifusión, para los efectos precisados en la sentencia.</w:t>
      </w:r>
    </w:p>
    <w:p w14:paraId="2A9358CF" w14:textId="77777777" w:rsidR="00350F69" w:rsidRPr="001B525F" w:rsidRDefault="00350F69" w:rsidP="00CC0143">
      <w:pPr>
        <w:spacing w:after="0"/>
        <w:contextualSpacing/>
        <w:jc w:val="both"/>
        <w:rPr>
          <w:rFonts w:ascii="Arial" w:hAnsi="Arial" w:cs="Arial"/>
          <w:sz w:val="18"/>
          <w:szCs w:val="18"/>
          <w:lang w:eastAsia="es-MX"/>
        </w:rPr>
      </w:pPr>
    </w:p>
    <w:p w14:paraId="71C2BEAF" w14:textId="774FD280" w:rsidR="00350F69" w:rsidRPr="001B525F" w:rsidRDefault="00350F69" w:rsidP="00CC0143">
      <w:pPr>
        <w:spacing w:after="0"/>
        <w:contextualSpacing/>
        <w:jc w:val="both"/>
        <w:rPr>
          <w:rFonts w:ascii="Arial" w:hAnsi="Arial" w:cs="Arial"/>
          <w:sz w:val="18"/>
          <w:szCs w:val="18"/>
          <w:lang w:eastAsia="es-MX"/>
        </w:rPr>
      </w:pPr>
      <w:r w:rsidRPr="001B525F">
        <w:rPr>
          <w:rFonts w:ascii="Arial" w:hAnsi="Arial" w:cs="Arial"/>
          <w:b/>
          <w:sz w:val="18"/>
          <w:szCs w:val="18"/>
        </w:rPr>
        <w:t xml:space="preserve">Séptimo.- Condiciones Técnicas Mínimas 2018. </w:t>
      </w:r>
      <w:r w:rsidRPr="001B525F">
        <w:rPr>
          <w:rFonts w:ascii="Arial" w:hAnsi="Arial" w:cs="Arial"/>
          <w:sz w:val="18"/>
          <w:szCs w:val="18"/>
        </w:rPr>
        <w:t xml:space="preserve">El 9 de noviembre de 2017 se publicó en el DOF el </w:t>
      </w:r>
      <w:r w:rsidRPr="001B525F">
        <w:rPr>
          <w:rFonts w:ascii="Arial" w:hAnsi="Arial" w:cs="Arial"/>
          <w:i/>
          <w:sz w:val="18"/>
          <w:szCs w:val="18"/>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w:t>
      </w:r>
      <w:r w:rsidRPr="001B525F">
        <w:rPr>
          <w:rFonts w:ascii="Arial" w:hAnsi="Arial" w:cs="Arial"/>
          <w:sz w:val="18"/>
          <w:szCs w:val="18"/>
        </w:rPr>
        <w:t>, aprobado mediante Acuerdo P/IFT/021117/657.</w:t>
      </w:r>
    </w:p>
    <w:p w14:paraId="571A3656" w14:textId="77777777" w:rsidR="00350F69" w:rsidRPr="001B525F" w:rsidRDefault="00350F69" w:rsidP="00CC0143">
      <w:pPr>
        <w:spacing w:after="0"/>
        <w:contextualSpacing/>
        <w:jc w:val="both"/>
        <w:rPr>
          <w:rFonts w:ascii="Arial" w:hAnsi="Arial" w:cs="Arial"/>
          <w:sz w:val="18"/>
          <w:szCs w:val="18"/>
          <w:lang w:eastAsia="es-MX"/>
        </w:rPr>
      </w:pPr>
    </w:p>
    <w:p w14:paraId="23A35756" w14:textId="337A7F38" w:rsidR="00350F69" w:rsidRPr="001B525F" w:rsidRDefault="00350F69" w:rsidP="00CC0143">
      <w:pPr>
        <w:spacing w:after="0"/>
        <w:contextualSpacing/>
        <w:jc w:val="both"/>
        <w:rPr>
          <w:rFonts w:ascii="Arial" w:hAnsi="Arial" w:cs="Arial"/>
          <w:b/>
          <w:sz w:val="18"/>
          <w:szCs w:val="18"/>
        </w:rPr>
      </w:pPr>
      <w:r w:rsidRPr="001B525F">
        <w:rPr>
          <w:rFonts w:ascii="Arial" w:hAnsi="Arial" w:cs="Arial"/>
          <w:b/>
          <w:sz w:val="18"/>
          <w:szCs w:val="18"/>
        </w:rPr>
        <w:t xml:space="preserve">Octavo.- Modificación del Acuerdo de Condiciones Técnicas Mínimas 2018. </w:t>
      </w:r>
      <w:r w:rsidRPr="001B525F">
        <w:rPr>
          <w:rFonts w:ascii="Arial" w:hAnsi="Arial" w:cs="Arial"/>
          <w:sz w:val="18"/>
          <w:szCs w:val="18"/>
        </w:rPr>
        <w:t xml:space="preserve">El 28 diciembre de 2017, se publicó en el DOF el </w:t>
      </w:r>
      <w:r w:rsidRPr="001B525F">
        <w:rPr>
          <w:rFonts w:ascii="Arial" w:hAnsi="Arial" w:cs="Arial"/>
          <w:i/>
          <w:sz w:val="18"/>
          <w:szCs w:val="18"/>
        </w:rPr>
        <w:t>“Acuerdo mediante el cual el Pleno del Instituto Federal de Telecomunicaciones modifica el ACUERDO mediante el cual el Pleno del Instituto Federal de Telecomunicaciones establece las condiciones técnicas mínimas entre concesionarios que operen redes públicas de telecomunicaciones y determina la tarifas de interconexión resultado de la metodología para el cálculo de costos de interconexión que estarán vigentes del 1 de enero al 31 de diciembre de 2018, emitido mediante Acuerdo P/IFT/021117/657 en cumplimiento del proveído de fecha 7 de diciembre de 2017 dictado por el Juzgado Segundo de Distrito en Materia Administrativa Especializado en Competencia Económica, Radiodifusión y Telecomunicaciones, con residencia en la Ciudad de México y jurisdicción en toda la República”</w:t>
      </w:r>
      <w:r w:rsidRPr="001B525F">
        <w:rPr>
          <w:rFonts w:ascii="Arial" w:hAnsi="Arial" w:cs="Arial"/>
          <w:sz w:val="18"/>
          <w:szCs w:val="18"/>
        </w:rPr>
        <w:t xml:space="preserve">, aprobado mediante </w:t>
      </w:r>
      <w:r w:rsidR="002D39C5">
        <w:rPr>
          <w:rFonts w:ascii="Arial" w:hAnsi="Arial" w:cs="Arial"/>
          <w:sz w:val="18"/>
          <w:szCs w:val="18"/>
        </w:rPr>
        <w:t>A</w:t>
      </w:r>
      <w:r w:rsidRPr="001B525F">
        <w:rPr>
          <w:rFonts w:ascii="Arial" w:hAnsi="Arial" w:cs="Arial"/>
          <w:sz w:val="18"/>
          <w:szCs w:val="18"/>
        </w:rPr>
        <w:t>cuerdo P/IFT/191217/920.</w:t>
      </w:r>
    </w:p>
    <w:p w14:paraId="4C5A4CC4" w14:textId="77777777" w:rsidR="00350F69" w:rsidRPr="001B525F" w:rsidRDefault="00350F69" w:rsidP="00CC0143">
      <w:pPr>
        <w:spacing w:after="0"/>
        <w:contextualSpacing/>
        <w:jc w:val="both"/>
        <w:rPr>
          <w:rFonts w:ascii="Arial" w:hAnsi="Arial" w:cs="Arial"/>
          <w:b/>
          <w:sz w:val="18"/>
          <w:szCs w:val="18"/>
        </w:rPr>
      </w:pPr>
    </w:p>
    <w:p w14:paraId="3F3FE2D4" w14:textId="662B6CAF" w:rsidR="00350F69" w:rsidRPr="001B525F" w:rsidRDefault="00350F69" w:rsidP="00CC0143">
      <w:pPr>
        <w:spacing w:after="0"/>
        <w:contextualSpacing/>
        <w:jc w:val="both"/>
        <w:rPr>
          <w:rFonts w:ascii="Arial" w:hAnsi="Arial" w:cs="Arial"/>
          <w:b/>
          <w:sz w:val="18"/>
          <w:szCs w:val="18"/>
        </w:rPr>
      </w:pPr>
      <w:r w:rsidRPr="001B525F">
        <w:rPr>
          <w:rFonts w:ascii="Arial" w:hAnsi="Arial" w:cs="Arial"/>
          <w:b/>
          <w:sz w:val="18"/>
          <w:szCs w:val="18"/>
        </w:rPr>
        <w:t>Noveno.- Plan de Separación Funcional.</w:t>
      </w:r>
      <w:r w:rsidRPr="001B525F">
        <w:rPr>
          <w:rFonts w:ascii="Arial" w:hAnsi="Arial" w:cs="Arial"/>
          <w:sz w:val="18"/>
          <w:szCs w:val="18"/>
        </w:rPr>
        <w:t xml:space="preserve"> El 27 de febrero de 2018</w:t>
      </w:r>
      <w:r w:rsidR="00381892">
        <w:rPr>
          <w:rFonts w:ascii="Arial" w:hAnsi="Arial" w:cs="Arial"/>
          <w:sz w:val="18"/>
          <w:szCs w:val="18"/>
        </w:rPr>
        <w:t>,</w:t>
      </w:r>
      <w:r w:rsidRPr="001B525F">
        <w:rPr>
          <w:rFonts w:ascii="Arial" w:hAnsi="Arial" w:cs="Arial"/>
          <w:sz w:val="18"/>
          <w:szCs w:val="18"/>
        </w:rPr>
        <w:t xml:space="preserve"> el Pleno del Instituto aprobó el </w:t>
      </w:r>
      <w:r w:rsidRPr="001B525F">
        <w:rPr>
          <w:rFonts w:ascii="Arial" w:hAnsi="Arial" w:cs="Arial"/>
          <w:i/>
          <w:sz w:val="18"/>
          <w:szCs w:val="18"/>
        </w:rPr>
        <w:t xml:space="preserve">“ACUERDO MEDIANTE EL CUAL EL PLENO DEL INSTITUTO FEDERAL DE TELECOMUNICACIONES RESUELVE SOBRE EL PLAN FINAL DE IMPLEMENTACIÓN DE SEPARACIÓN FUNCIONAL Y OTROS PLANTEAMIENTOS PRESENTADOS POR AMÉRICA MOVIL, S.A.B. DE C.V., TELÉFONOS DE MÉXICO, S.A.B. DE C.V., Y TELÉFONOS DEL NOROESTE, S.A. DE C.V., EN TÉRMINOS DE LAS MEDIDAS SEXAGÉSIMA QUINTA Y SEGUNDA </w:t>
      </w:r>
      <w:r w:rsidRPr="001B525F">
        <w:rPr>
          <w:rFonts w:ascii="Arial" w:hAnsi="Arial" w:cs="Arial"/>
          <w:i/>
          <w:sz w:val="18"/>
          <w:szCs w:val="18"/>
        </w:rPr>
        <w:lastRenderedPageBreak/>
        <w:t>TRANSITORIA DEL ANEXO 2 Y CUADRAGÉSIMA SÉPTIMA Y SEGUNDA TRANSITORIA DEL ANEXO 3 ESTABLECIDAS MEDIANTE ACUERDO P/IFT/EXT/270217/119”</w:t>
      </w:r>
      <w:r w:rsidR="00381892">
        <w:rPr>
          <w:rFonts w:ascii="Arial" w:hAnsi="Arial" w:cs="Arial"/>
          <w:i/>
          <w:sz w:val="18"/>
          <w:szCs w:val="18"/>
        </w:rPr>
        <w:t xml:space="preserve">, </w:t>
      </w:r>
      <w:r w:rsidR="00381892" w:rsidRPr="001B525F">
        <w:rPr>
          <w:rFonts w:ascii="Arial" w:hAnsi="Arial" w:cs="Arial"/>
          <w:sz w:val="18"/>
          <w:szCs w:val="18"/>
        </w:rPr>
        <w:t>mediante Acuerdo P/IFT/270218/130</w:t>
      </w:r>
      <w:r w:rsidRPr="001B525F">
        <w:rPr>
          <w:rFonts w:ascii="Arial" w:hAnsi="Arial" w:cs="Arial"/>
          <w:sz w:val="18"/>
          <w:szCs w:val="18"/>
        </w:rPr>
        <w:t>.</w:t>
      </w:r>
    </w:p>
    <w:p w14:paraId="10EDC0E0" w14:textId="77777777" w:rsidR="00350F69" w:rsidRPr="001B525F" w:rsidRDefault="00350F69" w:rsidP="00CC0143">
      <w:pPr>
        <w:spacing w:after="0"/>
        <w:contextualSpacing/>
        <w:jc w:val="both"/>
        <w:rPr>
          <w:rFonts w:ascii="Arial" w:hAnsi="Arial" w:cs="Arial"/>
          <w:b/>
          <w:sz w:val="18"/>
          <w:szCs w:val="18"/>
        </w:rPr>
      </w:pPr>
    </w:p>
    <w:p w14:paraId="0C0D0D65" w14:textId="77777777" w:rsidR="00350F69" w:rsidRPr="001B525F" w:rsidRDefault="00350F69" w:rsidP="00CC0143">
      <w:pPr>
        <w:spacing w:after="0"/>
        <w:contextualSpacing/>
        <w:jc w:val="both"/>
        <w:rPr>
          <w:rFonts w:ascii="Arial" w:hAnsi="Arial" w:cs="Arial"/>
          <w:sz w:val="18"/>
          <w:szCs w:val="18"/>
        </w:rPr>
      </w:pPr>
      <w:r w:rsidRPr="001B525F">
        <w:rPr>
          <w:rFonts w:ascii="Arial" w:hAnsi="Arial" w:cs="Arial"/>
          <w:b/>
          <w:sz w:val="18"/>
          <w:szCs w:val="18"/>
        </w:rPr>
        <w:t>Décimo.- Ejecutorias dictadas en los amparos en revisión A.R. 1306/2017 y A.R.1307/2017.</w:t>
      </w:r>
      <w:r w:rsidRPr="001B525F">
        <w:rPr>
          <w:rFonts w:ascii="Arial" w:hAnsi="Arial" w:cs="Arial"/>
          <w:sz w:val="18"/>
          <w:szCs w:val="18"/>
        </w:rPr>
        <w:t xml:space="preserve"> Mediante ejecutorias de fecha 18 de abril de 2018 correspondientes a los amparos en revisión A.R. 1306/2017 y A.R. 1307/2017, la Segunda Sala de la Suprema Corte de Justicia de la Nación, resolvió amparar y proteger a las empresas Teléfonos de México, S.A.B. de C.V. y Teléfonos del Noroeste, S.A. de C.V. (en lo sucesivo, “Telmex” y “Telnor”), respectivamente, en contra del artículo 131, segundo párrafo inciso a) de la LFTR, para los efectos precisados en dichas sentencias. </w:t>
      </w:r>
    </w:p>
    <w:p w14:paraId="6BC7A21F" w14:textId="77777777" w:rsidR="00350F69" w:rsidRPr="001B525F" w:rsidRDefault="00350F69" w:rsidP="00CC0143">
      <w:pPr>
        <w:spacing w:after="0"/>
        <w:contextualSpacing/>
        <w:jc w:val="both"/>
        <w:rPr>
          <w:rFonts w:ascii="Arial" w:hAnsi="Arial" w:cs="Arial"/>
          <w:sz w:val="18"/>
          <w:szCs w:val="18"/>
        </w:rPr>
      </w:pPr>
    </w:p>
    <w:p w14:paraId="64A37592" w14:textId="27CD267F" w:rsidR="00350F69" w:rsidRPr="001B525F" w:rsidRDefault="00350F69" w:rsidP="00CC0143">
      <w:pPr>
        <w:spacing w:after="0"/>
        <w:contextualSpacing/>
        <w:jc w:val="both"/>
        <w:rPr>
          <w:rFonts w:ascii="Arial" w:hAnsi="Arial" w:cs="Arial"/>
          <w:sz w:val="18"/>
          <w:szCs w:val="18"/>
        </w:rPr>
      </w:pPr>
      <w:r w:rsidRPr="001B525F">
        <w:rPr>
          <w:rFonts w:ascii="Arial" w:hAnsi="Arial" w:cs="Arial"/>
          <w:b/>
          <w:sz w:val="18"/>
          <w:szCs w:val="18"/>
        </w:rPr>
        <w:t>Décimo Primero.- Consulta Pública Modelos de Costos.</w:t>
      </w:r>
      <w:r w:rsidRPr="001B525F">
        <w:rPr>
          <w:rFonts w:ascii="Arial" w:hAnsi="Arial" w:cs="Arial"/>
          <w:sz w:val="18"/>
          <w:szCs w:val="18"/>
        </w:rPr>
        <w:t xml:space="preserve"> El </w:t>
      </w:r>
      <w:r w:rsidR="00F12725">
        <w:rPr>
          <w:rFonts w:ascii="Arial" w:hAnsi="Arial" w:cs="Arial"/>
          <w:sz w:val="18"/>
          <w:szCs w:val="18"/>
        </w:rPr>
        <w:t>7</w:t>
      </w:r>
      <w:r w:rsidRPr="001B525F">
        <w:rPr>
          <w:rFonts w:ascii="Arial" w:hAnsi="Arial" w:cs="Arial"/>
          <w:sz w:val="18"/>
          <w:szCs w:val="18"/>
        </w:rPr>
        <w:t xml:space="preserve"> de </w:t>
      </w:r>
      <w:r w:rsidR="00F12725">
        <w:rPr>
          <w:rFonts w:ascii="Arial" w:hAnsi="Arial" w:cs="Arial"/>
          <w:sz w:val="18"/>
          <w:szCs w:val="18"/>
        </w:rPr>
        <w:t>junio</w:t>
      </w:r>
      <w:r w:rsidRPr="001B525F">
        <w:rPr>
          <w:rFonts w:ascii="Arial" w:hAnsi="Arial" w:cs="Arial"/>
          <w:sz w:val="18"/>
          <w:szCs w:val="18"/>
        </w:rPr>
        <w:t xml:space="preserve"> de 202</w:t>
      </w:r>
      <w:r w:rsidR="00F12725">
        <w:rPr>
          <w:rFonts w:ascii="Arial" w:hAnsi="Arial" w:cs="Arial"/>
          <w:sz w:val="18"/>
          <w:szCs w:val="18"/>
        </w:rPr>
        <w:t>3</w:t>
      </w:r>
      <w:r w:rsidRPr="001B525F">
        <w:rPr>
          <w:rFonts w:ascii="Arial" w:hAnsi="Arial" w:cs="Arial"/>
          <w:sz w:val="18"/>
          <w:szCs w:val="18"/>
        </w:rPr>
        <w:t>, el Pleno del Instituto determinó someter a Consulta Pública el “</w:t>
      </w:r>
      <w:r w:rsidR="00F12725" w:rsidRPr="00F12725">
        <w:rPr>
          <w:rFonts w:ascii="Arial" w:hAnsi="Arial" w:cs="Arial"/>
          <w:bCs/>
          <w:i/>
          <w:sz w:val="18"/>
          <w:szCs w:val="18"/>
          <w:lang w:eastAsia="es-MX"/>
        </w:rPr>
        <w:t>Acuerdo mediante el cual el Pleno del Instituto Federal de Telecomunicaciones determina someter a Consulta Pública los Modelos de Costos para la determinación de tarifas de los Servicios de Interconexión; de los Servicios Mayoristas de arrendamiento de Enlaces Dedicados; de Usuario Visitante, así como del Servicio de Concentración y Distribución asociado al Servicio de Acceso Indirecto al Bucle Local 2024-2026</w:t>
      </w:r>
      <w:r w:rsidRPr="001B525F">
        <w:rPr>
          <w:rFonts w:ascii="Arial" w:hAnsi="Arial" w:cs="Arial"/>
          <w:sz w:val="18"/>
          <w:szCs w:val="18"/>
        </w:rPr>
        <w:t xml:space="preserve">”, </w:t>
      </w:r>
      <w:r w:rsidR="00381892" w:rsidRPr="001B525F">
        <w:rPr>
          <w:rFonts w:ascii="Arial" w:hAnsi="Arial" w:cs="Arial"/>
          <w:sz w:val="18"/>
          <w:szCs w:val="18"/>
        </w:rPr>
        <w:t>mediante Acuerdo P/IFT/</w:t>
      </w:r>
      <w:r w:rsidR="00381892">
        <w:rPr>
          <w:rFonts w:ascii="Arial" w:hAnsi="Arial" w:cs="Arial"/>
          <w:sz w:val="18"/>
          <w:szCs w:val="18"/>
        </w:rPr>
        <w:t>070623</w:t>
      </w:r>
      <w:r w:rsidR="00381892" w:rsidRPr="001B525F">
        <w:rPr>
          <w:rFonts w:ascii="Arial" w:hAnsi="Arial" w:cs="Arial"/>
          <w:sz w:val="18"/>
          <w:szCs w:val="18"/>
        </w:rPr>
        <w:t>/2</w:t>
      </w:r>
      <w:r w:rsidR="00381892">
        <w:rPr>
          <w:rFonts w:ascii="Arial" w:hAnsi="Arial" w:cs="Arial"/>
          <w:sz w:val="18"/>
          <w:szCs w:val="18"/>
        </w:rPr>
        <w:t>17. D</w:t>
      </w:r>
      <w:r w:rsidRPr="001B525F">
        <w:rPr>
          <w:rFonts w:ascii="Arial" w:hAnsi="Arial" w:cs="Arial"/>
          <w:sz w:val="18"/>
          <w:szCs w:val="18"/>
        </w:rPr>
        <w:t xml:space="preserve">icha consulta pública se llevó a cabo del </w:t>
      </w:r>
      <w:r w:rsidR="00F12725">
        <w:rPr>
          <w:rFonts w:ascii="Arial" w:hAnsi="Arial" w:cs="Arial"/>
          <w:sz w:val="18"/>
          <w:szCs w:val="18"/>
        </w:rPr>
        <w:t>12</w:t>
      </w:r>
      <w:r w:rsidRPr="001B525F">
        <w:rPr>
          <w:rFonts w:ascii="Arial" w:hAnsi="Arial" w:cs="Arial"/>
          <w:sz w:val="18"/>
          <w:szCs w:val="18"/>
        </w:rPr>
        <w:t xml:space="preserve"> de </w:t>
      </w:r>
      <w:r w:rsidR="00F12725">
        <w:rPr>
          <w:rFonts w:ascii="Arial" w:hAnsi="Arial" w:cs="Arial"/>
          <w:sz w:val="18"/>
          <w:szCs w:val="18"/>
        </w:rPr>
        <w:t>junio</w:t>
      </w:r>
      <w:r w:rsidRPr="001B525F">
        <w:rPr>
          <w:rFonts w:ascii="Arial" w:hAnsi="Arial" w:cs="Arial"/>
          <w:sz w:val="18"/>
          <w:szCs w:val="18"/>
        </w:rPr>
        <w:t xml:space="preserve"> al </w:t>
      </w:r>
      <w:r w:rsidR="00F12725">
        <w:rPr>
          <w:rFonts w:ascii="Arial" w:hAnsi="Arial" w:cs="Arial"/>
          <w:sz w:val="18"/>
          <w:szCs w:val="18"/>
        </w:rPr>
        <w:t>31</w:t>
      </w:r>
      <w:r w:rsidRPr="001B525F">
        <w:rPr>
          <w:rFonts w:ascii="Arial" w:hAnsi="Arial" w:cs="Arial"/>
          <w:sz w:val="18"/>
          <w:szCs w:val="18"/>
        </w:rPr>
        <w:t xml:space="preserve"> de </w:t>
      </w:r>
      <w:r w:rsidR="00F12725">
        <w:rPr>
          <w:rFonts w:ascii="Arial" w:hAnsi="Arial" w:cs="Arial"/>
          <w:sz w:val="18"/>
          <w:szCs w:val="18"/>
        </w:rPr>
        <w:t>julio</w:t>
      </w:r>
      <w:r w:rsidRPr="001B525F">
        <w:rPr>
          <w:rFonts w:ascii="Arial" w:hAnsi="Arial" w:cs="Arial"/>
          <w:sz w:val="18"/>
          <w:szCs w:val="18"/>
        </w:rPr>
        <w:t xml:space="preserve"> de 202</w:t>
      </w:r>
      <w:r w:rsidR="00F12725">
        <w:rPr>
          <w:rFonts w:ascii="Arial" w:hAnsi="Arial" w:cs="Arial"/>
          <w:sz w:val="18"/>
          <w:szCs w:val="18"/>
        </w:rPr>
        <w:t>3</w:t>
      </w:r>
      <w:r w:rsidRPr="001B525F">
        <w:rPr>
          <w:rFonts w:ascii="Arial" w:hAnsi="Arial" w:cs="Arial"/>
          <w:sz w:val="18"/>
          <w:szCs w:val="18"/>
        </w:rPr>
        <w:t>.</w:t>
      </w:r>
    </w:p>
    <w:p w14:paraId="33077A42" w14:textId="40EA17AF" w:rsidR="00AF1E22" w:rsidRPr="001B525F" w:rsidRDefault="00AF1E22" w:rsidP="00CC0143">
      <w:pPr>
        <w:spacing w:after="0"/>
        <w:contextualSpacing/>
        <w:jc w:val="both"/>
        <w:rPr>
          <w:rFonts w:ascii="Arial" w:hAnsi="Arial" w:cs="Arial"/>
          <w:sz w:val="18"/>
          <w:szCs w:val="18"/>
        </w:rPr>
      </w:pPr>
    </w:p>
    <w:p w14:paraId="3818B37E" w14:textId="19210278" w:rsidR="00AF1E22" w:rsidRPr="001B525F" w:rsidRDefault="00E67A5F" w:rsidP="00CC0143">
      <w:pPr>
        <w:widowControl w:val="0"/>
        <w:spacing w:after="0"/>
        <w:contextualSpacing/>
        <w:jc w:val="both"/>
        <w:rPr>
          <w:rFonts w:ascii="Arial" w:hAnsi="Arial" w:cs="Arial"/>
          <w:sz w:val="18"/>
          <w:szCs w:val="18"/>
        </w:rPr>
      </w:pPr>
      <w:r w:rsidRPr="001B525F">
        <w:rPr>
          <w:rFonts w:ascii="Arial" w:hAnsi="Arial" w:cs="Arial"/>
          <w:b/>
          <w:sz w:val="18"/>
          <w:szCs w:val="18"/>
        </w:rPr>
        <w:t>Décimo Segundo</w:t>
      </w:r>
      <w:r w:rsidR="00AF1E22" w:rsidRPr="001B525F">
        <w:rPr>
          <w:rFonts w:ascii="Arial" w:hAnsi="Arial" w:cs="Arial"/>
          <w:b/>
          <w:sz w:val="18"/>
          <w:szCs w:val="18"/>
        </w:rPr>
        <w:t xml:space="preserve">.- Segunda Resolución Bienal. </w:t>
      </w:r>
      <w:r w:rsidR="00AF1E22" w:rsidRPr="001B525F">
        <w:rPr>
          <w:rFonts w:ascii="Arial" w:hAnsi="Arial" w:cs="Arial"/>
          <w:sz w:val="18"/>
          <w:szCs w:val="18"/>
        </w:rPr>
        <w:t>El 2 de diciembre de 2020, el Pleno del Instituto aprobó la</w:t>
      </w:r>
      <w:r w:rsidR="00AF1E22" w:rsidRPr="001B525F">
        <w:rPr>
          <w:rFonts w:ascii="Arial" w:hAnsi="Arial" w:cs="Arial"/>
          <w:i/>
          <w:sz w:val="18"/>
          <w:szCs w:val="18"/>
        </w:rPr>
        <w:t xml:space="preserve"> “RESOLUCIÓN MEDIANTE LA CUAL EL PLENO DEL INSTITUTO FEDERAL DE TELECOMUNICACIONES SUPRIME, MODIFICA Y ADICIONA LAS MEDIDAS IMPUESTAS AL AGENTE ECONÓMICO PREPONDERANTE EN EL SECTOR DE TELECOMUNICACIONES MEDIANTE ACUERDOS P/IFT/EXT/060314/76 Y P/IFT/EXT/270217/119”</w:t>
      </w:r>
      <w:r w:rsidR="00381892">
        <w:rPr>
          <w:rFonts w:ascii="Arial" w:hAnsi="Arial" w:cs="Arial"/>
          <w:i/>
          <w:sz w:val="18"/>
          <w:szCs w:val="18"/>
        </w:rPr>
        <w:t xml:space="preserve">, </w:t>
      </w:r>
      <w:r w:rsidR="00381892" w:rsidRPr="001B525F">
        <w:rPr>
          <w:rFonts w:ascii="Arial" w:hAnsi="Arial" w:cs="Arial"/>
          <w:sz w:val="18"/>
          <w:szCs w:val="18"/>
        </w:rPr>
        <w:t>mediante Acuerdo P/IFT/021220/488</w:t>
      </w:r>
      <w:r w:rsidR="00AF1E22" w:rsidRPr="001B525F">
        <w:rPr>
          <w:rFonts w:ascii="Arial" w:hAnsi="Arial" w:cs="Arial"/>
          <w:sz w:val="18"/>
          <w:szCs w:val="18"/>
        </w:rPr>
        <w:t xml:space="preserve"> (en lo sucesivo, la “Segunda Resolución Bienal”).</w:t>
      </w:r>
    </w:p>
    <w:p w14:paraId="6F9B6904" w14:textId="7538D45A" w:rsidR="00AF1E22" w:rsidRPr="001B525F" w:rsidRDefault="00AF1E22" w:rsidP="00CC0143">
      <w:pPr>
        <w:spacing w:after="0"/>
        <w:contextualSpacing/>
        <w:jc w:val="both"/>
        <w:rPr>
          <w:rFonts w:ascii="Arial" w:hAnsi="Arial" w:cs="Arial"/>
          <w:b/>
          <w:sz w:val="18"/>
          <w:szCs w:val="18"/>
        </w:rPr>
      </w:pPr>
    </w:p>
    <w:p w14:paraId="0A6D3F58" w14:textId="29D3DA70" w:rsidR="00AF1E22" w:rsidRDefault="00AF1E22" w:rsidP="00CC0143">
      <w:pPr>
        <w:widowControl w:val="0"/>
        <w:spacing w:after="0"/>
        <w:contextualSpacing/>
        <w:jc w:val="both"/>
        <w:rPr>
          <w:rFonts w:ascii="Arial" w:hAnsi="Arial" w:cs="Arial"/>
          <w:sz w:val="18"/>
          <w:szCs w:val="18"/>
        </w:rPr>
      </w:pPr>
      <w:r w:rsidRPr="001B525F">
        <w:rPr>
          <w:rFonts w:ascii="Arial" w:hAnsi="Arial" w:cs="Arial"/>
          <w:sz w:val="18"/>
          <w:szCs w:val="18"/>
        </w:rPr>
        <w:t>En la Segunda Resolución Bienal el Pleno del Instituto emitió el Anexo 1 mediante el cual se modifican las medidas TERCERA, incisos 0), 24) y 32) del primer párrafo; SEXTA, primer párrafo; SÉPTIMA, primer párrafo; UNDÉCIMA, segundo párrafo, incisos a) y c) de la fracción I, tercer, cuarto y actuales quinto y séptimo párrafos; DUODÉCIMA; DECIMOQUINTA, segundo párrafo; DECIMOSEXTA, incisos h) e i) del párrafo segundo, tercer, cuarto y actuales quinto y séptimo párrafos; DECIMONOVENA; VIGÉSIMA SÉPTIMA, segundo párrafo; VIGÉSIMA NOVENA, primer párrafo; TRIGÉSIMA SEGUNDA; TRIGÉSIMA QUINTA, primer párrafo; TRIGÉSIMA SEXTA; TRIGÉSIMA SÉPTIMA, primer párrafo; TRIGÉSIMA NOVENA, segundo y tercer párrafos; CUADRAGÉSIMA PRIMERA, primer y segundo párrafos; CUADRAGÉSIMA TERCERA, primer párrafo; CUADRAGÉSIMA CUARTA, tercer párrafo; CUADRAGÉSIMA NOVENA, fracción II del segundo párrafo; QUINCUAGÉSIMA NOVENA; SEXAGÉSIMA SEGUNDA, cuarto párrafo; SEXAGÉSIMA CUARTA, tercer párrafo; SEXAGÉSIMA QUINTA, primer, segundo, tercero, noveno y décimo párrafos; SEXAGÉSIMA OCTAVA, primer párrafo; SEPTUAGÉSIMA TERCERA; SEPTUAGÉSIMA CUARTA, primer párrafo; SEPTUAGÉSIMA SÉPTIMA, fracción II del primer párrafo; SEPTUAGÉSIMA OCTAVA, segundo párrafo; se adicionan las medidas TERCERA, inciso 3.1) del primer párrafo; SEXTA, segundo párrafo; SÉPTIMA, segundo párrafo; NOVENA BIS; UNDÉCIMA, quinto y se recorren los párrafos subsecuentes, y noveno párrafos; DECIMOSEXTA, inciso j) del párrafo segundo, quinto párrafo y se recorren los párrafos subsecuentes; DECIMOSEXTA BIS; CUADRAGÉSIMA PRIMERA, segundo párrafo y se recorre el párrafo subsecuente; QUINCUAGÉSIMA PRIMERA BIS; QUINCUAGÉSIMA PRIMERA TER; SEXAGÉSIMA SEGUNDA, incisos i) y ii) del cuarto párrafo; SEXAGÉSIMA CUARTA, quinto párrafo; SEXAGÉSIMA QUINTA BIS; SEXAGÉSIMA QUINTA TER; SEXAGÉSIMA QUINTA QUÁTER; SEXAGÉSIMA QUINTA QUINQUIES; SEXAGÉSIMA QUINTA SEXIES; SEPTUAGÉSIMA CUARTA, segundo párrafo y se recorre el párrafo subsecuente; SEPTUAGÉSIMA OCTAVA, cuarto y quinto párrafos; OCTOGÉSIMA; y se suprimen las medidas CUARTA; QUINTA; OCTAVA; UNDÉCIMA, actual sexto párrafo; DECIMOSÉPTIMA; DECIMOCTAVA; TRIGÉSIMA TERCERA; TRIGÉSIMA CUARTA; TRIGÉSIMA QUINTA, segundo párrafo; TRIGÉSIMA SÉPTIMA, segundo párrafo; CUADRAGÉSIMA; CUADRAGÉSIMA SEGUNDA; CUADRAGÉSIMA CUARTA, primer y segundo párrafos; CUADRAGÉSIMA QUINTA; CUADRAGÉSIMA SEXTA; CUADRAGÉSIMA SÉPTIMA; CUADRAGÉSIMA OCTAVA; QUINCUAGÉSIMA; QUINCUAGÉSIMA PRIMERA; QUINCUAGÉSIMA SEGUNDA; QUINCUAGÉSIMA CUARTA; QUINCUAGÉSIMA QUINTA; QUINCUAGÉSIMA SEXTA; QUINCUAGÉSIMA SÉPTIMA; QUINCUAGÉSIMA OCTAVA; SEXAGÉSIMA SEGUNDA, segundo párrafo; SEXAGÉSIMA OCTAVA, segundo y tercer párrafos; SEPTUAGÉSIMA NOVENA; todas ellas</w:t>
      </w:r>
      <w:r w:rsidRPr="001B525F">
        <w:rPr>
          <w:rFonts w:ascii="Arial" w:eastAsia="Arial" w:hAnsi="Arial" w:cs="Arial"/>
          <w:sz w:val="18"/>
          <w:szCs w:val="18"/>
        </w:rPr>
        <w:t xml:space="preserve"> del Anexo 1  de la Resolución </w:t>
      </w:r>
      <w:r w:rsidR="001C7A1B" w:rsidRPr="001B525F">
        <w:rPr>
          <w:rFonts w:ascii="Arial" w:eastAsia="Arial" w:hAnsi="Arial" w:cs="Arial"/>
          <w:sz w:val="18"/>
          <w:szCs w:val="18"/>
        </w:rPr>
        <w:t xml:space="preserve">del </w:t>
      </w:r>
      <w:r w:rsidRPr="001B525F">
        <w:rPr>
          <w:rFonts w:ascii="Arial" w:eastAsia="Arial" w:hAnsi="Arial" w:cs="Arial"/>
          <w:sz w:val="18"/>
          <w:szCs w:val="18"/>
        </w:rPr>
        <w:t xml:space="preserve">AEP y del Anexo 1 de la Resolución Bienal </w:t>
      </w:r>
      <w:r w:rsidRPr="001B525F">
        <w:rPr>
          <w:rFonts w:ascii="Arial" w:hAnsi="Arial" w:cs="Arial"/>
          <w:sz w:val="18"/>
          <w:szCs w:val="18"/>
        </w:rPr>
        <w:t>(en lo sucesivo, las “Medidas Móviles”).</w:t>
      </w:r>
      <w:bookmarkStart w:id="2" w:name="_Hlk82538521"/>
    </w:p>
    <w:p w14:paraId="57312DC8" w14:textId="77777777" w:rsidR="00381892" w:rsidRPr="001B525F" w:rsidRDefault="00381892" w:rsidP="00CC0143">
      <w:pPr>
        <w:widowControl w:val="0"/>
        <w:spacing w:after="0"/>
        <w:contextualSpacing/>
        <w:jc w:val="both"/>
        <w:rPr>
          <w:rFonts w:ascii="Arial" w:hAnsi="Arial" w:cs="Arial"/>
          <w:sz w:val="18"/>
          <w:szCs w:val="18"/>
        </w:rPr>
      </w:pPr>
    </w:p>
    <w:bookmarkEnd w:id="2"/>
    <w:p w14:paraId="5243DB19" w14:textId="7BB410E2" w:rsidR="00AF1E22" w:rsidRPr="007740FC" w:rsidRDefault="003B2BCA" w:rsidP="00CC0143">
      <w:pPr>
        <w:spacing w:after="0"/>
        <w:ind w:right="49"/>
        <w:jc w:val="both"/>
        <w:rPr>
          <w:rFonts w:ascii="Arial" w:eastAsia="Times New Roman" w:hAnsi="Arial" w:cs="Arial"/>
          <w:sz w:val="18"/>
          <w:szCs w:val="18"/>
          <w:lang w:val="es-ES_tradnl" w:eastAsia="es-ES"/>
        </w:rPr>
      </w:pPr>
      <w:r w:rsidRPr="007740FC">
        <w:rPr>
          <w:rFonts w:ascii="Arial" w:hAnsi="Arial" w:cs="Arial"/>
          <w:sz w:val="18"/>
          <w:szCs w:val="18"/>
          <w:lang w:val="es-ES_tradnl" w:eastAsia="es-ES"/>
        </w:rPr>
        <w:lastRenderedPageBreak/>
        <w:t>Asimismo,</w:t>
      </w:r>
      <w:r w:rsidR="00AF1E22" w:rsidRPr="007740FC" w:rsidDel="00BC69DE">
        <w:rPr>
          <w:rFonts w:ascii="Arial" w:hAnsi="Arial" w:cs="Arial"/>
          <w:sz w:val="18"/>
          <w:szCs w:val="18"/>
          <w:lang w:val="es-ES_tradnl" w:eastAsia="es-ES"/>
        </w:rPr>
        <w:t xml:space="preserve"> </w:t>
      </w:r>
      <w:r w:rsidR="00AF1E22" w:rsidRPr="007740FC">
        <w:rPr>
          <w:rFonts w:ascii="Arial" w:hAnsi="Arial" w:cs="Arial"/>
          <w:sz w:val="18"/>
          <w:szCs w:val="18"/>
          <w:lang w:val="es-ES_tradnl" w:eastAsia="es-ES"/>
        </w:rPr>
        <w:t xml:space="preserve">el Pleno del Instituto emitió el Anexo 2 mediante el cual se MODIFICAN las medidas TERCERA, incisos 0), 25) y 32) del primer párrafo; SEXTA; SÉPTIMA, primer párrafo; DUODÉCIMA, incisos a) y c) de la fracción I del segundo párrafo, tercer, cuarto y actuales quinto y séptimo párrafos; DECIMOCUARTA, primer párrafo; DECIMOQUINTA, primer, segundo y tercer párrafos; DECIMOSEXTA, tercer, quinto y octavo párrafos; DECIMOSÉPTIMA, primer párrafo; VIGÉSIMA, primer y cuarto párrafos; VIGÉSIMA TERCERA, segundo párrafo; VIGÉSIMA SEXTA; VIGÉSIMA NOVENA, primer párrafo; TRIGÉSIMA; TRIGÉSIMA PRIMERA, primer párrafo; TRIGÉSIMA TERCERA, segundo y tercer párrafos; TRIGÉSIMA CUARTA; TRIGÉSIMA QUINTA, segundo y tercer párrafos; TRIGÉSIMA SEXTA; TRIGÉSIMA SÉPTIMA, primer párrafo; CUADRAGÉSIMA PRIMERA, incisos h) e i) del segundo párrafo, tercer, cuarto y los actuales quinto y séptimo párrafos; CUADRAGÉSIMA SEGUNDA, primer, segundo, tercer, noveno y décimo párrafos; CUADRAGÉSIMA TERCERA, primer párrafo; CUADRAGÉSIMA CUARTA; CUADRAGÉSIMA QUINTA, tercer párrafo; QUINCUAGÉSIMA QUINTA, primer párrafo; SEXAGÉSIMA; SEXAGÉSIMA PRIMERA, primer párrafo; SEXAGÉSIMA SEXTA, fracción II del primer párrafo; SEXAGÉSIMA SÉPTIMA, quinto párrafo; SEPTUAGÉSIMA PRIMERA, tercer párrafo; se ADICIONAN las medidas TERCERA, inciso 3.2) del primer párrafo; DUODÉCIMA, quinto párrafo y se recorren párrafos los subsecuentes, y noveno párrafo; DECIMOCUARTA, segundo párrafo; TRIGÉSIMA PRIMERA BIS; TRIGÉSIMA QUINTA, quinto y sexto párrafos; TRIGÉSIMA SÉPTIMA, tercer, cuarto, quinto y sexto párrafos; CUADRAGÉSIMA PRIMERA, incisos j) y k) del segundo párrafo, quinto párrafo y se recorren los párrafos subsecuentes; CUADRAGÉSIMA PRIMERA BIS; CUADRAGÉSIMA SEGUNDA BIS; CUADRAGÉSIMA SEGUNDA TER; CUADRAGÉSIMA SEGUNDA QUÁTER; CUADRAGÉSIMA SEGUNDA QUINQUIES; CUADRAGÉSIMA SEGUNDA SEXIES; CUADRAGÉSIMA TERCERA, tercer párrafo; SEXAGÉSIMA SÉPTIMA, sexto párrafo y SEPTUAGÉSIMA, fracción V del segundo párrafo, y se SUPRIMEN las medidas CUARTA; OCTAVA; DECIMA; DUODÉCIMA, actual sexto párrafo; DECIMOTERCERA; DECIMOSEXTA, primer, segundo, cuarto, sexto, séptimo, noveno, décimo y undécimo párrafos; DECIMOSÉPTIMA, segundo, cuarto, quinto y sexto párrafos; DECIMOCTAVA; DECIMONOVENA; VIGÉSIMA, segundo y quinto párrafos; VIGÉSIMA SÉPTIMA; VIGÉSIMA OCTAVA; VIGÉSIMA NOVENA, segundo párrafo; TRIGÉSIMA PRIMERA, segundo párrafo; TRIGÉSIMA OCTAVA; CUADRAGÉSIMA; CUADRAGÉSIMA TERCERA, segundo párrafo; CUADRAGÉSIMA QUINTA, primer y segundo párrafos; CUADRAGÉSIMA SEXTA; CUADRAGÉSIMA OCTAVA; CUADRAGÉSIMA NOVENA; QUINCUAGÉSIMA; QUINCUAGÉSIMA PRIMERA; QUINCUAGÉSIMA SEGUNDA; QUINCUAGÉSIMA TERCERA; QUINCUAGÉSIMA QUINTA, segundo y tercer párrafos; SEXAGÉSIMA CUARTA; SEXAGÉSIMA OCTAVA y SEPTUAGÉSIMA; todas ellas del Anexo 2 de la Resolución </w:t>
      </w:r>
      <w:r w:rsidR="001C7A1B" w:rsidRPr="007740FC">
        <w:rPr>
          <w:rFonts w:ascii="Arial" w:hAnsi="Arial" w:cs="Arial"/>
          <w:sz w:val="18"/>
          <w:szCs w:val="18"/>
          <w:lang w:val="es-ES_tradnl" w:eastAsia="es-ES"/>
        </w:rPr>
        <w:t xml:space="preserve">del </w:t>
      </w:r>
      <w:r w:rsidR="00AF1E22" w:rsidRPr="007740FC">
        <w:rPr>
          <w:rFonts w:ascii="Arial" w:hAnsi="Arial" w:cs="Arial"/>
          <w:sz w:val="18"/>
          <w:szCs w:val="18"/>
          <w:lang w:val="es-ES_tradnl" w:eastAsia="es-ES"/>
        </w:rPr>
        <w:t xml:space="preserve">AEP y del Anexo 2 de la Resolución Bienal </w:t>
      </w:r>
      <w:r w:rsidR="00AF1E22" w:rsidRPr="007740FC">
        <w:rPr>
          <w:rFonts w:ascii="Arial" w:eastAsia="Times New Roman" w:hAnsi="Arial" w:cs="Arial"/>
          <w:sz w:val="18"/>
          <w:szCs w:val="18"/>
          <w:lang w:val="es-ES_tradnl" w:eastAsia="es-ES"/>
        </w:rPr>
        <w:t>(en lo sucesivo, las “Medidas Fijas”).</w:t>
      </w:r>
    </w:p>
    <w:p w14:paraId="6DE25B0C" w14:textId="77777777" w:rsidR="00350F69" w:rsidRPr="001B525F" w:rsidRDefault="00350F69" w:rsidP="00CC0143">
      <w:pPr>
        <w:spacing w:after="0"/>
        <w:contextualSpacing/>
        <w:jc w:val="both"/>
        <w:rPr>
          <w:rFonts w:ascii="Arial" w:hAnsi="Arial" w:cs="Arial"/>
          <w:b/>
          <w:sz w:val="18"/>
          <w:szCs w:val="18"/>
        </w:rPr>
      </w:pPr>
    </w:p>
    <w:p w14:paraId="1FCBC29D" w14:textId="726CD175" w:rsidR="00350F69" w:rsidRPr="001B525F" w:rsidRDefault="00350F69" w:rsidP="00CC0143">
      <w:pPr>
        <w:spacing w:after="0"/>
        <w:contextualSpacing/>
        <w:jc w:val="both"/>
        <w:rPr>
          <w:rFonts w:ascii="Arial" w:hAnsi="Arial" w:cs="Arial"/>
          <w:sz w:val="18"/>
          <w:szCs w:val="18"/>
          <w:lang w:eastAsia="es-MX"/>
        </w:rPr>
      </w:pPr>
      <w:r w:rsidRPr="001B525F">
        <w:rPr>
          <w:rFonts w:ascii="Arial" w:hAnsi="Arial" w:cs="Arial"/>
          <w:b/>
          <w:sz w:val="18"/>
          <w:szCs w:val="18"/>
        </w:rPr>
        <w:t xml:space="preserve">Décimo </w:t>
      </w:r>
      <w:r w:rsidR="00E67A5F" w:rsidRPr="001B525F">
        <w:rPr>
          <w:rFonts w:ascii="Arial" w:hAnsi="Arial" w:cs="Arial"/>
          <w:b/>
          <w:sz w:val="18"/>
          <w:szCs w:val="18"/>
        </w:rPr>
        <w:t>Tercero</w:t>
      </w:r>
      <w:r w:rsidRPr="001B525F">
        <w:rPr>
          <w:rFonts w:ascii="Arial" w:hAnsi="Arial" w:cs="Arial"/>
          <w:b/>
          <w:sz w:val="18"/>
          <w:szCs w:val="18"/>
        </w:rPr>
        <w:t>.- Consulta Pública.</w:t>
      </w:r>
      <w:r w:rsidRPr="001B525F">
        <w:rPr>
          <w:rFonts w:ascii="Arial" w:hAnsi="Arial" w:cs="Arial"/>
          <w:sz w:val="18"/>
          <w:szCs w:val="18"/>
        </w:rPr>
        <w:t xml:space="preserve"> El </w:t>
      </w:r>
      <w:r w:rsidR="008C5ADF">
        <w:rPr>
          <w:rFonts w:ascii="Arial" w:hAnsi="Arial" w:cs="Arial"/>
          <w:sz w:val="18"/>
          <w:szCs w:val="18"/>
        </w:rPr>
        <w:t>10</w:t>
      </w:r>
      <w:r w:rsidR="008C5ADF" w:rsidRPr="001B525F">
        <w:rPr>
          <w:rFonts w:ascii="Arial" w:hAnsi="Arial" w:cs="Arial"/>
          <w:sz w:val="18"/>
          <w:szCs w:val="18"/>
        </w:rPr>
        <w:t xml:space="preserve"> </w:t>
      </w:r>
      <w:r w:rsidRPr="001B525F">
        <w:rPr>
          <w:rFonts w:ascii="Arial" w:hAnsi="Arial" w:cs="Arial"/>
          <w:sz w:val="18"/>
          <w:szCs w:val="18"/>
        </w:rPr>
        <w:t xml:space="preserve">de </w:t>
      </w:r>
      <w:r w:rsidR="008C5ADF">
        <w:rPr>
          <w:rFonts w:ascii="Arial" w:hAnsi="Arial" w:cs="Arial"/>
          <w:sz w:val="18"/>
          <w:szCs w:val="18"/>
        </w:rPr>
        <w:t>julio</w:t>
      </w:r>
      <w:r w:rsidR="008C5ADF" w:rsidRPr="001B525F">
        <w:rPr>
          <w:rFonts w:ascii="Arial" w:hAnsi="Arial" w:cs="Arial"/>
          <w:sz w:val="18"/>
          <w:szCs w:val="18"/>
        </w:rPr>
        <w:t xml:space="preserve"> </w:t>
      </w:r>
      <w:r w:rsidRPr="001B525F">
        <w:rPr>
          <w:rFonts w:ascii="Arial" w:hAnsi="Arial" w:cs="Arial"/>
          <w:sz w:val="18"/>
          <w:szCs w:val="18"/>
        </w:rPr>
        <w:t>de 202</w:t>
      </w:r>
      <w:r w:rsidR="008C5ADF">
        <w:rPr>
          <w:rFonts w:ascii="Arial" w:hAnsi="Arial" w:cs="Arial"/>
          <w:sz w:val="18"/>
          <w:szCs w:val="18"/>
        </w:rPr>
        <w:t>4</w:t>
      </w:r>
      <w:r w:rsidRPr="001B525F">
        <w:rPr>
          <w:rFonts w:ascii="Arial" w:hAnsi="Arial" w:cs="Arial"/>
          <w:sz w:val="18"/>
          <w:szCs w:val="18"/>
        </w:rPr>
        <w:t>, el Pleno del Instituto determinó someter a Consulta Pública por un plazo de veinte días hábiles contados a partir del día hábil siguiente al de su publicación en el portal de Internet del Instituto el “</w:t>
      </w:r>
      <w:r w:rsidRPr="001B525F">
        <w:rPr>
          <w:rFonts w:ascii="Arial" w:hAnsi="Arial" w:cs="Arial"/>
          <w:bCs/>
          <w:i/>
          <w:sz w:val="18"/>
          <w:szCs w:val="18"/>
          <w:lang w:val="es-ES_tradnl" w:eastAsia="es-MX"/>
        </w:rPr>
        <w:t>Anteproyecto</w:t>
      </w:r>
      <w:r w:rsidRPr="001B525F">
        <w:rPr>
          <w:rFonts w:ascii="Arial" w:hAnsi="Arial" w:cs="Arial"/>
          <w:bCs/>
          <w:i/>
          <w:sz w:val="18"/>
          <w:szCs w:val="18"/>
          <w:lang w:eastAsia="es-MX"/>
        </w:rPr>
        <w:t xml:space="preserve"> de las Condiciones Técnicas Mínimas para la Interconexión entre concesionarios que operen redes públicas de telecomunicaciones y las tarifas que resulten de las </w:t>
      </w:r>
      <w:r w:rsidR="00194AE2" w:rsidRPr="001B525F">
        <w:rPr>
          <w:rFonts w:ascii="Arial" w:hAnsi="Arial" w:cs="Arial"/>
          <w:bCs/>
          <w:i/>
          <w:sz w:val="18"/>
          <w:szCs w:val="18"/>
          <w:lang w:eastAsia="es-MX"/>
        </w:rPr>
        <w:t>m</w:t>
      </w:r>
      <w:r w:rsidRPr="001B525F">
        <w:rPr>
          <w:rFonts w:ascii="Arial" w:hAnsi="Arial" w:cs="Arial"/>
          <w:bCs/>
          <w:i/>
          <w:sz w:val="18"/>
          <w:szCs w:val="18"/>
          <w:lang w:eastAsia="es-MX"/>
        </w:rPr>
        <w:t>etodologías de costos que estarán vigentes del 1 de enero al 31 de diciembre de 202</w:t>
      </w:r>
      <w:r w:rsidR="00016C7C">
        <w:rPr>
          <w:rFonts w:ascii="Arial" w:hAnsi="Arial" w:cs="Arial"/>
          <w:bCs/>
          <w:i/>
          <w:sz w:val="18"/>
          <w:szCs w:val="18"/>
          <w:lang w:eastAsia="es-MX"/>
        </w:rPr>
        <w:t>5</w:t>
      </w:r>
      <w:r w:rsidRPr="001B525F">
        <w:rPr>
          <w:rFonts w:ascii="Arial" w:hAnsi="Arial" w:cs="Arial"/>
          <w:bCs/>
          <w:i/>
          <w:sz w:val="18"/>
          <w:szCs w:val="18"/>
          <w:lang w:eastAsia="es-MX"/>
        </w:rPr>
        <w:t>”</w:t>
      </w:r>
      <w:r w:rsidR="008C5ADF">
        <w:rPr>
          <w:rFonts w:ascii="Arial" w:hAnsi="Arial" w:cs="Arial"/>
          <w:bCs/>
          <w:i/>
          <w:sz w:val="18"/>
          <w:szCs w:val="18"/>
          <w:lang w:eastAsia="es-MX"/>
        </w:rPr>
        <w:t xml:space="preserve">, </w:t>
      </w:r>
      <w:r w:rsidR="008C5ADF" w:rsidRPr="00967F7D">
        <w:rPr>
          <w:rFonts w:ascii="Arial" w:hAnsi="Arial" w:cs="Arial"/>
          <w:bCs/>
          <w:iCs/>
          <w:sz w:val="18"/>
          <w:szCs w:val="18"/>
          <w:lang w:eastAsia="es-MX"/>
        </w:rPr>
        <w:t>mediante</w:t>
      </w:r>
      <w:r w:rsidR="008C5ADF">
        <w:rPr>
          <w:rFonts w:ascii="Arial" w:hAnsi="Arial" w:cs="Arial"/>
          <w:bCs/>
          <w:i/>
          <w:sz w:val="18"/>
          <w:szCs w:val="18"/>
          <w:lang w:eastAsia="es-MX"/>
        </w:rPr>
        <w:t xml:space="preserve"> </w:t>
      </w:r>
      <w:r w:rsidR="008C5ADF" w:rsidRPr="001B525F">
        <w:rPr>
          <w:rFonts w:ascii="Arial" w:hAnsi="Arial" w:cs="Arial"/>
          <w:sz w:val="18"/>
          <w:szCs w:val="18"/>
        </w:rPr>
        <w:t>Acuerdo P/IFT/1</w:t>
      </w:r>
      <w:r w:rsidR="008C5ADF">
        <w:rPr>
          <w:rFonts w:ascii="Arial" w:hAnsi="Arial" w:cs="Arial"/>
          <w:sz w:val="18"/>
          <w:szCs w:val="18"/>
        </w:rPr>
        <w:t>00724</w:t>
      </w:r>
      <w:r w:rsidR="008C5ADF" w:rsidRPr="001B525F">
        <w:rPr>
          <w:rFonts w:ascii="Arial" w:hAnsi="Arial" w:cs="Arial"/>
          <w:sz w:val="18"/>
          <w:szCs w:val="18"/>
        </w:rPr>
        <w:t>/</w:t>
      </w:r>
      <w:r w:rsidR="008C5ADF">
        <w:rPr>
          <w:rFonts w:ascii="Arial" w:hAnsi="Arial" w:cs="Arial"/>
          <w:sz w:val="18"/>
          <w:szCs w:val="18"/>
        </w:rPr>
        <w:t>257</w:t>
      </w:r>
      <w:r w:rsidRPr="001B525F">
        <w:rPr>
          <w:rFonts w:ascii="Arial" w:hAnsi="Arial" w:cs="Arial"/>
          <w:sz w:val="18"/>
          <w:szCs w:val="18"/>
        </w:rPr>
        <w:t xml:space="preserve">. </w:t>
      </w:r>
    </w:p>
    <w:p w14:paraId="66F5C033" w14:textId="77777777" w:rsidR="00350F69" w:rsidRPr="001B525F" w:rsidRDefault="00350F69" w:rsidP="00CC0143">
      <w:pPr>
        <w:spacing w:after="0"/>
        <w:contextualSpacing/>
        <w:rPr>
          <w:rFonts w:ascii="Arial" w:hAnsi="Arial" w:cs="Arial"/>
          <w:sz w:val="18"/>
          <w:szCs w:val="18"/>
          <w:lang w:eastAsia="es-MX"/>
        </w:rPr>
      </w:pPr>
    </w:p>
    <w:p w14:paraId="799C2227" w14:textId="7CDB4315" w:rsidR="001B163B" w:rsidRPr="001B525F" w:rsidRDefault="00350F69" w:rsidP="00CC0143">
      <w:pPr>
        <w:spacing w:after="0"/>
        <w:rPr>
          <w:rFonts w:ascii="Arial" w:hAnsi="Arial" w:cs="Arial"/>
          <w:kern w:val="1"/>
          <w:sz w:val="18"/>
          <w:szCs w:val="18"/>
          <w:lang w:eastAsia="ar-SA"/>
        </w:rPr>
      </w:pPr>
      <w:r w:rsidRPr="001B525F">
        <w:rPr>
          <w:rFonts w:ascii="Arial" w:eastAsia="Times New Roman" w:hAnsi="Arial" w:cs="Arial"/>
          <w:sz w:val="18"/>
          <w:szCs w:val="18"/>
          <w:lang w:eastAsia="es-MX"/>
        </w:rPr>
        <w:t>En virtud de los referidos Antecedentes, y</w:t>
      </w:r>
    </w:p>
    <w:p w14:paraId="20058C95" w14:textId="77777777" w:rsidR="00350F69" w:rsidRPr="001B525F" w:rsidRDefault="00350F69" w:rsidP="00210CFA">
      <w:pPr>
        <w:spacing w:after="0"/>
        <w:rPr>
          <w:rFonts w:ascii="Arial" w:hAnsi="Arial" w:cs="Arial"/>
          <w:kern w:val="1"/>
          <w:sz w:val="18"/>
          <w:szCs w:val="18"/>
          <w:lang w:eastAsia="ar-SA"/>
        </w:rPr>
      </w:pPr>
    </w:p>
    <w:p w14:paraId="5B8EDA03" w14:textId="77777777" w:rsidR="001B163B" w:rsidRPr="001B525F" w:rsidRDefault="001B163B" w:rsidP="00CC0143">
      <w:pPr>
        <w:spacing w:after="0"/>
        <w:jc w:val="center"/>
        <w:rPr>
          <w:rFonts w:ascii="Arial" w:eastAsia="Times New Roman" w:hAnsi="Arial" w:cs="Arial"/>
          <w:b/>
          <w:sz w:val="18"/>
          <w:szCs w:val="18"/>
          <w:lang w:eastAsia="es-MX"/>
        </w:rPr>
      </w:pPr>
      <w:r w:rsidRPr="001B525F">
        <w:rPr>
          <w:rFonts w:ascii="Arial" w:eastAsia="Times New Roman" w:hAnsi="Arial" w:cs="Arial"/>
          <w:b/>
          <w:sz w:val="18"/>
          <w:szCs w:val="18"/>
          <w:lang w:eastAsia="es-MX"/>
        </w:rPr>
        <w:t>Considerando</w:t>
      </w:r>
    </w:p>
    <w:p w14:paraId="4AF33874" w14:textId="77777777" w:rsidR="00194AE2" w:rsidRPr="001B525F" w:rsidRDefault="00194AE2" w:rsidP="00210CFA">
      <w:pPr>
        <w:spacing w:after="0"/>
        <w:rPr>
          <w:rFonts w:ascii="Arial" w:eastAsia="Times New Roman" w:hAnsi="Arial" w:cs="Arial"/>
          <w:b/>
          <w:bCs/>
          <w:sz w:val="18"/>
          <w:szCs w:val="18"/>
          <w:lang w:eastAsia="es-MX"/>
        </w:rPr>
      </w:pPr>
    </w:p>
    <w:p w14:paraId="1877666F" w14:textId="0B80C61C" w:rsidR="00350F69" w:rsidRDefault="00E67A5F" w:rsidP="00CC0143">
      <w:pPr>
        <w:autoSpaceDE w:val="0"/>
        <w:autoSpaceDN w:val="0"/>
        <w:adjustRightInd w:val="0"/>
        <w:spacing w:after="0"/>
        <w:jc w:val="both"/>
        <w:rPr>
          <w:rFonts w:ascii="Arial" w:eastAsia="Times New Roman" w:hAnsi="Arial" w:cs="Arial"/>
          <w:bCs/>
          <w:sz w:val="18"/>
          <w:szCs w:val="18"/>
        </w:rPr>
      </w:pPr>
      <w:r w:rsidRPr="001B525F">
        <w:rPr>
          <w:rFonts w:ascii="Arial" w:eastAsia="Times New Roman" w:hAnsi="Arial" w:cs="Arial"/>
          <w:b/>
          <w:bCs/>
          <w:sz w:val="18"/>
          <w:szCs w:val="18"/>
          <w:lang w:eastAsia="es-ES"/>
        </w:rPr>
        <w:t>Primero</w:t>
      </w:r>
      <w:r w:rsidR="00350F69" w:rsidRPr="001B525F">
        <w:rPr>
          <w:rFonts w:ascii="Arial" w:eastAsia="Times New Roman" w:hAnsi="Arial" w:cs="Arial"/>
          <w:b/>
          <w:bCs/>
          <w:sz w:val="18"/>
          <w:szCs w:val="18"/>
          <w:lang w:eastAsia="es-ES"/>
        </w:rPr>
        <w:t>.- Competencia del Instituto.</w:t>
      </w:r>
      <w:r w:rsidR="00350F69" w:rsidRPr="001B525F">
        <w:rPr>
          <w:rFonts w:ascii="Arial" w:eastAsia="Times New Roman" w:hAnsi="Arial" w:cs="Arial"/>
          <w:bCs/>
          <w:sz w:val="18"/>
          <w:szCs w:val="18"/>
          <w:lang w:eastAsia="es-ES"/>
        </w:rPr>
        <w:t xml:space="preserve"> De conformidad con lo establecido en los artículos 6, apartado B, fracción II,  párrafos décimo quinto, décimo sexto y vigésimo, fracciones I, III y IV, del artículo 28, de la Constitución, así como en los diversos 1, 2, 3, 7, primer párrafo, 1</w:t>
      </w:r>
      <w:r w:rsidR="00350F69" w:rsidRPr="001B525F">
        <w:rPr>
          <w:rFonts w:ascii="Arial" w:eastAsia="Times New Roman" w:hAnsi="Arial" w:cs="Arial"/>
          <w:bCs/>
          <w:sz w:val="18"/>
          <w:szCs w:val="18"/>
        </w:rPr>
        <w:t>5 fracción I, 120, 124, fracción VI, 131, 137 de la LFTR; y 6 del Estatuto Orgánico del Instituto Federal de Telecomunicaciones; el Instituto como órgano autónomo, tiene por objeto el desarrollo eficiente de la radiodifusión y las telecomunicaciones, conforme a lo dispuesto en la Constitución y en los términos que fijen las leyes</w:t>
      </w:r>
      <w:r w:rsidR="008827E4">
        <w:rPr>
          <w:rFonts w:ascii="Arial" w:eastAsia="Times New Roman" w:hAnsi="Arial" w:cs="Arial"/>
          <w:bCs/>
          <w:sz w:val="18"/>
          <w:szCs w:val="18"/>
        </w:rPr>
        <w:t>;</w:t>
      </w:r>
      <w:r w:rsidR="009C4F81">
        <w:rPr>
          <w:rFonts w:ascii="Arial" w:eastAsia="Times New Roman" w:hAnsi="Arial" w:cs="Arial"/>
          <w:bCs/>
          <w:sz w:val="18"/>
          <w:szCs w:val="18"/>
        </w:rPr>
        <w:t xml:space="preserve"> </w:t>
      </w:r>
      <w:r w:rsidR="009C4F81" w:rsidRPr="009C4F81">
        <w:rPr>
          <w:rFonts w:ascii="Arial" w:eastAsia="Times New Roman" w:hAnsi="Arial" w:cs="Arial"/>
          <w:bCs/>
          <w:sz w:val="18"/>
          <w:szCs w:val="18"/>
        </w:rPr>
        <w:t>las telecomunicaciones son servicios públicos de interés general, y es el deber del Estado garantizar que se presten en condiciones de competencia, calidad, pluralidad, cobertura universal, interconexión, convergencia, continuidad, acceso libre y sin injerencias arbitrarias</w:t>
      </w:r>
      <w:r w:rsidR="00350F69" w:rsidRPr="001B525F">
        <w:rPr>
          <w:rFonts w:ascii="Arial" w:eastAsia="Times New Roman" w:hAnsi="Arial" w:cs="Arial"/>
          <w:bCs/>
          <w:sz w:val="18"/>
          <w:szCs w:val="18"/>
        </w:rPr>
        <w:t xml:space="preserve">.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 </w:t>
      </w:r>
    </w:p>
    <w:p w14:paraId="161EBA41" w14:textId="77777777" w:rsidR="004D5D4D" w:rsidRPr="001B525F" w:rsidRDefault="004D5D4D" w:rsidP="00CC0143">
      <w:pPr>
        <w:autoSpaceDE w:val="0"/>
        <w:autoSpaceDN w:val="0"/>
        <w:adjustRightInd w:val="0"/>
        <w:spacing w:after="0"/>
        <w:jc w:val="both"/>
        <w:rPr>
          <w:rFonts w:ascii="Arial" w:eastAsia="Times New Roman" w:hAnsi="Arial" w:cs="Arial"/>
          <w:bCs/>
          <w:sz w:val="18"/>
          <w:szCs w:val="18"/>
        </w:rPr>
      </w:pPr>
    </w:p>
    <w:p w14:paraId="47C32705" w14:textId="03FF1906" w:rsidR="00350F69" w:rsidRPr="001B525F" w:rsidRDefault="00350F69" w:rsidP="00CC0143">
      <w:pPr>
        <w:autoSpaceDE w:val="0"/>
        <w:autoSpaceDN w:val="0"/>
        <w:adjustRightInd w:val="0"/>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Asimismo, e</w:t>
      </w:r>
      <w:r w:rsidR="00581F20" w:rsidRPr="001B525F">
        <w:rPr>
          <w:rFonts w:ascii="Arial" w:eastAsia="Times New Roman" w:hAnsi="Arial" w:cs="Arial"/>
          <w:sz w:val="18"/>
          <w:szCs w:val="18"/>
          <w:lang w:eastAsia="es-ES"/>
        </w:rPr>
        <w:t>l</w:t>
      </w:r>
      <w:r w:rsidRPr="001B525F">
        <w:rPr>
          <w:rFonts w:ascii="Arial" w:eastAsia="Times New Roman" w:hAnsi="Arial" w:cs="Arial"/>
          <w:sz w:val="18"/>
          <w:szCs w:val="18"/>
          <w:lang w:eastAsia="es-ES"/>
        </w:rPr>
        <w:t xml:space="preserve"> Instituto, </w:t>
      </w:r>
      <w:r w:rsidR="00581F20" w:rsidRPr="001B525F">
        <w:rPr>
          <w:rFonts w:ascii="Arial" w:eastAsia="Times New Roman" w:hAnsi="Arial" w:cs="Arial"/>
          <w:sz w:val="18"/>
          <w:szCs w:val="18"/>
          <w:lang w:eastAsia="es-ES"/>
        </w:rPr>
        <w:t>es la</w:t>
      </w:r>
      <w:r w:rsidRPr="001B525F">
        <w:rPr>
          <w:rFonts w:ascii="Arial" w:eastAsia="Times New Roman" w:hAnsi="Arial" w:cs="Arial"/>
          <w:sz w:val="18"/>
          <w:szCs w:val="18"/>
          <w:lang w:eastAsia="es-ES"/>
        </w:rPr>
        <w:t xml:space="preserve"> autoridad en materia de competencia económica de los sectores de radiodifusión y telecomunicaciones, por lo que en éstos ejercerá en forma exclusiva las facultades que del artículo 28 de la Constitución y las leyes establecen para la Comisión Federal de Competencia Económica y regulará de forma asimétrica a los participantes en estos mercados con el objeto de eliminar eficazmente las barreras a la competencia y la libre concurrencia; por lo que, a través de su órgano máximo de gobierno, resulta competente para conocer el presente asunto, al estar facultado para emitir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w:t>
      </w:r>
    </w:p>
    <w:p w14:paraId="24BCCFBF" w14:textId="77777777" w:rsidR="00350F69" w:rsidRPr="001B525F" w:rsidRDefault="00350F69" w:rsidP="00CC0143">
      <w:pPr>
        <w:autoSpaceDE w:val="0"/>
        <w:autoSpaceDN w:val="0"/>
        <w:adjustRightInd w:val="0"/>
        <w:spacing w:after="0"/>
        <w:jc w:val="both"/>
        <w:rPr>
          <w:rFonts w:ascii="Arial" w:eastAsia="Times New Roman" w:hAnsi="Arial" w:cs="Arial"/>
          <w:sz w:val="18"/>
          <w:szCs w:val="18"/>
          <w:lang w:eastAsia="es-ES"/>
        </w:rPr>
      </w:pPr>
    </w:p>
    <w:p w14:paraId="7A7A9F8F" w14:textId="77777777" w:rsidR="00350F69" w:rsidRPr="001B525F" w:rsidRDefault="00350F69" w:rsidP="00CC0143">
      <w:pPr>
        <w:widowControl w:val="0"/>
        <w:spacing w:after="0"/>
        <w:jc w:val="both"/>
        <w:rPr>
          <w:rFonts w:ascii="Arial" w:eastAsia="Times New Roman" w:hAnsi="Arial" w:cs="Arial"/>
          <w:sz w:val="18"/>
          <w:szCs w:val="18"/>
        </w:rPr>
      </w:pPr>
      <w:r w:rsidRPr="001B525F">
        <w:rPr>
          <w:rFonts w:ascii="Arial" w:eastAsia="Times New Roman" w:hAnsi="Arial" w:cs="Arial"/>
          <w:sz w:val="18"/>
          <w:szCs w:val="18"/>
        </w:rPr>
        <w:t>Asimismo, el artículo 137 de la misma LFTR determina que el Instituto publicará en el DOF en el último trimestre del año, las condiciones técnicas mínimas y las tarifas que hayan resultado de las metodologías de costos emitidas por el Instituto, mismas que estarán vigentes durante el año calendario inmediato siguiente.</w:t>
      </w:r>
    </w:p>
    <w:p w14:paraId="4D483499" w14:textId="77777777" w:rsidR="00350F69" w:rsidRPr="001B525F" w:rsidRDefault="00350F69" w:rsidP="00CC0143">
      <w:pPr>
        <w:autoSpaceDE w:val="0"/>
        <w:autoSpaceDN w:val="0"/>
        <w:adjustRightInd w:val="0"/>
        <w:spacing w:after="0"/>
        <w:jc w:val="both"/>
        <w:rPr>
          <w:rFonts w:ascii="Arial" w:hAnsi="Arial" w:cs="Arial"/>
          <w:b/>
          <w:sz w:val="18"/>
          <w:szCs w:val="18"/>
        </w:rPr>
      </w:pPr>
    </w:p>
    <w:p w14:paraId="6616B0F7" w14:textId="2A1D846A" w:rsidR="00350F69" w:rsidRPr="001B525F" w:rsidRDefault="00E67A5F" w:rsidP="00CC0143">
      <w:pPr>
        <w:spacing w:after="0"/>
        <w:ind w:right="49"/>
        <w:jc w:val="both"/>
        <w:rPr>
          <w:rFonts w:ascii="Arial" w:hAnsi="Arial" w:cs="Arial"/>
          <w:sz w:val="18"/>
          <w:szCs w:val="18"/>
        </w:rPr>
      </w:pPr>
      <w:r w:rsidRPr="001B525F">
        <w:rPr>
          <w:rFonts w:ascii="Arial" w:hAnsi="Arial" w:cs="Arial"/>
          <w:b/>
          <w:sz w:val="18"/>
          <w:szCs w:val="18"/>
        </w:rPr>
        <w:t>Segundo</w:t>
      </w:r>
      <w:r w:rsidR="00350F69" w:rsidRPr="001B525F">
        <w:rPr>
          <w:rFonts w:ascii="Arial" w:hAnsi="Arial" w:cs="Arial"/>
          <w:b/>
          <w:sz w:val="18"/>
          <w:szCs w:val="18"/>
        </w:rPr>
        <w:t>.- Condiciones técnicas mínimas para los Servicios de Interconexión.</w:t>
      </w:r>
      <w:r w:rsidR="00350F69" w:rsidRPr="001B525F">
        <w:rPr>
          <w:rFonts w:ascii="Arial" w:hAnsi="Arial" w:cs="Arial"/>
          <w:sz w:val="18"/>
          <w:szCs w:val="18"/>
        </w:rPr>
        <w:t xml:space="preserve"> En materia de acceso e interconexión, el párrafo segundo del artículo 124 de la LFTR establece que el Instituto elaborará, actualizará y administrará los planes técnicos fundamentales de numeración, conmutación, señalización, transmisión, tasación, sincronización e interconexión, entre otros, a los que deberán sujetarse los concesionarios que operen redes públicas de telecomunicaciones. Dichos planes deberán considerar los intereses de los usuarios y de los concesionarios, prevaleciendo los de los primeros y podrán tomar en cuenta las recomendaciones y mejores prácticas internacionales teniendo entre otros el objetivo de definir las condiciones técnicas mínimas necesarias para que la interoperabilidad e interconexión de las redes públicas de telecomunicaciones se dé de manera eficiente, cumpliendo con los estándares de calidad que determine el Instituto.</w:t>
      </w:r>
    </w:p>
    <w:p w14:paraId="0F8FD657" w14:textId="77777777" w:rsidR="00350F69" w:rsidRPr="001B525F" w:rsidRDefault="00350F69" w:rsidP="00CC0143">
      <w:pPr>
        <w:spacing w:after="0"/>
        <w:ind w:right="49"/>
        <w:jc w:val="both"/>
        <w:rPr>
          <w:rFonts w:ascii="Arial" w:hAnsi="Arial" w:cs="Arial"/>
          <w:sz w:val="18"/>
          <w:szCs w:val="18"/>
        </w:rPr>
      </w:pPr>
    </w:p>
    <w:p w14:paraId="1C1E7C95" w14:textId="2E5C5061"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Las condiciones técnicas mínimas deberán </w:t>
      </w:r>
      <w:r w:rsidR="007E059D" w:rsidRPr="001B525F">
        <w:rPr>
          <w:rFonts w:ascii="Arial" w:hAnsi="Arial" w:cs="Arial"/>
          <w:sz w:val="18"/>
          <w:szCs w:val="18"/>
        </w:rPr>
        <w:t xml:space="preserve">ser las adecuadas para la </w:t>
      </w:r>
      <w:r w:rsidR="00104B9A" w:rsidRPr="001B525F">
        <w:rPr>
          <w:rFonts w:ascii="Arial" w:hAnsi="Arial" w:cs="Arial"/>
          <w:sz w:val="18"/>
          <w:szCs w:val="18"/>
        </w:rPr>
        <w:t xml:space="preserve">eficiente </w:t>
      </w:r>
      <w:r w:rsidR="007E059D" w:rsidRPr="001B525F">
        <w:rPr>
          <w:rFonts w:ascii="Arial" w:hAnsi="Arial" w:cs="Arial"/>
          <w:sz w:val="18"/>
          <w:szCs w:val="18"/>
        </w:rPr>
        <w:t xml:space="preserve">prestación </w:t>
      </w:r>
      <w:r w:rsidRPr="001B525F">
        <w:rPr>
          <w:rFonts w:ascii="Arial" w:hAnsi="Arial" w:cs="Arial"/>
          <w:sz w:val="18"/>
          <w:szCs w:val="18"/>
        </w:rPr>
        <w:t>de los servicios de interconexión</w:t>
      </w:r>
      <w:r w:rsidR="007E059D" w:rsidRPr="001B525F">
        <w:rPr>
          <w:rFonts w:ascii="Arial" w:hAnsi="Arial" w:cs="Arial"/>
          <w:sz w:val="18"/>
          <w:szCs w:val="18"/>
        </w:rPr>
        <w:t xml:space="preserve"> y considerar</w:t>
      </w:r>
      <w:r w:rsidRPr="001B525F">
        <w:rPr>
          <w:rFonts w:ascii="Arial" w:hAnsi="Arial" w:cs="Arial"/>
          <w:sz w:val="18"/>
          <w:szCs w:val="18"/>
        </w:rPr>
        <w:t xml:space="preserve"> sus características técnicas y capacidades. </w:t>
      </w:r>
    </w:p>
    <w:p w14:paraId="589E23B7" w14:textId="77777777" w:rsidR="00350F69" w:rsidRPr="001B525F" w:rsidRDefault="00350F69" w:rsidP="00CC0143">
      <w:pPr>
        <w:spacing w:after="0"/>
        <w:ind w:right="49"/>
        <w:jc w:val="both"/>
        <w:rPr>
          <w:rFonts w:ascii="Arial" w:hAnsi="Arial" w:cs="Arial"/>
          <w:sz w:val="18"/>
          <w:szCs w:val="18"/>
        </w:rPr>
      </w:pPr>
    </w:p>
    <w:p w14:paraId="45CCF72D" w14:textId="41C11DA1"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Es así que, en términos de lo señalado en el artículo 133 de la LFTR, la prestación de los servicios de interconexión señalados en las fracciones I a IV del artículo 127 será obligatori</w:t>
      </w:r>
      <w:r w:rsidR="007E059D" w:rsidRPr="001B525F">
        <w:rPr>
          <w:rFonts w:ascii="Arial" w:hAnsi="Arial" w:cs="Arial"/>
          <w:color w:val="auto"/>
          <w:sz w:val="18"/>
          <w:szCs w:val="18"/>
        </w:rPr>
        <w:t>a</w:t>
      </w:r>
      <w:r w:rsidRPr="001B525F">
        <w:rPr>
          <w:rFonts w:ascii="Arial" w:hAnsi="Arial" w:cs="Arial"/>
          <w:color w:val="auto"/>
          <w:sz w:val="18"/>
          <w:szCs w:val="18"/>
        </w:rPr>
        <w:t xml:space="preserve"> para todos los concesionarios, mientras que la prestación de todos los servicios del mencionado artículo será obligatoria para el agente económico preponderante, así como para el resto de los concesionarios únicamente cuando se actualice la hipótesis de no discriminación establecida en el artículo 125 de la misma LFTR.</w:t>
      </w:r>
    </w:p>
    <w:p w14:paraId="63334F10" w14:textId="77777777"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p>
    <w:p w14:paraId="426D1139" w14:textId="77777777"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Los servicios establecidos en el artículo 127 de la LFTR, al efecto son:</w:t>
      </w:r>
    </w:p>
    <w:p w14:paraId="6D3A8D93" w14:textId="77777777"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p>
    <w:p w14:paraId="7A562062"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lang w:val="es-ES"/>
        </w:rPr>
      </w:pPr>
      <w:r w:rsidRPr="5459DB53">
        <w:rPr>
          <w:rFonts w:ascii="Arial" w:hAnsi="Arial" w:cs="Arial"/>
          <w:color w:val="auto"/>
          <w:sz w:val="18"/>
          <w:szCs w:val="18"/>
          <w:lang w:val="es-ES"/>
        </w:rPr>
        <w:t>Conducción de tráfico, que incluye su originación y terminación, así como llamadas y servicios de mensajes cortos;</w:t>
      </w:r>
    </w:p>
    <w:p w14:paraId="552543AA"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Enlaces de Transmisión;</w:t>
      </w:r>
    </w:p>
    <w:p w14:paraId="11A1B889"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Puertos de acceso;</w:t>
      </w:r>
    </w:p>
    <w:p w14:paraId="04312934"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Señalización;</w:t>
      </w:r>
    </w:p>
    <w:p w14:paraId="6D0663AA"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Tránsito;</w:t>
      </w:r>
    </w:p>
    <w:p w14:paraId="292A5E4E"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lang w:val="es-ES"/>
        </w:rPr>
      </w:pPr>
      <w:r w:rsidRPr="5459DB53">
        <w:rPr>
          <w:rFonts w:ascii="Arial" w:hAnsi="Arial" w:cs="Arial"/>
          <w:color w:val="auto"/>
          <w:sz w:val="18"/>
          <w:szCs w:val="18"/>
          <w:lang w:val="es-ES"/>
        </w:rPr>
        <w:t>Coubicación;</w:t>
      </w:r>
    </w:p>
    <w:p w14:paraId="59709F64"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Compartición de infraestructura;</w:t>
      </w:r>
    </w:p>
    <w:p w14:paraId="509F9CFD"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 xml:space="preserve">Auxiliares conexos, y </w:t>
      </w:r>
    </w:p>
    <w:p w14:paraId="165671B3" w14:textId="77777777" w:rsidR="00350F69" w:rsidRPr="001B525F" w:rsidRDefault="00350F69" w:rsidP="004A0A71">
      <w:pPr>
        <w:pStyle w:val="Default"/>
        <w:numPr>
          <w:ilvl w:val="0"/>
          <w:numId w:val="26"/>
        </w:numPr>
        <w:tabs>
          <w:tab w:val="left" w:pos="1276"/>
        </w:tabs>
        <w:spacing w:line="276" w:lineRule="auto"/>
        <w:ind w:left="709" w:hanging="357"/>
        <w:jc w:val="both"/>
        <w:rPr>
          <w:rFonts w:ascii="Arial" w:hAnsi="Arial" w:cs="Arial"/>
          <w:color w:val="auto"/>
          <w:sz w:val="18"/>
          <w:szCs w:val="18"/>
        </w:rPr>
      </w:pPr>
      <w:r w:rsidRPr="001B525F">
        <w:rPr>
          <w:rFonts w:ascii="Arial" w:hAnsi="Arial" w:cs="Arial"/>
          <w:color w:val="auto"/>
          <w:sz w:val="18"/>
          <w:szCs w:val="18"/>
        </w:rPr>
        <w:t>Facturación y Cobranza.</w:t>
      </w:r>
    </w:p>
    <w:p w14:paraId="0D54A710" w14:textId="77777777" w:rsidR="00350F69" w:rsidRPr="001B525F" w:rsidRDefault="00350F69" w:rsidP="00CC0143">
      <w:pPr>
        <w:pStyle w:val="Default"/>
        <w:tabs>
          <w:tab w:val="left" w:pos="1276"/>
        </w:tabs>
        <w:spacing w:line="276" w:lineRule="auto"/>
        <w:ind w:left="1080" w:right="49"/>
        <w:jc w:val="both"/>
        <w:rPr>
          <w:rFonts w:ascii="Arial" w:hAnsi="Arial" w:cs="Arial"/>
          <w:color w:val="auto"/>
          <w:sz w:val="18"/>
          <w:szCs w:val="18"/>
        </w:rPr>
      </w:pPr>
    </w:p>
    <w:p w14:paraId="0399CBC9" w14:textId="49095212"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La </w:t>
      </w:r>
      <w:r w:rsidR="007E059D" w:rsidRPr="001B525F">
        <w:rPr>
          <w:rFonts w:ascii="Arial" w:hAnsi="Arial" w:cs="Arial"/>
          <w:sz w:val="18"/>
          <w:szCs w:val="18"/>
        </w:rPr>
        <w:t xml:space="preserve">prestación </w:t>
      </w:r>
      <w:r w:rsidRPr="001B525F">
        <w:rPr>
          <w:rFonts w:ascii="Arial" w:hAnsi="Arial" w:cs="Arial"/>
          <w:sz w:val="18"/>
          <w:szCs w:val="18"/>
        </w:rPr>
        <w:t>de los mencionados servicios, así como las condiciones técnicas aplicables deberán sujetarse al criterio de que los mismos deben permitir un intercambio eficiente de tráfico entre redes públicas de telecomunicaciones en condiciones equitativas y que permitan el establecimiento de las bases para una competencia</w:t>
      </w:r>
      <w:r w:rsidR="00B029D1" w:rsidRPr="001B525F">
        <w:rPr>
          <w:rFonts w:ascii="Arial" w:hAnsi="Arial" w:cs="Arial"/>
          <w:sz w:val="18"/>
          <w:szCs w:val="18"/>
        </w:rPr>
        <w:t xml:space="preserve"> efectiva</w:t>
      </w:r>
      <w:r w:rsidRPr="001B525F">
        <w:rPr>
          <w:rFonts w:ascii="Arial" w:hAnsi="Arial" w:cs="Arial"/>
          <w:sz w:val="18"/>
          <w:szCs w:val="18"/>
        </w:rPr>
        <w:t>.</w:t>
      </w:r>
    </w:p>
    <w:p w14:paraId="3E2B8F9F" w14:textId="77777777" w:rsidR="00350F69" w:rsidRPr="001B525F" w:rsidRDefault="00350F69" w:rsidP="00CC0143">
      <w:pPr>
        <w:spacing w:after="0"/>
        <w:ind w:right="49"/>
        <w:jc w:val="both"/>
        <w:rPr>
          <w:rFonts w:ascii="Arial" w:hAnsi="Arial" w:cs="Arial"/>
          <w:sz w:val="18"/>
          <w:szCs w:val="18"/>
        </w:rPr>
      </w:pPr>
    </w:p>
    <w:p w14:paraId="2831AA0B" w14:textId="74CC9886"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Es así </w:t>
      </w:r>
      <w:r w:rsidR="000625E5" w:rsidRPr="001B525F">
        <w:rPr>
          <w:rFonts w:ascii="Arial" w:hAnsi="Arial" w:cs="Arial"/>
          <w:sz w:val="18"/>
          <w:szCs w:val="18"/>
        </w:rPr>
        <w:t>como</w:t>
      </w:r>
      <w:r w:rsidRPr="001B525F">
        <w:rPr>
          <w:rFonts w:ascii="Arial" w:hAnsi="Arial" w:cs="Arial"/>
          <w:sz w:val="18"/>
          <w:szCs w:val="18"/>
        </w:rPr>
        <w:t>, el establecimiento de las condiciones técnicas mínimas facilita la interconexión de los operadores existentes y de los nuevos participantes, permitiendo obtener las condiciones básicas de interconexión sin necesidad de participar en largas negociaciones ayudando a evitar una discriminación indebida por parte de cualquier concesionario (o por las dos partes de un acuerdo).</w:t>
      </w:r>
    </w:p>
    <w:p w14:paraId="23EB7603" w14:textId="29F5633E"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lastRenderedPageBreak/>
        <w:t>En este tenor es importante señalar que el Plan Técnico Fundamental de Interconexión e Interoperabilidad</w:t>
      </w:r>
      <w:r w:rsidR="000645CC" w:rsidRPr="001B525F">
        <w:rPr>
          <w:rStyle w:val="Refdenotaalpie"/>
          <w:rFonts w:ascii="Arial" w:hAnsi="Arial" w:cs="Arial"/>
          <w:sz w:val="18"/>
          <w:szCs w:val="18"/>
        </w:rPr>
        <w:footnoteReference w:id="2"/>
      </w:r>
      <w:r w:rsidRPr="001B525F">
        <w:rPr>
          <w:rFonts w:ascii="Arial" w:hAnsi="Arial" w:cs="Arial"/>
          <w:sz w:val="18"/>
          <w:szCs w:val="18"/>
        </w:rPr>
        <w:t xml:space="preserve"> </w:t>
      </w:r>
      <w:r w:rsidR="00B029D1" w:rsidRPr="001B525F">
        <w:rPr>
          <w:rFonts w:ascii="Arial" w:hAnsi="Arial" w:cs="Arial"/>
          <w:sz w:val="18"/>
          <w:szCs w:val="18"/>
        </w:rPr>
        <w:t>establece las</w:t>
      </w:r>
      <w:r w:rsidRPr="001B525F">
        <w:rPr>
          <w:rFonts w:ascii="Arial" w:hAnsi="Arial" w:cs="Arial"/>
          <w:sz w:val="18"/>
          <w:szCs w:val="18"/>
        </w:rPr>
        <w:t xml:space="preserve"> condiciones técnicas relacionadas con estándares de transmisión y protocolos de señalización que tienen el propósito de que los concesionarios interconecten sus redes públicas de telecomunicaciones de forma eficiente.</w:t>
      </w:r>
    </w:p>
    <w:p w14:paraId="1B1B2829" w14:textId="77777777" w:rsidR="00350F69" w:rsidRPr="001B525F" w:rsidRDefault="00350F69" w:rsidP="00CC0143">
      <w:pPr>
        <w:spacing w:after="0"/>
        <w:ind w:right="49"/>
        <w:jc w:val="both"/>
        <w:rPr>
          <w:rFonts w:ascii="Arial" w:hAnsi="Arial" w:cs="Arial"/>
          <w:sz w:val="18"/>
          <w:szCs w:val="18"/>
        </w:rPr>
      </w:pPr>
    </w:p>
    <w:p w14:paraId="27616ABF" w14:textId="2EDECEC4" w:rsidR="00350F69" w:rsidRPr="001B525F" w:rsidRDefault="00350F69">
      <w:pPr>
        <w:spacing w:after="0"/>
        <w:ind w:right="49"/>
        <w:jc w:val="both"/>
        <w:rPr>
          <w:rFonts w:ascii="Arial" w:hAnsi="Arial" w:cs="Arial"/>
          <w:sz w:val="18"/>
          <w:szCs w:val="18"/>
        </w:rPr>
      </w:pPr>
      <w:r w:rsidRPr="001B525F">
        <w:rPr>
          <w:rFonts w:ascii="Arial" w:hAnsi="Arial" w:cs="Arial"/>
          <w:sz w:val="18"/>
          <w:szCs w:val="18"/>
        </w:rPr>
        <w:t xml:space="preserve">En este contexto, </w:t>
      </w:r>
      <w:r w:rsidR="00BC69DE">
        <w:rPr>
          <w:rFonts w:ascii="Arial" w:hAnsi="Arial" w:cs="Arial"/>
          <w:sz w:val="18"/>
          <w:szCs w:val="18"/>
        </w:rPr>
        <w:t xml:space="preserve">el Instituto definió </w:t>
      </w:r>
      <w:r w:rsidRPr="001B525F">
        <w:rPr>
          <w:rFonts w:ascii="Arial" w:hAnsi="Arial" w:cs="Arial"/>
          <w:sz w:val="18"/>
          <w:szCs w:val="18"/>
        </w:rPr>
        <w:t xml:space="preserve">el sistema de señalización a utilizarse entre las redes públicas de telecomunicaciones, </w:t>
      </w:r>
      <w:r w:rsidR="00B029D1" w:rsidRPr="001B525F">
        <w:rPr>
          <w:rFonts w:ascii="Arial" w:hAnsi="Arial" w:cs="Arial"/>
          <w:sz w:val="18"/>
          <w:szCs w:val="18"/>
        </w:rPr>
        <w:t>que</w:t>
      </w:r>
      <w:r w:rsidRPr="001B525F">
        <w:rPr>
          <w:rFonts w:ascii="Arial" w:hAnsi="Arial" w:cs="Arial"/>
          <w:sz w:val="18"/>
          <w:szCs w:val="18"/>
        </w:rPr>
        <w:t xml:space="preserve"> propici</w:t>
      </w:r>
      <w:r w:rsidR="00BC69DE">
        <w:rPr>
          <w:rFonts w:ascii="Arial" w:hAnsi="Arial" w:cs="Arial"/>
          <w:sz w:val="18"/>
          <w:szCs w:val="18"/>
        </w:rPr>
        <w:t>ara</w:t>
      </w:r>
      <w:r w:rsidRPr="001B525F">
        <w:rPr>
          <w:rFonts w:ascii="Arial" w:hAnsi="Arial" w:cs="Arial"/>
          <w:sz w:val="18"/>
          <w:szCs w:val="18"/>
        </w:rPr>
        <w:t xml:space="preserve"> </w:t>
      </w:r>
      <w:r w:rsidRPr="001B525F" w:rsidDel="00BC69DE">
        <w:rPr>
          <w:rFonts w:ascii="Arial" w:hAnsi="Arial" w:cs="Arial"/>
          <w:sz w:val="18"/>
          <w:szCs w:val="18"/>
        </w:rPr>
        <w:t>una</w:t>
      </w:r>
      <w:r w:rsidRPr="001B525F">
        <w:rPr>
          <w:rFonts w:ascii="Arial" w:hAnsi="Arial" w:cs="Arial"/>
          <w:sz w:val="18"/>
          <w:szCs w:val="18"/>
        </w:rPr>
        <w:t xml:space="preserve"> óptima interconexión</w:t>
      </w:r>
      <w:r w:rsidR="005809F7" w:rsidRPr="001B525F">
        <w:rPr>
          <w:rFonts w:ascii="Arial" w:hAnsi="Arial" w:cs="Arial"/>
          <w:sz w:val="18"/>
          <w:szCs w:val="18"/>
        </w:rPr>
        <w:t>, consolida</w:t>
      </w:r>
      <w:r w:rsidR="00BC69DE">
        <w:rPr>
          <w:rFonts w:ascii="Arial" w:hAnsi="Arial" w:cs="Arial"/>
          <w:sz w:val="18"/>
          <w:szCs w:val="18"/>
        </w:rPr>
        <w:t>ra</w:t>
      </w:r>
      <w:r w:rsidR="005809F7" w:rsidRPr="001B525F">
        <w:rPr>
          <w:rFonts w:ascii="Arial" w:hAnsi="Arial" w:cs="Arial"/>
          <w:sz w:val="18"/>
          <w:szCs w:val="18"/>
        </w:rPr>
        <w:t xml:space="preserve"> la transición tecnológica y de mercado hacia redes de nueva generación </w:t>
      </w:r>
      <w:r w:rsidR="00B029D1" w:rsidRPr="001B525F">
        <w:rPr>
          <w:rFonts w:ascii="Arial" w:hAnsi="Arial" w:cs="Arial"/>
          <w:sz w:val="18"/>
          <w:szCs w:val="18"/>
        </w:rPr>
        <w:t xml:space="preserve">a fin de asegurar que todo usuario pueda tener acceso a cualquier servicio, aplicación y pueda comunicarse con cualquier usuario de cualquier red, </w:t>
      </w:r>
      <w:r w:rsidRPr="001B525F">
        <w:rPr>
          <w:rFonts w:ascii="Arial" w:hAnsi="Arial" w:cs="Arial"/>
          <w:sz w:val="18"/>
          <w:szCs w:val="18"/>
        </w:rPr>
        <w:t>en un ambiente de libre competencia</w:t>
      </w:r>
      <w:r w:rsidR="005809F7" w:rsidRPr="001B525F">
        <w:rPr>
          <w:rFonts w:ascii="Arial" w:hAnsi="Arial" w:cs="Arial"/>
          <w:sz w:val="18"/>
          <w:szCs w:val="18"/>
        </w:rPr>
        <w:t>.</w:t>
      </w:r>
    </w:p>
    <w:p w14:paraId="5F48FC59" w14:textId="77777777" w:rsidR="00350F69" w:rsidRPr="001B525F" w:rsidRDefault="00350F69" w:rsidP="00CC0143">
      <w:pPr>
        <w:spacing w:after="0"/>
        <w:ind w:right="49"/>
        <w:jc w:val="both"/>
        <w:rPr>
          <w:rFonts w:ascii="Arial" w:hAnsi="Arial" w:cs="Arial"/>
          <w:sz w:val="18"/>
          <w:szCs w:val="18"/>
        </w:rPr>
      </w:pPr>
    </w:p>
    <w:p w14:paraId="65D50D4B" w14:textId="5042892A" w:rsidR="00350F69" w:rsidRPr="001B525F" w:rsidRDefault="00B029D1" w:rsidP="005809F7">
      <w:pPr>
        <w:spacing w:after="0"/>
        <w:ind w:right="49"/>
        <w:jc w:val="both"/>
        <w:rPr>
          <w:rFonts w:ascii="Arial" w:hAnsi="Arial" w:cs="Arial"/>
          <w:sz w:val="18"/>
          <w:szCs w:val="18"/>
        </w:rPr>
      </w:pPr>
      <w:r w:rsidRPr="001B525F">
        <w:rPr>
          <w:rFonts w:ascii="Arial" w:hAnsi="Arial" w:cs="Arial"/>
          <w:sz w:val="18"/>
          <w:szCs w:val="18"/>
        </w:rPr>
        <w:t>Por lo que</w:t>
      </w:r>
      <w:r w:rsidR="00350F69" w:rsidRPr="001B525F">
        <w:rPr>
          <w:rFonts w:ascii="Arial" w:hAnsi="Arial" w:cs="Arial"/>
          <w:sz w:val="18"/>
          <w:szCs w:val="18"/>
        </w:rPr>
        <w:t xml:space="preserve">, </w:t>
      </w:r>
      <w:r w:rsidR="005809F7" w:rsidRPr="001B525F">
        <w:rPr>
          <w:rFonts w:ascii="Arial" w:hAnsi="Arial" w:cs="Arial"/>
          <w:sz w:val="18"/>
          <w:szCs w:val="18"/>
        </w:rPr>
        <w:t>se definió el protocolo de señalización Session Initiation Protocol (en lo sucesivo, “SIP”) considerando</w:t>
      </w:r>
      <w:r w:rsidRPr="001B525F">
        <w:rPr>
          <w:rFonts w:ascii="Arial" w:hAnsi="Arial" w:cs="Arial"/>
          <w:sz w:val="18"/>
          <w:szCs w:val="18"/>
        </w:rPr>
        <w:t xml:space="preserve"> la adopción de </w:t>
      </w:r>
      <w:r w:rsidR="00350F69" w:rsidRPr="001B525F">
        <w:rPr>
          <w:rFonts w:ascii="Arial" w:hAnsi="Arial" w:cs="Arial"/>
          <w:sz w:val="18"/>
          <w:szCs w:val="18"/>
        </w:rPr>
        <w:t>tecnologías basadas en protocolo internet (en lo sucesivo, “IP”) para la interconexión entre redes de telecomunicaciones</w:t>
      </w:r>
      <w:r w:rsidR="005809F7" w:rsidRPr="001B525F">
        <w:rPr>
          <w:rFonts w:ascii="Arial" w:hAnsi="Arial" w:cs="Arial"/>
          <w:sz w:val="18"/>
          <w:szCs w:val="18"/>
        </w:rPr>
        <w:t xml:space="preserve"> y se</w:t>
      </w:r>
      <w:r w:rsidRPr="001B525F">
        <w:rPr>
          <w:rFonts w:ascii="Arial" w:hAnsi="Arial" w:cs="Arial"/>
          <w:sz w:val="18"/>
          <w:szCs w:val="18"/>
        </w:rPr>
        <w:t xml:space="preserve"> </w:t>
      </w:r>
      <w:r w:rsidR="005809F7" w:rsidRPr="001B525F">
        <w:rPr>
          <w:rFonts w:ascii="Arial" w:hAnsi="Arial" w:cs="Arial"/>
          <w:sz w:val="18"/>
          <w:szCs w:val="18"/>
        </w:rPr>
        <w:t>definieron</w:t>
      </w:r>
      <w:r w:rsidR="00350F69" w:rsidRPr="001B525F">
        <w:rPr>
          <w:rFonts w:ascii="Arial" w:hAnsi="Arial" w:cs="Arial"/>
          <w:sz w:val="18"/>
          <w:szCs w:val="18"/>
        </w:rPr>
        <w:t xml:space="preserve"> los parámetros y métodos d</w:t>
      </w:r>
      <w:r w:rsidR="005809F7" w:rsidRPr="001B525F">
        <w:rPr>
          <w:rFonts w:ascii="Arial" w:hAnsi="Arial" w:cs="Arial"/>
          <w:sz w:val="18"/>
          <w:szCs w:val="18"/>
        </w:rPr>
        <w:t>e dicho protocolo</w:t>
      </w:r>
      <w:r w:rsidR="00350F69" w:rsidRPr="001B525F">
        <w:rPr>
          <w:rFonts w:ascii="Arial" w:hAnsi="Arial" w:cs="Arial"/>
          <w:sz w:val="18"/>
          <w:szCs w:val="18"/>
        </w:rPr>
        <w:t xml:space="preserve">. </w:t>
      </w:r>
      <w:r w:rsidR="0052784A">
        <w:rPr>
          <w:rFonts w:ascii="Arial" w:hAnsi="Arial" w:cs="Arial"/>
          <w:sz w:val="18"/>
          <w:szCs w:val="18"/>
        </w:rPr>
        <w:t xml:space="preserve">Además, se definió un proceso de migración de interconexión mediante tecnología basada en Multiplexación por División de Tiempo a IP, estableciendo como plazo para la realización de dicha migración al 31 de enero del 2022. </w:t>
      </w:r>
    </w:p>
    <w:p w14:paraId="396BF33A" w14:textId="77777777" w:rsidR="00350F69" w:rsidRPr="001B525F" w:rsidRDefault="00350F69" w:rsidP="00CC0143">
      <w:pPr>
        <w:spacing w:after="0"/>
        <w:ind w:right="49"/>
        <w:jc w:val="both"/>
        <w:rPr>
          <w:rFonts w:ascii="Arial" w:hAnsi="Arial" w:cs="Arial"/>
          <w:sz w:val="18"/>
          <w:szCs w:val="18"/>
        </w:rPr>
      </w:pPr>
    </w:p>
    <w:p w14:paraId="37D52846" w14:textId="4E2970C0"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Por lo anterior y en cumplimiento al artículo 137 de la LFTR el Instituto determina las condiciones técnicas mínimas para la interconexión, mismas que en su caso serían aplicables al periodo del 1 de enero al 31 de diciembre de 202</w:t>
      </w:r>
      <w:r w:rsidR="00016C7C">
        <w:rPr>
          <w:rFonts w:ascii="Arial" w:hAnsi="Arial" w:cs="Arial"/>
          <w:sz w:val="18"/>
          <w:szCs w:val="18"/>
        </w:rPr>
        <w:t>5</w:t>
      </w:r>
      <w:r w:rsidRPr="001B525F">
        <w:rPr>
          <w:rFonts w:ascii="Arial" w:hAnsi="Arial" w:cs="Arial"/>
          <w:sz w:val="18"/>
          <w:szCs w:val="18"/>
        </w:rPr>
        <w:t>.</w:t>
      </w:r>
    </w:p>
    <w:p w14:paraId="0776E33E" w14:textId="77777777" w:rsidR="00350F69" w:rsidRPr="001B525F" w:rsidRDefault="00350F69" w:rsidP="00CC0143">
      <w:pPr>
        <w:autoSpaceDE w:val="0"/>
        <w:autoSpaceDN w:val="0"/>
        <w:adjustRightInd w:val="0"/>
        <w:spacing w:after="0"/>
        <w:jc w:val="both"/>
        <w:rPr>
          <w:rFonts w:ascii="Arial" w:hAnsi="Arial" w:cs="Arial"/>
          <w:sz w:val="18"/>
          <w:szCs w:val="18"/>
        </w:rPr>
      </w:pPr>
    </w:p>
    <w:p w14:paraId="76F884E2" w14:textId="5798CAC5" w:rsidR="00350F69" w:rsidRPr="003C0880" w:rsidRDefault="00E67A5F" w:rsidP="00CC0143">
      <w:pPr>
        <w:spacing w:after="0"/>
        <w:ind w:right="49"/>
        <w:jc w:val="both"/>
        <w:rPr>
          <w:rFonts w:ascii="Arial" w:hAnsi="Arial" w:cs="Arial"/>
          <w:sz w:val="18"/>
          <w:szCs w:val="18"/>
        </w:rPr>
      </w:pPr>
      <w:r w:rsidRPr="001B525F">
        <w:rPr>
          <w:rFonts w:ascii="Arial" w:hAnsi="Arial" w:cs="Arial"/>
          <w:b/>
          <w:sz w:val="18"/>
          <w:szCs w:val="18"/>
        </w:rPr>
        <w:t>Tercero</w:t>
      </w:r>
      <w:r w:rsidR="00350F69" w:rsidRPr="001B525F">
        <w:rPr>
          <w:rFonts w:ascii="Arial" w:hAnsi="Arial" w:cs="Arial"/>
          <w:b/>
          <w:sz w:val="18"/>
          <w:szCs w:val="18"/>
        </w:rPr>
        <w:t xml:space="preserve">.- Ejecutoria dictada en el Amparo en Revisión 1100/2015 por la Segunda Sala de la Suprema Corte de Justicia de la Nación. </w:t>
      </w:r>
      <w:r w:rsidR="00350F69" w:rsidRPr="003C0880">
        <w:rPr>
          <w:rFonts w:ascii="Arial" w:hAnsi="Arial" w:cs="Arial"/>
          <w:sz w:val="18"/>
          <w:szCs w:val="18"/>
        </w:rPr>
        <w:t xml:space="preserve">El 16 de agosto de 2017 la Segunda Sala de la Suprema Corte de Justicia de la Nación (en lo sucesivo, la “SCJN”) dictó ejecutoria </w:t>
      </w:r>
      <w:r w:rsidR="00350F69" w:rsidRPr="00316476">
        <w:rPr>
          <w:rFonts w:ascii="Arial" w:hAnsi="Arial" w:cs="Arial"/>
          <w:sz w:val="18"/>
          <w:szCs w:val="18"/>
        </w:rPr>
        <w:t>en el Amparo en Revisión 1100/2015</w:t>
      </w:r>
      <w:r w:rsidR="00350F69" w:rsidRPr="003C0880">
        <w:rPr>
          <w:rFonts w:ascii="Arial" w:hAnsi="Arial" w:cs="Arial"/>
          <w:sz w:val="18"/>
          <w:szCs w:val="18"/>
        </w:rPr>
        <w:t>, interpuesto por el apoderado legal de Radiomóvil Dipsa, S.A. de C.V. (en lo sucesivo, “Telcel”), en contra de la sentencia dictada por la Juez Segundo de Distrito en Materia Administrativa Especializada en Competencia Económica, Radiodifusión y Telecomunicaciones, con residencia en la Ciudad de México y Jurisdicción en toda la República, de fecha dieciocho de febrero de dos mil quince, en el juicio de amparo indirecto 204/2014.</w:t>
      </w:r>
    </w:p>
    <w:p w14:paraId="370EB741" w14:textId="77777777" w:rsidR="00350F69" w:rsidRPr="001B525F" w:rsidRDefault="00350F69" w:rsidP="00CC0143">
      <w:pPr>
        <w:spacing w:after="0"/>
        <w:ind w:right="49"/>
        <w:jc w:val="both"/>
        <w:rPr>
          <w:rFonts w:ascii="Arial" w:hAnsi="Arial" w:cs="Arial"/>
          <w:sz w:val="18"/>
          <w:szCs w:val="18"/>
        </w:rPr>
      </w:pPr>
    </w:p>
    <w:p w14:paraId="4A991AD8"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dicha ejecutoria, la SCJN resolvió declarar inconstitucional el sistema normativo consistente en el inciso a) del párrafo segundo y párrafo tercero del artículo 131 de la LFTR, así como los artículos Transitorios Sexto, Vigésimo y Trigésimo Quinto, en aquellas porciones normativas en las que se tenga el objeto o efecto de aplicar el régimen de gratuidad o tarifa cero al agente económico preponderante (párrafo 141 de la ejecutoria).</w:t>
      </w:r>
    </w:p>
    <w:p w14:paraId="6EA7AF53" w14:textId="77777777" w:rsidR="00350F69" w:rsidRPr="001B525F" w:rsidRDefault="00350F69" w:rsidP="00CC0143">
      <w:pPr>
        <w:spacing w:after="0"/>
        <w:ind w:right="49"/>
        <w:jc w:val="both"/>
        <w:rPr>
          <w:rFonts w:ascii="Arial" w:hAnsi="Arial" w:cs="Arial"/>
          <w:sz w:val="18"/>
          <w:szCs w:val="18"/>
        </w:rPr>
      </w:pPr>
    </w:p>
    <w:p w14:paraId="31FE01B5" w14:textId="77777777" w:rsidR="00350F69" w:rsidRPr="003C0880" w:rsidRDefault="00350F69" w:rsidP="00CC0143">
      <w:pPr>
        <w:spacing w:after="0"/>
        <w:ind w:right="49"/>
        <w:jc w:val="both"/>
        <w:rPr>
          <w:rFonts w:ascii="Arial" w:hAnsi="Arial" w:cs="Arial"/>
          <w:sz w:val="18"/>
          <w:szCs w:val="18"/>
        </w:rPr>
      </w:pPr>
      <w:r w:rsidRPr="003C0880">
        <w:rPr>
          <w:rFonts w:ascii="Arial" w:hAnsi="Arial" w:cs="Arial"/>
          <w:sz w:val="18"/>
          <w:szCs w:val="18"/>
        </w:rPr>
        <w:t xml:space="preserve">Ahora bien, en dicha ejecutoria, la Segunda sala de la SCJN resolvió que </w:t>
      </w:r>
      <w:r w:rsidRPr="00316476">
        <w:rPr>
          <w:rFonts w:ascii="Arial" w:hAnsi="Arial" w:cs="Arial"/>
          <w:sz w:val="18"/>
          <w:szCs w:val="18"/>
        </w:rPr>
        <w:t>la Justicia de la Unión Ampara y Protege a Telcel</w:t>
      </w:r>
      <w:r w:rsidRPr="003C0880">
        <w:rPr>
          <w:rFonts w:ascii="Arial" w:hAnsi="Arial" w:cs="Arial"/>
          <w:sz w:val="18"/>
          <w:szCs w:val="18"/>
        </w:rPr>
        <w:t>, para los siguientes efectos (párrafo 181 de la ejecutoria):</w:t>
      </w:r>
    </w:p>
    <w:p w14:paraId="78944EA6" w14:textId="77777777" w:rsidR="00350F69" w:rsidRPr="001B525F" w:rsidRDefault="00350F69" w:rsidP="00CC0143">
      <w:pPr>
        <w:spacing w:after="0"/>
        <w:jc w:val="both"/>
        <w:rPr>
          <w:rFonts w:ascii="Arial" w:hAnsi="Arial" w:cs="Arial"/>
          <w:sz w:val="18"/>
          <w:szCs w:val="18"/>
        </w:rPr>
      </w:pPr>
    </w:p>
    <w:p w14:paraId="6C9A2499" w14:textId="77777777" w:rsidR="00350F69" w:rsidRPr="001B525F" w:rsidRDefault="00350F69" w:rsidP="004A0A71">
      <w:pPr>
        <w:pStyle w:val="Prrafodelista"/>
        <w:numPr>
          <w:ilvl w:val="0"/>
          <w:numId w:val="45"/>
        </w:numPr>
        <w:spacing w:line="276" w:lineRule="auto"/>
        <w:ind w:left="709" w:hanging="357"/>
        <w:contextualSpacing/>
        <w:jc w:val="both"/>
        <w:rPr>
          <w:rFonts w:cs="Arial"/>
          <w:i/>
          <w:sz w:val="16"/>
          <w:szCs w:val="16"/>
        </w:rPr>
      </w:pPr>
      <w:r w:rsidRPr="001B525F">
        <w:rPr>
          <w:rFonts w:cs="Arial"/>
          <w:i/>
          <w:sz w:val="16"/>
          <w:szCs w:val="16"/>
        </w:rPr>
        <w:t xml:space="preserve">El Instituto Federal de Telecomunicaciones, en los términos de la presente ejecutoria, dejará de aplicar a </w:t>
      </w:r>
      <w:r w:rsidRPr="001B525F">
        <w:rPr>
          <w:rFonts w:cs="Arial"/>
          <w:i/>
          <w:sz w:val="16"/>
          <w:szCs w:val="16"/>
          <w:u w:val="single"/>
        </w:rPr>
        <w:t>Radiomóvil Dipsa</w:t>
      </w:r>
      <w:r w:rsidRPr="001B525F">
        <w:rPr>
          <w:rFonts w:cs="Arial"/>
          <w:i/>
          <w:sz w:val="16"/>
          <w:szCs w:val="16"/>
        </w:rPr>
        <w:t xml:space="preserve"> el sistema normativo declarado inconstitucional.</w:t>
      </w:r>
    </w:p>
    <w:p w14:paraId="707AE9CE" w14:textId="77777777" w:rsidR="00350F69" w:rsidRPr="001B525F" w:rsidRDefault="00350F69" w:rsidP="004A0A71">
      <w:pPr>
        <w:pStyle w:val="Prrafodelista"/>
        <w:spacing w:line="276" w:lineRule="auto"/>
        <w:ind w:left="709" w:hanging="357"/>
        <w:rPr>
          <w:rFonts w:cs="Arial"/>
          <w:i/>
          <w:sz w:val="16"/>
          <w:szCs w:val="16"/>
        </w:rPr>
      </w:pPr>
    </w:p>
    <w:p w14:paraId="36687727" w14:textId="77777777" w:rsidR="00350F69" w:rsidRPr="001B525F" w:rsidRDefault="00350F69" w:rsidP="004A0A71">
      <w:pPr>
        <w:pStyle w:val="Prrafodelista"/>
        <w:spacing w:line="276" w:lineRule="auto"/>
        <w:ind w:left="709" w:hanging="357"/>
        <w:rPr>
          <w:rFonts w:cs="Arial"/>
          <w:i/>
          <w:sz w:val="16"/>
          <w:szCs w:val="16"/>
        </w:rPr>
      </w:pPr>
      <w:r w:rsidRPr="001B525F">
        <w:rPr>
          <w:rFonts w:cs="Arial"/>
          <w:i/>
          <w:sz w:val="16"/>
          <w:szCs w:val="16"/>
        </w:rPr>
        <w:t xml:space="preserve">La inaplicación de las citadas normas </w:t>
      </w:r>
      <w:r w:rsidRPr="001B525F">
        <w:rPr>
          <w:rFonts w:cs="Arial"/>
          <w:i/>
          <w:sz w:val="16"/>
          <w:szCs w:val="16"/>
          <w:u w:val="single"/>
        </w:rPr>
        <w:t>no puede recaer en persona distinta</w:t>
      </w:r>
      <w:r w:rsidRPr="001B525F">
        <w:rPr>
          <w:rFonts w:cs="Arial"/>
          <w:i/>
          <w:sz w:val="16"/>
          <w:szCs w:val="16"/>
        </w:rPr>
        <w:t xml:space="preserve">, a pesar de que formen parte del mismo grupo de interés económico que ha sido declarado agente económico preponderante en el sector de las telecomunicaciones. </w:t>
      </w:r>
    </w:p>
    <w:p w14:paraId="55895567" w14:textId="77777777" w:rsidR="00350F69" w:rsidRPr="001B525F" w:rsidRDefault="00350F69" w:rsidP="004A0A71">
      <w:pPr>
        <w:spacing w:after="0"/>
        <w:ind w:left="709" w:hanging="357"/>
        <w:jc w:val="both"/>
        <w:rPr>
          <w:rFonts w:ascii="Arial" w:hAnsi="Arial" w:cs="Arial"/>
          <w:sz w:val="16"/>
          <w:szCs w:val="16"/>
        </w:rPr>
      </w:pPr>
    </w:p>
    <w:p w14:paraId="109E26D0" w14:textId="77777777" w:rsidR="00350F69" w:rsidRPr="001B525F" w:rsidRDefault="00350F69" w:rsidP="004A0A71">
      <w:pPr>
        <w:pStyle w:val="Prrafodelista"/>
        <w:numPr>
          <w:ilvl w:val="0"/>
          <w:numId w:val="46"/>
        </w:numPr>
        <w:spacing w:line="276" w:lineRule="auto"/>
        <w:ind w:left="709" w:hanging="357"/>
        <w:contextualSpacing/>
        <w:jc w:val="both"/>
        <w:rPr>
          <w:rFonts w:cs="Arial"/>
          <w:i/>
          <w:sz w:val="16"/>
          <w:szCs w:val="16"/>
        </w:rPr>
      </w:pPr>
      <w:r w:rsidRPr="001B525F">
        <w:rPr>
          <w:rFonts w:cs="Arial"/>
          <w:i/>
          <w:sz w:val="16"/>
          <w:szCs w:val="16"/>
        </w:rPr>
        <w:t xml:space="preserve">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w:t>
      </w:r>
      <w:r w:rsidRPr="001B525F">
        <w:rPr>
          <w:rFonts w:cs="Arial"/>
          <w:i/>
          <w:sz w:val="16"/>
          <w:szCs w:val="16"/>
          <w:u w:val="single"/>
        </w:rPr>
        <w:t>determinará la regulación asimétrica relativa a las tarifas de interconexión por la terminación de tráfico en la red de Radiomóvil Dipsa, en su carácter de agente económico preponderante</w:t>
      </w:r>
      <w:r w:rsidRPr="001B525F">
        <w:rPr>
          <w:rFonts w:cs="Arial"/>
          <w:i/>
          <w:sz w:val="16"/>
          <w:szCs w:val="16"/>
        </w:rPr>
        <w:t>.</w:t>
      </w:r>
    </w:p>
    <w:p w14:paraId="1E43BD9A" w14:textId="77777777" w:rsidR="00350F69" w:rsidRPr="001B525F" w:rsidRDefault="00350F69" w:rsidP="004A0A71">
      <w:pPr>
        <w:pStyle w:val="Prrafodelista"/>
        <w:spacing w:line="276" w:lineRule="auto"/>
        <w:ind w:left="709" w:hanging="357"/>
        <w:rPr>
          <w:rFonts w:cs="Arial"/>
          <w:i/>
          <w:sz w:val="16"/>
          <w:szCs w:val="16"/>
        </w:rPr>
      </w:pPr>
    </w:p>
    <w:p w14:paraId="27CD6DBA" w14:textId="77777777" w:rsidR="00350F69" w:rsidRPr="001B525F" w:rsidRDefault="00350F69" w:rsidP="004A0A71">
      <w:pPr>
        <w:pStyle w:val="Prrafodelista"/>
        <w:numPr>
          <w:ilvl w:val="0"/>
          <w:numId w:val="46"/>
        </w:numPr>
        <w:spacing w:line="276" w:lineRule="auto"/>
        <w:ind w:left="709" w:hanging="357"/>
        <w:contextualSpacing/>
        <w:jc w:val="both"/>
        <w:rPr>
          <w:rFonts w:cs="Arial"/>
          <w:i/>
          <w:sz w:val="16"/>
          <w:szCs w:val="16"/>
        </w:rPr>
      </w:pPr>
      <w:r w:rsidRPr="001B525F">
        <w:rPr>
          <w:rFonts w:cs="Arial"/>
          <w:i/>
          <w:sz w:val="16"/>
          <w:szCs w:val="16"/>
        </w:rPr>
        <w:t xml:space="preserve">Todos aquellos </w:t>
      </w:r>
      <w:r w:rsidRPr="001B525F">
        <w:rPr>
          <w:rFonts w:cs="Arial"/>
          <w:i/>
          <w:sz w:val="16"/>
          <w:szCs w:val="16"/>
          <w:u w:val="single"/>
        </w:rPr>
        <w:t>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impugnada</w:t>
      </w:r>
      <w:r w:rsidRPr="001B525F">
        <w:rPr>
          <w:rFonts w:cs="Arial"/>
          <w:i/>
          <w:sz w:val="16"/>
          <w:szCs w:val="16"/>
        </w:rPr>
        <w:t>.</w:t>
      </w:r>
    </w:p>
    <w:p w14:paraId="0EF73591" w14:textId="77777777" w:rsidR="00350F69" w:rsidRPr="001B525F" w:rsidRDefault="00350F69" w:rsidP="004A0A71">
      <w:pPr>
        <w:pStyle w:val="Prrafodelista"/>
        <w:spacing w:line="276" w:lineRule="auto"/>
        <w:ind w:left="709" w:hanging="357"/>
        <w:rPr>
          <w:rFonts w:cs="Arial"/>
          <w:i/>
          <w:sz w:val="16"/>
          <w:szCs w:val="16"/>
        </w:rPr>
      </w:pPr>
    </w:p>
    <w:p w14:paraId="3CCEA99B" w14:textId="77777777" w:rsidR="00350F69" w:rsidRPr="001B525F" w:rsidRDefault="00350F69" w:rsidP="004A0A71">
      <w:pPr>
        <w:pStyle w:val="Prrafodelista"/>
        <w:numPr>
          <w:ilvl w:val="0"/>
          <w:numId w:val="46"/>
        </w:numPr>
        <w:spacing w:line="276" w:lineRule="auto"/>
        <w:ind w:left="709" w:hanging="357"/>
        <w:contextualSpacing/>
        <w:jc w:val="both"/>
        <w:rPr>
          <w:rFonts w:cs="Arial"/>
          <w:i/>
          <w:sz w:val="16"/>
          <w:szCs w:val="16"/>
        </w:rPr>
      </w:pPr>
      <w:r w:rsidRPr="001B525F">
        <w:rPr>
          <w:rFonts w:cs="Arial"/>
          <w:i/>
          <w:sz w:val="16"/>
          <w:szCs w:val="16"/>
          <w:u w:val="single"/>
        </w:rPr>
        <w:t>A fin de salvaguardar la seguridad jurídica en el sector de las telecomunicaciones y preservar los acuerdos o convenios de interconexión celebrados entre Radiomóvil Dipsa y los distintos concesionarios, y con el objeto de no afectar a los usuarios finales, las tarifas que determine el Instituto entrarán en vigor a partir del uno de enero de dos mil dieciocho y deberán publicarse en el Diario Oficial de la Federación en los términos de lo dispuesto por el artículo 137 de la Ley Federal de Telecomunicaciones y Radiodifusión</w:t>
      </w:r>
      <w:r w:rsidRPr="001B525F">
        <w:rPr>
          <w:rFonts w:cs="Arial"/>
          <w:i/>
          <w:sz w:val="16"/>
          <w:szCs w:val="16"/>
        </w:rPr>
        <w:t>.</w:t>
      </w:r>
    </w:p>
    <w:p w14:paraId="5F4D8669" w14:textId="77777777" w:rsidR="00350F69" w:rsidRPr="001B525F" w:rsidRDefault="00350F69" w:rsidP="00CC0143">
      <w:pPr>
        <w:spacing w:after="0"/>
        <w:jc w:val="both"/>
        <w:rPr>
          <w:rFonts w:ascii="Arial" w:hAnsi="Arial" w:cs="Arial"/>
          <w:sz w:val="18"/>
          <w:szCs w:val="18"/>
        </w:rPr>
      </w:pPr>
    </w:p>
    <w:p w14:paraId="3C2A419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tal virtud, y de conformidad con los alcances de la ejecutoria emitida por la Segunda Sala de la SCJN, el Instituto dejó de aplicar a Telcel el inciso a) del segundo párrafo, así como el tercer párrafo del artículo 131 de la LFTR, además de las porciones normativas citadas de los artículos transitorios Sexto, Vigésimo y Trigésimo Quinto, todos los cuales en su conjunto constituyen la prohibición para que el agente económico preponderante cobre a otros concesionarios por el tráfico que termine en su red.</w:t>
      </w:r>
    </w:p>
    <w:p w14:paraId="3C22F05C" w14:textId="77777777" w:rsidR="00350F69" w:rsidRPr="001B525F" w:rsidRDefault="00350F69" w:rsidP="00CC0143">
      <w:pPr>
        <w:spacing w:after="0"/>
        <w:ind w:right="49"/>
        <w:jc w:val="both"/>
        <w:rPr>
          <w:rFonts w:ascii="Arial" w:hAnsi="Arial" w:cs="Arial"/>
          <w:sz w:val="18"/>
          <w:szCs w:val="18"/>
        </w:rPr>
      </w:pPr>
    </w:p>
    <w:p w14:paraId="236BBD3C" w14:textId="3D61D33D" w:rsidR="00350F69"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Asimismo, se observa que, el Instituto determinó una regulación asimétrica para las tarifas de interconexión por terminación de tráfico en la red móvil del agente económico preponderante consistente en determinar dichas tarifas, a través de un modelo de costos construido con base en la Metodología de Costos y en el que se incorporaron diversas variables como número de usuarios, volumen de tráfico, espectro, presencia geográfica, entre otras, las cuales son representativas del mencionado agente, a fin de que, en términos de lo previsto en la LFTR, iniciaran su vigencia a partir del 1 de enero de 2018 y fueran publicadas en el DOF en los términos de lo dispuesto por el artículo 137 del mismo ordenamiento. </w:t>
      </w:r>
    </w:p>
    <w:p w14:paraId="20E301E9" w14:textId="77777777" w:rsidR="0015778C" w:rsidRDefault="0015778C" w:rsidP="00CC0143">
      <w:pPr>
        <w:spacing w:after="0"/>
        <w:ind w:right="49"/>
        <w:jc w:val="both"/>
        <w:rPr>
          <w:rFonts w:ascii="Arial" w:hAnsi="Arial" w:cs="Arial"/>
          <w:sz w:val="18"/>
          <w:szCs w:val="18"/>
        </w:rPr>
      </w:pPr>
    </w:p>
    <w:p w14:paraId="05A9D6E6" w14:textId="77777777" w:rsidR="0015778C" w:rsidRPr="001B525F" w:rsidRDefault="0015778C" w:rsidP="0015778C">
      <w:pPr>
        <w:spacing w:after="0"/>
        <w:ind w:right="49"/>
        <w:jc w:val="both"/>
        <w:rPr>
          <w:rFonts w:ascii="Arial" w:hAnsi="Arial" w:cs="Arial"/>
          <w:sz w:val="18"/>
          <w:szCs w:val="18"/>
        </w:rPr>
      </w:pPr>
      <w:r w:rsidRPr="001B525F">
        <w:rPr>
          <w:rFonts w:ascii="Arial" w:hAnsi="Arial" w:cs="Arial"/>
          <w:sz w:val="18"/>
          <w:szCs w:val="18"/>
        </w:rPr>
        <w:t xml:space="preserve">La determinación de la tarifa de interconexión por terminación en la red móvil del AEP partiendo de un modelo de costos construido con base en la Metodología de Costos es consistente con la orden que da al Instituto la Segunda Sala de la SCJN en el A.R. 1100/2015, a la luz de lo siguiente: </w:t>
      </w:r>
    </w:p>
    <w:p w14:paraId="5FA5EA9A" w14:textId="77777777" w:rsidR="0015778C" w:rsidRPr="001B525F" w:rsidRDefault="0015778C" w:rsidP="0015778C">
      <w:pPr>
        <w:spacing w:after="0"/>
        <w:ind w:right="49"/>
        <w:jc w:val="both"/>
        <w:rPr>
          <w:rFonts w:ascii="Arial" w:hAnsi="Arial" w:cs="Arial"/>
          <w:sz w:val="18"/>
          <w:szCs w:val="18"/>
        </w:rPr>
      </w:pPr>
    </w:p>
    <w:p w14:paraId="7B2606DC" w14:textId="77777777" w:rsidR="0015778C" w:rsidRPr="001B525F" w:rsidRDefault="0015778C" w:rsidP="0015778C">
      <w:pPr>
        <w:pStyle w:val="Prrafodelista"/>
        <w:spacing w:line="276" w:lineRule="auto"/>
        <w:ind w:left="765" w:right="616"/>
        <w:jc w:val="both"/>
        <w:rPr>
          <w:rFonts w:cs="Arial"/>
          <w:i/>
          <w:sz w:val="16"/>
          <w:szCs w:val="16"/>
        </w:rPr>
      </w:pPr>
      <w:r w:rsidRPr="001B525F">
        <w:rPr>
          <w:rFonts w:cs="Arial"/>
          <w:i/>
          <w:sz w:val="16"/>
          <w:szCs w:val="16"/>
        </w:rPr>
        <w:t>“</w:t>
      </w:r>
      <w:r w:rsidRPr="001B525F">
        <w:rPr>
          <w:rFonts w:cs="Arial"/>
          <w:b/>
          <w:i/>
          <w:sz w:val="16"/>
          <w:szCs w:val="16"/>
        </w:rPr>
        <w:t>178.</w:t>
      </w:r>
      <w:r w:rsidRPr="001B525F">
        <w:rPr>
          <w:rFonts w:cs="Arial"/>
          <w:i/>
          <w:sz w:val="16"/>
          <w:szCs w:val="16"/>
        </w:rPr>
        <w:t xml:space="preserve"> Tales consideraciones, de ninguna manera presuponen que la determinación de no cobrar por la terminación de tráfico en la red del agente económico preponderante (régimen de gratuidad) se justifique a priori por los posibles beneficios que hubiere causado en el mercado; porque, de acuerdo con lo razonado en esta sentencia, tal determinación corresponderá en todo caso al Instituto Federal de Telecomunicaciones; el que deberá atender también al principio constitucional de no regresividad en materia de derechos humanos y, según lo señalado por el Constituyente, a las condiciones y evolución del mercado de las telecomunicaciones en México, </w:t>
      </w:r>
      <w:r w:rsidRPr="001B525F">
        <w:rPr>
          <w:rFonts w:cs="Arial"/>
          <w:b/>
          <w:i/>
          <w:sz w:val="16"/>
          <w:szCs w:val="16"/>
        </w:rPr>
        <w:t>a la luz de un modelo de costos que tome como parámetro a un operador del mercado razonablemente eficiente y en atención a las mejores prácticas internacionales</w:t>
      </w:r>
      <w:r w:rsidRPr="001B525F">
        <w:rPr>
          <w:rFonts w:cs="Arial"/>
          <w:i/>
          <w:sz w:val="16"/>
          <w:szCs w:val="16"/>
        </w:rPr>
        <w:t xml:space="preserve">; </w:t>
      </w:r>
      <w:r w:rsidRPr="001B525F">
        <w:rPr>
          <w:rFonts w:cs="Arial"/>
          <w:b/>
          <w:i/>
          <w:sz w:val="16"/>
          <w:szCs w:val="16"/>
        </w:rPr>
        <w:t>todo con el objetivo de incentivar mercados competitivos a fin de lograr el bienestar del consumidor.”</w:t>
      </w:r>
      <w:r w:rsidRPr="001B525F">
        <w:rPr>
          <w:rFonts w:cs="Arial"/>
          <w:i/>
          <w:sz w:val="16"/>
          <w:szCs w:val="16"/>
        </w:rPr>
        <w:t xml:space="preserve"> </w:t>
      </w:r>
    </w:p>
    <w:p w14:paraId="7CE21BDB" w14:textId="77777777" w:rsidR="0015778C" w:rsidRPr="001B525F" w:rsidRDefault="0015778C" w:rsidP="0015778C">
      <w:pPr>
        <w:pStyle w:val="Prrafodelista"/>
        <w:spacing w:line="276" w:lineRule="auto"/>
        <w:ind w:left="765" w:right="616"/>
        <w:rPr>
          <w:rFonts w:cs="Arial"/>
          <w:i/>
          <w:sz w:val="18"/>
          <w:szCs w:val="18"/>
        </w:rPr>
      </w:pPr>
    </w:p>
    <w:p w14:paraId="09539D2B" w14:textId="77777777" w:rsidR="0015778C" w:rsidRPr="001B525F" w:rsidRDefault="0015778C" w:rsidP="0015778C">
      <w:pPr>
        <w:pStyle w:val="Prrafodelista"/>
        <w:spacing w:line="276" w:lineRule="auto"/>
        <w:ind w:left="765" w:right="616"/>
        <w:jc w:val="right"/>
        <w:rPr>
          <w:rFonts w:cs="Arial"/>
          <w:sz w:val="18"/>
          <w:szCs w:val="18"/>
        </w:rPr>
      </w:pPr>
      <w:r w:rsidRPr="001B525F">
        <w:rPr>
          <w:rFonts w:cs="Arial"/>
          <w:sz w:val="18"/>
          <w:szCs w:val="18"/>
        </w:rPr>
        <w:t>(Énfasis añadido)</w:t>
      </w:r>
    </w:p>
    <w:p w14:paraId="5615B149" w14:textId="77777777" w:rsidR="0015778C" w:rsidRPr="001B525F" w:rsidRDefault="0015778C" w:rsidP="00CC0143">
      <w:pPr>
        <w:spacing w:after="0"/>
        <w:ind w:right="49"/>
        <w:jc w:val="both"/>
        <w:rPr>
          <w:rFonts w:ascii="Arial" w:hAnsi="Arial" w:cs="Arial"/>
          <w:sz w:val="18"/>
          <w:szCs w:val="18"/>
        </w:rPr>
      </w:pPr>
    </w:p>
    <w:p w14:paraId="5BB7829D" w14:textId="77777777" w:rsidR="00AA6333" w:rsidRPr="00074509" w:rsidRDefault="00AA6333" w:rsidP="00AA6333">
      <w:pPr>
        <w:spacing w:after="0"/>
        <w:ind w:right="49"/>
        <w:jc w:val="both"/>
        <w:rPr>
          <w:rFonts w:ascii="Arial" w:hAnsi="Arial" w:cs="Arial"/>
          <w:sz w:val="18"/>
          <w:szCs w:val="18"/>
        </w:rPr>
      </w:pPr>
    </w:p>
    <w:p w14:paraId="2A1AB1E1" w14:textId="1EDA1C68" w:rsidR="00AA6333" w:rsidRDefault="00AA6333" w:rsidP="00AA6333">
      <w:pPr>
        <w:spacing w:after="0"/>
        <w:ind w:right="49"/>
        <w:jc w:val="both"/>
        <w:rPr>
          <w:rFonts w:ascii="Arial" w:hAnsi="Arial" w:cs="Arial"/>
          <w:sz w:val="18"/>
          <w:szCs w:val="18"/>
          <w:lang w:val="es-MX"/>
        </w:rPr>
      </w:pPr>
      <w:r>
        <w:rPr>
          <w:rFonts w:ascii="Arial" w:hAnsi="Arial" w:cs="Arial"/>
          <w:sz w:val="18"/>
          <w:szCs w:val="18"/>
        </w:rPr>
        <w:t>Además, a través de la</w:t>
      </w:r>
      <w:r w:rsidR="00973663">
        <w:rPr>
          <w:rFonts w:ascii="Arial" w:hAnsi="Arial" w:cs="Arial"/>
          <w:sz w:val="18"/>
          <w:szCs w:val="18"/>
        </w:rPr>
        <w:t xml:space="preserve"> Medida</w:t>
      </w:r>
      <w:r w:rsidR="00855F41">
        <w:rPr>
          <w:rFonts w:ascii="Arial" w:hAnsi="Arial" w:cs="Arial"/>
          <w:sz w:val="18"/>
          <w:szCs w:val="18"/>
        </w:rPr>
        <w:t xml:space="preserve"> </w:t>
      </w:r>
      <w:r w:rsidR="001B3C0F">
        <w:rPr>
          <w:rFonts w:ascii="Arial" w:hAnsi="Arial" w:cs="Arial"/>
          <w:sz w:val="18"/>
          <w:szCs w:val="18"/>
        </w:rPr>
        <w:t>Q</w:t>
      </w:r>
      <w:r w:rsidR="00855F41">
        <w:rPr>
          <w:rFonts w:ascii="Arial" w:hAnsi="Arial" w:cs="Arial"/>
          <w:sz w:val="18"/>
          <w:szCs w:val="18"/>
        </w:rPr>
        <w:t>uincuagésima Novena de las</w:t>
      </w:r>
      <w:r>
        <w:rPr>
          <w:rFonts w:ascii="Arial" w:hAnsi="Arial" w:cs="Arial"/>
          <w:sz w:val="18"/>
          <w:szCs w:val="18"/>
        </w:rPr>
        <w:t xml:space="preserve"> </w:t>
      </w:r>
      <w:r w:rsidR="00855F41">
        <w:rPr>
          <w:rFonts w:ascii="Arial" w:hAnsi="Arial" w:cs="Arial"/>
          <w:sz w:val="18"/>
          <w:szCs w:val="18"/>
        </w:rPr>
        <w:t xml:space="preserve">Medidas </w:t>
      </w:r>
      <w:r>
        <w:rPr>
          <w:rFonts w:ascii="Arial" w:hAnsi="Arial" w:cs="Arial"/>
          <w:sz w:val="18"/>
          <w:szCs w:val="18"/>
        </w:rPr>
        <w:t xml:space="preserve">Móviles, el Instituto estableció que las tarifas aplicables a los servicios de interconexión que cobrará el AEP, serán determinadas con base en un modelo de costos elaborado de conformidad con la Metodología de Costos  </w:t>
      </w:r>
      <w:r w:rsidRPr="00674E77">
        <w:rPr>
          <w:rFonts w:ascii="Arial" w:hAnsi="Arial" w:cs="Arial"/>
          <w:sz w:val="18"/>
          <w:szCs w:val="18"/>
          <w:lang w:val="es-MX"/>
        </w:rPr>
        <w:t>o con aquellas disposiciones que l</w:t>
      </w:r>
      <w:r>
        <w:rPr>
          <w:rFonts w:ascii="Arial" w:hAnsi="Arial" w:cs="Arial"/>
          <w:sz w:val="18"/>
          <w:szCs w:val="18"/>
          <w:lang w:val="es-MX"/>
        </w:rPr>
        <w:t>a</w:t>
      </w:r>
      <w:r w:rsidRPr="00674E77">
        <w:rPr>
          <w:rFonts w:ascii="Arial" w:hAnsi="Arial" w:cs="Arial"/>
          <w:sz w:val="18"/>
          <w:szCs w:val="18"/>
          <w:lang w:val="es-MX"/>
        </w:rPr>
        <w:t xml:space="preserve"> </w:t>
      </w:r>
      <w:r>
        <w:rPr>
          <w:rFonts w:ascii="Arial" w:hAnsi="Arial" w:cs="Arial"/>
          <w:sz w:val="18"/>
          <w:szCs w:val="18"/>
          <w:lang w:val="es-MX"/>
        </w:rPr>
        <w:t>modificaran</w:t>
      </w:r>
      <w:r w:rsidRPr="00674E77">
        <w:rPr>
          <w:rFonts w:ascii="Arial" w:hAnsi="Arial" w:cs="Arial"/>
          <w:sz w:val="18"/>
          <w:szCs w:val="18"/>
          <w:lang w:val="es-MX"/>
        </w:rPr>
        <w:t xml:space="preserve"> o sustituyan, considerando la obligatoriedad de la prestación de los servicios establecida en el artículo 133 de la Ley Federal de Telecomunicaciones y Radiodifusión y las características relevantes del </w:t>
      </w:r>
      <w:r>
        <w:rPr>
          <w:rFonts w:ascii="Arial" w:hAnsi="Arial" w:cs="Arial"/>
          <w:sz w:val="18"/>
          <w:szCs w:val="18"/>
          <w:lang w:val="es-MX"/>
        </w:rPr>
        <w:t>AEP.</w:t>
      </w:r>
    </w:p>
    <w:p w14:paraId="4980AF73" w14:textId="77777777" w:rsidR="00AA6333" w:rsidRDefault="00AA6333" w:rsidP="00CC0143">
      <w:pPr>
        <w:spacing w:after="0"/>
        <w:ind w:right="49"/>
        <w:jc w:val="both"/>
        <w:rPr>
          <w:rFonts w:ascii="Arial" w:hAnsi="Arial" w:cs="Arial"/>
          <w:sz w:val="18"/>
          <w:szCs w:val="18"/>
        </w:rPr>
      </w:pPr>
    </w:p>
    <w:p w14:paraId="5C5D4DB1" w14:textId="408AE188" w:rsidR="000340CF" w:rsidRPr="00074509" w:rsidRDefault="00350F69" w:rsidP="00CC0143">
      <w:pPr>
        <w:spacing w:after="0"/>
        <w:ind w:right="49"/>
        <w:jc w:val="both"/>
        <w:rPr>
          <w:rFonts w:ascii="Arial" w:hAnsi="Arial" w:cs="Arial"/>
          <w:sz w:val="18"/>
          <w:szCs w:val="18"/>
        </w:rPr>
      </w:pPr>
      <w:r w:rsidRPr="00074509">
        <w:rPr>
          <w:rFonts w:ascii="Arial" w:hAnsi="Arial" w:cs="Arial"/>
          <w:sz w:val="18"/>
          <w:szCs w:val="18"/>
        </w:rPr>
        <w:t>Es así que, a fin de guardar congruencia con lo ordenado por la Segunda Sala de la SCJN</w:t>
      </w:r>
      <w:r w:rsidR="0057638C">
        <w:rPr>
          <w:rFonts w:ascii="Arial" w:hAnsi="Arial" w:cs="Arial"/>
          <w:sz w:val="18"/>
          <w:szCs w:val="18"/>
        </w:rPr>
        <w:t xml:space="preserve"> y conforme a los establecido en las Medidas Móviles</w:t>
      </w:r>
      <w:r w:rsidR="00170F21">
        <w:rPr>
          <w:rFonts w:ascii="Arial" w:hAnsi="Arial" w:cs="Arial"/>
          <w:sz w:val="18"/>
          <w:szCs w:val="18"/>
        </w:rPr>
        <w:t>,</w:t>
      </w:r>
      <w:r w:rsidRPr="00074509">
        <w:rPr>
          <w:rFonts w:ascii="Arial" w:hAnsi="Arial" w:cs="Arial"/>
          <w:sz w:val="18"/>
          <w:szCs w:val="18"/>
        </w:rPr>
        <w:t xml:space="preserve"> este Instituto determinará las tarifas de</w:t>
      </w:r>
      <w:r w:rsidR="00777644">
        <w:rPr>
          <w:rFonts w:ascii="Arial" w:hAnsi="Arial" w:cs="Arial"/>
          <w:sz w:val="18"/>
          <w:szCs w:val="18"/>
        </w:rPr>
        <w:t xml:space="preserve"> servicios de</w:t>
      </w:r>
      <w:r w:rsidRPr="00074509">
        <w:rPr>
          <w:rFonts w:ascii="Arial" w:hAnsi="Arial" w:cs="Arial"/>
          <w:sz w:val="18"/>
          <w:szCs w:val="18"/>
        </w:rPr>
        <w:t xml:space="preserve"> interconexión en la red móvil del </w:t>
      </w:r>
      <w:r w:rsidR="001D04E8">
        <w:rPr>
          <w:rFonts w:ascii="Arial" w:hAnsi="Arial" w:cs="Arial"/>
          <w:sz w:val="18"/>
          <w:szCs w:val="18"/>
        </w:rPr>
        <w:t>AEP</w:t>
      </w:r>
      <w:r w:rsidRPr="00074509">
        <w:rPr>
          <w:rFonts w:ascii="Arial" w:hAnsi="Arial" w:cs="Arial"/>
          <w:sz w:val="18"/>
          <w:szCs w:val="18"/>
        </w:rPr>
        <w:t xml:space="preserve"> a través de un modelo de costos construido con base en la Metodología de Costos y en el que se incorporaron diversas variables como número de usuarios, volumen de tráfico, espectro, entre otras, las cuales son representativas</w:t>
      </w:r>
      <w:r w:rsidR="00B34EDE">
        <w:rPr>
          <w:rFonts w:ascii="Arial" w:hAnsi="Arial" w:cs="Arial"/>
          <w:sz w:val="18"/>
          <w:szCs w:val="18"/>
        </w:rPr>
        <w:t xml:space="preserve"> de </w:t>
      </w:r>
      <w:r w:rsidR="00A30291">
        <w:rPr>
          <w:rFonts w:ascii="Arial" w:hAnsi="Arial" w:cs="Arial"/>
          <w:sz w:val="18"/>
          <w:szCs w:val="18"/>
        </w:rPr>
        <w:t>características relevantes</w:t>
      </w:r>
      <w:r w:rsidRPr="00074509">
        <w:rPr>
          <w:rFonts w:ascii="Arial" w:hAnsi="Arial" w:cs="Arial"/>
          <w:sz w:val="18"/>
          <w:szCs w:val="18"/>
        </w:rPr>
        <w:t xml:space="preserve"> del </w:t>
      </w:r>
      <w:r w:rsidR="00A30291">
        <w:rPr>
          <w:rFonts w:ascii="Arial" w:hAnsi="Arial" w:cs="Arial"/>
          <w:sz w:val="18"/>
          <w:szCs w:val="18"/>
        </w:rPr>
        <w:t>AEP</w:t>
      </w:r>
      <w:r w:rsidRPr="00074509">
        <w:rPr>
          <w:rFonts w:ascii="Arial" w:hAnsi="Arial" w:cs="Arial"/>
          <w:sz w:val="18"/>
          <w:szCs w:val="18"/>
        </w:rPr>
        <w:t>, mismas que deberán iniciar su vigencia a partir del 1 de enero de 202</w:t>
      </w:r>
      <w:r w:rsidR="00016C7C" w:rsidRPr="00074509">
        <w:rPr>
          <w:rFonts w:ascii="Arial" w:hAnsi="Arial" w:cs="Arial"/>
          <w:sz w:val="18"/>
          <w:szCs w:val="18"/>
        </w:rPr>
        <w:t>5</w:t>
      </w:r>
      <w:r w:rsidRPr="00074509">
        <w:rPr>
          <w:rFonts w:ascii="Arial" w:hAnsi="Arial" w:cs="Arial"/>
          <w:sz w:val="18"/>
          <w:szCs w:val="18"/>
        </w:rPr>
        <w:t xml:space="preserve">. </w:t>
      </w:r>
    </w:p>
    <w:p w14:paraId="3EE9985F" w14:textId="77777777" w:rsidR="00350F69" w:rsidRPr="001B525F" w:rsidRDefault="00350F69" w:rsidP="00CC0143">
      <w:pPr>
        <w:spacing w:after="0"/>
        <w:ind w:right="49"/>
        <w:jc w:val="both"/>
        <w:rPr>
          <w:rFonts w:ascii="Arial" w:hAnsi="Arial" w:cs="Arial"/>
          <w:sz w:val="18"/>
          <w:szCs w:val="18"/>
        </w:rPr>
      </w:pPr>
    </w:p>
    <w:p w14:paraId="228746C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ese sentido, el artículo 137 de la LFTR establece la obligación del Instituto de publicar en el último trimestre del año las tarifas de interconexión que hayan resultado de las metodologías de costos emitidas por el Instituto y que deberán estar vigentes a partir del 1 de enero del año siguiente. </w:t>
      </w:r>
    </w:p>
    <w:p w14:paraId="3AB3516E" w14:textId="77777777" w:rsidR="00350F69" w:rsidRPr="001B525F" w:rsidRDefault="00350F69" w:rsidP="00CC0143">
      <w:pPr>
        <w:spacing w:after="0"/>
        <w:ind w:right="49"/>
        <w:jc w:val="both"/>
        <w:rPr>
          <w:rFonts w:ascii="Arial" w:hAnsi="Arial" w:cs="Arial"/>
          <w:sz w:val="18"/>
          <w:szCs w:val="18"/>
        </w:rPr>
      </w:pPr>
    </w:p>
    <w:p w14:paraId="782E33C1" w14:textId="77777777" w:rsidR="00DE257F" w:rsidRPr="001B525F" w:rsidRDefault="00DE257F" w:rsidP="00CC0143">
      <w:pPr>
        <w:spacing w:after="0"/>
        <w:ind w:right="49"/>
        <w:jc w:val="both"/>
        <w:rPr>
          <w:rFonts w:ascii="Arial" w:hAnsi="Arial" w:cs="Arial"/>
          <w:i/>
          <w:sz w:val="18"/>
          <w:szCs w:val="18"/>
        </w:rPr>
      </w:pPr>
    </w:p>
    <w:p w14:paraId="461DDF50" w14:textId="77777777" w:rsidR="00350F69" w:rsidRPr="001B525F" w:rsidRDefault="00350F69" w:rsidP="00CC0143">
      <w:pPr>
        <w:spacing w:after="0"/>
        <w:jc w:val="both"/>
        <w:rPr>
          <w:rFonts w:ascii="Arial" w:hAnsi="Arial" w:cs="Arial"/>
          <w:sz w:val="18"/>
          <w:szCs w:val="18"/>
        </w:rPr>
      </w:pPr>
    </w:p>
    <w:p w14:paraId="030CEC6A" w14:textId="5C27314C"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Asimismo, el establecer la</w:t>
      </w:r>
      <w:r w:rsidR="00DC674B">
        <w:rPr>
          <w:rFonts w:ascii="Arial" w:hAnsi="Arial" w:cs="Arial"/>
          <w:sz w:val="18"/>
          <w:szCs w:val="18"/>
        </w:rPr>
        <w:t>s</w:t>
      </w:r>
      <w:r w:rsidRPr="001B525F">
        <w:rPr>
          <w:rFonts w:ascii="Arial" w:hAnsi="Arial" w:cs="Arial"/>
          <w:sz w:val="18"/>
          <w:szCs w:val="18"/>
        </w:rPr>
        <w:t xml:space="preserve"> tarifa</w:t>
      </w:r>
      <w:r w:rsidR="00DC674B">
        <w:rPr>
          <w:rFonts w:ascii="Arial" w:hAnsi="Arial" w:cs="Arial"/>
          <w:sz w:val="18"/>
          <w:szCs w:val="18"/>
        </w:rPr>
        <w:t>s</w:t>
      </w:r>
      <w:r w:rsidRPr="001B525F">
        <w:rPr>
          <w:rFonts w:ascii="Arial" w:hAnsi="Arial" w:cs="Arial"/>
          <w:sz w:val="18"/>
          <w:szCs w:val="18"/>
        </w:rPr>
        <w:t xml:space="preserve"> con base en un modelo de costos permite acceder a un insumo ofrecido por el AEP y necesario para el resto de los concesionarios de la industria a niveles que permitan alcanzar el objetivo de incentivar mercados competitivos a fin de lograr el bienestar del consumidor.</w:t>
      </w:r>
    </w:p>
    <w:p w14:paraId="21D644A6" w14:textId="77777777" w:rsidR="00350F69" w:rsidRPr="001B525F" w:rsidRDefault="00350F69" w:rsidP="00CC0143">
      <w:pPr>
        <w:spacing w:after="0"/>
        <w:ind w:right="49"/>
        <w:jc w:val="both"/>
        <w:rPr>
          <w:rFonts w:ascii="Arial" w:hAnsi="Arial" w:cs="Arial"/>
          <w:sz w:val="18"/>
          <w:szCs w:val="18"/>
        </w:rPr>
      </w:pPr>
    </w:p>
    <w:p w14:paraId="3414593E"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Es importante señalar que, la regulación en tarifas de interconexión es un mecanismo de política regulatoria que tiene como finalidad equilibrar las fuerzas de competencia de las empresas rivales en el sector de telecomunicaciones, es decir, aminorar las desventajas derivadas del tamaño de red y que permita a las empresas de menor tamaño contar con planes tarifarios que las posicionen de una manera competitiva en la provisión de servicios. </w:t>
      </w:r>
    </w:p>
    <w:p w14:paraId="0BB06E34" w14:textId="77777777" w:rsidR="00350F69" w:rsidRPr="001B525F" w:rsidRDefault="00350F69" w:rsidP="00CC0143">
      <w:pPr>
        <w:spacing w:after="0"/>
        <w:ind w:right="49"/>
        <w:jc w:val="both"/>
        <w:rPr>
          <w:rFonts w:ascii="Arial" w:hAnsi="Arial" w:cs="Arial"/>
          <w:sz w:val="18"/>
          <w:szCs w:val="18"/>
        </w:rPr>
      </w:pPr>
    </w:p>
    <w:p w14:paraId="0A8069BB" w14:textId="7A214525" w:rsidR="00350F69" w:rsidRPr="001B525F" w:rsidRDefault="00350F69"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Es por ello </w:t>
      </w:r>
      <w:r w:rsidR="004107EB" w:rsidRPr="001B525F">
        <w:rPr>
          <w:rFonts w:ascii="Arial" w:hAnsi="Arial" w:cs="Arial"/>
          <w:sz w:val="18"/>
          <w:szCs w:val="18"/>
        </w:rPr>
        <w:t>por lo</w:t>
      </w:r>
      <w:r w:rsidRPr="001B525F">
        <w:rPr>
          <w:rFonts w:ascii="Arial" w:hAnsi="Arial" w:cs="Arial"/>
          <w:sz w:val="18"/>
          <w:szCs w:val="18"/>
        </w:rPr>
        <w:t xml:space="preserve"> que el modelo de costos empleado para determinar las tarifas aplicables por servicios de terminación en la red móvil del AEP considera las características representativas de dicho agente. </w:t>
      </w:r>
    </w:p>
    <w:p w14:paraId="7B64DE2E" w14:textId="77777777" w:rsidR="00350F69" w:rsidRPr="001B525F" w:rsidRDefault="00350F69" w:rsidP="00CC0143">
      <w:pPr>
        <w:autoSpaceDE w:val="0"/>
        <w:autoSpaceDN w:val="0"/>
        <w:adjustRightInd w:val="0"/>
        <w:spacing w:after="0"/>
        <w:jc w:val="both"/>
        <w:rPr>
          <w:rFonts w:ascii="Arial" w:hAnsi="Arial" w:cs="Arial"/>
          <w:sz w:val="18"/>
          <w:szCs w:val="18"/>
        </w:rPr>
      </w:pPr>
    </w:p>
    <w:p w14:paraId="67AC9434" w14:textId="2A095FDD" w:rsidR="00350F69" w:rsidRPr="001B525F" w:rsidRDefault="00E67A5F" w:rsidP="00CC0143">
      <w:pPr>
        <w:spacing w:after="0"/>
        <w:ind w:right="49"/>
        <w:jc w:val="both"/>
        <w:rPr>
          <w:rFonts w:ascii="Arial" w:hAnsi="Arial" w:cs="Arial"/>
          <w:sz w:val="18"/>
          <w:szCs w:val="18"/>
        </w:rPr>
      </w:pPr>
      <w:r w:rsidRPr="001B525F">
        <w:rPr>
          <w:rFonts w:ascii="Arial" w:hAnsi="Arial" w:cs="Arial"/>
          <w:b/>
          <w:sz w:val="18"/>
          <w:szCs w:val="18"/>
        </w:rPr>
        <w:t>Cuarto</w:t>
      </w:r>
      <w:r w:rsidR="00350F69" w:rsidRPr="001B525F">
        <w:rPr>
          <w:rFonts w:ascii="Arial" w:hAnsi="Arial" w:cs="Arial"/>
          <w:b/>
          <w:sz w:val="18"/>
          <w:szCs w:val="18"/>
        </w:rPr>
        <w:t>.- Ejecutorias dictadas en los Amparos en Revisión 1306/2017 y 1307/2017 por la Segunda Sala de la Suprema Corte de Justicia de la Nación.</w:t>
      </w:r>
      <w:r w:rsidR="00350F69" w:rsidRPr="001B525F">
        <w:rPr>
          <w:rFonts w:ascii="Arial" w:hAnsi="Arial" w:cs="Arial"/>
          <w:sz w:val="18"/>
          <w:szCs w:val="18"/>
        </w:rPr>
        <w:t xml:space="preserve"> El 18 de abril de 2018, la Segunda Sala de la SCJN dictó ejecutorias en los Amparos en Revisión 1306/2017 y 1307/2017, promovidos por Telmex y Telnor, en contra de la sentencia dictada por la Juez Segundo de Distrito en Materia Administrativa Especializada en Competencia Económica, Radiodifusión y Telecomunicaciones, con residencia en la Ciudad de México y Jurisdicción en toda la República, de fecha 31 de mayo de 2017 en el juicio de amparo indirecto 219/2014, así como en contra de la sentencia dictada por la Juez Primero de Distrito en Materia Administrativa Especializada en Competencia Económica, Radiodifusión y Telecomunicaciones, con residencia en la Ciudad de México y Jurisdicción en toda la República, de fecha 7 de agosto de 2017 en el juicio de amparo indirecto 221/2014, respectivamente.</w:t>
      </w:r>
    </w:p>
    <w:p w14:paraId="62BE74B7" w14:textId="77777777" w:rsidR="00350F69" w:rsidRPr="001B525F" w:rsidRDefault="00350F69" w:rsidP="00CC0143">
      <w:pPr>
        <w:spacing w:after="0"/>
        <w:ind w:right="-285"/>
        <w:jc w:val="both"/>
        <w:rPr>
          <w:rFonts w:ascii="Arial" w:hAnsi="Arial" w:cs="Arial"/>
          <w:sz w:val="18"/>
          <w:szCs w:val="18"/>
        </w:rPr>
      </w:pPr>
    </w:p>
    <w:p w14:paraId="3F908AEA"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dichas ejecutorias, la Segunda Sala de la SCJN consideró que una de las atribuciones de este Instituto se refiere específicamente a la competencia que tiene para emitir normas administrativas de carácter general, atribución que encuentra su fundamento en la fracción IV del párrafo vigésimo del artículo 28 Constitucional.</w:t>
      </w:r>
    </w:p>
    <w:p w14:paraId="272E0535" w14:textId="77777777" w:rsidR="00350F69" w:rsidRPr="001B525F" w:rsidRDefault="00350F69" w:rsidP="00CC0143">
      <w:pPr>
        <w:spacing w:after="0"/>
        <w:ind w:right="-285"/>
        <w:jc w:val="both"/>
        <w:rPr>
          <w:rFonts w:ascii="Arial" w:hAnsi="Arial" w:cs="Arial"/>
          <w:sz w:val="18"/>
          <w:szCs w:val="18"/>
        </w:rPr>
      </w:pPr>
    </w:p>
    <w:p w14:paraId="2B8A7FB2"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Asimismo, señaló que el Instituto tiene asignada en el texto constitucional una facultad regulatoria que debe garantizarse en el margen necesario para cumplir sus fines institucionales a costa de lo que decidan en contrario los otros poderes, lo que incluye necesariamente la capacidad de emitir reglas generales, abstractas e impersonales. </w:t>
      </w:r>
    </w:p>
    <w:p w14:paraId="7B51A767" w14:textId="77777777" w:rsidR="00350F69" w:rsidRPr="001B525F" w:rsidRDefault="00350F69" w:rsidP="00CC0143">
      <w:pPr>
        <w:spacing w:after="0"/>
        <w:ind w:right="-285"/>
        <w:jc w:val="both"/>
        <w:rPr>
          <w:rFonts w:ascii="Arial" w:hAnsi="Arial" w:cs="Arial"/>
          <w:sz w:val="18"/>
          <w:szCs w:val="18"/>
        </w:rPr>
      </w:pPr>
    </w:p>
    <w:p w14:paraId="06900F2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Este órgano regulador, sólo puede emitir normas generales en el ámbito material de competencias en el que tiene poderes regulatorios, ya que la norma constitucional establece “exclusivamente para el cumplimiento de su función regulatoria en el sector de su competencia”.</w:t>
      </w:r>
    </w:p>
    <w:p w14:paraId="5FA24B5E" w14:textId="77777777" w:rsidR="00350F69" w:rsidRPr="001B525F" w:rsidRDefault="00350F69" w:rsidP="00CC0143">
      <w:pPr>
        <w:spacing w:after="0"/>
        <w:ind w:right="-285"/>
        <w:jc w:val="both"/>
        <w:rPr>
          <w:rFonts w:ascii="Arial" w:hAnsi="Arial" w:cs="Arial"/>
          <w:sz w:val="18"/>
          <w:szCs w:val="18"/>
        </w:rPr>
      </w:pPr>
    </w:p>
    <w:p w14:paraId="70324D2E"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Por lo tanto, la propia Constitución asigna al Instituto, de manera directa y no como resultado de una delegación legislativa, la competencia para regular de manera asimétrica a los participantes en estos mercados con el objeto de eliminar eficazmente las barreras a la competencia y la libre concurrencia, por lo que las atribuciones del Instituto no son resultado de una delegación legislativa puesto que como se acaba de señalar la regulación asimétrica constituye una atribución de carácter originario a favor del Instituto, en su calidad de órgano constitucional autónomo.</w:t>
      </w:r>
    </w:p>
    <w:p w14:paraId="54C7DD76" w14:textId="77777777" w:rsidR="00350F69" w:rsidRPr="001B525F" w:rsidRDefault="00350F69" w:rsidP="00CC0143">
      <w:pPr>
        <w:spacing w:after="0"/>
        <w:ind w:right="-285"/>
        <w:jc w:val="both"/>
        <w:rPr>
          <w:rFonts w:ascii="Arial" w:hAnsi="Arial" w:cs="Arial"/>
          <w:sz w:val="18"/>
          <w:szCs w:val="18"/>
        </w:rPr>
      </w:pPr>
    </w:p>
    <w:p w14:paraId="1287EC8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Por lo anterior, a fin de corroborar la intención del Constituyente en el sentido de asignar al Instituto una competencia originaria, la Segunda Sala de la SCJN consideró lo señalado en el Dictamen de las Comisiones Unidas de la Cámara de Senadores, relativo a la reforma constitucional, al establecer: “</w:t>
      </w:r>
      <w:r w:rsidRPr="001B525F">
        <w:rPr>
          <w:rFonts w:ascii="Arial" w:hAnsi="Arial" w:cs="Arial"/>
          <w:i/>
          <w:sz w:val="18"/>
          <w:szCs w:val="18"/>
        </w:rPr>
        <w:t>es necesario permitir al Instituto que al emitir regulación asimétrica, tome todas las medidas necesarias, conforme a las mejores prácticas internacionales, para controlar el poder de mercado de los agentes económicos</w:t>
      </w:r>
      <w:r w:rsidRPr="001B525F">
        <w:rPr>
          <w:rFonts w:ascii="Arial" w:hAnsi="Arial" w:cs="Arial"/>
          <w:sz w:val="18"/>
          <w:szCs w:val="18"/>
        </w:rPr>
        <w:t xml:space="preserve">”. </w:t>
      </w:r>
    </w:p>
    <w:p w14:paraId="0389F022" w14:textId="77777777" w:rsidR="00350F69" w:rsidRPr="001B525F" w:rsidRDefault="00350F69" w:rsidP="00CC0143">
      <w:pPr>
        <w:spacing w:after="0"/>
        <w:ind w:right="-285"/>
        <w:jc w:val="both"/>
        <w:rPr>
          <w:rFonts w:ascii="Arial" w:hAnsi="Arial" w:cs="Arial"/>
          <w:sz w:val="18"/>
          <w:szCs w:val="18"/>
        </w:rPr>
      </w:pPr>
    </w:p>
    <w:p w14:paraId="5DCDE9D8" w14:textId="77777777" w:rsidR="00350F69" w:rsidRPr="003C0880" w:rsidRDefault="00350F69" w:rsidP="00CC0143">
      <w:pPr>
        <w:spacing w:after="0"/>
        <w:ind w:right="49"/>
        <w:jc w:val="both"/>
        <w:rPr>
          <w:rFonts w:ascii="Arial" w:hAnsi="Arial" w:cs="Arial"/>
          <w:sz w:val="18"/>
          <w:szCs w:val="18"/>
        </w:rPr>
      </w:pPr>
      <w:r w:rsidRPr="003C0880">
        <w:rPr>
          <w:rFonts w:ascii="Arial" w:hAnsi="Arial" w:cs="Arial"/>
          <w:sz w:val="18"/>
          <w:szCs w:val="18"/>
        </w:rPr>
        <w:t xml:space="preserve">En ese tenor, la Segunda Sala de la SCJN </w:t>
      </w:r>
      <w:r w:rsidRPr="00316476">
        <w:rPr>
          <w:rFonts w:ascii="Arial" w:hAnsi="Arial" w:cs="Arial"/>
          <w:sz w:val="18"/>
          <w:szCs w:val="18"/>
        </w:rPr>
        <w:t>resolvió conceder el Amparo y Protección de la Justicia Federal a Telmex y Telnor</w:t>
      </w:r>
      <w:r w:rsidRPr="003C0880">
        <w:rPr>
          <w:rFonts w:ascii="Arial" w:hAnsi="Arial" w:cs="Arial"/>
          <w:sz w:val="18"/>
          <w:szCs w:val="18"/>
        </w:rPr>
        <w:t>, declarando la inconstitucionalidad del inciso a) del párrafo segundo del artículo 131 de la LFTR.</w:t>
      </w:r>
    </w:p>
    <w:p w14:paraId="3F90E4BA" w14:textId="77777777" w:rsidR="00350F69" w:rsidRPr="001B525F" w:rsidRDefault="00350F69" w:rsidP="00CC0143">
      <w:pPr>
        <w:spacing w:after="0"/>
        <w:ind w:right="-285"/>
        <w:jc w:val="both"/>
        <w:rPr>
          <w:rFonts w:ascii="Arial" w:hAnsi="Arial" w:cs="Arial"/>
          <w:sz w:val="18"/>
          <w:szCs w:val="18"/>
        </w:rPr>
      </w:pPr>
    </w:p>
    <w:p w14:paraId="34A38492"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Hecho lo anterior, procedió a analizar los efectos de la concesión de dicho amparo, señalando que de acuerdo con el artículo 78 de la Ley de Amparo, en el supuesto en el que se declare la inconstitucionalidad de la norma general </w:t>
      </w:r>
      <w:r w:rsidRPr="001B525F">
        <w:rPr>
          <w:rFonts w:ascii="Arial" w:hAnsi="Arial" w:cs="Arial"/>
          <w:sz w:val="18"/>
          <w:szCs w:val="18"/>
        </w:rPr>
        <w:lastRenderedPageBreak/>
        <w:t xml:space="preserve">reclamada, los efectos se traducirán en la inaplicación de la norma únicamente respecto del quejoso, esto es, Telmex y Telnor. </w:t>
      </w:r>
    </w:p>
    <w:p w14:paraId="00219615" w14:textId="77777777" w:rsidR="00350F69" w:rsidRPr="001B525F" w:rsidRDefault="00350F69" w:rsidP="00CC0143">
      <w:pPr>
        <w:spacing w:after="0"/>
        <w:ind w:right="-285"/>
        <w:jc w:val="both"/>
        <w:rPr>
          <w:rFonts w:ascii="Arial" w:hAnsi="Arial" w:cs="Arial"/>
          <w:sz w:val="18"/>
          <w:szCs w:val="18"/>
        </w:rPr>
      </w:pPr>
    </w:p>
    <w:p w14:paraId="23874A38"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Ahora bien, en dichas ejecutorias, la Segunda Sala de la SCJN resolvió que la Justicia de la Unión Ampara y Protege a Telmex y a Telnor para los efectos siguientes:</w:t>
      </w:r>
    </w:p>
    <w:p w14:paraId="18370EBB" w14:textId="77777777" w:rsidR="00350F69" w:rsidRPr="001B525F" w:rsidRDefault="00350F69" w:rsidP="00CC0143">
      <w:pPr>
        <w:pStyle w:val="Texto0"/>
        <w:spacing w:after="0" w:line="276" w:lineRule="auto"/>
        <w:ind w:left="1134" w:right="616" w:firstLine="0"/>
        <w:rPr>
          <w:i/>
        </w:rPr>
      </w:pPr>
    </w:p>
    <w:p w14:paraId="133CC945" w14:textId="77777777" w:rsidR="00350F69" w:rsidRPr="001B525F" w:rsidRDefault="00350F69" w:rsidP="004A0A71">
      <w:pPr>
        <w:spacing w:after="0"/>
        <w:ind w:left="709" w:hanging="357"/>
        <w:jc w:val="both"/>
        <w:rPr>
          <w:rFonts w:ascii="Arial" w:hAnsi="Arial" w:cs="Arial"/>
          <w:i/>
          <w:sz w:val="16"/>
          <w:szCs w:val="16"/>
        </w:rPr>
      </w:pPr>
      <w:r w:rsidRPr="001B525F">
        <w:rPr>
          <w:rFonts w:ascii="Arial" w:hAnsi="Arial" w:cs="Arial"/>
          <w:i/>
          <w:sz w:val="16"/>
          <w:szCs w:val="16"/>
        </w:rPr>
        <w:t xml:space="preserve">“a. El Instituto Federal de Telecomunicaciones, en los términos de la presente ejecutoria, dejará de aplicar a la quejosa el inciso a), del segundo párrafo, del artículo 131 de la Ley Federal de Telecomunicaciones y Radiodifusión. </w:t>
      </w:r>
    </w:p>
    <w:p w14:paraId="1E020B6C" w14:textId="77777777" w:rsidR="00350F69" w:rsidRPr="001B525F" w:rsidRDefault="00350F69" w:rsidP="004A0A71">
      <w:pPr>
        <w:spacing w:after="0"/>
        <w:ind w:left="709" w:hanging="357"/>
        <w:jc w:val="both"/>
        <w:rPr>
          <w:rFonts w:ascii="Arial" w:hAnsi="Arial" w:cs="Arial"/>
          <w:i/>
          <w:sz w:val="16"/>
          <w:szCs w:val="16"/>
        </w:rPr>
      </w:pPr>
    </w:p>
    <w:p w14:paraId="4F7D0048" w14:textId="77777777" w:rsidR="00350F69" w:rsidRPr="001B525F" w:rsidRDefault="00350F69" w:rsidP="004A0A71">
      <w:pPr>
        <w:spacing w:after="0"/>
        <w:ind w:left="709" w:hanging="357"/>
        <w:jc w:val="both"/>
        <w:rPr>
          <w:rFonts w:ascii="Arial" w:hAnsi="Arial" w:cs="Arial"/>
          <w:i/>
          <w:sz w:val="16"/>
          <w:szCs w:val="16"/>
        </w:rPr>
      </w:pPr>
      <w:r w:rsidRPr="001B525F">
        <w:rPr>
          <w:rFonts w:ascii="Arial" w:hAnsi="Arial" w:cs="Arial"/>
          <w:i/>
          <w:sz w:val="16"/>
          <w:szCs w:val="16"/>
        </w:rPr>
        <w:t>La inaplicación no puede recaer en persona distinta, a pesar de que formen parte del mismo grupo de interés económico que ha sido declarado agente económico preponderante en el sector de las telecomunicaciones.</w:t>
      </w:r>
    </w:p>
    <w:p w14:paraId="0980A007" w14:textId="77777777" w:rsidR="00350F69" w:rsidRPr="001B525F" w:rsidRDefault="00350F69" w:rsidP="004A0A71">
      <w:pPr>
        <w:spacing w:after="0"/>
        <w:ind w:left="709" w:hanging="357"/>
        <w:jc w:val="both"/>
        <w:rPr>
          <w:rFonts w:ascii="Arial" w:hAnsi="Arial" w:cs="Arial"/>
          <w:i/>
          <w:sz w:val="16"/>
          <w:szCs w:val="16"/>
        </w:rPr>
      </w:pPr>
    </w:p>
    <w:p w14:paraId="2687E62A" w14:textId="5C63DC15" w:rsidR="00350F69" w:rsidRPr="001B525F" w:rsidRDefault="00350F69" w:rsidP="004A0A71">
      <w:pPr>
        <w:spacing w:after="0"/>
        <w:ind w:left="709" w:hanging="357"/>
        <w:jc w:val="both"/>
        <w:rPr>
          <w:rFonts w:ascii="Arial" w:hAnsi="Arial" w:cs="Arial"/>
          <w:i/>
          <w:sz w:val="16"/>
          <w:szCs w:val="16"/>
        </w:rPr>
      </w:pPr>
      <w:r w:rsidRPr="001B525F">
        <w:rPr>
          <w:rFonts w:ascii="Arial" w:hAnsi="Arial" w:cs="Arial"/>
          <w:i/>
          <w:sz w:val="16"/>
          <w:szCs w:val="16"/>
        </w:rPr>
        <w:t>b. 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determinará la regulación asimétrica relativa a las tarifas de interconexión por la terminación de tráfico en la red de **********, en su carácter de agente económico</w:t>
      </w:r>
      <w:r w:rsidR="00E748A6" w:rsidRPr="001B525F">
        <w:rPr>
          <w:rFonts w:ascii="Arial" w:hAnsi="Arial" w:cs="Arial"/>
          <w:i/>
          <w:sz w:val="16"/>
          <w:szCs w:val="16"/>
        </w:rPr>
        <w:t xml:space="preserve"> preponderante</w:t>
      </w:r>
      <w:r w:rsidR="00E748A6" w:rsidRPr="001B525F">
        <w:rPr>
          <w:rFonts w:ascii="Arial" w:hAnsi="Arial" w:cs="Arial"/>
          <w:i/>
          <w:sz w:val="16"/>
          <w:szCs w:val="16"/>
          <w:vertAlign w:val="superscript"/>
        </w:rPr>
        <w:t>2</w:t>
      </w:r>
      <w:r w:rsidR="00E748A6" w:rsidRPr="001B525F">
        <w:rPr>
          <w:rFonts w:ascii="Arial" w:hAnsi="Arial" w:cs="Arial"/>
          <w:i/>
          <w:sz w:val="16"/>
          <w:szCs w:val="16"/>
        </w:rPr>
        <w:t>.</w:t>
      </w:r>
    </w:p>
    <w:p w14:paraId="4695A6E2" w14:textId="627D387B" w:rsidR="00350F69" w:rsidRPr="001B525F" w:rsidRDefault="00350F69" w:rsidP="004A0A71">
      <w:pPr>
        <w:spacing w:after="0"/>
        <w:ind w:left="709" w:hanging="357"/>
        <w:jc w:val="both"/>
        <w:rPr>
          <w:rFonts w:ascii="Arial" w:hAnsi="Arial" w:cs="Arial"/>
          <w:i/>
          <w:sz w:val="16"/>
          <w:szCs w:val="16"/>
        </w:rPr>
      </w:pPr>
    </w:p>
    <w:p w14:paraId="76300CD5" w14:textId="77777777" w:rsidR="00350F69" w:rsidRPr="001B525F" w:rsidRDefault="00350F69" w:rsidP="004A0A71">
      <w:pPr>
        <w:spacing w:after="0"/>
        <w:ind w:left="709" w:hanging="357"/>
        <w:jc w:val="both"/>
        <w:rPr>
          <w:rFonts w:ascii="Arial" w:hAnsi="Arial" w:cs="Arial"/>
          <w:i/>
          <w:sz w:val="16"/>
          <w:szCs w:val="16"/>
        </w:rPr>
      </w:pPr>
      <w:r w:rsidRPr="001B525F">
        <w:rPr>
          <w:rFonts w:ascii="Arial" w:hAnsi="Arial" w:cs="Arial"/>
          <w:i/>
          <w:sz w:val="16"/>
          <w:szCs w:val="16"/>
        </w:rPr>
        <w:t>c. Todos aquellos 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reclamada.</w:t>
      </w:r>
    </w:p>
    <w:p w14:paraId="2C693454" w14:textId="77777777" w:rsidR="00350F69" w:rsidRPr="001B525F" w:rsidRDefault="00350F69" w:rsidP="004A0A71">
      <w:pPr>
        <w:spacing w:after="0"/>
        <w:ind w:left="709" w:hanging="357"/>
        <w:jc w:val="both"/>
        <w:rPr>
          <w:rFonts w:ascii="Arial" w:hAnsi="Arial" w:cs="Arial"/>
          <w:i/>
          <w:sz w:val="16"/>
          <w:szCs w:val="16"/>
        </w:rPr>
      </w:pPr>
    </w:p>
    <w:p w14:paraId="5B093230" w14:textId="2C355F8E" w:rsidR="00350F69" w:rsidRPr="001B525F" w:rsidRDefault="00350F69" w:rsidP="004A0A71">
      <w:pPr>
        <w:spacing w:after="0"/>
        <w:ind w:left="709" w:hanging="357"/>
        <w:jc w:val="both"/>
        <w:rPr>
          <w:rFonts w:ascii="Arial" w:hAnsi="Arial" w:cs="Arial"/>
          <w:i/>
          <w:sz w:val="16"/>
          <w:szCs w:val="16"/>
        </w:rPr>
      </w:pPr>
      <w:r w:rsidRPr="001B525F">
        <w:rPr>
          <w:rFonts w:ascii="Arial" w:hAnsi="Arial" w:cs="Arial"/>
          <w:i/>
          <w:sz w:val="16"/>
          <w:szCs w:val="16"/>
        </w:rPr>
        <w:t>d. A fin de salvaguardar la seguridad jurídica en el sector de las telecomunicaciones y preservar los acuerdos o convenios de interconexión celebrados entre ********** y los distintos concesionarios, y con el objeto de no afectar a los usuarios finales, las tarifas que determine el Instituto Federal de Telecomunicaciones entrarán en vigor a partir del uno de enero de dos mil diecinueve en términos del trámite y plazos que prevé el artículo 129 de la Ley Federal de Telecomunicaciones y Radiodifusión, tarifas que además deberán publicarse en el Diario Oficial de la Federación en términos de lo dispuesto en el artículo 137 de la citada ley federal.”</w:t>
      </w:r>
    </w:p>
    <w:p w14:paraId="169F9B70" w14:textId="041ACACB" w:rsidR="00B97309" w:rsidRPr="001B525F" w:rsidRDefault="00B97309" w:rsidP="00CC0143">
      <w:pPr>
        <w:pBdr>
          <w:bottom w:val="single" w:sz="6" w:space="1" w:color="auto"/>
        </w:pBdr>
        <w:spacing w:after="0"/>
        <w:ind w:left="851" w:right="566"/>
        <w:jc w:val="both"/>
        <w:rPr>
          <w:rFonts w:ascii="Arial" w:hAnsi="Arial" w:cs="Arial"/>
          <w:i/>
          <w:sz w:val="18"/>
          <w:szCs w:val="18"/>
        </w:rPr>
      </w:pPr>
    </w:p>
    <w:p w14:paraId="444E6E9C" w14:textId="36B3072D" w:rsidR="00B97309" w:rsidRPr="001B525F" w:rsidRDefault="00B97309" w:rsidP="00B332D4">
      <w:pPr>
        <w:pStyle w:val="Textonotapie"/>
        <w:spacing w:line="276" w:lineRule="auto"/>
        <w:ind w:left="851" w:right="615"/>
        <w:jc w:val="both"/>
        <w:rPr>
          <w:rFonts w:ascii="Arial" w:hAnsi="Arial" w:cs="Arial"/>
          <w:i/>
          <w:iCs/>
          <w:sz w:val="14"/>
          <w:szCs w:val="14"/>
        </w:rPr>
      </w:pPr>
      <w:r w:rsidRPr="001B525F">
        <w:rPr>
          <w:rFonts w:ascii="Arial" w:hAnsi="Arial" w:cs="Arial"/>
          <w:i/>
          <w:iCs/>
          <w:sz w:val="14"/>
          <w:szCs w:val="14"/>
          <w:vertAlign w:val="superscript"/>
        </w:rPr>
        <w:t>2</w:t>
      </w:r>
      <w:r w:rsidRPr="001B525F">
        <w:rPr>
          <w:rFonts w:ascii="Arial" w:hAnsi="Arial" w:cs="Arial"/>
          <w:i/>
          <w:iCs/>
          <w:sz w:val="14"/>
          <w:szCs w:val="14"/>
        </w:rPr>
        <w:t xml:space="preserve"> Lo anterior, en aplicación de la tesis aislada 2a. CXXXVII/2009, de rubro: “</w:t>
      </w:r>
      <w:r w:rsidRPr="001B525F">
        <w:rPr>
          <w:rFonts w:ascii="Arial" w:hAnsi="Arial" w:cs="Arial"/>
          <w:b/>
          <w:i/>
          <w:iCs/>
          <w:sz w:val="14"/>
          <w:szCs w:val="14"/>
        </w:rPr>
        <w:t>AMPARO CONTRA LEYES. SUS EFECTOS ESTÁN RELACIONADOS CON LAS EXIGENCIAS DERIVADAS DE LAS GARANTÍAS INDIVIDUALES QUE HAYAN RESULTADO VIOLADAS</w:t>
      </w:r>
      <w:r w:rsidRPr="001B525F">
        <w:rPr>
          <w:rFonts w:ascii="Arial" w:hAnsi="Arial" w:cs="Arial"/>
          <w:i/>
          <w:iCs/>
          <w:sz w:val="14"/>
          <w:szCs w:val="14"/>
        </w:rPr>
        <w:t>”. Consultable en el Semanario Judicial de la Federación y su Gaceta, Novena Época, Tomo XXXI, Enero de 2010, página 321.</w:t>
      </w:r>
    </w:p>
    <w:p w14:paraId="0AD733B5" w14:textId="77777777" w:rsidR="00350F69" w:rsidRPr="001B525F" w:rsidRDefault="00350F69" w:rsidP="00CC0143">
      <w:pPr>
        <w:pStyle w:val="Texto0"/>
        <w:spacing w:after="0" w:line="276" w:lineRule="auto"/>
        <w:ind w:right="616"/>
      </w:pPr>
    </w:p>
    <w:p w14:paraId="7CE7592D"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tal virtud y de conformidad con los alcances de las ejecutorias emitidas por la Segunda Sala de la SCJN dentro de los amparos en revisión 1306/2017 y 1307/2017, el Instituto dejó de aplicar a Telmex y a Telnor el inciso a) del segundo párrafo del artículo 131 de la LFTR, el cual constituye la prohibición para que el agente económico preponderante cobre a otros concesionarios por el tráfico que termine en su red, y en ese sentido, fijó la tarifa correspondiente por los servicios de terminación en las redes fijas del AEP.</w:t>
      </w:r>
    </w:p>
    <w:p w14:paraId="52551CEA" w14:textId="77777777" w:rsidR="00350F69" w:rsidRPr="001B525F" w:rsidRDefault="00350F69" w:rsidP="00CC0143">
      <w:pPr>
        <w:spacing w:after="0"/>
        <w:ind w:right="49"/>
        <w:jc w:val="both"/>
        <w:rPr>
          <w:rFonts w:ascii="Arial" w:hAnsi="Arial" w:cs="Arial"/>
          <w:sz w:val="18"/>
          <w:szCs w:val="18"/>
        </w:rPr>
      </w:pPr>
    </w:p>
    <w:p w14:paraId="264329BB"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Para tal efecto, en dichas ejecutorias la Segunda Sala de la SCJN estimó lo siguiente: </w:t>
      </w:r>
    </w:p>
    <w:p w14:paraId="79A4B3E9" w14:textId="77777777" w:rsidR="00350F69" w:rsidRPr="001B525F" w:rsidRDefault="00350F69" w:rsidP="004A0A71">
      <w:pPr>
        <w:spacing w:after="0"/>
        <w:ind w:left="352"/>
        <w:jc w:val="both"/>
        <w:rPr>
          <w:rFonts w:ascii="Arial" w:hAnsi="Arial" w:cs="Arial"/>
          <w:sz w:val="16"/>
          <w:szCs w:val="16"/>
        </w:rPr>
      </w:pPr>
    </w:p>
    <w:p w14:paraId="3E96EEB3" w14:textId="77777777" w:rsidR="00350F69" w:rsidRPr="001B525F" w:rsidRDefault="00350F69" w:rsidP="004A0A71">
      <w:pPr>
        <w:spacing w:after="0"/>
        <w:ind w:left="352"/>
        <w:jc w:val="both"/>
        <w:rPr>
          <w:rFonts w:ascii="Arial" w:hAnsi="Arial" w:cs="Arial"/>
          <w:i/>
          <w:sz w:val="16"/>
          <w:szCs w:val="16"/>
        </w:rPr>
      </w:pPr>
      <w:r w:rsidRPr="001B525F">
        <w:rPr>
          <w:rFonts w:ascii="Arial" w:hAnsi="Arial" w:cs="Arial"/>
          <w:i/>
          <w:sz w:val="16"/>
          <w:szCs w:val="16"/>
        </w:rPr>
        <w:t xml:space="preserve">“Máxime que </w:t>
      </w:r>
      <w:r w:rsidRPr="001B525F">
        <w:rPr>
          <w:rFonts w:ascii="Arial" w:hAnsi="Arial" w:cs="Arial"/>
          <w:b/>
          <w:i/>
          <w:sz w:val="16"/>
          <w:szCs w:val="16"/>
        </w:rPr>
        <w:t>corresponderá a la autoridad competente, es decir, al órgano regulador, determinar la regulación asimétrica en tarifas de interconexión,</w:t>
      </w:r>
      <w:r w:rsidRPr="001B525F">
        <w:rPr>
          <w:rFonts w:ascii="Arial" w:hAnsi="Arial" w:cs="Arial"/>
          <w:i/>
          <w:sz w:val="16"/>
          <w:szCs w:val="16"/>
        </w:rPr>
        <w:t xml:space="preserve"> ya que </w:t>
      </w:r>
      <w:r w:rsidRPr="001B525F">
        <w:rPr>
          <w:rFonts w:ascii="Arial" w:hAnsi="Arial" w:cs="Arial"/>
          <w:b/>
          <w:i/>
          <w:sz w:val="16"/>
          <w:szCs w:val="16"/>
        </w:rPr>
        <w:t>como instancia especializada es la que cuenta con los elementos para expedir la normativa que se requiera</w:t>
      </w:r>
      <w:r w:rsidRPr="001B525F">
        <w:rPr>
          <w:rFonts w:ascii="Arial" w:hAnsi="Arial" w:cs="Arial"/>
          <w:i/>
          <w:sz w:val="16"/>
          <w:szCs w:val="16"/>
        </w:rPr>
        <w:t>, en el caso concreto para el operador preponderante.”</w:t>
      </w:r>
    </w:p>
    <w:p w14:paraId="3F502903" w14:textId="77777777" w:rsidR="00350F69" w:rsidRPr="001B525F" w:rsidRDefault="00350F69" w:rsidP="00CC0143">
      <w:pPr>
        <w:spacing w:after="0"/>
        <w:ind w:left="851" w:right="706"/>
        <w:jc w:val="right"/>
        <w:rPr>
          <w:rFonts w:ascii="Arial" w:hAnsi="Arial" w:cs="Arial"/>
          <w:sz w:val="18"/>
          <w:szCs w:val="18"/>
        </w:rPr>
      </w:pPr>
      <w:r w:rsidRPr="001B525F">
        <w:rPr>
          <w:rFonts w:ascii="Arial" w:hAnsi="Arial" w:cs="Arial"/>
          <w:sz w:val="18"/>
          <w:szCs w:val="18"/>
        </w:rPr>
        <w:t>(Énfasis añadido)</w:t>
      </w:r>
    </w:p>
    <w:p w14:paraId="014225B8" w14:textId="77777777" w:rsidR="00350F69" w:rsidRPr="001B525F" w:rsidRDefault="00350F69" w:rsidP="00CC0143">
      <w:pPr>
        <w:spacing w:after="0"/>
        <w:ind w:right="49"/>
        <w:jc w:val="both"/>
        <w:rPr>
          <w:rFonts w:ascii="Arial" w:hAnsi="Arial" w:cs="Arial"/>
          <w:sz w:val="18"/>
          <w:szCs w:val="18"/>
        </w:rPr>
      </w:pPr>
    </w:p>
    <w:p w14:paraId="61ADBE36" w14:textId="676B1A8A"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ese sentido, atendiendo a lo resuelto por la Segunda Sala de la SCJN, el Instituto determinó una regulación asimétrica para las tarifas de interconexión por terminación de tráfico en la red </w:t>
      </w:r>
      <w:r w:rsidR="007C6242">
        <w:rPr>
          <w:rFonts w:ascii="Arial" w:hAnsi="Arial" w:cs="Arial"/>
          <w:sz w:val="18"/>
          <w:szCs w:val="18"/>
        </w:rPr>
        <w:t>fija</w:t>
      </w:r>
      <w:r w:rsidR="007C6242" w:rsidRPr="001B525F">
        <w:rPr>
          <w:rFonts w:ascii="Arial" w:hAnsi="Arial" w:cs="Arial"/>
          <w:sz w:val="18"/>
          <w:szCs w:val="18"/>
        </w:rPr>
        <w:t xml:space="preserve"> </w:t>
      </w:r>
      <w:r w:rsidRPr="001B525F">
        <w:rPr>
          <w:rFonts w:ascii="Arial" w:hAnsi="Arial" w:cs="Arial"/>
          <w:sz w:val="18"/>
          <w:szCs w:val="18"/>
        </w:rPr>
        <w:t xml:space="preserve">del agente económico preponderante consistente en determinar dichas tarifas a través de un modelo de costos construido con base en la Metodología de Costos y en el que se incorporaron diversas variables como número de usuarios, volumen de tráfico, presencia geográfica, entre otras, las cuales son representativas del mencionado agente, a fin que, en términos de lo previsto en la LFTR, iniciaran su vigencia a partir del 1 de enero de 2019 y fueran publicadas en el DOF en los términos de lo dispuesto por el artículo 137 del mismo ordenamiento.  </w:t>
      </w:r>
    </w:p>
    <w:p w14:paraId="61670A90" w14:textId="77777777" w:rsidR="00350F69" w:rsidRPr="001B525F" w:rsidRDefault="00350F69" w:rsidP="00CC0143">
      <w:pPr>
        <w:spacing w:after="0"/>
        <w:ind w:right="49"/>
        <w:jc w:val="both"/>
        <w:rPr>
          <w:rFonts w:ascii="Arial" w:hAnsi="Arial" w:cs="Arial"/>
          <w:sz w:val="18"/>
          <w:szCs w:val="18"/>
        </w:rPr>
      </w:pPr>
    </w:p>
    <w:p w14:paraId="490D1FA9" w14:textId="7173887F"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 anterior es así, pues tal y como se desprende de los efectos identificados en el inciso “b.” y “d.” antes citados, este Instituto determinará la regulación asimétrica consistente en determinar las tarifas de interconexión por el servicio de </w:t>
      </w:r>
      <w:r w:rsidRPr="001B525F">
        <w:rPr>
          <w:rFonts w:ascii="Arial" w:hAnsi="Arial" w:cs="Arial"/>
          <w:sz w:val="18"/>
          <w:szCs w:val="18"/>
        </w:rPr>
        <w:lastRenderedPageBreak/>
        <w:t>terminación a través de un modelo de costos construido con base en la Metodología de Costos y en el que se incorporaron diversas variables como número de usuarios, volumen de tráfico, presencia geográfica, entre otras, las cuales son representativas del Agente Económico Preponderante, mismas que deberán entrar en vigor a partir del 1 de enero de 202</w:t>
      </w:r>
      <w:r w:rsidR="00016C7C">
        <w:rPr>
          <w:rFonts w:ascii="Arial" w:hAnsi="Arial" w:cs="Arial"/>
          <w:sz w:val="18"/>
          <w:szCs w:val="18"/>
        </w:rPr>
        <w:t>5</w:t>
      </w:r>
      <w:r w:rsidRPr="001B525F">
        <w:rPr>
          <w:rFonts w:ascii="Arial" w:hAnsi="Arial" w:cs="Arial"/>
          <w:sz w:val="18"/>
          <w:szCs w:val="18"/>
        </w:rPr>
        <w:t xml:space="preserve"> y publicarse en el DOF en términos de lo dispuesto por el artículo 137 de la LFTR.</w:t>
      </w:r>
    </w:p>
    <w:p w14:paraId="17847F12" w14:textId="77777777" w:rsidR="00350F69" w:rsidRPr="001B525F" w:rsidRDefault="00350F69" w:rsidP="00CC0143">
      <w:pPr>
        <w:spacing w:after="0"/>
        <w:ind w:right="49"/>
        <w:jc w:val="both"/>
        <w:rPr>
          <w:rFonts w:ascii="Arial" w:hAnsi="Arial" w:cs="Arial"/>
          <w:sz w:val="18"/>
          <w:szCs w:val="18"/>
        </w:rPr>
      </w:pPr>
    </w:p>
    <w:p w14:paraId="510BA5DD" w14:textId="623AADB4"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 efecto de dar cabal cumplimiento a los efectos mandatados por la Segunda Sala de la SCJN en los amparos en revisión 1306/2017 y 1307/2017, debe señalarse que con fecha 18 de diciembre de 2014, este Instituto publicó en el DOF el </w:t>
      </w:r>
      <w:r w:rsidRPr="001B525F">
        <w:rPr>
          <w:rFonts w:ascii="Arial" w:hAnsi="Arial" w:cs="Arial"/>
          <w:i/>
          <w:sz w:val="18"/>
          <w:szCs w:val="18"/>
        </w:rPr>
        <w:t>“Acuerdo mediante el cual el Pleno del Instituto Federal de Telecomunicaciones emite la metodología para el cálculo de costos de interconexión de conformidad con la Ley Federal de Telecomunicaciones y Radiodifusión</w:t>
      </w:r>
      <w:r w:rsidR="00E748A6" w:rsidRPr="001B525F">
        <w:rPr>
          <w:rStyle w:val="Refdenotaalpie"/>
          <w:rFonts w:ascii="Arial" w:hAnsi="Arial" w:cs="Arial"/>
          <w:i/>
          <w:sz w:val="18"/>
          <w:szCs w:val="18"/>
        </w:rPr>
        <w:footnoteReference w:id="3"/>
      </w:r>
      <w:r w:rsidRPr="001B525F">
        <w:rPr>
          <w:rFonts w:ascii="Arial" w:hAnsi="Arial" w:cs="Arial"/>
          <w:i/>
          <w:sz w:val="18"/>
          <w:szCs w:val="18"/>
        </w:rPr>
        <w:t>”</w:t>
      </w:r>
      <w:r w:rsidRPr="001B525F">
        <w:rPr>
          <w:rFonts w:ascii="Arial" w:hAnsi="Arial" w:cs="Arial"/>
          <w:sz w:val="18"/>
          <w:szCs w:val="18"/>
        </w:rPr>
        <w:t>, el cual, en su Lineamiento Primero señaló expresamente lo siguiente:</w:t>
      </w:r>
    </w:p>
    <w:p w14:paraId="46E6DE56" w14:textId="77777777" w:rsidR="00350F69" w:rsidRPr="001B525F" w:rsidRDefault="00350F69" w:rsidP="00CC0143">
      <w:pPr>
        <w:spacing w:after="0"/>
        <w:jc w:val="both"/>
        <w:rPr>
          <w:rFonts w:ascii="Arial" w:hAnsi="Arial" w:cs="Arial"/>
          <w:sz w:val="18"/>
          <w:szCs w:val="18"/>
        </w:rPr>
      </w:pPr>
    </w:p>
    <w:p w14:paraId="21EC54EC" w14:textId="77777777" w:rsidR="00350F69" w:rsidRPr="001B525F" w:rsidRDefault="00350F69" w:rsidP="004A0A71">
      <w:pPr>
        <w:pStyle w:val="Texto0"/>
        <w:spacing w:after="0" w:line="276" w:lineRule="auto"/>
        <w:ind w:left="352" w:firstLine="0"/>
        <w:rPr>
          <w:i/>
          <w:sz w:val="16"/>
          <w:szCs w:val="16"/>
        </w:rPr>
      </w:pPr>
      <w:r w:rsidRPr="001B525F">
        <w:rPr>
          <w:i/>
          <w:sz w:val="16"/>
          <w:szCs w:val="16"/>
        </w:rPr>
        <w:t>“</w:t>
      </w:r>
      <w:r w:rsidRPr="001B525F">
        <w:rPr>
          <w:b/>
          <w:i/>
          <w:sz w:val="16"/>
          <w:szCs w:val="16"/>
        </w:rPr>
        <w:t>PRIMERO.-</w:t>
      </w:r>
      <w:r w:rsidRPr="001B525F">
        <w:rPr>
          <w:i/>
          <w:sz w:val="16"/>
          <w:szCs w:val="16"/>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0282A6BF" w14:textId="77777777" w:rsidR="00350F69" w:rsidRPr="001B525F" w:rsidRDefault="00350F69" w:rsidP="00CC0143">
      <w:pPr>
        <w:spacing w:after="0"/>
        <w:ind w:right="49"/>
        <w:jc w:val="both"/>
        <w:rPr>
          <w:rFonts w:ascii="Arial" w:hAnsi="Arial" w:cs="Arial"/>
          <w:sz w:val="18"/>
          <w:szCs w:val="18"/>
        </w:rPr>
      </w:pPr>
    </w:p>
    <w:p w14:paraId="6943AC0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 así que en la mencionada Metodología de Costos se establecen una serie de lineamientos mediante los cuales el Instituto deberá construir los modelos de costos que servirán para el cálculo de los costos de los servicios de interconexión, y que por ende constituyen el marco regulatorio en la materia.</w:t>
      </w:r>
    </w:p>
    <w:p w14:paraId="642B5CB0" w14:textId="77777777" w:rsidR="00350F69" w:rsidRPr="001B525F" w:rsidRDefault="00350F69" w:rsidP="00CC0143">
      <w:pPr>
        <w:spacing w:after="0"/>
        <w:jc w:val="both"/>
        <w:rPr>
          <w:rFonts w:ascii="Arial" w:hAnsi="Arial" w:cs="Arial"/>
          <w:sz w:val="18"/>
          <w:szCs w:val="18"/>
        </w:rPr>
      </w:pPr>
    </w:p>
    <w:p w14:paraId="1334CD50" w14:textId="3A344CA9" w:rsidR="00D5167B" w:rsidRPr="00526C24" w:rsidRDefault="00D5167B" w:rsidP="00D5167B">
      <w:pPr>
        <w:spacing w:after="0"/>
        <w:ind w:right="49"/>
        <w:jc w:val="both"/>
        <w:rPr>
          <w:rFonts w:ascii="Arial" w:hAnsi="Arial" w:cs="Arial"/>
          <w:sz w:val="18"/>
          <w:szCs w:val="18"/>
        </w:rPr>
      </w:pPr>
      <w:r>
        <w:rPr>
          <w:rFonts w:ascii="Arial" w:hAnsi="Arial" w:cs="Arial"/>
          <w:sz w:val="18"/>
          <w:szCs w:val="18"/>
        </w:rPr>
        <w:t xml:space="preserve">Además, a través de la Medida </w:t>
      </w:r>
      <w:r w:rsidR="003B5FE0">
        <w:rPr>
          <w:rFonts w:ascii="Arial" w:hAnsi="Arial" w:cs="Arial"/>
          <w:sz w:val="18"/>
          <w:szCs w:val="18"/>
        </w:rPr>
        <w:t xml:space="preserve">Trigésima Sexta </w:t>
      </w:r>
      <w:r>
        <w:rPr>
          <w:rFonts w:ascii="Arial" w:hAnsi="Arial" w:cs="Arial"/>
          <w:sz w:val="18"/>
          <w:szCs w:val="18"/>
        </w:rPr>
        <w:t xml:space="preserve">de las Medidas </w:t>
      </w:r>
      <w:r w:rsidR="003B5FE0">
        <w:rPr>
          <w:rFonts w:ascii="Arial" w:hAnsi="Arial" w:cs="Arial"/>
          <w:sz w:val="18"/>
          <w:szCs w:val="18"/>
        </w:rPr>
        <w:t>Fijas</w:t>
      </w:r>
      <w:r>
        <w:rPr>
          <w:rFonts w:ascii="Arial" w:hAnsi="Arial" w:cs="Arial"/>
          <w:sz w:val="18"/>
          <w:szCs w:val="18"/>
        </w:rPr>
        <w:t xml:space="preserve">, el Instituto estableció que las tarifas aplicables a los servicios de interconexión que cobrará el AEP, serán determinadas con base en un modelo de costos elaborado de conformidad con la Metodología de Costos </w:t>
      </w:r>
      <w:r w:rsidRPr="00526C24">
        <w:rPr>
          <w:rFonts w:ascii="Arial" w:hAnsi="Arial" w:cs="Arial"/>
          <w:sz w:val="18"/>
          <w:szCs w:val="18"/>
        </w:rPr>
        <w:t>o con aquellas disposiciones que la modificaran o sustituyan, considerando la obligatoriedad de la prestación de los servicios establecida en el artículo 133 de la Ley Federal de Telecomunicaciones y Radiodifusión y las características relevantes del AEP.</w:t>
      </w:r>
    </w:p>
    <w:p w14:paraId="7260D5C4" w14:textId="77777777" w:rsidR="00D5167B" w:rsidRDefault="00D5167B" w:rsidP="00CC0143">
      <w:pPr>
        <w:spacing w:after="0"/>
        <w:ind w:right="49"/>
        <w:jc w:val="both"/>
        <w:rPr>
          <w:rFonts w:ascii="Arial" w:hAnsi="Arial" w:cs="Arial"/>
          <w:sz w:val="18"/>
          <w:szCs w:val="18"/>
        </w:rPr>
      </w:pPr>
    </w:p>
    <w:p w14:paraId="6E8FBC1A" w14:textId="515B7C42"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tal virtud, </w:t>
      </w:r>
      <w:r w:rsidR="007E3EA7">
        <w:rPr>
          <w:rFonts w:ascii="Arial" w:hAnsi="Arial" w:cs="Arial"/>
          <w:sz w:val="18"/>
          <w:szCs w:val="18"/>
        </w:rPr>
        <w:t>en concordancia</w:t>
      </w:r>
      <w:r w:rsidRPr="001B525F">
        <w:rPr>
          <w:rFonts w:ascii="Arial" w:hAnsi="Arial" w:cs="Arial"/>
          <w:sz w:val="18"/>
          <w:szCs w:val="18"/>
        </w:rPr>
        <w:t xml:space="preserve"> a lo resuelto por la Segunda Sala de la SCJN </w:t>
      </w:r>
      <w:r w:rsidR="00526C24">
        <w:rPr>
          <w:rFonts w:ascii="Arial" w:hAnsi="Arial" w:cs="Arial"/>
          <w:sz w:val="18"/>
          <w:szCs w:val="18"/>
        </w:rPr>
        <w:t xml:space="preserve">y </w:t>
      </w:r>
      <w:r w:rsidR="00BB3D7C">
        <w:rPr>
          <w:rFonts w:ascii="Arial" w:hAnsi="Arial" w:cs="Arial"/>
          <w:sz w:val="18"/>
          <w:szCs w:val="18"/>
        </w:rPr>
        <w:t>de acuerdo con</w:t>
      </w:r>
      <w:r w:rsidR="00526C24">
        <w:rPr>
          <w:rFonts w:ascii="Arial" w:hAnsi="Arial" w:cs="Arial"/>
          <w:sz w:val="18"/>
          <w:szCs w:val="18"/>
        </w:rPr>
        <w:t xml:space="preserve"> lo establecido en las Medidas Fijas,</w:t>
      </w:r>
      <w:r w:rsidRPr="00074509">
        <w:rPr>
          <w:rFonts w:ascii="Arial" w:hAnsi="Arial" w:cs="Arial"/>
          <w:sz w:val="18"/>
          <w:szCs w:val="18"/>
        </w:rPr>
        <w:t xml:space="preserve"> </w:t>
      </w:r>
      <w:r w:rsidRPr="001B525F">
        <w:rPr>
          <w:rFonts w:ascii="Arial" w:hAnsi="Arial" w:cs="Arial"/>
          <w:sz w:val="18"/>
          <w:szCs w:val="18"/>
        </w:rPr>
        <w:t>el Instituto debe determinar la</w:t>
      </w:r>
      <w:r w:rsidR="007E3EA7">
        <w:rPr>
          <w:rFonts w:ascii="Arial" w:hAnsi="Arial" w:cs="Arial"/>
          <w:sz w:val="18"/>
          <w:szCs w:val="18"/>
        </w:rPr>
        <w:t>s</w:t>
      </w:r>
      <w:r w:rsidRPr="001B525F">
        <w:rPr>
          <w:rFonts w:ascii="Arial" w:hAnsi="Arial" w:cs="Arial"/>
          <w:sz w:val="18"/>
          <w:szCs w:val="18"/>
        </w:rPr>
        <w:t xml:space="preserve"> tarifa</w:t>
      </w:r>
      <w:r w:rsidR="007E3EA7">
        <w:rPr>
          <w:rFonts w:ascii="Arial" w:hAnsi="Arial" w:cs="Arial"/>
          <w:sz w:val="18"/>
          <w:szCs w:val="18"/>
        </w:rPr>
        <w:t>s</w:t>
      </w:r>
      <w:r w:rsidRPr="001B525F">
        <w:rPr>
          <w:rFonts w:ascii="Arial" w:hAnsi="Arial" w:cs="Arial"/>
          <w:sz w:val="18"/>
          <w:szCs w:val="18"/>
        </w:rPr>
        <w:t xml:space="preserve"> de interconexión aplicable</w:t>
      </w:r>
      <w:r w:rsidR="007E3EA7">
        <w:rPr>
          <w:rFonts w:ascii="Arial" w:hAnsi="Arial" w:cs="Arial"/>
          <w:sz w:val="18"/>
          <w:szCs w:val="18"/>
        </w:rPr>
        <w:t>s</w:t>
      </w:r>
      <w:r w:rsidRPr="001B525F">
        <w:rPr>
          <w:rFonts w:ascii="Arial" w:hAnsi="Arial" w:cs="Arial"/>
          <w:sz w:val="18"/>
          <w:szCs w:val="18"/>
        </w:rPr>
        <w:t xml:space="preserve">  en las redes fijas del </w:t>
      </w:r>
      <w:r w:rsidRPr="00A007C0">
        <w:rPr>
          <w:rFonts w:ascii="Arial" w:hAnsi="Arial" w:cs="Arial"/>
          <w:sz w:val="18"/>
          <w:szCs w:val="18"/>
        </w:rPr>
        <w:t xml:space="preserve">AEP </w:t>
      </w:r>
      <w:r w:rsidRPr="00F4359E">
        <w:rPr>
          <w:rFonts w:ascii="Arial" w:hAnsi="Arial" w:cs="Arial"/>
          <w:sz w:val="18"/>
          <w:szCs w:val="18"/>
        </w:rPr>
        <w:t>a través de un modelo de costos elaborado de conformidad con los lineamientos</w:t>
      </w:r>
      <w:r w:rsidRPr="001B525F">
        <w:rPr>
          <w:rFonts w:ascii="Arial" w:hAnsi="Arial" w:cs="Arial"/>
          <w:b/>
          <w:sz w:val="18"/>
          <w:szCs w:val="18"/>
        </w:rPr>
        <w:t xml:space="preserve"> </w:t>
      </w:r>
      <w:r w:rsidRPr="001B525F">
        <w:rPr>
          <w:rFonts w:ascii="Arial" w:hAnsi="Arial" w:cs="Arial"/>
          <w:sz w:val="18"/>
          <w:szCs w:val="18"/>
        </w:rPr>
        <w:t>establecidos en la Metodología de Costos.</w:t>
      </w:r>
    </w:p>
    <w:p w14:paraId="1B302E6E" w14:textId="77777777" w:rsidR="00350F69" w:rsidRPr="001B525F" w:rsidRDefault="00350F69" w:rsidP="00CC0143">
      <w:pPr>
        <w:spacing w:after="0"/>
        <w:jc w:val="both"/>
        <w:rPr>
          <w:rFonts w:ascii="Arial" w:hAnsi="Arial" w:cs="Arial"/>
          <w:sz w:val="18"/>
          <w:szCs w:val="18"/>
        </w:rPr>
      </w:pPr>
    </w:p>
    <w:p w14:paraId="2271E48A" w14:textId="19D0FC6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Dicha Metodología de Costos considera que una asimetría que debe ser tomada en cuenta en la construcción de los modelos, es la propia existencia de un </w:t>
      </w:r>
      <w:r w:rsidR="00E84D4C">
        <w:rPr>
          <w:rFonts w:ascii="Arial" w:hAnsi="Arial" w:cs="Arial"/>
          <w:sz w:val="18"/>
          <w:szCs w:val="18"/>
        </w:rPr>
        <w:t>AEP</w:t>
      </w:r>
      <w:r w:rsidRPr="001B525F">
        <w:rPr>
          <w:rFonts w:ascii="Arial" w:hAnsi="Arial" w:cs="Arial"/>
          <w:sz w:val="18"/>
          <w:szCs w:val="18"/>
        </w:rPr>
        <w:t xml:space="preserve">, por lo que la regulación que se </w:t>
      </w:r>
      <w:r w:rsidR="00292D23" w:rsidRPr="001B525F">
        <w:rPr>
          <w:rFonts w:ascii="Arial" w:hAnsi="Arial" w:cs="Arial"/>
          <w:sz w:val="18"/>
          <w:szCs w:val="18"/>
        </w:rPr>
        <w:t>emita</w:t>
      </w:r>
      <w:r w:rsidRPr="001B525F">
        <w:rPr>
          <w:rFonts w:ascii="Arial" w:hAnsi="Arial" w:cs="Arial"/>
          <w:sz w:val="18"/>
          <w:szCs w:val="18"/>
        </w:rPr>
        <w:t xml:space="preserve"> debe considerar este hecho en el momento en que se elaboren, en el sentido de que la regulación tome en cuenta la participación de mercado, u otras variables que le otorgan ventajas al mencionado agente.</w:t>
      </w:r>
    </w:p>
    <w:p w14:paraId="06594CEA" w14:textId="77777777" w:rsidR="00350F69" w:rsidRPr="001B525F" w:rsidRDefault="00350F69" w:rsidP="00CC0143">
      <w:pPr>
        <w:spacing w:after="0"/>
        <w:jc w:val="both"/>
        <w:rPr>
          <w:rFonts w:ascii="Arial" w:hAnsi="Arial" w:cs="Arial"/>
          <w:sz w:val="18"/>
          <w:szCs w:val="18"/>
        </w:rPr>
      </w:pPr>
    </w:p>
    <w:p w14:paraId="5B6EEAE9" w14:textId="164899FA" w:rsidR="00654797" w:rsidRPr="00074509" w:rsidRDefault="00350F69" w:rsidP="00654797">
      <w:pPr>
        <w:spacing w:after="0"/>
        <w:ind w:right="49"/>
        <w:jc w:val="both"/>
        <w:rPr>
          <w:rFonts w:ascii="Arial" w:hAnsi="Arial" w:cs="Arial"/>
          <w:sz w:val="18"/>
          <w:szCs w:val="18"/>
        </w:rPr>
      </w:pPr>
      <w:r w:rsidRPr="001B525F">
        <w:rPr>
          <w:rFonts w:ascii="Arial" w:hAnsi="Arial" w:cs="Arial"/>
          <w:sz w:val="18"/>
          <w:szCs w:val="18"/>
        </w:rPr>
        <w:t xml:space="preserve">En ese tenor, </w:t>
      </w:r>
      <w:r w:rsidR="00654797">
        <w:rPr>
          <w:rFonts w:ascii="Arial" w:hAnsi="Arial" w:cs="Arial"/>
          <w:sz w:val="18"/>
          <w:szCs w:val="18"/>
        </w:rPr>
        <w:t xml:space="preserve">este </w:t>
      </w:r>
      <w:r w:rsidR="00A670C2">
        <w:rPr>
          <w:rFonts w:ascii="Arial" w:hAnsi="Arial" w:cs="Arial"/>
          <w:sz w:val="18"/>
          <w:szCs w:val="18"/>
        </w:rPr>
        <w:t xml:space="preserve">Instituto </w:t>
      </w:r>
      <w:r w:rsidR="00654797" w:rsidRPr="00074509">
        <w:rPr>
          <w:rFonts w:ascii="Arial" w:hAnsi="Arial" w:cs="Arial"/>
          <w:sz w:val="18"/>
          <w:szCs w:val="18"/>
        </w:rPr>
        <w:t>determinará las tarifas de</w:t>
      </w:r>
      <w:r w:rsidR="00654797">
        <w:rPr>
          <w:rFonts w:ascii="Arial" w:hAnsi="Arial" w:cs="Arial"/>
          <w:sz w:val="18"/>
          <w:szCs w:val="18"/>
        </w:rPr>
        <w:t xml:space="preserve"> servicios de</w:t>
      </w:r>
      <w:r w:rsidR="00654797" w:rsidRPr="00074509">
        <w:rPr>
          <w:rFonts w:ascii="Arial" w:hAnsi="Arial" w:cs="Arial"/>
          <w:sz w:val="18"/>
          <w:szCs w:val="18"/>
        </w:rPr>
        <w:t xml:space="preserve"> interconexión en la red </w:t>
      </w:r>
      <w:r w:rsidR="00654797">
        <w:rPr>
          <w:rFonts w:ascii="Arial" w:hAnsi="Arial" w:cs="Arial"/>
          <w:sz w:val="18"/>
          <w:szCs w:val="18"/>
        </w:rPr>
        <w:t>fija</w:t>
      </w:r>
      <w:r w:rsidR="00654797" w:rsidRPr="00074509">
        <w:rPr>
          <w:rFonts w:ascii="Arial" w:hAnsi="Arial" w:cs="Arial"/>
          <w:sz w:val="18"/>
          <w:szCs w:val="18"/>
        </w:rPr>
        <w:t xml:space="preserve"> del </w:t>
      </w:r>
      <w:r w:rsidR="00654797">
        <w:rPr>
          <w:rFonts w:ascii="Arial" w:hAnsi="Arial" w:cs="Arial"/>
          <w:sz w:val="18"/>
          <w:szCs w:val="18"/>
        </w:rPr>
        <w:t>AEP</w:t>
      </w:r>
      <w:r w:rsidR="00654797" w:rsidRPr="00074509">
        <w:rPr>
          <w:rFonts w:ascii="Arial" w:hAnsi="Arial" w:cs="Arial"/>
          <w:sz w:val="18"/>
          <w:szCs w:val="18"/>
        </w:rPr>
        <w:t xml:space="preserve"> a través de un modelo de costos construido con base en la Metodología de Costos y en el que se incorporaron diversas variables como número de usuarios, volumen de tráfico, entre otras, las cuales son representativas</w:t>
      </w:r>
      <w:r w:rsidR="00654797">
        <w:rPr>
          <w:rFonts w:ascii="Arial" w:hAnsi="Arial" w:cs="Arial"/>
          <w:sz w:val="18"/>
          <w:szCs w:val="18"/>
        </w:rPr>
        <w:t xml:space="preserve"> de características relevantes</w:t>
      </w:r>
      <w:r w:rsidR="00654797" w:rsidRPr="00074509">
        <w:rPr>
          <w:rFonts w:ascii="Arial" w:hAnsi="Arial" w:cs="Arial"/>
          <w:sz w:val="18"/>
          <w:szCs w:val="18"/>
        </w:rPr>
        <w:t xml:space="preserve"> del </w:t>
      </w:r>
      <w:r w:rsidR="00654797">
        <w:rPr>
          <w:rFonts w:ascii="Arial" w:hAnsi="Arial" w:cs="Arial"/>
          <w:sz w:val="18"/>
          <w:szCs w:val="18"/>
        </w:rPr>
        <w:t>AEP</w:t>
      </w:r>
      <w:r w:rsidR="00654797" w:rsidRPr="00074509">
        <w:rPr>
          <w:rFonts w:ascii="Arial" w:hAnsi="Arial" w:cs="Arial"/>
          <w:sz w:val="18"/>
          <w:szCs w:val="18"/>
        </w:rPr>
        <w:t xml:space="preserve">, mismas que deberán iniciar su vigencia a partir del 1 de enero de 2025. </w:t>
      </w:r>
    </w:p>
    <w:p w14:paraId="1C8C9517" w14:textId="5F3B569C" w:rsidR="00654797" w:rsidRPr="001B525F" w:rsidRDefault="00654797" w:rsidP="00CC0143">
      <w:pPr>
        <w:spacing w:after="0"/>
        <w:ind w:right="49"/>
        <w:jc w:val="both"/>
        <w:rPr>
          <w:rFonts w:ascii="Arial" w:hAnsi="Arial" w:cs="Arial"/>
          <w:sz w:val="18"/>
          <w:szCs w:val="18"/>
        </w:rPr>
      </w:pPr>
    </w:p>
    <w:p w14:paraId="291696B6" w14:textId="1F085FA3"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Es así, que la Metodología de Costos vigente permite </w:t>
      </w:r>
      <w:r w:rsidRPr="00F4359E">
        <w:rPr>
          <w:rFonts w:ascii="Arial" w:hAnsi="Arial" w:cs="Arial"/>
          <w:bCs/>
          <w:sz w:val="18"/>
          <w:szCs w:val="18"/>
        </w:rPr>
        <w:t>determinar la regulación asimétrica relativa</w:t>
      </w:r>
      <w:r w:rsidRPr="001B525F">
        <w:rPr>
          <w:rFonts w:ascii="Arial" w:hAnsi="Arial" w:cs="Arial"/>
          <w:sz w:val="18"/>
          <w:szCs w:val="18"/>
        </w:rPr>
        <w:t xml:space="preserve"> a las tarifas de interconexión ordenada por la Segunda Sala de la SCJN </w:t>
      </w:r>
      <w:r w:rsidR="00EE3B7C">
        <w:rPr>
          <w:rFonts w:ascii="Arial" w:hAnsi="Arial" w:cs="Arial"/>
          <w:sz w:val="18"/>
          <w:szCs w:val="18"/>
        </w:rPr>
        <w:t xml:space="preserve">y cumple </w:t>
      </w:r>
      <w:r w:rsidR="00DA4E62">
        <w:rPr>
          <w:rFonts w:ascii="Arial" w:hAnsi="Arial" w:cs="Arial"/>
          <w:sz w:val="18"/>
          <w:szCs w:val="18"/>
        </w:rPr>
        <w:t xml:space="preserve">con lo mandatado en la Medidas </w:t>
      </w:r>
      <w:r w:rsidRPr="001B525F">
        <w:rPr>
          <w:rFonts w:ascii="Arial" w:hAnsi="Arial" w:cs="Arial"/>
          <w:sz w:val="18"/>
          <w:szCs w:val="18"/>
        </w:rPr>
        <w:t>al incorporar en el modelo de costos respectivo diversas variables como usuarios, tráfico, entre otras, representativas del mencionado agente.</w:t>
      </w:r>
    </w:p>
    <w:p w14:paraId="76597483" w14:textId="77777777" w:rsidR="00350F69" w:rsidRPr="001B525F" w:rsidRDefault="00350F69" w:rsidP="00CC0143">
      <w:pPr>
        <w:autoSpaceDE w:val="0"/>
        <w:autoSpaceDN w:val="0"/>
        <w:adjustRightInd w:val="0"/>
        <w:spacing w:after="0"/>
        <w:jc w:val="both"/>
        <w:rPr>
          <w:rFonts w:ascii="Arial" w:hAnsi="Arial" w:cs="Arial"/>
          <w:sz w:val="18"/>
          <w:szCs w:val="18"/>
        </w:rPr>
      </w:pPr>
    </w:p>
    <w:p w14:paraId="60D7CA49" w14:textId="5BC1CB8C"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Debe señalarse que, el establecer la</w:t>
      </w:r>
      <w:r w:rsidR="00CC5360">
        <w:rPr>
          <w:rFonts w:ascii="Arial" w:hAnsi="Arial" w:cs="Arial"/>
          <w:sz w:val="18"/>
          <w:szCs w:val="18"/>
        </w:rPr>
        <w:t>s</w:t>
      </w:r>
      <w:r w:rsidRPr="001B525F">
        <w:rPr>
          <w:rFonts w:ascii="Arial" w:hAnsi="Arial" w:cs="Arial"/>
          <w:sz w:val="18"/>
          <w:szCs w:val="18"/>
        </w:rPr>
        <w:t xml:space="preserve"> tarifa</w:t>
      </w:r>
      <w:r w:rsidR="00CC5360">
        <w:rPr>
          <w:rFonts w:ascii="Arial" w:hAnsi="Arial" w:cs="Arial"/>
          <w:sz w:val="18"/>
          <w:szCs w:val="18"/>
        </w:rPr>
        <w:t>s</w:t>
      </w:r>
      <w:r w:rsidRPr="001B525F">
        <w:rPr>
          <w:rFonts w:ascii="Arial" w:hAnsi="Arial" w:cs="Arial"/>
          <w:sz w:val="18"/>
          <w:szCs w:val="18"/>
        </w:rPr>
        <w:t xml:space="preserve"> con base en un modelo de costos, permite acceder a un insumo ofrecido por el AEP y necesario para el resto de los concesionarios de la industria a niveles que permitan alcanzar el objetivo de incentivar mercados competitivos a fin de lograr el bienestar del consumidor.</w:t>
      </w:r>
    </w:p>
    <w:p w14:paraId="517846BC" w14:textId="77777777" w:rsidR="00350F69" w:rsidRPr="001B525F" w:rsidRDefault="00350F69" w:rsidP="00CC0143">
      <w:pPr>
        <w:spacing w:after="0"/>
        <w:ind w:right="49"/>
        <w:jc w:val="both"/>
        <w:rPr>
          <w:rFonts w:ascii="Arial" w:hAnsi="Arial" w:cs="Arial"/>
          <w:sz w:val="18"/>
          <w:szCs w:val="18"/>
        </w:rPr>
      </w:pPr>
    </w:p>
    <w:p w14:paraId="0E3E6993"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lastRenderedPageBreak/>
        <w:t>En este sentido, considerar un operador hipotético eficiente y las características representativas del AEP, es previsible que la tarifa de interconexión que se determine continúe teniendo un impacto positivo en el bienestar del consumidor a través de mejores precios y mayor calidad en los servicios de telecomunicaciones.</w:t>
      </w:r>
    </w:p>
    <w:p w14:paraId="0B64E6A0" w14:textId="77777777" w:rsidR="00350F69" w:rsidRPr="001B525F" w:rsidRDefault="00350F69" w:rsidP="00CC0143">
      <w:pPr>
        <w:spacing w:after="0"/>
        <w:ind w:right="49"/>
        <w:jc w:val="both"/>
        <w:rPr>
          <w:rFonts w:ascii="Arial" w:hAnsi="Arial" w:cs="Arial"/>
          <w:sz w:val="18"/>
          <w:szCs w:val="18"/>
        </w:rPr>
      </w:pPr>
    </w:p>
    <w:p w14:paraId="38F040C6" w14:textId="7ACD8170" w:rsidR="00350F69" w:rsidRPr="001B525F" w:rsidRDefault="00E67A5F" w:rsidP="00CC0143">
      <w:pPr>
        <w:spacing w:after="0"/>
        <w:ind w:right="49"/>
        <w:jc w:val="both"/>
        <w:rPr>
          <w:rFonts w:ascii="Arial" w:hAnsi="Arial" w:cs="Arial"/>
          <w:sz w:val="18"/>
          <w:szCs w:val="18"/>
        </w:rPr>
      </w:pPr>
      <w:r w:rsidRPr="001B525F">
        <w:rPr>
          <w:rFonts w:ascii="Arial" w:hAnsi="Arial" w:cs="Arial"/>
          <w:b/>
          <w:sz w:val="18"/>
          <w:szCs w:val="18"/>
        </w:rPr>
        <w:t>Quinto</w:t>
      </w:r>
      <w:r w:rsidR="00350F69" w:rsidRPr="001B525F">
        <w:rPr>
          <w:rFonts w:ascii="Arial" w:hAnsi="Arial" w:cs="Arial"/>
          <w:b/>
          <w:sz w:val="18"/>
          <w:szCs w:val="18"/>
        </w:rPr>
        <w:t xml:space="preserve">.- </w:t>
      </w:r>
      <w:r w:rsidR="00350F69" w:rsidRPr="001B525F">
        <w:rPr>
          <w:rFonts w:ascii="Arial" w:eastAsia="Times New Roman" w:hAnsi="Arial" w:cs="Arial"/>
          <w:b/>
          <w:sz w:val="18"/>
          <w:szCs w:val="18"/>
          <w:lang w:eastAsia="es-ES"/>
        </w:rPr>
        <w:t>Orientación a costos.</w:t>
      </w:r>
      <w:r w:rsidR="00350F69" w:rsidRPr="001B525F">
        <w:rPr>
          <w:rFonts w:ascii="Arial" w:eastAsia="Times New Roman" w:hAnsi="Arial" w:cs="Arial"/>
          <w:sz w:val="18"/>
          <w:szCs w:val="18"/>
          <w:lang w:eastAsia="es-ES"/>
        </w:rPr>
        <w:t xml:space="preserve"> E</w:t>
      </w:r>
      <w:r w:rsidR="00350F69" w:rsidRPr="001B525F">
        <w:rPr>
          <w:rFonts w:ascii="Arial" w:hAnsi="Arial" w:cs="Arial"/>
          <w:sz w:val="18"/>
          <w:szCs w:val="18"/>
        </w:rPr>
        <w:t xml:space="preserve">l artículo 2 de la LFTR, en concordancia con la Constitución señala que las telecomunicaciones son servicios públicos de interés general; y que corresponde al Estado ejercer la rectoría en la materia, proteger la seguridad y la soberanía de la Nación y garantizar su eficiente prestación, y que para tales efectos establecerá condiciones de competencia efectiva en la prestación de dichos servicios. </w:t>
      </w:r>
    </w:p>
    <w:p w14:paraId="73F1ABB1" w14:textId="77777777" w:rsidR="00350F69" w:rsidRPr="001B525F" w:rsidRDefault="00350F69" w:rsidP="00CC0143">
      <w:pPr>
        <w:autoSpaceDE w:val="0"/>
        <w:autoSpaceDN w:val="0"/>
        <w:adjustRightInd w:val="0"/>
        <w:spacing w:after="0"/>
        <w:jc w:val="both"/>
        <w:rPr>
          <w:rFonts w:ascii="Arial" w:hAnsi="Arial" w:cs="Arial"/>
          <w:sz w:val="18"/>
          <w:szCs w:val="18"/>
        </w:rPr>
      </w:pPr>
    </w:p>
    <w:p w14:paraId="1954953F"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este sentido destaca en dicho precepto, que es a través del desarrollo y la promoción de una competencia efectiva, como se garantiza la eficiente prestación de estos servicios públicos de interés general. </w:t>
      </w:r>
    </w:p>
    <w:p w14:paraId="5CEE53BF" w14:textId="77777777" w:rsidR="00350F69" w:rsidRPr="001B525F" w:rsidRDefault="00350F69" w:rsidP="00CC0143">
      <w:pPr>
        <w:spacing w:after="0"/>
        <w:jc w:val="both"/>
        <w:rPr>
          <w:rFonts w:ascii="Arial" w:eastAsia="Times New Roman" w:hAnsi="Arial" w:cs="Arial"/>
          <w:sz w:val="18"/>
          <w:szCs w:val="18"/>
          <w:lang w:eastAsia="es-ES"/>
        </w:rPr>
      </w:pPr>
    </w:p>
    <w:p w14:paraId="3E0FB9A0" w14:textId="77777777" w:rsidR="00350F69" w:rsidRPr="001B525F" w:rsidRDefault="00350F69" w:rsidP="00CC0143">
      <w:pPr>
        <w:spacing w:after="0"/>
        <w:ind w:right="49"/>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Al respecto, las telecomunicaciones son estratégicas para el crecimiento económico y social de cualquier país. El desarrollo de la infraestructura, redes y servicios de telecomunicaciones se ha convertido en una </w:t>
      </w:r>
      <w:r w:rsidRPr="001B525F">
        <w:rPr>
          <w:rFonts w:ascii="Arial" w:hAnsi="Arial" w:cs="Arial"/>
          <w:sz w:val="18"/>
          <w:szCs w:val="18"/>
        </w:rPr>
        <w:t>prioridad</w:t>
      </w:r>
      <w:r w:rsidRPr="001B525F">
        <w:rPr>
          <w:rFonts w:ascii="Arial" w:eastAsia="Times New Roman" w:hAnsi="Arial" w:cs="Arial"/>
          <w:sz w:val="18"/>
          <w:szCs w:val="18"/>
          <w:lang w:eastAsia="es-ES"/>
        </w:rPr>
        <w:t xml:space="preserve"> inaplazable, particularmente para países como México, en el que se requiere un aumento en la tasa de penetración en los servicios de telecomunicaciones.</w:t>
      </w:r>
    </w:p>
    <w:p w14:paraId="7C5116E6" w14:textId="77777777" w:rsidR="00350F69" w:rsidRPr="001B525F" w:rsidRDefault="00350F69" w:rsidP="00CC0143">
      <w:pPr>
        <w:spacing w:after="0"/>
        <w:jc w:val="both"/>
        <w:rPr>
          <w:rFonts w:ascii="Arial" w:eastAsia="Times New Roman" w:hAnsi="Arial" w:cs="Arial"/>
          <w:sz w:val="18"/>
          <w:szCs w:val="18"/>
          <w:lang w:eastAsia="es-ES"/>
        </w:rPr>
      </w:pPr>
    </w:p>
    <w:p w14:paraId="4DE86559" w14:textId="77777777" w:rsidR="00350F69" w:rsidRPr="007740FC" w:rsidRDefault="00350F69" w:rsidP="00CC0143">
      <w:pPr>
        <w:spacing w:after="0"/>
        <w:ind w:right="49"/>
        <w:jc w:val="both"/>
        <w:rPr>
          <w:rFonts w:ascii="Arial" w:hAnsi="Arial" w:cs="Arial"/>
          <w:sz w:val="18"/>
          <w:szCs w:val="18"/>
        </w:rPr>
      </w:pPr>
      <w:r w:rsidRPr="007740FC">
        <w:rPr>
          <w:rFonts w:ascii="Arial" w:hAnsi="Arial" w:cs="Arial"/>
          <w:sz w:val="18"/>
          <w:szCs w:val="18"/>
        </w:rPr>
        <w:t xml:space="preserve">El desarrollo tecnológico y la marcada </w:t>
      </w:r>
      <w:r w:rsidRPr="001B525F">
        <w:rPr>
          <w:rFonts w:ascii="Arial" w:hAnsi="Arial" w:cs="Arial"/>
          <w:sz w:val="18"/>
          <w:szCs w:val="18"/>
        </w:rPr>
        <w:t>tendencia</w:t>
      </w:r>
      <w:r w:rsidRPr="007740FC">
        <w:rPr>
          <w:rFonts w:ascii="Arial" w:hAnsi="Arial" w:cs="Arial"/>
          <w:sz w:val="18"/>
          <w:szCs w:val="18"/>
        </w:rPr>
        <w:t xml:space="preserve"> de globalización y convergencia de las telecomunicaciones han promovido que las fuerzas del mercado asuman un papel más activo en la asignación de los recursos incentivando el surgimiento de nuevas empresas, las cuales requieren de un entorno regulatorio que permita que la acción natural de las fuerzas de mercado y de la sana competencia entre todos los participantes impulse a los actores a ofrecer más y mejores servicios a precios competitivos. </w:t>
      </w:r>
    </w:p>
    <w:p w14:paraId="6784E178" w14:textId="77777777" w:rsidR="00350F69" w:rsidRPr="001B525F" w:rsidRDefault="00350F69" w:rsidP="00CC0143">
      <w:pPr>
        <w:pStyle w:val="Textoindependiente"/>
        <w:spacing w:after="0"/>
        <w:rPr>
          <w:rFonts w:ascii="Arial" w:hAnsi="Arial" w:cs="Arial"/>
          <w:sz w:val="18"/>
          <w:szCs w:val="18"/>
          <w:lang w:eastAsia="es-ES"/>
        </w:rPr>
      </w:pPr>
    </w:p>
    <w:p w14:paraId="6FCAA623" w14:textId="77777777" w:rsidR="00350F69" w:rsidRPr="001B525F" w:rsidRDefault="00350F69"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este tenor, la competencia entre operadores de telecomunicaciones es un factor decisivo para la innovación y el desarrollo de los mercados de las telecomunicaciones. Un mercado en competencia implica la existencia de distintos prestadores de servicios, que permitan a los usuarios elegir libremente de entre varias opciones de precio, calidad y diversidad de servicios. Es en este contexto de competencia en el que la interconexión entre redes se convierte en un factor de interés público, en tanto que cualquier comunicación que inicie pueda llegar a su destino, independientemente de la red pública concesionada que se utilice; evitando que una determinada empresa pueda tomar ventajas de su tamaño de red, y permitiendo que la decisión de contratar los servicios por parte de los usuarios sea por factores de precio, calidad y diversidad. </w:t>
      </w:r>
    </w:p>
    <w:p w14:paraId="4C547BFC" w14:textId="77777777" w:rsidR="00350F69" w:rsidRPr="001B525F" w:rsidRDefault="00350F69" w:rsidP="00CC0143">
      <w:pPr>
        <w:spacing w:after="0"/>
        <w:jc w:val="both"/>
        <w:rPr>
          <w:rFonts w:ascii="Arial" w:eastAsia="Times New Roman" w:hAnsi="Arial" w:cs="Arial"/>
          <w:sz w:val="18"/>
          <w:szCs w:val="18"/>
          <w:lang w:eastAsia="es-ES"/>
        </w:rPr>
      </w:pPr>
    </w:p>
    <w:p w14:paraId="60254258"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En un escenario en el que prevalece la competencia en la prestación de todos los servicios de telecomunicaciones, es necesario establecer condiciones de interconexión que no distorsionen el desarrollo eficiente del sector, ya que todos los participantes del mercado acceden a un elemento básico, sin que ninguno obtenga ventajas extraordinarias en la prestación de dicho servicio.</w:t>
      </w:r>
    </w:p>
    <w:p w14:paraId="106F14F8" w14:textId="77777777" w:rsidR="00350F69" w:rsidRPr="001B525F" w:rsidRDefault="00350F69" w:rsidP="00CC0143">
      <w:pPr>
        <w:spacing w:after="0"/>
        <w:jc w:val="both"/>
        <w:rPr>
          <w:rFonts w:ascii="Arial" w:hAnsi="Arial" w:cs="Arial"/>
          <w:sz w:val="18"/>
          <w:szCs w:val="18"/>
        </w:rPr>
      </w:pPr>
    </w:p>
    <w:p w14:paraId="10843042" w14:textId="0026B00E"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La literatura especializada en interconexión identifica diferentes tipos de “cuellos de botella” en torno al acceso a la red. Una de las más comunes es la llamada acceso unidireccional</w:t>
      </w:r>
      <w:r w:rsidR="00B332D4" w:rsidRPr="001B525F">
        <w:rPr>
          <w:rStyle w:val="Refdenotaalpie"/>
          <w:rFonts w:ascii="Arial" w:hAnsi="Arial" w:cs="Arial"/>
          <w:sz w:val="18"/>
          <w:szCs w:val="18"/>
        </w:rPr>
        <w:footnoteReference w:id="4"/>
      </w:r>
      <w:r w:rsidRPr="001B525F">
        <w:rPr>
          <w:rFonts w:ascii="Arial" w:hAnsi="Arial" w:cs="Arial"/>
          <w:sz w:val="18"/>
          <w:szCs w:val="18"/>
        </w:rPr>
        <w:t>. El acceso unidireccional (</w:t>
      </w:r>
      <w:r w:rsidRPr="001B525F">
        <w:rPr>
          <w:rFonts w:ascii="Arial" w:hAnsi="Arial" w:cs="Arial"/>
          <w:i/>
          <w:sz w:val="18"/>
          <w:szCs w:val="18"/>
        </w:rPr>
        <w:t>one-way access</w:t>
      </w:r>
      <w:r w:rsidRPr="001B525F">
        <w:rPr>
          <w:rFonts w:ascii="Arial" w:hAnsi="Arial" w:cs="Arial"/>
          <w:sz w:val="18"/>
          <w:szCs w:val="18"/>
        </w:rPr>
        <w:t xml:space="preserve">) se refiere a las situaciones en las que una empresa de telecomunicaciones detenta una red que representa un insumo necesario para la comercialización de servicios por parte de otras empresas. Una característica que distingue a este esquema de mercado es que la empresa que detenta el insumo esencial no requiere ningún insumo del resto de las empresas. </w:t>
      </w:r>
    </w:p>
    <w:p w14:paraId="3A3C165D" w14:textId="77777777" w:rsidR="00350F69" w:rsidRPr="001B525F" w:rsidRDefault="00350F69" w:rsidP="00CC0143">
      <w:pPr>
        <w:spacing w:after="0"/>
        <w:jc w:val="both"/>
        <w:rPr>
          <w:rFonts w:ascii="Arial" w:hAnsi="Arial" w:cs="Arial"/>
          <w:sz w:val="18"/>
          <w:szCs w:val="18"/>
        </w:rPr>
      </w:pPr>
    </w:p>
    <w:p w14:paraId="2E32C514"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Existe otro caso de cuello de botella conocido como el acceso bidireccional (</w:t>
      </w:r>
      <w:r w:rsidRPr="001B525F">
        <w:rPr>
          <w:rFonts w:ascii="Arial" w:hAnsi="Arial" w:cs="Arial"/>
          <w:i/>
          <w:sz w:val="18"/>
          <w:szCs w:val="18"/>
        </w:rPr>
        <w:t>two-way access</w:t>
      </w:r>
      <w:r w:rsidRPr="001B525F">
        <w:rPr>
          <w:rFonts w:ascii="Arial" w:hAnsi="Arial" w:cs="Arial"/>
          <w:sz w:val="18"/>
          <w:szCs w:val="18"/>
        </w:rPr>
        <w:t xml:space="preserve">), en donde cada empresa propietaria de una red requiere del acceso a otra red para ampliar su calidad y capacidad de servicio. En estos términos, las redes son interdependientes y el acceso a la red como insumo corre de manera bidireccional. </w:t>
      </w:r>
    </w:p>
    <w:p w14:paraId="6CBF5B31" w14:textId="77777777" w:rsidR="00350F69" w:rsidRPr="001B525F" w:rsidRDefault="00350F69" w:rsidP="00CC0143">
      <w:pPr>
        <w:spacing w:after="0"/>
        <w:jc w:val="both"/>
        <w:rPr>
          <w:rFonts w:ascii="Arial" w:hAnsi="Arial" w:cs="Arial"/>
          <w:sz w:val="18"/>
          <w:szCs w:val="18"/>
        </w:rPr>
      </w:pPr>
    </w:p>
    <w:p w14:paraId="041A5938" w14:textId="45D9FB6B"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Aunque las empresas incurren en costos diversos por terminar una llamada, el establecimiento de la tarifa de </w:t>
      </w:r>
      <w:r w:rsidR="00651869" w:rsidRPr="001B525F">
        <w:rPr>
          <w:rFonts w:ascii="Arial" w:hAnsi="Arial" w:cs="Arial"/>
          <w:sz w:val="18"/>
          <w:szCs w:val="18"/>
        </w:rPr>
        <w:t>interconexión</w:t>
      </w:r>
      <w:r w:rsidRPr="001B525F">
        <w:rPr>
          <w:rFonts w:ascii="Arial" w:hAnsi="Arial" w:cs="Arial"/>
          <w:sz w:val="18"/>
          <w:szCs w:val="18"/>
        </w:rPr>
        <w:t xml:space="preserve"> es en mayor medida una estrategia de competencia. Debido a que cada empresa tiene el control sobre </w:t>
      </w:r>
      <w:r w:rsidRPr="001B525F">
        <w:rPr>
          <w:rFonts w:ascii="Arial" w:hAnsi="Arial" w:cs="Arial"/>
          <w:sz w:val="18"/>
          <w:szCs w:val="18"/>
        </w:rPr>
        <w:lastRenderedPageBreak/>
        <w:t>la terminación de llamadas en su red, éstas aprovechan tal situación para mejorar su participación de mercado y sus ganancias, dentro de lo que les permite su posición en el mercado. En una situación en la cual una empresa tiene ventajas por su tamaño de red, ésta puede aprovechar la situación para obstaculizar la entrada de nuevos competidores o para debilitar a los competidores actuales.</w:t>
      </w:r>
    </w:p>
    <w:p w14:paraId="01DD7AE9" w14:textId="77777777" w:rsidR="00350F69" w:rsidRPr="001B525F" w:rsidRDefault="00350F69" w:rsidP="00CC0143">
      <w:pPr>
        <w:spacing w:after="0"/>
        <w:jc w:val="both"/>
        <w:rPr>
          <w:rFonts w:ascii="Arial" w:hAnsi="Arial" w:cs="Arial"/>
          <w:sz w:val="18"/>
          <w:szCs w:val="18"/>
        </w:rPr>
      </w:pPr>
    </w:p>
    <w:p w14:paraId="28C0EDA6"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Cuando un usuario se suscribe a una red, el operador dueño de dicha red tiene cierto poder sobre la terminación de llamadas a dicho suscriptor y, por lo tanto, en algunos entornos regulatorios (por ejemplo, bajo el esquema “el que llama paga”) las empresas pueden tener incentivos para imponer tarifas de terminación (en su red) elevadas, esto es, tarifas por terminar llamadas originadas en otra red por un usuario que se comunique con un miembro de su red. Cuando existen grandes asimetrías en tamaño entre los operadores (externalidades), estos incentivos se refuerzan para la red con mayor participación. Este hecho se puede observar aun cuando la competencia por usuarios sea intensa, y en consecuencia, no existan ganancias extraordinarias en el mercado móvil a nivel agregado. Sin embargo, las ganancias por terminación de llamada, y su consecuente efecto sobre el bienestar, persisten, y pueden ser usadas para financiar menores tarifas minoristas para atraer suscriptores. Este patrón de precios relativos es ineficiente</w:t>
      </w:r>
      <w:r w:rsidRPr="001B525F">
        <w:rPr>
          <w:rFonts w:ascii="Arial" w:hAnsi="Arial" w:cs="Arial"/>
          <w:sz w:val="18"/>
          <w:szCs w:val="18"/>
          <w:vertAlign w:val="superscript"/>
        </w:rPr>
        <w:footnoteReference w:id="5"/>
      </w:r>
      <w:r w:rsidRPr="001B525F">
        <w:rPr>
          <w:rFonts w:ascii="Arial" w:hAnsi="Arial" w:cs="Arial"/>
          <w:sz w:val="18"/>
          <w:szCs w:val="18"/>
        </w:rPr>
        <w:t xml:space="preserve">. </w:t>
      </w:r>
    </w:p>
    <w:p w14:paraId="0C69CB35" w14:textId="77777777" w:rsidR="00350F69" w:rsidRPr="001B525F" w:rsidRDefault="00350F69" w:rsidP="00CC0143">
      <w:pPr>
        <w:spacing w:after="0"/>
        <w:jc w:val="both"/>
        <w:rPr>
          <w:rFonts w:ascii="Arial" w:hAnsi="Arial" w:cs="Arial"/>
          <w:sz w:val="18"/>
          <w:szCs w:val="18"/>
        </w:rPr>
      </w:pPr>
    </w:p>
    <w:p w14:paraId="51A568D3" w14:textId="02F22A50"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En este contexto, se generan incentivos para que las empresas fijen precios superiores a los costos por la terminación de llamadas en cada red, lo </w:t>
      </w:r>
      <w:r w:rsidR="00651869" w:rsidRPr="001B525F">
        <w:rPr>
          <w:rFonts w:ascii="Arial" w:hAnsi="Arial" w:cs="Arial"/>
          <w:sz w:val="18"/>
          <w:szCs w:val="18"/>
        </w:rPr>
        <w:t>cual,</w:t>
      </w:r>
      <w:r w:rsidRPr="001B525F">
        <w:rPr>
          <w:rFonts w:ascii="Arial" w:hAnsi="Arial" w:cs="Arial"/>
          <w:sz w:val="18"/>
          <w:szCs w:val="18"/>
        </w:rPr>
        <w:t xml:space="preserve"> combinado con un bajo nivel de competencia en el mercado final, genera un problema de doble marginalización</w:t>
      </w:r>
      <w:r w:rsidRPr="001B525F">
        <w:rPr>
          <w:rFonts w:ascii="Arial" w:hAnsi="Arial" w:cs="Arial"/>
          <w:sz w:val="18"/>
          <w:szCs w:val="18"/>
          <w:vertAlign w:val="superscript"/>
        </w:rPr>
        <w:footnoteReference w:id="6"/>
      </w:r>
      <w:r w:rsidR="005362B8" w:rsidRPr="005362B8">
        <w:rPr>
          <w:rFonts w:ascii="Arial" w:hAnsi="Arial" w:cs="Arial"/>
          <w:sz w:val="18"/>
          <w:szCs w:val="18"/>
          <w:vertAlign w:val="superscript"/>
        </w:rPr>
        <w:t>,</w:t>
      </w:r>
      <w:r w:rsidRPr="001B525F">
        <w:rPr>
          <w:rStyle w:val="Refdenotaalpie"/>
          <w:rFonts w:ascii="Arial" w:hAnsi="Arial" w:cs="Arial"/>
          <w:sz w:val="18"/>
          <w:szCs w:val="18"/>
        </w:rPr>
        <w:footnoteReference w:id="7"/>
      </w:r>
      <w:r w:rsidRPr="001B525F">
        <w:rPr>
          <w:rFonts w:ascii="Arial" w:hAnsi="Arial" w:cs="Arial"/>
          <w:sz w:val="18"/>
          <w:szCs w:val="18"/>
        </w:rPr>
        <w:t xml:space="preserve">. </w:t>
      </w:r>
    </w:p>
    <w:p w14:paraId="51B345CF" w14:textId="77777777" w:rsidR="00350F69" w:rsidRPr="001B525F" w:rsidRDefault="00350F69" w:rsidP="00CC0143">
      <w:pPr>
        <w:spacing w:after="0"/>
        <w:jc w:val="both"/>
        <w:rPr>
          <w:rFonts w:ascii="Arial" w:hAnsi="Arial" w:cs="Arial"/>
          <w:sz w:val="18"/>
          <w:szCs w:val="18"/>
        </w:rPr>
      </w:pPr>
    </w:p>
    <w:p w14:paraId="658A0A43"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Los efectos de las externalidades de red incrementan la capacidad de la empresa de mayor tamaño de atraer nuevos usuarios a su red, ofreciendo mayores beneficios a los suscriptores basando su ventaja en una base de usuarios más grande a los que se puede contactar. </w:t>
      </w:r>
    </w:p>
    <w:p w14:paraId="7BB8940A" w14:textId="77777777" w:rsidR="00350F69" w:rsidRPr="001B525F" w:rsidRDefault="00350F69" w:rsidP="00CC0143">
      <w:pPr>
        <w:spacing w:after="0"/>
        <w:jc w:val="both"/>
        <w:rPr>
          <w:rFonts w:ascii="Arial" w:hAnsi="Arial" w:cs="Arial"/>
          <w:sz w:val="18"/>
          <w:szCs w:val="18"/>
        </w:rPr>
      </w:pPr>
    </w:p>
    <w:p w14:paraId="73142C74"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De esta manera, en el corto y largo plazo las empresas entrantes o con baja participación de mercado tienen dificultades para competir debido a que aun cuando exista un patrón de equilibrio o balance de tráfico en las llamadas, la probabilidad de que una llamada sea originada y terminada en la misma red es mayor en tanto mayor es la participación de mercado de la empresa</w:t>
      </w:r>
      <w:r w:rsidRPr="001B525F">
        <w:rPr>
          <w:rFonts w:ascii="Arial" w:hAnsi="Arial" w:cs="Arial"/>
          <w:sz w:val="18"/>
          <w:szCs w:val="18"/>
          <w:vertAlign w:val="superscript"/>
        </w:rPr>
        <w:footnoteReference w:id="8"/>
      </w:r>
      <w:r w:rsidRPr="001B525F">
        <w:rPr>
          <w:rFonts w:ascii="Arial" w:hAnsi="Arial" w:cs="Arial"/>
          <w:sz w:val="18"/>
          <w:szCs w:val="18"/>
        </w:rPr>
        <w:t>. Por lo tanto, existen situaciones en las cuales, los suscriptores de empresas pequeñas son más susceptibles de pagar precios totales más altos por el servicio</w:t>
      </w:r>
      <w:r w:rsidRPr="001B525F">
        <w:rPr>
          <w:rFonts w:ascii="Arial" w:hAnsi="Arial" w:cs="Arial"/>
          <w:sz w:val="18"/>
          <w:szCs w:val="18"/>
          <w:vertAlign w:val="superscript"/>
        </w:rPr>
        <w:footnoteReference w:id="9"/>
      </w:r>
      <w:r w:rsidRPr="001B525F">
        <w:rPr>
          <w:rFonts w:ascii="Arial" w:hAnsi="Arial" w:cs="Arial"/>
          <w:sz w:val="18"/>
          <w:szCs w:val="18"/>
        </w:rPr>
        <w:t>.</w:t>
      </w:r>
    </w:p>
    <w:p w14:paraId="67FA62D6" w14:textId="77777777" w:rsidR="00350F69" w:rsidRPr="001B525F" w:rsidRDefault="00350F69" w:rsidP="00CC0143">
      <w:pPr>
        <w:spacing w:after="0"/>
        <w:jc w:val="both"/>
        <w:rPr>
          <w:rFonts w:ascii="Arial" w:hAnsi="Arial" w:cs="Arial"/>
          <w:sz w:val="18"/>
          <w:szCs w:val="18"/>
        </w:rPr>
      </w:pPr>
    </w:p>
    <w:p w14:paraId="0BAE9FF6" w14:textId="57ACAD30" w:rsidR="00350F69" w:rsidRDefault="00350F69" w:rsidP="00CC0143">
      <w:pPr>
        <w:spacing w:after="0"/>
        <w:jc w:val="both"/>
        <w:rPr>
          <w:rFonts w:ascii="Arial" w:hAnsi="Arial" w:cs="Arial"/>
          <w:sz w:val="18"/>
          <w:szCs w:val="18"/>
        </w:rPr>
      </w:pPr>
      <w:r w:rsidRPr="001B525F">
        <w:rPr>
          <w:rFonts w:ascii="Arial" w:hAnsi="Arial" w:cs="Arial"/>
          <w:sz w:val="18"/>
          <w:szCs w:val="18"/>
        </w:rPr>
        <w:t xml:space="preserve">De esta forma, la regulación de tarifas de interconexión con base en costos es un mecanismo de política regulatoria que tiene como finalidad equilibrar las fuerzas de competencia de las empresas rivales en el sector telecomunicaciones, es decir, aminorar las desventajas derivadas del tamaño de red y que permita a las empresas de menor tamaño contar con planes tarifarios que las posicionen de una manera competitiva en la provisión de servicios. </w:t>
      </w:r>
    </w:p>
    <w:p w14:paraId="167CF7E9" w14:textId="77777777" w:rsidR="00D66D3F" w:rsidRPr="001B525F" w:rsidRDefault="00D66D3F" w:rsidP="00CC0143">
      <w:pPr>
        <w:spacing w:after="0"/>
        <w:jc w:val="both"/>
        <w:rPr>
          <w:rFonts w:ascii="Arial" w:hAnsi="Arial" w:cs="Arial"/>
          <w:sz w:val="18"/>
          <w:szCs w:val="18"/>
        </w:rPr>
      </w:pPr>
    </w:p>
    <w:p w14:paraId="0E770961" w14:textId="77777777" w:rsidR="00350F69" w:rsidRPr="001B525F" w:rsidRDefault="00350F69"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Suprema Corte de Justicia de la Nación ha sostenido que los servicios de interconexión son considerados básicos para el desarrollo del país y coadyuvan a mejorar las condiciones de vida en sociedad, además de beneficiar a las familias que necesitan utilizarlos y a los sectores más necesitados del país. Así lo estableció la Segunda Sala de ese alto tribunal en la tesis de jurisprudencia 2a./J. 112/2004, en la cual se dilucidó si se transgredía el principio de equidad tributaria al no incluir en la exención de pagar el Impuesto Especial sobre Producción y Servicios a las empresas que prestan servicios de televisión por cable, a diferencia de las empresas que prestan servicios de radiolocalización móvil de personas, de telefonía, internet e interconexión.</w:t>
      </w:r>
    </w:p>
    <w:p w14:paraId="07AF86E3" w14:textId="77777777" w:rsidR="00350F69" w:rsidRPr="001B525F" w:rsidRDefault="00350F69" w:rsidP="00CC0143">
      <w:pPr>
        <w:spacing w:after="0"/>
        <w:jc w:val="both"/>
        <w:rPr>
          <w:rFonts w:ascii="Arial" w:eastAsia="Times New Roman" w:hAnsi="Arial" w:cs="Arial"/>
          <w:sz w:val="18"/>
          <w:szCs w:val="18"/>
          <w:lang w:eastAsia="es-ES"/>
        </w:rPr>
      </w:pPr>
    </w:p>
    <w:p w14:paraId="73D6723A" w14:textId="77777777" w:rsidR="00350F69" w:rsidRPr="001B525F" w:rsidRDefault="00350F69"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Es así que, en este contexto, el Instituto considera que la orientación a costos de las tarifas de interconexión es acorde al precepto establecido en la LFTR en el sentido de promover el desarrollo de una competencia efectiva.</w:t>
      </w:r>
    </w:p>
    <w:p w14:paraId="04E90B04" w14:textId="77777777" w:rsidR="00350F69" w:rsidRPr="001B525F" w:rsidRDefault="00350F69" w:rsidP="00CC0143">
      <w:pPr>
        <w:spacing w:after="0"/>
        <w:jc w:val="both"/>
        <w:rPr>
          <w:rFonts w:ascii="Arial" w:hAnsi="Arial" w:cs="Arial"/>
          <w:b/>
          <w:sz w:val="18"/>
          <w:szCs w:val="18"/>
        </w:rPr>
      </w:pPr>
    </w:p>
    <w:p w14:paraId="7B585A50" w14:textId="6D76106A" w:rsidR="00350F69" w:rsidRPr="001B525F" w:rsidRDefault="00E67A5F" w:rsidP="00CC0143">
      <w:pPr>
        <w:pStyle w:val="Texto0"/>
        <w:spacing w:after="0" w:line="276" w:lineRule="auto"/>
        <w:ind w:firstLine="0"/>
      </w:pPr>
      <w:r w:rsidRPr="001B525F">
        <w:rPr>
          <w:b/>
        </w:rPr>
        <w:t>Sexto</w:t>
      </w:r>
      <w:r w:rsidR="00350F69" w:rsidRPr="001B525F">
        <w:rPr>
          <w:b/>
        </w:rPr>
        <w:t xml:space="preserve">.- Metodología para el cálculo de costos de interconexión. </w:t>
      </w:r>
      <w:r w:rsidR="00350F69" w:rsidRPr="001B525F">
        <w:t>El Instituto emitió la Metodología de Costos, la cual establece los principios básicos a los cuales se deberá sujetar la autoridad reguladora al momento de elaborar los modelos de costos que calculen las tarifas de interconexión, misma que a la letra establece lo siguiente:</w:t>
      </w:r>
    </w:p>
    <w:p w14:paraId="078DA24E" w14:textId="77777777" w:rsidR="00350F69" w:rsidRPr="001B525F" w:rsidRDefault="00350F69" w:rsidP="00CC0143">
      <w:pPr>
        <w:spacing w:after="0"/>
        <w:ind w:left="567" w:right="616"/>
        <w:rPr>
          <w:rFonts w:ascii="Arial" w:hAnsi="Arial" w:cs="Arial"/>
          <w:i/>
          <w:sz w:val="16"/>
          <w:szCs w:val="16"/>
        </w:rPr>
      </w:pPr>
    </w:p>
    <w:p w14:paraId="5F984BE6" w14:textId="25BCB96A" w:rsidR="00350F69" w:rsidRPr="001B525F" w:rsidRDefault="00350F69" w:rsidP="004A0A71">
      <w:pPr>
        <w:spacing w:after="0"/>
        <w:ind w:left="352" w:right="616"/>
        <w:jc w:val="both"/>
        <w:rPr>
          <w:rFonts w:ascii="Arial" w:eastAsia="Times New Roman" w:hAnsi="Arial" w:cs="Arial"/>
          <w:b/>
          <w:i/>
          <w:sz w:val="16"/>
          <w:szCs w:val="16"/>
          <w:lang w:eastAsia="es-MX"/>
        </w:rPr>
      </w:pPr>
      <w:r w:rsidRPr="001B525F">
        <w:rPr>
          <w:rFonts w:ascii="Arial" w:eastAsia="Times New Roman" w:hAnsi="Arial" w:cs="Arial"/>
          <w:b/>
          <w:i/>
          <w:sz w:val="16"/>
          <w:szCs w:val="16"/>
          <w:lang w:eastAsia="es-MX"/>
        </w:rPr>
        <w:t>ACUERDO MEDIANTE EL CUAL EL PLENO DEL INSTITUTO FEDERAL DE TELECOMUNICACIONES EMITE LA METODOLOGÍA PARA EL CÁLCULO DE COSTOS DE INTERCONEXIÓN DE CONFORMIDAD CON LA LEY FEDERAL DE TELECOMUNICACIONES Y RADIODIFUSIÓN.</w:t>
      </w:r>
    </w:p>
    <w:p w14:paraId="70A48DEB" w14:textId="77777777" w:rsidR="00350F69" w:rsidRPr="001B525F" w:rsidRDefault="00350F69" w:rsidP="004A0A71">
      <w:pPr>
        <w:pStyle w:val="Texto0"/>
        <w:spacing w:after="0" w:line="276" w:lineRule="auto"/>
        <w:ind w:left="352" w:right="616" w:firstLine="0"/>
        <w:rPr>
          <w:i/>
          <w:sz w:val="16"/>
          <w:szCs w:val="16"/>
        </w:rPr>
      </w:pPr>
    </w:p>
    <w:p w14:paraId="73E568A1" w14:textId="77777777" w:rsidR="00350F69" w:rsidRPr="001B525F" w:rsidRDefault="00350F69" w:rsidP="004A0A71">
      <w:pPr>
        <w:pStyle w:val="ANOTACION"/>
        <w:spacing w:before="0" w:after="0" w:line="276" w:lineRule="auto"/>
        <w:ind w:left="352" w:right="616"/>
        <w:rPr>
          <w:rFonts w:ascii="Arial" w:hAnsi="Arial" w:cs="Arial"/>
          <w:i/>
          <w:sz w:val="16"/>
          <w:szCs w:val="16"/>
        </w:rPr>
      </w:pPr>
      <w:r w:rsidRPr="001B525F">
        <w:rPr>
          <w:rFonts w:ascii="Arial" w:hAnsi="Arial" w:cs="Arial"/>
          <w:i/>
          <w:sz w:val="16"/>
          <w:szCs w:val="16"/>
        </w:rPr>
        <w:t>CAPITULO I</w:t>
      </w:r>
    </w:p>
    <w:p w14:paraId="42EBD6DC" w14:textId="77777777" w:rsidR="00350F69" w:rsidRPr="001B525F" w:rsidRDefault="00350F69" w:rsidP="004A0A71">
      <w:pPr>
        <w:pStyle w:val="ANOTACION"/>
        <w:spacing w:before="0" w:after="0" w:line="276" w:lineRule="auto"/>
        <w:ind w:left="352" w:right="616"/>
        <w:rPr>
          <w:rFonts w:ascii="Arial" w:hAnsi="Arial" w:cs="Arial"/>
          <w:i/>
          <w:sz w:val="16"/>
          <w:szCs w:val="16"/>
        </w:rPr>
      </w:pPr>
    </w:p>
    <w:p w14:paraId="6C9E7ED3" w14:textId="77777777" w:rsidR="00350F69" w:rsidRPr="001B525F" w:rsidRDefault="00350F69" w:rsidP="004A0A71">
      <w:pPr>
        <w:pStyle w:val="Texto0"/>
        <w:spacing w:after="0" w:line="276" w:lineRule="auto"/>
        <w:ind w:left="352" w:right="616" w:firstLine="0"/>
        <w:jc w:val="center"/>
        <w:rPr>
          <w:b/>
          <w:i/>
          <w:sz w:val="16"/>
          <w:szCs w:val="16"/>
        </w:rPr>
      </w:pPr>
      <w:r w:rsidRPr="001B525F">
        <w:rPr>
          <w:b/>
          <w:i/>
          <w:sz w:val="16"/>
          <w:szCs w:val="16"/>
        </w:rPr>
        <w:t>Disposiciones Generales</w:t>
      </w:r>
    </w:p>
    <w:p w14:paraId="17745ABE" w14:textId="77777777" w:rsidR="00350F69" w:rsidRPr="001B525F" w:rsidRDefault="00350F69" w:rsidP="004A0A71">
      <w:pPr>
        <w:pStyle w:val="Texto0"/>
        <w:spacing w:after="0" w:line="276" w:lineRule="auto"/>
        <w:ind w:left="352" w:right="616" w:firstLine="0"/>
        <w:jc w:val="center"/>
        <w:rPr>
          <w:b/>
          <w:i/>
          <w:sz w:val="16"/>
          <w:szCs w:val="16"/>
        </w:rPr>
      </w:pPr>
    </w:p>
    <w:p w14:paraId="65C9E8B0"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PRIMERO.-</w:t>
      </w:r>
      <w:r w:rsidRPr="001B525F">
        <w:rPr>
          <w:i/>
          <w:sz w:val="16"/>
          <w:szCs w:val="16"/>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0DF09496" w14:textId="77777777" w:rsidR="00350F69" w:rsidRPr="001B525F" w:rsidRDefault="00350F69" w:rsidP="004A0A71">
      <w:pPr>
        <w:pStyle w:val="Texto0"/>
        <w:spacing w:after="0" w:line="276" w:lineRule="auto"/>
        <w:ind w:left="352" w:right="616" w:firstLine="0"/>
        <w:rPr>
          <w:i/>
          <w:sz w:val="16"/>
          <w:szCs w:val="16"/>
        </w:rPr>
      </w:pPr>
    </w:p>
    <w:p w14:paraId="61810081" w14:textId="77777777" w:rsidR="00350F69" w:rsidRPr="001B525F" w:rsidRDefault="00350F69" w:rsidP="004A0A71">
      <w:pPr>
        <w:pStyle w:val="ANOTACION"/>
        <w:spacing w:before="0" w:after="0" w:line="276" w:lineRule="auto"/>
        <w:ind w:left="352" w:right="616"/>
        <w:rPr>
          <w:rFonts w:ascii="Arial" w:hAnsi="Arial" w:cs="Arial"/>
          <w:i/>
          <w:sz w:val="16"/>
          <w:szCs w:val="16"/>
        </w:rPr>
      </w:pPr>
      <w:r w:rsidRPr="001B525F">
        <w:rPr>
          <w:rFonts w:ascii="Arial" w:hAnsi="Arial" w:cs="Arial"/>
          <w:i/>
          <w:sz w:val="16"/>
          <w:szCs w:val="16"/>
        </w:rPr>
        <w:t>CAPITULO II</w:t>
      </w:r>
    </w:p>
    <w:p w14:paraId="2CFD2FAE" w14:textId="77777777" w:rsidR="00350F69" w:rsidRPr="001B525F" w:rsidRDefault="00350F69" w:rsidP="004A0A71">
      <w:pPr>
        <w:pStyle w:val="ANOTACION"/>
        <w:spacing w:before="0" w:after="0" w:line="276" w:lineRule="auto"/>
        <w:ind w:left="352" w:right="616"/>
        <w:rPr>
          <w:rFonts w:ascii="Arial" w:hAnsi="Arial" w:cs="Arial"/>
          <w:i/>
          <w:sz w:val="16"/>
          <w:szCs w:val="16"/>
        </w:rPr>
      </w:pPr>
    </w:p>
    <w:p w14:paraId="081ADF63" w14:textId="77777777" w:rsidR="00350F69" w:rsidRPr="001B525F" w:rsidRDefault="00350F69" w:rsidP="004A0A71">
      <w:pPr>
        <w:pStyle w:val="Texto0"/>
        <w:spacing w:after="0" w:line="276" w:lineRule="auto"/>
        <w:ind w:left="352" w:right="616" w:firstLine="0"/>
        <w:jc w:val="center"/>
        <w:rPr>
          <w:b/>
          <w:i/>
          <w:sz w:val="16"/>
          <w:szCs w:val="16"/>
        </w:rPr>
      </w:pPr>
      <w:r w:rsidRPr="001B525F">
        <w:rPr>
          <w:b/>
          <w:i/>
          <w:sz w:val="16"/>
          <w:szCs w:val="16"/>
        </w:rPr>
        <w:t>De las Características del Modelo de Costos</w:t>
      </w:r>
    </w:p>
    <w:p w14:paraId="09F87CC9" w14:textId="77777777" w:rsidR="00350F69" w:rsidRPr="001B525F" w:rsidRDefault="00350F69" w:rsidP="004A0A71">
      <w:pPr>
        <w:pStyle w:val="Texto0"/>
        <w:spacing w:after="0" w:line="276" w:lineRule="auto"/>
        <w:ind w:left="352" w:right="616" w:firstLine="0"/>
        <w:jc w:val="center"/>
        <w:rPr>
          <w:b/>
          <w:i/>
          <w:sz w:val="16"/>
          <w:szCs w:val="16"/>
        </w:rPr>
      </w:pPr>
    </w:p>
    <w:p w14:paraId="1CD7D7C1" w14:textId="77777777" w:rsidR="00350F69" w:rsidRPr="001B525F" w:rsidRDefault="00350F69" w:rsidP="004A0A71">
      <w:pPr>
        <w:spacing w:after="0"/>
        <w:ind w:left="352" w:right="616"/>
        <w:jc w:val="both"/>
        <w:rPr>
          <w:rFonts w:ascii="Arial" w:hAnsi="Arial" w:cs="Arial"/>
          <w:i/>
          <w:sz w:val="16"/>
          <w:szCs w:val="16"/>
        </w:rPr>
      </w:pPr>
      <w:r w:rsidRPr="001B525F">
        <w:rPr>
          <w:rFonts w:ascii="Arial" w:hAnsi="Arial" w:cs="Arial"/>
          <w:b/>
          <w:i/>
          <w:sz w:val="16"/>
          <w:szCs w:val="16"/>
        </w:rPr>
        <w:t>SEGUNDO. -</w:t>
      </w:r>
      <w:r w:rsidRPr="001B525F">
        <w:rPr>
          <w:rFonts w:ascii="Arial" w:hAnsi="Arial" w:cs="Arial"/>
          <w:i/>
          <w:sz w:val="16"/>
          <w:szCs w:val="16"/>
        </w:rPr>
        <w:t xml:space="preserve"> En la elaboración de los Modelos de Costos, para servicios de interconexión distintos a los señalados en los Lineamientos Tercero y Cuarto siguientes, se empleará el enfoque de Costo Incremental Total Promedio de Largo Plazo.</w:t>
      </w:r>
    </w:p>
    <w:p w14:paraId="1F7CCB73" w14:textId="77777777" w:rsidR="00350F69" w:rsidRPr="001B525F" w:rsidRDefault="00350F69" w:rsidP="004A0A71">
      <w:pPr>
        <w:spacing w:after="0"/>
        <w:ind w:left="352" w:right="616"/>
        <w:jc w:val="both"/>
        <w:rPr>
          <w:rFonts w:ascii="Arial" w:hAnsi="Arial" w:cs="Arial"/>
          <w:i/>
          <w:sz w:val="16"/>
          <w:szCs w:val="16"/>
        </w:rPr>
      </w:pPr>
    </w:p>
    <w:p w14:paraId="1195C76F"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 xml:space="preserve">El Costo Incremental Total Promedio de Largo Plazo se define como </w:t>
      </w:r>
      <w:r w:rsidRPr="001B525F">
        <w:rPr>
          <w:i/>
          <w:sz w:val="16"/>
          <w:szCs w:val="16"/>
          <w:lang w:val="es-MX"/>
        </w:rPr>
        <w:t xml:space="preserve">el costo total que una concesionaria podría evitar en el largo plazo si dejara de proveer el Servicio de Interconexión relevante pero continuara proveyendo el resto de los servicios, </w:t>
      </w:r>
      <w:r w:rsidRPr="001B525F">
        <w:rPr>
          <w:i/>
          <w:sz w:val="16"/>
          <w:szCs w:val="16"/>
        </w:rPr>
        <w:t>además de permitir recuperar los Costos Comunes por medio de asignaciones de costos.</w:t>
      </w:r>
    </w:p>
    <w:p w14:paraId="3A1099D5" w14:textId="77777777" w:rsidR="00350F69" w:rsidRPr="001B525F" w:rsidRDefault="00350F69" w:rsidP="004A0A71">
      <w:pPr>
        <w:pStyle w:val="Texto0"/>
        <w:spacing w:after="0" w:line="276" w:lineRule="auto"/>
        <w:ind w:left="352" w:right="616" w:firstLine="0"/>
        <w:rPr>
          <w:i/>
          <w:sz w:val="16"/>
          <w:szCs w:val="16"/>
        </w:rPr>
      </w:pPr>
    </w:p>
    <w:p w14:paraId="29EA562C"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Se entenderá como Costos Comunes a aquellos en que se incurren por actividades o recursos que no pueden ser asignados a los Servicios de Interconexión de una manera directa. Estos costos son generados por todos los servicios que presta la empresa.</w:t>
      </w:r>
    </w:p>
    <w:p w14:paraId="1DF8AF00" w14:textId="77777777" w:rsidR="00350F69" w:rsidRPr="001B525F" w:rsidRDefault="00350F69" w:rsidP="004A0A71">
      <w:pPr>
        <w:pStyle w:val="Texto0"/>
        <w:spacing w:after="0" w:line="276" w:lineRule="auto"/>
        <w:ind w:left="352" w:right="616" w:firstLine="0"/>
        <w:rPr>
          <w:i/>
          <w:sz w:val="16"/>
          <w:szCs w:val="16"/>
        </w:rPr>
      </w:pPr>
    </w:p>
    <w:p w14:paraId="685E64BF"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Los Costos Comunes se asignarán por medio de la metodología de Margen Equi-proporcional.</w:t>
      </w:r>
    </w:p>
    <w:p w14:paraId="084BD3C0" w14:textId="77777777" w:rsidR="00350F69" w:rsidRPr="001B525F" w:rsidRDefault="00350F69" w:rsidP="004A0A71">
      <w:pPr>
        <w:pStyle w:val="Texto0"/>
        <w:spacing w:after="0" w:line="276" w:lineRule="auto"/>
        <w:ind w:left="352" w:right="616" w:firstLine="0"/>
        <w:rPr>
          <w:i/>
          <w:sz w:val="16"/>
          <w:szCs w:val="16"/>
        </w:rPr>
      </w:pPr>
    </w:p>
    <w:p w14:paraId="6007107D"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El Modelo de costos deberá permitir que el Instituto Federal de Telecomunicaciones especifique la unidad de medida de acuerdo con las mejores prácticas internacionales.</w:t>
      </w:r>
    </w:p>
    <w:p w14:paraId="0A107DE7" w14:textId="77777777" w:rsidR="00350F69" w:rsidRPr="001B525F" w:rsidRDefault="00350F69" w:rsidP="004A0A71">
      <w:pPr>
        <w:pStyle w:val="Texto0"/>
        <w:spacing w:after="0" w:line="276" w:lineRule="auto"/>
        <w:ind w:left="352" w:right="616" w:firstLine="0"/>
        <w:rPr>
          <w:i/>
          <w:sz w:val="16"/>
          <w:szCs w:val="16"/>
        </w:rPr>
      </w:pPr>
    </w:p>
    <w:p w14:paraId="35BACF60"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La unidad monetaria en la que se expresarán los resultados de los Modelos de Costos será en pesos mexicanos.</w:t>
      </w:r>
    </w:p>
    <w:p w14:paraId="5AB26227" w14:textId="77777777" w:rsidR="00350F69" w:rsidRPr="001B525F" w:rsidRDefault="00350F69" w:rsidP="004A0A71">
      <w:pPr>
        <w:pStyle w:val="Texto0"/>
        <w:spacing w:after="0" w:line="276" w:lineRule="auto"/>
        <w:ind w:left="352" w:right="616" w:firstLine="0"/>
        <w:rPr>
          <w:i/>
          <w:sz w:val="16"/>
          <w:szCs w:val="16"/>
        </w:rPr>
      </w:pPr>
    </w:p>
    <w:p w14:paraId="086C4890"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 xml:space="preserve">TERCERO. - </w:t>
      </w:r>
      <w:r w:rsidRPr="001B525F">
        <w:rPr>
          <w:i/>
          <w:sz w:val="16"/>
          <w:szCs w:val="16"/>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3D288059" w14:textId="77777777" w:rsidR="00350F69" w:rsidRPr="001B525F" w:rsidRDefault="00350F69" w:rsidP="004A0A71">
      <w:pPr>
        <w:pStyle w:val="Texto0"/>
        <w:spacing w:after="0" w:line="276" w:lineRule="auto"/>
        <w:ind w:left="352" w:right="616" w:firstLine="0"/>
        <w:rPr>
          <w:i/>
          <w:sz w:val="16"/>
          <w:szCs w:val="16"/>
        </w:rPr>
      </w:pPr>
    </w:p>
    <w:p w14:paraId="419BDE50" w14:textId="188410D4" w:rsidR="00350F69" w:rsidRDefault="00350F69" w:rsidP="004A0A71">
      <w:pPr>
        <w:pStyle w:val="Texto0"/>
        <w:spacing w:after="0" w:line="276" w:lineRule="auto"/>
        <w:ind w:left="352" w:right="616" w:firstLine="0"/>
        <w:rPr>
          <w:i/>
          <w:sz w:val="16"/>
          <w:szCs w:val="16"/>
        </w:rPr>
      </w:pPr>
      <w:r w:rsidRPr="001B525F">
        <w:rPr>
          <w:i/>
          <w:sz w:val="16"/>
          <w:szCs w:val="16"/>
        </w:rPr>
        <w:t xml:space="preserve">La unidad de medida que se empleará en los Modelos de Costos para los servicios de conducción de tráfico cuando éstos se midan por tiempo, será el segundo. </w:t>
      </w:r>
    </w:p>
    <w:p w14:paraId="1D865036" w14:textId="77777777" w:rsidR="009B23C6" w:rsidRPr="001B525F" w:rsidRDefault="009B23C6" w:rsidP="004A0A71">
      <w:pPr>
        <w:pStyle w:val="Texto0"/>
        <w:spacing w:after="0" w:line="276" w:lineRule="auto"/>
        <w:ind w:left="352" w:right="616" w:firstLine="0"/>
        <w:rPr>
          <w:i/>
          <w:sz w:val="16"/>
          <w:szCs w:val="16"/>
        </w:rPr>
      </w:pPr>
    </w:p>
    <w:p w14:paraId="13AC775C"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La unidad monetaria en la que se expresarán los resultados de los Modelos de Costos será en pesos mexicanos.</w:t>
      </w:r>
    </w:p>
    <w:p w14:paraId="5A6BC529" w14:textId="77777777" w:rsidR="00350F69" w:rsidRPr="001B525F" w:rsidRDefault="00350F69" w:rsidP="004A0A71">
      <w:pPr>
        <w:pStyle w:val="Texto0"/>
        <w:spacing w:after="0" w:line="276" w:lineRule="auto"/>
        <w:ind w:left="352" w:right="616" w:firstLine="0"/>
        <w:rPr>
          <w:i/>
          <w:sz w:val="16"/>
          <w:szCs w:val="16"/>
        </w:rPr>
      </w:pPr>
    </w:p>
    <w:p w14:paraId="73778D55"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 xml:space="preserve">CUARTO. - </w:t>
      </w:r>
      <w:r w:rsidRPr="001B525F">
        <w:rPr>
          <w:i/>
          <w:sz w:val="16"/>
          <w:szCs w:val="16"/>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4C75F51B" w14:textId="77777777" w:rsidR="00350F69" w:rsidRPr="001B525F" w:rsidRDefault="00350F69" w:rsidP="004A0A71">
      <w:pPr>
        <w:pStyle w:val="Texto0"/>
        <w:spacing w:after="0" w:line="276" w:lineRule="auto"/>
        <w:ind w:left="352" w:right="616" w:firstLine="0"/>
        <w:rPr>
          <w:i/>
          <w:sz w:val="16"/>
          <w:szCs w:val="16"/>
        </w:rPr>
      </w:pPr>
    </w:p>
    <w:p w14:paraId="6448F721"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 xml:space="preserve">La unidad de medida que se empleará en los Modelos de Costos para el servicio de tránsito cuando éste se mida por tiempo, será el segundo. </w:t>
      </w:r>
    </w:p>
    <w:p w14:paraId="5E3DA386" w14:textId="77777777" w:rsidR="00350F69" w:rsidRPr="001B525F" w:rsidRDefault="00350F69" w:rsidP="004A0A71">
      <w:pPr>
        <w:pStyle w:val="Texto0"/>
        <w:spacing w:after="0" w:line="276" w:lineRule="auto"/>
        <w:ind w:left="352" w:right="616" w:firstLine="0"/>
        <w:rPr>
          <w:i/>
          <w:sz w:val="16"/>
          <w:szCs w:val="16"/>
        </w:rPr>
      </w:pPr>
    </w:p>
    <w:p w14:paraId="7DB73327"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La unidad monetaria en la que se expresarán los resultados de los Modelos de Costos será en pesos mexicanos.</w:t>
      </w:r>
    </w:p>
    <w:p w14:paraId="78325973" w14:textId="77777777" w:rsidR="00350F69" w:rsidRPr="001B525F" w:rsidRDefault="00350F69" w:rsidP="004A0A71">
      <w:pPr>
        <w:pStyle w:val="Texto0"/>
        <w:spacing w:after="0" w:line="276" w:lineRule="auto"/>
        <w:ind w:left="352" w:right="616" w:firstLine="0"/>
        <w:rPr>
          <w:i/>
          <w:sz w:val="16"/>
          <w:szCs w:val="16"/>
        </w:rPr>
      </w:pPr>
    </w:p>
    <w:p w14:paraId="3E9E7B67"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lang w:val="es-MX"/>
        </w:rPr>
        <w:t>QUINTO</w:t>
      </w:r>
      <w:r w:rsidRPr="001B525F">
        <w:rPr>
          <w:b/>
          <w:i/>
          <w:sz w:val="16"/>
          <w:szCs w:val="16"/>
        </w:rPr>
        <w:t>. -</w:t>
      </w:r>
      <w:r w:rsidRPr="001B525F">
        <w:rPr>
          <w:i/>
          <w:sz w:val="16"/>
          <w:szCs w:val="16"/>
        </w:rPr>
        <w:t xml:space="preserve"> Los Modelos de Costos que se elaboren deberán considerar elementos técnicos y económicos de los Servicios de Interconexión, debiéndose emplear el enfoque de modelos ascendentes o ingenieriles (Bottom-Up).</w:t>
      </w:r>
    </w:p>
    <w:p w14:paraId="60F0E42D" w14:textId="77777777" w:rsidR="00350F69" w:rsidRPr="001B525F" w:rsidRDefault="00350F69" w:rsidP="004A0A71">
      <w:pPr>
        <w:pStyle w:val="Texto0"/>
        <w:spacing w:after="0" w:line="276" w:lineRule="auto"/>
        <w:ind w:left="352" w:right="616" w:firstLine="0"/>
        <w:rPr>
          <w:i/>
          <w:sz w:val="16"/>
          <w:szCs w:val="16"/>
        </w:rPr>
      </w:pPr>
    </w:p>
    <w:p w14:paraId="146E7050"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El Instituto Federal de Telecomunicaciones podrá hacer uso de otros modelos de costos y de información financiera y de contabilidad separada con que disponga para verificar y mejorar la solidez de los resultados.</w:t>
      </w:r>
    </w:p>
    <w:p w14:paraId="6BD757FE" w14:textId="77777777" w:rsidR="00350F69" w:rsidRPr="001B525F" w:rsidRDefault="00350F69" w:rsidP="004A0A71">
      <w:pPr>
        <w:pStyle w:val="Texto0"/>
        <w:spacing w:after="0" w:line="276" w:lineRule="auto"/>
        <w:ind w:left="352" w:right="616" w:firstLine="0"/>
        <w:rPr>
          <w:i/>
          <w:sz w:val="16"/>
          <w:szCs w:val="16"/>
        </w:rPr>
      </w:pPr>
    </w:p>
    <w:p w14:paraId="3F57AE8C"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21D013B1" w14:textId="77777777" w:rsidR="00350F69" w:rsidRPr="001B525F" w:rsidRDefault="00350F69" w:rsidP="004A0A71">
      <w:pPr>
        <w:pStyle w:val="Texto0"/>
        <w:spacing w:after="0" w:line="276" w:lineRule="auto"/>
        <w:ind w:left="352" w:right="616" w:firstLine="0"/>
        <w:rPr>
          <w:i/>
          <w:sz w:val="16"/>
          <w:szCs w:val="16"/>
        </w:rPr>
      </w:pPr>
    </w:p>
    <w:p w14:paraId="4690372E"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SEXTO. -</w:t>
      </w:r>
      <w:r w:rsidRPr="001B525F">
        <w:rPr>
          <w:i/>
          <w:sz w:val="16"/>
          <w:szCs w:val="16"/>
        </w:rPr>
        <w:t xml:space="preserve"> La metodología empleada por los Modelos de Costos para la amortización de los activos será la metodología de Depreciación Económica.</w:t>
      </w:r>
    </w:p>
    <w:p w14:paraId="25A1BD4C" w14:textId="77777777" w:rsidR="00350F69" w:rsidRPr="001B525F" w:rsidRDefault="00350F69" w:rsidP="004A0A71">
      <w:pPr>
        <w:pStyle w:val="Texto0"/>
        <w:spacing w:after="0" w:line="276" w:lineRule="auto"/>
        <w:ind w:left="352" w:right="616" w:firstLine="0"/>
        <w:rPr>
          <w:i/>
          <w:sz w:val="16"/>
          <w:szCs w:val="16"/>
        </w:rPr>
      </w:pPr>
    </w:p>
    <w:p w14:paraId="48E7E16E"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02C0041E" w14:textId="77777777" w:rsidR="00350F69" w:rsidRPr="001B525F" w:rsidRDefault="00350F69" w:rsidP="004A0A71">
      <w:pPr>
        <w:pStyle w:val="Texto0"/>
        <w:spacing w:after="0" w:line="276" w:lineRule="auto"/>
        <w:ind w:left="352" w:right="616" w:firstLine="0"/>
        <w:rPr>
          <w:i/>
          <w:sz w:val="16"/>
          <w:szCs w:val="16"/>
        </w:rPr>
      </w:pPr>
    </w:p>
    <w:p w14:paraId="1B6AAD7F"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SÉPTIMO. -</w:t>
      </w:r>
      <w:r w:rsidRPr="001B525F">
        <w:rPr>
          <w:i/>
          <w:sz w:val="16"/>
          <w:szCs w:val="16"/>
        </w:rPr>
        <w:t xml:space="preserve"> Dentro del período temporal utilizado por los Modelos de Costos se deberán considerar las tecnologías eficientes disponibles, debiendo ser consistente con lo siguiente:</w:t>
      </w:r>
    </w:p>
    <w:p w14:paraId="668E9643" w14:textId="77777777" w:rsidR="00350F69" w:rsidRPr="001B525F" w:rsidRDefault="00350F69" w:rsidP="004A0A71">
      <w:pPr>
        <w:pStyle w:val="Texto0"/>
        <w:spacing w:after="0" w:line="276" w:lineRule="auto"/>
        <w:ind w:left="352" w:right="616" w:firstLine="0"/>
        <w:rPr>
          <w:i/>
          <w:sz w:val="16"/>
          <w:szCs w:val="16"/>
        </w:rPr>
      </w:pPr>
    </w:p>
    <w:p w14:paraId="072770DE" w14:textId="77777777" w:rsidR="00350F69" w:rsidRPr="001B525F" w:rsidRDefault="00350F69" w:rsidP="00DE29FF">
      <w:pPr>
        <w:pStyle w:val="ROMANOS"/>
        <w:numPr>
          <w:ilvl w:val="0"/>
          <w:numId w:val="20"/>
        </w:numPr>
        <w:tabs>
          <w:tab w:val="clear" w:pos="720"/>
          <w:tab w:val="left" w:pos="993"/>
        </w:tabs>
        <w:overflowPunct/>
        <w:autoSpaceDE/>
        <w:autoSpaceDN/>
        <w:adjustRightInd/>
        <w:spacing w:after="0" w:line="276" w:lineRule="auto"/>
        <w:ind w:left="709" w:right="618" w:hanging="357"/>
        <w:textAlignment w:val="auto"/>
        <w:rPr>
          <w:rFonts w:cs="Arial"/>
          <w:i/>
          <w:sz w:val="16"/>
          <w:szCs w:val="16"/>
          <w:lang w:val="es-ES"/>
        </w:rPr>
      </w:pPr>
      <w:r w:rsidRPr="5459DB53">
        <w:rPr>
          <w:rFonts w:cs="Arial"/>
          <w:i/>
          <w:sz w:val="16"/>
          <w:szCs w:val="16"/>
          <w:lang w:val="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0F21B70A" w14:textId="77777777" w:rsidR="00350F69" w:rsidRPr="001B525F" w:rsidRDefault="00350F69" w:rsidP="00DE29FF">
      <w:pPr>
        <w:pStyle w:val="ROMANOS"/>
        <w:numPr>
          <w:ilvl w:val="0"/>
          <w:numId w:val="20"/>
        </w:numPr>
        <w:tabs>
          <w:tab w:val="clear" w:pos="720"/>
          <w:tab w:val="left" w:pos="993"/>
        </w:tabs>
        <w:overflowPunct/>
        <w:autoSpaceDE/>
        <w:autoSpaceDN/>
        <w:adjustRightInd/>
        <w:spacing w:after="0" w:line="276" w:lineRule="auto"/>
        <w:ind w:left="709" w:right="618" w:hanging="357"/>
        <w:textAlignment w:val="auto"/>
        <w:rPr>
          <w:rFonts w:cs="Arial"/>
          <w:i/>
          <w:sz w:val="16"/>
          <w:szCs w:val="16"/>
        </w:rPr>
      </w:pPr>
      <w:r w:rsidRPr="001B525F">
        <w:rPr>
          <w:rFonts w:cs="Arial"/>
          <w:i/>
          <w:sz w:val="16"/>
          <w:szCs w:val="16"/>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1B77AB90" w14:textId="77777777" w:rsidR="00350F69" w:rsidRPr="001B525F" w:rsidRDefault="00350F69" w:rsidP="00DE29FF">
      <w:pPr>
        <w:pStyle w:val="ROMANOS"/>
        <w:numPr>
          <w:ilvl w:val="0"/>
          <w:numId w:val="20"/>
        </w:numPr>
        <w:tabs>
          <w:tab w:val="clear" w:pos="720"/>
          <w:tab w:val="left" w:pos="993"/>
        </w:tabs>
        <w:overflowPunct/>
        <w:autoSpaceDE/>
        <w:autoSpaceDN/>
        <w:adjustRightInd/>
        <w:spacing w:after="0" w:line="276" w:lineRule="auto"/>
        <w:ind w:left="709" w:right="618" w:hanging="357"/>
        <w:textAlignment w:val="auto"/>
        <w:rPr>
          <w:rFonts w:cs="Arial"/>
          <w:i/>
          <w:sz w:val="16"/>
          <w:szCs w:val="16"/>
        </w:rPr>
      </w:pPr>
      <w:r w:rsidRPr="001B525F">
        <w:rPr>
          <w:rFonts w:cs="Arial"/>
          <w:i/>
          <w:sz w:val="16"/>
          <w:szCs w:val="16"/>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p>
    <w:p w14:paraId="58FD7E3D" w14:textId="77777777" w:rsidR="00350F69" w:rsidRPr="001B525F" w:rsidRDefault="00350F69" w:rsidP="004A0A71">
      <w:pPr>
        <w:pStyle w:val="Texto0"/>
        <w:spacing w:after="0" w:line="276" w:lineRule="auto"/>
        <w:ind w:left="352" w:right="616" w:firstLine="0"/>
        <w:rPr>
          <w:i/>
          <w:sz w:val="16"/>
          <w:szCs w:val="16"/>
        </w:rPr>
      </w:pPr>
    </w:p>
    <w:p w14:paraId="0FE0DC94"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Los Modelos de Costos deberán de incluir un Anexo Técnico en el que se expliquen detalladamente los supuestos, cálculos y metodología empleada en la elaboración de los mismos.</w:t>
      </w:r>
    </w:p>
    <w:p w14:paraId="407ADB41" w14:textId="77777777" w:rsidR="00350F69" w:rsidRPr="001B525F" w:rsidRDefault="00350F69" w:rsidP="004A0A71">
      <w:pPr>
        <w:pStyle w:val="Texto0"/>
        <w:spacing w:after="0" w:line="276" w:lineRule="auto"/>
        <w:ind w:left="352" w:right="616" w:firstLine="0"/>
        <w:rPr>
          <w:i/>
          <w:sz w:val="16"/>
          <w:szCs w:val="16"/>
        </w:rPr>
      </w:pPr>
    </w:p>
    <w:p w14:paraId="443A1D03"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OCTAVO. -</w:t>
      </w:r>
      <w:r w:rsidRPr="001B525F">
        <w:rPr>
          <w:i/>
          <w:sz w:val="16"/>
          <w:szCs w:val="16"/>
        </w:rPr>
        <w:t xml:space="preserve"> En la elaboración de Modelos de Costos, se utilizará un concesionario eficiente que considere una escala de operación que sea representativa de los operadores distintos al agente económico preponderante.</w:t>
      </w:r>
    </w:p>
    <w:p w14:paraId="0477D21D" w14:textId="77777777" w:rsidR="00350F69" w:rsidRPr="001B525F" w:rsidRDefault="00350F69" w:rsidP="004A0A71">
      <w:pPr>
        <w:pStyle w:val="Texto0"/>
        <w:spacing w:after="0" w:line="276" w:lineRule="auto"/>
        <w:ind w:left="352" w:right="616" w:firstLine="0"/>
        <w:rPr>
          <w:i/>
          <w:sz w:val="16"/>
          <w:szCs w:val="16"/>
        </w:rPr>
      </w:pPr>
    </w:p>
    <w:p w14:paraId="03C443BB"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Para la definición de la escala de operación del concesionario eficiente se considerarán variables relevantes en la prestación de servicios de telecomunicaciones, tales como usuarios, tráfico, disponibilidad de espectro y presencia geográfica.</w:t>
      </w:r>
    </w:p>
    <w:p w14:paraId="1B672252" w14:textId="77777777" w:rsidR="00350F69" w:rsidRPr="001B525F" w:rsidRDefault="00350F69" w:rsidP="004A0A71">
      <w:pPr>
        <w:pStyle w:val="Texto0"/>
        <w:spacing w:after="0" w:line="276" w:lineRule="auto"/>
        <w:ind w:left="352" w:right="616" w:firstLine="0"/>
        <w:rPr>
          <w:i/>
          <w:sz w:val="16"/>
          <w:szCs w:val="16"/>
        </w:rPr>
      </w:pPr>
    </w:p>
    <w:p w14:paraId="5E9C5EE8"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NOVENO. -</w:t>
      </w:r>
      <w:r w:rsidRPr="001B525F">
        <w:rPr>
          <w:i/>
          <w:sz w:val="16"/>
          <w:szCs w:val="16"/>
        </w:rPr>
        <w:t xml:space="preserve"> Para el cálculo del Costo de Capital que se empleará en el Modelo de Costos del Servicio de Interconexión relevante se utilizará la metodología del Costo de Capital Promedio Ponderado, el cual es el promedio del costo de la deuda y del costo del capital accionario, ponderados por su respectiva participación en la estructura de capital.</w:t>
      </w:r>
    </w:p>
    <w:p w14:paraId="2FF1D02F" w14:textId="77777777" w:rsidR="00350F69" w:rsidRPr="001B525F" w:rsidRDefault="00350F69" w:rsidP="004A0A71">
      <w:pPr>
        <w:pStyle w:val="Texto0"/>
        <w:spacing w:after="0" w:line="276" w:lineRule="auto"/>
        <w:ind w:left="352" w:right="616" w:firstLine="0"/>
        <w:rPr>
          <w:i/>
          <w:sz w:val="16"/>
          <w:szCs w:val="16"/>
        </w:rPr>
      </w:pPr>
    </w:p>
    <w:p w14:paraId="6ACC761C"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Las variables relevantes para el cálculo del Costo de Capital Promedio Ponderado se definirán en función de la escala del concesionario representativo en cada Servicio de Interconexión relevante, y con base en información financiera de empresas comparables. En el cálculo se considerará la tasa impositiva efectivamente pagada de acuerdo a la legislación fiscal vigente.</w:t>
      </w:r>
    </w:p>
    <w:p w14:paraId="40DC049C" w14:textId="77777777" w:rsidR="00350F69" w:rsidRPr="001B525F" w:rsidRDefault="00350F69" w:rsidP="004A0A71">
      <w:pPr>
        <w:pStyle w:val="Texto0"/>
        <w:spacing w:after="0" w:line="276" w:lineRule="auto"/>
        <w:ind w:left="352" w:right="616" w:firstLine="0"/>
        <w:rPr>
          <w:i/>
          <w:sz w:val="16"/>
          <w:szCs w:val="16"/>
        </w:rPr>
      </w:pPr>
    </w:p>
    <w:p w14:paraId="53A9B900"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DÉCIMO. -</w:t>
      </w:r>
      <w:r w:rsidRPr="001B525F">
        <w:rPr>
          <w:i/>
          <w:sz w:val="16"/>
          <w:szCs w:val="16"/>
        </w:rPr>
        <w:t xml:space="preserve"> El cálculo del Costo de Capital Accionario se realizará mediante la metodología del Modelo de Valuación de Activos Financieros (CAPM), el cual señala que el rendimiento requerido por el capital accionario se relaciona con una tasa libre de riesgo, el rendimiento de mercado y un parámetro que estima el riesgo sistemático asociado a un activo en particular.</w:t>
      </w:r>
    </w:p>
    <w:p w14:paraId="312B1728" w14:textId="77777777" w:rsidR="00350F69" w:rsidRPr="001B525F" w:rsidRDefault="00350F69" w:rsidP="004A0A71">
      <w:pPr>
        <w:pStyle w:val="Texto0"/>
        <w:spacing w:after="0" w:line="276" w:lineRule="auto"/>
        <w:ind w:left="352" w:right="616" w:firstLine="0"/>
        <w:rPr>
          <w:i/>
          <w:sz w:val="16"/>
          <w:szCs w:val="16"/>
        </w:rPr>
      </w:pPr>
    </w:p>
    <w:p w14:paraId="5D24316C" w14:textId="77777777" w:rsidR="00350F69" w:rsidRPr="001B525F" w:rsidRDefault="00350F69" w:rsidP="004A0A71">
      <w:pPr>
        <w:pStyle w:val="Texto0"/>
        <w:spacing w:after="0" w:line="276" w:lineRule="auto"/>
        <w:ind w:left="352" w:right="616" w:firstLine="0"/>
        <w:rPr>
          <w:i/>
          <w:spacing w:val="-4"/>
          <w:sz w:val="16"/>
          <w:szCs w:val="16"/>
        </w:rPr>
      </w:pPr>
      <w:r w:rsidRPr="001B525F">
        <w:rPr>
          <w:b/>
          <w:i/>
          <w:sz w:val="16"/>
          <w:szCs w:val="16"/>
        </w:rPr>
        <w:lastRenderedPageBreak/>
        <w:t>DÉCIMO PRIMERO. -</w:t>
      </w:r>
      <w:r w:rsidRPr="001B525F">
        <w:rPr>
          <w:i/>
          <w:sz w:val="16"/>
          <w:szCs w:val="16"/>
        </w:rPr>
        <w:t xml:space="preserve"> </w:t>
      </w:r>
      <w:r w:rsidRPr="001B525F">
        <w:rPr>
          <w:i/>
          <w:spacing w:val="-4"/>
          <w:sz w:val="16"/>
          <w:szCs w:val="16"/>
        </w:rPr>
        <w:t>Las tarifas de Interconexión no incluirán cualquier otro costo fijo o variable que sea recuperado a través del usuario, asimismo deberán ser lo suficientemente desagregadas para que el concesionario que se interconecte no necesite pagar por componentes o recursos de la red que no se requieran para que el servicio sea suministrado.</w:t>
      </w:r>
    </w:p>
    <w:p w14:paraId="5088D88C" w14:textId="77777777" w:rsidR="00350F69" w:rsidRPr="001B525F" w:rsidRDefault="00350F69" w:rsidP="004A0A71">
      <w:pPr>
        <w:pStyle w:val="Texto0"/>
        <w:spacing w:after="0" w:line="276" w:lineRule="auto"/>
        <w:ind w:left="352" w:right="616" w:firstLine="0"/>
        <w:rPr>
          <w:i/>
          <w:spacing w:val="-4"/>
          <w:sz w:val="16"/>
          <w:szCs w:val="16"/>
        </w:rPr>
      </w:pPr>
    </w:p>
    <w:p w14:paraId="2CE8444F"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DÉCIMO SEGUNDO. -</w:t>
      </w:r>
      <w:r w:rsidRPr="001B525F">
        <w:rPr>
          <w:i/>
          <w:sz w:val="16"/>
          <w:szCs w:val="16"/>
        </w:rPr>
        <w:t xml:space="preserve"> Para el pronóstico de las variables a emplearse en el Modelo de Costos del Servicio de Interconexión relevante, el Instituto Federal de Telecomunicaciones considerará un conjunto de modelos de pronóstico, mismos que evaluará de acuerdo a su capacidad de predicción, tomando como base criterios estadísticos estándar existentes en la literatura especializada.</w:t>
      </w:r>
    </w:p>
    <w:p w14:paraId="65914F2F" w14:textId="77777777" w:rsidR="00350F69" w:rsidRPr="001B525F" w:rsidRDefault="00350F69" w:rsidP="004A0A71">
      <w:pPr>
        <w:pStyle w:val="Texto0"/>
        <w:spacing w:after="0" w:line="276" w:lineRule="auto"/>
        <w:ind w:left="352" w:right="616" w:firstLine="0"/>
        <w:rPr>
          <w:i/>
          <w:sz w:val="16"/>
          <w:szCs w:val="16"/>
        </w:rPr>
      </w:pPr>
    </w:p>
    <w:p w14:paraId="129798AA"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Para los Modelos de Costos, el Instituto Federal de Telecomunicaciones utilizará los pronósticos de los modelos que mejor desempeño hayan tenido de acuerdo al criterio de selección y, en su caso, empleará una combinación de pronósticos cuando su desempeño sea mejor al pronóstico de los modelos individuales.</w:t>
      </w:r>
    </w:p>
    <w:p w14:paraId="5CC87C63" w14:textId="77777777" w:rsidR="00350F69" w:rsidRPr="001B525F" w:rsidRDefault="00350F69" w:rsidP="004A0A71">
      <w:pPr>
        <w:pStyle w:val="Texto0"/>
        <w:spacing w:after="0" w:line="276" w:lineRule="auto"/>
        <w:ind w:left="352" w:right="616" w:firstLine="0"/>
        <w:rPr>
          <w:i/>
          <w:sz w:val="16"/>
          <w:szCs w:val="16"/>
        </w:rPr>
      </w:pPr>
    </w:p>
    <w:p w14:paraId="1258B883" w14:textId="77777777" w:rsidR="00350F69" w:rsidRPr="001B525F" w:rsidRDefault="00350F69" w:rsidP="004A0A71">
      <w:pPr>
        <w:pStyle w:val="ANOTACION"/>
        <w:spacing w:before="0" w:after="0" w:line="276" w:lineRule="auto"/>
        <w:ind w:left="352" w:right="616"/>
        <w:rPr>
          <w:rFonts w:ascii="Arial" w:hAnsi="Arial" w:cs="Arial"/>
          <w:i/>
          <w:sz w:val="16"/>
          <w:szCs w:val="16"/>
        </w:rPr>
      </w:pPr>
      <w:r w:rsidRPr="001B525F">
        <w:rPr>
          <w:rFonts w:ascii="Arial" w:hAnsi="Arial" w:cs="Arial"/>
          <w:i/>
          <w:sz w:val="16"/>
          <w:szCs w:val="16"/>
        </w:rPr>
        <w:t>CAPITULO III</w:t>
      </w:r>
    </w:p>
    <w:p w14:paraId="70AB2532" w14:textId="77777777" w:rsidR="00350F69" w:rsidRPr="001B525F" w:rsidRDefault="00350F69" w:rsidP="004A0A71">
      <w:pPr>
        <w:pStyle w:val="ANOTACION"/>
        <w:spacing w:before="0" w:after="0" w:line="276" w:lineRule="auto"/>
        <w:ind w:left="352" w:right="616"/>
        <w:rPr>
          <w:rFonts w:ascii="Arial" w:hAnsi="Arial" w:cs="Arial"/>
          <w:i/>
          <w:sz w:val="16"/>
          <w:szCs w:val="16"/>
        </w:rPr>
      </w:pPr>
    </w:p>
    <w:p w14:paraId="70BEE46D" w14:textId="77777777" w:rsidR="00350F69" w:rsidRPr="001B525F" w:rsidRDefault="00350F69" w:rsidP="004A0A71">
      <w:pPr>
        <w:pStyle w:val="Texto0"/>
        <w:spacing w:after="0" w:line="276" w:lineRule="auto"/>
        <w:ind w:left="352" w:right="616" w:firstLine="0"/>
        <w:jc w:val="center"/>
        <w:rPr>
          <w:b/>
          <w:i/>
          <w:sz w:val="16"/>
          <w:szCs w:val="16"/>
        </w:rPr>
      </w:pPr>
      <w:r w:rsidRPr="001B525F">
        <w:rPr>
          <w:b/>
          <w:i/>
          <w:sz w:val="16"/>
          <w:szCs w:val="16"/>
        </w:rPr>
        <w:t>De la Información del Modelo de Costos</w:t>
      </w:r>
    </w:p>
    <w:p w14:paraId="664E0DC6" w14:textId="77777777" w:rsidR="00350F69" w:rsidRPr="001B525F" w:rsidRDefault="00350F69" w:rsidP="004A0A71">
      <w:pPr>
        <w:pStyle w:val="Texto0"/>
        <w:spacing w:after="0" w:line="276" w:lineRule="auto"/>
        <w:ind w:left="352" w:right="616" w:firstLine="0"/>
        <w:jc w:val="center"/>
        <w:rPr>
          <w:b/>
          <w:i/>
          <w:sz w:val="16"/>
          <w:szCs w:val="16"/>
        </w:rPr>
      </w:pPr>
    </w:p>
    <w:p w14:paraId="5B735F96" w14:textId="77777777" w:rsidR="00350F69" w:rsidRPr="001B525F" w:rsidRDefault="00350F69" w:rsidP="004A0A71">
      <w:pPr>
        <w:pStyle w:val="Texto0"/>
        <w:spacing w:after="0" w:line="276" w:lineRule="auto"/>
        <w:ind w:left="352" w:right="616" w:firstLine="0"/>
        <w:rPr>
          <w:i/>
          <w:sz w:val="16"/>
          <w:szCs w:val="16"/>
        </w:rPr>
      </w:pPr>
      <w:r w:rsidRPr="001B525F">
        <w:rPr>
          <w:b/>
          <w:i/>
          <w:sz w:val="16"/>
          <w:szCs w:val="16"/>
        </w:rPr>
        <w:t xml:space="preserve">DÉCIMO TERCERO. - </w:t>
      </w:r>
      <w:r w:rsidRPr="001B525F">
        <w:rPr>
          <w:i/>
          <w:sz w:val="16"/>
          <w:szCs w:val="16"/>
        </w:rPr>
        <w:t>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7426E497" w14:textId="77777777" w:rsidR="00350F69" w:rsidRPr="001B525F" w:rsidRDefault="00350F69" w:rsidP="004A0A71">
      <w:pPr>
        <w:pStyle w:val="Texto0"/>
        <w:spacing w:after="0" w:line="276" w:lineRule="auto"/>
        <w:ind w:left="352" w:right="616" w:firstLine="0"/>
        <w:rPr>
          <w:i/>
          <w:sz w:val="16"/>
          <w:szCs w:val="16"/>
        </w:rPr>
      </w:pPr>
    </w:p>
    <w:p w14:paraId="131C72AA" w14:textId="77777777" w:rsidR="00350F69" w:rsidRPr="001B525F" w:rsidRDefault="00350F69" w:rsidP="004A0A71">
      <w:pPr>
        <w:pStyle w:val="Texto0"/>
        <w:spacing w:after="0" w:line="276" w:lineRule="auto"/>
        <w:ind w:left="352" w:right="616" w:firstLine="0"/>
        <w:rPr>
          <w:i/>
          <w:sz w:val="16"/>
          <w:szCs w:val="16"/>
        </w:rPr>
      </w:pPr>
      <w:r w:rsidRPr="001B525F">
        <w:rPr>
          <w:i/>
          <w:sz w:val="16"/>
          <w:szCs w:val="16"/>
        </w:rPr>
        <w:t>Sin perjuicio de lo anterior, el Instituto Federal de Telecomunicaciones, a petición de las partes que sometan a consideración de ésta el desacuerdo de interconexión de que se trate, podrá resolver tarifas para los Servicios de Interconexión para periodos multianuales.</w:t>
      </w:r>
    </w:p>
    <w:p w14:paraId="45679656" w14:textId="77777777" w:rsidR="00350F69" w:rsidRPr="001B525F" w:rsidRDefault="00350F69" w:rsidP="004A0A71">
      <w:pPr>
        <w:pStyle w:val="Texto0"/>
        <w:spacing w:after="0" w:line="276" w:lineRule="auto"/>
        <w:ind w:left="352" w:right="616" w:firstLine="0"/>
        <w:rPr>
          <w:i/>
          <w:sz w:val="16"/>
          <w:szCs w:val="16"/>
        </w:rPr>
      </w:pPr>
    </w:p>
    <w:p w14:paraId="31FF2C06" w14:textId="0A5EC3A3" w:rsidR="00350F69" w:rsidRPr="001B525F" w:rsidRDefault="00350F69" w:rsidP="004A0A71">
      <w:pPr>
        <w:pStyle w:val="Texto0"/>
        <w:spacing w:after="0" w:line="276" w:lineRule="auto"/>
        <w:ind w:left="352" w:right="616" w:firstLine="0"/>
        <w:rPr>
          <w:i/>
          <w:sz w:val="16"/>
          <w:szCs w:val="16"/>
        </w:rPr>
      </w:pPr>
      <w:r w:rsidRPr="001B525F">
        <w:rPr>
          <w:i/>
          <w:sz w:val="16"/>
          <w:szCs w:val="16"/>
        </w:rPr>
        <w:t>Los Modelos de Costos de los Servicios de Interconexión se inscribirán en el Registro Público de Concesiones.</w:t>
      </w:r>
    </w:p>
    <w:p w14:paraId="2548A04C" w14:textId="77777777" w:rsidR="00350F69" w:rsidRPr="001B525F" w:rsidRDefault="00350F69" w:rsidP="00CC0143">
      <w:pPr>
        <w:pStyle w:val="Texto0"/>
        <w:spacing w:after="0" w:line="276" w:lineRule="auto"/>
        <w:ind w:right="616" w:firstLine="0"/>
        <w:rPr>
          <w:b/>
          <w:i/>
        </w:rPr>
      </w:pPr>
    </w:p>
    <w:p w14:paraId="6E3A4D56" w14:textId="085648AD" w:rsidR="00350F69" w:rsidRPr="001B525F" w:rsidRDefault="00350F69" w:rsidP="00CC0143">
      <w:pPr>
        <w:spacing w:after="0"/>
        <w:jc w:val="both"/>
        <w:rPr>
          <w:rFonts w:ascii="Arial" w:eastAsia="Times New Roman" w:hAnsi="Arial" w:cs="Arial"/>
          <w:sz w:val="18"/>
          <w:szCs w:val="18"/>
        </w:rPr>
      </w:pPr>
      <w:r w:rsidRPr="001B525F">
        <w:rPr>
          <w:rFonts w:ascii="Arial" w:hAnsi="Arial" w:cs="Arial"/>
          <w:sz w:val="18"/>
          <w:szCs w:val="18"/>
        </w:rPr>
        <w:t xml:space="preserve">Es en este contexto que el Instituto </w:t>
      </w:r>
      <w:r w:rsidRPr="001B525F">
        <w:rPr>
          <w:rFonts w:ascii="Arial" w:eastAsia="Times New Roman" w:hAnsi="Arial" w:cs="Arial"/>
          <w:sz w:val="18"/>
          <w:szCs w:val="18"/>
        </w:rPr>
        <w:t>procede a determinar las tarifas de interconexión que estarán vigentes durante el año 202</w:t>
      </w:r>
      <w:r w:rsidR="00016C7C">
        <w:rPr>
          <w:rFonts w:ascii="Arial" w:eastAsia="Times New Roman" w:hAnsi="Arial" w:cs="Arial"/>
          <w:sz w:val="18"/>
          <w:szCs w:val="18"/>
        </w:rPr>
        <w:t>5</w:t>
      </w:r>
      <w:r w:rsidRPr="001B525F">
        <w:rPr>
          <w:rFonts w:ascii="Arial" w:eastAsia="Times New Roman" w:hAnsi="Arial" w:cs="Arial"/>
          <w:sz w:val="18"/>
          <w:szCs w:val="18"/>
        </w:rPr>
        <w:t xml:space="preserve">, para lo cual y en estricto cumplimiento a los lineamientos Tercero y Cuarto de la Metodología de Costos, se utilizará un Modelo elaborado bajo un enfoque de Costos Incrementales de Largo Plazo Puros (en lo sucesivo, “CILP </w:t>
      </w:r>
      <w:r w:rsidR="00EF2117">
        <w:rPr>
          <w:rFonts w:ascii="Arial" w:eastAsia="Times New Roman" w:hAnsi="Arial" w:cs="Arial"/>
          <w:sz w:val="18"/>
          <w:szCs w:val="18"/>
        </w:rPr>
        <w:t>P</w:t>
      </w:r>
      <w:r w:rsidRPr="001B525F">
        <w:rPr>
          <w:rFonts w:ascii="Arial" w:eastAsia="Times New Roman" w:hAnsi="Arial" w:cs="Arial"/>
          <w:sz w:val="18"/>
          <w:szCs w:val="18"/>
        </w:rPr>
        <w:t xml:space="preserve">uro”) desarrollado conforme a bases internacionalmente reconocidas y siguiendo los principios dispuestos en la Metodología de Costos. </w:t>
      </w:r>
    </w:p>
    <w:p w14:paraId="4DB5D241" w14:textId="77777777" w:rsidR="00350F69" w:rsidRPr="001B525F" w:rsidRDefault="00350F69" w:rsidP="00CC0143">
      <w:pPr>
        <w:spacing w:after="0"/>
        <w:jc w:val="both"/>
        <w:rPr>
          <w:rFonts w:ascii="Arial" w:eastAsia="Times New Roman" w:hAnsi="Arial" w:cs="Arial"/>
          <w:sz w:val="18"/>
          <w:szCs w:val="18"/>
        </w:rPr>
      </w:pPr>
    </w:p>
    <w:p w14:paraId="72DAFF10" w14:textId="77777777" w:rsidR="00DB2813" w:rsidRPr="00DB2813" w:rsidRDefault="00E67A5F" w:rsidP="00DB2813">
      <w:pPr>
        <w:spacing w:after="0"/>
        <w:jc w:val="both"/>
        <w:rPr>
          <w:rFonts w:ascii="Arial" w:hAnsi="Arial" w:cs="Arial"/>
          <w:sz w:val="18"/>
          <w:szCs w:val="18"/>
          <w:lang w:val="es-MX"/>
        </w:rPr>
      </w:pPr>
      <w:bookmarkStart w:id="3" w:name="_Hlk115128651"/>
      <w:r w:rsidRPr="00EE7F36">
        <w:rPr>
          <w:rFonts w:ascii="Arial" w:hAnsi="Arial" w:cs="Arial"/>
          <w:b/>
          <w:sz w:val="18"/>
          <w:szCs w:val="18"/>
        </w:rPr>
        <w:t>Séptimo</w:t>
      </w:r>
      <w:r w:rsidR="00350F69" w:rsidRPr="00EE7F36">
        <w:rPr>
          <w:rFonts w:ascii="Arial" w:hAnsi="Arial" w:cs="Arial"/>
          <w:b/>
          <w:sz w:val="18"/>
          <w:szCs w:val="18"/>
        </w:rPr>
        <w:t>.</w:t>
      </w:r>
      <w:r w:rsidRPr="00EE7F36">
        <w:rPr>
          <w:rFonts w:ascii="Arial" w:hAnsi="Arial" w:cs="Arial"/>
          <w:b/>
          <w:sz w:val="18"/>
          <w:szCs w:val="18"/>
        </w:rPr>
        <w:t>-</w:t>
      </w:r>
      <w:r w:rsidR="00350F69" w:rsidRPr="00EE7F36">
        <w:rPr>
          <w:rFonts w:ascii="Arial" w:hAnsi="Arial" w:cs="Arial"/>
          <w:b/>
          <w:sz w:val="18"/>
          <w:szCs w:val="18"/>
        </w:rPr>
        <w:t xml:space="preserve"> Modelo de costos multianual. </w:t>
      </w:r>
      <w:r w:rsidR="00DB2813" w:rsidRPr="00DB2813">
        <w:rPr>
          <w:rFonts w:ascii="Arial" w:hAnsi="Arial" w:cs="Arial"/>
          <w:sz w:val="18"/>
          <w:szCs w:val="18"/>
          <w:lang w:val="es-MX"/>
        </w:rPr>
        <w:t>El modelo de costos utilizado para la determinación de las tarifas de los servicios de interconexión modela una red de telecomunicaciones que a partir de un año específico comienza a prestar diversos servicios, entre ellos los de interconexión a través de tecnologías eficientes disponibles de tal forma que, las características y cantidad de equipo considerado en el diseño permite soportar el volumen de tráfico cursado y, dado que dicha red presta servicios por un amplio periodo de tiempo también se consideran para su despliegue los pronósticos de demanda de los servicios. Asimismo, se consideran las características de un concesionario hipotético como la fecha de entrada al mercado y su participación de mercado, entre otros factores.</w:t>
      </w:r>
    </w:p>
    <w:p w14:paraId="5677F502" w14:textId="77777777" w:rsidR="00DB2813" w:rsidRPr="00DB2813" w:rsidRDefault="00DB2813" w:rsidP="00DB2813">
      <w:pPr>
        <w:spacing w:after="0"/>
        <w:jc w:val="both"/>
        <w:rPr>
          <w:rFonts w:ascii="Arial" w:hAnsi="Arial" w:cs="Arial"/>
          <w:sz w:val="18"/>
          <w:szCs w:val="18"/>
          <w:lang w:val="es-MX"/>
        </w:rPr>
      </w:pPr>
    </w:p>
    <w:p w14:paraId="52FF32A7" w14:textId="77777777" w:rsidR="00DB2813" w:rsidRPr="00DB2813" w:rsidRDefault="00DB2813" w:rsidP="00DB2813">
      <w:pPr>
        <w:spacing w:after="0"/>
        <w:jc w:val="both"/>
        <w:rPr>
          <w:rFonts w:ascii="Arial" w:hAnsi="Arial" w:cs="Arial"/>
          <w:sz w:val="18"/>
          <w:szCs w:val="18"/>
          <w:lang w:val="es-MX"/>
        </w:rPr>
      </w:pPr>
      <w:r w:rsidRPr="00DB2813">
        <w:rPr>
          <w:rFonts w:ascii="Arial" w:hAnsi="Arial" w:cs="Arial"/>
          <w:sz w:val="18"/>
          <w:szCs w:val="18"/>
          <w:lang w:val="es-MX"/>
        </w:rPr>
        <w:t>Para la determinación de los costos por la prestación de los servicios de interconexión además del despliegue de red se consideran parámetros económicos como los costos de los insumos, la inflación, el tipo de cambio del año relevante, el Costo de Capital Promedio Ponderado (en lo sucesivo, “CCPP”), entre otros. Es así como, dado el despliegue de red y los costos derivados del mismo, se determinan los costos por la prestación de los servicios de interconexión en el periodo regulatorio correspondiente, en este caso 2024 a 2026.</w:t>
      </w:r>
    </w:p>
    <w:p w14:paraId="23472436" w14:textId="77777777" w:rsidR="00DB2813" w:rsidRPr="00DB2813" w:rsidRDefault="00DB2813" w:rsidP="00DB2813">
      <w:pPr>
        <w:spacing w:after="0"/>
        <w:jc w:val="both"/>
        <w:rPr>
          <w:rFonts w:ascii="Arial" w:hAnsi="Arial" w:cs="Arial"/>
          <w:sz w:val="18"/>
          <w:szCs w:val="18"/>
          <w:lang w:val="es-MX"/>
        </w:rPr>
      </w:pPr>
    </w:p>
    <w:p w14:paraId="7B44E289" w14:textId="77777777" w:rsidR="00DB2813" w:rsidRPr="00DB2813" w:rsidRDefault="00DB2813" w:rsidP="00DB2813">
      <w:pPr>
        <w:spacing w:after="0"/>
        <w:jc w:val="both"/>
        <w:rPr>
          <w:rFonts w:ascii="Arial" w:hAnsi="Arial" w:cs="Arial"/>
          <w:sz w:val="18"/>
          <w:szCs w:val="18"/>
          <w:lang w:val="es-MX"/>
        </w:rPr>
      </w:pPr>
      <w:r w:rsidRPr="00DB2813">
        <w:rPr>
          <w:rFonts w:ascii="Arial" w:hAnsi="Arial" w:cs="Arial"/>
          <w:sz w:val="18"/>
          <w:szCs w:val="18"/>
          <w:lang w:val="es-MX"/>
        </w:rPr>
        <w:t>En este sentido, los modelos de costos permiten determinar las tarifas de los servicios de interconexión para diversos años y su difusión permite a los concesionarios elaborar planes financieros a futuro considerando las tarifas resultado del modelo de costos.</w:t>
      </w:r>
    </w:p>
    <w:p w14:paraId="1CB3A772" w14:textId="77777777" w:rsidR="00DB2813" w:rsidRPr="00DB2813" w:rsidRDefault="00DB2813" w:rsidP="00DB2813">
      <w:pPr>
        <w:spacing w:after="0"/>
        <w:jc w:val="both"/>
        <w:rPr>
          <w:rFonts w:ascii="Arial" w:hAnsi="Arial" w:cs="Arial"/>
          <w:sz w:val="18"/>
          <w:szCs w:val="18"/>
          <w:lang w:val="es-MX"/>
        </w:rPr>
      </w:pPr>
    </w:p>
    <w:p w14:paraId="332B75B0" w14:textId="77777777" w:rsidR="00DB2813" w:rsidRPr="00DB2813" w:rsidRDefault="00DB2813" w:rsidP="00DB2813">
      <w:pPr>
        <w:spacing w:after="0"/>
        <w:jc w:val="both"/>
        <w:rPr>
          <w:rFonts w:ascii="Arial" w:hAnsi="Arial" w:cs="Arial"/>
          <w:sz w:val="18"/>
          <w:szCs w:val="18"/>
          <w:lang w:val="es-MX"/>
        </w:rPr>
      </w:pPr>
      <w:r w:rsidRPr="00DB2813">
        <w:rPr>
          <w:rFonts w:ascii="Arial" w:hAnsi="Arial" w:cs="Arial"/>
          <w:sz w:val="18"/>
          <w:szCs w:val="18"/>
          <w:lang w:val="es-MX"/>
        </w:rPr>
        <w:t>Por otra parte, el Capítulo III de la Metodología de Costos, referente a la información de los modelos, establece lo siguiente:</w:t>
      </w:r>
    </w:p>
    <w:p w14:paraId="0869DBC4" w14:textId="254EC066" w:rsidR="00151C12" w:rsidRPr="00DB2813" w:rsidRDefault="00151C12" w:rsidP="004A0A71">
      <w:pPr>
        <w:spacing w:after="0"/>
        <w:ind w:left="352"/>
        <w:jc w:val="both"/>
        <w:rPr>
          <w:rFonts w:ascii="Arial" w:eastAsia="Times New Roman" w:hAnsi="Arial" w:cs="Arial"/>
          <w:sz w:val="18"/>
          <w:szCs w:val="18"/>
          <w:lang w:val="es-MX"/>
        </w:rPr>
      </w:pPr>
    </w:p>
    <w:p w14:paraId="6020964A" w14:textId="77777777" w:rsidR="00151C12" w:rsidRPr="001B525F" w:rsidRDefault="00151C12" w:rsidP="004A0A71">
      <w:pPr>
        <w:spacing w:after="0"/>
        <w:ind w:left="352"/>
        <w:jc w:val="center"/>
        <w:rPr>
          <w:rFonts w:ascii="Arial" w:eastAsia="Times New Roman" w:hAnsi="Arial" w:cs="Arial"/>
          <w:i/>
          <w:sz w:val="16"/>
          <w:szCs w:val="16"/>
        </w:rPr>
      </w:pPr>
      <w:r w:rsidRPr="001B525F">
        <w:rPr>
          <w:rFonts w:ascii="Arial" w:eastAsia="Times New Roman" w:hAnsi="Arial" w:cs="Arial"/>
          <w:i/>
          <w:sz w:val="16"/>
          <w:szCs w:val="16"/>
        </w:rPr>
        <w:lastRenderedPageBreak/>
        <w:t>CAPÍTULO III</w:t>
      </w:r>
    </w:p>
    <w:p w14:paraId="5D32758A" w14:textId="77777777" w:rsidR="00151C12" w:rsidRPr="001B525F" w:rsidRDefault="00151C12" w:rsidP="004A0A71">
      <w:pPr>
        <w:spacing w:after="0"/>
        <w:ind w:left="352"/>
        <w:jc w:val="center"/>
        <w:rPr>
          <w:rFonts w:ascii="Arial" w:eastAsia="Times New Roman" w:hAnsi="Arial" w:cs="Arial"/>
          <w:i/>
          <w:sz w:val="16"/>
          <w:szCs w:val="16"/>
        </w:rPr>
      </w:pPr>
      <w:r w:rsidRPr="001B525F">
        <w:rPr>
          <w:rFonts w:ascii="Arial" w:eastAsia="Times New Roman" w:hAnsi="Arial" w:cs="Arial"/>
          <w:i/>
          <w:sz w:val="16"/>
          <w:szCs w:val="16"/>
        </w:rPr>
        <w:t>De la Información del Modelo de Costos</w:t>
      </w:r>
    </w:p>
    <w:p w14:paraId="73D4151B" w14:textId="77777777" w:rsidR="00151C12" w:rsidRPr="001B525F" w:rsidRDefault="00151C12" w:rsidP="004A0A71">
      <w:pPr>
        <w:spacing w:after="0"/>
        <w:ind w:left="352"/>
        <w:jc w:val="both"/>
        <w:rPr>
          <w:rFonts w:ascii="Arial" w:eastAsia="Times New Roman" w:hAnsi="Arial" w:cs="Arial"/>
          <w:i/>
          <w:sz w:val="16"/>
          <w:szCs w:val="16"/>
        </w:rPr>
      </w:pPr>
    </w:p>
    <w:p w14:paraId="2A3AB52E" w14:textId="77777777" w:rsidR="00151C12" w:rsidRPr="001B525F" w:rsidRDefault="00151C12" w:rsidP="004A0A71">
      <w:pPr>
        <w:spacing w:after="0"/>
        <w:ind w:left="352"/>
        <w:jc w:val="both"/>
        <w:rPr>
          <w:rFonts w:ascii="Arial" w:eastAsia="Times New Roman" w:hAnsi="Arial" w:cs="Arial"/>
          <w:i/>
          <w:sz w:val="16"/>
          <w:szCs w:val="16"/>
        </w:rPr>
      </w:pPr>
      <w:r w:rsidRPr="001B525F">
        <w:rPr>
          <w:rFonts w:ascii="Arial" w:eastAsia="Times New Roman" w:hAnsi="Arial" w:cs="Arial"/>
          <w:i/>
          <w:sz w:val="16"/>
          <w:szCs w:val="16"/>
        </w:rPr>
        <w:t>DÉCIMO TERCERO-. 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29456FAB" w14:textId="77777777" w:rsidR="00151C12" w:rsidRPr="001B525F" w:rsidRDefault="00151C12" w:rsidP="004A0A71">
      <w:pPr>
        <w:spacing w:after="0"/>
        <w:ind w:left="352"/>
        <w:jc w:val="both"/>
        <w:rPr>
          <w:rFonts w:ascii="Arial" w:eastAsia="Times New Roman" w:hAnsi="Arial" w:cs="Arial"/>
          <w:i/>
          <w:sz w:val="16"/>
          <w:szCs w:val="16"/>
        </w:rPr>
      </w:pPr>
    </w:p>
    <w:p w14:paraId="67D9B14F" w14:textId="77777777" w:rsidR="00151C12" w:rsidRPr="001B525F" w:rsidDel="0061244E" w:rsidRDefault="00151C12" w:rsidP="004A0A71">
      <w:pPr>
        <w:spacing w:after="0"/>
        <w:ind w:left="352"/>
        <w:jc w:val="both"/>
        <w:rPr>
          <w:rFonts w:ascii="Arial" w:eastAsia="Times New Roman" w:hAnsi="Arial" w:cs="Arial"/>
          <w:b/>
          <w:i/>
          <w:sz w:val="16"/>
          <w:szCs w:val="16"/>
        </w:rPr>
      </w:pPr>
      <w:r w:rsidRPr="001B525F">
        <w:rPr>
          <w:rFonts w:ascii="Arial" w:eastAsia="Times New Roman" w:hAnsi="Arial" w:cs="Arial"/>
          <w:i/>
          <w:sz w:val="16"/>
          <w:szCs w:val="16"/>
        </w:rPr>
        <w:t xml:space="preserve">Sin perjuicio de lo anterior, </w:t>
      </w:r>
      <w:r w:rsidRPr="001B525F">
        <w:rPr>
          <w:rFonts w:ascii="Arial" w:eastAsia="Times New Roman" w:hAnsi="Arial" w:cs="Arial"/>
          <w:b/>
          <w:i/>
          <w:sz w:val="16"/>
          <w:szCs w:val="16"/>
        </w:rPr>
        <w:t>el Instituto Federal de Telecomunicaciones</w:t>
      </w:r>
      <w:r w:rsidRPr="001B525F">
        <w:rPr>
          <w:rFonts w:ascii="Arial" w:eastAsia="Times New Roman" w:hAnsi="Arial" w:cs="Arial"/>
          <w:i/>
          <w:sz w:val="16"/>
          <w:szCs w:val="16"/>
        </w:rPr>
        <w:t xml:space="preserve">, a petición de las partes que sometan a consideración de ésta el desacuerdo de interconexión de que se trate, </w:t>
      </w:r>
      <w:r w:rsidRPr="001B525F">
        <w:rPr>
          <w:rFonts w:ascii="Arial" w:eastAsia="Times New Roman" w:hAnsi="Arial" w:cs="Arial"/>
          <w:b/>
          <w:i/>
          <w:sz w:val="16"/>
          <w:szCs w:val="16"/>
        </w:rPr>
        <w:t>podrá resolver tarifas para los Servicios de Interconexión para periodos multianuales.</w:t>
      </w:r>
    </w:p>
    <w:p w14:paraId="25741AC3" w14:textId="77777777" w:rsidR="00151C12" w:rsidRPr="001B525F" w:rsidRDefault="00151C12" w:rsidP="004A0A71">
      <w:pPr>
        <w:spacing w:after="0"/>
        <w:ind w:left="352"/>
        <w:jc w:val="both"/>
        <w:rPr>
          <w:rFonts w:ascii="Arial" w:eastAsia="Times New Roman" w:hAnsi="Arial" w:cs="Arial"/>
          <w:i/>
          <w:sz w:val="16"/>
          <w:szCs w:val="16"/>
        </w:rPr>
      </w:pPr>
    </w:p>
    <w:p w14:paraId="7233765D" w14:textId="77777777" w:rsidR="00151C12" w:rsidRPr="001B525F" w:rsidRDefault="00151C12" w:rsidP="004A0A71">
      <w:pPr>
        <w:spacing w:after="0"/>
        <w:ind w:left="352"/>
        <w:jc w:val="both"/>
        <w:rPr>
          <w:rFonts w:ascii="Arial" w:eastAsia="Times New Roman" w:hAnsi="Arial" w:cs="Arial"/>
          <w:i/>
          <w:sz w:val="16"/>
          <w:szCs w:val="16"/>
        </w:rPr>
      </w:pPr>
      <w:r w:rsidRPr="001B525F">
        <w:rPr>
          <w:rFonts w:ascii="Arial" w:eastAsia="Times New Roman" w:hAnsi="Arial" w:cs="Arial"/>
          <w:i/>
          <w:sz w:val="16"/>
          <w:szCs w:val="16"/>
        </w:rPr>
        <w:t>Los Modelos de Costos de los Servicios de Interconexión se inscribirán en el Registro Público de Concesiones.</w:t>
      </w:r>
    </w:p>
    <w:p w14:paraId="26400259" w14:textId="77777777" w:rsidR="00013E15" w:rsidRPr="001B525F" w:rsidRDefault="00013E15" w:rsidP="00CC0143">
      <w:pPr>
        <w:spacing w:after="0"/>
        <w:ind w:left="567" w:right="848"/>
        <w:jc w:val="right"/>
        <w:rPr>
          <w:rFonts w:ascii="Arial" w:eastAsia="Times New Roman" w:hAnsi="Arial" w:cs="Arial"/>
          <w:sz w:val="18"/>
          <w:szCs w:val="18"/>
        </w:rPr>
      </w:pPr>
    </w:p>
    <w:p w14:paraId="3B50D196" w14:textId="0926881A" w:rsidR="00151C12" w:rsidRPr="001B525F" w:rsidRDefault="00151C12" w:rsidP="00CC0143">
      <w:pPr>
        <w:spacing w:after="0"/>
        <w:ind w:left="567" w:right="848"/>
        <w:jc w:val="right"/>
        <w:rPr>
          <w:rFonts w:ascii="Arial" w:eastAsia="Times New Roman" w:hAnsi="Arial" w:cs="Arial"/>
          <w:sz w:val="18"/>
          <w:szCs w:val="18"/>
        </w:rPr>
      </w:pPr>
      <w:r w:rsidRPr="001B525F">
        <w:rPr>
          <w:rFonts w:ascii="Arial" w:eastAsia="Times New Roman" w:hAnsi="Arial" w:cs="Arial"/>
          <w:sz w:val="18"/>
          <w:szCs w:val="18"/>
        </w:rPr>
        <w:t>(Énfasis añadido)</w:t>
      </w:r>
    </w:p>
    <w:p w14:paraId="26852E73" w14:textId="77777777" w:rsidR="00151C12" w:rsidRPr="001B525F" w:rsidRDefault="00151C12" w:rsidP="00CC0143">
      <w:pPr>
        <w:spacing w:after="0"/>
        <w:jc w:val="both"/>
        <w:rPr>
          <w:rFonts w:ascii="Arial" w:eastAsia="Times New Roman" w:hAnsi="Arial" w:cs="Arial"/>
          <w:sz w:val="18"/>
          <w:szCs w:val="18"/>
        </w:rPr>
      </w:pPr>
    </w:p>
    <w:p w14:paraId="4B3C7331" w14:textId="77777777" w:rsidR="00DB2813" w:rsidRPr="00DB2813" w:rsidRDefault="00DB2813" w:rsidP="00DB2813">
      <w:pPr>
        <w:pStyle w:val="Texto0"/>
        <w:spacing w:after="0" w:line="276" w:lineRule="auto"/>
        <w:ind w:firstLine="0"/>
        <w:rPr>
          <w:lang w:val="es-MX"/>
        </w:rPr>
      </w:pPr>
      <w:r w:rsidRPr="00DB2813">
        <w:rPr>
          <w:lang w:val="es-MX"/>
        </w:rPr>
        <w:t>Conforme lo anterior, a petición de los concesionarios mediante la solicitud de los diversos desacuerdos de interconexión, este Instituto se encuentra facultado para resolver las tarifas de los servicios de interconexión para periodos multianuales.</w:t>
      </w:r>
    </w:p>
    <w:p w14:paraId="09803FC0" w14:textId="77777777" w:rsidR="000A2C96" w:rsidRPr="00DB2813" w:rsidRDefault="000A2C96" w:rsidP="00AF54CD">
      <w:pPr>
        <w:pStyle w:val="Texto0"/>
        <w:spacing w:after="0" w:line="276" w:lineRule="auto"/>
        <w:ind w:firstLine="0"/>
        <w:rPr>
          <w:lang w:val="es-MX"/>
        </w:rPr>
      </w:pPr>
    </w:p>
    <w:p w14:paraId="746B973A" w14:textId="32F5D556" w:rsidR="00DB2813" w:rsidRPr="00DB2813" w:rsidRDefault="00DB2813" w:rsidP="00AF54CD">
      <w:pPr>
        <w:pStyle w:val="Texto0"/>
        <w:spacing w:after="0" w:line="276" w:lineRule="auto"/>
        <w:ind w:firstLine="0"/>
        <w:rPr>
          <w:lang w:val="es-MX"/>
        </w:rPr>
      </w:pPr>
      <w:r w:rsidRPr="00DB2813">
        <w:rPr>
          <w:lang w:val="es-MX"/>
        </w:rPr>
        <w:t xml:space="preserve">Lo anterior dado que, el modelo de costos desarrollado permite calcular las tarifas del período 2024-2026, independientemente que, en términos del Lineamiento antes citado, el resultado para </w:t>
      </w:r>
      <w:r w:rsidR="00DA5D8C">
        <w:rPr>
          <w:lang w:val="es-MX"/>
        </w:rPr>
        <w:t>2025</w:t>
      </w:r>
      <w:r w:rsidR="00DA5D8C" w:rsidRPr="00DB2813">
        <w:rPr>
          <w:lang w:val="es-MX"/>
        </w:rPr>
        <w:t xml:space="preserve"> </w:t>
      </w:r>
      <w:r w:rsidRPr="00DB2813">
        <w:rPr>
          <w:lang w:val="es-MX"/>
        </w:rPr>
        <w:t xml:space="preserve">es considerado para la determinación de tarifas realizada por virtud del presente Acuerdo. </w:t>
      </w:r>
    </w:p>
    <w:p w14:paraId="5E95757E" w14:textId="77777777" w:rsidR="00DB2813" w:rsidRPr="00DB2813" w:rsidRDefault="00DB2813" w:rsidP="00DB2813">
      <w:pPr>
        <w:pStyle w:val="Texto0"/>
        <w:spacing w:after="0" w:line="276" w:lineRule="auto"/>
        <w:rPr>
          <w:lang w:val="es-MX"/>
        </w:rPr>
      </w:pPr>
    </w:p>
    <w:p w14:paraId="0B78D6BF" w14:textId="77777777" w:rsidR="00DA5D8C" w:rsidRPr="00DA5D8C" w:rsidRDefault="00DA5D8C" w:rsidP="00967F7D">
      <w:pPr>
        <w:pStyle w:val="Texto0"/>
        <w:spacing w:after="0" w:line="276" w:lineRule="auto"/>
        <w:ind w:firstLine="0"/>
        <w:rPr>
          <w:lang w:val="es-MX"/>
        </w:rPr>
      </w:pPr>
      <w:r w:rsidRPr="00DA5D8C">
        <w:rPr>
          <w:lang w:val="es-MX"/>
        </w:rPr>
        <w:t xml:space="preserve">Por otro lado, la actualización anual de la información de demanda de los servicios, los precios de los insumos empleados, el Costo de Capital Promedio Ponderado y el tipo de cambio, si bien es cierto, pueden tener un impacto en la determinación de las tarifas, también lo es que, es posible utilizar un pronóstico basado en el comportamiento observado en años anteriores para establecer los valores futuros. De esta forma, por lo que hace a la demanda de los servicios considerada en el modelo de costos, la misma ha sido determinada con base en el comportamiento de tráfico observado en años previos, esto es, de la misma forma que los prestadores de servicios realizan sus pronósticos de demanda y con base en ellos planifican el incremento de la capacidad de su red.  </w:t>
      </w:r>
    </w:p>
    <w:p w14:paraId="146E7EF2" w14:textId="77777777" w:rsidR="00DB2813" w:rsidRPr="00DB2813" w:rsidRDefault="00DB2813" w:rsidP="00DB2813">
      <w:pPr>
        <w:pStyle w:val="Texto0"/>
        <w:spacing w:after="0" w:line="276" w:lineRule="auto"/>
        <w:rPr>
          <w:lang w:val="es-MX"/>
        </w:rPr>
      </w:pPr>
    </w:p>
    <w:p w14:paraId="6E08D537" w14:textId="715B0300" w:rsidR="00DB2813" w:rsidRPr="00DB2813" w:rsidRDefault="00DB2813" w:rsidP="00DB2813">
      <w:pPr>
        <w:pStyle w:val="Texto0"/>
        <w:spacing w:after="0" w:line="276" w:lineRule="auto"/>
        <w:ind w:firstLine="0"/>
        <w:rPr>
          <w:lang w:val="es-MX"/>
        </w:rPr>
      </w:pPr>
      <w:r w:rsidRPr="00DB2813">
        <w:rPr>
          <w:lang w:val="es-MX"/>
        </w:rPr>
        <w:t>Por lo que hace a los precios de los insumos empleados en el modelo, estos están determinados a precios reales de 2022 y el modelo incluye una proyección sobre la tendencia que se esperaría tuvieran los costos reales de los elementos de red desplegados, la cual refleja razonablemente la evolución tecnológica</w:t>
      </w:r>
      <w:r w:rsidR="00941B8E">
        <w:rPr>
          <w:lang w:val="es-MX"/>
        </w:rPr>
        <w:t xml:space="preserve"> y </w:t>
      </w:r>
      <w:r w:rsidR="0062173C">
        <w:rPr>
          <w:lang w:val="es-MX"/>
        </w:rPr>
        <w:t>permite la compatibilidad con el supuesto de eficiencia tecnológica</w:t>
      </w:r>
      <w:r w:rsidRPr="00DB2813">
        <w:rPr>
          <w:lang w:val="es-MX"/>
        </w:rPr>
        <w:t>.</w:t>
      </w:r>
      <w:r w:rsidRPr="00DB2813" w:rsidDel="002C4CEC">
        <w:rPr>
          <w:lang w:val="es-MX"/>
        </w:rPr>
        <w:t xml:space="preserve"> </w:t>
      </w:r>
    </w:p>
    <w:p w14:paraId="63E88DDF" w14:textId="77777777" w:rsidR="00DB2813" w:rsidRPr="00DB2813" w:rsidRDefault="00DB2813" w:rsidP="00967F7D">
      <w:pPr>
        <w:pStyle w:val="Texto0"/>
        <w:spacing w:after="0" w:line="276" w:lineRule="auto"/>
        <w:ind w:firstLine="0"/>
        <w:rPr>
          <w:lang w:val="es-MX"/>
        </w:rPr>
      </w:pPr>
    </w:p>
    <w:p w14:paraId="4FAF91EF" w14:textId="0B5B8393" w:rsidR="00DA5D8C" w:rsidRPr="00DA5D8C" w:rsidRDefault="00DA5D8C" w:rsidP="00967F7D">
      <w:pPr>
        <w:pStyle w:val="Texto0"/>
        <w:spacing w:after="0" w:line="276" w:lineRule="auto"/>
        <w:ind w:firstLine="0"/>
        <w:rPr>
          <w:lang w:val="es-MX"/>
        </w:rPr>
      </w:pPr>
      <w:r w:rsidRPr="00074509">
        <w:rPr>
          <w:lang w:val="es-MX"/>
        </w:rPr>
        <w:t>Asimismo, en el modelo de costos 2024-2026 se utilizan pronósticos de tasas de inflación anual para los años 2024</w:t>
      </w:r>
      <w:r w:rsidR="002B6A95" w:rsidRPr="00074509">
        <w:rPr>
          <w:lang w:val="es-MX"/>
        </w:rPr>
        <w:t xml:space="preserve"> y </w:t>
      </w:r>
      <w:r w:rsidRPr="00074509">
        <w:rPr>
          <w:lang w:val="es-MX"/>
        </w:rPr>
        <w:t>2025</w:t>
      </w:r>
      <w:r w:rsidR="00754B90" w:rsidRPr="00074509">
        <w:rPr>
          <w:lang w:val="es-MX"/>
        </w:rPr>
        <w:t xml:space="preserve">, con los cuales se calcula una inflación acumulada de </w:t>
      </w:r>
      <w:r w:rsidR="00356D3B" w:rsidRPr="00074509">
        <w:rPr>
          <w:lang w:val="es-MX"/>
        </w:rPr>
        <w:t>1.1294 para 2025</w:t>
      </w:r>
      <w:r w:rsidR="0075336C" w:rsidRPr="00074509">
        <w:rPr>
          <w:lang w:val="es-MX"/>
        </w:rPr>
        <w:t xml:space="preserve">, teniendo como año de referencia para la acumulación inflacionaria el </w:t>
      </w:r>
      <w:r w:rsidR="00632937" w:rsidRPr="00074509">
        <w:rPr>
          <w:lang w:val="es-MX"/>
        </w:rPr>
        <w:t xml:space="preserve">año </w:t>
      </w:r>
      <w:r w:rsidR="0075336C" w:rsidRPr="00074509">
        <w:rPr>
          <w:lang w:val="es-MX"/>
        </w:rPr>
        <w:t>2022</w:t>
      </w:r>
      <w:r w:rsidR="00BD6ED0" w:rsidRPr="00074509">
        <w:rPr>
          <w:lang w:val="es-MX"/>
        </w:rPr>
        <w:t xml:space="preserve">. Al calcular la inflación promedio efectiva de </w:t>
      </w:r>
      <w:r w:rsidR="00414460" w:rsidRPr="00074509">
        <w:rPr>
          <w:lang w:val="es-MX"/>
        </w:rPr>
        <w:t xml:space="preserve">2023 y tomando para 2024 </w:t>
      </w:r>
      <w:r w:rsidR="00922BBD" w:rsidRPr="00074509">
        <w:rPr>
          <w:lang w:val="es-MX"/>
        </w:rPr>
        <w:t>la mediana de inflación general de la Encuesta sobre las Expectativas de los Especialistas en Economía del Sector Privado de agosto de 2024, la inflación acumulada sería de 1.1344</w:t>
      </w:r>
      <w:r w:rsidR="003F3F86" w:rsidRPr="00074509">
        <w:rPr>
          <w:lang w:val="es-MX"/>
        </w:rPr>
        <w:t xml:space="preserve"> para 2025, con una variación de 0.0050</w:t>
      </w:r>
      <w:r w:rsidR="00911320" w:rsidRPr="00074509">
        <w:rPr>
          <w:lang w:val="es-MX"/>
        </w:rPr>
        <w:t xml:space="preserve"> de inflación acumulada para 2025 </w:t>
      </w:r>
      <w:r w:rsidR="00ED4669" w:rsidRPr="00074509">
        <w:rPr>
          <w:lang w:val="es-MX"/>
        </w:rPr>
        <w:t xml:space="preserve">(0.44% en diferencia relativa), </w:t>
      </w:r>
      <w:r w:rsidRPr="00074509">
        <w:rPr>
          <w:lang w:val="es-MX"/>
        </w:rPr>
        <w:t>por lo que es razonable mantener los pronósticos incluidos en el modelo</w:t>
      </w:r>
      <w:r w:rsidRPr="00DA5D8C">
        <w:rPr>
          <w:lang w:val="es-MX"/>
        </w:rPr>
        <w:t>.</w:t>
      </w:r>
    </w:p>
    <w:p w14:paraId="3286AF09" w14:textId="77777777" w:rsidR="00DB2813" w:rsidRPr="00DB2813" w:rsidRDefault="00DB2813" w:rsidP="00DB2813">
      <w:pPr>
        <w:pStyle w:val="Texto0"/>
        <w:spacing w:after="0" w:line="276" w:lineRule="auto"/>
        <w:rPr>
          <w:lang w:val="es-MX"/>
        </w:rPr>
      </w:pPr>
    </w:p>
    <w:p w14:paraId="73F5B0D3" w14:textId="77777777" w:rsidR="00DB2813" w:rsidRPr="00DB2813" w:rsidRDefault="00DB2813" w:rsidP="00DB2813">
      <w:pPr>
        <w:pStyle w:val="Texto0"/>
        <w:spacing w:after="0" w:line="276" w:lineRule="auto"/>
        <w:ind w:firstLine="0"/>
        <w:rPr>
          <w:lang w:val="es-MX"/>
        </w:rPr>
      </w:pPr>
      <w:r w:rsidRPr="00DB2813">
        <w:rPr>
          <w:lang w:val="es-MX"/>
        </w:rPr>
        <w:t>Respecto al tipo de cambio, en el modelo de costos se determina el precio de los activos en dólares reales de 2022, por lo que al realizar la conversión a pesos mexicanos de 2022 se usa el tipo de cambio del mismo año, por lo que no es necesario hacer proyecciones sobre la variable, ya que los efectos cambiarios son considerados en las proyecciones de inflación.</w:t>
      </w:r>
    </w:p>
    <w:p w14:paraId="338D9693" w14:textId="77777777" w:rsidR="00DB2813" w:rsidRPr="00DB2813" w:rsidRDefault="00DB2813" w:rsidP="00DB2813">
      <w:pPr>
        <w:pStyle w:val="Texto0"/>
        <w:spacing w:after="0" w:line="276" w:lineRule="auto"/>
        <w:rPr>
          <w:lang w:val="es-MX"/>
        </w:rPr>
      </w:pPr>
    </w:p>
    <w:p w14:paraId="59D64C0F" w14:textId="68E17B67" w:rsidR="00DB2813" w:rsidRPr="00DB2813" w:rsidRDefault="000013B2" w:rsidP="00DB2813">
      <w:pPr>
        <w:pStyle w:val="Texto0"/>
        <w:spacing w:after="0" w:line="276" w:lineRule="auto"/>
        <w:ind w:firstLine="0"/>
        <w:rPr>
          <w:lang w:val="es-MX"/>
        </w:rPr>
      </w:pPr>
      <w:r>
        <w:rPr>
          <w:lang w:val="es-MX"/>
        </w:rPr>
        <w:t>Con relación</w:t>
      </w:r>
      <w:r w:rsidR="00DB2813" w:rsidRPr="00DB2813">
        <w:rPr>
          <w:lang w:val="es-MX"/>
        </w:rPr>
        <w:t xml:space="preserve"> </w:t>
      </w:r>
      <w:r>
        <w:rPr>
          <w:lang w:val="es-MX"/>
        </w:rPr>
        <w:t>a</w:t>
      </w:r>
      <w:r w:rsidR="00DB2813" w:rsidRPr="00DB2813">
        <w:rPr>
          <w:lang w:val="es-MX"/>
        </w:rPr>
        <w:t>l CCPP se ha buscado estabilizar los valores de sus parámetros con la implementación metodológica, lo que lleva a que las condiciones de volatilidad en el cálculo</w:t>
      </w:r>
      <w:r w:rsidR="00585708">
        <w:rPr>
          <w:lang w:val="es-MX"/>
        </w:rPr>
        <w:t xml:space="preserve"> se </w:t>
      </w:r>
      <w:r w:rsidR="009366B7">
        <w:rPr>
          <w:lang w:val="es-MX"/>
        </w:rPr>
        <w:t>reduzcan.</w:t>
      </w:r>
      <w:r w:rsidR="00DB2813" w:rsidRPr="00DB2813">
        <w:rPr>
          <w:lang w:val="es-MX"/>
        </w:rPr>
        <w:t xml:space="preserve"> Por otro lado, el cálculo del CCPP representa un costo de oportunidad de largo plazo, por lo que toma en cuenta decisiones de inversión de largo plazo, así al tener </w:t>
      </w:r>
      <w:r w:rsidR="00DB2813" w:rsidRPr="00DB2813">
        <w:rPr>
          <w:lang w:val="es-MX"/>
        </w:rPr>
        <w:lastRenderedPageBreak/>
        <w:t>poca volatilidad en el cálculo del CCPP es razonable que el calculado en el</w:t>
      </w:r>
      <w:r w:rsidR="00DA3A30">
        <w:rPr>
          <w:lang w:val="es-MX"/>
        </w:rPr>
        <w:t xml:space="preserve"> </w:t>
      </w:r>
      <w:r w:rsidR="00F24C18">
        <w:rPr>
          <w:lang w:val="es-MX"/>
        </w:rPr>
        <w:t xml:space="preserve">año </w:t>
      </w:r>
      <w:r w:rsidR="00DA3A30">
        <w:rPr>
          <w:lang w:val="es-MX"/>
        </w:rPr>
        <w:t>2023</w:t>
      </w:r>
      <w:r w:rsidR="00DB2813" w:rsidRPr="00DB2813">
        <w:rPr>
          <w:lang w:val="es-MX"/>
        </w:rPr>
        <w:t xml:space="preserve"> represente el pago al riesgo de inversión de largo plazo para </w:t>
      </w:r>
      <w:r w:rsidR="00DA5D8C">
        <w:rPr>
          <w:lang w:val="es-MX"/>
        </w:rPr>
        <w:t>el periodo proyectado.</w:t>
      </w:r>
    </w:p>
    <w:p w14:paraId="0D30C04E" w14:textId="77777777" w:rsidR="00DB2813" w:rsidRPr="00DB2813" w:rsidRDefault="00DB2813" w:rsidP="00DB2813">
      <w:pPr>
        <w:pStyle w:val="Texto0"/>
        <w:spacing w:after="0" w:line="276" w:lineRule="auto"/>
        <w:rPr>
          <w:lang w:val="es-MX"/>
        </w:rPr>
      </w:pPr>
    </w:p>
    <w:p w14:paraId="7A8A670E" w14:textId="35686CB5" w:rsidR="003D0FAA" w:rsidRPr="00967F7D" w:rsidRDefault="000013B2" w:rsidP="003D0FAA">
      <w:pPr>
        <w:spacing w:after="0"/>
        <w:jc w:val="both"/>
        <w:rPr>
          <w:rFonts w:ascii="Arial" w:eastAsia="Times New Roman" w:hAnsi="Arial" w:cs="Arial"/>
          <w:sz w:val="18"/>
          <w:szCs w:val="18"/>
          <w:lang w:eastAsia="es-ES"/>
        </w:rPr>
      </w:pPr>
      <w:r w:rsidRPr="00074509">
        <w:rPr>
          <w:rFonts w:ascii="Arial" w:eastAsia="Times New Roman" w:hAnsi="Arial" w:cs="Arial"/>
          <w:sz w:val="18"/>
          <w:szCs w:val="18"/>
          <w:lang w:eastAsia="es-ES"/>
        </w:rPr>
        <w:t>Finalmente,</w:t>
      </w:r>
      <w:r w:rsidR="003D0FAA" w:rsidRPr="00074509">
        <w:rPr>
          <w:rFonts w:ascii="Arial" w:eastAsia="Times New Roman" w:hAnsi="Arial" w:cs="Arial"/>
          <w:sz w:val="18"/>
          <w:szCs w:val="18"/>
          <w:lang w:eastAsia="es-ES"/>
        </w:rPr>
        <w:t xml:space="preserve"> </w:t>
      </w:r>
      <w:r w:rsidR="00632937" w:rsidRPr="00074509">
        <w:rPr>
          <w:rFonts w:ascii="Arial" w:eastAsia="Times New Roman" w:hAnsi="Arial" w:cs="Arial"/>
          <w:sz w:val="18"/>
          <w:szCs w:val="18"/>
          <w:lang w:eastAsia="es-ES"/>
        </w:rPr>
        <w:t xml:space="preserve">si se </w:t>
      </w:r>
      <w:r w:rsidR="009A580A" w:rsidRPr="00074509">
        <w:rPr>
          <w:rFonts w:ascii="Arial" w:eastAsia="Times New Roman" w:hAnsi="Arial" w:cs="Arial"/>
          <w:sz w:val="18"/>
          <w:szCs w:val="18"/>
          <w:lang w:eastAsia="es-ES"/>
        </w:rPr>
        <w:t xml:space="preserve">compara </w:t>
      </w:r>
      <w:r w:rsidR="003D0FAA" w:rsidRPr="00074509">
        <w:rPr>
          <w:rFonts w:ascii="Arial" w:eastAsia="Times New Roman" w:hAnsi="Arial" w:cs="Arial"/>
          <w:sz w:val="18"/>
          <w:szCs w:val="18"/>
          <w:lang w:eastAsia="es-ES"/>
        </w:rPr>
        <w:t xml:space="preserve">el promedio de participación de mercado hipotético </w:t>
      </w:r>
      <w:r w:rsidR="006B3857" w:rsidRPr="00074509">
        <w:rPr>
          <w:rFonts w:ascii="Arial" w:eastAsia="Times New Roman" w:hAnsi="Arial" w:cs="Arial"/>
          <w:sz w:val="18"/>
          <w:szCs w:val="18"/>
          <w:lang w:eastAsia="es-ES"/>
        </w:rPr>
        <w:t xml:space="preserve">fijo </w:t>
      </w:r>
      <w:r w:rsidR="003D0FAA" w:rsidRPr="00074509">
        <w:rPr>
          <w:rFonts w:ascii="Arial" w:eastAsia="Times New Roman" w:hAnsi="Arial" w:cs="Arial"/>
          <w:sz w:val="18"/>
          <w:szCs w:val="18"/>
          <w:lang w:eastAsia="es-ES"/>
        </w:rPr>
        <w:t>del AEP desde el despliegue hasta el año efectivo</w:t>
      </w:r>
      <w:r w:rsidR="008B7367" w:rsidRPr="00074509">
        <w:rPr>
          <w:rFonts w:ascii="Arial" w:eastAsia="Times New Roman" w:hAnsi="Arial" w:cs="Arial"/>
          <w:sz w:val="18"/>
          <w:szCs w:val="18"/>
          <w:lang w:eastAsia="es-ES"/>
        </w:rPr>
        <w:t xml:space="preserve">, con </w:t>
      </w:r>
      <w:r w:rsidR="006447D9" w:rsidRPr="00074509">
        <w:rPr>
          <w:rFonts w:ascii="Arial" w:eastAsia="Times New Roman" w:hAnsi="Arial" w:cs="Arial"/>
          <w:sz w:val="18"/>
          <w:szCs w:val="18"/>
          <w:lang w:eastAsia="es-ES"/>
        </w:rPr>
        <w:t xml:space="preserve">la participación que tendría si se actualiza la información con datos </w:t>
      </w:r>
      <w:r w:rsidR="00AC5494">
        <w:rPr>
          <w:rFonts w:ascii="Arial" w:eastAsia="Times New Roman" w:hAnsi="Arial" w:cs="Arial"/>
          <w:sz w:val="18"/>
          <w:szCs w:val="18"/>
          <w:lang w:eastAsia="es-ES"/>
        </w:rPr>
        <w:t xml:space="preserve">a diciembre de 2023 que estuvieron </w:t>
      </w:r>
      <w:r w:rsidR="006447D9" w:rsidRPr="00074509">
        <w:rPr>
          <w:rFonts w:ascii="Arial" w:eastAsia="Times New Roman" w:hAnsi="Arial" w:cs="Arial"/>
          <w:sz w:val="18"/>
          <w:szCs w:val="18"/>
          <w:lang w:eastAsia="es-ES"/>
        </w:rPr>
        <w:t xml:space="preserve">disponibles </w:t>
      </w:r>
      <w:r w:rsidR="00AC5494">
        <w:rPr>
          <w:rFonts w:ascii="Arial" w:eastAsia="Times New Roman" w:hAnsi="Arial" w:cs="Arial"/>
          <w:sz w:val="18"/>
          <w:szCs w:val="18"/>
          <w:lang w:eastAsia="es-ES"/>
        </w:rPr>
        <w:t>en</w:t>
      </w:r>
      <w:r w:rsidR="006447D9" w:rsidRPr="00074509">
        <w:rPr>
          <w:rFonts w:ascii="Arial" w:eastAsia="Times New Roman" w:hAnsi="Arial" w:cs="Arial"/>
          <w:sz w:val="18"/>
          <w:szCs w:val="18"/>
          <w:lang w:eastAsia="es-ES"/>
        </w:rPr>
        <w:t xml:space="preserve"> septiembre de 2024</w:t>
      </w:r>
      <w:r w:rsidR="001E4524" w:rsidRPr="00074509">
        <w:rPr>
          <w:rFonts w:ascii="Arial" w:eastAsia="Times New Roman" w:hAnsi="Arial" w:cs="Arial"/>
          <w:sz w:val="18"/>
          <w:szCs w:val="18"/>
          <w:lang w:eastAsia="es-ES"/>
        </w:rPr>
        <w:t>, se obtiene una diferencia de 66 puntos base</w:t>
      </w:r>
      <w:r w:rsidR="003D0FAA" w:rsidRPr="00074509">
        <w:rPr>
          <w:rFonts w:ascii="Arial" w:eastAsia="Times New Roman" w:hAnsi="Arial" w:cs="Arial"/>
          <w:sz w:val="18"/>
          <w:szCs w:val="18"/>
          <w:lang w:eastAsia="es-ES"/>
        </w:rPr>
        <w:t xml:space="preserve">, </w:t>
      </w:r>
      <w:r w:rsidR="002F4A62" w:rsidRPr="00074509">
        <w:rPr>
          <w:rFonts w:ascii="Arial" w:eastAsia="Times New Roman" w:hAnsi="Arial" w:cs="Arial"/>
          <w:sz w:val="18"/>
          <w:szCs w:val="18"/>
          <w:lang w:eastAsia="es-ES"/>
        </w:rPr>
        <w:t xml:space="preserve">y </w:t>
      </w:r>
      <w:r w:rsidR="00103C86" w:rsidRPr="00074509">
        <w:rPr>
          <w:rFonts w:ascii="Arial" w:eastAsia="Times New Roman" w:hAnsi="Arial" w:cs="Arial"/>
          <w:sz w:val="18"/>
          <w:szCs w:val="18"/>
          <w:lang w:eastAsia="es-ES"/>
        </w:rPr>
        <w:t xml:space="preserve">para el operador </w:t>
      </w:r>
      <w:r w:rsidR="00574DBE" w:rsidRPr="00074509">
        <w:rPr>
          <w:rFonts w:ascii="Arial" w:eastAsia="Times New Roman" w:hAnsi="Arial" w:cs="Arial"/>
          <w:sz w:val="18"/>
          <w:szCs w:val="18"/>
          <w:lang w:eastAsia="es-ES"/>
        </w:rPr>
        <w:t>hipotético</w:t>
      </w:r>
      <w:r w:rsidR="00103C86" w:rsidRPr="00074509">
        <w:rPr>
          <w:rFonts w:ascii="Arial" w:eastAsia="Times New Roman" w:hAnsi="Arial" w:cs="Arial"/>
          <w:sz w:val="18"/>
          <w:szCs w:val="18"/>
          <w:lang w:eastAsia="es-ES"/>
        </w:rPr>
        <w:t xml:space="preserve"> de redes móviles representativo del AEP</w:t>
      </w:r>
      <w:r w:rsidR="003D0FAA" w:rsidRPr="00074509">
        <w:rPr>
          <w:rFonts w:ascii="Arial" w:eastAsia="Times New Roman" w:hAnsi="Arial" w:cs="Arial"/>
          <w:sz w:val="18"/>
          <w:szCs w:val="18"/>
          <w:lang w:eastAsia="es-ES"/>
        </w:rPr>
        <w:t xml:space="preserve"> </w:t>
      </w:r>
      <w:r w:rsidR="00574DBE" w:rsidRPr="00074509">
        <w:rPr>
          <w:rFonts w:ascii="Arial" w:eastAsia="Times New Roman" w:hAnsi="Arial" w:cs="Arial"/>
          <w:sz w:val="18"/>
          <w:szCs w:val="18"/>
          <w:lang w:eastAsia="es-ES"/>
        </w:rPr>
        <w:t xml:space="preserve">la diferencia registrada ha sido de </w:t>
      </w:r>
      <w:r w:rsidR="001E4524" w:rsidRPr="00074509">
        <w:rPr>
          <w:rFonts w:ascii="Arial" w:eastAsia="Times New Roman" w:hAnsi="Arial" w:cs="Arial"/>
          <w:sz w:val="18"/>
          <w:szCs w:val="18"/>
          <w:lang w:eastAsia="es-ES"/>
        </w:rPr>
        <w:t>93 puntos base</w:t>
      </w:r>
      <w:r w:rsidR="00574DBE" w:rsidRPr="00074509">
        <w:rPr>
          <w:rFonts w:ascii="Arial" w:eastAsia="Times New Roman" w:hAnsi="Arial" w:cs="Arial"/>
          <w:sz w:val="18"/>
          <w:szCs w:val="18"/>
          <w:lang w:eastAsia="es-ES"/>
        </w:rPr>
        <w:t>,</w:t>
      </w:r>
      <w:r w:rsidR="003D0FAA" w:rsidRPr="00074509">
        <w:rPr>
          <w:rFonts w:ascii="Arial" w:eastAsia="Times New Roman" w:hAnsi="Arial" w:cs="Arial"/>
          <w:sz w:val="18"/>
          <w:szCs w:val="18"/>
          <w:lang w:eastAsia="es-ES"/>
        </w:rPr>
        <w:t xml:space="preserve"> por lo que se considera razonable mantener la estimación del modelo 2024-2026 al no modificarse el promedio de participación del periodo de despliegue al año efectivo en más de 5 puntos porcentuales con respecto al promedio calculado con datos de 2023</w:t>
      </w:r>
      <w:r w:rsidR="003D0FAA" w:rsidRPr="00967F7D">
        <w:rPr>
          <w:rFonts w:ascii="Arial" w:eastAsia="Times New Roman" w:hAnsi="Arial" w:cs="Arial"/>
          <w:sz w:val="18"/>
          <w:szCs w:val="18"/>
          <w:lang w:eastAsia="es-ES"/>
        </w:rPr>
        <w:t xml:space="preserve">. </w:t>
      </w:r>
    </w:p>
    <w:p w14:paraId="6961EF40" w14:textId="77777777" w:rsidR="003D0FAA" w:rsidRDefault="003D0FAA" w:rsidP="00DB2813">
      <w:pPr>
        <w:pStyle w:val="Texto0"/>
        <w:spacing w:after="0" w:line="276" w:lineRule="auto"/>
        <w:ind w:firstLine="0"/>
        <w:rPr>
          <w:lang w:val="es-MX"/>
        </w:rPr>
      </w:pPr>
    </w:p>
    <w:p w14:paraId="224E368C" w14:textId="4D8FECC3" w:rsidR="00DB2813" w:rsidRPr="00DB2813" w:rsidRDefault="00DB2813" w:rsidP="00DB2813">
      <w:pPr>
        <w:pStyle w:val="Texto0"/>
        <w:spacing w:after="0" w:line="276" w:lineRule="auto"/>
        <w:ind w:firstLine="0"/>
        <w:rPr>
          <w:i/>
          <w:lang w:val="es-MX"/>
        </w:rPr>
      </w:pPr>
      <w:r w:rsidRPr="00074509">
        <w:rPr>
          <w:lang w:val="es-MX"/>
        </w:rPr>
        <w:t xml:space="preserve">Por lo antes expuesto, considerando </w:t>
      </w:r>
      <w:r w:rsidR="001E4524" w:rsidRPr="00074509">
        <w:rPr>
          <w:lang w:val="es-MX"/>
        </w:rPr>
        <w:t xml:space="preserve">que las posibles actualizaciones al modelo de costos 2024-2026 tienen efectos </w:t>
      </w:r>
      <w:r w:rsidR="001304B4" w:rsidRPr="00074509">
        <w:rPr>
          <w:color w:val="2F2F2F"/>
          <w:shd w:val="clear" w:color="auto" w:fill="FFFFFF"/>
        </w:rPr>
        <w:t>que están en niveles de diezmilésimas o cienmilésimas de pesos sobre las tarifas de interconexión de 2025, se considera adecuado mantener las estimaciones consideradas en el modelo 2024-2026, lo que otorga certeza a los concesionarios, elimina los riesgos de volatilidad y no traslada a las tarifas efectos negativos económicos de corto plazo</w:t>
      </w:r>
      <w:r w:rsidR="001304B4">
        <w:rPr>
          <w:color w:val="2F2F2F"/>
          <w:shd w:val="clear" w:color="auto" w:fill="FFFFFF"/>
        </w:rPr>
        <w:t>.</w:t>
      </w:r>
    </w:p>
    <w:p w14:paraId="2D8F53E8" w14:textId="77777777" w:rsidR="00DB2813" w:rsidRPr="00DB2813" w:rsidRDefault="00DB2813" w:rsidP="00DB2813">
      <w:pPr>
        <w:pStyle w:val="Texto0"/>
        <w:spacing w:after="0" w:line="276" w:lineRule="auto"/>
        <w:rPr>
          <w:lang w:val="es-MX"/>
        </w:rPr>
      </w:pPr>
    </w:p>
    <w:p w14:paraId="6E92A3D9" w14:textId="77777777" w:rsidR="00DB2813" w:rsidRPr="00DB2813" w:rsidRDefault="00DB2813" w:rsidP="00DB2813">
      <w:pPr>
        <w:pStyle w:val="Texto0"/>
        <w:spacing w:after="0" w:line="276" w:lineRule="auto"/>
        <w:ind w:firstLine="0"/>
        <w:rPr>
          <w:lang w:val="es-MX"/>
        </w:rPr>
      </w:pPr>
      <w:r w:rsidRPr="00DB2813">
        <w:rPr>
          <w:lang w:val="es-MX"/>
        </w:rPr>
        <w:t>Lo anterior, sin perjuicio que, en cumplimiento a lo previsto por el artículo 137 de la LFTR, este Instituto, en el último trimestre del año, determine a través del instrumento regulatorio aplicable, las condiciones técnicas mínimas y las tarifas que hayan resultado de las metodologías de costos que estarán vigentes en el año calendario correspondiente.</w:t>
      </w:r>
    </w:p>
    <w:p w14:paraId="10C0F7D7" w14:textId="77777777" w:rsidR="003305C9" w:rsidRPr="00DB2813" w:rsidRDefault="003305C9" w:rsidP="00CC0143">
      <w:pPr>
        <w:pStyle w:val="Texto0"/>
        <w:spacing w:after="0" w:line="276" w:lineRule="auto"/>
        <w:ind w:firstLine="0"/>
        <w:rPr>
          <w:b/>
          <w:lang w:val="es-MX"/>
        </w:rPr>
      </w:pPr>
    </w:p>
    <w:p w14:paraId="5F850EF7" w14:textId="5FFE55E7" w:rsidR="006172B4" w:rsidRPr="001B525F" w:rsidRDefault="00E67A5F" w:rsidP="00CC0143">
      <w:pPr>
        <w:pStyle w:val="Texto0"/>
        <w:spacing w:after="0" w:line="276" w:lineRule="auto"/>
        <w:ind w:firstLine="0"/>
        <w:rPr>
          <w:rFonts w:eastAsia="Calibri"/>
          <w:lang w:val="es-MX" w:eastAsia="en-US"/>
        </w:rPr>
      </w:pPr>
      <w:r w:rsidRPr="001B525F">
        <w:rPr>
          <w:b/>
        </w:rPr>
        <w:t>Octavo</w:t>
      </w:r>
      <w:r w:rsidR="00350F69" w:rsidRPr="001B525F">
        <w:rPr>
          <w:b/>
        </w:rPr>
        <w:t xml:space="preserve">.- Modelos de Costos de servicios conmutados de interconexión. </w:t>
      </w:r>
      <w:r w:rsidR="006172B4" w:rsidRPr="001B525F">
        <w:rPr>
          <w:rFonts w:eastAsia="Calibri"/>
          <w:lang w:val="es-MX" w:eastAsia="en-US"/>
        </w:rPr>
        <w:t>De conformidad con lo señalado en los Lineamientos Tercero y Cuarto de la Metodología de Costos para los servicios de conducción de tráfico, así como de tránsito se empleará el enfoque de CILP</w:t>
      </w:r>
      <w:r w:rsidR="00B86559">
        <w:rPr>
          <w:rFonts w:eastAsia="Calibri"/>
          <w:lang w:val="es-MX" w:eastAsia="en-US"/>
        </w:rPr>
        <w:t xml:space="preserve"> </w:t>
      </w:r>
      <w:r w:rsidR="00EF2117">
        <w:rPr>
          <w:rFonts w:eastAsia="Calibri"/>
          <w:lang w:val="es-MX" w:eastAsia="en-US"/>
        </w:rPr>
        <w:t>P</w:t>
      </w:r>
      <w:r w:rsidR="00B86559">
        <w:rPr>
          <w:rFonts w:eastAsia="Calibri"/>
          <w:lang w:val="es-MX" w:eastAsia="en-US"/>
        </w:rPr>
        <w:t>uro</w:t>
      </w:r>
      <w:r w:rsidR="006172B4" w:rsidRPr="001B525F">
        <w:rPr>
          <w:rFonts w:eastAsia="Calibri"/>
          <w:lang w:val="es-MX" w:eastAsia="en-US"/>
        </w:rPr>
        <w:t xml:space="preserve"> para la determinación de tarifas, es así que el modelo de costos fijo (en lo sucesivo, el “Modelo Fijo”) y el modelo de costos móvil (en lo sucesivo, el “Modelo Móvil”), se constru</w:t>
      </w:r>
      <w:r w:rsidR="00013E15" w:rsidRPr="001B525F">
        <w:rPr>
          <w:rFonts w:eastAsia="Calibri"/>
          <w:lang w:val="es-MX" w:eastAsia="en-US"/>
        </w:rPr>
        <w:t>yeron</w:t>
      </w:r>
      <w:r w:rsidR="006172B4" w:rsidRPr="001B525F">
        <w:rPr>
          <w:rFonts w:eastAsia="Calibri"/>
          <w:lang w:val="es-MX" w:eastAsia="en-US"/>
        </w:rPr>
        <w:t xml:space="preserve"> con base en este principio.</w:t>
      </w:r>
    </w:p>
    <w:p w14:paraId="0E9BF00D" w14:textId="77777777" w:rsidR="006172B4" w:rsidRPr="001B525F" w:rsidRDefault="006172B4" w:rsidP="00CC0143">
      <w:pPr>
        <w:pStyle w:val="Texto0"/>
        <w:spacing w:after="0" w:line="276" w:lineRule="auto"/>
        <w:ind w:firstLine="0"/>
      </w:pPr>
    </w:p>
    <w:p w14:paraId="0F54DFCB" w14:textId="1A115E19" w:rsidR="006172B4" w:rsidRPr="001B525F" w:rsidRDefault="006172B4" w:rsidP="00CC0143">
      <w:pPr>
        <w:spacing w:after="0"/>
        <w:jc w:val="both"/>
        <w:rPr>
          <w:rFonts w:ascii="Arial" w:eastAsia="Times New Roman" w:hAnsi="Arial" w:cs="Arial"/>
          <w:b/>
          <w:sz w:val="18"/>
          <w:szCs w:val="18"/>
          <w:lang w:eastAsia="es-ES"/>
        </w:rPr>
      </w:pPr>
      <w:r w:rsidRPr="005C0E83">
        <w:rPr>
          <w:rFonts w:ascii="Arial" w:eastAsia="Times New Roman" w:hAnsi="Arial" w:cs="Arial"/>
          <w:b/>
          <w:sz w:val="18"/>
          <w:szCs w:val="18"/>
          <w:lang w:eastAsia="es-ES"/>
        </w:rPr>
        <w:t>1.1</w:t>
      </w:r>
      <w:r w:rsidRPr="005C0E83">
        <w:rPr>
          <w:rFonts w:ascii="Arial" w:eastAsia="Times New Roman" w:hAnsi="Arial" w:cs="Arial"/>
          <w:sz w:val="18"/>
          <w:szCs w:val="18"/>
          <w:lang w:eastAsia="es-ES"/>
        </w:rPr>
        <w:t xml:space="preserve"> </w:t>
      </w:r>
      <w:r w:rsidRPr="005C0E83">
        <w:rPr>
          <w:rFonts w:ascii="Arial" w:eastAsia="Times New Roman" w:hAnsi="Arial" w:cs="Arial"/>
          <w:b/>
          <w:sz w:val="18"/>
          <w:szCs w:val="18"/>
          <w:lang w:eastAsia="es-ES"/>
        </w:rPr>
        <w:t>Aspectos del concesionario</w:t>
      </w:r>
    </w:p>
    <w:p w14:paraId="461A23A5" w14:textId="77777777" w:rsidR="006172B4" w:rsidRPr="001B525F" w:rsidRDefault="006172B4" w:rsidP="00CC0143">
      <w:pPr>
        <w:spacing w:after="0"/>
        <w:jc w:val="both"/>
        <w:rPr>
          <w:rFonts w:ascii="Arial" w:eastAsia="Times New Roman" w:hAnsi="Arial" w:cs="Arial"/>
          <w:sz w:val="18"/>
          <w:szCs w:val="18"/>
          <w:lang w:eastAsia="es-ES"/>
        </w:rPr>
      </w:pPr>
    </w:p>
    <w:p w14:paraId="73D653EB" w14:textId="00A6CCF4"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Tipo de concesionario</w:t>
      </w:r>
    </w:p>
    <w:p w14:paraId="005E5C8E" w14:textId="77777777" w:rsidR="006172B4" w:rsidRPr="001B525F" w:rsidRDefault="006172B4" w:rsidP="00CC0143">
      <w:pPr>
        <w:spacing w:after="0"/>
        <w:jc w:val="both"/>
        <w:rPr>
          <w:rFonts w:ascii="Arial" w:eastAsia="Times New Roman" w:hAnsi="Arial" w:cs="Arial"/>
          <w:sz w:val="18"/>
          <w:szCs w:val="18"/>
          <w:lang w:eastAsia="es-ES"/>
        </w:rPr>
      </w:pPr>
    </w:p>
    <w:p w14:paraId="08B78DF9"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Para el diseño de la red a modelarse es necesario definir el tipo de concesionario que se trata de representar, siendo este uno de los principales aspectos conceptuales que determinará la estructura y los parámetros del modelo. </w:t>
      </w:r>
    </w:p>
    <w:p w14:paraId="04CE433B" w14:textId="77777777" w:rsidR="00DF61D9" w:rsidRPr="00DF61D9" w:rsidRDefault="00DF61D9" w:rsidP="00DF61D9">
      <w:pPr>
        <w:tabs>
          <w:tab w:val="left" w:pos="1515"/>
        </w:tabs>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ab/>
      </w:r>
    </w:p>
    <w:p w14:paraId="77F5E3A1"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Existen en el ámbito internacional las siguientes opciones para definir el tipo de concesionario:</w:t>
      </w:r>
    </w:p>
    <w:p w14:paraId="2F2A9658" w14:textId="77777777" w:rsidR="00DF61D9" w:rsidRPr="00DF61D9" w:rsidRDefault="00DF61D9" w:rsidP="00DF61D9">
      <w:pPr>
        <w:spacing w:after="0"/>
        <w:ind w:left="426"/>
        <w:jc w:val="both"/>
        <w:rPr>
          <w:rFonts w:ascii="Arial" w:eastAsia="Times New Roman" w:hAnsi="Arial" w:cs="Arial"/>
          <w:sz w:val="18"/>
          <w:szCs w:val="18"/>
          <w:lang w:eastAsia="es-ES"/>
        </w:rPr>
      </w:pPr>
    </w:p>
    <w:p w14:paraId="0FD67561" w14:textId="77777777" w:rsidR="00DF61D9" w:rsidRPr="00DF61D9" w:rsidRDefault="00DF61D9" w:rsidP="004A0A71">
      <w:pPr>
        <w:numPr>
          <w:ilvl w:val="0"/>
          <w:numId w:val="5"/>
        </w:numPr>
        <w:tabs>
          <w:tab w:val="num" w:pos="709"/>
        </w:tabs>
        <w:spacing w:after="0"/>
        <w:ind w:left="709" w:hanging="357"/>
        <w:jc w:val="both"/>
        <w:rPr>
          <w:rFonts w:ascii="Arial" w:hAnsi="Arial" w:cs="Arial"/>
          <w:spacing w:val="-4"/>
          <w:sz w:val="18"/>
          <w:szCs w:val="18"/>
        </w:rPr>
      </w:pPr>
      <w:bookmarkStart w:id="4" w:name="_Hlk147941992"/>
      <w:r w:rsidRPr="00DF61D9">
        <w:rPr>
          <w:rFonts w:ascii="Arial" w:hAnsi="Arial" w:cs="Arial"/>
          <w:b/>
          <w:spacing w:val="-4"/>
          <w:sz w:val="18"/>
          <w:szCs w:val="18"/>
        </w:rPr>
        <w:t xml:space="preserve">Concesionarios existentes – </w:t>
      </w:r>
      <w:r w:rsidRPr="00DF61D9">
        <w:rPr>
          <w:rFonts w:ascii="Arial" w:hAnsi="Arial" w:cs="Arial"/>
          <w:spacing w:val="-4"/>
          <w:sz w:val="18"/>
          <w:szCs w:val="18"/>
        </w:rPr>
        <w:t>se calculan los costos de todos los concesionarios que prestan servicios en el mercado.</w:t>
      </w:r>
    </w:p>
    <w:p w14:paraId="3161C1B0" w14:textId="77777777" w:rsidR="00DF61D9" w:rsidRPr="00DF61D9" w:rsidRDefault="00DF61D9" w:rsidP="004A0A71">
      <w:pPr>
        <w:numPr>
          <w:ilvl w:val="0"/>
          <w:numId w:val="5"/>
        </w:numPr>
        <w:tabs>
          <w:tab w:val="num" w:pos="709"/>
        </w:tabs>
        <w:spacing w:after="0"/>
        <w:ind w:left="709" w:hanging="357"/>
        <w:jc w:val="both"/>
        <w:rPr>
          <w:rFonts w:ascii="Arial" w:hAnsi="Arial" w:cs="Arial"/>
          <w:sz w:val="18"/>
          <w:szCs w:val="18"/>
        </w:rPr>
      </w:pPr>
      <w:r w:rsidRPr="00DF61D9">
        <w:rPr>
          <w:rFonts w:ascii="Arial" w:hAnsi="Arial" w:cs="Arial"/>
          <w:b/>
          <w:sz w:val="18"/>
          <w:szCs w:val="18"/>
        </w:rPr>
        <w:t xml:space="preserve">Concesionario promedio – </w:t>
      </w:r>
      <w:r w:rsidRPr="00DF61D9">
        <w:rPr>
          <w:rFonts w:ascii="Arial" w:hAnsi="Arial" w:cs="Arial"/>
          <w:sz w:val="18"/>
          <w:szCs w:val="18"/>
        </w:rPr>
        <w:t>se promedian los costos de todos los concesionarios que prestan servicios para cada uno de los mercados (fijo y móvil) para definir un operador ‘típico’.</w:t>
      </w:r>
    </w:p>
    <w:p w14:paraId="0E50404D" w14:textId="77777777" w:rsidR="00DF61D9" w:rsidRPr="00DF61D9" w:rsidRDefault="00DF61D9" w:rsidP="004A0A71">
      <w:pPr>
        <w:numPr>
          <w:ilvl w:val="0"/>
          <w:numId w:val="5"/>
        </w:numPr>
        <w:tabs>
          <w:tab w:val="num" w:pos="709"/>
        </w:tabs>
        <w:spacing w:after="0"/>
        <w:ind w:left="709" w:hanging="357"/>
        <w:jc w:val="both"/>
        <w:rPr>
          <w:rFonts w:ascii="Arial" w:hAnsi="Arial" w:cs="Arial"/>
          <w:b/>
          <w:bCs/>
          <w:sz w:val="18"/>
          <w:szCs w:val="18"/>
        </w:rPr>
      </w:pPr>
      <w:r w:rsidRPr="00DF61D9">
        <w:rPr>
          <w:rFonts w:ascii="Arial" w:hAnsi="Arial" w:cs="Arial"/>
          <w:b/>
          <w:sz w:val="18"/>
          <w:szCs w:val="18"/>
        </w:rPr>
        <w:t xml:space="preserve">Concesionario hipotético– </w:t>
      </w:r>
      <w:r w:rsidRPr="00DF61D9">
        <w:rPr>
          <w:rFonts w:ascii="Arial" w:hAnsi="Arial" w:cs="Arial"/>
          <w:sz w:val="18"/>
          <w:szCs w:val="18"/>
        </w:rPr>
        <w:t>se define un concesionario con características similares a, o derivadas de, los concesionarios existentes en el mercado,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37BF88C3" w14:textId="77777777" w:rsidR="00DF61D9" w:rsidRPr="00DF61D9" w:rsidRDefault="00DF61D9" w:rsidP="004A0A71">
      <w:pPr>
        <w:numPr>
          <w:ilvl w:val="0"/>
          <w:numId w:val="7"/>
        </w:numPr>
        <w:tabs>
          <w:tab w:val="num" w:pos="709"/>
        </w:tabs>
        <w:spacing w:after="0"/>
        <w:ind w:left="709" w:hanging="357"/>
        <w:jc w:val="both"/>
        <w:rPr>
          <w:rFonts w:ascii="Arial" w:hAnsi="Arial" w:cs="Arial"/>
          <w:b/>
          <w:bCs/>
          <w:sz w:val="18"/>
          <w:szCs w:val="18"/>
          <w:lang w:eastAsia="es-ES"/>
        </w:rPr>
      </w:pPr>
      <w:r w:rsidRPr="00DF61D9">
        <w:rPr>
          <w:rFonts w:ascii="Arial" w:hAnsi="Arial" w:cs="Arial"/>
          <w:b/>
          <w:sz w:val="18"/>
          <w:szCs w:val="18"/>
        </w:rPr>
        <w:t>Nuevo entrante hipotético –</w:t>
      </w:r>
      <w:r w:rsidRPr="00DF61D9">
        <w:rPr>
          <w:rFonts w:ascii="Arial" w:hAnsi="Arial" w:cs="Arial"/>
          <w:b/>
          <w:bCs/>
          <w:sz w:val="18"/>
          <w:szCs w:val="18"/>
          <w:lang w:eastAsia="es-ES"/>
        </w:rPr>
        <w:t xml:space="preserve"> </w:t>
      </w:r>
      <w:r w:rsidRPr="00DF61D9">
        <w:rPr>
          <w:rFonts w:ascii="Arial" w:hAnsi="Arial" w:cs="Arial"/>
          <w:sz w:val="18"/>
          <w:szCs w:val="18"/>
        </w:rPr>
        <w:t>se define un nuevo concesionario que entra al mercado en un año específico cercano al periodo regulatorio, con una arquitectura de red moderna y que alcanza la participación de mercado eficiente del operador representativo.</w:t>
      </w:r>
    </w:p>
    <w:bookmarkEnd w:id="4"/>
    <w:p w14:paraId="49EE82EC" w14:textId="77777777" w:rsidR="00DF61D9" w:rsidRPr="00DF61D9" w:rsidRDefault="00DF61D9" w:rsidP="00DF61D9">
      <w:pPr>
        <w:spacing w:after="0"/>
        <w:ind w:left="993"/>
        <w:jc w:val="both"/>
        <w:rPr>
          <w:rFonts w:ascii="Arial" w:eastAsia="Times New Roman" w:hAnsi="Arial" w:cs="Arial"/>
          <w:sz w:val="18"/>
          <w:szCs w:val="18"/>
          <w:lang w:eastAsia="es-ES"/>
        </w:rPr>
      </w:pPr>
    </w:p>
    <w:p w14:paraId="5E2168A8"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Cabe mencionar que construir modelos de costos tomando en consideración a un operador existente no es acorde a las mejores prácticas internacionales debido a lo siguiente:</w:t>
      </w:r>
    </w:p>
    <w:p w14:paraId="42B8D577" w14:textId="77777777" w:rsidR="00DF61D9" w:rsidRPr="00DF61D9" w:rsidRDefault="00DF61D9" w:rsidP="00DF61D9">
      <w:pPr>
        <w:spacing w:after="0"/>
        <w:jc w:val="both"/>
        <w:rPr>
          <w:rFonts w:ascii="Arial" w:eastAsia="Times New Roman" w:hAnsi="Arial" w:cs="Arial"/>
          <w:sz w:val="18"/>
          <w:szCs w:val="18"/>
          <w:lang w:eastAsia="es-ES"/>
        </w:rPr>
      </w:pPr>
    </w:p>
    <w:p w14:paraId="47E2074D" w14:textId="77777777" w:rsidR="00DF61D9" w:rsidRPr="00DF61D9" w:rsidRDefault="00DF61D9" w:rsidP="004A0A71">
      <w:pPr>
        <w:numPr>
          <w:ilvl w:val="0"/>
          <w:numId w:val="5"/>
        </w:numPr>
        <w:spacing w:after="0"/>
        <w:ind w:left="709" w:hanging="357"/>
        <w:jc w:val="both"/>
        <w:rPr>
          <w:rFonts w:ascii="Arial" w:hAnsi="Arial" w:cs="Arial"/>
          <w:sz w:val="18"/>
          <w:szCs w:val="18"/>
        </w:rPr>
      </w:pPr>
      <w:r w:rsidRPr="00DF61D9">
        <w:rPr>
          <w:rFonts w:ascii="Arial" w:hAnsi="Arial" w:cs="Arial"/>
          <w:sz w:val="18"/>
          <w:szCs w:val="18"/>
        </w:rPr>
        <w:lastRenderedPageBreak/>
        <w:t>Reduce la transparencia en costos y precios, debido a que la información necesaria para construir el modelo provendría de la red del operador modelado situación en la cual existen asimetrías de información entre la empresa regulada y el regulador.</w:t>
      </w:r>
    </w:p>
    <w:p w14:paraId="453F0358" w14:textId="77777777" w:rsidR="00DF61D9" w:rsidRPr="00DF61D9" w:rsidRDefault="00DF61D9" w:rsidP="004A0A71">
      <w:pPr>
        <w:numPr>
          <w:ilvl w:val="0"/>
          <w:numId w:val="5"/>
        </w:numPr>
        <w:spacing w:after="0"/>
        <w:ind w:left="709" w:hanging="357"/>
        <w:jc w:val="both"/>
        <w:rPr>
          <w:rFonts w:ascii="Arial" w:hAnsi="Arial" w:cs="Arial"/>
          <w:sz w:val="18"/>
          <w:szCs w:val="18"/>
        </w:rPr>
      </w:pPr>
      <w:r w:rsidRPr="00DF61D9">
        <w:rPr>
          <w:rFonts w:ascii="Arial" w:hAnsi="Arial" w:cs="Arial"/>
          <w:sz w:val="18"/>
          <w:szCs w:val="18"/>
        </w:rPr>
        <w:t>Incrementa la complejidad de asegurar que se apliquen principios consistentes si el método se aplicara a modelos individuales para cada operador fijo y móvil.</w:t>
      </w:r>
    </w:p>
    <w:p w14:paraId="1D700FCD" w14:textId="77777777" w:rsidR="00DF61D9" w:rsidRPr="00DF61D9" w:rsidRDefault="00DF61D9" w:rsidP="004A0A71">
      <w:pPr>
        <w:numPr>
          <w:ilvl w:val="0"/>
          <w:numId w:val="5"/>
        </w:numPr>
        <w:spacing w:after="0"/>
        <w:ind w:left="709" w:hanging="357"/>
        <w:jc w:val="both"/>
        <w:rPr>
          <w:rFonts w:ascii="Arial" w:hAnsi="Arial" w:cs="Arial"/>
          <w:sz w:val="18"/>
          <w:szCs w:val="18"/>
        </w:rPr>
      </w:pPr>
      <w:r w:rsidRPr="00DF61D9">
        <w:rPr>
          <w:rFonts w:ascii="Arial" w:hAnsi="Arial" w:cs="Arial"/>
          <w:sz w:val="18"/>
          <w:szCs w:val="18"/>
        </w:rPr>
        <w:t>Aumenta la dificultad para asegurar cumplir con el principio de eficiencia, debido a que reflejaría las ineficiencias históricas asociadas a la red modelada.</w:t>
      </w:r>
    </w:p>
    <w:p w14:paraId="6F1AF43A" w14:textId="77777777" w:rsidR="00DF61D9" w:rsidRPr="00DF61D9" w:rsidRDefault="00DF61D9" w:rsidP="00DF61D9">
      <w:pPr>
        <w:spacing w:after="0"/>
        <w:jc w:val="both"/>
        <w:rPr>
          <w:rFonts w:ascii="Arial" w:eastAsia="Times New Roman" w:hAnsi="Arial" w:cs="Arial"/>
          <w:sz w:val="18"/>
          <w:szCs w:val="18"/>
          <w:lang w:eastAsia="es-ES"/>
        </w:rPr>
      </w:pPr>
    </w:p>
    <w:p w14:paraId="78183D38"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54F179C4"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 </w:t>
      </w:r>
    </w:p>
    <w:p w14:paraId="4ED927BF" w14:textId="77777777" w:rsid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Por lo tanto, sólo se consideran tres opciones reales para el tipo de operador sobre el que se basarán los modelos. Las características de estas opciones se encuentran detalladas a continuación.</w:t>
      </w:r>
    </w:p>
    <w:p w14:paraId="1025686E" w14:textId="77777777" w:rsidR="00DF61D9" w:rsidRDefault="00DF61D9" w:rsidP="00DF61D9">
      <w:pPr>
        <w:spacing w:after="0"/>
        <w:jc w:val="both"/>
        <w:rPr>
          <w:rFonts w:ascii="Arial" w:eastAsia="Times New Roman" w:hAnsi="Arial" w:cs="Arial"/>
          <w:sz w:val="18"/>
          <w:szCs w:val="18"/>
          <w:lang w:eastAsia="es-ES"/>
        </w:rPr>
      </w:pPr>
    </w:p>
    <w:tbl>
      <w:tblPr>
        <w:tblStyle w:val="Tabladecuadrcula4"/>
        <w:tblW w:w="5000" w:type="pct"/>
        <w:tblLook w:val="0420" w:firstRow="1" w:lastRow="0" w:firstColumn="0" w:lastColumn="0" w:noHBand="0" w:noVBand="1"/>
      </w:tblPr>
      <w:tblGrid>
        <w:gridCol w:w="1661"/>
        <w:gridCol w:w="2354"/>
        <w:gridCol w:w="2916"/>
        <w:gridCol w:w="2463"/>
      </w:tblGrid>
      <w:tr w:rsidR="00DF61D9" w:rsidRPr="00DF61D9" w14:paraId="1EC25F7F" w14:textId="77777777" w:rsidTr="00344FBA">
        <w:trPr>
          <w:cnfStyle w:val="100000000000" w:firstRow="1" w:lastRow="0" w:firstColumn="0" w:lastColumn="0" w:oddVBand="0" w:evenVBand="0" w:oddHBand="0" w:evenHBand="0" w:firstRowFirstColumn="0" w:firstRowLastColumn="0" w:lastRowFirstColumn="0" w:lastRowLastColumn="0"/>
        </w:trPr>
        <w:tc>
          <w:tcPr>
            <w:tcW w:w="8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307770A" w14:textId="77777777" w:rsidR="00DF61D9" w:rsidRPr="00DF61D9" w:rsidRDefault="00DF61D9" w:rsidP="00344FBA">
            <w:pPr>
              <w:keepNext/>
              <w:spacing w:after="0"/>
              <w:ind w:right="113"/>
              <w:jc w:val="center"/>
              <w:rPr>
                <w:rFonts w:ascii="Arial" w:hAnsi="Arial" w:cs="Arial"/>
                <w:color w:val="auto"/>
                <w:sz w:val="16"/>
                <w:szCs w:val="16"/>
              </w:rPr>
            </w:pPr>
            <w:r w:rsidRPr="00DF61D9">
              <w:rPr>
                <w:rFonts w:ascii="Arial" w:hAnsi="Arial" w:cs="Arial"/>
                <w:color w:val="auto"/>
                <w:sz w:val="16"/>
                <w:szCs w:val="16"/>
              </w:rPr>
              <w:t>Característica</w:t>
            </w:r>
          </w:p>
        </w:tc>
        <w:tc>
          <w:tcPr>
            <w:tcW w:w="125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06EA841" w14:textId="77777777" w:rsidR="00DF61D9" w:rsidRPr="00DF61D9" w:rsidRDefault="00DF61D9" w:rsidP="00344FBA">
            <w:pPr>
              <w:keepNext/>
              <w:spacing w:after="0"/>
              <w:ind w:right="113"/>
              <w:jc w:val="center"/>
              <w:rPr>
                <w:rFonts w:ascii="Arial" w:hAnsi="Arial" w:cs="Arial"/>
                <w:color w:val="auto"/>
                <w:sz w:val="16"/>
                <w:szCs w:val="16"/>
              </w:rPr>
            </w:pPr>
            <w:r w:rsidRPr="00DF61D9">
              <w:rPr>
                <w:rFonts w:ascii="Arial" w:hAnsi="Arial" w:cs="Arial"/>
                <w:color w:val="auto"/>
                <w:sz w:val="16"/>
                <w:szCs w:val="16"/>
              </w:rPr>
              <w:t>Opción 1: Operador promedio</w:t>
            </w:r>
          </w:p>
        </w:tc>
        <w:tc>
          <w:tcPr>
            <w:tcW w:w="155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039957D" w14:textId="77777777" w:rsidR="00DF61D9" w:rsidRPr="00DF61D9" w:rsidRDefault="00DF61D9" w:rsidP="00344FBA">
            <w:pPr>
              <w:keepNext/>
              <w:spacing w:after="0"/>
              <w:ind w:right="113"/>
              <w:jc w:val="center"/>
              <w:rPr>
                <w:rFonts w:ascii="Arial" w:hAnsi="Arial" w:cs="Arial"/>
                <w:color w:val="auto"/>
                <w:sz w:val="16"/>
                <w:szCs w:val="16"/>
              </w:rPr>
            </w:pPr>
            <w:r w:rsidRPr="00DF61D9">
              <w:rPr>
                <w:rFonts w:ascii="Arial" w:hAnsi="Arial" w:cs="Arial"/>
                <w:color w:val="auto"/>
                <w:sz w:val="16"/>
                <w:szCs w:val="16"/>
              </w:rPr>
              <w:t>Opción 2: Operador hipotético existente</w:t>
            </w:r>
          </w:p>
        </w:tc>
        <w:tc>
          <w:tcPr>
            <w:tcW w:w="13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28A803" w14:textId="77777777" w:rsidR="00DF61D9" w:rsidRPr="00DF61D9" w:rsidRDefault="00DF61D9" w:rsidP="00344FBA">
            <w:pPr>
              <w:keepNext/>
              <w:spacing w:after="0"/>
              <w:ind w:right="113"/>
              <w:jc w:val="center"/>
              <w:rPr>
                <w:rFonts w:ascii="Arial" w:hAnsi="Arial" w:cs="Arial"/>
                <w:color w:val="auto"/>
                <w:sz w:val="16"/>
                <w:szCs w:val="16"/>
              </w:rPr>
            </w:pPr>
            <w:r w:rsidRPr="00DF61D9">
              <w:rPr>
                <w:rFonts w:ascii="Arial" w:hAnsi="Arial" w:cs="Arial"/>
                <w:color w:val="auto"/>
                <w:sz w:val="16"/>
                <w:szCs w:val="16"/>
              </w:rPr>
              <w:t>Opción 3: Nuevo entrante hipotético</w:t>
            </w:r>
          </w:p>
        </w:tc>
      </w:tr>
      <w:tr w:rsidR="00DF61D9" w:rsidRPr="00DF61D9" w14:paraId="15BA3727" w14:textId="77777777" w:rsidTr="00344FBA">
        <w:trPr>
          <w:cnfStyle w:val="000000100000" w:firstRow="0" w:lastRow="0" w:firstColumn="0" w:lastColumn="0" w:oddVBand="0" w:evenVBand="0" w:oddHBand="1" w:evenHBand="0" w:firstRowFirstColumn="0" w:firstRowLastColumn="0" w:lastRowFirstColumn="0" w:lastRowLastColumn="0"/>
        </w:trPr>
        <w:tc>
          <w:tcPr>
            <w:tcW w:w="884" w:type="pct"/>
            <w:tcBorders>
              <w:top w:val="single" w:sz="4" w:space="0" w:color="000000"/>
              <w:left w:val="single" w:sz="4" w:space="0" w:color="000000"/>
              <w:bottom w:val="single" w:sz="4" w:space="0" w:color="000000"/>
              <w:right w:val="single" w:sz="4" w:space="0" w:color="000000"/>
            </w:tcBorders>
          </w:tcPr>
          <w:p w14:paraId="21D64DE6"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Fecha de lanzamiento</w:t>
            </w:r>
          </w:p>
        </w:tc>
        <w:tc>
          <w:tcPr>
            <w:tcW w:w="1253" w:type="pct"/>
            <w:tcBorders>
              <w:top w:val="single" w:sz="4" w:space="0" w:color="000000"/>
              <w:left w:val="single" w:sz="4" w:space="0" w:color="000000"/>
              <w:bottom w:val="single" w:sz="4" w:space="0" w:color="000000"/>
              <w:right w:val="single" w:sz="4" w:space="0" w:color="000000"/>
            </w:tcBorders>
          </w:tcPr>
          <w:p w14:paraId="35774453"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Diferente para todos los operadores, por lo tanto, utilizar un promedio no es representativo.</w:t>
            </w:r>
          </w:p>
        </w:tc>
        <w:tc>
          <w:tcPr>
            <w:tcW w:w="1552" w:type="pct"/>
            <w:tcBorders>
              <w:top w:val="single" w:sz="4" w:space="0" w:color="000000"/>
              <w:left w:val="single" w:sz="4" w:space="0" w:color="000000"/>
              <w:bottom w:val="single" w:sz="4" w:space="0" w:color="000000"/>
              <w:right w:val="single" w:sz="4" w:space="0" w:color="000000"/>
            </w:tcBorders>
          </w:tcPr>
          <w:p w14:paraId="3B8500D7"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Puede ser establecida de forma consistente para los modelos fijo y móvil tomando en consideración hitos clave en el despliegue de las redes reales.</w:t>
            </w:r>
          </w:p>
        </w:tc>
        <w:tc>
          <w:tcPr>
            <w:tcW w:w="1311" w:type="pct"/>
            <w:tcBorders>
              <w:top w:val="single" w:sz="4" w:space="0" w:color="000000"/>
              <w:left w:val="single" w:sz="4" w:space="0" w:color="000000"/>
              <w:bottom w:val="single" w:sz="4" w:space="0" w:color="000000"/>
              <w:right w:val="single" w:sz="4" w:space="0" w:color="000000"/>
            </w:tcBorders>
          </w:tcPr>
          <w:p w14:paraId="787E0607"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Por definición, utilizar el año 2022 sería consistente para operadores fijos y móviles.</w:t>
            </w:r>
          </w:p>
        </w:tc>
      </w:tr>
      <w:tr w:rsidR="00DF61D9" w:rsidRPr="00DF61D9" w14:paraId="1E2EE7B1" w14:textId="77777777" w:rsidTr="00344FBA">
        <w:tc>
          <w:tcPr>
            <w:tcW w:w="884" w:type="pct"/>
            <w:tcBorders>
              <w:top w:val="single" w:sz="4" w:space="0" w:color="000000"/>
            </w:tcBorders>
          </w:tcPr>
          <w:p w14:paraId="23E28958"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Tecnología</w:t>
            </w:r>
          </w:p>
        </w:tc>
        <w:tc>
          <w:tcPr>
            <w:tcW w:w="1253" w:type="pct"/>
            <w:tcBorders>
              <w:top w:val="single" w:sz="4" w:space="0" w:color="000000"/>
            </w:tcBorders>
          </w:tcPr>
          <w:p w14:paraId="44BBB4F5"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 xml:space="preserve">Grandes diferencias en tecnología para el operador histórico, alternativos y los operadores de cable por lo que un promedio no sería representativo. </w:t>
            </w:r>
          </w:p>
        </w:tc>
        <w:tc>
          <w:tcPr>
            <w:tcW w:w="1552" w:type="pct"/>
            <w:tcBorders>
              <w:top w:val="single" w:sz="4" w:space="0" w:color="000000"/>
            </w:tcBorders>
          </w:tcPr>
          <w:p w14:paraId="7019F97C"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La tecnología utilizada por un operador hipotético puede definirse de forma específica, tomando en consideración componentes relevantes de las redes existentes.</w:t>
            </w:r>
          </w:p>
        </w:tc>
        <w:tc>
          <w:tcPr>
            <w:tcW w:w="1311" w:type="pct"/>
            <w:tcBorders>
              <w:top w:val="single" w:sz="4" w:space="0" w:color="000000"/>
            </w:tcBorders>
          </w:tcPr>
          <w:p w14:paraId="2F850C20"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Por definición, un nuevo entrante utilizaría la tecnología moderna existente.</w:t>
            </w:r>
          </w:p>
        </w:tc>
      </w:tr>
      <w:tr w:rsidR="00DF61D9" w:rsidRPr="00DF61D9" w14:paraId="406BCC5C" w14:textId="77777777" w:rsidTr="00344FBA">
        <w:trPr>
          <w:cnfStyle w:val="000000100000" w:firstRow="0" w:lastRow="0" w:firstColumn="0" w:lastColumn="0" w:oddVBand="0" w:evenVBand="0" w:oddHBand="1" w:evenHBand="0" w:firstRowFirstColumn="0" w:firstRowLastColumn="0" w:lastRowFirstColumn="0" w:lastRowLastColumn="0"/>
        </w:trPr>
        <w:tc>
          <w:tcPr>
            <w:tcW w:w="884" w:type="pct"/>
          </w:tcPr>
          <w:p w14:paraId="087B3065"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 xml:space="preserve">Evolución y migración a tecnología moderna </w:t>
            </w:r>
          </w:p>
        </w:tc>
        <w:tc>
          <w:tcPr>
            <w:tcW w:w="1253" w:type="pct"/>
          </w:tcPr>
          <w:p w14:paraId="78FC43EB"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Los principales operadores fijos han evolucionado en formas distintas por lo que es complicado definir una evolución promedio; los operadores móviles evolucionan de distinto modo.</w:t>
            </w:r>
          </w:p>
        </w:tc>
        <w:tc>
          <w:tcPr>
            <w:tcW w:w="1552" w:type="pct"/>
          </w:tcPr>
          <w:p w14:paraId="00C6752D"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1311" w:type="pct"/>
          </w:tcPr>
          <w:p w14:paraId="5889FAEA"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DF61D9" w:rsidRPr="00DF61D9" w14:paraId="188A6F4A" w14:textId="77777777" w:rsidTr="00344FBA">
        <w:tc>
          <w:tcPr>
            <w:tcW w:w="884" w:type="pct"/>
          </w:tcPr>
          <w:p w14:paraId="028BB334"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Eficiencia</w:t>
            </w:r>
          </w:p>
        </w:tc>
        <w:tc>
          <w:tcPr>
            <w:tcW w:w="1253" w:type="pct"/>
          </w:tcPr>
          <w:p w14:paraId="446673D5"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Se podrían incluir costos ineficientes con un promedio.</w:t>
            </w:r>
          </w:p>
        </w:tc>
        <w:tc>
          <w:tcPr>
            <w:tcW w:w="1552" w:type="pct"/>
          </w:tcPr>
          <w:p w14:paraId="29769716"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Los aspectos de eficiencia pueden ser definidos.</w:t>
            </w:r>
          </w:p>
        </w:tc>
        <w:tc>
          <w:tcPr>
            <w:tcW w:w="1311" w:type="pct"/>
          </w:tcPr>
          <w:p w14:paraId="458EF644"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Las opciones eficientes se pueden seleccionar para el modelo.</w:t>
            </w:r>
          </w:p>
        </w:tc>
      </w:tr>
      <w:tr w:rsidR="00DF61D9" w:rsidRPr="00DF61D9" w14:paraId="7F9070E2" w14:textId="77777777" w:rsidTr="00344FBA">
        <w:trPr>
          <w:cnfStyle w:val="000000100000" w:firstRow="0" w:lastRow="0" w:firstColumn="0" w:lastColumn="0" w:oddVBand="0" w:evenVBand="0" w:oddHBand="1" w:evenHBand="0" w:firstRowFirstColumn="0" w:firstRowLastColumn="0" w:lastRowFirstColumn="0" w:lastRowLastColumn="0"/>
        </w:trPr>
        <w:tc>
          <w:tcPr>
            <w:tcW w:w="884" w:type="pct"/>
          </w:tcPr>
          <w:p w14:paraId="11DC2288"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Transparencia con respecto al uso de un modelo ascendente (</w:t>
            </w:r>
            <w:r w:rsidRPr="00DF61D9">
              <w:rPr>
                <w:rFonts w:ascii="Arial" w:hAnsi="Arial" w:cs="Arial"/>
                <w:i/>
                <w:sz w:val="16"/>
                <w:szCs w:val="16"/>
              </w:rPr>
              <w:t>bottom up</w:t>
            </w:r>
            <w:r w:rsidRPr="00DF61D9">
              <w:rPr>
                <w:rFonts w:ascii="Arial" w:hAnsi="Arial" w:cs="Arial"/>
                <w:sz w:val="16"/>
                <w:szCs w:val="16"/>
              </w:rPr>
              <w:t>)</w:t>
            </w:r>
          </w:p>
        </w:tc>
        <w:tc>
          <w:tcPr>
            <w:tcW w:w="1253" w:type="pct"/>
          </w:tcPr>
          <w:p w14:paraId="45257B2C"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Puede ser difícil en el caso de las redes fijas ya que el operador promedio sería muy abstracto en comparación con los operadores existentes.</w:t>
            </w:r>
          </w:p>
          <w:p w14:paraId="49F31090"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El operador promedio móvil tendría más semejanzas con los operadores existentes.</w:t>
            </w:r>
          </w:p>
        </w:tc>
        <w:tc>
          <w:tcPr>
            <w:tcW w:w="1552" w:type="pct"/>
          </w:tcPr>
          <w:p w14:paraId="0CCF4C64"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 xml:space="preserve">La transparencia aumenta cuando el diseño del operador fijo es único y explícito y no el promedio de operaciones diversas. </w:t>
            </w:r>
          </w:p>
          <w:p w14:paraId="07B25746"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Debido a las semejanzas entre los operadores móviles, este enfoque sería transparente y un buen reflejo de la realidad.</w:t>
            </w:r>
          </w:p>
        </w:tc>
        <w:tc>
          <w:tcPr>
            <w:tcW w:w="1311" w:type="pct"/>
          </w:tcPr>
          <w:p w14:paraId="5FCABBB8"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En principio, un nuevo entrante hipotético tendría un diseño transparente, sin embargo, esto implica que se necesiten más datos de los operadores reales para los parámetros hipotéticos.</w:t>
            </w:r>
          </w:p>
        </w:tc>
      </w:tr>
      <w:tr w:rsidR="00DF61D9" w:rsidRPr="00DF61D9" w14:paraId="459FA0BE" w14:textId="77777777" w:rsidTr="00344FBA">
        <w:tc>
          <w:tcPr>
            <w:tcW w:w="884" w:type="pct"/>
          </w:tcPr>
          <w:p w14:paraId="634795A5"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Reconciliación práctica con contabilidad descendente (</w:t>
            </w:r>
            <w:r w:rsidRPr="00DF61D9">
              <w:rPr>
                <w:rFonts w:ascii="Arial" w:hAnsi="Arial" w:cs="Arial"/>
                <w:i/>
                <w:sz w:val="16"/>
                <w:szCs w:val="16"/>
              </w:rPr>
              <w:t>top-down)</w:t>
            </w:r>
          </w:p>
        </w:tc>
        <w:tc>
          <w:tcPr>
            <w:tcW w:w="1253" w:type="pct"/>
          </w:tcPr>
          <w:p w14:paraId="4C44CB69"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t xml:space="preserve">No es posible comparar directamente los costos de un operador promedio con los costos reales de los operadores. Sólo es posible </w:t>
            </w:r>
            <w:r w:rsidRPr="00DF61D9">
              <w:rPr>
                <w:rFonts w:ascii="Arial" w:hAnsi="Arial" w:cs="Arial"/>
                <w:sz w:val="16"/>
                <w:szCs w:val="16"/>
              </w:rPr>
              <w:lastRenderedPageBreak/>
              <w:t>realizar comparaciones indirectas (p.ej. total de gastos y asignaciones sobre costos).</w:t>
            </w:r>
          </w:p>
        </w:tc>
        <w:tc>
          <w:tcPr>
            <w:tcW w:w="1552" w:type="pct"/>
          </w:tcPr>
          <w:p w14:paraId="063C4747"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lastRenderedPageBreak/>
              <w:t xml:space="preserve">No es posible comparar directamente los costos de un operador hipotético con los costos reales de los operadores. Sólo es posible realizar comparaciones </w:t>
            </w:r>
            <w:r w:rsidRPr="00DF61D9">
              <w:rPr>
                <w:rFonts w:ascii="Arial" w:hAnsi="Arial" w:cs="Arial"/>
                <w:sz w:val="16"/>
                <w:szCs w:val="16"/>
              </w:rPr>
              <w:lastRenderedPageBreak/>
              <w:t>indirectas (p.ej. total de gastos y asignaciones sobre costos).</w:t>
            </w:r>
          </w:p>
        </w:tc>
        <w:tc>
          <w:tcPr>
            <w:tcW w:w="1311" w:type="pct"/>
          </w:tcPr>
          <w:p w14:paraId="518710E2" w14:textId="77777777" w:rsidR="00DF61D9" w:rsidRPr="00DF61D9" w:rsidRDefault="00DF61D9" w:rsidP="00344FBA">
            <w:pPr>
              <w:spacing w:after="0"/>
              <w:ind w:right="113"/>
              <w:jc w:val="both"/>
              <w:rPr>
                <w:rFonts w:ascii="Arial" w:hAnsi="Arial" w:cs="Arial"/>
                <w:sz w:val="16"/>
                <w:szCs w:val="16"/>
              </w:rPr>
            </w:pPr>
            <w:r w:rsidRPr="00DF61D9">
              <w:rPr>
                <w:rFonts w:ascii="Arial" w:hAnsi="Arial" w:cs="Arial"/>
                <w:sz w:val="16"/>
                <w:szCs w:val="16"/>
              </w:rPr>
              <w:lastRenderedPageBreak/>
              <w:t xml:space="preserve">No es posible comparar directa o indirectamente los costos de un nuevo entrante con los costos reales de los operadores sin realizar </w:t>
            </w:r>
            <w:r w:rsidRPr="00DF61D9">
              <w:rPr>
                <w:rFonts w:ascii="Arial" w:hAnsi="Arial" w:cs="Arial"/>
                <w:sz w:val="16"/>
                <w:szCs w:val="16"/>
              </w:rPr>
              <w:lastRenderedPageBreak/>
              <w:t>ajustes adicionales ya que no existen estados de resultados futuros.</w:t>
            </w:r>
          </w:p>
        </w:tc>
      </w:tr>
    </w:tbl>
    <w:p w14:paraId="5F6EF5D8" w14:textId="77777777" w:rsidR="006172B4" w:rsidRPr="001B525F" w:rsidRDefault="006172B4" w:rsidP="00CC0143">
      <w:pPr>
        <w:spacing w:after="0"/>
        <w:ind w:left="426"/>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Tabla 1. Opciones del operador a modelar.</w:t>
      </w:r>
    </w:p>
    <w:p w14:paraId="4CB2F88B" w14:textId="77777777" w:rsidR="00DF61D9" w:rsidRDefault="00DF61D9" w:rsidP="00DF61D9">
      <w:pPr>
        <w:spacing w:after="0"/>
        <w:jc w:val="both"/>
        <w:rPr>
          <w:rFonts w:ascii="Arial" w:eastAsia="Times New Roman" w:hAnsi="Arial" w:cs="Arial"/>
          <w:sz w:val="18"/>
          <w:szCs w:val="18"/>
          <w:lang w:eastAsia="es-ES"/>
        </w:rPr>
      </w:pPr>
    </w:p>
    <w:p w14:paraId="53DE18AC" w14:textId="5836E318"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0A655960" w14:textId="77777777" w:rsidR="00DF61D9" w:rsidRPr="00DF61D9" w:rsidRDefault="00DF61D9" w:rsidP="00DF61D9">
      <w:pPr>
        <w:spacing w:after="0"/>
        <w:jc w:val="both"/>
        <w:rPr>
          <w:rFonts w:ascii="Arial" w:eastAsia="Times New Roman" w:hAnsi="Arial" w:cs="Arial"/>
          <w:sz w:val="18"/>
          <w:szCs w:val="18"/>
          <w:lang w:eastAsia="es-ES"/>
        </w:rPr>
      </w:pPr>
    </w:p>
    <w:p w14:paraId="6D227803"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DF61D9">
        <w:rPr>
          <w:rFonts w:ascii="Arial" w:hAnsi="Arial" w:cs="Arial"/>
          <w:sz w:val="18"/>
          <w:szCs w:val="18"/>
        </w:rPr>
        <w:t>concesionarios</w:t>
      </w:r>
      <w:r w:rsidRPr="00DF61D9">
        <w:rPr>
          <w:rFonts w:ascii="Arial" w:eastAsia="Times New Roman" w:hAnsi="Arial" w:cs="Arial"/>
          <w:sz w:val="18"/>
          <w:szCs w:val="18"/>
          <w:lang w:eastAsia="es-ES"/>
        </w:rPr>
        <w:t>.</w:t>
      </w:r>
    </w:p>
    <w:p w14:paraId="5E62F782" w14:textId="77777777" w:rsidR="00DF61D9" w:rsidRPr="00657BA6" w:rsidRDefault="00DF61D9" w:rsidP="00DF61D9">
      <w:pPr>
        <w:spacing w:after="0"/>
        <w:jc w:val="both"/>
        <w:rPr>
          <w:rFonts w:ascii="Arial" w:eastAsia="Times New Roman" w:hAnsi="Arial" w:cs="Arial"/>
          <w:lang w:eastAsia="es-ES"/>
        </w:rPr>
      </w:pPr>
    </w:p>
    <w:p w14:paraId="08FB7734"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Es importante señalar que la calibración</w:t>
      </w:r>
      <w:r w:rsidRPr="00DF61D9">
        <w:rPr>
          <w:rFonts w:ascii="Arial" w:hAnsi="Arial" w:cs="Arial"/>
          <w:sz w:val="18"/>
          <w:szCs w:val="18"/>
          <w:vertAlign w:val="superscript"/>
        </w:rPr>
        <w:footnoteReference w:id="10"/>
      </w:r>
      <w:r w:rsidRPr="00DF61D9">
        <w:rPr>
          <w:rFonts w:ascii="Arial" w:eastAsia="Times New Roman" w:hAnsi="Arial" w:cs="Arial"/>
          <w:sz w:val="18"/>
          <w:szCs w:val="18"/>
          <w:lang w:eastAsia="es-ES"/>
        </w:rPr>
        <w:t xml:space="preserve"> consiste en un procedimiento estándar en la construcción de modelos, donde se verifica que los datos estimados por el modelo se ajusten razonablemente a la información disponible. </w:t>
      </w:r>
    </w:p>
    <w:p w14:paraId="3218C6B4" w14:textId="77777777" w:rsidR="00DF61D9" w:rsidRPr="00DF61D9" w:rsidRDefault="00DF61D9" w:rsidP="00DF61D9">
      <w:pPr>
        <w:spacing w:after="0"/>
        <w:jc w:val="both"/>
        <w:rPr>
          <w:rFonts w:ascii="Arial" w:eastAsia="Times New Roman" w:hAnsi="Arial" w:cs="Arial"/>
          <w:sz w:val="18"/>
          <w:szCs w:val="18"/>
          <w:lang w:eastAsia="es-ES"/>
        </w:rPr>
      </w:pPr>
    </w:p>
    <w:p w14:paraId="7B8BC5CC" w14:textId="75FF3EC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En ese orden de ideas el Instituto considera que la elección de un operador hipotético existente permite la determinación de un concesionario representativo que utilice tecnología eficiente, la determinación de costos de acuerdo con las condiciones de mercados competitivos y la calibración de los resultados con información de los operadores actuales. </w:t>
      </w:r>
    </w:p>
    <w:p w14:paraId="3C301E38" w14:textId="77777777" w:rsidR="00DF61D9" w:rsidRPr="00DF61D9" w:rsidRDefault="00DF61D9" w:rsidP="00DF61D9">
      <w:pPr>
        <w:spacing w:after="0"/>
        <w:jc w:val="both"/>
        <w:rPr>
          <w:rFonts w:ascii="Arial" w:eastAsia="Times New Roman" w:hAnsi="Arial" w:cs="Arial"/>
          <w:sz w:val="18"/>
          <w:szCs w:val="18"/>
          <w:lang w:eastAsia="es-ES"/>
        </w:rPr>
      </w:pPr>
    </w:p>
    <w:p w14:paraId="1D040E9B"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De lo antes expuesto los operadores modelados para el Modelo Móvil y el Modelo Fijo son:</w:t>
      </w:r>
    </w:p>
    <w:p w14:paraId="3FB115FE" w14:textId="77777777" w:rsidR="00DF61D9" w:rsidRPr="00DF61D9" w:rsidRDefault="00DF61D9" w:rsidP="00DF61D9">
      <w:pPr>
        <w:spacing w:after="0"/>
        <w:ind w:left="426"/>
        <w:jc w:val="both"/>
        <w:rPr>
          <w:rFonts w:ascii="Arial" w:eastAsia="Times New Roman" w:hAnsi="Arial" w:cs="Arial"/>
          <w:sz w:val="18"/>
          <w:szCs w:val="18"/>
          <w:lang w:eastAsia="es-ES"/>
        </w:rPr>
      </w:pPr>
    </w:p>
    <w:p w14:paraId="07A58845"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Un operador hipotético de redes fijas basado en el AEP de redes fijas.</w:t>
      </w:r>
    </w:p>
    <w:p w14:paraId="74696E1E"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Un concesionario alternativo hipotético de redes fijas.</w:t>
      </w:r>
    </w:p>
    <w:p w14:paraId="0BB277CD"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Un operador hipotético de redes móviles basado en el AEP de redes móviles.</w:t>
      </w:r>
    </w:p>
    <w:p w14:paraId="58AAB389"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Un concesionario alternativo hipotético de redes móviles.</w:t>
      </w:r>
    </w:p>
    <w:p w14:paraId="017161C6" w14:textId="77777777" w:rsidR="006172B4" w:rsidRPr="00DF61D9" w:rsidRDefault="006172B4" w:rsidP="00CC0143">
      <w:pPr>
        <w:spacing w:after="0"/>
        <w:jc w:val="both"/>
        <w:rPr>
          <w:rFonts w:ascii="Arial" w:eastAsia="Times New Roman" w:hAnsi="Arial" w:cs="Arial"/>
          <w:b/>
          <w:sz w:val="18"/>
          <w:szCs w:val="18"/>
          <w:lang w:val="es-MX" w:eastAsia="es-ES"/>
        </w:rPr>
      </w:pPr>
    </w:p>
    <w:p w14:paraId="75C087CC" w14:textId="6800A0DA"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Configuración de la red de un concesionario eficiente</w:t>
      </w:r>
    </w:p>
    <w:p w14:paraId="76269704" w14:textId="77777777" w:rsidR="006172B4" w:rsidRPr="001B525F" w:rsidRDefault="006172B4" w:rsidP="00CC0143">
      <w:pPr>
        <w:spacing w:after="0"/>
        <w:jc w:val="both"/>
        <w:rPr>
          <w:rFonts w:ascii="Arial" w:eastAsia="Times New Roman" w:hAnsi="Arial" w:cs="Arial"/>
          <w:sz w:val="18"/>
          <w:szCs w:val="18"/>
          <w:lang w:eastAsia="es-ES"/>
        </w:rPr>
      </w:pPr>
    </w:p>
    <w:p w14:paraId="160CDB33"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0641E369" w14:textId="77777777" w:rsidR="00DF61D9" w:rsidRPr="00DF61D9" w:rsidRDefault="00DF61D9" w:rsidP="00DF61D9">
      <w:pPr>
        <w:spacing w:after="0"/>
        <w:jc w:val="both"/>
        <w:rPr>
          <w:rFonts w:ascii="Arial" w:eastAsia="Times New Roman" w:hAnsi="Arial" w:cs="Arial"/>
          <w:sz w:val="18"/>
          <w:szCs w:val="18"/>
          <w:lang w:eastAsia="es-ES"/>
        </w:rPr>
      </w:pPr>
    </w:p>
    <w:p w14:paraId="45737CE3" w14:textId="4DA6B4C2" w:rsidR="00DF61D9" w:rsidRPr="00DF61D9" w:rsidRDefault="00527601" w:rsidP="00DF61D9">
      <w:pPr>
        <w:spacing w:after="0"/>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Se considera </w:t>
      </w:r>
      <w:r w:rsidR="00604B14">
        <w:rPr>
          <w:rFonts w:ascii="Arial" w:eastAsia="Times New Roman" w:hAnsi="Arial" w:cs="Arial"/>
          <w:sz w:val="18"/>
          <w:szCs w:val="18"/>
          <w:lang w:eastAsia="es-ES"/>
        </w:rPr>
        <w:t xml:space="preserve">que </w:t>
      </w:r>
      <w:r w:rsidR="00F75C87">
        <w:rPr>
          <w:rFonts w:ascii="Arial" w:eastAsia="Times New Roman" w:hAnsi="Arial" w:cs="Arial"/>
          <w:sz w:val="18"/>
          <w:szCs w:val="18"/>
          <w:lang w:eastAsia="es-ES"/>
        </w:rPr>
        <w:t>los modelos deben</w:t>
      </w:r>
      <w:r w:rsidR="00DF61D9" w:rsidRPr="00DF61D9">
        <w:rPr>
          <w:rFonts w:ascii="Arial" w:eastAsia="Times New Roman" w:hAnsi="Arial" w:cs="Arial"/>
          <w:sz w:val="18"/>
          <w:szCs w:val="18"/>
          <w:lang w:eastAsia="es-ES"/>
        </w:rPr>
        <w:t xml:space="preserve"> </w:t>
      </w:r>
      <w:r w:rsidR="006F1FC5" w:rsidRPr="00DF61D9">
        <w:rPr>
          <w:rFonts w:ascii="Arial" w:eastAsia="Times New Roman" w:hAnsi="Arial" w:cs="Arial"/>
          <w:sz w:val="18"/>
          <w:szCs w:val="18"/>
          <w:lang w:eastAsia="es-ES"/>
        </w:rPr>
        <w:t>asumir</w:t>
      </w:r>
      <w:r w:rsidR="00DF61D9" w:rsidRPr="00DF61D9">
        <w:rPr>
          <w:rFonts w:ascii="Arial" w:eastAsia="Times New Roman" w:hAnsi="Arial" w:cs="Arial"/>
          <w:sz w:val="18"/>
          <w:szCs w:val="18"/>
          <w:lang w:eastAsia="es-ES"/>
        </w:rPr>
        <w:t xml:space="preserve"> cobertura cuasinacional</w:t>
      </w:r>
      <w:r w:rsidR="006F1FC5">
        <w:rPr>
          <w:rFonts w:ascii="Arial" w:eastAsia="Times New Roman" w:hAnsi="Arial" w:cs="Arial"/>
          <w:sz w:val="18"/>
          <w:szCs w:val="18"/>
          <w:lang w:eastAsia="es-ES"/>
        </w:rPr>
        <w:t xml:space="preserve">. </w:t>
      </w:r>
      <w:r w:rsidR="00DF61D9" w:rsidRPr="00BE5644">
        <w:rPr>
          <w:rFonts w:ascii="Arial" w:eastAsia="Times New Roman" w:hAnsi="Arial" w:cs="Arial"/>
          <w:sz w:val="18"/>
          <w:szCs w:val="18"/>
          <w:lang w:eastAsia="es-ES"/>
        </w:rPr>
        <w:t xml:space="preserve">Si una cobertura de ámbito inferior al nacional fuese a redundar en diferencias de costos considerables y exógenos, podría argumentarse a favor de modelar la cobertura de menor ámbito. Sin embargo, </w:t>
      </w:r>
      <w:r w:rsidR="00A56DC7" w:rsidRPr="004E12D2">
        <w:rPr>
          <w:rFonts w:ascii="Arial" w:eastAsia="Times New Roman" w:hAnsi="Arial" w:cs="Arial"/>
          <w:sz w:val="18"/>
          <w:szCs w:val="18"/>
          <w:lang w:eastAsia="es-ES"/>
        </w:rPr>
        <w:t xml:space="preserve">los operadores móviles operan a nivel nacional, así mismo, </w:t>
      </w:r>
      <w:r w:rsidR="00DF61D9" w:rsidRPr="00BE5644">
        <w:rPr>
          <w:rFonts w:ascii="Arial" w:eastAsia="Times New Roman" w:hAnsi="Arial" w:cs="Arial"/>
          <w:sz w:val="18"/>
          <w:szCs w:val="18"/>
          <w:lang w:eastAsia="es-ES"/>
        </w:rPr>
        <w:t xml:space="preserve">los operadores regionales de cable no están limitados por factores exógenos para ampliar su cobertura ya que pueden expandir sus redes o fusionarse con otros operadores. Por lo tanto, no es probable que se reflejen costos distintos a nivel regional por economías de escala geográficas menores a los costos de un operador eficiente </w:t>
      </w:r>
      <w:r w:rsidR="00DF61D9" w:rsidRPr="00BE5644">
        <w:rPr>
          <w:rFonts w:ascii="Arial" w:hAnsi="Arial" w:cs="Arial"/>
          <w:sz w:val="18"/>
          <w:szCs w:val="18"/>
        </w:rPr>
        <w:t>nacional</w:t>
      </w:r>
      <w:r w:rsidR="00DF61D9" w:rsidRPr="00BE5644">
        <w:rPr>
          <w:rFonts w:ascii="Arial" w:eastAsia="Times New Roman" w:hAnsi="Arial" w:cs="Arial"/>
          <w:sz w:val="18"/>
          <w:szCs w:val="18"/>
          <w:lang w:eastAsia="es-ES"/>
        </w:rPr>
        <w:t>.</w:t>
      </w:r>
    </w:p>
    <w:p w14:paraId="7A8AEBCD" w14:textId="77777777" w:rsidR="00DF61D9" w:rsidRPr="00657BA6" w:rsidRDefault="00DF61D9" w:rsidP="00DF61D9">
      <w:pPr>
        <w:spacing w:after="0"/>
        <w:jc w:val="both"/>
        <w:rPr>
          <w:rFonts w:ascii="Arial" w:eastAsia="Times New Roman" w:hAnsi="Arial" w:cs="Arial"/>
          <w:lang w:eastAsia="es-ES"/>
        </w:rPr>
      </w:pPr>
    </w:p>
    <w:p w14:paraId="3E85016C"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En consecuencia, se modelan niveles de cobertura geográfica comparables con los ofrecidos por los operadores mexicanos. </w:t>
      </w:r>
    </w:p>
    <w:p w14:paraId="0F946015" w14:textId="77777777" w:rsidR="00DF61D9" w:rsidRPr="00DF61D9" w:rsidRDefault="00DF61D9" w:rsidP="00DF61D9">
      <w:pPr>
        <w:spacing w:after="0"/>
        <w:jc w:val="both"/>
        <w:rPr>
          <w:rFonts w:ascii="Arial" w:eastAsia="Times New Roman" w:hAnsi="Arial" w:cs="Arial"/>
          <w:sz w:val="18"/>
          <w:szCs w:val="18"/>
          <w:lang w:eastAsia="es-ES"/>
        </w:rPr>
      </w:pPr>
    </w:p>
    <w:p w14:paraId="4A36C2EC" w14:textId="25953124" w:rsidR="00DF61D9" w:rsidRPr="00DF61D9" w:rsidRDefault="00DF61D9" w:rsidP="004A0A71">
      <w:pPr>
        <w:pStyle w:val="Prrafodelista"/>
        <w:numPr>
          <w:ilvl w:val="0"/>
          <w:numId w:val="63"/>
        </w:numPr>
        <w:spacing w:line="276" w:lineRule="auto"/>
        <w:ind w:left="709" w:hanging="357"/>
        <w:jc w:val="both"/>
        <w:rPr>
          <w:rFonts w:cs="Arial"/>
          <w:sz w:val="18"/>
          <w:szCs w:val="14"/>
        </w:rPr>
      </w:pPr>
      <w:r w:rsidRPr="00DF61D9">
        <w:rPr>
          <w:rFonts w:cs="Arial"/>
          <w:sz w:val="18"/>
          <w:szCs w:val="14"/>
        </w:rPr>
        <w:lastRenderedPageBreak/>
        <w:t xml:space="preserve">Operador hipotético de redes fijas representativo del AEP: </w:t>
      </w:r>
      <w:r w:rsidR="00A56DC7">
        <w:rPr>
          <w:rFonts w:cs="Arial"/>
          <w:sz w:val="18"/>
          <w:szCs w:val="14"/>
        </w:rPr>
        <w:t>cobertura</w:t>
      </w:r>
      <w:r w:rsidR="001C02E6">
        <w:rPr>
          <w:rFonts w:cs="Arial"/>
          <w:sz w:val="18"/>
          <w:szCs w:val="14"/>
        </w:rPr>
        <w:t xml:space="preserve"> hipotética estimada</w:t>
      </w:r>
      <w:r w:rsidR="00A56DC7">
        <w:rPr>
          <w:rFonts w:cs="Arial"/>
          <w:sz w:val="18"/>
          <w:szCs w:val="14"/>
        </w:rPr>
        <w:t xml:space="preserve"> similar a la provista por el AEP en redes fijas.</w:t>
      </w:r>
    </w:p>
    <w:p w14:paraId="31E0A18A" w14:textId="1420C482" w:rsidR="00DF61D9" w:rsidRPr="00DF61D9" w:rsidRDefault="00DF61D9" w:rsidP="004A0A71">
      <w:pPr>
        <w:pStyle w:val="Prrafodelista"/>
        <w:numPr>
          <w:ilvl w:val="0"/>
          <w:numId w:val="63"/>
        </w:numPr>
        <w:spacing w:line="276" w:lineRule="auto"/>
        <w:ind w:left="709" w:hanging="357"/>
        <w:jc w:val="both"/>
        <w:rPr>
          <w:rFonts w:cs="Arial"/>
          <w:sz w:val="18"/>
          <w:szCs w:val="14"/>
        </w:rPr>
      </w:pPr>
      <w:r w:rsidRPr="00DF61D9">
        <w:rPr>
          <w:rFonts w:cs="Arial"/>
          <w:sz w:val="18"/>
          <w:szCs w:val="14"/>
        </w:rPr>
        <w:t xml:space="preserve">Concesionario alternativo hipotético de redes fijas: cobertura </w:t>
      </w:r>
      <w:r w:rsidR="00E024DA">
        <w:rPr>
          <w:rFonts w:cs="Arial"/>
          <w:sz w:val="18"/>
          <w:szCs w:val="14"/>
        </w:rPr>
        <w:t>hipotética estimada</w:t>
      </w:r>
      <w:r w:rsidR="009F7AF8">
        <w:rPr>
          <w:rFonts w:cs="Arial"/>
          <w:sz w:val="18"/>
          <w:szCs w:val="14"/>
        </w:rPr>
        <w:t xml:space="preserve"> con</w:t>
      </w:r>
      <w:r w:rsidR="00A56DC7">
        <w:rPr>
          <w:rFonts w:cs="Arial"/>
          <w:sz w:val="18"/>
          <w:szCs w:val="14"/>
        </w:rPr>
        <w:t xml:space="preserve"> </w:t>
      </w:r>
      <w:r w:rsidR="00613C33">
        <w:rPr>
          <w:rFonts w:cs="Arial"/>
          <w:sz w:val="18"/>
          <w:szCs w:val="14"/>
        </w:rPr>
        <w:t xml:space="preserve">la </w:t>
      </w:r>
      <w:r w:rsidR="00A56DC7">
        <w:rPr>
          <w:rFonts w:cs="Arial"/>
          <w:sz w:val="18"/>
          <w:szCs w:val="14"/>
        </w:rPr>
        <w:t>provista por los concesionarios alternativos al AEP con red de acceso fija de escala nacional</w:t>
      </w:r>
      <w:r w:rsidRPr="00DF61D9">
        <w:rPr>
          <w:rFonts w:cs="Arial"/>
          <w:sz w:val="18"/>
          <w:szCs w:val="14"/>
        </w:rPr>
        <w:t>.</w:t>
      </w:r>
    </w:p>
    <w:p w14:paraId="11A201C1" w14:textId="67A47CC9" w:rsidR="00DF61D9" w:rsidRPr="00DF61D9" w:rsidRDefault="00DF61D9" w:rsidP="004A0A71">
      <w:pPr>
        <w:pStyle w:val="Prrafodelista"/>
        <w:numPr>
          <w:ilvl w:val="0"/>
          <w:numId w:val="63"/>
        </w:numPr>
        <w:spacing w:line="276" w:lineRule="auto"/>
        <w:ind w:left="709" w:hanging="357"/>
        <w:jc w:val="both"/>
        <w:rPr>
          <w:rFonts w:cs="Arial"/>
          <w:sz w:val="18"/>
          <w:szCs w:val="14"/>
        </w:rPr>
      </w:pPr>
      <w:r w:rsidRPr="00DF61D9">
        <w:rPr>
          <w:rFonts w:cs="Arial"/>
          <w:sz w:val="18"/>
          <w:szCs w:val="14"/>
        </w:rPr>
        <w:t>Operador hipotético de redes móviles representativo del AEP: cobertura</w:t>
      </w:r>
      <w:r w:rsidR="008D32BE">
        <w:rPr>
          <w:rFonts w:cs="Arial"/>
          <w:sz w:val="18"/>
          <w:szCs w:val="14"/>
        </w:rPr>
        <w:t xml:space="preserve"> hipotética</w:t>
      </w:r>
      <w:r w:rsidRPr="00DF61D9">
        <w:rPr>
          <w:rFonts w:cs="Arial"/>
          <w:sz w:val="18"/>
          <w:szCs w:val="14"/>
        </w:rPr>
        <w:t xml:space="preserve"> similar a la provista por el AEP en redes móviles.</w:t>
      </w:r>
    </w:p>
    <w:p w14:paraId="0F29FBB1" w14:textId="7A1FA245" w:rsidR="00DF61D9" w:rsidRPr="00DF61D9" w:rsidRDefault="00DF61D9" w:rsidP="004A0A71">
      <w:pPr>
        <w:pStyle w:val="Prrafodelista"/>
        <w:numPr>
          <w:ilvl w:val="0"/>
          <w:numId w:val="63"/>
        </w:numPr>
        <w:spacing w:line="276" w:lineRule="auto"/>
        <w:ind w:left="709" w:hanging="357"/>
        <w:jc w:val="both"/>
        <w:rPr>
          <w:rFonts w:cs="Arial"/>
          <w:sz w:val="18"/>
          <w:szCs w:val="14"/>
        </w:rPr>
      </w:pPr>
      <w:r w:rsidRPr="00DF61D9">
        <w:rPr>
          <w:rFonts w:cs="Arial"/>
          <w:sz w:val="18"/>
          <w:szCs w:val="14"/>
        </w:rPr>
        <w:t>Concesionario alternativo hipotético de redes móviles: cobertura</w:t>
      </w:r>
      <w:r w:rsidR="00CF43BC">
        <w:rPr>
          <w:rFonts w:cs="Arial"/>
          <w:sz w:val="18"/>
          <w:szCs w:val="14"/>
        </w:rPr>
        <w:t xml:space="preserve"> hipotética estimada</w:t>
      </w:r>
      <w:r w:rsidRPr="00DF61D9">
        <w:rPr>
          <w:rFonts w:cs="Arial"/>
          <w:sz w:val="18"/>
          <w:szCs w:val="14"/>
        </w:rPr>
        <w:t xml:space="preserve"> </w:t>
      </w:r>
      <w:r w:rsidR="00CF43BC">
        <w:rPr>
          <w:rFonts w:cs="Arial"/>
          <w:sz w:val="18"/>
          <w:szCs w:val="14"/>
        </w:rPr>
        <w:t xml:space="preserve">con la </w:t>
      </w:r>
      <w:r w:rsidRPr="00DF61D9">
        <w:rPr>
          <w:rFonts w:cs="Arial"/>
          <w:sz w:val="18"/>
          <w:szCs w:val="14"/>
        </w:rPr>
        <w:t>provista por los concesionarios alternativos al AEP con red de acceso móvil de escala nacional.</w:t>
      </w:r>
    </w:p>
    <w:p w14:paraId="20F63FF5" w14:textId="77777777" w:rsidR="006172B4" w:rsidRPr="001B525F" w:rsidRDefault="006172B4" w:rsidP="00CC0143">
      <w:pPr>
        <w:spacing w:after="0"/>
        <w:ind w:left="426"/>
        <w:jc w:val="both"/>
        <w:rPr>
          <w:rFonts w:ascii="Arial" w:eastAsia="Times New Roman" w:hAnsi="Arial" w:cs="Arial"/>
          <w:sz w:val="18"/>
          <w:szCs w:val="18"/>
          <w:lang w:eastAsia="es-ES"/>
        </w:rPr>
      </w:pPr>
    </w:p>
    <w:p w14:paraId="22005C64" w14:textId="7B27B8D0"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Tamaño de un concesionario eficiente</w:t>
      </w:r>
    </w:p>
    <w:p w14:paraId="02E53FA0" w14:textId="77777777" w:rsidR="006172B4" w:rsidRPr="001B525F" w:rsidRDefault="006172B4" w:rsidP="00CC0143">
      <w:pPr>
        <w:spacing w:after="0"/>
        <w:ind w:left="993"/>
        <w:jc w:val="both"/>
        <w:rPr>
          <w:rFonts w:ascii="Arial" w:eastAsia="Times New Roman" w:hAnsi="Arial" w:cs="Arial"/>
          <w:b/>
          <w:sz w:val="18"/>
          <w:szCs w:val="18"/>
          <w:lang w:eastAsia="es-ES"/>
        </w:rPr>
      </w:pPr>
    </w:p>
    <w:p w14:paraId="5D02C43A"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Uno de los principales parámetros para definir a un operador hipotético es el de determinar su tamaño potencial. Con este fin, normalmente se define la cuota de mercado que se supone razonable para este operador y, adicionalmente, la evolución de la cuota de mercado del operador en el tiempo.</w:t>
      </w:r>
    </w:p>
    <w:p w14:paraId="4E2EBE76" w14:textId="77777777" w:rsidR="00DF61D9" w:rsidRPr="00DF61D9" w:rsidRDefault="00DF61D9" w:rsidP="00DF61D9">
      <w:pPr>
        <w:spacing w:after="0"/>
        <w:jc w:val="both"/>
        <w:rPr>
          <w:rFonts w:ascii="Arial" w:eastAsia="Times New Roman" w:hAnsi="Arial" w:cs="Arial"/>
          <w:sz w:val="18"/>
          <w:szCs w:val="18"/>
          <w:lang w:eastAsia="es-ES"/>
        </w:rPr>
      </w:pPr>
    </w:p>
    <w:p w14:paraId="724D8317"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Los parámetros seleccionados para definir la cuota de mercado de un operador en el tiempo tienen un impacto sobre el nivel de los costos económicos calculados por el modelo. Estos costos pueden cambiar si las economías de escala en el corto plazo (despliegue de red en los primeros años) y en el largo plazo (costo del espectro) son explotados en su totalidad. Cuanto más rápido crezca un operador,</w:t>
      </w:r>
      <w:r w:rsidRPr="00DF61D9">
        <w:rPr>
          <w:rFonts w:ascii="Arial" w:eastAsia="Times New Roman" w:hAnsi="Arial" w:cs="Arial"/>
          <w:sz w:val="18"/>
          <w:szCs w:val="18"/>
          <w:vertAlign w:val="superscript"/>
          <w:lang w:eastAsia="es-ES"/>
        </w:rPr>
        <w:footnoteReference w:id="11"/>
      </w:r>
      <w:r w:rsidRPr="00DF61D9">
        <w:rPr>
          <w:rFonts w:ascii="Arial" w:eastAsia="Times New Roman" w:hAnsi="Arial" w:cs="Arial"/>
          <w:sz w:val="18"/>
          <w:szCs w:val="18"/>
          <w:lang w:eastAsia="es-ES"/>
        </w:rPr>
        <w:t xml:space="preserve"> menor será el costo unitario eventual.</w:t>
      </w:r>
    </w:p>
    <w:p w14:paraId="22AAFB79" w14:textId="77777777" w:rsidR="00DF61D9" w:rsidRPr="00DF61D9" w:rsidRDefault="00DF61D9" w:rsidP="00DF61D9">
      <w:pPr>
        <w:spacing w:after="0"/>
        <w:jc w:val="both"/>
        <w:rPr>
          <w:rFonts w:ascii="Arial" w:eastAsia="Times New Roman" w:hAnsi="Arial" w:cs="Arial"/>
          <w:sz w:val="18"/>
          <w:szCs w:val="18"/>
          <w:lang w:eastAsia="es-ES"/>
        </w:rPr>
      </w:pPr>
    </w:p>
    <w:p w14:paraId="147E1D03"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La cuota del operador hipotético representativo del AEP debe estar alineada con la experimentada en el mercado, tanto para redes móviles como para redes fijas, para poder dotarlo de unas economías de escala proporcionales a su realidad. Por este motivo, el operador hipotético representativo del AEP de redes móviles se modelará para alinearse con el tamaño real observado para el AEP móvil y el operador hipotético representativo del AEP de redes fijas se adaptará para alinearse con el tamaño del AEP fijo.</w:t>
      </w:r>
    </w:p>
    <w:p w14:paraId="452BBD94" w14:textId="77777777" w:rsidR="00DF61D9" w:rsidRPr="00DF61D9" w:rsidRDefault="00DF61D9" w:rsidP="00DF61D9">
      <w:pPr>
        <w:spacing w:after="0"/>
        <w:jc w:val="both"/>
        <w:rPr>
          <w:rFonts w:ascii="Arial" w:eastAsia="Times New Roman" w:hAnsi="Arial" w:cs="Arial"/>
          <w:sz w:val="18"/>
          <w:szCs w:val="18"/>
          <w:lang w:eastAsia="es-ES"/>
        </w:rPr>
      </w:pPr>
    </w:p>
    <w:p w14:paraId="3A14A72A" w14:textId="77777777" w:rsid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Por otro lado, el tamaño de la red del operador hipotético alternativo será el promedio de los principales concesionarios alternativos al AEP en el mercado, descartando aquellos con una cuota de mercado (en términos de conexiones) menor al 10%. </w:t>
      </w:r>
    </w:p>
    <w:p w14:paraId="448F01C0" w14:textId="77777777" w:rsidR="006758E7" w:rsidRDefault="006758E7" w:rsidP="00DF61D9">
      <w:pPr>
        <w:spacing w:after="0"/>
        <w:jc w:val="both"/>
        <w:rPr>
          <w:rFonts w:ascii="Arial" w:eastAsia="Times New Roman" w:hAnsi="Arial" w:cs="Arial"/>
          <w:sz w:val="18"/>
          <w:szCs w:val="18"/>
          <w:lang w:eastAsia="es-ES"/>
        </w:rPr>
      </w:pPr>
    </w:p>
    <w:p w14:paraId="35A8F0A4" w14:textId="77777777" w:rsidR="006758E7" w:rsidRDefault="006758E7" w:rsidP="006758E7">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En el mercado fijo se observa que, si bien no existe un concesionario alternativo al AEP con una red de tamaño nacional, existen varios con presencia dispersa, pero relevante, en las distintas entidades federativas. Una aproximación razonable de definir el operador hipotético alternativo de redes fijas es la de estimar la cuota de mercado de los principales operadores en cada una de las entidades federativas, obteniendo el tamaño a nivel nacional como el promedio ponderado de las cuotas de mercado de los concesionarios alternativos al AEP en las distintas entidades federativas. Siguiendo una metodología alineada con la empleada en el modelo móvil, se considera razonable descartar aquellos operadores de menor tamaño en cada una de las entidades federativas (esto es, aquellos que no alcancen una cuota a nivel de Entidad Federativa superior al 10%).</w:t>
      </w:r>
    </w:p>
    <w:p w14:paraId="2A3CD616" w14:textId="77777777" w:rsidR="00DA5D8C" w:rsidRDefault="00DA5D8C" w:rsidP="006758E7">
      <w:pPr>
        <w:spacing w:after="0"/>
        <w:jc w:val="both"/>
        <w:rPr>
          <w:rFonts w:ascii="Arial" w:eastAsia="Times New Roman" w:hAnsi="Arial" w:cs="Arial"/>
          <w:sz w:val="18"/>
          <w:szCs w:val="18"/>
          <w:lang w:eastAsia="es-ES"/>
        </w:rPr>
      </w:pPr>
    </w:p>
    <w:p w14:paraId="6E3D4428" w14:textId="6A679ECB" w:rsidR="00DA5D8C" w:rsidRPr="00967F7D" w:rsidRDefault="00DA5D8C" w:rsidP="00DA5D8C">
      <w:pPr>
        <w:spacing w:after="0"/>
        <w:jc w:val="both"/>
        <w:rPr>
          <w:rFonts w:ascii="Arial" w:eastAsia="Times New Roman" w:hAnsi="Arial" w:cs="Arial"/>
          <w:sz w:val="18"/>
          <w:szCs w:val="18"/>
          <w:lang w:eastAsia="es-ES"/>
        </w:rPr>
      </w:pPr>
      <w:r w:rsidRPr="00967F7D">
        <w:rPr>
          <w:rFonts w:ascii="Arial" w:eastAsia="Times New Roman" w:hAnsi="Arial" w:cs="Arial"/>
          <w:sz w:val="18"/>
          <w:szCs w:val="18"/>
          <w:lang w:eastAsia="es-ES"/>
        </w:rPr>
        <w:t>La participación de mercado estimada para 2025 en el modelo 2024-2026 de los operadores fijos modelados es de 41.77% para el operador fijo de escala y alcance del AEP y 25% para el operador alternativo, correspondientes a las participaciones en un mercado en el que se puede asumir que cada usuario tiene al menos dos opciones de operador. Esta participación se alcanza en el modelo a partir del despliegue inicial modelado (2010)</w:t>
      </w:r>
      <w:r w:rsidR="00227C25">
        <w:rPr>
          <w:rFonts w:ascii="Arial" w:eastAsia="Times New Roman" w:hAnsi="Arial" w:cs="Arial"/>
          <w:sz w:val="18"/>
          <w:szCs w:val="18"/>
          <w:lang w:eastAsia="es-ES"/>
        </w:rPr>
        <w:t>.</w:t>
      </w:r>
    </w:p>
    <w:p w14:paraId="455DCC47" w14:textId="77777777" w:rsidR="00DF61D9" w:rsidRPr="00DF61D9" w:rsidRDefault="00DF61D9" w:rsidP="00DF61D9">
      <w:pPr>
        <w:spacing w:after="0"/>
        <w:jc w:val="both"/>
        <w:rPr>
          <w:rFonts w:ascii="Arial" w:eastAsia="Times New Roman" w:hAnsi="Arial" w:cs="Arial"/>
          <w:sz w:val="18"/>
          <w:szCs w:val="18"/>
          <w:lang w:eastAsia="es-ES"/>
        </w:rPr>
      </w:pPr>
    </w:p>
    <w:p w14:paraId="3A72875A"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Con respecto al mercado móvil, en la actualidad, en México existen dos principales redes alternativas a la del AEP: AT&amp;T y Altán. Se hace notar que Telefónica ha decidido devolver el espectro que tiene disponible y ofrecer sus servicios a través de la red de AT&amp;T, no a través de su propia infraestructura, con lo cual es razonable no considerarse como </w:t>
      </w:r>
      <w:r w:rsidRPr="00DF61D9">
        <w:rPr>
          <w:rFonts w:ascii="Arial" w:eastAsia="Times New Roman" w:hAnsi="Arial" w:cs="Arial"/>
          <w:sz w:val="18"/>
          <w:szCs w:val="18"/>
          <w:lang w:eastAsia="es-ES"/>
        </w:rPr>
        <w:lastRenderedPageBreak/>
        <w:t>una opción para modelar la red del operador hipotético alternativo. Con respecto a Altán, además de disponer de un espectro limitado, su cuota de mercado hoy no supera el 5% de las líneas totales, por lo que podría carecer de una escala lo suficientemente relevante para influenciar el tamaño del operador hipotético alternativo. Por este motivo, se considera que solamente existe una red alternativa de un tamaño relevante para emplear en la definición del operador hipotético alternativo para el modelo móvil.</w:t>
      </w:r>
    </w:p>
    <w:p w14:paraId="163A5A4B" w14:textId="77777777" w:rsidR="00DF61D9" w:rsidRDefault="00DF61D9" w:rsidP="00DF61D9">
      <w:pPr>
        <w:spacing w:after="0"/>
        <w:jc w:val="both"/>
        <w:rPr>
          <w:rFonts w:ascii="Arial" w:eastAsia="Times New Roman" w:hAnsi="Arial" w:cs="Arial"/>
          <w:sz w:val="18"/>
          <w:szCs w:val="18"/>
          <w:lang w:eastAsia="es-ES"/>
        </w:rPr>
      </w:pPr>
    </w:p>
    <w:p w14:paraId="723E747F" w14:textId="3894680F" w:rsidR="00DA5D8C" w:rsidRPr="00967F7D" w:rsidRDefault="00DA5D8C" w:rsidP="00DA5D8C">
      <w:pPr>
        <w:spacing w:after="0"/>
        <w:jc w:val="both"/>
        <w:rPr>
          <w:rFonts w:ascii="Arial" w:eastAsia="Times New Roman" w:hAnsi="Arial" w:cs="Arial"/>
          <w:sz w:val="18"/>
          <w:szCs w:val="18"/>
          <w:lang w:eastAsia="es-ES"/>
        </w:rPr>
      </w:pPr>
      <w:r w:rsidRPr="00967F7D">
        <w:rPr>
          <w:rFonts w:ascii="Arial" w:eastAsia="Times New Roman" w:hAnsi="Arial" w:cs="Arial"/>
          <w:sz w:val="18"/>
          <w:szCs w:val="18"/>
          <w:lang w:eastAsia="es-ES"/>
        </w:rPr>
        <w:t xml:space="preserve">Para el caso de los operadores móviles, la participación en el mercado de los operadores modelados es de 63.51% para el operador hipotético de redes móviles representativo del AEP, mientras que para el caso del operador alternativo hipotético corresponde una participación de mercado de 33.43%. </w:t>
      </w:r>
      <w:r w:rsidR="00702408" w:rsidRPr="00967F7D">
        <w:rPr>
          <w:rFonts w:ascii="Arial" w:eastAsia="Times New Roman" w:hAnsi="Arial" w:cs="Arial"/>
          <w:sz w:val="18"/>
          <w:szCs w:val="18"/>
          <w:lang w:eastAsia="es-ES"/>
        </w:rPr>
        <w:t>Esta participación se alcanza en el modelo a partir del despliegue inicial modelado (201</w:t>
      </w:r>
      <w:r w:rsidR="00702408">
        <w:rPr>
          <w:rFonts w:ascii="Arial" w:eastAsia="Times New Roman" w:hAnsi="Arial" w:cs="Arial"/>
          <w:sz w:val="18"/>
          <w:szCs w:val="18"/>
          <w:lang w:eastAsia="es-ES"/>
        </w:rPr>
        <w:t>2</w:t>
      </w:r>
      <w:r w:rsidR="00702408" w:rsidRPr="00967F7D">
        <w:rPr>
          <w:rFonts w:ascii="Arial" w:eastAsia="Times New Roman" w:hAnsi="Arial" w:cs="Arial"/>
          <w:sz w:val="18"/>
          <w:szCs w:val="18"/>
          <w:lang w:eastAsia="es-ES"/>
        </w:rPr>
        <w:t>)</w:t>
      </w:r>
      <w:r w:rsidR="00702408" w:rsidRPr="00967F7D" w:rsidDel="00702408">
        <w:rPr>
          <w:rFonts w:ascii="Arial" w:eastAsia="Times New Roman" w:hAnsi="Arial" w:cs="Arial"/>
          <w:sz w:val="18"/>
          <w:szCs w:val="18"/>
          <w:lang w:eastAsia="es-ES"/>
        </w:rPr>
        <w:t xml:space="preserve"> </w:t>
      </w:r>
      <w:r w:rsidR="00282815">
        <w:rPr>
          <w:rFonts w:ascii="Arial" w:eastAsia="Times New Roman" w:hAnsi="Arial" w:cs="Arial"/>
          <w:sz w:val="18"/>
          <w:szCs w:val="18"/>
          <w:lang w:eastAsia="es-ES"/>
        </w:rPr>
        <w:t xml:space="preserve">. </w:t>
      </w:r>
    </w:p>
    <w:p w14:paraId="3B62266C" w14:textId="77777777" w:rsidR="00DA5D8C" w:rsidRPr="00DF61D9" w:rsidRDefault="00DA5D8C" w:rsidP="00DF61D9">
      <w:pPr>
        <w:spacing w:after="0"/>
        <w:jc w:val="both"/>
        <w:rPr>
          <w:rFonts w:ascii="Arial" w:eastAsia="Times New Roman" w:hAnsi="Arial" w:cs="Arial"/>
          <w:sz w:val="18"/>
          <w:szCs w:val="18"/>
          <w:lang w:eastAsia="es-ES"/>
        </w:rPr>
      </w:pPr>
    </w:p>
    <w:p w14:paraId="57A6A3EB"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Una última cuestión en lo que respecta al tamaño eficiente del operador que debe modelarse es el tiempo que requerirá para llegar a este estado estable. La velocidad con la que esto se logrará estará determinada (por separado) por la velocidad del despliegue de red y el aumento de tráfico sobre la tecnología moderna dentro del mercado fijo y móvil relevante. </w:t>
      </w:r>
    </w:p>
    <w:p w14:paraId="2EEB62D0" w14:textId="77777777" w:rsidR="00DF61D9" w:rsidRPr="00DF61D9" w:rsidRDefault="00DF61D9" w:rsidP="00DF61D9">
      <w:pPr>
        <w:spacing w:after="0"/>
        <w:jc w:val="both"/>
        <w:rPr>
          <w:rFonts w:ascii="Arial" w:eastAsia="Times New Roman" w:hAnsi="Arial" w:cs="Arial"/>
          <w:sz w:val="18"/>
          <w:szCs w:val="18"/>
          <w:lang w:eastAsia="es-ES"/>
        </w:rPr>
      </w:pPr>
    </w:p>
    <w:p w14:paraId="173A8362" w14:textId="77777777" w:rsid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En el largo plazo, los volúmenes de los operadores hipotéticos existentes modelados serán equivalentes a:</w:t>
      </w:r>
    </w:p>
    <w:p w14:paraId="4DFA6EE1" w14:textId="77777777" w:rsidR="00222F92" w:rsidRDefault="00222F92" w:rsidP="00DF61D9">
      <w:pPr>
        <w:spacing w:after="0"/>
        <w:jc w:val="both"/>
        <w:rPr>
          <w:rFonts w:ascii="Arial" w:eastAsia="Times New Roman" w:hAnsi="Arial" w:cs="Arial"/>
          <w:sz w:val="18"/>
          <w:szCs w:val="18"/>
          <w:lang w:eastAsia="es-ES"/>
        </w:rPr>
      </w:pPr>
    </w:p>
    <w:p w14:paraId="30850CA3" w14:textId="33DBE3C1" w:rsidR="00DF61D9" w:rsidRPr="00DF61D9" w:rsidRDefault="00DF61D9" w:rsidP="004A0A71">
      <w:pPr>
        <w:pStyle w:val="Prrafodelista"/>
        <w:numPr>
          <w:ilvl w:val="0"/>
          <w:numId w:val="64"/>
        </w:numPr>
        <w:spacing w:line="276" w:lineRule="auto"/>
        <w:ind w:left="709" w:hanging="357"/>
        <w:jc w:val="both"/>
        <w:rPr>
          <w:rFonts w:cs="Arial"/>
          <w:sz w:val="18"/>
          <w:szCs w:val="14"/>
        </w:rPr>
      </w:pPr>
      <w:r w:rsidRPr="00DF61D9">
        <w:rPr>
          <w:rFonts w:cs="Arial"/>
          <w:sz w:val="18"/>
          <w:szCs w:val="14"/>
        </w:rPr>
        <w:t xml:space="preserve">Operador hipotético de redes fijas representativo del AEP: Escala </w:t>
      </w:r>
      <w:r w:rsidR="005130D3">
        <w:rPr>
          <w:rFonts w:cs="Arial"/>
          <w:sz w:val="18"/>
          <w:szCs w:val="14"/>
        </w:rPr>
        <w:t xml:space="preserve">hipotética estimada con </w:t>
      </w:r>
      <w:r w:rsidRPr="00DF61D9">
        <w:rPr>
          <w:rFonts w:cs="Arial"/>
          <w:sz w:val="18"/>
          <w:szCs w:val="14"/>
        </w:rPr>
        <w:t>bas</w:t>
      </w:r>
      <w:r w:rsidR="005130D3">
        <w:rPr>
          <w:rFonts w:cs="Arial"/>
          <w:sz w:val="18"/>
          <w:szCs w:val="14"/>
        </w:rPr>
        <w:t>e</w:t>
      </w:r>
      <w:r w:rsidRPr="00DF61D9">
        <w:rPr>
          <w:rFonts w:cs="Arial"/>
          <w:sz w:val="18"/>
          <w:szCs w:val="14"/>
        </w:rPr>
        <w:t xml:space="preserve"> en la cuota de mercado del AEP fijo.</w:t>
      </w:r>
    </w:p>
    <w:p w14:paraId="7B42A4C6" w14:textId="175F73BF" w:rsidR="00DF61D9" w:rsidRPr="00DF61D9" w:rsidRDefault="00DF61D9" w:rsidP="004A0A71">
      <w:pPr>
        <w:pStyle w:val="Prrafodelista"/>
        <w:numPr>
          <w:ilvl w:val="0"/>
          <w:numId w:val="64"/>
        </w:numPr>
        <w:spacing w:line="276" w:lineRule="auto"/>
        <w:ind w:left="709" w:hanging="357"/>
        <w:jc w:val="both"/>
        <w:rPr>
          <w:rFonts w:cs="Arial"/>
          <w:sz w:val="18"/>
          <w:szCs w:val="14"/>
        </w:rPr>
      </w:pPr>
      <w:r w:rsidRPr="00DF61D9">
        <w:rPr>
          <w:rFonts w:cs="Arial"/>
          <w:sz w:val="18"/>
          <w:szCs w:val="14"/>
        </w:rPr>
        <w:t>Concesionario alternativo hipotético de redes fijas: Escala</w:t>
      </w:r>
      <w:r w:rsidR="001C788A">
        <w:rPr>
          <w:rFonts w:cs="Arial"/>
          <w:sz w:val="18"/>
          <w:szCs w:val="14"/>
        </w:rPr>
        <w:t xml:space="preserve"> </w:t>
      </w:r>
      <w:r w:rsidR="009D5B1D">
        <w:rPr>
          <w:rFonts w:cs="Arial"/>
          <w:sz w:val="18"/>
          <w:szCs w:val="14"/>
        </w:rPr>
        <w:t xml:space="preserve">hipotética </w:t>
      </w:r>
      <w:r w:rsidR="001C788A">
        <w:rPr>
          <w:rFonts w:cs="Arial"/>
          <w:sz w:val="18"/>
          <w:szCs w:val="14"/>
        </w:rPr>
        <w:t>estimada con</w:t>
      </w:r>
      <w:r w:rsidRPr="00DF61D9">
        <w:rPr>
          <w:rFonts w:cs="Arial"/>
          <w:sz w:val="18"/>
          <w:szCs w:val="14"/>
        </w:rPr>
        <w:t xml:space="preserve"> bas</w:t>
      </w:r>
      <w:r w:rsidR="001C788A">
        <w:rPr>
          <w:rFonts w:cs="Arial"/>
          <w:sz w:val="18"/>
          <w:szCs w:val="14"/>
        </w:rPr>
        <w:t>e</w:t>
      </w:r>
      <w:r w:rsidRPr="00DF61D9">
        <w:rPr>
          <w:rFonts w:cs="Arial"/>
          <w:sz w:val="18"/>
          <w:szCs w:val="14"/>
        </w:rPr>
        <w:t xml:space="preserve"> en la cuota de mercado de los concesionarios alternativos al AEP con red de acceso fija, excluyendo aquellos con una cuota de mercado menor al 10% a nivel de entidad federativa.</w:t>
      </w:r>
    </w:p>
    <w:p w14:paraId="46B83EC9" w14:textId="43E82D0B" w:rsidR="00DF61D9" w:rsidRPr="00DF61D9" w:rsidRDefault="00DF61D9" w:rsidP="004A0A71">
      <w:pPr>
        <w:pStyle w:val="Prrafodelista"/>
        <w:numPr>
          <w:ilvl w:val="0"/>
          <w:numId w:val="64"/>
        </w:numPr>
        <w:spacing w:line="276" w:lineRule="auto"/>
        <w:ind w:left="709" w:hanging="357"/>
        <w:jc w:val="both"/>
        <w:rPr>
          <w:rFonts w:cs="Arial"/>
          <w:sz w:val="18"/>
          <w:szCs w:val="14"/>
        </w:rPr>
      </w:pPr>
      <w:r w:rsidRPr="00DF61D9">
        <w:rPr>
          <w:rFonts w:cs="Arial"/>
          <w:sz w:val="18"/>
          <w:szCs w:val="14"/>
        </w:rPr>
        <w:t xml:space="preserve">Operador hipotético de redes móviles representativo del AEP: Escala </w:t>
      </w:r>
      <w:r w:rsidR="00052BC6">
        <w:rPr>
          <w:rFonts w:cs="Arial"/>
          <w:sz w:val="18"/>
          <w:szCs w:val="14"/>
        </w:rPr>
        <w:t xml:space="preserve">hipotética estimada con </w:t>
      </w:r>
      <w:r w:rsidRPr="00DF61D9">
        <w:rPr>
          <w:rFonts w:cs="Arial"/>
          <w:sz w:val="18"/>
          <w:szCs w:val="14"/>
        </w:rPr>
        <w:t>bas</w:t>
      </w:r>
      <w:r w:rsidR="00052BC6">
        <w:rPr>
          <w:rFonts w:cs="Arial"/>
          <w:sz w:val="18"/>
          <w:szCs w:val="14"/>
        </w:rPr>
        <w:t>e</w:t>
      </w:r>
      <w:r w:rsidRPr="00DF61D9">
        <w:rPr>
          <w:rFonts w:cs="Arial"/>
          <w:sz w:val="18"/>
          <w:szCs w:val="14"/>
        </w:rPr>
        <w:t xml:space="preserve"> en la cuota de mercado del AEP móvil.</w:t>
      </w:r>
    </w:p>
    <w:p w14:paraId="4C22D7E6" w14:textId="3D14E3DA" w:rsidR="00BD3B8A" w:rsidRDefault="00DF61D9" w:rsidP="004A0A71">
      <w:pPr>
        <w:pStyle w:val="Prrafodelista"/>
        <w:numPr>
          <w:ilvl w:val="0"/>
          <w:numId w:val="64"/>
        </w:numPr>
        <w:spacing w:line="276" w:lineRule="auto"/>
        <w:ind w:left="709" w:hanging="357"/>
        <w:jc w:val="both"/>
        <w:rPr>
          <w:rFonts w:cs="Arial"/>
          <w:sz w:val="18"/>
          <w:szCs w:val="14"/>
        </w:rPr>
      </w:pPr>
      <w:r w:rsidRPr="00DF61D9">
        <w:rPr>
          <w:rFonts w:cs="Arial"/>
          <w:sz w:val="18"/>
          <w:szCs w:val="14"/>
        </w:rPr>
        <w:t xml:space="preserve">Concesionario alternativo hipotético de redes móviles: Escala </w:t>
      </w:r>
      <w:r w:rsidR="00052BC6">
        <w:rPr>
          <w:rFonts w:cs="Arial"/>
          <w:sz w:val="18"/>
          <w:szCs w:val="14"/>
        </w:rPr>
        <w:t xml:space="preserve">hipotética estimada con </w:t>
      </w:r>
      <w:r w:rsidR="00052BC6" w:rsidRPr="00DF61D9">
        <w:rPr>
          <w:rFonts w:cs="Arial"/>
          <w:sz w:val="18"/>
          <w:szCs w:val="14"/>
        </w:rPr>
        <w:t>bas</w:t>
      </w:r>
      <w:r w:rsidR="00052BC6">
        <w:rPr>
          <w:rFonts w:cs="Arial"/>
          <w:sz w:val="18"/>
          <w:szCs w:val="14"/>
        </w:rPr>
        <w:t>e</w:t>
      </w:r>
      <w:r w:rsidRPr="00DF61D9">
        <w:rPr>
          <w:rFonts w:cs="Arial"/>
          <w:sz w:val="18"/>
          <w:szCs w:val="14"/>
        </w:rPr>
        <w:t xml:space="preserve"> en la cuota de mercado de los concesionarios alternativos al AEP con red de acceso móvil propia a nivel nacional, excluyendo aquellos con una cuota de mercado menor al 10%.</w:t>
      </w:r>
    </w:p>
    <w:p w14:paraId="7E7D4E37" w14:textId="77777777" w:rsidR="00651869" w:rsidRDefault="00651869" w:rsidP="00651869">
      <w:pPr>
        <w:spacing w:after="0"/>
        <w:jc w:val="both"/>
        <w:rPr>
          <w:rStyle w:val="cf01"/>
          <w:rFonts w:ascii="Arial" w:hAnsi="Arial" w:cs="Arial"/>
        </w:rPr>
      </w:pPr>
    </w:p>
    <w:p w14:paraId="09151582" w14:textId="20F05E63" w:rsidR="00E410C9" w:rsidRPr="00AA65E2" w:rsidRDefault="00E410C9" w:rsidP="00651869">
      <w:pPr>
        <w:spacing w:after="0"/>
        <w:jc w:val="both"/>
        <w:rPr>
          <w:rFonts w:ascii="Arial" w:eastAsia="Times New Roman" w:hAnsi="Arial" w:cs="Arial"/>
          <w:sz w:val="18"/>
          <w:szCs w:val="18"/>
          <w:lang w:eastAsia="es-ES"/>
        </w:rPr>
      </w:pPr>
      <w:r w:rsidRPr="00AA65E2">
        <w:rPr>
          <w:rStyle w:val="cf01"/>
          <w:rFonts w:ascii="Arial" w:hAnsi="Arial" w:cs="Arial"/>
        </w:rPr>
        <w:t>La cuota de mercado del operador modelado incluye los usuarios de proveedores de servicios alternativos (p.ej. proveedores de servicios provistos a través de internet) u operadores virtuales, ya que los volúmenes asociados a estos servicios contribuyen a las economías de escala logradas por el operador modelado.</w:t>
      </w:r>
    </w:p>
    <w:p w14:paraId="0DF02B48" w14:textId="77777777" w:rsidR="006172B4" w:rsidRPr="001B525F" w:rsidRDefault="006172B4" w:rsidP="00651869">
      <w:pPr>
        <w:spacing w:after="0"/>
        <w:jc w:val="both"/>
        <w:rPr>
          <w:rFonts w:ascii="Arial" w:eastAsia="Times New Roman" w:hAnsi="Arial" w:cs="Arial"/>
          <w:sz w:val="18"/>
          <w:szCs w:val="18"/>
          <w:lang w:eastAsia="es-ES"/>
        </w:rPr>
      </w:pPr>
    </w:p>
    <w:p w14:paraId="51B92AD5" w14:textId="3DE9F9CD"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1.2 Aspectos relacionados con la tecnología</w:t>
      </w:r>
    </w:p>
    <w:p w14:paraId="47ACFC04" w14:textId="77777777" w:rsidR="006172B4" w:rsidRPr="001B525F" w:rsidRDefault="006172B4" w:rsidP="00CC0143">
      <w:pPr>
        <w:spacing w:after="0"/>
        <w:jc w:val="both"/>
        <w:rPr>
          <w:rFonts w:ascii="Arial" w:eastAsia="Times New Roman" w:hAnsi="Arial" w:cs="Arial"/>
          <w:b/>
          <w:sz w:val="18"/>
          <w:szCs w:val="18"/>
          <w:lang w:eastAsia="es-ES"/>
        </w:rPr>
      </w:pPr>
    </w:p>
    <w:p w14:paraId="524D0450" w14:textId="5420F939"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Arquitectura moderna de red</w:t>
      </w:r>
    </w:p>
    <w:p w14:paraId="6FAB4940" w14:textId="77777777" w:rsidR="006172B4" w:rsidRPr="001B525F" w:rsidRDefault="006172B4" w:rsidP="00CC0143">
      <w:pPr>
        <w:spacing w:after="0"/>
        <w:jc w:val="both"/>
        <w:rPr>
          <w:rFonts w:ascii="Arial" w:eastAsia="Times New Roman" w:hAnsi="Arial" w:cs="Arial"/>
          <w:sz w:val="18"/>
          <w:szCs w:val="18"/>
          <w:lang w:eastAsia="es-ES"/>
        </w:rPr>
      </w:pPr>
    </w:p>
    <w:p w14:paraId="19261470"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Lineamiento Séptimo de la Metodología de Costos a la letra señala:</w:t>
      </w:r>
    </w:p>
    <w:p w14:paraId="64EACDA6" w14:textId="77777777" w:rsidR="006172B4" w:rsidRPr="001B525F" w:rsidRDefault="006172B4" w:rsidP="00CC0143">
      <w:pPr>
        <w:spacing w:after="0"/>
        <w:jc w:val="both"/>
        <w:rPr>
          <w:rFonts w:ascii="Arial" w:eastAsia="Times New Roman" w:hAnsi="Arial" w:cs="Arial"/>
          <w:sz w:val="18"/>
          <w:szCs w:val="18"/>
          <w:lang w:eastAsia="es-ES"/>
        </w:rPr>
      </w:pPr>
    </w:p>
    <w:p w14:paraId="1EE045A7"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b/>
          <w:i/>
          <w:sz w:val="16"/>
          <w:szCs w:val="16"/>
          <w:lang w:eastAsia="es-ES"/>
        </w:rPr>
        <w:t>SÉPTIMO.-</w:t>
      </w:r>
      <w:r w:rsidRPr="001B525F">
        <w:rPr>
          <w:rFonts w:ascii="Arial" w:eastAsia="Times New Roman" w:hAnsi="Arial" w:cs="Arial"/>
          <w:i/>
          <w:sz w:val="16"/>
          <w:szCs w:val="16"/>
          <w:lang w:eastAsia="es-ES"/>
        </w:rPr>
        <w:t xml:space="preserve"> Dentro del período temporal utilizado por los Modelos de Costos se deberán considerar las tecnologías eficientes disponibles, debiendo ser consistente con lo siguiente:</w:t>
      </w:r>
    </w:p>
    <w:p w14:paraId="1CDCE42C"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612A30EB" w14:textId="77777777" w:rsidR="006172B4" w:rsidRPr="001B525F" w:rsidRDefault="006172B4" w:rsidP="004A0A71">
      <w:pPr>
        <w:numPr>
          <w:ilvl w:val="0"/>
          <w:numId w:val="21"/>
        </w:numPr>
        <w:tabs>
          <w:tab w:val="left" w:pos="720"/>
        </w:tabs>
        <w:spacing w:after="0"/>
        <w:ind w:left="352" w:firstLine="0"/>
        <w:jc w:val="both"/>
        <w:rPr>
          <w:rFonts w:ascii="Arial" w:eastAsia="Times New Roman" w:hAnsi="Arial" w:cs="Arial"/>
          <w:i/>
          <w:sz w:val="16"/>
          <w:szCs w:val="16"/>
          <w:lang w:eastAsia="es-ES"/>
        </w:rPr>
      </w:pPr>
      <w:r w:rsidRPr="5459DB53">
        <w:rPr>
          <w:rFonts w:ascii="Arial" w:eastAsia="Times New Roman" w:hAnsi="Arial" w:cs="Arial"/>
          <w:i/>
          <w:sz w:val="16"/>
          <w:szCs w:val="16"/>
          <w:lang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2AA38568" w14:textId="77777777" w:rsidR="006172B4" w:rsidRPr="001B525F" w:rsidRDefault="006172B4" w:rsidP="004A0A71">
      <w:pPr>
        <w:numPr>
          <w:ilvl w:val="0"/>
          <w:numId w:val="21"/>
        </w:numPr>
        <w:tabs>
          <w:tab w:val="left" w:pos="720"/>
        </w:tabs>
        <w:spacing w:after="0"/>
        <w:ind w:left="352" w:firstLine="0"/>
        <w:jc w:val="both"/>
        <w:rPr>
          <w:rFonts w:ascii="Arial" w:eastAsia="Times New Roman" w:hAnsi="Arial" w:cs="Arial"/>
          <w:i/>
          <w:sz w:val="16"/>
          <w:szCs w:val="16"/>
          <w:lang w:val="es-ES_tradnl" w:eastAsia="es-ES"/>
        </w:rPr>
      </w:pPr>
      <w:r w:rsidRPr="001B525F">
        <w:rPr>
          <w:rFonts w:ascii="Arial" w:eastAsia="Times New Roman" w:hAnsi="Arial" w:cs="Arial"/>
          <w:i/>
          <w:sz w:val="16"/>
          <w:szCs w:val="16"/>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5E41BF0C" w14:textId="77777777" w:rsidR="006172B4" w:rsidRPr="001B525F" w:rsidRDefault="006172B4" w:rsidP="004A0A71">
      <w:pPr>
        <w:numPr>
          <w:ilvl w:val="0"/>
          <w:numId w:val="21"/>
        </w:numPr>
        <w:tabs>
          <w:tab w:val="left" w:pos="720"/>
        </w:tabs>
        <w:spacing w:after="0"/>
        <w:ind w:left="352" w:firstLine="0"/>
        <w:jc w:val="both"/>
        <w:rPr>
          <w:rFonts w:ascii="Arial" w:eastAsia="Times New Roman" w:hAnsi="Arial" w:cs="Arial"/>
          <w:i/>
          <w:sz w:val="16"/>
          <w:szCs w:val="16"/>
          <w:lang w:eastAsia="es-ES"/>
        </w:rPr>
      </w:pPr>
      <w:r w:rsidRPr="001B525F">
        <w:rPr>
          <w:rFonts w:ascii="Arial" w:eastAsia="Times New Roman" w:hAnsi="Arial" w:cs="Arial"/>
          <w:i/>
          <w:sz w:val="16"/>
          <w:szCs w:val="16"/>
          <w:lang w:val="es-ES_tradnl" w:eastAsia="es-ES"/>
        </w:rPr>
        <w:t xml:space="preserve">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 Los </w:t>
      </w:r>
      <w:r w:rsidRPr="001B525F">
        <w:rPr>
          <w:rFonts w:ascii="Arial" w:eastAsia="Times New Roman" w:hAnsi="Arial" w:cs="Arial"/>
          <w:i/>
          <w:sz w:val="16"/>
          <w:szCs w:val="16"/>
          <w:lang w:eastAsia="es-ES"/>
        </w:rPr>
        <w:t>Modelos de Costos deberán de incluir un Anexo Técnico en el que se expliquen detalladamente los supuestos, cálculos y metodología empleada en la elaboración de los mismos.</w:t>
      </w:r>
    </w:p>
    <w:p w14:paraId="1B4B0827" w14:textId="77777777" w:rsidR="006172B4" w:rsidRPr="001B525F" w:rsidRDefault="006172B4" w:rsidP="00E410C9">
      <w:pPr>
        <w:spacing w:after="0"/>
        <w:jc w:val="both"/>
        <w:rPr>
          <w:rFonts w:ascii="Arial" w:eastAsia="Times New Roman" w:hAnsi="Arial" w:cs="Arial"/>
          <w:sz w:val="18"/>
          <w:szCs w:val="18"/>
          <w:lang w:eastAsia="es-ES"/>
        </w:rPr>
      </w:pPr>
    </w:p>
    <w:p w14:paraId="36443A47" w14:textId="11134E33" w:rsidR="00E410C9" w:rsidRDefault="00DF61D9" w:rsidP="00803FF7">
      <w:pPr>
        <w:pStyle w:val="pf0"/>
        <w:spacing w:before="0" w:beforeAutospacing="0" w:after="0" w:afterAutospacing="0" w:line="276" w:lineRule="auto"/>
        <w:jc w:val="both"/>
        <w:rPr>
          <w:rFonts w:ascii="Arial" w:hAnsi="Arial" w:cs="Arial"/>
          <w:sz w:val="20"/>
          <w:szCs w:val="20"/>
        </w:rPr>
      </w:pPr>
      <w:r w:rsidRPr="00DF61D9">
        <w:rPr>
          <w:rFonts w:ascii="Arial" w:hAnsi="Arial" w:cs="Arial"/>
          <w:sz w:val="18"/>
          <w:szCs w:val="18"/>
          <w:lang w:eastAsia="es-ES"/>
        </w:rPr>
        <w:lastRenderedPageBreak/>
        <w:t>Es así como el Modelo Fijo y el Modelo Móvil tienen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w:t>
      </w:r>
      <w:r w:rsidR="000E3E3C">
        <w:rPr>
          <w:rFonts w:ascii="Arial" w:hAnsi="Arial" w:cs="Arial"/>
          <w:sz w:val="18"/>
          <w:szCs w:val="18"/>
          <w:lang w:eastAsia="es-ES"/>
        </w:rPr>
        <w:t xml:space="preserve"> </w:t>
      </w:r>
      <w:r w:rsidR="00E410C9" w:rsidRPr="000E3E3C">
        <w:rPr>
          <w:rFonts w:ascii="Arial" w:hAnsi="Arial" w:cs="Arial"/>
          <w:sz w:val="18"/>
          <w:szCs w:val="18"/>
          <w:lang w:eastAsia="es-ES"/>
        </w:rPr>
        <w:t xml:space="preserve">Asimismo, se </w:t>
      </w:r>
      <w:r w:rsidR="00E410C9" w:rsidRPr="00C94C16">
        <w:rPr>
          <w:rStyle w:val="cf01"/>
          <w:rFonts w:ascii="Arial" w:eastAsia="Calibri" w:hAnsi="Arial" w:cs="Arial"/>
        </w:rPr>
        <w:t xml:space="preserve">aplican las tendencias de costos de los equipos (basadas en datos de los operadores y estimaciones), que actualizan el valor de los equipos que pueda haber en el tiempo. </w:t>
      </w:r>
      <w:r w:rsidR="00803FF7">
        <w:rPr>
          <w:rStyle w:val="cf01"/>
          <w:rFonts w:ascii="Arial" w:eastAsia="Calibri" w:hAnsi="Arial" w:cs="Arial"/>
        </w:rPr>
        <w:t>Asimismo,</w:t>
      </w:r>
      <w:r w:rsidR="0092471A">
        <w:rPr>
          <w:rStyle w:val="cf01"/>
          <w:rFonts w:ascii="Arial" w:eastAsia="Calibri" w:hAnsi="Arial" w:cs="Arial"/>
        </w:rPr>
        <w:t xml:space="preserve"> </w:t>
      </w:r>
      <w:r w:rsidR="00754229">
        <w:rPr>
          <w:rStyle w:val="cf01"/>
          <w:rFonts w:ascii="Arial" w:eastAsia="Calibri" w:hAnsi="Arial" w:cs="Arial"/>
        </w:rPr>
        <w:t xml:space="preserve">estas tendencias de costos </w:t>
      </w:r>
      <w:r w:rsidR="00E410C9" w:rsidRPr="00C94C16">
        <w:rPr>
          <w:rStyle w:val="cf01"/>
          <w:rFonts w:ascii="Arial" w:eastAsia="Calibri" w:hAnsi="Arial" w:cs="Arial"/>
        </w:rPr>
        <w:t xml:space="preserve">no tienen en cuenta la inflación, por lo que </w:t>
      </w:r>
      <w:r w:rsidR="00754229">
        <w:rPr>
          <w:rStyle w:val="cf01"/>
          <w:rFonts w:ascii="Arial" w:eastAsia="Calibri" w:hAnsi="Arial" w:cs="Arial"/>
        </w:rPr>
        <w:t xml:space="preserve">representan tendencias reales, y por tanto </w:t>
      </w:r>
      <w:r w:rsidR="00F61B36">
        <w:rPr>
          <w:rStyle w:val="cf01"/>
          <w:rFonts w:ascii="Arial" w:eastAsia="Calibri" w:hAnsi="Arial" w:cs="Arial"/>
        </w:rPr>
        <w:t>representan la evolución tecnológica</w:t>
      </w:r>
      <w:r w:rsidR="00C42CA5">
        <w:rPr>
          <w:rStyle w:val="cf01"/>
          <w:rFonts w:ascii="Arial" w:eastAsia="Calibri" w:hAnsi="Arial" w:cs="Arial"/>
        </w:rPr>
        <w:t xml:space="preserve"> de una manera razonable permitiendo que el modelo de costos</w:t>
      </w:r>
      <w:r w:rsidR="00B877C6">
        <w:rPr>
          <w:rStyle w:val="cf01"/>
          <w:rFonts w:ascii="Arial" w:eastAsia="Calibri" w:hAnsi="Arial" w:cs="Arial"/>
        </w:rPr>
        <w:t xml:space="preserve"> refleje de manera </w:t>
      </w:r>
      <w:r w:rsidR="003B3BBF">
        <w:rPr>
          <w:rStyle w:val="cf01"/>
          <w:rFonts w:ascii="Arial" w:eastAsia="Calibri" w:hAnsi="Arial" w:cs="Arial"/>
        </w:rPr>
        <w:t>prospectiva</w:t>
      </w:r>
      <w:r w:rsidR="00B877C6">
        <w:rPr>
          <w:rStyle w:val="cf01"/>
          <w:rFonts w:ascii="Arial" w:eastAsia="Calibri" w:hAnsi="Arial" w:cs="Arial"/>
        </w:rPr>
        <w:t xml:space="preserve"> el supuesto de </w:t>
      </w:r>
      <w:r w:rsidR="003B3BBF">
        <w:rPr>
          <w:rStyle w:val="cf01"/>
          <w:rFonts w:ascii="Arial" w:eastAsia="Calibri" w:hAnsi="Arial" w:cs="Arial"/>
        </w:rPr>
        <w:t>tecnología moderna eficiente</w:t>
      </w:r>
      <w:r w:rsidR="00A9529D">
        <w:rPr>
          <w:rStyle w:val="cf01"/>
          <w:rFonts w:ascii="Arial" w:eastAsia="Calibri" w:hAnsi="Arial" w:cs="Arial"/>
        </w:rPr>
        <w:t xml:space="preserve"> sin necesidad de hacer variaciones significativas en los supuestos de </w:t>
      </w:r>
      <w:r w:rsidR="00E94B2D">
        <w:rPr>
          <w:rStyle w:val="cf01"/>
          <w:rFonts w:ascii="Arial" w:eastAsia="Calibri" w:hAnsi="Arial" w:cs="Arial"/>
        </w:rPr>
        <w:t>despliegue de red o uso de activos específicos</w:t>
      </w:r>
      <w:r w:rsidR="00E410C9" w:rsidRPr="00C94C16">
        <w:rPr>
          <w:rStyle w:val="cf01"/>
          <w:rFonts w:ascii="Arial" w:eastAsia="Calibri" w:hAnsi="Arial" w:cs="Arial"/>
        </w:rPr>
        <w:t>.</w:t>
      </w:r>
    </w:p>
    <w:p w14:paraId="53866400" w14:textId="727C81B1" w:rsidR="00E410C9" w:rsidRPr="00E410C9" w:rsidRDefault="00E410C9" w:rsidP="00CC0143">
      <w:pPr>
        <w:spacing w:after="0"/>
        <w:jc w:val="both"/>
        <w:rPr>
          <w:rFonts w:ascii="Arial" w:eastAsia="Times New Roman" w:hAnsi="Arial" w:cs="Arial"/>
          <w:sz w:val="18"/>
          <w:szCs w:val="18"/>
          <w:lang w:val="es-MX" w:eastAsia="es-ES"/>
        </w:rPr>
      </w:pPr>
    </w:p>
    <w:p w14:paraId="48B0DEC2" w14:textId="1005F20D" w:rsidR="006172B4" w:rsidRPr="001B525F" w:rsidRDefault="006172B4" w:rsidP="00CC0143">
      <w:pPr>
        <w:spacing w:after="0"/>
        <w:rPr>
          <w:rFonts w:ascii="Arial" w:eastAsia="Times New Roman" w:hAnsi="Arial" w:cs="Arial"/>
          <w:sz w:val="18"/>
          <w:szCs w:val="18"/>
          <w:lang w:eastAsia="es-ES"/>
        </w:rPr>
      </w:pPr>
      <w:r w:rsidRPr="001B525F">
        <w:rPr>
          <w:rFonts w:ascii="Arial" w:hAnsi="Arial" w:cs="Arial"/>
          <w:b/>
          <w:sz w:val="18"/>
          <w:szCs w:val="18"/>
        </w:rPr>
        <w:t>Red de telecomunicaciones móviles</w:t>
      </w:r>
    </w:p>
    <w:p w14:paraId="445E8F52" w14:textId="77777777" w:rsidR="006172B4" w:rsidRPr="001B525F" w:rsidRDefault="006172B4" w:rsidP="00CC0143">
      <w:pPr>
        <w:spacing w:after="0"/>
        <w:jc w:val="both"/>
        <w:rPr>
          <w:rFonts w:ascii="Arial" w:eastAsia="Times New Roman" w:hAnsi="Arial" w:cs="Arial"/>
          <w:sz w:val="18"/>
          <w:szCs w:val="18"/>
          <w:lang w:eastAsia="es-ES"/>
        </w:rPr>
      </w:pPr>
    </w:p>
    <w:p w14:paraId="3C5D43F1" w14:textId="77777777" w:rsidR="00DF61D9" w:rsidRPr="00DF61D9" w:rsidRDefault="00DF61D9" w:rsidP="00DF61D9">
      <w:pPr>
        <w:spacing w:after="0"/>
        <w:jc w:val="both"/>
        <w:rPr>
          <w:rFonts w:ascii="Arial" w:eastAsia="Times New Roman" w:hAnsi="Arial" w:cs="Arial"/>
          <w:sz w:val="18"/>
          <w:szCs w:val="18"/>
          <w:lang w:eastAsia="es-ES"/>
        </w:rPr>
      </w:pPr>
      <w:bookmarkStart w:id="5" w:name="_Hlk147492961"/>
      <w:r w:rsidRPr="00DF61D9">
        <w:rPr>
          <w:rFonts w:ascii="Arial" w:eastAsia="Times New Roman" w:hAnsi="Arial" w:cs="Arial"/>
          <w:sz w:val="18"/>
          <w:szCs w:val="18"/>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móviles y más recientemente despliegues de la tecnología 5G. La arquitectura de redes de telefonía móvil se divide en tres partes: una capa de radio, una red de conmutación y una red de transmisión. </w:t>
      </w:r>
    </w:p>
    <w:bookmarkEnd w:id="5"/>
    <w:p w14:paraId="6104592E" w14:textId="77777777" w:rsidR="00DF61D9" w:rsidRPr="00DF61D9" w:rsidRDefault="00DF61D9" w:rsidP="00DF61D9">
      <w:pPr>
        <w:spacing w:after="0"/>
        <w:rPr>
          <w:rFonts w:ascii="Arial" w:hAnsi="Arial" w:cs="Arial"/>
          <w:b/>
          <w:sz w:val="18"/>
          <w:szCs w:val="18"/>
        </w:rPr>
      </w:pPr>
    </w:p>
    <w:p w14:paraId="7EDE1160" w14:textId="77777777" w:rsidR="00DF61D9" w:rsidRPr="00DF61D9" w:rsidRDefault="00DF61D9" w:rsidP="00DF61D9">
      <w:pPr>
        <w:spacing w:after="0"/>
        <w:rPr>
          <w:rFonts w:ascii="Arial" w:hAnsi="Arial" w:cs="Arial"/>
          <w:i/>
          <w:sz w:val="18"/>
          <w:szCs w:val="18"/>
        </w:rPr>
      </w:pPr>
      <w:r w:rsidRPr="00DF61D9">
        <w:rPr>
          <w:rFonts w:ascii="Arial" w:hAnsi="Arial" w:cs="Arial"/>
          <w:i/>
          <w:sz w:val="18"/>
          <w:szCs w:val="18"/>
        </w:rPr>
        <w:t xml:space="preserve">Capa de radio </w:t>
      </w:r>
    </w:p>
    <w:p w14:paraId="284D7DA6" w14:textId="77777777" w:rsidR="00DF61D9" w:rsidRPr="00DF61D9" w:rsidRDefault="00DF61D9" w:rsidP="00DF61D9">
      <w:pPr>
        <w:spacing w:after="0"/>
        <w:ind w:left="993"/>
        <w:jc w:val="both"/>
        <w:rPr>
          <w:rFonts w:ascii="Arial" w:eastAsia="Times New Roman" w:hAnsi="Arial" w:cs="Arial"/>
          <w:sz w:val="18"/>
          <w:szCs w:val="18"/>
          <w:lang w:eastAsia="es-ES"/>
        </w:rPr>
      </w:pPr>
    </w:p>
    <w:p w14:paraId="3FDA00D4" w14:textId="6B6CB6FD"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Hay tres generaciones de estándares de tecnología móvil que podrían ser utilizados en el modelo, bien secuencialmente o de forma combinada: GSM (2G), UMTS (3G), LTE (4G) y 5G. Si bien las primeras redes en México empleaban también tecnologías como CDMA o CDMA-2000 ya no están operativas y por lo tanto</w:t>
      </w:r>
      <w:r w:rsidRPr="00DF61D9" w:rsidDel="00F54E4D">
        <w:rPr>
          <w:rFonts w:ascii="Arial" w:eastAsia="Times New Roman" w:hAnsi="Arial" w:cs="Arial"/>
          <w:sz w:val="18"/>
          <w:szCs w:val="18"/>
          <w:lang w:eastAsia="es-ES"/>
        </w:rPr>
        <w:t xml:space="preserve"> </w:t>
      </w:r>
      <w:r w:rsidRPr="00DF61D9">
        <w:rPr>
          <w:rFonts w:ascii="Arial" w:eastAsia="Times New Roman" w:hAnsi="Arial" w:cs="Arial"/>
          <w:sz w:val="18"/>
          <w:szCs w:val="18"/>
          <w:lang w:eastAsia="es-ES"/>
        </w:rPr>
        <w:t xml:space="preserve">no son relevantes para este modelo de </w:t>
      </w:r>
      <w:r w:rsidR="00315469">
        <w:rPr>
          <w:rFonts w:ascii="Arial" w:eastAsia="Times New Roman" w:hAnsi="Arial" w:cs="Arial"/>
          <w:sz w:val="18"/>
          <w:szCs w:val="18"/>
          <w:lang w:eastAsia="es-ES"/>
        </w:rPr>
        <w:t>c</w:t>
      </w:r>
      <w:r w:rsidRPr="00DF61D9">
        <w:rPr>
          <w:rFonts w:ascii="Arial" w:eastAsia="Times New Roman" w:hAnsi="Arial" w:cs="Arial"/>
          <w:sz w:val="18"/>
          <w:szCs w:val="18"/>
          <w:lang w:eastAsia="es-ES"/>
        </w:rPr>
        <w:t>ostos asc</w:t>
      </w:r>
      <w:r w:rsidR="00315469">
        <w:rPr>
          <w:rFonts w:ascii="Arial" w:eastAsia="Times New Roman" w:hAnsi="Arial" w:cs="Arial"/>
          <w:sz w:val="18"/>
          <w:szCs w:val="18"/>
          <w:lang w:eastAsia="es-ES"/>
        </w:rPr>
        <w:t>endente</w:t>
      </w:r>
      <w:r w:rsidRPr="00DF61D9">
        <w:rPr>
          <w:rFonts w:ascii="Arial" w:eastAsia="Times New Roman" w:hAnsi="Arial" w:cs="Arial"/>
          <w:sz w:val="18"/>
          <w:szCs w:val="18"/>
          <w:lang w:eastAsia="es-ES"/>
        </w:rPr>
        <w:t>.</w:t>
      </w:r>
    </w:p>
    <w:p w14:paraId="295E8F59" w14:textId="77777777" w:rsidR="00DF61D9" w:rsidRPr="00DF61D9" w:rsidRDefault="00DF61D9" w:rsidP="00DF61D9">
      <w:pPr>
        <w:tabs>
          <w:tab w:val="left" w:pos="5572"/>
        </w:tabs>
        <w:spacing w:after="0"/>
        <w:jc w:val="both"/>
        <w:rPr>
          <w:rFonts w:ascii="Arial" w:eastAsia="Times New Roman" w:hAnsi="Arial" w:cs="Arial"/>
          <w:sz w:val="18"/>
          <w:szCs w:val="18"/>
          <w:lang w:eastAsia="es-ES"/>
        </w:rPr>
      </w:pPr>
    </w:p>
    <w:p w14:paraId="2BAE0401"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La situación actual en México para las distintas tecnologías de acceso radio es la siguiente:</w:t>
      </w:r>
    </w:p>
    <w:p w14:paraId="4DDC5675" w14:textId="77777777" w:rsidR="00DF61D9" w:rsidRPr="00DF61D9" w:rsidRDefault="00DF61D9" w:rsidP="00DF61D9">
      <w:pPr>
        <w:spacing w:after="0"/>
        <w:jc w:val="both"/>
        <w:rPr>
          <w:rFonts w:ascii="Arial" w:hAnsi="Arial" w:cs="Arial"/>
          <w:sz w:val="18"/>
          <w:szCs w:val="18"/>
        </w:rPr>
      </w:pPr>
    </w:p>
    <w:p w14:paraId="18ED93E8" w14:textId="59CD80CF" w:rsidR="00DF61D9" w:rsidRPr="00DF61D9" w:rsidRDefault="00DF61D9" w:rsidP="00E721C2">
      <w:pPr>
        <w:numPr>
          <w:ilvl w:val="0"/>
          <w:numId w:val="5"/>
        </w:numPr>
        <w:spacing w:after="0"/>
        <w:ind w:left="709"/>
        <w:jc w:val="both"/>
        <w:rPr>
          <w:rFonts w:ascii="Arial" w:hAnsi="Arial" w:cs="Arial"/>
          <w:sz w:val="18"/>
          <w:szCs w:val="18"/>
        </w:rPr>
      </w:pPr>
      <w:r w:rsidRPr="00DF61D9">
        <w:rPr>
          <w:rFonts w:ascii="Arial" w:hAnsi="Arial" w:cs="Arial"/>
          <w:sz w:val="18"/>
          <w:szCs w:val="18"/>
        </w:rPr>
        <w:t>2G: Tanto Telefónica como AT&amp;T han apagado recientemente sus redes de la tecnología 2G por lo que Telcel es el único operador que mantiene la red 2G</w:t>
      </w:r>
      <w:r w:rsidRPr="009D69E1">
        <w:rPr>
          <w:rFonts w:ascii="Arial" w:hAnsi="Arial"/>
          <w:sz w:val="18"/>
          <w:szCs w:val="18"/>
          <w:vertAlign w:val="superscript"/>
        </w:rPr>
        <w:footnoteReference w:id="12"/>
      </w:r>
      <w:r w:rsidRPr="00DF61D9">
        <w:rPr>
          <w:rFonts w:ascii="Arial" w:hAnsi="Arial" w:cs="Arial"/>
          <w:sz w:val="18"/>
          <w:szCs w:val="18"/>
        </w:rPr>
        <w:t>, principalmente para tráfico de voz.</w:t>
      </w:r>
    </w:p>
    <w:p w14:paraId="6D4FF71B" w14:textId="77777777" w:rsidR="00DF61D9" w:rsidRPr="00DF61D9" w:rsidRDefault="00DF61D9" w:rsidP="00E721C2">
      <w:pPr>
        <w:numPr>
          <w:ilvl w:val="0"/>
          <w:numId w:val="5"/>
        </w:numPr>
        <w:spacing w:after="0"/>
        <w:ind w:left="709"/>
        <w:jc w:val="both"/>
        <w:rPr>
          <w:rFonts w:ascii="Arial" w:hAnsi="Arial" w:cs="Arial"/>
          <w:sz w:val="18"/>
          <w:szCs w:val="18"/>
        </w:rPr>
      </w:pPr>
      <w:r w:rsidRPr="00DF61D9">
        <w:rPr>
          <w:rFonts w:ascii="Arial" w:hAnsi="Arial" w:cs="Arial"/>
          <w:sz w:val="18"/>
          <w:szCs w:val="18"/>
        </w:rPr>
        <w:t>3G: Tanto Telcel como AT&amp;T operan redes 3G, la cual es relevante tanto para servicios de voz como para servicios de datos.</w:t>
      </w:r>
    </w:p>
    <w:p w14:paraId="2FC7C01E" w14:textId="77777777" w:rsidR="00DF61D9" w:rsidRPr="00DF61D9" w:rsidRDefault="00DF61D9" w:rsidP="00E721C2">
      <w:pPr>
        <w:numPr>
          <w:ilvl w:val="0"/>
          <w:numId w:val="5"/>
        </w:numPr>
        <w:spacing w:after="0"/>
        <w:ind w:left="709"/>
        <w:jc w:val="both"/>
        <w:rPr>
          <w:rFonts w:ascii="Arial" w:hAnsi="Arial" w:cs="Arial"/>
          <w:sz w:val="18"/>
          <w:szCs w:val="18"/>
        </w:rPr>
      </w:pPr>
      <w:r w:rsidRPr="00DF61D9">
        <w:rPr>
          <w:rFonts w:ascii="Arial" w:hAnsi="Arial" w:cs="Arial"/>
          <w:sz w:val="18"/>
          <w:szCs w:val="18"/>
        </w:rPr>
        <w:t>4G: Telcel, AT&amp;T y Altán operan redes 4G, siendo esta la principal red de transporte para servicios de datos. Adicionalmente, los distintos operadores</w:t>
      </w:r>
      <w:r w:rsidRPr="009D69E1">
        <w:rPr>
          <w:rFonts w:ascii="Arial" w:hAnsi="Arial"/>
          <w:sz w:val="18"/>
          <w:szCs w:val="18"/>
          <w:vertAlign w:val="superscript"/>
        </w:rPr>
        <w:footnoteReference w:id="13"/>
      </w:r>
      <w:r w:rsidRPr="00DF61D9">
        <w:rPr>
          <w:rFonts w:ascii="Arial" w:hAnsi="Arial" w:cs="Arial"/>
          <w:sz w:val="18"/>
          <w:szCs w:val="18"/>
        </w:rPr>
        <w:t xml:space="preserve"> comenzaron a prestar servicios de voz basados en esta tecnología a sus clientes en 2017 y 2018.</w:t>
      </w:r>
    </w:p>
    <w:p w14:paraId="1D221BBD" w14:textId="77777777" w:rsidR="00DF61D9" w:rsidRPr="00DF61D9" w:rsidRDefault="00DF61D9" w:rsidP="00E721C2">
      <w:pPr>
        <w:numPr>
          <w:ilvl w:val="0"/>
          <w:numId w:val="5"/>
        </w:numPr>
        <w:spacing w:after="0"/>
        <w:ind w:left="709"/>
        <w:jc w:val="both"/>
        <w:rPr>
          <w:rFonts w:ascii="Arial" w:hAnsi="Arial" w:cs="Arial"/>
          <w:sz w:val="18"/>
          <w:szCs w:val="18"/>
        </w:rPr>
      </w:pPr>
      <w:r w:rsidRPr="00DF61D9">
        <w:rPr>
          <w:rFonts w:ascii="Arial" w:hAnsi="Arial" w:cs="Arial"/>
          <w:sz w:val="18"/>
          <w:szCs w:val="18"/>
        </w:rPr>
        <w:t>5G: Tanto Telcel como AT&amp;T han lanzado comercialmente el servicio en los últimos meses, en la banda de 2500MHz en el caso de AT&amp;T, y en la banda de 3500MHz en el caso de Telcel.</w:t>
      </w:r>
    </w:p>
    <w:p w14:paraId="408ED729" w14:textId="77777777" w:rsidR="00DF61D9" w:rsidRPr="00DF61D9" w:rsidRDefault="00DF61D9" w:rsidP="00DF61D9">
      <w:pPr>
        <w:pStyle w:val="ListBulletCompact"/>
        <w:numPr>
          <w:ilvl w:val="0"/>
          <w:numId w:val="0"/>
        </w:numPr>
        <w:spacing w:line="276" w:lineRule="auto"/>
        <w:ind w:left="357"/>
        <w:contextualSpacing/>
        <w:rPr>
          <w:rFonts w:ascii="Arial" w:hAnsi="Arial" w:cs="Arial"/>
          <w:sz w:val="18"/>
          <w:szCs w:val="18"/>
        </w:rPr>
      </w:pPr>
    </w:p>
    <w:p w14:paraId="42E10DE5"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Con esta situación, el modelo móvil deberá considerar las tecnologías 2G, 3G, 4G y 5G, incorporando esta última de manera acorde a los planes de despliegue de los operadores. Con respecto a la tecnología 2G, se considera oportuno modelar el apagado en el año 2022, en línea con lo acontecido con las redes de varios operadores en México. El espectro utilizado para los servicios 2G se cederá en gran medida a las capas de capacidad de las tecnologías 3G y 4G. Por otra parte, es razonable considerar la tecnología VoLTE para el trasporte de voz, pues se empezó a utilizar en 2017 y 2018 y hoy en día ya absorbe un porcentaje de tráfico elevado.</w:t>
      </w:r>
    </w:p>
    <w:p w14:paraId="4EDEE767" w14:textId="77777777" w:rsidR="00DF61D9" w:rsidRPr="00DF61D9" w:rsidRDefault="00DF61D9" w:rsidP="00DF61D9">
      <w:pPr>
        <w:spacing w:after="0"/>
        <w:jc w:val="both"/>
        <w:rPr>
          <w:rFonts w:ascii="Arial" w:eastAsia="Times New Roman" w:hAnsi="Arial" w:cs="Arial"/>
          <w:sz w:val="18"/>
          <w:szCs w:val="18"/>
          <w:lang w:eastAsia="es-ES"/>
        </w:rPr>
      </w:pPr>
    </w:p>
    <w:p w14:paraId="586032C2"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hAnsi="Arial" w:cs="Arial"/>
          <w:sz w:val="18"/>
          <w:szCs w:val="18"/>
        </w:rPr>
        <w:t>En el modelo móvil se modelarán las tecnologías de radio 2G, 3G, 4G y 5G. Se considerará el apagado de la red 2G en el año 2022, para los diferentes operadores modelados. Se considerará que el despliegue de redes 5G comenzó en el año 2022, para iniciar la provisión comercial del servicio en el año 2023.</w:t>
      </w:r>
    </w:p>
    <w:p w14:paraId="37260090" w14:textId="77777777" w:rsidR="006172B4" w:rsidRPr="001B525F" w:rsidRDefault="006172B4" w:rsidP="00CC0143">
      <w:pPr>
        <w:spacing w:after="0"/>
        <w:jc w:val="both"/>
        <w:rPr>
          <w:rFonts w:ascii="Arial" w:eastAsia="Times New Roman" w:hAnsi="Arial" w:cs="Arial"/>
          <w:sz w:val="18"/>
          <w:szCs w:val="18"/>
          <w:lang w:eastAsia="es-ES"/>
        </w:rPr>
      </w:pPr>
    </w:p>
    <w:p w14:paraId="47F068FB" w14:textId="77777777" w:rsidR="006172B4" w:rsidRPr="001B525F" w:rsidRDefault="006172B4" w:rsidP="00CC0143">
      <w:pPr>
        <w:spacing w:after="0"/>
        <w:rPr>
          <w:rFonts w:ascii="Arial" w:hAnsi="Arial" w:cs="Arial"/>
          <w:sz w:val="18"/>
          <w:szCs w:val="18"/>
        </w:rPr>
      </w:pPr>
      <w:r w:rsidRPr="001B525F">
        <w:rPr>
          <w:rFonts w:ascii="Arial" w:hAnsi="Arial" w:cs="Arial"/>
          <w:i/>
          <w:sz w:val="18"/>
          <w:szCs w:val="18"/>
        </w:rPr>
        <w:t>Espectro radioeléctrico</w:t>
      </w:r>
    </w:p>
    <w:p w14:paraId="6CF848C3" w14:textId="77777777" w:rsidR="006172B4" w:rsidRPr="001B525F" w:rsidRDefault="006172B4" w:rsidP="00CC0143">
      <w:pPr>
        <w:spacing w:after="0"/>
        <w:jc w:val="both"/>
        <w:rPr>
          <w:rFonts w:ascii="Arial" w:eastAsia="Times New Roman" w:hAnsi="Arial" w:cs="Arial"/>
          <w:sz w:val="18"/>
          <w:szCs w:val="18"/>
          <w:lang w:eastAsia="es-ES"/>
        </w:rPr>
      </w:pPr>
    </w:p>
    <w:p w14:paraId="63D33841" w14:textId="10F28D95"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Para lograr altos niveles de cobertura, el costo de desplegar una red móvil estará fuertemente influenciado por la banda de frecuencia en la que se realice el despliegue. En efecto, una red de cobertura con base en una banda de espectro alta –como 3500MHz– resultará en un costo mayor que su equivalente en una banda de espectro baja –850MHz–. Esto se debe al menor radio de cobertura de las estaciones base que utilizan frecuencias en bandas de espectro como 3500MHz o 1700–2100MHz, que requieren una malla de estaciones base más estrecha y que tienen una menor penetración en edificios de las señales de 850MHz. No obstante, en muchos casos, la elección de la banda de cobertura para cada tecnología responde no solo a criterios técn</w:t>
      </w:r>
      <w:r w:rsidR="00D80985">
        <w:rPr>
          <w:rFonts w:ascii="Arial" w:hAnsi="Arial" w:cs="Arial"/>
          <w:sz w:val="18"/>
          <w:szCs w:val="18"/>
        </w:rPr>
        <w:t>icos</w:t>
      </w:r>
      <w:r w:rsidRPr="00DF61D9">
        <w:rPr>
          <w:rFonts w:ascii="Arial" w:hAnsi="Arial" w:cs="Arial"/>
          <w:sz w:val="18"/>
          <w:szCs w:val="18"/>
        </w:rPr>
        <w:t xml:space="preserve">-económicos, si no a factores condicionantes adicionales. </w:t>
      </w:r>
    </w:p>
    <w:p w14:paraId="3921F945" w14:textId="77777777" w:rsidR="00DF61D9" w:rsidRPr="00DF61D9" w:rsidRDefault="00DF61D9" w:rsidP="00DF61D9">
      <w:pPr>
        <w:spacing w:after="0"/>
        <w:jc w:val="both"/>
        <w:rPr>
          <w:rFonts w:ascii="Arial" w:hAnsi="Arial" w:cs="Arial"/>
          <w:sz w:val="18"/>
          <w:szCs w:val="18"/>
        </w:rPr>
      </w:pPr>
    </w:p>
    <w:p w14:paraId="676495DE" w14:textId="54C1D30B"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De esta manera, en México los operadores desplegaron su red de cobertura GSM inicialmente en bandas de frecuencia inferiores a 1GHz –la banda de 850MHz– para dar cobertura en aquellas regiones en las que disponían del espectro (Movistar e Iusacell, actualmente AT&amp;T, habrían desplegado su red de cobertura utilizando la banda de 1900MHz en las regiones donde no disponían de espectro en bandas inferiores a 1GHz). Cuando se comenzaron a desplegar las redes UMTS en 2007/08, los operadores siguieron un esquema de despliegue de una red de capacidad en frecuencias altas (1900MHz). Actualmente, se viene utilizando para la red 4G</w:t>
      </w:r>
      <w:r w:rsidRPr="00DF61D9">
        <w:rPr>
          <w:rStyle w:val="Refdenotaalpie"/>
          <w:rFonts w:cs="Arial"/>
          <w:sz w:val="18"/>
          <w:szCs w:val="18"/>
        </w:rPr>
        <w:footnoteReference w:id="14"/>
      </w:r>
      <w:r w:rsidRPr="00DF61D9">
        <w:rPr>
          <w:rFonts w:ascii="Arial" w:hAnsi="Arial" w:cs="Arial"/>
          <w:sz w:val="18"/>
          <w:szCs w:val="18"/>
        </w:rPr>
        <w:t xml:space="preserve"> espectro en la banda AWS (1700–2100MHz) adquirido por los operadores en la subasta de espectro que tuvo lugar en 2010 y posteriormente en 2016, así como en la banda 2500MHz subastada en 2018. Con respecto a las redes 5G, tanto Telcel como AT&amp;T han lanzado comercialmente el servicio en </w:t>
      </w:r>
      <w:r w:rsidR="009A020E">
        <w:rPr>
          <w:rFonts w:ascii="Arial" w:hAnsi="Arial" w:cs="Arial"/>
          <w:sz w:val="18"/>
          <w:szCs w:val="18"/>
        </w:rPr>
        <w:t>2023</w:t>
      </w:r>
      <w:r w:rsidRPr="00DF61D9">
        <w:rPr>
          <w:rFonts w:ascii="Arial" w:hAnsi="Arial" w:cs="Arial"/>
          <w:sz w:val="18"/>
          <w:szCs w:val="18"/>
        </w:rPr>
        <w:t>, en la banda de 3500MHz y 2500MHz respectivamente.</w:t>
      </w:r>
    </w:p>
    <w:p w14:paraId="18D662A2" w14:textId="77777777" w:rsidR="00DF61D9" w:rsidRPr="00DF61D9" w:rsidRDefault="00DF61D9" w:rsidP="00DF61D9">
      <w:pPr>
        <w:spacing w:after="0"/>
        <w:jc w:val="both"/>
        <w:rPr>
          <w:rFonts w:ascii="Arial" w:hAnsi="Arial" w:cs="Arial"/>
          <w:sz w:val="18"/>
          <w:szCs w:val="18"/>
        </w:rPr>
      </w:pPr>
    </w:p>
    <w:p w14:paraId="7392936D"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Las bandas de cobertura de los distintos operadores se basarán en las bandas empleadas por los operadores para cada una de las tecnologías.</w:t>
      </w:r>
    </w:p>
    <w:p w14:paraId="592EADBD" w14:textId="77777777" w:rsidR="00DF61D9" w:rsidRPr="00DF61D9" w:rsidRDefault="00DF61D9" w:rsidP="00DF61D9">
      <w:pPr>
        <w:spacing w:after="0"/>
        <w:jc w:val="both"/>
        <w:rPr>
          <w:rFonts w:ascii="Arial" w:hAnsi="Arial" w:cs="Arial"/>
          <w:sz w:val="18"/>
          <w:szCs w:val="18"/>
        </w:rPr>
      </w:pPr>
    </w:p>
    <w:p w14:paraId="6ECC1049"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 xml:space="preserve">Por otro lado, los operadores deben complementar el despliegue de cobertura con capacidad adicional para satisfacer las necesidades de los usuarios. En México, por ejemplo, los operadores complementaron el despliegue de cobertura GSM con un despliegue posterior de estaciones base en la banda de 1900MHz para aportar capacidad adicional a la red.  </w:t>
      </w:r>
    </w:p>
    <w:p w14:paraId="2599BE8D" w14:textId="77777777" w:rsidR="00DF61D9" w:rsidRPr="00DF61D9" w:rsidRDefault="00DF61D9" w:rsidP="00DF61D9">
      <w:pPr>
        <w:spacing w:after="0"/>
        <w:jc w:val="both"/>
        <w:rPr>
          <w:rFonts w:ascii="Arial" w:hAnsi="Arial" w:cs="Arial"/>
          <w:sz w:val="18"/>
          <w:szCs w:val="18"/>
        </w:rPr>
      </w:pPr>
    </w:p>
    <w:p w14:paraId="162FEEC8" w14:textId="1D7736CF"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 xml:space="preserve">Existen marcadas diferencias entre los operadores mexicanos en cuanto a sus tenencias de espectro, tanto en lo que respecta a la cantidad total de espectro que poseen como a nivel regional. En este sentido, creemos que es relevante asegurar consistencia en el espectro definido para los operadores hipotéticos y el tamaño del operador determinado. En el caso concreto del </w:t>
      </w:r>
      <w:r w:rsidR="00DE6B55">
        <w:rPr>
          <w:rFonts w:ascii="Arial" w:hAnsi="Arial" w:cs="Arial"/>
          <w:sz w:val="18"/>
          <w:szCs w:val="18"/>
        </w:rPr>
        <w:t>concesionario alternativo</w:t>
      </w:r>
      <w:r w:rsidRPr="00DF61D9">
        <w:rPr>
          <w:rFonts w:ascii="Arial" w:hAnsi="Arial" w:cs="Arial"/>
          <w:sz w:val="18"/>
          <w:szCs w:val="18"/>
        </w:rPr>
        <w:t xml:space="preserve"> hipotético, se deberá asegurar la razonabilidad del espectro asociado, a fin de asegurar que se cumplen con unos criterios de modularidad mínima para cada una de las tecnologías (por ejemplo, en el caso de la tecnología 4G, es menos eficiente el despliegue de portadoras de tamaño menor a 2x5 MHz en una banda concreta).</w:t>
      </w:r>
    </w:p>
    <w:p w14:paraId="47E8340A" w14:textId="77777777" w:rsidR="00DF61D9" w:rsidRPr="00DF61D9" w:rsidRDefault="00DF61D9" w:rsidP="00DF61D9">
      <w:pPr>
        <w:spacing w:after="0"/>
        <w:jc w:val="both"/>
        <w:rPr>
          <w:rFonts w:ascii="Arial" w:hAnsi="Arial" w:cs="Arial"/>
          <w:sz w:val="18"/>
          <w:szCs w:val="18"/>
        </w:rPr>
      </w:pPr>
    </w:p>
    <w:p w14:paraId="3221451E"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Se considera una asignación de espectro en línea con las tenencias de los operadores en México.</w:t>
      </w:r>
    </w:p>
    <w:p w14:paraId="41654F70" w14:textId="77777777" w:rsidR="00DF61D9" w:rsidRPr="00DF61D9" w:rsidRDefault="00DF61D9" w:rsidP="00DF61D9">
      <w:pPr>
        <w:spacing w:after="0"/>
        <w:jc w:val="both"/>
        <w:rPr>
          <w:rFonts w:ascii="Arial" w:hAnsi="Arial" w:cs="Arial"/>
          <w:sz w:val="18"/>
          <w:szCs w:val="18"/>
        </w:rPr>
      </w:pPr>
    </w:p>
    <w:p w14:paraId="66A556B9" w14:textId="6EE59E41" w:rsidR="00DF61D9" w:rsidRPr="00DF61D9" w:rsidRDefault="00DF61D9" w:rsidP="00E721C2">
      <w:pPr>
        <w:numPr>
          <w:ilvl w:val="0"/>
          <w:numId w:val="5"/>
        </w:numPr>
        <w:spacing w:after="0"/>
        <w:ind w:left="709"/>
        <w:jc w:val="both"/>
        <w:rPr>
          <w:rFonts w:ascii="Arial" w:hAnsi="Arial" w:cs="Arial"/>
          <w:sz w:val="18"/>
          <w:szCs w:val="18"/>
        </w:rPr>
      </w:pPr>
      <w:r w:rsidRPr="00DF61D9">
        <w:rPr>
          <w:rFonts w:ascii="Arial" w:hAnsi="Arial" w:cs="Arial"/>
          <w:sz w:val="18"/>
          <w:szCs w:val="18"/>
        </w:rPr>
        <w:t xml:space="preserve">Operador hipotético de redes </w:t>
      </w:r>
      <w:r w:rsidR="00984B81">
        <w:rPr>
          <w:rFonts w:ascii="Arial" w:hAnsi="Arial" w:cs="Arial"/>
          <w:sz w:val="18"/>
          <w:szCs w:val="18"/>
        </w:rPr>
        <w:t>móviles</w:t>
      </w:r>
      <w:r w:rsidRPr="00DF61D9">
        <w:rPr>
          <w:rFonts w:ascii="Arial" w:hAnsi="Arial" w:cs="Arial"/>
          <w:sz w:val="18"/>
          <w:szCs w:val="18"/>
        </w:rPr>
        <w:t xml:space="preserve"> representativo del AEP: Tenencia </w:t>
      </w:r>
      <w:r w:rsidR="00D2631D">
        <w:rPr>
          <w:rFonts w:ascii="Arial" w:hAnsi="Arial" w:cs="Arial"/>
          <w:sz w:val="18"/>
          <w:szCs w:val="18"/>
        </w:rPr>
        <w:t xml:space="preserve">hipotética </w:t>
      </w:r>
      <w:r w:rsidRPr="00DF61D9">
        <w:rPr>
          <w:rFonts w:ascii="Arial" w:hAnsi="Arial" w:cs="Arial"/>
          <w:sz w:val="18"/>
          <w:szCs w:val="18"/>
        </w:rPr>
        <w:t xml:space="preserve">de espectro </w:t>
      </w:r>
      <w:r w:rsidR="008E66E3">
        <w:rPr>
          <w:rFonts w:ascii="Arial" w:hAnsi="Arial" w:cs="Arial"/>
          <w:sz w:val="18"/>
          <w:szCs w:val="18"/>
        </w:rPr>
        <w:t>estimada con base en las tenencias del</w:t>
      </w:r>
      <w:r w:rsidRPr="00DF61D9">
        <w:rPr>
          <w:rFonts w:ascii="Arial" w:hAnsi="Arial" w:cs="Arial"/>
          <w:sz w:val="18"/>
          <w:szCs w:val="18"/>
        </w:rPr>
        <w:t xml:space="preserve"> AEP móvil.</w:t>
      </w:r>
    </w:p>
    <w:p w14:paraId="6FFCEBA5" w14:textId="4F7C7CF9" w:rsidR="00DF61D9" w:rsidRPr="00DF61D9" w:rsidRDefault="00DF61D9" w:rsidP="00E721C2">
      <w:pPr>
        <w:numPr>
          <w:ilvl w:val="0"/>
          <w:numId w:val="5"/>
        </w:numPr>
        <w:spacing w:after="0"/>
        <w:ind w:left="709"/>
        <w:jc w:val="both"/>
        <w:rPr>
          <w:rFonts w:ascii="Arial" w:hAnsi="Arial" w:cs="Arial"/>
          <w:sz w:val="18"/>
          <w:szCs w:val="18"/>
        </w:rPr>
      </w:pPr>
      <w:r w:rsidRPr="00DF61D9">
        <w:rPr>
          <w:rFonts w:ascii="Arial" w:hAnsi="Arial" w:cs="Arial"/>
          <w:sz w:val="18"/>
          <w:szCs w:val="18"/>
        </w:rPr>
        <w:lastRenderedPageBreak/>
        <w:t xml:space="preserve">Concesionario alternativo hipotético de redes móviles: Tenencia </w:t>
      </w:r>
      <w:r w:rsidR="00D2631D">
        <w:rPr>
          <w:rFonts w:ascii="Arial" w:hAnsi="Arial" w:cs="Arial"/>
          <w:sz w:val="18"/>
          <w:szCs w:val="18"/>
        </w:rPr>
        <w:t xml:space="preserve">hipotética </w:t>
      </w:r>
      <w:r w:rsidRPr="00DF61D9">
        <w:rPr>
          <w:rFonts w:ascii="Arial" w:hAnsi="Arial" w:cs="Arial"/>
          <w:sz w:val="18"/>
          <w:szCs w:val="18"/>
        </w:rPr>
        <w:t>de espectro</w:t>
      </w:r>
      <w:r w:rsidR="00545EF7">
        <w:rPr>
          <w:rFonts w:ascii="Arial" w:hAnsi="Arial" w:cs="Arial"/>
          <w:sz w:val="18"/>
          <w:szCs w:val="18"/>
        </w:rPr>
        <w:t xml:space="preserve"> estimada</w:t>
      </w:r>
      <w:r w:rsidR="00D2631D">
        <w:rPr>
          <w:rFonts w:ascii="Arial" w:hAnsi="Arial" w:cs="Arial"/>
          <w:sz w:val="18"/>
          <w:szCs w:val="18"/>
        </w:rPr>
        <w:t xml:space="preserve"> con base</w:t>
      </w:r>
      <w:r w:rsidR="005972B7">
        <w:rPr>
          <w:rFonts w:ascii="Arial" w:hAnsi="Arial" w:cs="Arial"/>
          <w:sz w:val="18"/>
          <w:szCs w:val="18"/>
        </w:rPr>
        <w:t xml:space="preserve"> en el</w:t>
      </w:r>
      <w:r w:rsidRPr="00DF61D9">
        <w:rPr>
          <w:rFonts w:ascii="Arial" w:hAnsi="Arial" w:cs="Arial"/>
          <w:sz w:val="18"/>
          <w:szCs w:val="18"/>
        </w:rPr>
        <w:t xml:space="preserve"> promedio de operadores alternativos considerados como relevantes (en línea con la definición del tamaño del operador modelado), asegurando la eficiencia en la modularidad del espectro asignado.</w:t>
      </w:r>
    </w:p>
    <w:p w14:paraId="54E8FD1F" w14:textId="77777777" w:rsidR="00DF61D9" w:rsidRPr="00DF61D9" w:rsidRDefault="00DF61D9" w:rsidP="00DF61D9">
      <w:pPr>
        <w:pStyle w:val="ListBulletCompact"/>
        <w:numPr>
          <w:ilvl w:val="0"/>
          <w:numId w:val="0"/>
        </w:numPr>
        <w:spacing w:line="276" w:lineRule="auto"/>
        <w:ind w:left="357"/>
        <w:contextualSpacing/>
        <w:rPr>
          <w:rFonts w:ascii="Arial" w:hAnsi="Arial" w:cs="Arial"/>
          <w:sz w:val="18"/>
          <w:szCs w:val="18"/>
        </w:rPr>
      </w:pPr>
    </w:p>
    <w:p w14:paraId="0943628F"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Los pagos asociados a las diferentes bandas de frecuencia se basarán en los pagos efectuados por los operadores históricos en el momento de la adquisición de la frecuencia o durante alguna renovación de la concesión de espectro. Este enfoque es consistente con la utilización del precio de mercado del espectro.</w:t>
      </w:r>
    </w:p>
    <w:p w14:paraId="7928C8AF" w14:textId="77777777" w:rsidR="00DF61D9" w:rsidRPr="00DF61D9" w:rsidRDefault="00DF61D9" w:rsidP="00DF61D9">
      <w:pPr>
        <w:spacing w:after="0"/>
        <w:jc w:val="both"/>
        <w:rPr>
          <w:rFonts w:ascii="Arial" w:hAnsi="Arial" w:cs="Arial"/>
          <w:sz w:val="18"/>
          <w:szCs w:val="18"/>
        </w:rPr>
      </w:pPr>
    </w:p>
    <w:p w14:paraId="35DB02A5" w14:textId="77777777" w:rsidR="00DF61D9" w:rsidRPr="00DF61D9" w:rsidRDefault="00DF61D9" w:rsidP="00DF61D9">
      <w:pPr>
        <w:spacing w:after="0"/>
        <w:jc w:val="both"/>
        <w:rPr>
          <w:rFonts w:ascii="Arial" w:hAnsi="Arial" w:cs="Arial"/>
          <w:sz w:val="18"/>
          <w:szCs w:val="18"/>
        </w:rPr>
      </w:pPr>
      <w:r w:rsidRPr="00DF61D9">
        <w:rPr>
          <w:rFonts w:ascii="Arial" w:hAnsi="Arial" w:cs="Arial"/>
          <w:sz w:val="18"/>
          <w:szCs w:val="18"/>
        </w:rPr>
        <w:t>El costo del espectro se modelará de la siguiente manera:</w:t>
      </w:r>
    </w:p>
    <w:p w14:paraId="2E013E7F" w14:textId="77777777" w:rsidR="00DF61D9" w:rsidRPr="00DF61D9" w:rsidRDefault="00DF61D9" w:rsidP="00DF61D9">
      <w:pPr>
        <w:spacing w:after="0"/>
        <w:jc w:val="both"/>
        <w:rPr>
          <w:rFonts w:ascii="Arial" w:hAnsi="Arial" w:cs="Arial"/>
          <w:sz w:val="18"/>
          <w:szCs w:val="18"/>
        </w:rPr>
      </w:pPr>
    </w:p>
    <w:p w14:paraId="00C75DB7"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La inversión inicial (capex) en espectro en la banda de 850MHz se calculará con base en el precio promedio pagado en la prórroga de la concesión otorgada en mayo de 2010 y, más recientemente, en 2021 por región por MHz, multiplicándolo por la cantidad de espectro que tendrá el operador hipotético.</w:t>
      </w:r>
    </w:p>
    <w:p w14:paraId="7B62E535"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La inversión inicial (capex) correspondiente al espectro en la banda PCS se calculará promediando el pago de la reciente prórroga de la concesión concedida en 2019.</w:t>
      </w:r>
    </w:p>
    <w:p w14:paraId="1C001725"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De forma similar, la inversión inicial (capex) en espectro en la banda AWS se calculará para la cantidad de espectro que posea el operador hipotético a partir del precio pagado en la subasta realizada en 2016.</w:t>
      </w:r>
    </w:p>
    <w:p w14:paraId="4A84B33E" w14:textId="77777777"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La inversión inicial (capex) aplicable a la banda de 2500MHz se calculará con base en el precio promedio pagado en la subasta de 2018.</w:t>
      </w:r>
    </w:p>
    <w:p w14:paraId="5FDD3254" w14:textId="7763AF09" w:rsidR="00DF61D9" w:rsidRPr="00E721C2" w:rsidRDefault="00DF61D9" w:rsidP="00E721C2">
      <w:pPr>
        <w:numPr>
          <w:ilvl w:val="0"/>
          <w:numId w:val="5"/>
        </w:numPr>
        <w:spacing w:after="0"/>
        <w:ind w:left="709"/>
        <w:jc w:val="both"/>
        <w:rPr>
          <w:rFonts w:ascii="Arial" w:hAnsi="Arial" w:cs="Arial"/>
          <w:sz w:val="18"/>
          <w:szCs w:val="18"/>
        </w:rPr>
      </w:pPr>
      <w:r w:rsidRPr="00E721C2">
        <w:rPr>
          <w:rFonts w:ascii="Arial" w:hAnsi="Arial" w:cs="Arial"/>
          <w:sz w:val="18"/>
          <w:szCs w:val="18"/>
        </w:rPr>
        <w:t xml:space="preserve">La inversión inicial (capex) aplicable a la banda de 3500MHz se calculará con base en el precio promedio </w:t>
      </w:r>
      <w:r w:rsidR="00691C3E">
        <w:rPr>
          <w:rFonts w:ascii="Arial" w:hAnsi="Arial" w:cs="Arial"/>
          <w:sz w:val="18"/>
          <w:szCs w:val="18"/>
        </w:rPr>
        <w:t>de la suma de lo pagado en la prórroga de la concesión otorgada en 2020 y la contraprestación pagada por la autorización para prestar el servicio móvil de 2022</w:t>
      </w:r>
      <w:r w:rsidRPr="00E721C2">
        <w:rPr>
          <w:rFonts w:ascii="Arial" w:hAnsi="Arial" w:cs="Arial"/>
          <w:sz w:val="18"/>
          <w:szCs w:val="18"/>
        </w:rPr>
        <w:t>.</w:t>
      </w:r>
    </w:p>
    <w:p w14:paraId="43E0B46E" w14:textId="77777777" w:rsidR="00DF61D9" w:rsidRPr="00DF61D9" w:rsidRDefault="00DF61D9" w:rsidP="00DF61D9">
      <w:pPr>
        <w:pStyle w:val="Listaconvietas"/>
        <w:numPr>
          <w:ilvl w:val="0"/>
          <w:numId w:val="0"/>
        </w:numPr>
        <w:spacing w:line="276" w:lineRule="auto"/>
        <w:ind w:left="360"/>
        <w:rPr>
          <w:rFonts w:cs="Arial"/>
          <w:sz w:val="18"/>
          <w:szCs w:val="20"/>
        </w:rPr>
      </w:pPr>
    </w:p>
    <w:p w14:paraId="1E76B9BA" w14:textId="77777777" w:rsidR="00DF61D9" w:rsidRPr="00DF61D9" w:rsidRDefault="00DF61D9" w:rsidP="00DF61D9">
      <w:pPr>
        <w:spacing w:after="0"/>
        <w:jc w:val="both"/>
        <w:rPr>
          <w:rFonts w:ascii="Arial" w:hAnsi="Arial" w:cs="Arial"/>
          <w:sz w:val="18"/>
          <w:szCs w:val="18"/>
        </w:rPr>
      </w:pPr>
      <w:r w:rsidRPr="00DF61D9">
        <w:rPr>
          <w:rFonts w:ascii="Arial" w:hAnsi="Arial" w:cs="Arial"/>
          <w:spacing w:val="-4"/>
          <w:sz w:val="18"/>
          <w:szCs w:val="18"/>
        </w:rPr>
        <w:t>Los costos asociados a la banda de 700MHz se calcularán sin necesidad de promediarlos, directamente con base en los pagos realizados por Altán, que es el único operador con espectro en esta banda, y figurarán como gastos operativos (opex), ya que los pagos son anuales en concepto de contraprestación por los derechos de uso y explotación del espectro.</w:t>
      </w:r>
    </w:p>
    <w:p w14:paraId="290E26A8" w14:textId="77777777" w:rsidR="006172B4" w:rsidRPr="001B525F" w:rsidRDefault="006172B4" w:rsidP="00CC0143">
      <w:pPr>
        <w:spacing w:after="0"/>
        <w:jc w:val="both"/>
        <w:rPr>
          <w:rFonts w:ascii="Arial" w:eastAsia="Times New Roman" w:hAnsi="Arial" w:cs="Arial"/>
          <w:sz w:val="18"/>
          <w:szCs w:val="18"/>
          <w:lang w:eastAsia="es-ES"/>
        </w:rPr>
      </w:pPr>
    </w:p>
    <w:p w14:paraId="1EEDCA3C" w14:textId="77777777" w:rsidR="006172B4" w:rsidRPr="001B525F" w:rsidRDefault="006172B4" w:rsidP="00CC0143">
      <w:pPr>
        <w:spacing w:after="0"/>
        <w:rPr>
          <w:rFonts w:ascii="Arial" w:hAnsi="Arial" w:cs="Arial"/>
          <w:i/>
          <w:sz w:val="18"/>
          <w:szCs w:val="18"/>
        </w:rPr>
      </w:pPr>
      <w:r w:rsidRPr="001B525F">
        <w:rPr>
          <w:rFonts w:ascii="Arial" w:hAnsi="Arial" w:cs="Arial"/>
          <w:i/>
          <w:sz w:val="18"/>
          <w:szCs w:val="18"/>
        </w:rPr>
        <w:t xml:space="preserve">Red de conmutación </w:t>
      </w:r>
    </w:p>
    <w:p w14:paraId="2374130D" w14:textId="77777777" w:rsidR="006172B4" w:rsidRPr="001B525F" w:rsidRDefault="006172B4" w:rsidP="00CC0143">
      <w:pPr>
        <w:spacing w:after="0"/>
        <w:rPr>
          <w:rFonts w:ascii="Arial" w:hAnsi="Arial" w:cs="Arial"/>
          <w:i/>
          <w:sz w:val="18"/>
          <w:szCs w:val="18"/>
        </w:rPr>
      </w:pPr>
    </w:p>
    <w:p w14:paraId="3A066439" w14:textId="77777777" w:rsidR="00DF61D9" w:rsidRPr="00DF61D9" w:rsidRDefault="00DF61D9" w:rsidP="00DF61D9">
      <w:pPr>
        <w:spacing w:after="0"/>
        <w:jc w:val="both"/>
        <w:rPr>
          <w:rFonts w:ascii="Arial" w:hAnsi="Arial" w:cs="Arial"/>
          <w:spacing w:val="-4"/>
          <w:sz w:val="18"/>
          <w:szCs w:val="18"/>
        </w:rPr>
      </w:pPr>
      <w:r w:rsidRPr="00DF61D9">
        <w:rPr>
          <w:rFonts w:ascii="Arial" w:hAnsi="Arial" w:cs="Arial"/>
          <w:spacing w:val="-4"/>
          <w:sz w:val="18"/>
          <w:szCs w:val="18"/>
        </w:rPr>
        <w:t>Se modelará una arquitectura de conmutación IP combinada para la red de conmutación. Al igual que en el modelo fijo, las plataformas del núcleo de la red del operador modelado se encuentran en los nodos core y nacionales y cumplen un papel fundamental para poder ofrecer los distintos servicios. A continuación, se listan algunas de estas plataformas con sus reglas de dimensionado:</w:t>
      </w:r>
    </w:p>
    <w:p w14:paraId="223FAA89" w14:textId="77777777" w:rsidR="00DF61D9" w:rsidRPr="00DF61D9" w:rsidRDefault="00DF61D9" w:rsidP="00DF61D9">
      <w:pPr>
        <w:pStyle w:val="Prrafodelista"/>
        <w:spacing w:line="276" w:lineRule="auto"/>
        <w:ind w:left="720"/>
        <w:contextualSpacing/>
        <w:rPr>
          <w:sz w:val="20"/>
          <w:szCs w:val="16"/>
        </w:rPr>
      </w:pPr>
    </w:p>
    <w:p w14:paraId="7F7E1CB6" w14:textId="77777777" w:rsidR="00DF61D9" w:rsidRPr="00DF61D9" w:rsidRDefault="00DF61D9" w:rsidP="004A0A71">
      <w:pPr>
        <w:pStyle w:val="Prrafodelista"/>
        <w:numPr>
          <w:ilvl w:val="0"/>
          <w:numId w:val="65"/>
        </w:numPr>
        <w:spacing w:line="276" w:lineRule="auto"/>
        <w:ind w:left="709" w:hanging="357"/>
        <w:contextualSpacing/>
        <w:jc w:val="both"/>
        <w:rPr>
          <w:sz w:val="18"/>
          <w:szCs w:val="14"/>
        </w:rPr>
      </w:pPr>
      <w:r w:rsidRPr="00DF61D9">
        <w:rPr>
          <w:sz w:val="18"/>
          <w:szCs w:val="14"/>
        </w:rPr>
        <w:t>Switches y servidores: incluyen una variedad de plataformas de red como pueden ser call servers (supervisan el tráfico de voz), MSC (Mobile Switching Center - gestiona el tráfico de telefonía móvil), MSS (Mobile Switching System - realiza la conmutación y gestión de llamadas móviles), MGW (Media Gateway - convierte señales entre redes de telefonía y redes IP), NMS (Network Management System - sistema de gestión de red) o SBC (Session Border Controller - vigila la conexión IP entre la red de acceso común y la red de voz controlada por el servidor de llamadas. Estas plataformas se estiman en función de los requerimientos generales del sistema y el volumen en términos de capacidad máxima que puede cursar cada una de las plataformas, teniendo en cuenta también el número mínimo de plataformas necesarias en la red.</w:t>
      </w:r>
    </w:p>
    <w:p w14:paraId="2262BDE1" w14:textId="77777777" w:rsidR="006172B4" w:rsidRPr="001B525F" w:rsidRDefault="006172B4" w:rsidP="00CC0143">
      <w:pPr>
        <w:tabs>
          <w:tab w:val="left" w:pos="426"/>
        </w:tabs>
        <w:spacing w:after="0"/>
        <w:jc w:val="both"/>
        <w:rPr>
          <w:rFonts w:ascii="Arial" w:eastAsia="Times New Roman" w:hAnsi="Arial" w:cs="Arial"/>
          <w:sz w:val="18"/>
          <w:szCs w:val="18"/>
          <w:lang w:eastAsia="es-ES"/>
        </w:rPr>
      </w:pPr>
    </w:p>
    <w:p w14:paraId="411B1D5B" w14:textId="77777777" w:rsidR="006172B4" w:rsidRPr="001B525F" w:rsidRDefault="006172B4" w:rsidP="00CC0143">
      <w:pPr>
        <w:spacing w:after="0"/>
        <w:rPr>
          <w:rFonts w:ascii="Arial" w:hAnsi="Arial" w:cs="Arial"/>
          <w:i/>
          <w:sz w:val="18"/>
          <w:szCs w:val="18"/>
        </w:rPr>
      </w:pPr>
      <w:r w:rsidRPr="001B525F">
        <w:rPr>
          <w:rFonts w:ascii="Arial" w:hAnsi="Arial" w:cs="Arial"/>
          <w:i/>
          <w:sz w:val="18"/>
          <w:szCs w:val="18"/>
        </w:rPr>
        <w:t>Red de transmisión</w:t>
      </w:r>
    </w:p>
    <w:p w14:paraId="484203E0" w14:textId="77777777" w:rsidR="006172B4" w:rsidRPr="001B525F" w:rsidRDefault="006172B4" w:rsidP="00CC0143">
      <w:pPr>
        <w:spacing w:after="0"/>
        <w:rPr>
          <w:rFonts w:ascii="Arial" w:hAnsi="Arial" w:cs="Arial"/>
          <w:i/>
          <w:sz w:val="18"/>
          <w:szCs w:val="18"/>
        </w:rPr>
      </w:pPr>
    </w:p>
    <w:p w14:paraId="3BE79811"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La conectividad entre nodos de redes de telefonía móvil se ajusta a varios tipos:</w:t>
      </w:r>
    </w:p>
    <w:p w14:paraId="3EC19A45" w14:textId="77777777" w:rsidR="00DF61D9" w:rsidRPr="00DF61D9" w:rsidRDefault="00DF61D9" w:rsidP="00DF61D9">
      <w:pPr>
        <w:spacing w:after="0"/>
        <w:ind w:left="993"/>
        <w:jc w:val="both"/>
        <w:rPr>
          <w:rFonts w:ascii="Arial" w:eastAsia="Times New Roman" w:hAnsi="Arial" w:cs="Arial"/>
          <w:sz w:val="18"/>
          <w:szCs w:val="18"/>
          <w:lang w:eastAsia="es-ES"/>
        </w:rPr>
      </w:pPr>
    </w:p>
    <w:p w14:paraId="24481798"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Acceso de última milla de BTS, Nodos o eNodosB a un concentrador (</w:t>
      </w:r>
      <w:r w:rsidRPr="00DF61D9">
        <w:rPr>
          <w:rFonts w:ascii="Arial" w:eastAsia="Times New Roman" w:hAnsi="Arial" w:cs="Arial"/>
          <w:i/>
          <w:sz w:val="18"/>
          <w:szCs w:val="18"/>
          <w:lang w:eastAsia="es-ES"/>
        </w:rPr>
        <w:t>hub</w:t>
      </w:r>
      <w:r w:rsidRPr="00DF61D9">
        <w:rPr>
          <w:rFonts w:ascii="Arial" w:eastAsia="Times New Roman" w:hAnsi="Arial" w:cs="Arial"/>
          <w:sz w:val="18"/>
          <w:szCs w:val="18"/>
          <w:lang w:eastAsia="es-ES"/>
        </w:rPr>
        <w:t>).</w:t>
      </w:r>
    </w:p>
    <w:p w14:paraId="7CBDE37A"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Concentrador a Controlador Estación Base (BSC de sus siglas en inglés, Base Station Controller), Controlador de Red de Radio (RNC de sus siglas en inglés, Radio Network Controller) o punto de agregación LTE (LTE-AP).</w:t>
      </w:r>
    </w:p>
    <w:p w14:paraId="1BCCC78B"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lastRenderedPageBreak/>
        <w:t xml:space="preserve">BSC, RNC o LTE (LTE de sus siglas en inglés, </w:t>
      </w:r>
      <w:r w:rsidRPr="00DF61D9">
        <w:rPr>
          <w:rFonts w:ascii="Arial" w:eastAsia="Times New Roman" w:hAnsi="Arial" w:cs="Arial"/>
          <w:iCs/>
          <w:sz w:val="18"/>
          <w:szCs w:val="18"/>
          <w:lang w:eastAsia="es-ES"/>
        </w:rPr>
        <w:t>Long Term Evolution)</w:t>
      </w:r>
      <w:r w:rsidRPr="00DF61D9">
        <w:rPr>
          <w:rFonts w:ascii="Arial" w:eastAsia="Times New Roman" w:hAnsi="Arial" w:cs="Arial"/>
          <w:sz w:val="18"/>
          <w:szCs w:val="18"/>
          <w:lang w:eastAsia="es-ES"/>
        </w:rPr>
        <w:t xml:space="preserve"> a emplazamientos de conmutación principales (que contengan MSC, MGW o SGW) si no están coubicados.</w:t>
      </w:r>
    </w:p>
    <w:p w14:paraId="1A0FDBAB"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Entre emplazamientos de conmutación principales (entre MSC, MGW o SGW).</w:t>
      </w:r>
    </w:p>
    <w:p w14:paraId="6D6ADD20" w14:textId="77777777" w:rsidR="00DF61D9" w:rsidRPr="00DF61D9" w:rsidRDefault="00DF61D9" w:rsidP="00DF61D9">
      <w:pPr>
        <w:spacing w:after="0"/>
        <w:jc w:val="both"/>
        <w:rPr>
          <w:rFonts w:ascii="Arial" w:eastAsia="Times New Roman" w:hAnsi="Arial" w:cs="Arial"/>
          <w:sz w:val="18"/>
          <w:szCs w:val="18"/>
          <w:lang w:eastAsia="es-ES"/>
        </w:rPr>
      </w:pPr>
    </w:p>
    <w:p w14:paraId="37B202B2"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Las soluciones típicas para la provisión de transmisión incluyen los siguientes elementos,</w:t>
      </w:r>
      <w:r w:rsidRPr="00DF61D9">
        <w:rPr>
          <w:rFonts w:ascii="Arial" w:eastAsiaTheme="minorHAnsi" w:hAnsi="Arial" w:cs="Arial"/>
          <w:sz w:val="18"/>
          <w:szCs w:val="18"/>
        </w:rPr>
        <w:t xml:space="preserve"> </w:t>
      </w:r>
      <w:r w:rsidRPr="00DF61D9">
        <w:rPr>
          <w:rFonts w:ascii="Arial" w:eastAsia="Times New Roman" w:hAnsi="Arial" w:cs="Arial"/>
          <w:sz w:val="18"/>
          <w:szCs w:val="18"/>
          <w:lang w:eastAsia="es-ES"/>
        </w:rPr>
        <w:t>todos ellos disponibles con enlaces Ethernet (velocidades de 10, 30, 100, 300 y 1000 Mbit/s):</w:t>
      </w:r>
    </w:p>
    <w:p w14:paraId="431E3A0F" w14:textId="77777777" w:rsidR="00DF61D9" w:rsidRPr="00DF61D9" w:rsidRDefault="00DF61D9" w:rsidP="00DF61D9">
      <w:pPr>
        <w:spacing w:after="0"/>
        <w:ind w:left="993"/>
        <w:jc w:val="both"/>
        <w:rPr>
          <w:rFonts w:ascii="Arial" w:eastAsia="Times New Roman" w:hAnsi="Arial" w:cs="Arial"/>
          <w:sz w:val="18"/>
          <w:szCs w:val="18"/>
          <w:lang w:eastAsia="es-ES"/>
        </w:rPr>
      </w:pPr>
    </w:p>
    <w:p w14:paraId="79A631A7"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Enlaces dedicados. </w:t>
      </w:r>
    </w:p>
    <w:p w14:paraId="77CBDC8F"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val="en-US" w:eastAsia="es-ES"/>
        </w:rPr>
      </w:pPr>
      <w:r w:rsidRPr="00DF61D9">
        <w:rPr>
          <w:rFonts w:ascii="Arial" w:eastAsia="Times New Roman" w:hAnsi="Arial" w:cs="Arial"/>
          <w:sz w:val="18"/>
          <w:szCs w:val="18"/>
          <w:lang w:val="en-US" w:eastAsia="es-ES"/>
        </w:rPr>
        <w:t xml:space="preserve">Enlaces por microondas autoprovistos. </w:t>
      </w:r>
    </w:p>
    <w:p w14:paraId="62D954C1" w14:textId="77777777" w:rsidR="00DF61D9" w:rsidRPr="00DF61D9" w:rsidRDefault="00DF61D9" w:rsidP="004A0A71">
      <w:pPr>
        <w:numPr>
          <w:ilvl w:val="0"/>
          <w:numId w:val="14"/>
        </w:numPr>
        <w:spacing w:after="0"/>
        <w:ind w:left="709" w:hanging="357"/>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Red de fibra alquilada (fibra oscura alquilada/IRU.</w:t>
      </w:r>
      <w:r w:rsidRPr="00DF61D9">
        <w:rPr>
          <w:rFonts w:ascii="Arial" w:hAnsi="Arial" w:cs="Arial"/>
          <w:spacing w:val="-4"/>
          <w:sz w:val="18"/>
          <w:szCs w:val="18"/>
          <w:vertAlign w:val="superscript"/>
        </w:rPr>
        <w:footnoteReference w:id="15"/>
      </w:r>
      <w:r w:rsidRPr="00DF61D9">
        <w:rPr>
          <w:rFonts w:ascii="Arial" w:hAnsi="Arial" w:cs="Arial"/>
          <w:spacing w:val="-4"/>
          <w:sz w:val="18"/>
          <w:szCs w:val="18"/>
          <w:vertAlign w:val="superscript"/>
        </w:rPr>
        <w:t xml:space="preserve"> </w:t>
      </w:r>
    </w:p>
    <w:p w14:paraId="4695653A" w14:textId="77777777" w:rsidR="00DF61D9" w:rsidRPr="00DF61D9" w:rsidRDefault="00DF61D9" w:rsidP="00DF61D9">
      <w:pPr>
        <w:spacing w:after="0"/>
        <w:ind w:left="993"/>
        <w:jc w:val="both"/>
        <w:rPr>
          <w:rFonts w:ascii="Arial" w:eastAsia="Times New Roman" w:hAnsi="Arial" w:cs="Arial"/>
          <w:sz w:val="18"/>
          <w:szCs w:val="18"/>
          <w:lang w:eastAsia="es-ES"/>
        </w:rPr>
      </w:pPr>
    </w:p>
    <w:p w14:paraId="6C59383C"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6D7C573F"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En este sentido, en consistencia con la mejor tecnología disponible, los operadores modelados disponen de una red de transmisión basada principalmente en enlaces de microondas y enlaces dedicados.</w:t>
      </w:r>
    </w:p>
    <w:p w14:paraId="569E3A6A" w14:textId="77777777" w:rsidR="006172B4" w:rsidRPr="00DF61D9" w:rsidRDefault="006172B4" w:rsidP="00CC0143">
      <w:pPr>
        <w:spacing w:after="0"/>
        <w:ind w:left="426"/>
        <w:jc w:val="both"/>
        <w:rPr>
          <w:rFonts w:ascii="Arial" w:eastAsia="Times New Roman" w:hAnsi="Arial" w:cs="Arial"/>
          <w:sz w:val="14"/>
          <w:szCs w:val="14"/>
          <w:lang w:eastAsia="es-ES"/>
        </w:rPr>
      </w:pPr>
    </w:p>
    <w:p w14:paraId="0F33E594" w14:textId="77777777"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Red de telecomunicaciones fija</w:t>
      </w:r>
    </w:p>
    <w:p w14:paraId="54FB15E9" w14:textId="77777777" w:rsidR="006172B4" w:rsidRPr="001B525F" w:rsidRDefault="006172B4" w:rsidP="00CC0143">
      <w:pPr>
        <w:spacing w:after="0"/>
        <w:jc w:val="both"/>
        <w:rPr>
          <w:rFonts w:ascii="Arial" w:eastAsia="Times New Roman" w:hAnsi="Arial" w:cs="Arial"/>
          <w:i/>
          <w:sz w:val="18"/>
          <w:szCs w:val="18"/>
          <w:lang w:eastAsia="es-ES"/>
        </w:rPr>
      </w:pPr>
    </w:p>
    <w:p w14:paraId="305D3F09"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Las redes fijas suelen estar formadas de dos capas de activos, las cuales pueden ser desplegadas en base a diferentes tecnologías. Estas son generalmente la capa de acceso y la capa troncal (</w:t>
      </w:r>
      <w:r w:rsidRPr="00DF61D9">
        <w:rPr>
          <w:rFonts w:ascii="Arial" w:eastAsia="Times New Roman" w:hAnsi="Arial" w:cs="Arial"/>
          <w:i/>
          <w:sz w:val="18"/>
          <w:szCs w:val="18"/>
          <w:lang w:eastAsia="es-ES"/>
        </w:rPr>
        <w:t>core</w:t>
      </w:r>
      <w:r w:rsidRPr="00DF61D9">
        <w:rPr>
          <w:rFonts w:ascii="Arial" w:eastAsia="Times New Roman" w:hAnsi="Arial" w:cs="Arial"/>
          <w:sz w:val="18"/>
          <w:szCs w:val="18"/>
          <w:lang w:eastAsia="es-ES"/>
        </w:rPr>
        <w:t>) (que incorpora la red de transmisión), aunque el límite preciso entre las dos capas depende de la tecnología y debe ser cuidadosamente definido. Se describen a continuación cada una de estas capas.</w:t>
      </w:r>
    </w:p>
    <w:p w14:paraId="5929EA32" w14:textId="77777777" w:rsidR="006172B4" w:rsidRPr="001B525F" w:rsidRDefault="006172B4" w:rsidP="00CC0143">
      <w:pPr>
        <w:spacing w:after="0"/>
        <w:jc w:val="both"/>
        <w:rPr>
          <w:rFonts w:ascii="Arial" w:eastAsia="Times New Roman" w:hAnsi="Arial" w:cs="Arial"/>
          <w:sz w:val="18"/>
          <w:szCs w:val="18"/>
          <w:lang w:eastAsia="es-ES"/>
        </w:rPr>
      </w:pPr>
    </w:p>
    <w:p w14:paraId="380A60BF"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Red de acceso</w:t>
      </w:r>
    </w:p>
    <w:p w14:paraId="012E5E66" w14:textId="77777777" w:rsidR="006172B4" w:rsidRPr="001B525F" w:rsidRDefault="006172B4" w:rsidP="00CC0143">
      <w:pPr>
        <w:spacing w:after="0"/>
        <w:jc w:val="both"/>
        <w:rPr>
          <w:rFonts w:ascii="Arial" w:eastAsia="Times New Roman" w:hAnsi="Arial" w:cs="Arial"/>
          <w:sz w:val="18"/>
          <w:szCs w:val="18"/>
          <w:lang w:eastAsia="es-ES"/>
        </w:rPr>
      </w:pPr>
    </w:p>
    <w:p w14:paraId="069B37A0"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0BB1AEE6" w14:textId="77777777" w:rsidR="00DF61D9" w:rsidRPr="00DF61D9" w:rsidRDefault="00DF61D9" w:rsidP="00DF61D9">
      <w:pPr>
        <w:spacing w:after="0"/>
        <w:jc w:val="both"/>
        <w:rPr>
          <w:rFonts w:ascii="Arial" w:eastAsia="Times New Roman" w:hAnsi="Arial" w:cs="Arial"/>
          <w:sz w:val="18"/>
          <w:szCs w:val="18"/>
          <w:lang w:eastAsia="es-ES"/>
        </w:rPr>
      </w:pPr>
    </w:p>
    <w:p w14:paraId="3A8F62C1" w14:textId="77777777" w:rsidR="00DF61D9" w:rsidRPr="00DF61D9" w:rsidRDefault="00DF61D9" w:rsidP="00DF61D9">
      <w:pPr>
        <w:spacing w:after="0"/>
        <w:jc w:val="both"/>
        <w:rPr>
          <w:rFonts w:ascii="Arial" w:eastAsia="Times New Roman" w:hAnsi="Arial" w:cs="Arial"/>
          <w:sz w:val="18"/>
          <w:szCs w:val="18"/>
          <w:lang w:eastAsia="es-ES"/>
        </w:rPr>
      </w:pPr>
      <w:r w:rsidRPr="00DF61D9">
        <w:rPr>
          <w:rFonts w:ascii="Arial" w:eastAsia="Times New Roman" w:hAnsi="Arial" w:cs="Arial"/>
          <w:sz w:val="18"/>
          <w:szCs w:val="18"/>
          <w:lang w:eastAsia="es-ES"/>
        </w:rPr>
        <w:t xml:space="preserve">Los costos de los servicios de acceso se modelan en el modelo integral de acceso fijo. Por este motivo, el modelo no incluirá los elementos de la red de acceso. La red modelada, considera como punto de demarcación el nodo de acceso multiservicio (MSAN, </w:t>
      </w:r>
      <w:r w:rsidRPr="00DF61D9">
        <w:rPr>
          <w:rFonts w:ascii="Arial" w:eastAsia="Times New Roman" w:hAnsi="Arial" w:cs="Arial"/>
          <w:i/>
          <w:sz w:val="18"/>
          <w:szCs w:val="18"/>
          <w:lang w:eastAsia="es-ES"/>
        </w:rPr>
        <w:t>Multi- Service Access Node</w:t>
      </w:r>
      <w:r w:rsidRPr="00DF61D9">
        <w:rPr>
          <w:rFonts w:ascii="Arial" w:eastAsia="Times New Roman" w:hAnsi="Arial" w:cs="Arial"/>
          <w:sz w:val="18"/>
          <w:szCs w:val="18"/>
          <w:lang w:eastAsia="es-ES"/>
        </w:rPr>
        <w:t>). El MSAN no se incluye en el modelo para asegurar la consistencia con el modelo de desagregación. En todo caso, se asumirá que el tráfico generado empleará el protocolo Ethernet para su conexión a las capas superiores de la red.</w:t>
      </w:r>
    </w:p>
    <w:p w14:paraId="3C663598" w14:textId="77777777" w:rsidR="006172B4" w:rsidRPr="001B525F" w:rsidRDefault="006172B4" w:rsidP="00CC0143">
      <w:pPr>
        <w:spacing w:after="0"/>
        <w:jc w:val="both"/>
        <w:rPr>
          <w:rFonts w:ascii="Arial" w:eastAsia="Times New Roman" w:hAnsi="Arial" w:cs="Arial"/>
          <w:sz w:val="18"/>
          <w:szCs w:val="18"/>
          <w:lang w:eastAsia="es-ES"/>
        </w:rPr>
      </w:pPr>
    </w:p>
    <w:p w14:paraId="3822E368"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Red troncal (core) y NGN</w:t>
      </w:r>
    </w:p>
    <w:p w14:paraId="2D7AE8CB" w14:textId="77777777" w:rsidR="006172B4" w:rsidRPr="001B525F" w:rsidRDefault="006172B4" w:rsidP="00CC0143">
      <w:pPr>
        <w:spacing w:after="0"/>
        <w:ind w:left="567"/>
        <w:jc w:val="both"/>
        <w:rPr>
          <w:rFonts w:ascii="Arial" w:eastAsia="Times New Roman" w:hAnsi="Arial" w:cs="Arial"/>
          <w:sz w:val="18"/>
          <w:szCs w:val="18"/>
          <w:lang w:eastAsia="es-ES"/>
        </w:rPr>
      </w:pPr>
    </w:p>
    <w:p w14:paraId="0409AEFF" w14:textId="77777777" w:rsidR="00DD2966" w:rsidRPr="00DD2966" w:rsidRDefault="00DD2966" w:rsidP="00DD2966">
      <w:pPr>
        <w:spacing w:after="0"/>
        <w:jc w:val="both"/>
        <w:rPr>
          <w:rFonts w:ascii="Arial" w:eastAsia="Times New Roman" w:hAnsi="Arial" w:cs="Arial"/>
          <w:sz w:val="18"/>
          <w:szCs w:val="18"/>
          <w:lang w:eastAsia="es-ES"/>
        </w:rPr>
      </w:pPr>
      <w:r w:rsidRPr="00DD2966">
        <w:rPr>
          <w:rFonts w:ascii="Arial" w:eastAsia="Times New Roman" w:hAnsi="Arial" w:cs="Arial"/>
          <w:sz w:val="18"/>
          <w:szCs w:val="18"/>
          <w:lang w:eastAsia="es-ES"/>
        </w:rPr>
        <w:t xml:space="preserve">Al igual que en la red de acceso, existen arquitecturas tradicionales y de nueva generación (NGN). </w:t>
      </w:r>
    </w:p>
    <w:p w14:paraId="028B3180" w14:textId="77777777" w:rsidR="00DD2966" w:rsidRPr="00DD2966" w:rsidRDefault="00DD2966" w:rsidP="00DD2966">
      <w:pPr>
        <w:spacing w:after="0"/>
        <w:jc w:val="both"/>
        <w:rPr>
          <w:rFonts w:ascii="Arial" w:eastAsia="Times New Roman" w:hAnsi="Arial" w:cs="Arial"/>
          <w:sz w:val="18"/>
          <w:szCs w:val="18"/>
          <w:lang w:eastAsia="es-ES"/>
        </w:rPr>
      </w:pPr>
    </w:p>
    <w:p w14:paraId="30F6AC34" w14:textId="77777777" w:rsidR="00DD2966" w:rsidRPr="00DD2966" w:rsidRDefault="00DD2966" w:rsidP="00DD2966">
      <w:pPr>
        <w:spacing w:after="0"/>
        <w:jc w:val="both"/>
        <w:rPr>
          <w:rFonts w:ascii="Arial" w:eastAsia="Times New Roman" w:hAnsi="Arial" w:cs="Arial"/>
          <w:sz w:val="18"/>
          <w:szCs w:val="18"/>
          <w:lang w:eastAsia="es-ES"/>
        </w:rPr>
      </w:pPr>
      <w:r w:rsidRPr="00DD2966">
        <w:rPr>
          <w:rFonts w:ascii="Arial" w:eastAsia="Times New Roman" w:hAnsi="Arial" w:cs="Arial"/>
          <w:sz w:val="18"/>
          <w:szCs w:val="18"/>
          <w:lang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02392349" w14:textId="77777777" w:rsidR="00DD2966" w:rsidRPr="00DD2966" w:rsidRDefault="00DD2966" w:rsidP="00DD2966">
      <w:pPr>
        <w:spacing w:after="0"/>
        <w:jc w:val="center"/>
        <w:rPr>
          <w:rFonts w:ascii="Arial" w:eastAsia="Times New Roman" w:hAnsi="Arial" w:cs="Arial"/>
          <w:sz w:val="18"/>
          <w:szCs w:val="18"/>
          <w:lang w:eastAsia="es-ES"/>
        </w:rPr>
      </w:pPr>
    </w:p>
    <w:p w14:paraId="650B4A36" w14:textId="77777777" w:rsidR="00DD2966" w:rsidRDefault="00DD2966" w:rsidP="00DD2966">
      <w:pPr>
        <w:spacing w:after="0"/>
        <w:jc w:val="both"/>
        <w:rPr>
          <w:rFonts w:ascii="Arial" w:eastAsia="Times New Roman" w:hAnsi="Arial" w:cs="Arial"/>
          <w:sz w:val="18"/>
          <w:szCs w:val="18"/>
          <w:lang w:eastAsia="es-ES"/>
        </w:rPr>
      </w:pPr>
      <w:r w:rsidRPr="00DD2966">
        <w:rPr>
          <w:rFonts w:ascii="Arial" w:eastAsia="Times New Roman" w:hAnsi="Arial" w:cs="Arial"/>
          <w:sz w:val="18"/>
          <w:szCs w:val="18"/>
          <w:lang w:eastAsia="es-ES"/>
        </w:rPr>
        <w:lastRenderedPageBreak/>
        <w:t>Por el contrario, las NGN se basan en tecnologías de conmutación de paquetes, gracias a las cuales la voz se envía en ‘paquetes’ de datos digitalizados utilizando VoIP. Sin especificaciones 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jitter, etc.) asociadas al servicio de voz.</w:t>
      </w:r>
      <w:r w:rsidRPr="00DD2966">
        <w:rPr>
          <w:rFonts w:ascii="Arial" w:eastAsia="Times New Roman" w:hAnsi="Arial" w:cs="Arial"/>
          <w:sz w:val="18"/>
          <w:szCs w:val="18"/>
          <w:vertAlign w:val="superscript"/>
          <w:lang w:eastAsia="es-ES"/>
        </w:rPr>
        <w:footnoteReference w:id="16"/>
      </w:r>
    </w:p>
    <w:p w14:paraId="0DE5BE76" w14:textId="77777777" w:rsidR="00DD2966" w:rsidRPr="00DD2966" w:rsidRDefault="00DD2966" w:rsidP="00DD2966">
      <w:pPr>
        <w:spacing w:after="0"/>
        <w:jc w:val="both"/>
        <w:rPr>
          <w:rFonts w:ascii="Arial" w:eastAsia="Times New Roman" w:hAnsi="Arial" w:cs="Arial"/>
          <w:sz w:val="18"/>
          <w:szCs w:val="18"/>
          <w:lang w:eastAsia="es-ES"/>
        </w:rPr>
      </w:pPr>
    </w:p>
    <w:p w14:paraId="4CC31E14" w14:textId="77777777" w:rsidR="006172B4" w:rsidRPr="001B525F" w:rsidRDefault="006172B4" w:rsidP="00CC0143">
      <w:pPr>
        <w:spacing w:after="0"/>
        <w:jc w:val="center"/>
        <w:rPr>
          <w:rFonts w:ascii="Arial" w:hAnsi="Arial" w:cs="Arial"/>
          <w:sz w:val="18"/>
          <w:szCs w:val="18"/>
        </w:rPr>
      </w:pPr>
      <w:r w:rsidRPr="007740FC">
        <w:rPr>
          <w:rFonts w:ascii="Arial" w:hAnsi="Arial" w:cs="Arial"/>
          <w:noProof/>
          <w:sz w:val="18"/>
          <w:szCs w:val="18"/>
          <w:lang w:eastAsia="es-MX"/>
        </w:rPr>
        <w:drawing>
          <wp:inline distT="0" distB="0" distL="0" distR="0" wp14:anchorId="2BDEC48F" wp14:editId="2901D6D5">
            <wp:extent cx="4597905" cy="286730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4614578" cy="2877704"/>
                    </a:xfrm>
                    <a:prstGeom prst="rect">
                      <a:avLst/>
                    </a:prstGeom>
                    <a:noFill/>
                    <a:ln>
                      <a:noFill/>
                    </a:ln>
                  </pic:spPr>
                </pic:pic>
              </a:graphicData>
            </a:graphic>
          </wp:inline>
        </w:drawing>
      </w:r>
    </w:p>
    <w:p w14:paraId="7465B656" w14:textId="4CDA47E8" w:rsidR="006172B4" w:rsidRPr="001B525F" w:rsidRDefault="006172B4" w:rsidP="00CC0143">
      <w:pPr>
        <w:keepNext/>
        <w:tabs>
          <w:tab w:val="left" w:pos="2041"/>
        </w:tabs>
        <w:spacing w:after="0"/>
        <w:jc w:val="center"/>
        <w:rPr>
          <w:rFonts w:ascii="Arial" w:hAnsi="Arial" w:cs="Arial"/>
          <w:bCs/>
          <w:sz w:val="18"/>
          <w:szCs w:val="18"/>
        </w:rPr>
      </w:pPr>
      <w:r w:rsidRPr="001B525F">
        <w:rPr>
          <w:rFonts w:ascii="Arial" w:hAnsi="Arial" w:cs="Arial"/>
          <w:bCs/>
          <w:sz w:val="18"/>
          <w:szCs w:val="18"/>
        </w:rPr>
        <w:t xml:space="preserve">Figura </w:t>
      </w:r>
      <w:r w:rsidR="00E20C0D">
        <w:rPr>
          <w:rFonts w:ascii="Arial" w:hAnsi="Arial" w:cs="Arial"/>
          <w:bCs/>
          <w:sz w:val="18"/>
          <w:szCs w:val="18"/>
        </w:rPr>
        <w:t>1</w:t>
      </w:r>
      <w:r w:rsidRPr="001B525F">
        <w:rPr>
          <w:rFonts w:ascii="Arial" w:hAnsi="Arial" w:cs="Arial"/>
          <w:bCs/>
          <w:sz w:val="18"/>
          <w:szCs w:val="18"/>
        </w:rPr>
        <w:t>. Comparación entre redes de conmutación de circuitos y de conmutación de paquetes</w:t>
      </w:r>
    </w:p>
    <w:p w14:paraId="7D10EF9C" w14:textId="77777777" w:rsidR="006172B4" w:rsidRPr="001B525F" w:rsidRDefault="006172B4" w:rsidP="00CC0143">
      <w:pPr>
        <w:spacing w:after="0"/>
        <w:jc w:val="both"/>
        <w:rPr>
          <w:rFonts w:ascii="Arial" w:eastAsia="Times New Roman" w:hAnsi="Arial" w:cs="Arial"/>
          <w:sz w:val="18"/>
          <w:szCs w:val="18"/>
          <w:lang w:eastAsia="es-ES"/>
        </w:rPr>
      </w:pPr>
    </w:p>
    <w:p w14:paraId="0DC522F2" w14:textId="19C01DDA"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Las figuras </w:t>
      </w:r>
      <w:r w:rsidR="00E20C0D">
        <w:rPr>
          <w:rFonts w:ascii="Arial" w:eastAsia="Times New Roman" w:hAnsi="Arial" w:cs="Arial"/>
          <w:sz w:val="18"/>
          <w:szCs w:val="18"/>
          <w:lang w:eastAsia="es-ES"/>
        </w:rPr>
        <w:t>1</w:t>
      </w:r>
      <w:r w:rsidRPr="001B525F">
        <w:rPr>
          <w:rFonts w:ascii="Arial" w:eastAsia="Times New Roman" w:hAnsi="Arial" w:cs="Arial"/>
          <w:sz w:val="18"/>
          <w:szCs w:val="18"/>
          <w:lang w:eastAsia="es-ES"/>
        </w:rPr>
        <w:t xml:space="preserve"> y </w:t>
      </w:r>
      <w:r w:rsidR="00E20C0D">
        <w:rPr>
          <w:rFonts w:ascii="Arial" w:eastAsia="Times New Roman" w:hAnsi="Arial" w:cs="Arial"/>
          <w:sz w:val="18"/>
          <w:szCs w:val="18"/>
          <w:lang w:eastAsia="es-ES"/>
        </w:rPr>
        <w:t>2</w:t>
      </w:r>
      <w:r w:rsidRPr="001B525F">
        <w:rPr>
          <w:rFonts w:ascii="Arial" w:eastAsia="Times New Roman" w:hAnsi="Arial" w:cs="Arial"/>
          <w:sz w:val="18"/>
          <w:szCs w:val="18"/>
          <w:lang w:eastAsia="es-ES"/>
        </w:rPr>
        <w:t xml:space="preserve"> comparan la arquitectura de una red PSTN y una red NGN y se pueden ver los dos conceptos que rigen una red NGN:</w:t>
      </w:r>
    </w:p>
    <w:p w14:paraId="5EDA4759" w14:textId="77777777" w:rsidR="006172B4" w:rsidRPr="001B525F" w:rsidRDefault="006172B4" w:rsidP="00CC0143">
      <w:pPr>
        <w:spacing w:after="0"/>
        <w:jc w:val="both"/>
        <w:rPr>
          <w:rFonts w:ascii="Arial" w:eastAsia="Times New Roman" w:hAnsi="Arial" w:cs="Arial"/>
          <w:sz w:val="18"/>
          <w:szCs w:val="18"/>
          <w:lang w:eastAsia="es-ES"/>
        </w:rPr>
      </w:pPr>
    </w:p>
    <w:p w14:paraId="76F00C54" w14:textId="6B19D203" w:rsidR="006172B4" w:rsidRPr="001B525F" w:rsidRDefault="006172B4" w:rsidP="004A0A71">
      <w:pPr>
        <w:numPr>
          <w:ilvl w:val="0"/>
          <w:numId w:val="5"/>
        </w:numPr>
        <w:tabs>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i/>
          <w:sz w:val="18"/>
          <w:szCs w:val="18"/>
          <w:lang w:eastAsia="es-ES"/>
        </w:rPr>
        <w:t>La separación entre los planos de control y de usuario</w:t>
      </w:r>
      <w:r w:rsidRPr="001B525F">
        <w:rPr>
          <w:rFonts w:ascii="Arial" w:eastAsia="Times New Roman" w:hAnsi="Arial" w:cs="Arial"/>
          <w:sz w:val="18"/>
          <w:szCs w:val="18"/>
          <w:lang w:eastAsia="es-ES"/>
        </w:rPr>
        <w:t>. En una red PSTN los conmutadores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realizan la conmutación de las llamadas de voz y gestionan la señalización; en una red NGN, los </w:t>
      </w:r>
      <w:r w:rsidRPr="001B525F">
        <w:rPr>
          <w:rFonts w:ascii="Arial" w:eastAsia="Times New Roman" w:hAnsi="Arial" w:cs="Arial"/>
          <w:i/>
          <w:sz w:val="18"/>
          <w:szCs w:val="18"/>
          <w:lang w:eastAsia="es-ES"/>
        </w:rPr>
        <w:t>call servers</w:t>
      </w:r>
      <w:r w:rsidRPr="001B525F">
        <w:rPr>
          <w:rFonts w:ascii="Arial" w:eastAsia="Times New Roman" w:hAnsi="Arial" w:cs="Arial"/>
          <w:sz w:val="18"/>
          <w:szCs w:val="18"/>
          <w:lang w:eastAsia="es-ES"/>
        </w:rPr>
        <w:t xml:space="preserve"> son los que gestionan la señalización, y los </w:t>
      </w:r>
      <w:r w:rsidRPr="001B525F">
        <w:rPr>
          <w:rFonts w:ascii="Arial" w:eastAsia="Times New Roman" w:hAnsi="Arial" w:cs="Arial"/>
          <w:i/>
          <w:sz w:val="18"/>
          <w:szCs w:val="18"/>
          <w:lang w:eastAsia="es-ES"/>
        </w:rPr>
        <w:t>routers</w:t>
      </w:r>
      <w:r w:rsidRPr="001B525F">
        <w:rPr>
          <w:rFonts w:ascii="Arial" w:eastAsia="Times New Roman" w:hAnsi="Arial" w:cs="Arial"/>
          <w:sz w:val="18"/>
          <w:szCs w:val="18"/>
          <w:lang w:eastAsia="es-ES"/>
        </w:rPr>
        <w:t xml:space="preserve"> (o </w:t>
      </w:r>
      <w:r w:rsidRPr="001B525F">
        <w:rPr>
          <w:rFonts w:ascii="Arial" w:eastAsia="Times New Roman" w:hAnsi="Arial" w:cs="Arial"/>
          <w:i/>
          <w:sz w:val="18"/>
          <w:szCs w:val="18"/>
          <w:lang w:eastAsia="es-ES"/>
        </w:rPr>
        <w:t>media gateways</w:t>
      </w:r>
      <w:r w:rsidRPr="001B525F">
        <w:rPr>
          <w:rFonts w:ascii="Arial" w:eastAsia="Times New Roman" w:hAnsi="Arial" w:cs="Arial"/>
          <w:sz w:val="18"/>
          <w:szCs w:val="18"/>
          <w:lang w:eastAsia="es-ES"/>
        </w:rPr>
        <w:t xml:space="preserve"> especializadas) enrutan y gestionan el tráfico de paquetes de voz. Adicionalmente, y como se puede comprobar en la Figura </w:t>
      </w:r>
      <w:r w:rsidR="00E20C0D">
        <w:rPr>
          <w:rFonts w:ascii="Arial" w:eastAsia="Times New Roman" w:hAnsi="Arial" w:cs="Arial"/>
          <w:sz w:val="18"/>
          <w:szCs w:val="18"/>
          <w:lang w:eastAsia="es-ES"/>
        </w:rPr>
        <w:t>2</w:t>
      </w:r>
      <w:r w:rsidRPr="001B525F">
        <w:rPr>
          <w:rFonts w:ascii="Arial" w:eastAsia="Times New Roman" w:hAnsi="Arial" w:cs="Arial"/>
          <w:sz w:val="18"/>
          <w:szCs w:val="18"/>
          <w:lang w:eastAsia="es-ES"/>
        </w:rPr>
        <w:t xml:space="preserve">, las capas separadas de las redes de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locales y de tránsito se reemplazan por </w:t>
      </w:r>
      <w:r w:rsidRPr="001B525F">
        <w:rPr>
          <w:rFonts w:ascii="Arial" w:eastAsia="Times New Roman" w:hAnsi="Arial" w:cs="Arial"/>
          <w:i/>
          <w:sz w:val="18"/>
          <w:szCs w:val="18"/>
          <w:lang w:eastAsia="es-ES"/>
        </w:rPr>
        <w:t>call servers</w:t>
      </w:r>
      <w:r w:rsidRPr="001B525F">
        <w:rPr>
          <w:rFonts w:ascii="Arial" w:eastAsia="Times New Roman" w:hAnsi="Arial" w:cs="Arial"/>
          <w:sz w:val="18"/>
          <w:szCs w:val="18"/>
          <w:lang w:eastAsia="es-ES"/>
        </w:rPr>
        <w:t xml:space="preserve"> en una estructura de una sola capa. Típicamente, en una red PSTN de 100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locales y 10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de tránsito, éstos podrían ser remplazados por un menor número de </w:t>
      </w:r>
      <w:r w:rsidRPr="001B525F">
        <w:rPr>
          <w:rFonts w:ascii="Arial" w:eastAsia="Times New Roman" w:hAnsi="Arial" w:cs="Arial"/>
          <w:i/>
          <w:sz w:val="18"/>
          <w:szCs w:val="18"/>
          <w:lang w:eastAsia="es-ES"/>
        </w:rPr>
        <w:t>call servers</w:t>
      </w:r>
      <w:r w:rsidRPr="001B525F">
        <w:rPr>
          <w:rFonts w:ascii="Arial" w:eastAsia="Times New Roman" w:hAnsi="Arial" w:cs="Arial"/>
          <w:sz w:val="18"/>
          <w:szCs w:val="18"/>
          <w:lang w:eastAsia="es-ES"/>
        </w:rPr>
        <w:t xml:space="preserve"> (menos de 5) en una red NGN.</w:t>
      </w:r>
    </w:p>
    <w:p w14:paraId="7215DB0A" w14:textId="77777777" w:rsidR="006172B4" w:rsidRPr="001B525F" w:rsidRDefault="006172B4" w:rsidP="004A0A71">
      <w:pPr>
        <w:spacing w:after="0"/>
        <w:ind w:left="709" w:hanging="357"/>
        <w:jc w:val="both"/>
        <w:rPr>
          <w:rFonts w:ascii="Arial" w:eastAsia="Times New Roman" w:hAnsi="Arial" w:cs="Arial"/>
          <w:sz w:val="18"/>
          <w:szCs w:val="18"/>
          <w:lang w:eastAsia="es-ES"/>
        </w:rPr>
      </w:pPr>
    </w:p>
    <w:p w14:paraId="4B80F775" w14:textId="77777777" w:rsidR="006172B4" w:rsidRPr="001B525F" w:rsidRDefault="006172B4" w:rsidP="004A0A71">
      <w:pPr>
        <w:numPr>
          <w:ilvl w:val="0"/>
          <w:numId w:val="5"/>
        </w:numPr>
        <w:tabs>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i/>
          <w:sz w:val="18"/>
          <w:szCs w:val="18"/>
          <w:lang w:eastAsia="es-ES"/>
        </w:rPr>
        <w:t>La realización de la transmisión de paquetes de voz a través de una capa de routers común al resto de servicios transmitidos por la red NGN</w:t>
      </w:r>
      <w:r w:rsidRPr="001B525F">
        <w:rPr>
          <w:rFonts w:ascii="Arial" w:eastAsia="Times New Roman" w:hAnsi="Arial" w:cs="Arial"/>
          <w:sz w:val="18"/>
          <w:szCs w:val="18"/>
          <w:lang w:eastAsia="es-ES"/>
        </w:rPr>
        <w:t xml:space="preserve">. Estos </w:t>
      </w:r>
      <w:r w:rsidRPr="001B525F">
        <w:rPr>
          <w:rFonts w:ascii="Arial" w:eastAsia="Times New Roman" w:hAnsi="Arial" w:cs="Arial"/>
          <w:i/>
          <w:sz w:val="18"/>
          <w:szCs w:val="18"/>
          <w:lang w:eastAsia="es-ES"/>
        </w:rPr>
        <w:t xml:space="preserve">routers </w:t>
      </w:r>
      <w:r w:rsidRPr="001B525F">
        <w:rPr>
          <w:rFonts w:ascii="Arial" w:eastAsia="Times New Roman" w:hAnsi="Arial" w:cs="Arial"/>
          <w:sz w:val="18"/>
          <w:szCs w:val="18"/>
          <w:lang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2DA221D7" w14:textId="77777777" w:rsidR="006172B4" w:rsidRPr="001B525F" w:rsidRDefault="006172B4" w:rsidP="00CC0143">
      <w:pPr>
        <w:spacing w:after="0"/>
        <w:ind w:left="426"/>
        <w:jc w:val="both"/>
        <w:rPr>
          <w:rFonts w:ascii="Arial" w:eastAsia="Times New Roman" w:hAnsi="Arial" w:cs="Arial"/>
          <w:sz w:val="18"/>
          <w:szCs w:val="18"/>
          <w:lang w:eastAsia="es-ES"/>
        </w:rPr>
      </w:pPr>
    </w:p>
    <w:p w14:paraId="3FF902E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La aplicación de ambos principios implica importantes ahorros en inversiones y gastos operativos.</w:t>
      </w:r>
    </w:p>
    <w:p w14:paraId="4EF06068" w14:textId="77777777" w:rsidR="006172B4" w:rsidRPr="001B525F" w:rsidRDefault="006172B4" w:rsidP="00CC0143">
      <w:pPr>
        <w:spacing w:after="0"/>
        <w:jc w:val="both"/>
        <w:rPr>
          <w:rFonts w:ascii="Arial" w:eastAsia="Times New Roman" w:hAnsi="Arial" w:cs="Arial"/>
          <w:sz w:val="18"/>
          <w:szCs w:val="18"/>
          <w:lang w:eastAsia="es-ES"/>
        </w:rPr>
      </w:pPr>
    </w:p>
    <w:p w14:paraId="76AF5A7B" w14:textId="77777777" w:rsidR="006172B4" w:rsidRPr="001B525F" w:rsidRDefault="006172B4" w:rsidP="00CC0143">
      <w:pPr>
        <w:spacing w:after="0"/>
        <w:jc w:val="center"/>
        <w:rPr>
          <w:rFonts w:ascii="Arial" w:hAnsi="Arial" w:cs="Arial"/>
          <w:sz w:val="18"/>
          <w:szCs w:val="18"/>
        </w:rPr>
      </w:pPr>
      <w:r w:rsidRPr="007740FC">
        <w:rPr>
          <w:rFonts w:ascii="Arial" w:hAnsi="Arial" w:cs="Arial"/>
          <w:noProof/>
          <w:sz w:val="18"/>
          <w:szCs w:val="18"/>
          <w:lang w:eastAsia="es-MX"/>
        </w:rPr>
        <w:drawing>
          <wp:inline distT="0" distB="0" distL="0" distR="0" wp14:anchorId="2CF67D68" wp14:editId="765AA9FE">
            <wp:extent cx="5545455" cy="2831465"/>
            <wp:effectExtent l="0" t="0" r="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402F25AE" w14:textId="3E99EED4" w:rsidR="006172B4" w:rsidRPr="001B525F" w:rsidRDefault="006172B4" w:rsidP="00CC0143">
      <w:pPr>
        <w:keepNext/>
        <w:tabs>
          <w:tab w:val="left" w:pos="2041"/>
        </w:tabs>
        <w:spacing w:after="0"/>
        <w:jc w:val="center"/>
        <w:rPr>
          <w:rFonts w:ascii="Arial" w:hAnsi="Arial" w:cs="Arial"/>
          <w:bCs/>
          <w:sz w:val="18"/>
          <w:szCs w:val="18"/>
        </w:rPr>
      </w:pPr>
      <w:r w:rsidRPr="001B525F">
        <w:rPr>
          <w:rFonts w:ascii="Arial" w:hAnsi="Arial" w:cs="Arial"/>
          <w:bCs/>
          <w:sz w:val="18"/>
          <w:szCs w:val="18"/>
        </w:rPr>
        <w:t xml:space="preserve">Figura </w:t>
      </w:r>
      <w:r w:rsidR="00E20C0D">
        <w:rPr>
          <w:rFonts w:ascii="Arial" w:hAnsi="Arial" w:cs="Arial"/>
          <w:bCs/>
          <w:sz w:val="18"/>
          <w:szCs w:val="18"/>
        </w:rPr>
        <w:t>2</w:t>
      </w:r>
      <w:r w:rsidRPr="001B525F">
        <w:rPr>
          <w:rFonts w:ascii="Arial" w:hAnsi="Arial" w:cs="Arial"/>
          <w:bCs/>
          <w:sz w:val="18"/>
          <w:szCs w:val="18"/>
        </w:rPr>
        <w:t>. Comparación de la red PSTN tradicional y los servicios de voz sobre una NGN</w:t>
      </w:r>
    </w:p>
    <w:p w14:paraId="2321DD74" w14:textId="77777777" w:rsidR="00D44C6D" w:rsidRPr="00D44C6D" w:rsidRDefault="00D44C6D" w:rsidP="00D44C6D">
      <w:pPr>
        <w:spacing w:after="0"/>
        <w:jc w:val="both"/>
        <w:rPr>
          <w:rFonts w:ascii="Arial" w:eastAsia="Times New Roman" w:hAnsi="Arial" w:cs="Arial"/>
          <w:sz w:val="18"/>
          <w:szCs w:val="18"/>
          <w:lang w:eastAsia="es-ES"/>
        </w:rPr>
      </w:pPr>
    </w:p>
    <w:p w14:paraId="70CA9970" w14:textId="2564B288" w:rsidR="00D44C6D" w:rsidRPr="00D44C6D" w:rsidRDefault="00D44C6D" w:rsidP="00D44C6D">
      <w:pPr>
        <w:spacing w:after="0"/>
        <w:jc w:val="both"/>
        <w:rPr>
          <w:rFonts w:ascii="Arial" w:eastAsia="Times New Roman" w:hAnsi="Arial" w:cs="Arial"/>
          <w:sz w:val="18"/>
          <w:szCs w:val="18"/>
          <w:lang w:eastAsia="es-ES"/>
        </w:rPr>
      </w:pPr>
      <w:r w:rsidRPr="00D44C6D">
        <w:rPr>
          <w:rFonts w:ascii="Arial" w:eastAsia="Times New Roman" w:hAnsi="Arial" w:cs="Arial"/>
          <w:sz w:val="18"/>
          <w:szCs w:val="18"/>
          <w:lang w:eastAsia="es-ES"/>
        </w:rPr>
        <w:t>La interconexión con las redes de otros operadores en una red NGN se implementa a través de pasarelas frontera (</w:t>
      </w:r>
      <w:r w:rsidRPr="00D44C6D">
        <w:rPr>
          <w:rFonts w:ascii="Arial" w:eastAsia="Times New Roman" w:hAnsi="Arial" w:cs="Arial"/>
          <w:i/>
          <w:sz w:val="18"/>
          <w:szCs w:val="18"/>
          <w:lang w:eastAsia="es-ES"/>
        </w:rPr>
        <w:t xml:space="preserve">border </w:t>
      </w:r>
      <w:r w:rsidRPr="00D44C6D">
        <w:rPr>
          <w:rFonts w:ascii="Arial" w:eastAsia="Times New Roman" w:hAnsi="Arial" w:cs="Arial"/>
          <w:sz w:val="18"/>
          <w:szCs w:val="18"/>
          <w:lang w:eastAsia="es-ES"/>
        </w:rPr>
        <w:t xml:space="preserve">gateways en inglés), también conocidos como Session Border Controllers (SBC) que controlan el acceso a la red. Adicionalmente un operador deberá desplegar equipamiento adicional en su red de núcleo para encaminar el tráfico de datos a internet (por ejemplo, BRAS y servidores DNS), así como plataformas adicionales para proporcionar servicios de valor añadido (por ejemplo, IPTV). que controlan el acceso a la red. </w:t>
      </w:r>
    </w:p>
    <w:p w14:paraId="276D63BC" w14:textId="77777777" w:rsidR="00D44C6D" w:rsidRPr="00D44C6D" w:rsidRDefault="00D44C6D" w:rsidP="00D44C6D">
      <w:pPr>
        <w:spacing w:after="0"/>
        <w:ind w:left="567"/>
        <w:jc w:val="both"/>
        <w:rPr>
          <w:rFonts w:ascii="Arial" w:eastAsia="Times New Roman" w:hAnsi="Arial" w:cs="Arial"/>
          <w:sz w:val="18"/>
          <w:szCs w:val="18"/>
          <w:lang w:eastAsia="es-ES"/>
        </w:rPr>
      </w:pPr>
    </w:p>
    <w:p w14:paraId="2A97FB7D" w14:textId="77777777" w:rsidR="00D44C6D" w:rsidRPr="00D44C6D" w:rsidRDefault="00D44C6D" w:rsidP="00D44C6D">
      <w:pPr>
        <w:spacing w:after="0"/>
        <w:jc w:val="both"/>
        <w:rPr>
          <w:rFonts w:ascii="Arial" w:eastAsia="Times New Roman" w:hAnsi="Arial" w:cs="Arial"/>
          <w:sz w:val="18"/>
          <w:szCs w:val="18"/>
          <w:lang w:eastAsia="es-ES"/>
        </w:rPr>
      </w:pPr>
      <w:r w:rsidRPr="00D44C6D">
        <w:rPr>
          <w:rFonts w:ascii="Arial" w:eastAsia="Times New Roman" w:hAnsi="Arial" w:cs="Arial"/>
          <w:sz w:val="18"/>
          <w:szCs w:val="18"/>
          <w:lang w:eastAsia="es-ES"/>
        </w:rPr>
        <w:t>En el caso del modelo de costos, se debe considerar el uso de una tecnología eficiente. En este sentido, existen diversas opciones para desplegar una red NGN, donde algunas alternativas son meramente actualizaciones de la red PSTN. La opción común desplegada por los operadores es la presentada anteriormente, basadas en enrutadores IP/Ethernet NGN, que dirigen el tráfico de voz y datos entre los nodos de la red. Esta aproximación será la incluida en el modelo de costos.</w:t>
      </w:r>
    </w:p>
    <w:p w14:paraId="6A1709B5" w14:textId="77777777" w:rsidR="00D44C6D" w:rsidRDefault="00D44C6D" w:rsidP="00CC0143">
      <w:pPr>
        <w:spacing w:after="0"/>
        <w:jc w:val="both"/>
        <w:rPr>
          <w:rFonts w:ascii="Arial" w:eastAsia="Times New Roman" w:hAnsi="Arial" w:cs="Arial"/>
          <w:i/>
          <w:sz w:val="18"/>
          <w:szCs w:val="18"/>
          <w:lang w:eastAsia="es-ES"/>
        </w:rPr>
      </w:pPr>
    </w:p>
    <w:p w14:paraId="5CB50ADF" w14:textId="65398102"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Red de transmisión</w:t>
      </w:r>
    </w:p>
    <w:p w14:paraId="286F0041" w14:textId="77777777" w:rsidR="006172B4" w:rsidRPr="001B525F" w:rsidRDefault="006172B4" w:rsidP="00CC0143">
      <w:pPr>
        <w:spacing w:after="0"/>
        <w:jc w:val="both"/>
        <w:rPr>
          <w:rFonts w:ascii="Arial" w:eastAsia="Times New Roman" w:hAnsi="Arial" w:cs="Arial"/>
          <w:sz w:val="18"/>
          <w:szCs w:val="18"/>
          <w:lang w:eastAsia="es-ES"/>
        </w:rPr>
      </w:pPr>
    </w:p>
    <w:p w14:paraId="45697F0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transmisión en una red fija puede realizase a través de una serie de métodos alternativos:</w:t>
      </w:r>
    </w:p>
    <w:p w14:paraId="7B3AF8F8" w14:textId="77777777" w:rsidR="006172B4" w:rsidRPr="001B525F" w:rsidRDefault="006172B4" w:rsidP="00CC0143">
      <w:pPr>
        <w:spacing w:after="0"/>
        <w:jc w:val="both"/>
        <w:rPr>
          <w:rFonts w:ascii="Arial" w:eastAsia="Times New Roman" w:hAnsi="Arial" w:cs="Arial"/>
          <w:sz w:val="18"/>
          <w:szCs w:val="18"/>
          <w:lang w:eastAsia="es-ES"/>
        </w:rPr>
      </w:pPr>
    </w:p>
    <w:p w14:paraId="206E4299" w14:textId="77777777" w:rsidR="006172B4" w:rsidRPr="001B525F" w:rsidRDefault="006172B4" w:rsidP="004A0A71">
      <w:pPr>
        <w:numPr>
          <w:ilvl w:val="0"/>
          <w:numId w:val="23"/>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ATM (</w:t>
      </w:r>
      <w:r w:rsidRPr="001B525F">
        <w:rPr>
          <w:rFonts w:ascii="Arial" w:eastAsia="Times New Roman" w:hAnsi="Arial" w:cs="Arial"/>
          <w:i/>
          <w:sz w:val="18"/>
          <w:szCs w:val="18"/>
          <w:lang w:eastAsia="es-ES"/>
        </w:rPr>
        <w:t>Asynchronous Transfer Mode)</w:t>
      </w:r>
      <w:r w:rsidRPr="001B525F">
        <w:rPr>
          <w:rFonts w:ascii="Arial" w:eastAsia="Times New Roman" w:hAnsi="Arial" w:cs="Arial"/>
          <w:sz w:val="18"/>
          <w:szCs w:val="18"/>
          <w:lang w:eastAsia="es-ES"/>
        </w:rPr>
        <w:t xml:space="preserve"> sobre SDH o SDH de próxima generación;</w:t>
      </w:r>
    </w:p>
    <w:p w14:paraId="40FDAED7" w14:textId="77777777" w:rsidR="006172B4" w:rsidRPr="001B525F" w:rsidRDefault="006172B4" w:rsidP="004A0A71">
      <w:pPr>
        <w:numPr>
          <w:ilvl w:val="0"/>
          <w:numId w:val="23"/>
        </w:numPr>
        <w:spacing w:after="0"/>
        <w:ind w:left="709" w:hanging="357"/>
        <w:contextualSpacing/>
        <w:jc w:val="both"/>
        <w:rPr>
          <w:rFonts w:ascii="Arial" w:eastAsia="Times New Roman" w:hAnsi="Arial" w:cs="Arial"/>
          <w:sz w:val="18"/>
          <w:szCs w:val="18"/>
          <w:lang w:eastAsia="es-ES"/>
        </w:rPr>
      </w:pPr>
      <w:bookmarkStart w:id="6" w:name="_Hlk147312992"/>
      <w:r w:rsidRPr="001B525F">
        <w:rPr>
          <w:rFonts w:ascii="Arial" w:eastAsia="Times New Roman" w:hAnsi="Arial" w:cs="Arial"/>
          <w:sz w:val="18"/>
          <w:szCs w:val="18"/>
          <w:lang w:eastAsia="es-ES"/>
        </w:rPr>
        <w:t xml:space="preserve">Microondas STM </w:t>
      </w:r>
      <w:bookmarkEnd w:id="6"/>
      <w:r w:rsidRPr="001B525F">
        <w:rPr>
          <w:rFonts w:ascii="Arial" w:eastAsia="Times New Roman" w:hAnsi="Arial" w:cs="Arial"/>
          <w:sz w:val="18"/>
          <w:szCs w:val="18"/>
          <w:lang w:eastAsia="es-ES"/>
        </w:rPr>
        <w:t xml:space="preserve">punto-a-punto; </w:t>
      </w:r>
    </w:p>
    <w:p w14:paraId="5F293DFA" w14:textId="77777777" w:rsidR="006172B4" w:rsidRPr="001B525F" w:rsidRDefault="006172B4" w:rsidP="004A0A71">
      <w:pPr>
        <w:numPr>
          <w:ilvl w:val="0"/>
          <w:numId w:val="23"/>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IP/MPLS sobre SDH o SDH de próxima generación;</w:t>
      </w:r>
    </w:p>
    <w:p w14:paraId="4C3B91C9" w14:textId="77777777" w:rsidR="006172B4" w:rsidRPr="001B525F" w:rsidRDefault="006172B4" w:rsidP="004A0A71">
      <w:pPr>
        <w:numPr>
          <w:ilvl w:val="0"/>
          <w:numId w:val="23"/>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IP/MPLS sobre Ethernet nativo.</w:t>
      </w:r>
    </w:p>
    <w:p w14:paraId="2454B06D" w14:textId="77777777" w:rsidR="006172B4" w:rsidRPr="001B525F" w:rsidRDefault="006172B4" w:rsidP="00CC0143">
      <w:pPr>
        <w:spacing w:after="0"/>
        <w:jc w:val="both"/>
        <w:rPr>
          <w:rFonts w:ascii="Arial" w:eastAsia="Times New Roman" w:hAnsi="Arial" w:cs="Arial"/>
          <w:sz w:val="18"/>
          <w:szCs w:val="18"/>
          <w:lang w:eastAsia="es-ES"/>
        </w:rPr>
      </w:pPr>
    </w:p>
    <w:p w14:paraId="704551C1" w14:textId="77777777" w:rsidR="00D44C6D" w:rsidRPr="00D44C6D" w:rsidRDefault="00D44C6D" w:rsidP="00D44C6D">
      <w:pPr>
        <w:spacing w:after="0"/>
        <w:jc w:val="both"/>
        <w:rPr>
          <w:rFonts w:ascii="Arial" w:eastAsia="Times New Roman" w:hAnsi="Arial" w:cs="Arial"/>
          <w:sz w:val="18"/>
          <w:szCs w:val="18"/>
          <w:lang w:eastAsia="es-ES"/>
        </w:rPr>
      </w:pPr>
      <w:r w:rsidRPr="00D44C6D">
        <w:rPr>
          <w:rFonts w:ascii="Arial" w:eastAsia="Times New Roman" w:hAnsi="Arial" w:cs="Arial"/>
          <w:sz w:val="18"/>
          <w:szCs w:val="18"/>
          <w:lang w:eastAsia="es-ES"/>
        </w:rPr>
        <w:t>La tecnología moderna eficiente que la mayoría de los operadores están operando es IP/MPLS sobre Ethernet nativo y sobre tecnología DWDM. La utilización de esta tecnología se considera como mejor práctica internacional y es una de las principales tecnologías desplegadas por operadores con red troncal NGN-IP a nivel mundial. Se modelará un operador hipotético con una red de transmisión IP/MPLS sobre Ethernet nativo.</w:t>
      </w:r>
    </w:p>
    <w:p w14:paraId="22AA8532" w14:textId="77777777" w:rsidR="006172B4" w:rsidRPr="001B525F" w:rsidRDefault="006172B4" w:rsidP="00CC0143">
      <w:pPr>
        <w:spacing w:after="0"/>
        <w:jc w:val="both"/>
        <w:rPr>
          <w:rFonts w:ascii="Arial" w:eastAsia="Times New Roman" w:hAnsi="Arial" w:cs="Arial"/>
          <w:sz w:val="18"/>
          <w:szCs w:val="18"/>
          <w:lang w:eastAsia="es-ES"/>
        </w:rPr>
      </w:pPr>
    </w:p>
    <w:p w14:paraId="2161EB7D"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Demarcación de las capas de red</w:t>
      </w:r>
    </w:p>
    <w:p w14:paraId="4493E783" w14:textId="77777777" w:rsidR="006172B4" w:rsidRPr="001B525F" w:rsidRDefault="006172B4" w:rsidP="00CC0143">
      <w:pPr>
        <w:spacing w:after="0"/>
        <w:jc w:val="both"/>
        <w:rPr>
          <w:rFonts w:ascii="Arial" w:eastAsia="Times New Roman" w:hAnsi="Arial" w:cs="Arial"/>
          <w:sz w:val="18"/>
          <w:szCs w:val="18"/>
          <w:lang w:eastAsia="es-ES"/>
        </w:rPr>
      </w:pPr>
    </w:p>
    <w:p w14:paraId="1D486E09" w14:textId="77777777"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 xml:space="preserve">En Europa, la Recomendación de la Comisión sobre el tratamiento regulatorio de las tarifas de terminación fija y móvil en la Unión Europea establece lo siguiente: “El punto de demarcación por defecto entre los costos relacionados con el </w:t>
      </w:r>
      <w:r w:rsidRPr="0057329B">
        <w:rPr>
          <w:rFonts w:ascii="Arial" w:eastAsia="Times New Roman" w:hAnsi="Arial" w:cs="Arial"/>
          <w:sz w:val="18"/>
          <w:szCs w:val="18"/>
          <w:lang w:eastAsia="es-ES"/>
        </w:rPr>
        <w:lastRenderedPageBreak/>
        <w:t>tráfico y los no relacionados con el tráfico es normalmente el punto en el que se produce la primera concentración de tráfico.”</w:t>
      </w:r>
    </w:p>
    <w:p w14:paraId="7EB218D8" w14:textId="77777777" w:rsidR="0057329B" w:rsidRPr="0057329B" w:rsidRDefault="0057329B" w:rsidP="0057329B">
      <w:pPr>
        <w:spacing w:after="0"/>
        <w:ind w:left="567"/>
        <w:jc w:val="both"/>
        <w:rPr>
          <w:rFonts w:ascii="Arial" w:eastAsia="Times New Roman" w:hAnsi="Arial" w:cs="Arial"/>
          <w:sz w:val="18"/>
          <w:szCs w:val="18"/>
          <w:lang w:eastAsia="es-ES"/>
        </w:rPr>
      </w:pPr>
    </w:p>
    <w:p w14:paraId="117024E9" w14:textId="77777777"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En los modelos de costos fijos, los costos históricos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1644BDA9" w14:textId="77777777" w:rsidR="0057329B" w:rsidRPr="0057329B" w:rsidRDefault="0057329B" w:rsidP="0057329B">
      <w:pPr>
        <w:spacing w:after="0"/>
        <w:jc w:val="both"/>
        <w:rPr>
          <w:rFonts w:ascii="Arial" w:eastAsia="Times New Roman" w:hAnsi="Arial" w:cs="Arial"/>
          <w:sz w:val="18"/>
          <w:szCs w:val="18"/>
          <w:lang w:eastAsia="es-ES"/>
        </w:rPr>
      </w:pPr>
    </w:p>
    <w:p w14:paraId="662CCD04" w14:textId="77777777"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5FC1FD60" w14:textId="77777777" w:rsidR="0057329B" w:rsidRPr="0057329B" w:rsidRDefault="0057329B" w:rsidP="0057329B">
      <w:pPr>
        <w:spacing w:after="0"/>
        <w:jc w:val="both"/>
        <w:rPr>
          <w:rFonts w:ascii="Arial" w:eastAsia="Times New Roman" w:hAnsi="Arial" w:cs="Arial"/>
          <w:sz w:val="18"/>
          <w:szCs w:val="18"/>
          <w:lang w:eastAsia="es-ES"/>
        </w:rPr>
      </w:pPr>
    </w:p>
    <w:p w14:paraId="30222D6F" w14:textId="77777777"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los activos varía según el volumen de tráfico cursado en la red.</w:t>
      </w:r>
    </w:p>
    <w:p w14:paraId="2A35C1D5" w14:textId="77777777" w:rsidR="0057329B" w:rsidRPr="0057329B" w:rsidRDefault="0057329B" w:rsidP="0057329B">
      <w:pPr>
        <w:spacing w:after="0"/>
        <w:jc w:val="both"/>
        <w:rPr>
          <w:rFonts w:ascii="Arial" w:eastAsia="Times New Roman" w:hAnsi="Arial" w:cs="Arial"/>
          <w:sz w:val="18"/>
          <w:szCs w:val="18"/>
          <w:lang w:eastAsia="es-ES"/>
        </w:rPr>
      </w:pPr>
    </w:p>
    <w:p w14:paraId="6B59DF4B" w14:textId="77777777"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71D8350E" w14:textId="77777777" w:rsidR="0057329B" w:rsidRPr="0057329B" w:rsidRDefault="0057329B" w:rsidP="0057329B">
      <w:pPr>
        <w:spacing w:after="0"/>
        <w:jc w:val="both"/>
        <w:rPr>
          <w:rFonts w:ascii="Arial" w:eastAsia="Times New Roman" w:hAnsi="Arial" w:cs="Arial"/>
          <w:sz w:val="18"/>
          <w:szCs w:val="18"/>
          <w:lang w:eastAsia="es-ES"/>
        </w:rPr>
      </w:pPr>
    </w:p>
    <w:p w14:paraId="0E78612F" w14:textId="77777777"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Al aplicar este principio a las redes fijas para un usuario de telefonía fija, el punto de demarcación se encuentra en el MSAN.</w:t>
      </w:r>
    </w:p>
    <w:p w14:paraId="3B350EBB" w14:textId="77777777" w:rsidR="0057329B" w:rsidRPr="0057329B" w:rsidRDefault="0057329B" w:rsidP="0057329B">
      <w:pPr>
        <w:spacing w:after="0"/>
        <w:jc w:val="both"/>
        <w:rPr>
          <w:rFonts w:ascii="Arial" w:eastAsia="Times New Roman" w:hAnsi="Arial" w:cs="Arial"/>
          <w:sz w:val="18"/>
          <w:szCs w:val="18"/>
          <w:lang w:eastAsia="es-ES"/>
        </w:rPr>
      </w:pPr>
    </w:p>
    <w:p w14:paraId="7D8300C9" w14:textId="0F9F1772" w:rsidR="0057329B" w:rsidRPr="0057329B" w:rsidRDefault="0057329B" w:rsidP="0057329B">
      <w:pPr>
        <w:spacing w:after="0"/>
        <w:jc w:val="both"/>
        <w:rPr>
          <w:rFonts w:ascii="Arial" w:eastAsia="Times New Roman" w:hAnsi="Arial" w:cs="Arial"/>
          <w:sz w:val="18"/>
          <w:szCs w:val="18"/>
          <w:lang w:eastAsia="es-ES"/>
        </w:rPr>
      </w:pPr>
      <w:r w:rsidRPr="0057329B">
        <w:rPr>
          <w:rFonts w:ascii="Arial" w:eastAsia="Times New Roman" w:hAnsi="Arial" w:cs="Arial"/>
          <w:sz w:val="18"/>
          <w:szCs w:val="18"/>
          <w:lang w:eastAsia="es-ES"/>
        </w:rPr>
        <w:t xml:space="preserve">Para un usuario de telefonía móvil, el punto de demarcación se encuentra en la tarjeta </w:t>
      </w:r>
      <w:r w:rsidR="0016614D" w:rsidRPr="0057329B">
        <w:rPr>
          <w:rFonts w:ascii="Arial" w:eastAsia="Times New Roman" w:hAnsi="Arial" w:cs="Arial"/>
          <w:sz w:val="18"/>
          <w:szCs w:val="18"/>
          <w:lang w:eastAsia="es-ES"/>
        </w:rPr>
        <w:t>SIM,</w:t>
      </w:r>
      <w:r w:rsidRPr="0057329B">
        <w:rPr>
          <w:rFonts w:ascii="Arial" w:eastAsia="Times New Roman" w:hAnsi="Arial" w:cs="Arial"/>
          <w:sz w:val="18"/>
          <w:szCs w:val="18"/>
          <w:lang w:eastAsia="es-ES"/>
        </w:rPr>
        <w:t xml:space="preserve"> ya que el costo de la interfaz radio depende exclusivamente del tráfico generado por los abonados y no del número de abonados.</w:t>
      </w:r>
    </w:p>
    <w:p w14:paraId="25C20B98" w14:textId="77777777" w:rsidR="0057329B" w:rsidRPr="00657BA6" w:rsidRDefault="0057329B" w:rsidP="0057329B">
      <w:pPr>
        <w:spacing w:after="0"/>
        <w:jc w:val="both"/>
        <w:rPr>
          <w:rFonts w:ascii="Arial" w:eastAsia="Times New Roman" w:hAnsi="Arial" w:cs="Arial"/>
          <w:lang w:eastAsia="es-ES"/>
        </w:rPr>
      </w:pPr>
    </w:p>
    <w:p w14:paraId="5B29A90B" w14:textId="77777777"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Nodos de la red</w:t>
      </w:r>
    </w:p>
    <w:p w14:paraId="684700ED" w14:textId="77777777" w:rsidR="006172B4" w:rsidRPr="001B525F" w:rsidRDefault="006172B4" w:rsidP="00CC0143">
      <w:pPr>
        <w:spacing w:after="0"/>
        <w:ind w:left="426"/>
        <w:jc w:val="both"/>
        <w:rPr>
          <w:rFonts w:ascii="Arial" w:hAnsi="Arial" w:cs="Arial"/>
          <w:sz w:val="18"/>
          <w:szCs w:val="18"/>
        </w:rPr>
      </w:pPr>
    </w:p>
    <w:p w14:paraId="06FB78EA"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Las redes fijas y móviles pueden considerarse como una serie de nodos (con diferentes funciones) y de enlaces entre ellos. Al modelar una red eficiente utilizando un enfoque </w:t>
      </w:r>
      <w:r w:rsidRPr="001B525F">
        <w:rPr>
          <w:rFonts w:ascii="Arial" w:eastAsia="Times New Roman" w:hAnsi="Arial" w:cs="Arial"/>
          <w:i/>
          <w:sz w:val="18"/>
          <w:szCs w:val="18"/>
          <w:lang w:eastAsia="es-ES"/>
        </w:rPr>
        <w:t>bottom-up</w:t>
      </w:r>
      <w:r w:rsidRPr="001B525F">
        <w:rPr>
          <w:rFonts w:ascii="Arial" w:eastAsia="Times New Roman" w:hAnsi="Arial" w:cs="Arial"/>
          <w:sz w:val="18"/>
          <w:szCs w:val="18"/>
          <w:lang w:eastAsia="es-ES"/>
        </w:rPr>
        <w:t xml:space="preserve">, hay varias opciones disponibles en cuanto al nivel de detalle utilizado en redes reales. Cuanto mayor sea el nivel de granularidad/detalle utilizado directamente en los cálculos, menor será el nivel de </w:t>
      </w:r>
      <w:r w:rsidRPr="001B525F">
        <w:rPr>
          <w:rFonts w:ascii="Arial" w:eastAsia="Times New Roman" w:hAnsi="Arial" w:cs="Arial"/>
          <w:i/>
          <w:sz w:val="18"/>
          <w:szCs w:val="18"/>
          <w:lang w:eastAsia="es-ES"/>
        </w:rPr>
        <w:t>scorching</w:t>
      </w:r>
      <w:r w:rsidRPr="001B525F">
        <w:rPr>
          <w:rFonts w:ascii="Arial" w:eastAsia="Times New Roman" w:hAnsi="Arial" w:cs="Arial"/>
          <w:sz w:val="18"/>
          <w:szCs w:val="18"/>
          <w:lang w:eastAsia="es-ES"/>
        </w:rPr>
        <w:t xml:space="preserve"> utilizado. </w:t>
      </w:r>
    </w:p>
    <w:p w14:paraId="785A634D" w14:textId="77777777" w:rsidR="006172B4" w:rsidRPr="001B525F" w:rsidRDefault="006172B4" w:rsidP="00CC0143">
      <w:pPr>
        <w:tabs>
          <w:tab w:val="left" w:pos="2925"/>
        </w:tabs>
        <w:spacing w:after="0"/>
        <w:jc w:val="both"/>
        <w:rPr>
          <w:rFonts w:ascii="Arial" w:eastAsia="Times New Roman" w:hAnsi="Arial" w:cs="Arial"/>
          <w:sz w:val="18"/>
          <w:szCs w:val="18"/>
          <w:lang w:eastAsia="es-ES"/>
        </w:rPr>
      </w:pPr>
    </w:p>
    <w:p w14:paraId="3EA066F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Lineamiento Quinto de la Metodología de Costos señala a la letra lo siguiente:</w:t>
      </w:r>
    </w:p>
    <w:p w14:paraId="2A9A5A5C" w14:textId="77777777" w:rsidR="006172B4" w:rsidRPr="001B525F" w:rsidRDefault="006172B4" w:rsidP="004A0A71">
      <w:pPr>
        <w:spacing w:after="0"/>
        <w:ind w:left="352"/>
        <w:jc w:val="both"/>
        <w:rPr>
          <w:rFonts w:ascii="Arial" w:eastAsia="Times New Roman" w:hAnsi="Arial" w:cs="Arial"/>
          <w:sz w:val="18"/>
          <w:szCs w:val="18"/>
          <w:lang w:eastAsia="es-ES"/>
        </w:rPr>
      </w:pPr>
    </w:p>
    <w:p w14:paraId="7E894C57"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r w:rsidRPr="001B525F">
        <w:rPr>
          <w:rFonts w:ascii="Arial" w:eastAsia="Times New Roman" w:hAnsi="Arial" w:cs="Arial"/>
          <w:b/>
          <w:i/>
          <w:sz w:val="16"/>
          <w:szCs w:val="16"/>
          <w:lang w:eastAsia="es-ES"/>
        </w:rPr>
        <w:t>QUINTO.-</w:t>
      </w:r>
      <w:r w:rsidRPr="001B525F">
        <w:rPr>
          <w:rFonts w:ascii="Arial" w:eastAsia="Times New Roman" w:hAnsi="Arial" w:cs="Arial"/>
          <w:i/>
          <w:sz w:val="16"/>
          <w:szCs w:val="16"/>
          <w:lang w:eastAsia="es-ES"/>
        </w:rPr>
        <w:t xml:space="preserve"> Los Modelos de Costos que se elaboren deberán considerar elementos técnicos y económicos de los Servicios de Interconexión, debiéndose emplear el enfoque de modelos ascendentes o ingenieriles (Bottom-Up).</w:t>
      </w:r>
    </w:p>
    <w:p w14:paraId="7442AC66"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7B3AD5B9" w14:textId="77949B8E"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El Instituto Federal de Telecomunicaciones podrá hacer uso de otros modelos de costos y de información financiera y de contabilidad separada con que disponga para verificar y mejorar la solidez de los resultados.</w:t>
      </w:r>
    </w:p>
    <w:p w14:paraId="1B260C40"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1DB0B869" w14:textId="77777777" w:rsidR="006172B4" w:rsidRPr="001B525F" w:rsidRDefault="006172B4" w:rsidP="00CC0143">
      <w:pPr>
        <w:spacing w:after="0"/>
        <w:jc w:val="both"/>
        <w:rPr>
          <w:rFonts w:ascii="Arial" w:eastAsia="Times New Roman" w:hAnsi="Arial" w:cs="Arial"/>
          <w:sz w:val="18"/>
          <w:szCs w:val="18"/>
          <w:lang w:eastAsia="es-ES"/>
        </w:rPr>
      </w:pPr>
    </w:p>
    <w:p w14:paraId="1F9F60B9" w14:textId="72C7DEDE"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Es así </w:t>
      </w:r>
      <w:r w:rsidR="00651128" w:rsidRPr="001B525F">
        <w:rPr>
          <w:rFonts w:ascii="Arial" w:eastAsia="Times New Roman" w:hAnsi="Arial" w:cs="Arial"/>
          <w:sz w:val="18"/>
          <w:szCs w:val="18"/>
          <w:lang w:eastAsia="es-ES"/>
        </w:rPr>
        <w:t>como</w:t>
      </w:r>
      <w:r w:rsidRPr="001B525F">
        <w:rPr>
          <w:rFonts w:ascii="Arial" w:eastAsia="Times New Roman" w:hAnsi="Arial" w:cs="Arial"/>
          <w:sz w:val="18"/>
          <w:szCs w:val="18"/>
          <w:lang w:eastAsia="es-ES"/>
        </w:rPr>
        <w:t xml:space="preserve">, de acuerdo con la Metodología de Costos, la red fija y la red móvil se modelaron siguiendo un enfoque </w:t>
      </w:r>
      <w:r w:rsidRPr="001B525F">
        <w:rPr>
          <w:rFonts w:ascii="Arial" w:eastAsia="Times New Roman" w:hAnsi="Arial" w:cs="Arial"/>
          <w:i/>
          <w:sz w:val="18"/>
          <w:szCs w:val="18"/>
          <w:lang w:eastAsia="es-ES"/>
        </w:rPr>
        <w:t>scorched-earth</w:t>
      </w:r>
      <w:r w:rsidRPr="001B525F">
        <w:rPr>
          <w:rFonts w:ascii="Arial" w:eastAsia="Times New Roman" w:hAnsi="Arial" w:cs="Arial"/>
          <w:sz w:val="18"/>
          <w:szCs w:val="18"/>
          <w:lang w:eastAsia="es-ES"/>
        </w:rPr>
        <w:t xml:space="preserve"> calibrado con los datos de la red de los concesionarios actuales, lo cual resultará en una red más eficiente que la de los operadores existentes. </w:t>
      </w:r>
    </w:p>
    <w:p w14:paraId="404E651C" w14:textId="77777777" w:rsidR="006172B4" w:rsidRPr="001B525F" w:rsidRDefault="006172B4" w:rsidP="00CC0143">
      <w:pPr>
        <w:spacing w:after="0"/>
        <w:jc w:val="both"/>
        <w:rPr>
          <w:rFonts w:ascii="Arial" w:eastAsia="Times New Roman" w:hAnsi="Arial" w:cs="Arial"/>
          <w:sz w:val="18"/>
          <w:szCs w:val="18"/>
          <w:lang w:eastAsia="es-ES"/>
        </w:rPr>
      </w:pPr>
    </w:p>
    <w:p w14:paraId="1A89BD1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El enfoque </w:t>
      </w:r>
      <w:r w:rsidRPr="001B525F">
        <w:rPr>
          <w:rFonts w:ascii="Arial" w:eastAsia="Times New Roman" w:hAnsi="Arial" w:cs="Arial"/>
          <w:i/>
          <w:sz w:val="18"/>
          <w:szCs w:val="18"/>
          <w:lang w:eastAsia="es-ES"/>
        </w:rPr>
        <w:t>scorched-earth</w:t>
      </w:r>
      <w:r w:rsidRPr="001B525F">
        <w:rPr>
          <w:rFonts w:ascii="Arial" w:eastAsia="Times New Roman" w:hAnsi="Arial" w:cs="Arial"/>
          <w:sz w:val="18"/>
          <w:szCs w:val="18"/>
          <w:lang w:eastAsia="es-ES"/>
        </w:rPr>
        <w:t xml:space="preserve"> determina el costo eficiente de una red que proporciona los mismos servicios que las redes existentes, sin poner ninguna restricción en su configuración, como puede ser la ubicación de los nodos en la red. Este </w:t>
      </w:r>
      <w:r w:rsidRPr="001B525F">
        <w:rPr>
          <w:rFonts w:ascii="Arial" w:eastAsia="Times New Roman" w:hAnsi="Arial" w:cs="Arial"/>
          <w:sz w:val="18"/>
          <w:szCs w:val="18"/>
          <w:lang w:eastAsia="es-ES"/>
        </w:rPr>
        <w:lastRenderedPageBreak/>
        <w:t>enfoque modela la red que un nuevo entrante desplegaría en base a la distribución geográfica de sus clientes y a los pronósticos de la demanda de los diferentes servicios ofrecidos, si no tuviese una red previamente desplegada.</w:t>
      </w:r>
    </w:p>
    <w:p w14:paraId="3127CDA2" w14:textId="77777777" w:rsidR="006172B4" w:rsidRPr="001B525F" w:rsidRDefault="006172B4" w:rsidP="00CC0143">
      <w:pPr>
        <w:spacing w:after="0"/>
        <w:jc w:val="both"/>
        <w:rPr>
          <w:rFonts w:ascii="Arial" w:eastAsia="Times New Roman" w:hAnsi="Arial" w:cs="Arial"/>
          <w:sz w:val="18"/>
          <w:szCs w:val="18"/>
          <w:lang w:eastAsia="es-ES"/>
        </w:rPr>
      </w:pPr>
    </w:p>
    <w:p w14:paraId="5F08951E"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 continuación, se presenta un esquema con la metodología utilizada para la calibración del modelo fijo.</w:t>
      </w:r>
    </w:p>
    <w:p w14:paraId="674D94DC" w14:textId="1D4904A1" w:rsidR="006172B4" w:rsidRDefault="006172B4" w:rsidP="00CC0143">
      <w:pPr>
        <w:spacing w:after="0"/>
        <w:jc w:val="both"/>
        <w:rPr>
          <w:rFonts w:ascii="Arial" w:hAnsi="Arial" w:cs="Arial"/>
          <w:sz w:val="18"/>
          <w:szCs w:val="18"/>
        </w:rPr>
      </w:pPr>
    </w:p>
    <w:p w14:paraId="15434858" w14:textId="321D187A" w:rsidR="00B26385" w:rsidRPr="001B525F" w:rsidRDefault="00E6376F" w:rsidP="00602CAB">
      <w:pPr>
        <w:spacing w:after="0"/>
        <w:jc w:val="center"/>
        <w:rPr>
          <w:rFonts w:ascii="Arial" w:hAnsi="Arial" w:cs="Arial"/>
          <w:sz w:val="18"/>
          <w:szCs w:val="18"/>
        </w:rPr>
      </w:pPr>
      <w:r w:rsidRPr="0067461A">
        <w:rPr>
          <w:noProof/>
        </w:rPr>
        <w:drawing>
          <wp:inline distT="0" distB="0" distL="0" distR="0" wp14:anchorId="4ECC8287" wp14:editId="3B8EFBC5">
            <wp:extent cx="3332457" cy="2484000"/>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332457" cy="2484000"/>
                    </a:xfrm>
                    <a:prstGeom prst="rect">
                      <a:avLst/>
                    </a:prstGeom>
                    <a:noFill/>
                    <a:ln>
                      <a:noFill/>
                    </a:ln>
                  </pic:spPr>
                </pic:pic>
              </a:graphicData>
            </a:graphic>
          </wp:inline>
        </w:drawing>
      </w:r>
    </w:p>
    <w:p w14:paraId="3E7CADB2" w14:textId="75C819FB" w:rsidR="006172B4" w:rsidRPr="001B525F" w:rsidRDefault="006172B4" w:rsidP="00CC0143">
      <w:pPr>
        <w:spacing w:after="0"/>
        <w:ind w:left="284"/>
        <w:jc w:val="center"/>
        <w:rPr>
          <w:rFonts w:ascii="Arial" w:eastAsia="Times New Roman" w:hAnsi="Arial" w:cs="Arial"/>
          <w:sz w:val="18"/>
          <w:szCs w:val="18"/>
          <w:lang w:eastAsia="es-ES"/>
        </w:rPr>
      </w:pPr>
      <w:r w:rsidRPr="001B525F">
        <w:rPr>
          <w:rFonts w:ascii="Arial" w:hAnsi="Arial" w:cs="Arial"/>
          <w:sz w:val="18"/>
          <w:szCs w:val="18"/>
        </w:rPr>
        <w:t xml:space="preserve">Figura </w:t>
      </w:r>
      <w:r w:rsidR="00E20C0D">
        <w:rPr>
          <w:rFonts w:ascii="Arial" w:hAnsi="Arial" w:cs="Arial"/>
          <w:sz w:val="18"/>
          <w:szCs w:val="18"/>
        </w:rPr>
        <w:t>3</w:t>
      </w:r>
      <w:r w:rsidRPr="001B525F">
        <w:rPr>
          <w:rFonts w:ascii="Arial" w:hAnsi="Arial" w:cs="Arial"/>
          <w:sz w:val="18"/>
          <w:szCs w:val="18"/>
        </w:rPr>
        <w:t>. Esquema de modelado scorched-earth calibrado para el operador fijo</w:t>
      </w:r>
    </w:p>
    <w:p w14:paraId="50204893" w14:textId="77777777" w:rsidR="006172B4" w:rsidRPr="001B525F" w:rsidRDefault="006172B4" w:rsidP="00CC0143">
      <w:pPr>
        <w:spacing w:after="0"/>
        <w:jc w:val="both"/>
        <w:rPr>
          <w:rFonts w:ascii="Arial" w:eastAsia="Times New Roman" w:hAnsi="Arial" w:cs="Arial"/>
          <w:sz w:val="18"/>
          <w:szCs w:val="18"/>
          <w:lang w:eastAsia="es-ES"/>
        </w:rPr>
      </w:pPr>
    </w:p>
    <w:p w14:paraId="018D111D" w14:textId="49796B05" w:rsidR="006172B4"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 continuación, se muestra un esquema con la metodología utilizada para la calibración del Modelo Móvil.</w:t>
      </w:r>
    </w:p>
    <w:p w14:paraId="520B72BC" w14:textId="77777777" w:rsidR="00064993" w:rsidRPr="001B525F" w:rsidRDefault="00064993" w:rsidP="00CC0143">
      <w:pPr>
        <w:spacing w:after="0"/>
        <w:jc w:val="both"/>
        <w:rPr>
          <w:rFonts w:ascii="Arial" w:eastAsia="Times New Roman" w:hAnsi="Arial" w:cs="Arial"/>
          <w:sz w:val="18"/>
          <w:szCs w:val="18"/>
          <w:lang w:eastAsia="es-ES"/>
        </w:rPr>
      </w:pPr>
    </w:p>
    <w:p w14:paraId="1BD6339E" w14:textId="08C9DE10" w:rsidR="006172B4" w:rsidRPr="001B525F" w:rsidRDefault="008E1E06" w:rsidP="00602CAB">
      <w:pPr>
        <w:spacing w:after="0"/>
        <w:jc w:val="center"/>
        <w:rPr>
          <w:rFonts w:ascii="Arial" w:eastAsia="Times New Roman" w:hAnsi="Arial" w:cs="Arial"/>
          <w:sz w:val="18"/>
          <w:szCs w:val="18"/>
          <w:lang w:eastAsia="es-ES"/>
        </w:rPr>
      </w:pPr>
      <w:r w:rsidRPr="007740FC">
        <w:rPr>
          <w:rFonts w:ascii="Arial" w:hAnsi="Arial" w:cs="Arial"/>
          <w:noProof/>
          <w:sz w:val="18"/>
          <w:szCs w:val="18"/>
          <w:lang w:eastAsia="es-MX"/>
        </w:rPr>
        <w:drawing>
          <wp:inline distT="0" distB="0" distL="0" distR="0" wp14:anchorId="4358BA1E" wp14:editId="064E26CB">
            <wp:extent cx="3314700" cy="2705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3314700" cy="2705100"/>
                    </a:xfrm>
                    <a:prstGeom prst="rect">
                      <a:avLst/>
                    </a:prstGeom>
                    <a:noFill/>
                    <a:ln>
                      <a:noFill/>
                    </a:ln>
                  </pic:spPr>
                </pic:pic>
              </a:graphicData>
            </a:graphic>
          </wp:inline>
        </w:drawing>
      </w:r>
    </w:p>
    <w:p w14:paraId="73A25E35" w14:textId="58DC4E7A" w:rsidR="006172B4" w:rsidRPr="001B525F" w:rsidRDefault="006172B4" w:rsidP="00CC0143">
      <w:pPr>
        <w:spacing w:after="0"/>
        <w:ind w:left="426"/>
        <w:jc w:val="center"/>
        <w:rPr>
          <w:rFonts w:ascii="Arial" w:hAnsi="Arial" w:cs="Arial"/>
          <w:sz w:val="18"/>
          <w:szCs w:val="18"/>
        </w:rPr>
      </w:pPr>
      <w:r w:rsidRPr="001B525F">
        <w:rPr>
          <w:rFonts w:ascii="Arial" w:hAnsi="Arial" w:cs="Arial"/>
          <w:sz w:val="18"/>
          <w:szCs w:val="18"/>
        </w:rPr>
        <w:t xml:space="preserve">Figura </w:t>
      </w:r>
      <w:r w:rsidR="00E20C0D">
        <w:rPr>
          <w:rFonts w:ascii="Arial" w:hAnsi="Arial" w:cs="Arial"/>
          <w:sz w:val="18"/>
          <w:szCs w:val="18"/>
        </w:rPr>
        <w:t>4</w:t>
      </w:r>
      <w:r w:rsidRPr="001B525F">
        <w:rPr>
          <w:rFonts w:ascii="Arial" w:hAnsi="Arial" w:cs="Arial"/>
          <w:sz w:val="18"/>
          <w:szCs w:val="18"/>
        </w:rPr>
        <w:t>. Esquema de modelado scorched earth calibrado para el operador móvil</w:t>
      </w:r>
    </w:p>
    <w:p w14:paraId="3704FAD6" w14:textId="77777777" w:rsidR="006172B4" w:rsidRPr="001B525F" w:rsidRDefault="006172B4" w:rsidP="00CC0143">
      <w:pPr>
        <w:spacing w:after="0"/>
        <w:jc w:val="both"/>
        <w:rPr>
          <w:rFonts w:ascii="Arial" w:eastAsia="Times New Roman" w:hAnsi="Arial" w:cs="Arial"/>
          <w:sz w:val="18"/>
          <w:szCs w:val="18"/>
          <w:lang w:eastAsia="es-ES"/>
        </w:rPr>
      </w:pPr>
    </w:p>
    <w:p w14:paraId="5517A6A7" w14:textId="77777777" w:rsidR="006172B4" w:rsidRPr="0081522E" w:rsidRDefault="006172B4" w:rsidP="00CC0143">
      <w:pPr>
        <w:spacing w:after="0"/>
        <w:jc w:val="both"/>
        <w:rPr>
          <w:rFonts w:ascii="Arial" w:hAnsi="Arial" w:cs="Arial"/>
          <w:sz w:val="18"/>
          <w:szCs w:val="18"/>
        </w:rPr>
      </w:pPr>
      <w:r w:rsidRPr="00722F12">
        <w:rPr>
          <w:rFonts w:ascii="Arial" w:eastAsia="Times New Roman" w:hAnsi="Arial" w:cs="Arial"/>
          <w:sz w:val="18"/>
          <w:szCs w:val="18"/>
          <w:lang w:eastAsia="es-ES"/>
        </w:rPr>
        <w:t xml:space="preserve">En este enfoque el </w:t>
      </w:r>
      <w:r w:rsidRPr="0081522E">
        <w:rPr>
          <w:rFonts w:ascii="Arial" w:eastAsia="Times New Roman" w:hAnsi="Arial" w:cs="Arial"/>
          <w:sz w:val="18"/>
          <w:szCs w:val="18"/>
          <w:lang w:eastAsia="es-ES"/>
        </w:rPr>
        <w:t>número total de nodos</w:t>
      </w:r>
      <w:r w:rsidRPr="00722F12">
        <w:rPr>
          <w:rFonts w:ascii="Arial" w:eastAsia="Times New Roman" w:hAnsi="Arial" w:cs="Arial"/>
          <w:sz w:val="18"/>
          <w:szCs w:val="18"/>
          <w:lang w:eastAsia="es-ES"/>
        </w:rPr>
        <w:t xml:space="preserve"> no variaría (es decir, resulta calibrado con la información de la red actual de los operadores móviles), pero permite revisar su función o capacidad, lo que implica que el número de nodos por subtipo puede cambiar.</w:t>
      </w:r>
    </w:p>
    <w:p w14:paraId="07613661" w14:textId="77777777" w:rsidR="006172B4" w:rsidRPr="001B525F" w:rsidRDefault="006172B4" w:rsidP="00CC0143">
      <w:pPr>
        <w:spacing w:after="0"/>
        <w:ind w:left="426"/>
        <w:jc w:val="both"/>
        <w:rPr>
          <w:rFonts w:ascii="Arial" w:hAnsi="Arial" w:cs="Arial"/>
          <w:sz w:val="18"/>
          <w:szCs w:val="18"/>
        </w:rPr>
      </w:pPr>
    </w:p>
    <w:p w14:paraId="376FD552" w14:textId="29099F54" w:rsidR="006172B4" w:rsidRPr="001B525F" w:rsidRDefault="006172B4" w:rsidP="00CC0143">
      <w:pPr>
        <w:spacing w:after="0"/>
        <w:jc w:val="both"/>
        <w:rPr>
          <w:rFonts w:ascii="Arial" w:hAnsi="Arial" w:cs="Arial"/>
          <w:b/>
          <w:sz w:val="18"/>
          <w:szCs w:val="18"/>
        </w:rPr>
      </w:pPr>
      <w:r w:rsidRPr="001B525F">
        <w:rPr>
          <w:rFonts w:ascii="Arial" w:hAnsi="Arial" w:cs="Arial"/>
          <w:b/>
          <w:sz w:val="18"/>
          <w:szCs w:val="18"/>
        </w:rPr>
        <w:t>1.3 Aspectos relacionados con los servicios</w:t>
      </w:r>
    </w:p>
    <w:p w14:paraId="58577976" w14:textId="77777777" w:rsidR="006172B4" w:rsidRPr="001B525F" w:rsidRDefault="006172B4" w:rsidP="00CC0143">
      <w:pPr>
        <w:spacing w:after="0"/>
        <w:ind w:left="426"/>
        <w:jc w:val="both"/>
        <w:rPr>
          <w:rFonts w:ascii="Arial" w:hAnsi="Arial" w:cs="Arial"/>
          <w:b/>
          <w:sz w:val="18"/>
          <w:szCs w:val="18"/>
        </w:rPr>
      </w:pPr>
    </w:p>
    <w:p w14:paraId="24F4EB70" w14:textId="77777777" w:rsidR="00187E11" w:rsidRPr="00187E11" w:rsidRDefault="00187E11" w:rsidP="00187E11">
      <w:pPr>
        <w:spacing w:after="0"/>
        <w:jc w:val="both"/>
        <w:rPr>
          <w:rFonts w:ascii="Arial" w:hAnsi="Arial" w:cs="Arial"/>
          <w:spacing w:val="-4"/>
          <w:sz w:val="18"/>
          <w:szCs w:val="18"/>
        </w:rPr>
      </w:pPr>
      <w:r w:rsidRPr="00187E11">
        <w:rPr>
          <w:rFonts w:ascii="Arial" w:hAnsi="Arial" w:cs="Arial"/>
          <w:spacing w:val="-4"/>
          <w:sz w:val="18"/>
          <w:szCs w:val="18"/>
        </w:rPr>
        <w:lastRenderedPageBreak/>
        <w:t xml:space="preserve">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 Sin embargo, las redes fijas y móviles suelen transportar una amplia gama de servicios. La medida en la que el operador modelado puede ofrecer servicios en las zonas donde tiene cobertura determina las economías de alcance del operador, y por lo tanto este aspecto debe ser considerado en los modelos. </w:t>
      </w:r>
    </w:p>
    <w:p w14:paraId="3999EA93" w14:textId="77777777" w:rsidR="006172B4" w:rsidRPr="001B525F" w:rsidRDefault="006172B4" w:rsidP="00CC0143">
      <w:pPr>
        <w:spacing w:after="0"/>
        <w:ind w:left="993"/>
        <w:jc w:val="both"/>
        <w:rPr>
          <w:rFonts w:ascii="Arial" w:eastAsia="Times New Roman" w:hAnsi="Arial" w:cs="Arial"/>
          <w:sz w:val="18"/>
          <w:szCs w:val="18"/>
          <w:lang w:eastAsia="es-ES"/>
        </w:rPr>
      </w:pPr>
    </w:p>
    <w:p w14:paraId="60C8EC88" w14:textId="77777777" w:rsidR="006172B4" w:rsidRPr="001B525F" w:rsidRDefault="006172B4" w:rsidP="00CC0143">
      <w:pPr>
        <w:keepNext/>
        <w:spacing w:after="0"/>
        <w:rPr>
          <w:rFonts w:ascii="Arial" w:hAnsi="Arial" w:cs="Arial"/>
          <w:b/>
          <w:sz w:val="18"/>
          <w:szCs w:val="18"/>
        </w:rPr>
      </w:pPr>
      <w:r w:rsidRPr="001B525F">
        <w:rPr>
          <w:rFonts w:ascii="Arial" w:hAnsi="Arial" w:cs="Arial"/>
          <w:b/>
          <w:sz w:val="18"/>
          <w:szCs w:val="18"/>
        </w:rPr>
        <w:t>Servicios a modelar</w:t>
      </w:r>
    </w:p>
    <w:p w14:paraId="17270329" w14:textId="77777777" w:rsidR="006172B4" w:rsidRPr="001B525F" w:rsidRDefault="006172B4" w:rsidP="00CC0143">
      <w:pPr>
        <w:spacing w:after="0"/>
        <w:jc w:val="both"/>
        <w:rPr>
          <w:rFonts w:ascii="Arial" w:eastAsia="Times New Roman" w:hAnsi="Arial" w:cs="Arial"/>
          <w:sz w:val="18"/>
          <w:szCs w:val="18"/>
          <w:lang w:eastAsia="es-ES"/>
        </w:rPr>
      </w:pPr>
    </w:p>
    <w:p w14:paraId="28ACD7D0"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09E01730" w14:textId="77777777" w:rsidR="00187E11" w:rsidRPr="00187E11" w:rsidRDefault="00187E11" w:rsidP="00187E11">
      <w:pPr>
        <w:spacing w:after="0"/>
        <w:jc w:val="both"/>
        <w:rPr>
          <w:rFonts w:ascii="Arial" w:eastAsia="Times New Roman" w:hAnsi="Arial" w:cs="Arial"/>
          <w:sz w:val="18"/>
          <w:szCs w:val="18"/>
          <w:lang w:eastAsia="es-ES"/>
        </w:rPr>
      </w:pPr>
    </w:p>
    <w:p w14:paraId="74E650FE"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42BE2832" w14:textId="77777777" w:rsidR="00187E11" w:rsidRPr="00187E11" w:rsidRDefault="00187E11" w:rsidP="00187E11">
      <w:pPr>
        <w:spacing w:after="0"/>
        <w:jc w:val="both"/>
        <w:rPr>
          <w:rFonts w:ascii="Arial" w:eastAsia="Times New Roman" w:hAnsi="Arial" w:cs="Arial"/>
          <w:sz w:val="18"/>
          <w:szCs w:val="18"/>
          <w:lang w:eastAsia="es-ES"/>
        </w:rPr>
      </w:pPr>
    </w:p>
    <w:p w14:paraId="1418CCD3"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187E11">
        <w:rPr>
          <w:rFonts w:ascii="Arial" w:eastAsia="Times New Roman" w:hAnsi="Arial" w:cs="Arial"/>
          <w:sz w:val="18"/>
          <w:szCs w:val="18"/>
          <w:vertAlign w:val="superscript"/>
          <w:lang w:eastAsia="es-ES"/>
        </w:rPr>
        <w:footnoteReference w:id="17"/>
      </w:r>
    </w:p>
    <w:p w14:paraId="16767925" w14:textId="77777777" w:rsidR="00187E11" w:rsidRPr="00187E11" w:rsidRDefault="00187E11" w:rsidP="00187E11">
      <w:pPr>
        <w:spacing w:after="0"/>
        <w:jc w:val="both"/>
        <w:rPr>
          <w:rFonts w:ascii="Arial" w:eastAsia="Times New Roman" w:hAnsi="Arial" w:cs="Arial"/>
          <w:sz w:val="18"/>
          <w:szCs w:val="18"/>
          <w:lang w:eastAsia="es-ES"/>
        </w:rPr>
      </w:pPr>
    </w:p>
    <w:p w14:paraId="5A1246A6"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 xml:space="preserve">Será necesario analizar y comprender el efecto que pueden llegar a tener las previsiones de demanda de servicios distintos a los servicios de voz en los costos de los servicios de voz. </w:t>
      </w:r>
    </w:p>
    <w:p w14:paraId="0A2D2FB7" w14:textId="77777777" w:rsidR="00187E11" w:rsidRPr="00187E11" w:rsidRDefault="00187E11" w:rsidP="00187E11">
      <w:pPr>
        <w:spacing w:after="0"/>
        <w:jc w:val="both"/>
        <w:rPr>
          <w:rFonts w:ascii="Arial" w:eastAsia="Times New Roman" w:hAnsi="Arial" w:cs="Arial"/>
          <w:sz w:val="18"/>
          <w:szCs w:val="18"/>
          <w:lang w:eastAsia="es-ES"/>
        </w:rPr>
      </w:pPr>
    </w:p>
    <w:p w14:paraId="572E62F7" w14:textId="640F535A"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En este sentido, los operadores modelados proporcionarán todos los servicios relevantes para cada tipo de red</w:t>
      </w:r>
      <w:r w:rsidR="00EA7545">
        <w:rPr>
          <w:rFonts w:ascii="Arial" w:eastAsia="Times New Roman" w:hAnsi="Arial" w:cs="Arial"/>
          <w:sz w:val="18"/>
          <w:szCs w:val="18"/>
          <w:lang w:eastAsia="es-ES"/>
        </w:rPr>
        <w:t xml:space="preserve"> y e</w:t>
      </w:r>
      <w:r w:rsidRPr="00187E11">
        <w:rPr>
          <w:rFonts w:ascii="Arial" w:eastAsia="Times New Roman" w:hAnsi="Arial" w:cs="Arial"/>
          <w:sz w:val="18"/>
          <w:szCs w:val="18"/>
          <w:lang w:eastAsia="es-ES"/>
        </w:rPr>
        <w:t>n el caso de los operadores modelados a partir de los concesionarios alternativos, no se incluirá tráfico para aquellos servicios mayoristas regulados que no tengan la obligación de proporcionar.</w:t>
      </w:r>
    </w:p>
    <w:p w14:paraId="61EC1BE7" w14:textId="77777777" w:rsidR="00187E11" w:rsidRDefault="00187E11" w:rsidP="00CC0143">
      <w:pPr>
        <w:spacing w:after="0"/>
        <w:rPr>
          <w:rFonts w:ascii="Arial" w:hAnsi="Arial" w:cs="Arial"/>
          <w:b/>
          <w:sz w:val="18"/>
          <w:szCs w:val="18"/>
        </w:rPr>
      </w:pPr>
    </w:p>
    <w:p w14:paraId="501E1231" w14:textId="15E73515" w:rsidR="006172B4" w:rsidRPr="001B525F" w:rsidRDefault="006172B4" w:rsidP="00CC0143">
      <w:pPr>
        <w:spacing w:after="0"/>
        <w:rPr>
          <w:rFonts w:ascii="Arial" w:hAnsi="Arial" w:cs="Arial"/>
          <w:b/>
          <w:sz w:val="18"/>
          <w:szCs w:val="18"/>
        </w:rPr>
      </w:pPr>
      <w:r w:rsidRPr="001B525F">
        <w:rPr>
          <w:rFonts w:ascii="Arial" w:hAnsi="Arial" w:cs="Arial"/>
          <w:b/>
          <w:sz w:val="18"/>
          <w:szCs w:val="18"/>
        </w:rPr>
        <w:t>Servicios que se ofrecen a través de redes fijas</w:t>
      </w:r>
    </w:p>
    <w:p w14:paraId="2CACD44B" w14:textId="77777777" w:rsidR="006172B4" w:rsidRPr="001B525F" w:rsidRDefault="006172B4" w:rsidP="00CC0143">
      <w:pPr>
        <w:spacing w:after="0"/>
        <w:jc w:val="both"/>
        <w:rPr>
          <w:rFonts w:ascii="Arial" w:eastAsia="Times New Roman" w:hAnsi="Arial" w:cs="Arial"/>
          <w:sz w:val="18"/>
          <w:szCs w:val="18"/>
          <w:lang w:eastAsia="es-ES"/>
        </w:rPr>
      </w:pPr>
    </w:p>
    <w:p w14:paraId="7D5909B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la tabla 2 se presentan los servicios de voz considerados en el desarrollo del Modelo Fijo. Estos servicios contribuyen al despliegue de la red troncal.</w:t>
      </w:r>
    </w:p>
    <w:p w14:paraId="5BD60AAB" w14:textId="77777777" w:rsidR="006172B4" w:rsidRPr="001B525F" w:rsidRDefault="006172B4" w:rsidP="00CC0143">
      <w:pPr>
        <w:spacing w:after="0"/>
        <w:jc w:val="both"/>
        <w:rPr>
          <w:rFonts w:ascii="Arial" w:eastAsia="Times New Roman" w:hAnsi="Arial" w:cs="Arial"/>
          <w:sz w:val="18"/>
          <w:szCs w:val="18"/>
          <w:lang w:eastAsia="es-ES"/>
        </w:rPr>
      </w:pPr>
    </w:p>
    <w:tbl>
      <w:tblPr>
        <w:tblStyle w:val="Tabladecuadrcula4"/>
        <w:tblW w:w="0" w:type="auto"/>
        <w:tblLook w:val="0420" w:firstRow="1" w:lastRow="0" w:firstColumn="0" w:lastColumn="0" w:noHBand="0" w:noVBand="1"/>
      </w:tblPr>
      <w:tblGrid>
        <w:gridCol w:w="2087"/>
        <w:gridCol w:w="7307"/>
      </w:tblGrid>
      <w:tr w:rsidR="00493158" w:rsidRPr="004A0A71" w14:paraId="2882EBD6" w14:textId="77777777" w:rsidTr="002021E3">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D6418AA" w14:textId="185EB3C1" w:rsidR="006172B4" w:rsidRPr="004A0A71" w:rsidRDefault="006172B4" w:rsidP="001B2640">
            <w:pPr>
              <w:spacing w:after="0"/>
              <w:ind w:right="113"/>
              <w:jc w:val="center"/>
              <w:rPr>
                <w:rFonts w:ascii="Arial" w:hAnsi="Arial" w:cs="Arial"/>
                <w:b w:val="0"/>
                <w:bCs w:val="0"/>
                <w:color w:val="auto"/>
                <w:sz w:val="16"/>
                <w:szCs w:val="18"/>
                <w:lang w:val="es-MX"/>
              </w:rPr>
            </w:pPr>
            <w:r w:rsidRPr="004A0A71">
              <w:rPr>
                <w:rFonts w:ascii="Arial" w:hAnsi="Arial" w:cs="Arial"/>
                <w:color w:val="auto"/>
                <w:sz w:val="16"/>
                <w:szCs w:val="18"/>
                <w:lang w:val="es-MX"/>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41303BB" w14:textId="77777777" w:rsidR="006172B4" w:rsidRPr="004A0A71" w:rsidRDefault="006172B4" w:rsidP="001B2640">
            <w:pPr>
              <w:spacing w:after="0"/>
              <w:ind w:right="113"/>
              <w:jc w:val="center"/>
              <w:rPr>
                <w:rFonts w:ascii="Arial" w:hAnsi="Arial" w:cs="Arial"/>
                <w:b w:val="0"/>
                <w:bCs w:val="0"/>
                <w:color w:val="auto"/>
                <w:sz w:val="16"/>
                <w:szCs w:val="18"/>
                <w:lang w:val="es-MX"/>
              </w:rPr>
            </w:pPr>
            <w:r w:rsidRPr="004A0A71">
              <w:rPr>
                <w:rFonts w:ascii="Arial" w:hAnsi="Arial" w:cs="Arial"/>
                <w:color w:val="auto"/>
                <w:sz w:val="16"/>
                <w:szCs w:val="18"/>
                <w:lang w:val="es-MX"/>
              </w:rPr>
              <w:t>Descripción del servicio</w:t>
            </w:r>
          </w:p>
        </w:tc>
      </w:tr>
      <w:tr w:rsidR="00493158" w:rsidRPr="004A0A71" w14:paraId="3D32FFDD" w14:textId="77777777" w:rsidTr="002021E3">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419E2E7C"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salientes on-net</w:t>
            </w:r>
          </w:p>
        </w:tc>
        <w:tc>
          <w:tcPr>
            <w:tcW w:w="0" w:type="auto"/>
            <w:tcBorders>
              <w:top w:val="single" w:sz="4" w:space="0" w:color="000000"/>
            </w:tcBorders>
          </w:tcPr>
          <w:p w14:paraId="6C6A184C" w14:textId="77777777" w:rsidR="006172B4" w:rsidRPr="004A0A71" w:rsidRDefault="006172B4" w:rsidP="00CC0143">
            <w:pPr>
              <w:spacing w:after="0"/>
              <w:ind w:right="113"/>
              <w:rPr>
                <w:rFonts w:ascii="Arial" w:hAnsi="Arial" w:cs="Arial"/>
                <w:sz w:val="16"/>
                <w:szCs w:val="18"/>
                <w:lang w:val="es-MX"/>
              </w:rPr>
            </w:pPr>
            <w:r w:rsidRPr="004A0A71">
              <w:rPr>
                <w:rFonts w:ascii="Arial" w:hAnsi="Arial" w:cs="Arial"/>
                <w:sz w:val="16"/>
                <w:szCs w:val="18"/>
                <w:lang w:val="es-MX"/>
              </w:rPr>
              <w:t>Llamadas de voz entre dos suscriptores minoristas del operador fijo modelado.</w:t>
            </w:r>
          </w:p>
        </w:tc>
      </w:tr>
      <w:tr w:rsidR="00493158" w:rsidRPr="004A0A71" w14:paraId="30B33ED0" w14:textId="77777777" w:rsidTr="007740FC">
        <w:tc>
          <w:tcPr>
            <w:tcW w:w="0" w:type="auto"/>
          </w:tcPr>
          <w:p w14:paraId="688E9C9F"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salientes a otros operadores fijos</w:t>
            </w:r>
          </w:p>
        </w:tc>
        <w:tc>
          <w:tcPr>
            <w:tcW w:w="0" w:type="auto"/>
          </w:tcPr>
          <w:p w14:paraId="421B69B6"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de un suscriptor minorista del operador fijo modelado a un operador fijo doméstico.</w:t>
            </w:r>
          </w:p>
        </w:tc>
      </w:tr>
      <w:tr w:rsidR="00493158" w:rsidRPr="004A0A71" w14:paraId="1B0A4BC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677D8747"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salientes a móvil</w:t>
            </w:r>
          </w:p>
        </w:tc>
        <w:tc>
          <w:tcPr>
            <w:tcW w:w="0" w:type="auto"/>
          </w:tcPr>
          <w:p w14:paraId="55BBA734"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de un suscriptor minorista del operador fijo modelado a un operador móvil doméstico.</w:t>
            </w:r>
          </w:p>
        </w:tc>
      </w:tr>
      <w:tr w:rsidR="00493158" w:rsidRPr="004A0A71" w14:paraId="37FF4782" w14:textId="77777777" w:rsidTr="007740FC">
        <w:tc>
          <w:tcPr>
            <w:tcW w:w="0" w:type="auto"/>
          </w:tcPr>
          <w:p w14:paraId="75093175"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salientes a internacional</w:t>
            </w:r>
          </w:p>
        </w:tc>
        <w:tc>
          <w:tcPr>
            <w:tcW w:w="0" w:type="auto"/>
          </w:tcPr>
          <w:p w14:paraId="7CBB497D"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de un suscriptor minorista del operador fijo modelado a un destino internacional.</w:t>
            </w:r>
          </w:p>
        </w:tc>
      </w:tr>
      <w:tr w:rsidR="00493158" w:rsidRPr="004A0A71" w14:paraId="13BE6337"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57670CE2"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 xml:space="preserve">Llamadas salientes a números no geográficos </w:t>
            </w:r>
          </w:p>
        </w:tc>
        <w:tc>
          <w:tcPr>
            <w:tcW w:w="0" w:type="auto"/>
          </w:tcPr>
          <w:p w14:paraId="27661EF5"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de un suscriptor minorista del operador fijo modelado a números no geográficos, incluidos números comerciales de pago, consultas del directorio y servicios de emergencia.</w:t>
            </w:r>
          </w:p>
        </w:tc>
      </w:tr>
      <w:tr w:rsidR="00493158" w:rsidRPr="004A0A71" w14:paraId="39AC38B2" w14:textId="77777777" w:rsidTr="007740FC">
        <w:tc>
          <w:tcPr>
            <w:tcW w:w="0" w:type="auto"/>
          </w:tcPr>
          <w:p w14:paraId="09F0F007"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lastRenderedPageBreak/>
              <w:t>Llamadas entrantes de otros operadores fijos</w:t>
            </w:r>
          </w:p>
        </w:tc>
        <w:tc>
          <w:tcPr>
            <w:tcW w:w="0" w:type="auto"/>
          </w:tcPr>
          <w:p w14:paraId="7B34F51C" w14:textId="398D488E"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recibidas de otro operador fijo y terminadas en la red de un suscriptor minorista del operador fijo modelado</w:t>
            </w:r>
            <w:r w:rsidR="00C7581E" w:rsidRPr="004A0A71">
              <w:rPr>
                <w:rFonts w:ascii="Arial" w:hAnsi="Arial" w:cs="Arial"/>
                <w:sz w:val="16"/>
                <w:szCs w:val="18"/>
                <w:lang w:val="es-MX"/>
              </w:rPr>
              <w:t>, tras transitar</w:t>
            </w:r>
            <w:r w:rsidR="00493158" w:rsidRPr="004A0A71">
              <w:rPr>
                <w:rFonts w:ascii="Arial" w:hAnsi="Arial" w:cs="Arial"/>
                <w:sz w:val="16"/>
                <w:szCs w:val="18"/>
                <w:lang w:val="es-MX"/>
              </w:rPr>
              <w:t xml:space="preserve"> en otro conmutador troncal del operador fijo modelado; consideradas exclusivamente a nivel de enrutamiento.</w:t>
            </w:r>
          </w:p>
        </w:tc>
      </w:tr>
      <w:tr w:rsidR="00493158" w:rsidRPr="004A0A71" w14:paraId="1D844EA8"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F07D284"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entrantes de móvil</w:t>
            </w:r>
          </w:p>
        </w:tc>
        <w:tc>
          <w:tcPr>
            <w:tcW w:w="0" w:type="auto"/>
          </w:tcPr>
          <w:p w14:paraId="0A23E13B"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recibidas de otro operador móvil y terminadas en la red de un suscriptor minorista del operador fijo modelado.</w:t>
            </w:r>
          </w:p>
        </w:tc>
      </w:tr>
      <w:tr w:rsidR="00493158" w:rsidRPr="004A0A71" w14:paraId="1BCFDD7A" w14:textId="77777777" w:rsidTr="007740FC">
        <w:tc>
          <w:tcPr>
            <w:tcW w:w="0" w:type="auto"/>
          </w:tcPr>
          <w:p w14:paraId="77CA3BAD"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entrantes de tráfico internacional</w:t>
            </w:r>
          </w:p>
        </w:tc>
        <w:tc>
          <w:tcPr>
            <w:tcW w:w="0" w:type="auto"/>
          </w:tcPr>
          <w:p w14:paraId="246041FA"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recibidas de otro operador internacional y terminadas en la red de un suscriptor minorista del operador fijo modelado.</w:t>
            </w:r>
          </w:p>
        </w:tc>
      </w:tr>
      <w:tr w:rsidR="00493158" w:rsidRPr="004A0A71" w14:paraId="58D03C1A"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0705A01"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entrantes a números no geográficos</w:t>
            </w:r>
          </w:p>
        </w:tc>
        <w:tc>
          <w:tcPr>
            <w:tcW w:w="0" w:type="auto"/>
          </w:tcPr>
          <w:p w14:paraId="4139932F"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recibidas de un suscriptor minorista de otro operador a números no geográficos, incluidos números comerciales de pago, consultas del Directorio y servicios de emergencia.</w:t>
            </w:r>
          </w:p>
        </w:tc>
      </w:tr>
      <w:tr w:rsidR="00493158" w:rsidRPr="004A0A71" w14:paraId="1F856C64" w14:textId="77777777" w:rsidTr="007740FC">
        <w:tc>
          <w:tcPr>
            <w:tcW w:w="0" w:type="auto"/>
          </w:tcPr>
          <w:p w14:paraId="479E9CF8"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en tránsito</w:t>
            </w:r>
          </w:p>
        </w:tc>
        <w:tc>
          <w:tcPr>
            <w:tcW w:w="0" w:type="auto"/>
          </w:tcPr>
          <w:p w14:paraId="2AF8A2AC"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Llamadas de voz recibidas de otro operador, móvil o fijo y terminadas en la red de otro operador internacional, móvil o fijo.</w:t>
            </w:r>
          </w:p>
        </w:tc>
      </w:tr>
      <w:tr w:rsidR="00493158" w:rsidRPr="004A0A71" w14:paraId="0C50318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5C9BEBE1"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SMS salientes</w:t>
            </w:r>
          </w:p>
        </w:tc>
        <w:tc>
          <w:tcPr>
            <w:tcW w:w="0" w:type="auto"/>
          </w:tcPr>
          <w:p w14:paraId="64B4EF60"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SMS de un suscriptor del operador fijo modelado a otro operador.</w:t>
            </w:r>
          </w:p>
        </w:tc>
      </w:tr>
      <w:tr w:rsidR="00493158" w:rsidRPr="004A0A71" w14:paraId="774ACD9E" w14:textId="77777777" w:rsidTr="007740FC">
        <w:tc>
          <w:tcPr>
            <w:tcW w:w="0" w:type="auto"/>
          </w:tcPr>
          <w:p w14:paraId="7B8816D3"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SMS entrantes</w:t>
            </w:r>
          </w:p>
        </w:tc>
        <w:tc>
          <w:tcPr>
            <w:tcW w:w="0" w:type="auto"/>
          </w:tcPr>
          <w:p w14:paraId="2EE08B3F" w14:textId="77777777" w:rsidR="006172B4" w:rsidRPr="004A0A71" w:rsidRDefault="006172B4" w:rsidP="00493158">
            <w:pPr>
              <w:spacing w:after="0"/>
              <w:ind w:right="113"/>
              <w:jc w:val="both"/>
              <w:rPr>
                <w:rFonts w:ascii="Arial" w:hAnsi="Arial" w:cs="Arial"/>
                <w:sz w:val="16"/>
                <w:szCs w:val="18"/>
                <w:lang w:val="es-MX"/>
              </w:rPr>
            </w:pPr>
            <w:r w:rsidRPr="004A0A71">
              <w:rPr>
                <w:rFonts w:ascii="Arial" w:hAnsi="Arial" w:cs="Arial"/>
                <w:sz w:val="16"/>
                <w:szCs w:val="18"/>
                <w:lang w:val="es-MX"/>
              </w:rPr>
              <w:t>SMS recibido de otro operador y terminado en la red de un suscriptor del operador fijo modelado.</w:t>
            </w:r>
          </w:p>
        </w:tc>
      </w:tr>
    </w:tbl>
    <w:p w14:paraId="0BBF2F85" w14:textId="77777777" w:rsidR="006172B4" w:rsidRPr="001B525F" w:rsidRDefault="006172B4"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2. Servicios que se ofrecen a través de redes fijas.</w:t>
      </w:r>
    </w:p>
    <w:p w14:paraId="408EC461" w14:textId="77777777" w:rsidR="006172B4" w:rsidRPr="001B525F" w:rsidRDefault="006172B4" w:rsidP="00CC0143">
      <w:pPr>
        <w:spacing w:after="0"/>
        <w:jc w:val="both"/>
        <w:rPr>
          <w:rFonts w:ascii="Arial" w:eastAsia="Times New Roman" w:hAnsi="Arial" w:cs="Arial"/>
          <w:sz w:val="18"/>
          <w:szCs w:val="18"/>
          <w:lang w:eastAsia="es-ES"/>
        </w:rPr>
      </w:pPr>
    </w:p>
    <w:p w14:paraId="40108685"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Estos servicios se han incluido a fin de estimar precisamente los costos totales y su distribución entre los servicios que utilizan la red (esto no implica que resulte en una regulación de sus precios).</w:t>
      </w:r>
    </w:p>
    <w:p w14:paraId="55056884" w14:textId="77777777" w:rsidR="006172B4" w:rsidRPr="001B525F" w:rsidRDefault="006172B4" w:rsidP="00CC0143">
      <w:pPr>
        <w:spacing w:after="0"/>
        <w:jc w:val="both"/>
        <w:rPr>
          <w:rFonts w:ascii="Arial" w:eastAsia="Times New Roman" w:hAnsi="Arial" w:cs="Arial"/>
          <w:sz w:val="18"/>
          <w:szCs w:val="18"/>
          <w:lang w:eastAsia="es-ES"/>
        </w:rPr>
      </w:pPr>
    </w:p>
    <w:p w14:paraId="4B8785B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Modelo Fijo se considera que el tráfico generado por las líneas ISDN (</w:t>
      </w:r>
      <w:r w:rsidRPr="001B525F">
        <w:rPr>
          <w:rFonts w:ascii="Arial" w:eastAsia="Times New Roman" w:hAnsi="Arial" w:cs="Arial"/>
          <w:i/>
          <w:sz w:val="18"/>
          <w:szCs w:val="18"/>
          <w:lang w:eastAsia="es-ES"/>
        </w:rPr>
        <w:t>Integrated Service for Digital Network</w:t>
      </w:r>
      <w:r w:rsidRPr="001B525F">
        <w:rPr>
          <w:rFonts w:ascii="Arial" w:eastAsia="Times New Roman" w:hAnsi="Arial" w:cs="Arial"/>
          <w:sz w:val="18"/>
          <w:szCs w:val="18"/>
          <w:lang w:eastAsia="es-ES"/>
        </w:rPr>
        <w:t>) se incluirá en los servicios fijos de voz, es decir, no hay servicios específicos de voz ISDN.</w:t>
      </w:r>
    </w:p>
    <w:p w14:paraId="56F8BEFF" w14:textId="77777777" w:rsidR="006172B4" w:rsidRPr="001B525F" w:rsidRDefault="006172B4" w:rsidP="00CC0143">
      <w:pPr>
        <w:spacing w:after="0"/>
        <w:jc w:val="both"/>
        <w:rPr>
          <w:rFonts w:ascii="Arial" w:eastAsia="Times New Roman" w:hAnsi="Arial" w:cs="Arial"/>
          <w:sz w:val="18"/>
          <w:szCs w:val="18"/>
          <w:lang w:eastAsia="es-ES"/>
        </w:rPr>
      </w:pPr>
    </w:p>
    <w:p w14:paraId="2E4EC57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Los servicios relacionados con el acceso a Internet que se incluirán en el modelo se presentan en la siguiente tabla. Estos servicios se incluyen para considerar los requerimientos de</w:t>
      </w:r>
      <w:r w:rsidRPr="001B525F">
        <w:rPr>
          <w:rFonts w:ascii="Arial" w:eastAsia="Times New Roman" w:hAnsi="Arial" w:cs="Arial"/>
          <w:i/>
          <w:sz w:val="18"/>
          <w:szCs w:val="18"/>
          <w:lang w:eastAsia="es-ES"/>
        </w:rPr>
        <w:t xml:space="preserve"> backhaul</w:t>
      </w:r>
      <w:r w:rsidRPr="001B525F">
        <w:rPr>
          <w:rFonts w:ascii="Arial" w:eastAsia="Times New Roman" w:hAnsi="Arial" w:cs="Arial"/>
          <w:sz w:val="18"/>
          <w:szCs w:val="18"/>
          <w:lang w:eastAsia="es-ES"/>
        </w:rPr>
        <w:t xml:space="preserve"> de retorno de la central local a la red troncal.</w:t>
      </w:r>
    </w:p>
    <w:p w14:paraId="1EFAC033" w14:textId="77777777" w:rsidR="006172B4" w:rsidRPr="001B525F" w:rsidRDefault="006172B4" w:rsidP="00CC0143">
      <w:pPr>
        <w:spacing w:after="0"/>
        <w:jc w:val="both"/>
        <w:rPr>
          <w:rFonts w:ascii="Arial" w:eastAsia="Times New Roman" w:hAnsi="Arial" w:cs="Arial"/>
          <w:sz w:val="18"/>
          <w:szCs w:val="18"/>
          <w:lang w:eastAsia="es-ES"/>
        </w:rPr>
      </w:pPr>
    </w:p>
    <w:tbl>
      <w:tblPr>
        <w:tblStyle w:val="Tabladecuadrcula4"/>
        <w:tblpPr w:leftFromText="141" w:rightFromText="141" w:vertAnchor="text" w:horzAnchor="margin" w:tblpXSpec="center" w:tblpY="119"/>
        <w:tblW w:w="9191" w:type="dxa"/>
        <w:jc w:val="center"/>
        <w:tblLook w:val="0420" w:firstRow="1" w:lastRow="0" w:firstColumn="0" w:lastColumn="0" w:noHBand="0" w:noVBand="1"/>
      </w:tblPr>
      <w:tblGrid>
        <w:gridCol w:w="4673"/>
        <w:gridCol w:w="4518"/>
      </w:tblGrid>
      <w:tr w:rsidR="00187E11" w:rsidRPr="004A0A71" w14:paraId="08FD86F8" w14:textId="77777777" w:rsidTr="00210CFA">
        <w:trPr>
          <w:cnfStyle w:val="100000000000" w:firstRow="1" w:lastRow="0" w:firstColumn="0" w:lastColumn="0" w:oddVBand="0" w:evenVBand="0" w:oddHBand="0" w:evenHBand="0" w:firstRowFirstColumn="0" w:firstRowLastColumn="0" w:lastRowFirstColumn="0" w:lastRowLastColumn="0"/>
          <w:trHeight w:val="159"/>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6ED2732" w14:textId="77777777" w:rsidR="00187E11" w:rsidRPr="004A0A71" w:rsidRDefault="00187E11" w:rsidP="00E521F5">
            <w:pPr>
              <w:spacing w:after="0"/>
              <w:ind w:left="426" w:right="113"/>
              <w:jc w:val="center"/>
              <w:rPr>
                <w:rFonts w:ascii="Arial" w:hAnsi="Arial" w:cs="Arial"/>
                <w:color w:val="auto"/>
                <w:sz w:val="16"/>
                <w:szCs w:val="18"/>
              </w:rPr>
            </w:pPr>
            <w:r w:rsidRPr="004A0A71">
              <w:rPr>
                <w:rFonts w:ascii="Arial" w:hAnsi="Arial" w:cs="Arial"/>
                <w:color w:val="auto"/>
                <w:sz w:val="16"/>
                <w:szCs w:val="18"/>
              </w:rPr>
              <w:t>Servicio</w:t>
            </w:r>
          </w:p>
        </w:tc>
        <w:tc>
          <w:tcPr>
            <w:tcW w:w="45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3059A4F" w14:textId="77777777" w:rsidR="00187E11" w:rsidRPr="004A0A71" w:rsidRDefault="00187E11" w:rsidP="00E521F5">
            <w:pPr>
              <w:keepNext/>
              <w:tabs>
                <w:tab w:val="center" w:pos="2990"/>
              </w:tabs>
              <w:spacing w:after="0"/>
              <w:ind w:right="113"/>
              <w:jc w:val="center"/>
              <w:rPr>
                <w:rFonts w:ascii="Arial" w:hAnsi="Arial" w:cs="Arial"/>
                <w:color w:val="auto"/>
                <w:sz w:val="16"/>
                <w:szCs w:val="18"/>
              </w:rPr>
            </w:pPr>
            <w:r w:rsidRPr="004A0A71">
              <w:rPr>
                <w:rFonts w:ascii="Arial" w:hAnsi="Arial" w:cs="Arial"/>
                <w:color w:val="auto"/>
                <w:sz w:val="16"/>
                <w:szCs w:val="18"/>
              </w:rPr>
              <w:t>Descripción del servicio</w:t>
            </w:r>
          </w:p>
        </w:tc>
      </w:tr>
      <w:tr w:rsidR="00187E11" w:rsidRPr="004A0A71" w14:paraId="5F9A09FD" w14:textId="77777777" w:rsidTr="00210CFA">
        <w:trPr>
          <w:cnfStyle w:val="000000100000" w:firstRow="0" w:lastRow="0" w:firstColumn="0" w:lastColumn="0" w:oddVBand="0" w:evenVBand="0" w:oddHBand="1" w:evenHBand="0" w:firstRowFirstColumn="0" w:firstRowLastColumn="0" w:lastRowFirstColumn="0" w:lastRowLastColumn="0"/>
          <w:trHeight w:val="318"/>
          <w:jc w:val="center"/>
        </w:trPr>
        <w:tc>
          <w:tcPr>
            <w:tcW w:w="4673" w:type="dxa"/>
            <w:tcBorders>
              <w:top w:val="single" w:sz="4" w:space="0" w:color="000000"/>
            </w:tcBorders>
          </w:tcPr>
          <w:p w14:paraId="012F8967" w14:textId="77777777"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Banda ancha propia (líneas)</w:t>
            </w:r>
          </w:p>
        </w:tc>
        <w:tc>
          <w:tcPr>
            <w:tcW w:w="4518" w:type="dxa"/>
            <w:tcBorders>
              <w:top w:val="single" w:sz="4" w:space="0" w:color="000000"/>
            </w:tcBorders>
          </w:tcPr>
          <w:p w14:paraId="17B6EC75" w14:textId="77777777"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Provisión de una línea de acceso para el servicio de internet comercializado por el departamento minorista del operador modelado</w:t>
            </w:r>
          </w:p>
        </w:tc>
      </w:tr>
      <w:tr w:rsidR="00187E11" w:rsidRPr="004A0A71" w14:paraId="4002F341" w14:textId="77777777" w:rsidTr="00210CFA">
        <w:trPr>
          <w:trHeight w:val="318"/>
          <w:jc w:val="center"/>
        </w:trPr>
        <w:tc>
          <w:tcPr>
            <w:tcW w:w="4673" w:type="dxa"/>
          </w:tcPr>
          <w:p w14:paraId="337E2A43" w14:textId="77777777"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Banda ancha propia (contenido)</w:t>
            </w:r>
          </w:p>
        </w:tc>
        <w:tc>
          <w:tcPr>
            <w:tcW w:w="4518" w:type="dxa"/>
          </w:tcPr>
          <w:p w14:paraId="0A281D91" w14:textId="77777777"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Ancho de banda en una línea para el servicio de internet comercializado por el departamento minorista del operador modelado, independiente de la tecnología de acceso</w:t>
            </w:r>
          </w:p>
        </w:tc>
      </w:tr>
      <w:tr w:rsidR="00187E11" w:rsidRPr="004A0A71" w14:paraId="44F73CD1" w14:textId="77777777" w:rsidTr="00210CFA">
        <w:trPr>
          <w:cnfStyle w:val="000000100000" w:firstRow="0" w:lastRow="0" w:firstColumn="0" w:lastColumn="0" w:oddVBand="0" w:evenVBand="0" w:oddHBand="1" w:evenHBand="0" w:firstRowFirstColumn="0" w:firstRowLastColumn="0" w:lastRowFirstColumn="0" w:lastRowLastColumn="0"/>
          <w:trHeight w:val="307"/>
          <w:jc w:val="center"/>
        </w:trPr>
        <w:tc>
          <w:tcPr>
            <w:tcW w:w="4673" w:type="dxa"/>
            <w:shd w:val="clear" w:color="auto" w:fill="D0CECE" w:themeFill="background2" w:themeFillShade="E6"/>
          </w:tcPr>
          <w:p w14:paraId="4C3AEB90" w14:textId="77777777"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Banda ancha ajena (líneas)</w:t>
            </w:r>
          </w:p>
        </w:tc>
        <w:tc>
          <w:tcPr>
            <w:tcW w:w="4518" w:type="dxa"/>
            <w:shd w:val="clear" w:color="auto" w:fill="D0CECE" w:themeFill="background2" w:themeFillShade="E6"/>
          </w:tcPr>
          <w:p w14:paraId="0B6BE32F" w14:textId="77777777"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Provisión de una línea de acceso para el servicio de internet comercializado por el departamento mayorista del operador modelado</w:t>
            </w:r>
          </w:p>
        </w:tc>
      </w:tr>
      <w:tr w:rsidR="00187E11" w:rsidRPr="004A0A71" w14:paraId="17C45CAE" w14:textId="77777777" w:rsidTr="00210CFA">
        <w:trPr>
          <w:trHeight w:val="957"/>
          <w:jc w:val="center"/>
        </w:trPr>
        <w:tc>
          <w:tcPr>
            <w:tcW w:w="4673" w:type="dxa"/>
          </w:tcPr>
          <w:p w14:paraId="5BE50759" w14:textId="0E712973" w:rsidR="00187E11" w:rsidRPr="004A0A71" w:rsidRDefault="00187E11" w:rsidP="00E521F5">
            <w:pPr>
              <w:spacing w:after="0"/>
              <w:ind w:left="26"/>
              <w:jc w:val="both"/>
              <w:rPr>
                <w:rFonts w:ascii="Arial" w:hAnsi="Arial" w:cs="Arial"/>
                <w:spacing w:val="-4"/>
                <w:sz w:val="16"/>
                <w:szCs w:val="18"/>
              </w:rPr>
            </w:pPr>
            <w:r w:rsidRPr="004A0A71">
              <w:rPr>
                <w:rFonts w:ascii="Arial" w:hAnsi="Arial" w:cs="Arial"/>
                <w:spacing w:val="-4"/>
                <w:sz w:val="16"/>
                <w:szCs w:val="18"/>
              </w:rPr>
              <w:t xml:space="preserve">Servicio de concentración y distribución por nivel de agregación de tráfico (nacional, regional, local) </w:t>
            </w:r>
          </w:p>
        </w:tc>
        <w:tc>
          <w:tcPr>
            <w:tcW w:w="4518" w:type="dxa"/>
          </w:tcPr>
          <w:p w14:paraId="7C57D0F9" w14:textId="77777777" w:rsidR="00187E11" w:rsidRPr="004A0A71" w:rsidRDefault="00187E11" w:rsidP="00E521F5">
            <w:pPr>
              <w:pStyle w:val="Tablecells"/>
              <w:spacing w:before="0" w:after="0" w:line="276" w:lineRule="auto"/>
              <w:jc w:val="both"/>
              <w:rPr>
                <w:rFonts w:cs="Arial"/>
                <w:spacing w:val="-4"/>
                <w:sz w:val="16"/>
                <w:szCs w:val="18"/>
                <w:lang w:val="es-MX"/>
              </w:rPr>
            </w:pPr>
            <w:r w:rsidRPr="004A0A71">
              <w:rPr>
                <w:rFonts w:cs="Arial"/>
                <w:spacing w:val="-4"/>
                <w:sz w:val="16"/>
                <w:szCs w:val="18"/>
                <w:lang w:val="es-MX"/>
              </w:rPr>
              <w:t>Ancho de banda en una línea para el servicio de internet comercializado por el departamento mayorista del operador modelado, independiente de la tecnología de acceso.</w:t>
            </w:r>
          </w:p>
          <w:p w14:paraId="4FF8D306" w14:textId="0917B41D" w:rsidR="00187E11" w:rsidRPr="004A0A71" w:rsidRDefault="00187E11" w:rsidP="00E521F5">
            <w:pPr>
              <w:spacing w:after="0"/>
              <w:ind w:left="26"/>
              <w:jc w:val="both"/>
              <w:rPr>
                <w:rFonts w:ascii="Arial" w:hAnsi="Arial" w:cs="Arial"/>
                <w:spacing w:val="-4"/>
                <w:sz w:val="16"/>
                <w:szCs w:val="18"/>
              </w:rPr>
            </w:pPr>
          </w:p>
        </w:tc>
      </w:tr>
    </w:tbl>
    <w:p w14:paraId="5B1E582F" w14:textId="77777777" w:rsidR="00187E11" w:rsidRPr="00187E11" w:rsidRDefault="00187E11" w:rsidP="00187E11">
      <w:pPr>
        <w:spacing w:after="0"/>
        <w:jc w:val="center"/>
        <w:rPr>
          <w:rFonts w:ascii="Arial" w:hAnsi="Arial" w:cs="Arial"/>
          <w:sz w:val="18"/>
          <w:szCs w:val="18"/>
        </w:rPr>
      </w:pPr>
      <w:r w:rsidRPr="00187E11">
        <w:rPr>
          <w:rFonts w:ascii="Arial" w:eastAsia="Times New Roman" w:hAnsi="Arial" w:cs="Arial"/>
          <w:sz w:val="18"/>
          <w:szCs w:val="18"/>
          <w:lang w:eastAsia="es-ES"/>
        </w:rPr>
        <w:t>Tabla 3. Servicios de acceso a Internet</w:t>
      </w:r>
    </w:p>
    <w:p w14:paraId="7B9E967B" w14:textId="77777777" w:rsidR="006172B4" w:rsidRPr="007740FC" w:rsidRDefault="006172B4" w:rsidP="007740FC">
      <w:pPr>
        <w:spacing w:after="0"/>
        <w:ind w:right="113"/>
        <w:rPr>
          <w:rFonts w:ascii="Arial" w:hAnsi="Arial" w:cs="Arial"/>
          <w:b/>
          <w:bCs/>
          <w:sz w:val="18"/>
          <w:szCs w:val="18"/>
        </w:rPr>
      </w:pPr>
    </w:p>
    <w:tbl>
      <w:tblPr>
        <w:tblStyle w:val="Tabladecuadrcula4"/>
        <w:tblpPr w:leftFromText="141" w:rightFromText="141" w:vertAnchor="text" w:horzAnchor="margin" w:tblpXSpec="center" w:tblpY="119"/>
        <w:tblW w:w="9207" w:type="dxa"/>
        <w:jc w:val="center"/>
        <w:tblLook w:val="0420" w:firstRow="1" w:lastRow="0" w:firstColumn="0" w:lastColumn="0" w:noHBand="0" w:noVBand="1"/>
      </w:tblPr>
      <w:tblGrid>
        <w:gridCol w:w="4673"/>
        <w:gridCol w:w="4534"/>
      </w:tblGrid>
      <w:tr w:rsidR="003C5A43" w:rsidRPr="004A0A71" w14:paraId="339CD798" w14:textId="77777777" w:rsidTr="00210CFA">
        <w:trPr>
          <w:cnfStyle w:val="100000000000" w:firstRow="1" w:lastRow="0" w:firstColumn="0" w:lastColumn="0" w:oddVBand="0" w:evenVBand="0" w:oddHBand="0" w:evenHBand="0" w:firstRowFirstColumn="0" w:firstRowLastColumn="0" w:lastRowFirstColumn="0" w:lastRowLastColumn="0"/>
          <w:trHeight w:val="178"/>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892A18C" w14:textId="77777777" w:rsidR="003C5A43" w:rsidRPr="004A0A71" w:rsidRDefault="003C5A43" w:rsidP="00E521F5">
            <w:pPr>
              <w:spacing w:after="0"/>
              <w:ind w:left="426" w:right="113"/>
              <w:jc w:val="center"/>
              <w:rPr>
                <w:rFonts w:ascii="Arial" w:hAnsi="Arial" w:cs="Arial"/>
                <w:color w:val="auto"/>
                <w:sz w:val="16"/>
                <w:szCs w:val="18"/>
                <w:lang w:val="es-MX"/>
              </w:rPr>
            </w:pPr>
            <w:r w:rsidRPr="004A0A71">
              <w:rPr>
                <w:rFonts w:ascii="Arial" w:hAnsi="Arial" w:cs="Arial"/>
                <w:color w:val="auto"/>
                <w:sz w:val="16"/>
                <w:szCs w:val="18"/>
                <w:lang w:val="es-MX"/>
              </w:rPr>
              <w:t>Servicio</w:t>
            </w:r>
          </w:p>
        </w:tc>
        <w:tc>
          <w:tcPr>
            <w:tcW w:w="453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C4C3BBF" w14:textId="518FC6AF" w:rsidR="003C5A43" w:rsidRPr="004A0A71" w:rsidRDefault="003C5A43" w:rsidP="00E521F5">
            <w:pPr>
              <w:keepNext/>
              <w:tabs>
                <w:tab w:val="center" w:pos="2990"/>
              </w:tabs>
              <w:spacing w:after="0"/>
              <w:ind w:right="113"/>
              <w:jc w:val="center"/>
              <w:rPr>
                <w:rFonts w:ascii="Arial" w:hAnsi="Arial" w:cs="Arial"/>
                <w:color w:val="auto"/>
                <w:sz w:val="16"/>
                <w:szCs w:val="18"/>
              </w:rPr>
            </w:pPr>
            <w:r w:rsidRPr="004A0A71">
              <w:rPr>
                <w:rFonts w:ascii="Arial" w:hAnsi="Arial" w:cs="Arial"/>
                <w:color w:val="auto"/>
                <w:sz w:val="16"/>
                <w:szCs w:val="18"/>
              </w:rPr>
              <w:t>Descripción del servicio</w:t>
            </w:r>
          </w:p>
        </w:tc>
      </w:tr>
      <w:tr w:rsidR="003C5A43" w:rsidRPr="004A0A71" w14:paraId="314B87B8" w14:textId="77777777" w:rsidTr="00210CFA">
        <w:trPr>
          <w:cnfStyle w:val="000000100000" w:firstRow="0" w:lastRow="0" w:firstColumn="0" w:lastColumn="0" w:oddVBand="0" w:evenVBand="0" w:oddHBand="1" w:evenHBand="0" w:firstRowFirstColumn="0" w:firstRowLastColumn="0" w:lastRowFirstColumn="0" w:lastRowLastColumn="0"/>
          <w:trHeight w:val="356"/>
          <w:jc w:val="center"/>
        </w:trPr>
        <w:tc>
          <w:tcPr>
            <w:tcW w:w="4673" w:type="dxa"/>
            <w:tcBorders>
              <w:top w:val="single" w:sz="4" w:space="0" w:color="000000"/>
            </w:tcBorders>
          </w:tcPr>
          <w:p w14:paraId="2307A774" w14:textId="77777777" w:rsidR="003C5A43" w:rsidRPr="004A0A71" w:rsidRDefault="003C5A43" w:rsidP="00E521F5">
            <w:pPr>
              <w:spacing w:after="0"/>
              <w:ind w:left="26"/>
              <w:jc w:val="both"/>
              <w:rPr>
                <w:rFonts w:ascii="Arial" w:hAnsi="Arial" w:cs="Arial"/>
                <w:spacing w:val="-4"/>
                <w:sz w:val="16"/>
                <w:szCs w:val="18"/>
                <w:lang w:val="es-MX"/>
              </w:rPr>
            </w:pPr>
            <w:r w:rsidRPr="004A0A71">
              <w:rPr>
                <w:rFonts w:ascii="Arial" w:hAnsi="Arial" w:cs="Arial"/>
                <w:spacing w:val="-4"/>
                <w:sz w:val="16"/>
                <w:szCs w:val="18"/>
                <w:lang w:val="es-MX"/>
              </w:rPr>
              <w:t>Enlaces dedicados</w:t>
            </w:r>
          </w:p>
        </w:tc>
        <w:tc>
          <w:tcPr>
            <w:tcW w:w="4534" w:type="dxa"/>
            <w:tcBorders>
              <w:top w:val="single" w:sz="4" w:space="0" w:color="000000"/>
            </w:tcBorders>
          </w:tcPr>
          <w:p w14:paraId="77AFE0AF" w14:textId="77777777" w:rsidR="003C5A43" w:rsidRPr="004A0A71" w:rsidRDefault="003C5A43" w:rsidP="00E521F5">
            <w:pPr>
              <w:spacing w:after="0"/>
              <w:ind w:left="26"/>
              <w:jc w:val="both"/>
              <w:rPr>
                <w:rFonts w:ascii="Arial" w:hAnsi="Arial" w:cs="Arial"/>
                <w:spacing w:val="-4"/>
                <w:sz w:val="16"/>
                <w:szCs w:val="18"/>
                <w:lang w:val="es-MX"/>
              </w:rPr>
            </w:pPr>
            <w:r w:rsidRPr="004A0A71">
              <w:rPr>
                <w:rFonts w:ascii="Arial" w:hAnsi="Arial" w:cs="Arial"/>
                <w:spacing w:val="-4"/>
                <w:sz w:val="16"/>
                <w:szCs w:val="18"/>
                <w:lang w:val="es-MX"/>
              </w:rPr>
              <w:t>Incluye servicios de líneas alquiladas, ya sea para aprovisionar a clientes minoristas u otros operadores</w:t>
            </w:r>
          </w:p>
        </w:tc>
      </w:tr>
      <w:tr w:rsidR="003C5A43" w:rsidRPr="004A0A71" w14:paraId="31850767" w14:textId="77777777" w:rsidTr="00210CFA">
        <w:trPr>
          <w:trHeight w:val="343"/>
          <w:jc w:val="center"/>
        </w:trPr>
        <w:tc>
          <w:tcPr>
            <w:tcW w:w="4673" w:type="dxa"/>
          </w:tcPr>
          <w:p w14:paraId="39A27848" w14:textId="77777777" w:rsidR="003C5A43" w:rsidRPr="004A0A71" w:rsidRDefault="003C5A43" w:rsidP="00E521F5">
            <w:pPr>
              <w:spacing w:after="0"/>
              <w:ind w:left="26"/>
              <w:jc w:val="both"/>
              <w:rPr>
                <w:rFonts w:ascii="Arial" w:hAnsi="Arial" w:cs="Arial"/>
                <w:spacing w:val="-4"/>
                <w:sz w:val="16"/>
                <w:szCs w:val="18"/>
                <w:lang w:val="es-MX"/>
              </w:rPr>
            </w:pPr>
            <w:r w:rsidRPr="004A0A71">
              <w:rPr>
                <w:rFonts w:ascii="Arial" w:hAnsi="Arial" w:cs="Arial"/>
                <w:spacing w:val="-4"/>
                <w:sz w:val="16"/>
                <w:szCs w:val="18"/>
                <w:lang w:val="es-MX"/>
              </w:rPr>
              <w:t>Televisión</w:t>
            </w:r>
          </w:p>
        </w:tc>
        <w:tc>
          <w:tcPr>
            <w:tcW w:w="4534" w:type="dxa"/>
          </w:tcPr>
          <w:p w14:paraId="28ED4537" w14:textId="77777777" w:rsidR="003C5A43" w:rsidRPr="004A0A71" w:rsidRDefault="003C5A43" w:rsidP="00E521F5">
            <w:pPr>
              <w:spacing w:after="0"/>
              <w:ind w:left="26"/>
              <w:jc w:val="both"/>
              <w:rPr>
                <w:rFonts w:ascii="Arial" w:hAnsi="Arial" w:cs="Arial"/>
                <w:spacing w:val="-4"/>
                <w:sz w:val="16"/>
                <w:szCs w:val="18"/>
                <w:lang w:val="es-MX"/>
              </w:rPr>
            </w:pPr>
            <w:r w:rsidRPr="004A0A71">
              <w:rPr>
                <w:rFonts w:ascii="Arial" w:hAnsi="Arial" w:cs="Arial"/>
                <w:spacing w:val="-4"/>
                <w:sz w:val="16"/>
                <w:szCs w:val="18"/>
                <w:lang w:val="es-MX"/>
              </w:rPr>
              <w:t>Provisión del servicio de televisión, ya sea lineal o de vídeo bajo demanda, comercializado por el departamento minorista del operador modelado</w:t>
            </w:r>
          </w:p>
        </w:tc>
      </w:tr>
    </w:tbl>
    <w:p w14:paraId="1992ED97" w14:textId="77777777" w:rsidR="006172B4" w:rsidRPr="007740FC" w:rsidRDefault="006172B4">
      <w:pPr>
        <w:spacing w:after="0"/>
        <w:jc w:val="center"/>
        <w:rPr>
          <w:rFonts w:ascii="Arial" w:hAnsi="Arial" w:cs="Arial"/>
          <w:sz w:val="18"/>
          <w:szCs w:val="18"/>
        </w:rPr>
      </w:pPr>
      <w:r w:rsidRPr="001B525F">
        <w:rPr>
          <w:rFonts w:ascii="Arial" w:eastAsia="Times New Roman" w:hAnsi="Arial" w:cs="Arial"/>
          <w:sz w:val="18"/>
          <w:szCs w:val="18"/>
          <w:lang w:eastAsia="es-ES"/>
        </w:rPr>
        <w:t>Tabla 4. Otros servicios fijos</w:t>
      </w:r>
    </w:p>
    <w:p w14:paraId="68F1373D" w14:textId="77777777" w:rsidR="00D9523D" w:rsidRDefault="00D9523D" w:rsidP="00D9523D">
      <w:pPr>
        <w:spacing w:after="0"/>
        <w:jc w:val="both"/>
        <w:rPr>
          <w:rFonts w:ascii="Arial" w:eastAsia="Times New Roman" w:hAnsi="Arial" w:cs="Arial"/>
          <w:sz w:val="18"/>
          <w:szCs w:val="18"/>
          <w:lang w:eastAsia="es-ES"/>
        </w:rPr>
      </w:pPr>
    </w:p>
    <w:p w14:paraId="34B17427" w14:textId="77777777" w:rsidR="006172B4" w:rsidRPr="001B525F" w:rsidRDefault="006172B4" w:rsidP="00CC0143">
      <w:pPr>
        <w:spacing w:after="0"/>
        <w:jc w:val="both"/>
        <w:rPr>
          <w:rFonts w:ascii="Arial" w:hAnsi="Arial" w:cs="Arial"/>
          <w:sz w:val="18"/>
          <w:szCs w:val="18"/>
        </w:rPr>
      </w:pPr>
    </w:p>
    <w:p w14:paraId="1308612F" w14:textId="77777777" w:rsidR="006172B4" w:rsidRPr="007740FC" w:rsidRDefault="006172B4" w:rsidP="00CC0143">
      <w:pPr>
        <w:spacing w:after="0"/>
        <w:rPr>
          <w:rFonts w:ascii="Arial" w:hAnsi="Arial" w:cs="Arial"/>
          <w:b/>
          <w:sz w:val="18"/>
          <w:szCs w:val="18"/>
        </w:rPr>
      </w:pPr>
      <w:r w:rsidRPr="007740FC">
        <w:rPr>
          <w:rFonts w:ascii="Arial" w:hAnsi="Arial" w:cs="Arial"/>
          <w:b/>
          <w:sz w:val="18"/>
          <w:szCs w:val="18"/>
        </w:rPr>
        <w:t>Servicios que se ofrecen a través de redes móviles</w:t>
      </w:r>
    </w:p>
    <w:p w14:paraId="4385139A" w14:textId="77777777" w:rsidR="006172B4" w:rsidRPr="007740FC" w:rsidRDefault="006172B4" w:rsidP="00CC0143">
      <w:pPr>
        <w:spacing w:after="0"/>
        <w:rPr>
          <w:rFonts w:ascii="Arial" w:hAnsi="Arial" w:cs="Arial"/>
          <w:b/>
          <w:bCs/>
          <w:sz w:val="18"/>
          <w:szCs w:val="18"/>
        </w:rPr>
      </w:pPr>
    </w:p>
    <w:p w14:paraId="27C16C17" w14:textId="77777777" w:rsid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Los servicios provistos a través de redes móviles pueden desagregarse en tres tipos principales: servicios de voz, servicios de SMS y servicios de datos. A continuación, se presentan los distintos servicios móviles modelados.</w:t>
      </w:r>
    </w:p>
    <w:p w14:paraId="10E53878" w14:textId="77777777" w:rsidR="00187E11" w:rsidRDefault="00187E11" w:rsidP="00187E11">
      <w:pPr>
        <w:spacing w:after="0"/>
        <w:jc w:val="both"/>
        <w:rPr>
          <w:rFonts w:ascii="Arial" w:eastAsia="Times New Roman" w:hAnsi="Arial" w:cs="Arial"/>
          <w:sz w:val="18"/>
          <w:szCs w:val="18"/>
          <w:lang w:eastAsia="es-ES"/>
        </w:rPr>
      </w:pPr>
    </w:p>
    <w:p w14:paraId="1D121151"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lastRenderedPageBreak/>
        <w:t>En la tabla 5 se presenta una serie de servicios de voz móviles que aportan tráfico a la red troncal.</w:t>
      </w:r>
    </w:p>
    <w:p w14:paraId="4CDB888B" w14:textId="77777777" w:rsidR="00187E11" w:rsidRPr="00187E11" w:rsidRDefault="00187E11" w:rsidP="00187E11">
      <w:pPr>
        <w:spacing w:after="0"/>
        <w:jc w:val="both"/>
        <w:rPr>
          <w:rFonts w:ascii="Arial" w:eastAsia="Times New Roman" w:hAnsi="Arial" w:cs="Arial"/>
          <w:sz w:val="18"/>
          <w:szCs w:val="18"/>
          <w:lang w:eastAsia="es-ES"/>
        </w:rPr>
      </w:pPr>
    </w:p>
    <w:tbl>
      <w:tblPr>
        <w:tblStyle w:val="Tabladecuadrcula4"/>
        <w:tblW w:w="0" w:type="auto"/>
        <w:tblInd w:w="-5" w:type="dxa"/>
        <w:tblLook w:val="0420" w:firstRow="1" w:lastRow="0" w:firstColumn="0" w:lastColumn="0" w:noHBand="0" w:noVBand="1"/>
      </w:tblPr>
      <w:tblGrid>
        <w:gridCol w:w="2318"/>
        <w:gridCol w:w="7081"/>
      </w:tblGrid>
      <w:tr w:rsidR="00727268" w:rsidRPr="004A0A71" w14:paraId="153BF6AD" w14:textId="77777777" w:rsidTr="00344FBA">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A679479" w14:textId="77777777" w:rsidR="00187E11" w:rsidRPr="004A0A71" w:rsidRDefault="00187E11" w:rsidP="00344FBA">
            <w:pPr>
              <w:spacing w:after="0"/>
              <w:ind w:right="113"/>
              <w:jc w:val="center"/>
              <w:rPr>
                <w:rFonts w:ascii="Arial" w:hAnsi="Arial" w:cs="Arial"/>
                <w:color w:val="auto"/>
                <w:sz w:val="16"/>
                <w:szCs w:val="18"/>
              </w:rPr>
            </w:pPr>
            <w:r w:rsidRPr="004A0A71">
              <w:rPr>
                <w:rFonts w:ascii="Arial" w:hAnsi="Arial" w:cs="Arial"/>
                <w:color w:val="auto"/>
                <w:sz w:val="16"/>
                <w:szCs w:val="18"/>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2B7EE40" w14:textId="77777777" w:rsidR="00187E11" w:rsidRPr="004A0A71" w:rsidRDefault="00187E11" w:rsidP="00344FBA">
            <w:pPr>
              <w:spacing w:after="0"/>
              <w:ind w:right="113"/>
              <w:jc w:val="center"/>
              <w:rPr>
                <w:rFonts w:ascii="Arial" w:hAnsi="Arial" w:cs="Arial"/>
                <w:color w:val="auto"/>
                <w:sz w:val="16"/>
                <w:szCs w:val="18"/>
              </w:rPr>
            </w:pPr>
            <w:r w:rsidRPr="004A0A71">
              <w:rPr>
                <w:rFonts w:ascii="Arial" w:hAnsi="Arial" w:cs="Arial"/>
                <w:color w:val="auto"/>
                <w:sz w:val="16"/>
                <w:szCs w:val="18"/>
              </w:rPr>
              <w:t>Descripción del servicio</w:t>
            </w:r>
          </w:p>
        </w:tc>
      </w:tr>
      <w:tr w:rsidR="00EA4EFF" w:rsidRPr="004A0A71" w14:paraId="351F4B1E"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38731434"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 xml:space="preserve">Llamadas móviles </w:t>
            </w:r>
            <w:r w:rsidRPr="004A0A71">
              <w:rPr>
                <w:rFonts w:ascii="Arial" w:hAnsi="Arial" w:cs="Arial"/>
                <w:sz w:val="16"/>
                <w:szCs w:val="18"/>
              </w:rPr>
              <w:br/>
              <w:t>on-net por tecnología</w:t>
            </w:r>
          </w:p>
        </w:tc>
        <w:tc>
          <w:tcPr>
            <w:tcW w:w="0" w:type="auto"/>
            <w:tcBorders>
              <w:top w:val="single" w:sz="4" w:space="0" w:color="000000"/>
            </w:tcBorders>
          </w:tcPr>
          <w:p w14:paraId="31DAE210"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entre dos suscriptores (minoristas o de operadores móviles virtuales, OMV)) del operador móvil modelado</w:t>
            </w:r>
          </w:p>
        </w:tc>
      </w:tr>
      <w:tr w:rsidR="00187E11" w:rsidRPr="004A0A71" w14:paraId="16A4AC87" w14:textId="77777777" w:rsidTr="00344FBA">
        <w:tc>
          <w:tcPr>
            <w:tcW w:w="0" w:type="auto"/>
          </w:tcPr>
          <w:p w14:paraId="0C91866F"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salientes nacionales por tecnología</w:t>
            </w:r>
          </w:p>
        </w:tc>
        <w:tc>
          <w:tcPr>
            <w:tcW w:w="0" w:type="auto"/>
          </w:tcPr>
          <w:p w14:paraId="45DEFD35"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de un suscriptor (minorista u OMV) del operador móvil modelado a un destino fijo (incluyendo números no geográficos, etc.) o a otro operador móvil doméstico</w:t>
            </w:r>
          </w:p>
        </w:tc>
      </w:tr>
      <w:tr w:rsidR="00BA1265" w:rsidRPr="004A0A71" w14:paraId="36C3DB97"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467B7B74"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móviles salientes a internacional por tecnología</w:t>
            </w:r>
          </w:p>
        </w:tc>
        <w:tc>
          <w:tcPr>
            <w:tcW w:w="0" w:type="auto"/>
          </w:tcPr>
          <w:p w14:paraId="0A3BE4C4"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de un suscriptor (minorista u OMV) del operador móvil modelado a un destino internacional</w:t>
            </w:r>
          </w:p>
        </w:tc>
      </w:tr>
      <w:tr w:rsidR="00187E11" w:rsidRPr="004A0A71" w14:paraId="55844EFD" w14:textId="77777777" w:rsidTr="00344FBA">
        <w:tc>
          <w:tcPr>
            <w:tcW w:w="0" w:type="auto"/>
          </w:tcPr>
          <w:p w14:paraId="12CC0607"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entrantes nacionales por tecnología</w:t>
            </w:r>
          </w:p>
        </w:tc>
        <w:tc>
          <w:tcPr>
            <w:tcW w:w="0" w:type="auto"/>
          </w:tcPr>
          <w:p w14:paraId="380FE9AC"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recibidas desde otro operador fijo o móvil, y terminadas en la red de un suscriptor (minorista u OMV) del operador móvil modelado</w:t>
            </w:r>
          </w:p>
        </w:tc>
      </w:tr>
      <w:tr w:rsidR="00BA1265" w:rsidRPr="004A0A71" w14:paraId="08C8D862"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4FD72224"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entrantes de operadores internacionales por tecnología</w:t>
            </w:r>
          </w:p>
        </w:tc>
        <w:tc>
          <w:tcPr>
            <w:tcW w:w="0" w:type="auto"/>
          </w:tcPr>
          <w:p w14:paraId="0B459DF1"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recibidas desde otro operador internacional y terminadas en la red de un suscriptor (minorista u OMV) del operador móvil modelado</w:t>
            </w:r>
          </w:p>
        </w:tc>
      </w:tr>
      <w:tr w:rsidR="00187E11" w:rsidRPr="004A0A71" w14:paraId="2BA51147" w14:textId="77777777" w:rsidTr="00344FBA">
        <w:tc>
          <w:tcPr>
            <w:tcW w:w="0" w:type="auto"/>
          </w:tcPr>
          <w:p w14:paraId="1C21D310"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Originación de voz roaming por tecnología</w:t>
            </w:r>
          </w:p>
        </w:tc>
        <w:tc>
          <w:tcPr>
            <w:tcW w:w="0" w:type="auto"/>
          </w:tcPr>
          <w:p w14:paraId="58AACDC6"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de un usuario visitante (nacional o internacional) en la red del operador móvil modelado a un destino móvil, fijo o internacional</w:t>
            </w:r>
          </w:p>
        </w:tc>
      </w:tr>
      <w:tr w:rsidR="00BA1265" w:rsidRPr="004A0A71" w14:paraId="7E707F87"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76949D4B"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Terminación voz roaming por tecnología</w:t>
            </w:r>
          </w:p>
        </w:tc>
        <w:tc>
          <w:tcPr>
            <w:tcW w:w="0" w:type="auto"/>
          </w:tcPr>
          <w:p w14:paraId="3E63318B"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recibidas desde otro operador móvil, fijo o internacional y terminadas en la red de un usuario visitante (nacional o internacional) del operador móvil modelado</w:t>
            </w:r>
          </w:p>
        </w:tc>
      </w:tr>
      <w:tr w:rsidR="00187E11" w:rsidRPr="004A0A71" w14:paraId="17541F61" w14:textId="77777777" w:rsidTr="00344FBA">
        <w:tc>
          <w:tcPr>
            <w:tcW w:w="0" w:type="auto"/>
          </w:tcPr>
          <w:p w14:paraId="3CD95CAC"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en tránsito local</w:t>
            </w:r>
          </w:p>
        </w:tc>
        <w:tc>
          <w:tcPr>
            <w:tcW w:w="0" w:type="auto"/>
          </w:tcPr>
          <w:p w14:paraId="79C50B6C"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recibidas de otro operador internacional, móvil o fijo y terminadas en la red de otro operador internacional, móvil o fijo, sin tránsito en otro MSC del operador móvil modelado; este servicio solo es prestado por el operador con la escala y el alcance del AEP</w:t>
            </w:r>
          </w:p>
        </w:tc>
      </w:tr>
      <w:tr w:rsidR="00BA1265" w:rsidRPr="004A0A71" w14:paraId="5B0B7ED0"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11448A82"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en tránsito de larga distancia</w:t>
            </w:r>
          </w:p>
        </w:tc>
        <w:tc>
          <w:tcPr>
            <w:tcW w:w="0" w:type="auto"/>
          </w:tcPr>
          <w:p w14:paraId="0D824E88" w14:textId="77777777" w:rsidR="00187E11" w:rsidRPr="004A0A71" w:rsidRDefault="00187E11" w:rsidP="00493158">
            <w:pPr>
              <w:spacing w:after="0"/>
              <w:ind w:right="113"/>
              <w:jc w:val="both"/>
              <w:rPr>
                <w:rFonts w:ascii="Arial" w:hAnsi="Arial" w:cs="Arial"/>
                <w:sz w:val="16"/>
                <w:szCs w:val="18"/>
              </w:rPr>
            </w:pPr>
            <w:r w:rsidRPr="004A0A71">
              <w:rPr>
                <w:rFonts w:ascii="Arial" w:hAnsi="Arial" w:cs="Arial"/>
                <w:sz w:val="16"/>
                <w:szCs w:val="18"/>
              </w:rPr>
              <w:t>Llamadas de voz recibidas de otro operador internacional, móvil o fijo y terminadas en la red de otro operador internacional, móvil o fijo, tras transitar en otro MSC del operador móvil modelado; este servicio solo es prestado por el operador con la escala y el alcance del AEP, consideradas exclusivamente a nivel de enrutamiento</w:t>
            </w:r>
          </w:p>
        </w:tc>
      </w:tr>
    </w:tbl>
    <w:p w14:paraId="0840A566" w14:textId="77777777" w:rsidR="006172B4" w:rsidRPr="007740FC" w:rsidRDefault="006172B4" w:rsidP="00CC0143">
      <w:pPr>
        <w:spacing w:after="0"/>
        <w:jc w:val="center"/>
        <w:rPr>
          <w:rFonts w:ascii="Arial" w:hAnsi="Arial" w:cs="Arial"/>
          <w:sz w:val="18"/>
          <w:szCs w:val="18"/>
        </w:rPr>
      </w:pPr>
      <w:r w:rsidRPr="001B525F">
        <w:rPr>
          <w:rFonts w:ascii="Arial" w:eastAsia="Times New Roman" w:hAnsi="Arial" w:cs="Arial"/>
          <w:sz w:val="18"/>
          <w:szCs w:val="18"/>
          <w:lang w:eastAsia="es-ES"/>
        </w:rPr>
        <w:t>Tabla 5. Servicios que se ofrecen a través de redes móviles.</w:t>
      </w:r>
    </w:p>
    <w:p w14:paraId="3315E1C5" w14:textId="77777777" w:rsidR="006172B4" w:rsidRPr="001B525F" w:rsidRDefault="006172B4" w:rsidP="00CC0143">
      <w:pPr>
        <w:spacing w:after="0"/>
        <w:ind w:left="426"/>
        <w:jc w:val="both"/>
        <w:rPr>
          <w:rFonts w:ascii="Arial" w:hAnsi="Arial" w:cs="Arial"/>
          <w:sz w:val="18"/>
          <w:szCs w:val="18"/>
        </w:rPr>
      </w:pPr>
    </w:p>
    <w:p w14:paraId="3EB6BFE9"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En la tabla 6 se presentan los servicios de SMS que se ofrecen a través de las redes móviles.</w:t>
      </w:r>
    </w:p>
    <w:p w14:paraId="03ED216B" w14:textId="77777777" w:rsidR="00187E11" w:rsidRPr="00657BA6" w:rsidRDefault="00187E11" w:rsidP="00187E11">
      <w:pPr>
        <w:spacing w:after="0"/>
        <w:ind w:left="426"/>
        <w:jc w:val="both"/>
        <w:rPr>
          <w:rFonts w:ascii="Arial" w:hAnsi="Arial" w:cs="Arial"/>
        </w:rPr>
      </w:pPr>
    </w:p>
    <w:tbl>
      <w:tblPr>
        <w:tblStyle w:val="Tabladecuadrcula4"/>
        <w:tblW w:w="0" w:type="auto"/>
        <w:tblInd w:w="-5" w:type="dxa"/>
        <w:tblLook w:val="0420" w:firstRow="1" w:lastRow="0" w:firstColumn="0" w:lastColumn="0" w:noHBand="0" w:noVBand="1"/>
      </w:tblPr>
      <w:tblGrid>
        <w:gridCol w:w="2392"/>
        <w:gridCol w:w="7007"/>
      </w:tblGrid>
      <w:tr w:rsidR="00727268" w:rsidRPr="004A0A71" w14:paraId="00B6809A" w14:textId="77777777" w:rsidTr="00344FBA">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B27BC32" w14:textId="77777777" w:rsidR="00187E11" w:rsidRPr="004A0A71" w:rsidRDefault="00187E11" w:rsidP="00344FBA">
            <w:pPr>
              <w:spacing w:after="0"/>
              <w:ind w:right="113"/>
              <w:jc w:val="center"/>
              <w:rPr>
                <w:rFonts w:ascii="Arial" w:hAnsi="Arial" w:cs="Arial"/>
                <w:color w:val="auto"/>
                <w:sz w:val="16"/>
                <w:szCs w:val="18"/>
              </w:rPr>
            </w:pPr>
            <w:r w:rsidRPr="004A0A71">
              <w:rPr>
                <w:rFonts w:ascii="Arial" w:hAnsi="Arial" w:cs="Arial"/>
                <w:color w:val="auto"/>
                <w:sz w:val="16"/>
                <w:szCs w:val="18"/>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E6B9816" w14:textId="77777777" w:rsidR="00187E11" w:rsidRPr="004A0A71" w:rsidRDefault="00187E11" w:rsidP="00344FBA">
            <w:pPr>
              <w:spacing w:after="0"/>
              <w:ind w:right="113"/>
              <w:jc w:val="center"/>
              <w:rPr>
                <w:rFonts w:ascii="Arial" w:hAnsi="Arial" w:cs="Arial"/>
                <w:color w:val="auto"/>
                <w:sz w:val="16"/>
                <w:szCs w:val="18"/>
              </w:rPr>
            </w:pPr>
            <w:r w:rsidRPr="004A0A71">
              <w:rPr>
                <w:rFonts w:ascii="Arial" w:hAnsi="Arial" w:cs="Arial"/>
                <w:color w:val="auto"/>
                <w:sz w:val="16"/>
                <w:szCs w:val="18"/>
              </w:rPr>
              <w:t>Descripción del servicio</w:t>
            </w:r>
          </w:p>
        </w:tc>
      </w:tr>
      <w:tr w:rsidR="00EA4EFF" w:rsidRPr="004A0A71" w14:paraId="0E324C47"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74704A1E" w14:textId="77777777" w:rsidR="00187E11" w:rsidRPr="004A0A71" w:rsidRDefault="00187E11" w:rsidP="00344FBA">
            <w:pPr>
              <w:spacing w:after="0"/>
              <w:ind w:right="113"/>
              <w:rPr>
                <w:rFonts w:ascii="Arial" w:hAnsi="Arial" w:cs="Arial"/>
                <w:sz w:val="16"/>
                <w:szCs w:val="18"/>
              </w:rPr>
            </w:pPr>
            <w:r w:rsidRPr="004A0A71">
              <w:rPr>
                <w:rFonts w:ascii="Arial" w:hAnsi="Arial" w:cs="Arial"/>
                <w:sz w:val="16"/>
                <w:szCs w:val="18"/>
              </w:rPr>
              <w:t>Roaming SMS saliente por tecnología</w:t>
            </w:r>
          </w:p>
        </w:tc>
        <w:tc>
          <w:tcPr>
            <w:tcW w:w="0" w:type="auto"/>
            <w:tcBorders>
              <w:top w:val="single" w:sz="4" w:space="0" w:color="000000"/>
            </w:tcBorders>
          </w:tcPr>
          <w:p w14:paraId="12D84741" w14:textId="77777777" w:rsidR="00187E11" w:rsidRPr="004A0A71" w:rsidRDefault="00187E11" w:rsidP="00344FBA">
            <w:pPr>
              <w:spacing w:after="0"/>
              <w:ind w:right="113"/>
              <w:jc w:val="both"/>
              <w:rPr>
                <w:rFonts w:ascii="Arial" w:hAnsi="Arial" w:cs="Arial"/>
                <w:sz w:val="16"/>
                <w:szCs w:val="18"/>
              </w:rPr>
            </w:pPr>
            <w:r w:rsidRPr="004A0A71">
              <w:rPr>
                <w:rFonts w:ascii="Arial" w:hAnsi="Arial" w:cs="Arial"/>
                <w:sz w:val="16"/>
                <w:szCs w:val="18"/>
              </w:rPr>
              <w:t>SMS de un usuario visitante (nacional o internacional) en la red del operador móvil modelado a un destino móvil, fijo o internacional</w:t>
            </w:r>
          </w:p>
        </w:tc>
      </w:tr>
      <w:tr w:rsidR="00187E11" w:rsidRPr="004A0A71" w14:paraId="3F730BD9" w14:textId="77777777" w:rsidTr="00344FBA">
        <w:tc>
          <w:tcPr>
            <w:tcW w:w="0" w:type="auto"/>
          </w:tcPr>
          <w:p w14:paraId="3AA4F418" w14:textId="77777777" w:rsidR="00187E11" w:rsidRPr="004A0A71" w:rsidRDefault="00187E11" w:rsidP="00344FBA">
            <w:pPr>
              <w:spacing w:after="0"/>
              <w:ind w:right="113"/>
              <w:rPr>
                <w:rFonts w:ascii="Arial" w:hAnsi="Arial" w:cs="Arial"/>
                <w:sz w:val="16"/>
                <w:szCs w:val="18"/>
              </w:rPr>
            </w:pPr>
            <w:r w:rsidRPr="004A0A71">
              <w:rPr>
                <w:rFonts w:ascii="Arial" w:hAnsi="Arial" w:cs="Arial"/>
                <w:sz w:val="16"/>
                <w:szCs w:val="18"/>
              </w:rPr>
              <w:t>Roaming SMS entrante por tecnología</w:t>
            </w:r>
          </w:p>
        </w:tc>
        <w:tc>
          <w:tcPr>
            <w:tcW w:w="0" w:type="auto"/>
          </w:tcPr>
          <w:p w14:paraId="65350E50" w14:textId="77777777" w:rsidR="00187E11" w:rsidRPr="004A0A71" w:rsidRDefault="00187E11" w:rsidP="00344FBA">
            <w:pPr>
              <w:spacing w:after="0"/>
              <w:ind w:right="113"/>
              <w:jc w:val="both"/>
              <w:rPr>
                <w:rFonts w:ascii="Arial" w:hAnsi="Arial" w:cs="Arial"/>
                <w:sz w:val="16"/>
                <w:szCs w:val="18"/>
              </w:rPr>
            </w:pPr>
            <w:r w:rsidRPr="004A0A71">
              <w:rPr>
                <w:rFonts w:ascii="Arial" w:hAnsi="Arial" w:cs="Arial"/>
                <w:sz w:val="16"/>
                <w:szCs w:val="18"/>
              </w:rPr>
              <w:t>SMS recibidos desde otro operador móvil, fijo o internacional y terminados en la red de un usuario visitante (nacional o internacional) del operador móvil modelado</w:t>
            </w:r>
          </w:p>
        </w:tc>
      </w:tr>
      <w:tr w:rsidR="00BA1265" w:rsidRPr="004A0A71" w14:paraId="4502B7DB"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3B9A562E" w14:textId="77777777" w:rsidR="00187E11" w:rsidRPr="004A0A71" w:rsidRDefault="00187E11" w:rsidP="00344FBA">
            <w:pPr>
              <w:spacing w:after="0"/>
              <w:ind w:right="113"/>
              <w:rPr>
                <w:rFonts w:ascii="Arial" w:hAnsi="Arial" w:cs="Arial"/>
                <w:sz w:val="16"/>
                <w:szCs w:val="18"/>
              </w:rPr>
            </w:pPr>
            <w:r w:rsidRPr="004A0A71">
              <w:rPr>
                <w:rFonts w:ascii="Arial" w:hAnsi="Arial" w:cs="Arial"/>
                <w:sz w:val="16"/>
                <w:szCs w:val="18"/>
              </w:rPr>
              <w:t>SMS on-net por tecnología</w:t>
            </w:r>
          </w:p>
        </w:tc>
        <w:tc>
          <w:tcPr>
            <w:tcW w:w="0" w:type="auto"/>
          </w:tcPr>
          <w:p w14:paraId="2AE8EE17" w14:textId="77777777" w:rsidR="00187E11" w:rsidRPr="004A0A71" w:rsidRDefault="00187E11" w:rsidP="00344FBA">
            <w:pPr>
              <w:spacing w:after="0"/>
              <w:ind w:right="113"/>
              <w:jc w:val="both"/>
              <w:rPr>
                <w:rFonts w:ascii="Arial" w:hAnsi="Arial" w:cs="Arial"/>
                <w:sz w:val="16"/>
                <w:szCs w:val="18"/>
              </w:rPr>
            </w:pPr>
            <w:r w:rsidRPr="004A0A71">
              <w:rPr>
                <w:rFonts w:ascii="Arial" w:hAnsi="Arial"/>
                <w:sz w:val="16"/>
                <w:szCs w:val="18"/>
              </w:rPr>
              <w:t xml:space="preserve">SMS entre dos suscriptores </w:t>
            </w:r>
            <w:r w:rsidRPr="004A0A71">
              <w:rPr>
                <w:rFonts w:ascii="Arial" w:hAnsi="Arial" w:cs="Arial"/>
                <w:sz w:val="16"/>
                <w:szCs w:val="18"/>
              </w:rPr>
              <w:t xml:space="preserve">(minoristas u OMV o inbound roamer) </w:t>
            </w:r>
            <w:r w:rsidRPr="004A0A71">
              <w:rPr>
                <w:rFonts w:ascii="Arial" w:hAnsi="Arial"/>
                <w:sz w:val="16"/>
                <w:szCs w:val="18"/>
              </w:rPr>
              <w:t>del operador móvil modelado</w:t>
            </w:r>
          </w:p>
        </w:tc>
      </w:tr>
      <w:tr w:rsidR="00187E11" w:rsidRPr="004A0A71" w14:paraId="7704DA98" w14:textId="77777777" w:rsidTr="00344FBA">
        <w:tc>
          <w:tcPr>
            <w:tcW w:w="0" w:type="auto"/>
          </w:tcPr>
          <w:p w14:paraId="14541BB0" w14:textId="77777777" w:rsidR="00187E11" w:rsidRPr="004A0A71" w:rsidRDefault="00187E11" w:rsidP="00344FBA">
            <w:pPr>
              <w:spacing w:after="0"/>
              <w:ind w:right="113"/>
              <w:rPr>
                <w:rFonts w:ascii="Arial" w:hAnsi="Arial" w:cs="Arial"/>
                <w:sz w:val="16"/>
                <w:szCs w:val="18"/>
              </w:rPr>
            </w:pPr>
            <w:r w:rsidRPr="004A0A71">
              <w:rPr>
                <w:rFonts w:ascii="Arial" w:hAnsi="Arial" w:cs="Arial"/>
                <w:sz w:val="16"/>
                <w:szCs w:val="18"/>
              </w:rPr>
              <w:t>SMS salientes a otras redes por tecnología</w:t>
            </w:r>
          </w:p>
        </w:tc>
        <w:tc>
          <w:tcPr>
            <w:tcW w:w="0" w:type="auto"/>
          </w:tcPr>
          <w:p w14:paraId="79B6DB38" w14:textId="77777777" w:rsidR="00187E11" w:rsidRPr="004A0A71" w:rsidRDefault="00187E11" w:rsidP="00344FBA">
            <w:pPr>
              <w:spacing w:after="0"/>
              <w:ind w:right="113"/>
              <w:jc w:val="both"/>
              <w:rPr>
                <w:rFonts w:ascii="Arial" w:hAnsi="Arial" w:cs="Arial"/>
                <w:sz w:val="16"/>
                <w:szCs w:val="18"/>
              </w:rPr>
            </w:pPr>
            <w:r w:rsidRPr="004A0A71">
              <w:rPr>
                <w:rFonts w:ascii="Arial" w:hAnsi="Arial"/>
                <w:sz w:val="16"/>
                <w:szCs w:val="18"/>
              </w:rPr>
              <w:t xml:space="preserve">SMS de un suscriptor </w:t>
            </w:r>
            <w:r w:rsidRPr="004A0A71">
              <w:rPr>
                <w:rFonts w:ascii="Arial" w:hAnsi="Arial" w:cs="Arial"/>
                <w:sz w:val="16"/>
                <w:szCs w:val="18"/>
              </w:rPr>
              <w:t xml:space="preserve">(minorista u OMV o inbound roamer) </w:t>
            </w:r>
            <w:r w:rsidRPr="004A0A71">
              <w:rPr>
                <w:rFonts w:ascii="Arial" w:hAnsi="Arial"/>
                <w:sz w:val="16"/>
                <w:szCs w:val="18"/>
              </w:rPr>
              <w:t>del operador móvil modelado a otro operador de red</w:t>
            </w:r>
          </w:p>
        </w:tc>
      </w:tr>
      <w:tr w:rsidR="00BA1265" w:rsidRPr="004A0A71" w14:paraId="663ABD77"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1042DEC0" w14:textId="77777777" w:rsidR="00187E11" w:rsidRPr="004A0A71" w:rsidRDefault="00187E11" w:rsidP="00344FBA">
            <w:pPr>
              <w:spacing w:after="0"/>
              <w:ind w:right="113"/>
              <w:rPr>
                <w:rFonts w:ascii="Arial" w:hAnsi="Arial" w:cs="Arial"/>
                <w:sz w:val="16"/>
                <w:szCs w:val="18"/>
              </w:rPr>
            </w:pPr>
            <w:r w:rsidRPr="004A0A71">
              <w:rPr>
                <w:rFonts w:ascii="Arial" w:hAnsi="Arial" w:cs="Arial"/>
                <w:sz w:val="16"/>
                <w:szCs w:val="18"/>
              </w:rPr>
              <w:t>SMS entrantes de otras redes por tecnología</w:t>
            </w:r>
          </w:p>
        </w:tc>
        <w:tc>
          <w:tcPr>
            <w:tcW w:w="0" w:type="auto"/>
          </w:tcPr>
          <w:p w14:paraId="70682405" w14:textId="77777777" w:rsidR="00187E11" w:rsidRPr="004A0A71" w:rsidRDefault="00187E11" w:rsidP="00344FBA">
            <w:pPr>
              <w:spacing w:after="0"/>
              <w:ind w:right="113"/>
              <w:jc w:val="both"/>
              <w:rPr>
                <w:rFonts w:ascii="Arial" w:hAnsi="Arial" w:cs="Arial"/>
                <w:sz w:val="16"/>
                <w:szCs w:val="18"/>
              </w:rPr>
            </w:pPr>
            <w:r w:rsidRPr="004A0A71">
              <w:rPr>
                <w:rFonts w:ascii="Arial" w:hAnsi="Arial"/>
                <w:sz w:val="16"/>
                <w:szCs w:val="18"/>
              </w:rPr>
              <w:t xml:space="preserve">SMS recibidos de otro operador y terminados en un abonado </w:t>
            </w:r>
            <w:r w:rsidRPr="004A0A71">
              <w:rPr>
                <w:rFonts w:ascii="Arial" w:hAnsi="Arial" w:cs="Arial"/>
                <w:sz w:val="16"/>
                <w:szCs w:val="18"/>
              </w:rPr>
              <w:t xml:space="preserve">(minorista u OMV o inbound roamer) </w:t>
            </w:r>
            <w:r w:rsidRPr="004A0A71">
              <w:rPr>
                <w:rFonts w:ascii="Arial" w:hAnsi="Arial"/>
                <w:sz w:val="16"/>
                <w:szCs w:val="18"/>
              </w:rPr>
              <w:t>del operador móvil modelado</w:t>
            </w:r>
          </w:p>
        </w:tc>
      </w:tr>
    </w:tbl>
    <w:p w14:paraId="76835C90" w14:textId="77777777" w:rsidR="00187E11" w:rsidRPr="00187E11" w:rsidRDefault="00187E11" w:rsidP="00187E11">
      <w:pPr>
        <w:spacing w:after="0"/>
        <w:jc w:val="center"/>
        <w:rPr>
          <w:rFonts w:ascii="Arial" w:hAnsi="Arial" w:cs="Arial"/>
          <w:sz w:val="18"/>
          <w:szCs w:val="18"/>
        </w:rPr>
      </w:pPr>
      <w:r w:rsidRPr="00187E11">
        <w:rPr>
          <w:rFonts w:ascii="Arial" w:eastAsia="Times New Roman" w:hAnsi="Arial" w:cs="Arial"/>
          <w:sz w:val="18"/>
          <w:szCs w:val="18"/>
          <w:lang w:eastAsia="es-ES"/>
        </w:rPr>
        <w:t>Tabla 6. Servicios SMS que se ofrecen a través de redes móviles.</w:t>
      </w:r>
    </w:p>
    <w:p w14:paraId="2882F474" w14:textId="77777777" w:rsidR="00187E11" w:rsidRDefault="00187E11" w:rsidP="00187E11">
      <w:pPr>
        <w:spacing w:after="0"/>
        <w:jc w:val="both"/>
        <w:rPr>
          <w:rFonts w:ascii="Arial" w:eastAsia="Times New Roman" w:hAnsi="Arial" w:cs="Arial"/>
          <w:lang w:eastAsia="es-ES"/>
        </w:rPr>
      </w:pPr>
    </w:p>
    <w:p w14:paraId="42E8CE99" w14:textId="77777777" w:rsidR="00187E11" w:rsidRPr="00187E11" w:rsidRDefault="00187E11" w:rsidP="00187E11">
      <w:pPr>
        <w:spacing w:after="0"/>
        <w:jc w:val="both"/>
        <w:rPr>
          <w:rFonts w:ascii="Arial" w:eastAsia="Times New Roman" w:hAnsi="Arial" w:cs="Arial"/>
          <w:sz w:val="18"/>
          <w:szCs w:val="18"/>
          <w:lang w:eastAsia="es-ES"/>
        </w:rPr>
      </w:pPr>
      <w:r w:rsidRPr="00187E11">
        <w:rPr>
          <w:rFonts w:ascii="Arial" w:eastAsia="Times New Roman" w:hAnsi="Arial" w:cs="Arial"/>
          <w:sz w:val="18"/>
          <w:szCs w:val="18"/>
          <w:lang w:eastAsia="es-ES"/>
        </w:rPr>
        <w:t>En la tabla 7 se presentan los servicios de datos que se ofrecen a través de las redes móviles.</w:t>
      </w:r>
    </w:p>
    <w:p w14:paraId="784A8FDB" w14:textId="77777777" w:rsidR="00187E11" w:rsidRPr="0099422C" w:rsidRDefault="00187E11" w:rsidP="00187E11">
      <w:pPr>
        <w:spacing w:after="0"/>
        <w:jc w:val="both"/>
        <w:rPr>
          <w:rFonts w:ascii="Arial" w:eastAsia="Times New Roman" w:hAnsi="Arial" w:cs="Arial"/>
          <w:lang w:eastAsia="es-ES"/>
        </w:rPr>
      </w:pPr>
    </w:p>
    <w:tbl>
      <w:tblPr>
        <w:tblStyle w:val="Tabladecuadrcula4"/>
        <w:tblW w:w="0" w:type="auto"/>
        <w:tblInd w:w="-5" w:type="dxa"/>
        <w:tblLook w:val="0420" w:firstRow="1" w:lastRow="0" w:firstColumn="0" w:lastColumn="0" w:noHBand="0" w:noVBand="1"/>
      </w:tblPr>
      <w:tblGrid>
        <w:gridCol w:w="1601"/>
        <w:gridCol w:w="7798"/>
      </w:tblGrid>
      <w:tr w:rsidR="00727268" w:rsidRPr="004A0A71" w14:paraId="75B0D9E0" w14:textId="77777777" w:rsidTr="00344FBA">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F7DC150" w14:textId="77777777" w:rsidR="00187E11" w:rsidRPr="004A0A71" w:rsidRDefault="00187E11" w:rsidP="00344FBA">
            <w:pPr>
              <w:spacing w:after="0"/>
              <w:ind w:right="113"/>
              <w:jc w:val="center"/>
              <w:rPr>
                <w:rFonts w:ascii="Arial" w:hAnsi="Arial" w:cs="Arial"/>
                <w:color w:val="auto"/>
                <w:sz w:val="16"/>
                <w:szCs w:val="18"/>
              </w:rPr>
            </w:pPr>
            <w:r w:rsidRPr="004A0A71">
              <w:rPr>
                <w:rFonts w:ascii="Arial" w:hAnsi="Arial" w:cs="Arial"/>
                <w:color w:val="auto"/>
                <w:sz w:val="16"/>
                <w:szCs w:val="18"/>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66E0488" w14:textId="77777777" w:rsidR="00187E11" w:rsidRPr="004A0A71" w:rsidRDefault="00187E11" w:rsidP="00344FBA">
            <w:pPr>
              <w:spacing w:after="0"/>
              <w:ind w:right="113"/>
              <w:jc w:val="center"/>
              <w:rPr>
                <w:rFonts w:ascii="Arial" w:hAnsi="Arial" w:cs="Arial"/>
                <w:color w:val="auto"/>
                <w:sz w:val="16"/>
                <w:szCs w:val="18"/>
              </w:rPr>
            </w:pPr>
            <w:r w:rsidRPr="004A0A71">
              <w:rPr>
                <w:rFonts w:ascii="Arial" w:hAnsi="Arial" w:cs="Arial"/>
                <w:color w:val="auto"/>
                <w:sz w:val="16"/>
                <w:szCs w:val="18"/>
              </w:rPr>
              <w:t>Descripción del servicio</w:t>
            </w:r>
          </w:p>
        </w:tc>
      </w:tr>
      <w:tr w:rsidR="00EA4EFF" w:rsidRPr="004A0A71" w14:paraId="65180313"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1CA36BFA"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Servicio de datos R99</w:t>
            </w:r>
          </w:p>
        </w:tc>
        <w:tc>
          <w:tcPr>
            <w:tcW w:w="0" w:type="auto"/>
            <w:tcBorders>
              <w:top w:val="single" w:sz="4" w:space="0" w:color="000000"/>
            </w:tcBorders>
          </w:tcPr>
          <w:p w14:paraId="44720433"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Megabytes de servicio de datos (excluyendo las cabeceras de los paquetes IP) transferidos desde y hacia un suscriptor (minorista u OMV o inbound roamer) a través de la red de datos de baja velocidad 3G (portadoras Release 99)</w:t>
            </w:r>
          </w:p>
        </w:tc>
      </w:tr>
      <w:tr w:rsidR="00187E11" w:rsidRPr="004A0A71" w14:paraId="0FF244A8" w14:textId="77777777" w:rsidTr="00344FBA">
        <w:tc>
          <w:tcPr>
            <w:tcW w:w="0" w:type="auto"/>
          </w:tcPr>
          <w:p w14:paraId="653AD4FB"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Servicio de datos HSDPA</w:t>
            </w:r>
          </w:p>
        </w:tc>
        <w:tc>
          <w:tcPr>
            <w:tcW w:w="0" w:type="auto"/>
          </w:tcPr>
          <w:p w14:paraId="1D097C4D"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Megabytes de servicio de datos (excluyendo las cabeceras de los paquetes IP) transferidos hacia un suscriptor (minorista u OMV o inbound roamer) a través de la red HSPA</w:t>
            </w:r>
          </w:p>
        </w:tc>
      </w:tr>
      <w:tr w:rsidR="00BA1265" w:rsidRPr="004A0A71" w14:paraId="09FF75DF"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5C409ABA"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Servicio de datos HSUPA</w:t>
            </w:r>
          </w:p>
        </w:tc>
        <w:tc>
          <w:tcPr>
            <w:tcW w:w="0" w:type="auto"/>
          </w:tcPr>
          <w:p w14:paraId="357CA62A"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Megabytes de servicio de datos (excluyendo las cabeceras de los paquetes IP) transferidos desde un suscriptor (minorista u OMV o inbound roamer) a través de la red HSPA</w:t>
            </w:r>
          </w:p>
        </w:tc>
      </w:tr>
      <w:tr w:rsidR="00187E11" w:rsidRPr="004A0A71" w14:paraId="1DB89A98" w14:textId="77777777" w:rsidTr="00344FBA">
        <w:tc>
          <w:tcPr>
            <w:tcW w:w="0" w:type="auto"/>
          </w:tcPr>
          <w:p w14:paraId="2859B2F8"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Servicio de datos LTE</w:t>
            </w:r>
          </w:p>
        </w:tc>
        <w:tc>
          <w:tcPr>
            <w:tcW w:w="0" w:type="auto"/>
          </w:tcPr>
          <w:p w14:paraId="1433AE76"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Megabytes de servicio de datos (excluyendo las cabeceras de los paquetes IP) transferidos desde y hacia un suscriptor (minorista u OMV o inbound roamer) a través de la red LTE</w:t>
            </w:r>
          </w:p>
        </w:tc>
      </w:tr>
      <w:tr w:rsidR="00BA1265" w:rsidRPr="004A0A71" w14:paraId="35465B67" w14:textId="77777777" w:rsidTr="00344FBA">
        <w:trPr>
          <w:cnfStyle w:val="000000100000" w:firstRow="0" w:lastRow="0" w:firstColumn="0" w:lastColumn="0" w:oddVBand="0" w:evenVBand="0" w:oddHBand="1" w:evenHBand="0" w:firstRowFirstColumn="0" w:firstRowLastColumn="0" w:lastRowFirstColumn="0" w:lastRowLastColumn="0"/>
        </w:trPr>
        <w:tc>
          <w:tcPr>
            <w:tcW w:w="0" w:type="auto"/>
          </w:tcPr>
          <w:p w14:paraId="4E0F75C3"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Servicio de datos 5G</w:t>
            </w:r>
          </w:p>
        </w:tc>
        <w:tc>
          <w:tcPr>
            <w:tcW w:w="0" w:type="auto"/>
          </w:tcPr>
          <w:p w14:paraId="42258AB0"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Megabytes de servicio de datos (excluyendo las cabeceras de los paquetes IP) transferidos desde y hacia un suscriptor (minorista u OMV o inbound roamer) a través de la red 5G</w:t>
            </w:r>
          </w:p>
        </w:tc>
      </w:tr>
      <w:tr w:rsidR="00CB1B12" w:rsidRPr="004A0A71" w14:paraId="40C7ED79" w14:textId="77777777" w:rsidTr="00344FBA">
        <w:tc>
          <w:tcPr>
            <w:tcW w:w="0" w:type="auto"/>
            <w:shd w:val="clear" w:color="auto" w:fill="FFFFFF" w:themeFill="background1"/>
          </w:tcPr>
          <w:p w14:paraId="672D539C"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lastRenderedPageBreak/>
              <w:t>Roaming datos por tecnología</w:t>
            </w:r>
          </w:p>
        </w:tc>
        <w:tc>
          <w:tcPr>
            <w:tcW w:w="0" w:type="auto"/>
            <w:shd w:val="clear" w:color="auto" w:fill="FFFFFF" w:themeFill="background1"/>
          </w:tcPr>
          <w:p w14:paraId="50ED75AA" w14:textId="77777777" w:rsidR="00187E11" w:rsidRPr="004A0A71" w:rsidRDefault="00187E11" w:rsidP="00344FBA">
            <w:pPr>
              <w:spacing w:after="0"/>
              <w:ind w:right="113"/>
              <w:jc w:val="both"/>
              <w:rPr>
                <w:rFonts w:ascii="Arial" w:hAnsi="Arial"/>
                <w:sz w:val="16"/>
                <w:szCs w:val="18"/>
              </w:rPr>
            </w:pPr>
            <w:r w:rsidRPr="004A0A71">
              <w:rPr>
                <w:rFonts w:ascii="Arial" w:hAnsi="Arial"/>
                <w:sz w:val="16"/>
                <w:szCs w:val="18"/>
              </w:rPr>
              <w:t>Megabytes de servicio de datos (excluyendo las cabeceras de los paquetes IP) transferidos desde y hacia un suscriptor (minorista u OMV o inbound roamer) de un usuario visitante (nacional o internacional) a través de la red del operador móvil modelado</w:t>
            </w:r>
          </w:p>
        </w:tc>
      </w:tr>
    </w:tbl>
    <w:p w14:paraId="50EE1851" w14:textId="77777777" w:rsidR="00187E11" w:rsidRPr="00385221" w:rsidRDefault="00187E11" w:rsidP="00187E11">
      <w:pPr>
        <w:spacing w:after="0"/>
        <w:jc w:val="center"/>
        <w:rPr>
          <w:rFonts w:ascii="Arial" w:hAnsi="Arial" w:cs="Arial"/>
          <w:sz w:val="18"/>
          <w:szCs w:val="18"/>
        </w:rPr>
      </w:pPr>
      <w:r w:rsidRPr="00385221">
        <w:rPr>
          <w:rFonts w:ascii="Arial" w:eastAsia="Times New Roman" w:hAnsi="Arial" w:cs="Arial"/>
          <w:sz w:val="18"/>
          <w:szCs w:val="18"/>
          <w:lang w:eastAsia="es-ES"/>
        </w:rPr>
        <w:t>Tabla 7. Servicios de datos que se ofrecen a través de redes móviles.</w:t>
      </w:r>
    </w:p>
    <w:p w14:paraId="5927C1B4" w14:textId="77777777" w:rsidR="00187E11" w:rsidRPr="00657BA6" w:rsidRDefault="00187E11" w:rsidP="00187E11">
      <w:pPr>
        <w:spacing w:after="0"/>
        <w:jc w:val="both"/>
        <w:rPr>
          <w:rFonts w:ascii="Arial" w:eastAsia="Times New Roman" w:hAnsi="Arial" w:cs="Arial"/>
          <w:lang w:eastAsia="es-ES"/>
        </w:rPr>
      </w:pPr>
    </w:p>
    <w:p w14:paraId="1877EF6D"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Volúmenes de tráfico</w:t>
      </w:r>
    </w:p>
    <w:p w14:paraId="4C28DDCC" w14:textId="77777777" w:rsidR="006172B4" w:rsidRPr="00C759D0" w:rsidRDefault="006172B4" w:rsidP="00CC0143">
      <w:pPr>
        <w:spacing w:after="0"/>
        <w:jc w:val="both"/>
        <w:rPr>
          <w:rFonts w:ascii="Arial" w:hAnsi="Arial" w:cs="Arial"/>
          <w:sz w:val="14"/>
          <w:szCs w:val="14"/>
        </w:rPr>
      </w:pPr>
    </w:p>
    <w:p w14:paraId="160B6824" w14:textId="77777777" w:rsidR="00C759D0" w:rsidRPr="00C759D0" w:rsidRDefault="00C759D0" w:rsidP="00C759D0">
      <w:pPr>
        <w:spacing w:after="0"/>
        <w:jc w:val="both"/>
        <w:rPr>
          <w:rFonts w:ascii="Arial" w:hAnsi="Arial" w:cs="Arial"/>
          <w:sz w:val="18"/>
          <w:szCs w:val="18"/>
        </w:rPr>
      </w:pPr>
      <w:r w:rsidRPr="00C759D0">
        <w:rPr>
          <w:rFonts w:ascii="Arial" w:hAnsi="Arial" w:cs="Arial"/>
          <w:sz w:val="18"/>
          <w:szCs w:val="18"/>
        </w:rPr>
        <w:t>Es necesario definir el volumen y el perfil</w:t>
      </w:r>
      <w:r w:rsidRPr="00C759D0">
        <w:rPr>
          <w:rFonts w:ascii="Arial" w:hAnsi="Arial" w:cs="Arial"/>
          <w:sz w:val="18"/>
          <w:szCs w:val="18"/>
          <w:vertAlign w:val="superscript"/>
        </w:rPr>
        <w:footnoteReference w:id="18"/>
      </w:r>
      <w:r w:rsidRPr="00C759D0">
        <w:rPr>
          <w:rFonts w:ascii="Arial" w:hAnsi="Arial" w:cs="Arial"/>
          <w:sz w:val="18"/>
          <w:szCs w:val="18"/>
        </w:rPr>
        <w:t xml:space="preserve"> del tráfico cursado en la red del operador modelado. Dado que la definición del operador incorpora la definición de una participación de mercado, se propone definir el volumen de tráfico y su perfil para un usuario promedio. Este perfil de tráfico deberá tener en cuenta el equilibrio de tráfico entre los diferentes servicios que compiten en el mercado. Se requerirá por lo tanto un enfoque integral para la estimación de la evolución del tráfico de voz y datos. En consecuencia, los diferentes modelos deberían basarse en un módulo común de predicción de tráfico.</w:t>
      </w:r>
    </w:p>
    <w:p w14:paraId="4EA6F888" w14:textId="77777777" w:rsidR="00C759D0" w:rsidRPr="00C759D0" w:rsidRDefault="00C759D0" w:rsidP="00C759D0">
      <w:pPr>
        <w:spacing w:after="0"/>
        <w:ind w:left="426"/>
        <w:jc w:val="both"/>
        <w:rPr>
          <w:rFonts w:ascii="Arial" w:hAnsi="Arial" w:cs="Arial"/>
          <w:sz w:val="18"/>
          <w:szCs w:val="18"/>
        </w:rPr>
      </w:pPr>
    </w:p>
    <w:p w14:paraId="76994FDF" w14:textId="77777777" w:rsidR="00C759D0" w:rsidRPr="00C759D0" w:rsidRDefault="00C759D0" w:rsidP="00C759D0">
      <w:pPr>
        <w:spacing w:after="0"/>
        <w:jc w:val="both"/>
        <w:rPr>
          <w:rFonts w:ascii="Arial" w:hAnsi="Arial" w:cs="Arial"/>
          <w:sz w:val="18"/>
          <w:szCs w:val="18"/>
        </w:rPr>
      </w:pPr>
      <w:r w:rsidRPr="00C759D0">
        <w:rPr>
          <w:rFonts w:ascii="Arial" w:hAnsi="Arial" w:cs="Arial"/>
          <w:sz w:val="18"/>
          <w:szCs w:val="18"/>
        </w:rPr>
        <w:t>El volumen de tráfico asociado a los usuarios del operador modelado es el principal inductor de los costos asociados con la red troncal, y la medida que permitirá explotar las economías de escala.</w:t>
      </w:r>
    </w:p>
    <w:p w14:paraId="729A0F60" w14:textId="77777777" w:rsidR="00C759D0" w:rsidRPr="00C759D0" w:rsidRDefault="00C759D0" w:rsidP="00C759D0">
      <w:pPr>
        <w:spacing w:after="0"/>
        <w:ind w:left="426"/>
        <w:jc w:val="both"/>
        <w:rPr>
          <w:rFonts w:ascii="Arial" w:hAnsi="Arial" w:cs="Arial"/>
          <w:spacing w:val="-4"/>
          <w:sz w:val="18"/>
          <w:szCs w:val="18"/>
        </w:rPr>
      </w:pPr>
    </w:p>
    <w:p w14:paraId="1B4CCF56" w14:textId="77777777" w:rsidR="00C759D0" w:rsidRPr="00C759D0" w:rsidRDefault="00C759D0" w:rsidP="00C759D0">
      <w:pPr>
        <w:spacing w:after="0"/>
        <w:jc w:val="both"/>
        <w:rPr>
          <w:rFonts w:ascii="Arial" w:hAnsi="Arial" w:cs="Arial"/>
          <w:spacing w:val="-4"/>
          <w:sz w:val="18"/>
          <w:szCs w:val="18"/>
        </w:rPr>
      </w:pPr>
      <w:r w:rsidRPr="00C759D0">
        <w:rPr>
          <w:rFonts w:ascii="Arial" w:hAnsi="Arial" w:cs="Arial"/>
          <w:spacing w:val="-4"/>
          <w:sz w:val="18"/>
          <w:szCs w:val="18"/>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C759D0">
        <w:rPr>
          <w:rFonts w:ascii="Arial" w:hAnsi="Arial" w:cs="Arial"/>
          <w:spacing w:val="-4"/>
          <w:sz w:val="18"/>
          <w:szCs w:val="18"/>
          <w:vertAlign w:val="superscript"/>
        </w:rPr>
        <w:footnoteReference w:id="19"/>
      </w:r>
    </w:p>
    <w:p w14:paraId="6CBADAA6" w14:textId="77777777" w:rsidR="00C759D0" w:rsidRPr="00C759D0" w:rsidRDefault="00C759D0" w:rsidP="00C759D0">
      <w:pPr>
        <w:spacing w:after="0"/>
        <w:ind w:left="426"/>
        <w:jc w:val="both"/>
        <w:rPr>
          <w:rFonts w:ascii="Arial" w:hAnsi="Arial" w:cs="Arial"/>
          <w:sz w:val="18"/>
          <w:szCs w:val="18"/>
        </w:rPr>
      </w:pPr>
    </w:p>
    <w:p w14:paraId="57630C49" w14:textId="77777777" w:rsidR="00C759D0" w:rsidRPr="00C759D0" w:rsidRDefault="00C759D0" w:rsidP="00C759D0">
      <w:pPr>
        <w:spacing w:after="0"/>
        <w:jc w:val="both"/>
        <w:rPr>
          <w:rFonts w:ascii="Arial" w:hAnsi="Arial" w:cs="Arial"/>
          <w:spacing w:val="-4"/>
          <w:sz w:val="18"/>
          <w:szCs w:val="18"/>
        </w:rPr>
      </w:pPr>
      <w:r w:rsidRPr="00C759D0">
        <w:rPr>
          <w:rFonts w:ascii="Arial" w:hAnsi="Arial" w:cs="Arial"/>
          <w:sz w:val="18"/>
          <w:szCs w:val="18"/>
        </w:rPr>
        <w:t>El pronóstico del perfil de tráfico del operador modelado se basará en el perfil de la media del mercado, es decir la base de suscriptores de cada operador tendrá el mismo perfil de uso.</w:t>
      </w:r>
    </w:p>
    <w:p w14:paraId="283096C6" w14:textId="77777777" w:rsidR="006172B4" w:rsidRPr="001B525F" w:rsidRDefault="006172B4" w:rsidP="00CC0143">
      <w:pPr>
        <w:spacing w:after="0"/>
        <w:ind w:left="426"/>
        <w:jc w:val="both"/>
        <w:rPr>
          <w:rFonts w:ascii="Arial" w:hAnsi="Arial" w:cs="Arial"/>
          <w:sz w:val="18"/>
          <w:szCs w:val="18"/>
        </w:rPr>
      </w:pPr>
    </w:p>
    <w:p w14:paraId="6B14E964" w14:textId="77777777" w:rsidR="006172B4" w:rsidRPr="001B525F" w:rsidRDefault="006172B4" w:rsidP="00CC0143">
      <w:pPr>
        <w:spacing w:after="0"/>
        <w:rPr>
          <w:rFonts w:ascii="Arial" w:hAnsi="Arial" w:cs="Arial"/>
          <w:sz w:val="18"/>
          <w:szCs w:val="18"/>
        </w:rPr>
      </w:pPr>
      <w:r w:rsidRPr="001B525F">
        <w:rPr>
          <w:rFonts w:ascii="Arial" w:hAnsi="Arial" w:cs="Arial"/>
          <w:b/>
          <w:sz w:val="18"/>
          <w:szCs w:val="18"/>
        </w:rPr>
        <w:t>Costos mayoristas o minoristas</w:t>
      </w:r>
    </w:p>
    <w:p w14:paraId="1C4A9BC3" w14:textId="77777777" w:rsidR="006172B4" w:rsidRPr="001B525F" w:rsidRDefault="006172B4" w:rsidP="00CC0143">
      <w:pPr>
        <w:spacing w:after="0"/>
        <w:jc w:val="both"/>
        <w:rPr>
          <w:rFonts w:ascii="Arial" w:hAnsi="Arial" w:cs="Arial"/>
          <w:sz w:val="18"/>
          <w:szCs w:val="18"/>
        </w:rPr>
      </w:pPr>
    </w:p>
    <w:p w14:paraId="6EB85BC8" w14:textId="77777777" w:rsidR="00D7562B" w:rsidRDefault="00D7562B" w:rsidP="00D7562B">
      <w:pPr>
        <w:spacing w:after="0"/>
        <w:jc w:val="both"/>
        <w:rPr>
          <w:rFonts w:ascii="Arial" w:hAnsi="Arial" w:cs="Arial"/>
          <w:sz w:val="18"/>
          <w:szCs w:val="18"/>
        </w:rPr>
      </w:pPr>
      <w:r w:rsidRPr="00C759D0">
        <w:rPr>
          <w:rFonts w:ascii="Arial" w:hAnsi="Arial" w:cs="Arial"/>
          <w:sz w:val="18"/>
          <w:szCs w:val="18"/>
        </w:rPr>
        <w:t xml:space="preserve">En el modelo separado verticalmente, los servicios de red (tales como el tráfico) son presupuestados por separado de las actividades minoristas (como las subvenciones de las terminales o el marketing). A los gastos generales se añade un </w:t>
      </w:r>
      <w:r w:rsidRPr="00C759D0">
        <w:rPr>
          <w:rFonts w:ascii="Arial" w:hAnsi="Arial" w:cs="Arial"/>
          <w:i/>
          <w:sz w:val="18"/>
          <w:szCs w:val="18"/>
        </w:rPr>
        <w:t>mark-up</w:t>
      </w:r>
      <w:r w:rsidRPr="00C759D0">
        <w:rPr>
          <w:rFonts w:ascii="Arial" w:hAnsi="Arial" w:cs="Arial"/>
          <w:sz w:val="18"/>
          <w:szCs w:val="18"/>
        </w:rPr>
        <w:t xml:space="preserve"> a la red y las actividades minoristas, y se considera para el costo mayorista de suministro de interconexión únicamente los costos de la red más la proporción de los gastos generales.</w:t>
      </w:r>
    </w:p>
    <w:p w14:paraId="5410C878" w14:textId="77777777" w:rsidR="00B2232E" w:rsidRDefault="00B2232E" w:rsidP="00D7562B">
      <w:pPr>
        <w:spacing w:after="0"/>
        <w:jc w:val="both"/>
        <w:rPr>
          <w:rFonts w:ascii="Arial" w:hAnsi="Arial" w:cs="Arial"/>
          <w:sz w:val="18"/>
          <w:szCs w:val="18"/>
        </w:rPr>
      </w:pPr>
    </w:p>
    <w:p w14:paraId="06C014D2" w14:textId="77777777" w:rsidR="00B2232E" w:rsidRPr="00C759D0" w:rsidRDefault="00B2232E" w:rsidP="00B2232E">
      <w:pPr>
        <w:spacing w:after="0"/>
        <w:jc w:val="both"/>
        <w:rPr>
          <w:rFonts w:ascii="Arial" w:hAnsi="Arial" w:cs="Arial"/>
          <w:sz w:val="18"/>
          <w:szCs w:val="18"/>
        </w:rPr>
      </w:pPr>
      <w:r w:rsidRPr="00C759D0">
        <w:rPr>
          <w:rFonts w:ascii="Arial" w:hAnsi="Arial" w:cs="Arial"/>
          <w:sz w:val="18"/>
          <w:szCs w:val="18"/>
        </w:rPr>
        <w:t xml:space="preserve">En el modelo de integración vertical, los costos minoristas se consideran como parte integral de los servicios de red y se incluyen en los costos del servicio a través de un </w:t>
      </w:r>
      <w:r w:rsidRPr="00C759D0">
        <w:rPr>
          <w:rFonts w:ascii="Arial" w:hAnsi="Arial" w:cs="Arial"/>
          <w:i/>
          <w:sz w:val="18"/>
          <w:szCs w:val="18"/>
        </w:rPr>
        <w:t>mark-up</w:t>
      </w:r>
      <w:r w:rsidRPr="00C759D0">
        <w:rPr>
          <w:rFonts w:ascii="Arial" w:hAnsi="Arial" w:cs="Arial"/>
          <w:sz w:val="18"/>
          <w:szCs w:val="18"/>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2B9E8F4E" w14:textId="77777777" w:rsidR="00D7562B" w:rsidRDefault="00D7562B" w:rsidP="00CC0143">
      <w:pPr>
        <w:spacing w:after="0"/>
        <w:jc w:val="both"/>
        <w:rPr>
          <w:rFonts w:ascii="Arial" w:hAnsi="Arial" w:cs="Arial"/>
          <w:sz w:val="18"/>
          <w:szCs w:val="18"/>
        </w:rPr>
      </w:pPr>
    </w:p>
    <w:p w14:paraId="75465A2F" w14:textId="1B7D291A" w:rsidR="006172B4" w:rsidRDefault="006172B4" w:rsidP="00CC0143">
      <w:pPr>
        <w:spacing w:after="0"/>
        <w:jc w:val="both"/>
        <w:rPr>
          <w:rFonts w:ascii="Arial" w:hAnsi="Arial" w:cs="Arial"/>
          <w:sz w:val="18"/>
          <w:szCs w:val="18"/>
        </w:rPr>
      </w:pPr>
      <w:r w:rsidRPr="001B525F">
        <w:rPr>
          <w:rFonts w:ascii="Arial" w:hAnsi="Arial" w:cs="Arial"/>
          <w:sz w:val="18"/>
          <w:szCs w:val="18"/>
        </w:rPr>
        <w:t>Este aspecto se describe a continuación.</w:t>
      </w:r>
    </w:p>
    <w:p w14:paraId="38B3D2DB" w14:textId="77777777" w:rsidR="008E1E06" w:rsidRPr="001B525F" w:rsidRDefault="008E1E06" w:rsidP="00CC0143">
      <w:pPr>
        <w:spacing w:after="0"/>
        <w:jc w:val="both"/>
        <w:rPr>
          <w:rFonts w:ascii="Arial" w:hAnsi="Arial" w:cs="Arial"/>
          <w:sz w:val="18"/>
          <w:szCs w:val="18"/>
        </w:rPr>
      </w:pPr>
    </w:p>
    <w:p w14:paraId="26FEAED1" w14:textId="1E7CC024" w:rsidR="006172B4" w:rsidRPr="001B525F" w:rsidRDefault="00054632" w:rsidP="00602CAB">
      <w:pPr>
        <w:spacing w:after="0"/>
        <w:jc w:val="center"/>
        <w:rPr>
          <w:rFonts w:ascii="Arial" w:hAnsi="Arial" w:cs="Arial"/>
          <w:sz w:val="18"/>
          <w:szCs w:val="18"/>
        </w:rPr>
      </w:pPr>
      <w:r w:rsidRPr="00D32A7C">
        <w:rPr>
          <w:rFonts w:ascii="Arial" w:hAnsi="Arial" w:cs="Arial"/>
          <w:noProof/>
          <w:lang w:eastAsia="es-MX"/>
        </w:rPr>
        <w:lastRenderedPageBreak/>
        <w:drawing>
          <wp:inline distT="0" distB="0" distL="0" distR="0" wp14:anchorId="32E3EBBD" wp14:editId="6CD77026">
            <wp:extent cx="2827769" cy="1679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w="12700">
                      <a:noFill/>
                    </a:ln>
                  </pic:spPr>
                </pic:pic>
              </a:graphicData>
            </a:graphic>
          </wp:inline>
        </w:drawing>
      </w:r>
    </w:p>
    <w:p w14:paraId="528FC2A2" w14:textId="30AA3251" w:rsidR="006172B4" w:rsidRPr="001B525F" w:rsidRDefault="006172B4" w:rsidP="00CC0143">
      <w:pPr>
        <w:spacing w:after="0"/>
        <w:ind w:left="426"/>
        <w:jc w:val="center"/>
        <w:rPr>
          <w:rFonts w:ascii="Arial" w:hAnsi="Arial" w:cs="Arial"/>
          <w:sz w:val="18"/>
          <w:szCs w:val="18"/>
        </w:rPr>
      </w:pPr>
      <w:r w:rsidRPr="001B525F">
        <w:rPr>
          <w:rFonts w:ascii="Arial" w:hAnsi="Arial" w:cs="Arial"/>
          <w:sz w:val="18"/>
          <w:szCs w:val="18"/>
        </w:rPr>
        <w:t xml:space="preserve">Figura </w:t>
      </w:r>
      <w:r w:rsidR="00E20C0D">
        <w:rPr>
          <w:rFonts w:ascii="Arial" w:hAnsi="Arial" w:cs="Arial"/>
          <w:sz w:val="18"/>
          <w:szCs w:val="18"/>
        </w:rPr>
        <w:t>5</w:t>
      </w:r>
      <w:r w:rsidRPr="001B525F">
        <w:rPr>
          <w:rFonts w:ascii="Arial" w:hAnsi="Arial" w:cs="Arial"/>
          <w:sz w:val="18"/>
          <w:szCs w:val="18"/>
        </w:rPr>
        <w:t>. Costos mayoristas o minoristas.</w:t>
      </w:r>
    </w:p>
    <w:p w14:paraId="702AA8ED" w14:textId="77777777" w:rsidR="006172B4" w:rsidRPr="001B525F" w:rsidRDefault="006172B4" w:rsidP="00CC0143">
      <w:pPr>
        <w:spacing w:after="0"/>
        <w:ind w:left="426"/>
        <w:jc w:val="both"/>
        <w:rPr>
          <w:rFonts w:ascii="Arial" w:hAnsi="Arial" w:cs="Arial"/>
          <w:sz w:val="18"/>
          <w:szCs w:val="18"/>
        </w:rPr>
      </w:pPr>
    </w:p>
    <w:p w14:paraId="179E5050" w14:textId="77777777" w:rsidR="00C759D0" w:rsidRPr="00C759D0" w:rsidRDefault="00C759D0" w:rsidP="00C759D0">
      <w:pPr>
        <w:spacing w:after="0"/>
        <w:jc w:val="both"/>
        <w:rPr>
          <w:rFonts w:ascii="Arial" w:hAnsi="Arial" w:cs="Arial"/>
          <w:sz w:val="18"/>
          <w:szCs w:val="18"/>
        </w:rPr>
      </w:pPr>
      <w:r w:rsidRPr="00C759D0">
        <w:rPr>
          <w:rFonts w:ascii="Arial" w:hAnsi="Arial" w:cs="Arial"/>
          <w:sz w:val="18"/>
          <w:szCs w:val="18"/>
        </w:rPr>
        <w:t xml:space="preserve">En la Metodología de Costos el Instituto regula los servicios de interconexión entre los que se encuentran los de conducción de tráfico y tránsito que son materia del Modelo Fijo y del Modelo Móvil, es así como únicamente se consideran los costos que son relevantes para la prestación de los servicios mayoristas de un negocio verticalmente separado que se pretenden regular con el desarrollo del modelo. </w:t>
      </w:r>
    </w:p>
    <w:p w14:paraId="2F7BCB08" w14:textId="77777777" w:rsidR="00C759D0" w:rsidRPr="00C759D0" w:rsidRDefault="00C759D0" w:rsidP="00C759D0">
      <w:pPr>
        <w:spacing w:after="0"/>
        <w:ind w:left="426"/>
        <w:jc w:val="both"/>
        <w:rPr>
          <w:rFonts w:ascii="Arial" w:hAnsi="Arial" w:cs="Arial"/>
          <w:sz w:val="18"/>
          <w:szCs w:val="18"/>
        </w:rPr>
      </w:pPr>
    </w:p>
    <w:p w14:paraId="3B28ADB3" w14:textId="1A6ECD7D" w:rsidR="00C759D0" w:rsidRPr="00C759D0" w:rsidRDefault="00C759D0" w:rsidP="00C759D0">
      <w:pPr>
        <w:spacing w:after="0"/>
        <w:jc w:val="both"/>
        <w:rPr>
          <w:rFonts w:ascii="Arial" w:hAnsi="Arial" w:cs="Arial"/>
          <w:sz w:val="18"/>
          <w:szCs w:val="18"/>
        </w:rPr>
      </w:pPr>
      <w:r w:rsidRPr="00C759D0">
        <w:rPr>
          <w:rFonts w:ascii="Arial" w:hAnsi="Arial" w:cs="Arial"/>
          <w:sz w:val="18"/>
          <w:szCs w:val="18"/>
        </w:rPr>
        <w:t>Sin embargo, los costos comunes a las actividades de red y minoristas pueden ser recuperados a través de los servicios de red mayoristas y los servicios minoristas en el caso de un modelo C</w:t>
      </w:r>
      <w:r w:rsidR="00B64EDE">
        <w:rPr>
          <w:rFonts w:ascii="Arial" w:hAnsi="Arial" w:cs="Arial"/>
          <w:sz w:val="18"/>
          <w:szCs w:val="18"/>
        </w:rPr>
        <w:t xml:space="preserve">ostos </w:t>
      </w:r>
      <w:r w:rsidR="00416700">
        <w:rPr>
          <w:rFonts w:ascii="Arial" w:hAnsi="Arial" w:cs="Arial"/>
          <w:sz w:val="18"/>
          <w:szCs w:val="18"/>
        </w:rPr>
        <w:t xml:space="preserve">Incrementales Totales </w:t>
      </w:r>
      <w:r w:rsidRPr="00C759D0">
        <w:rPr>
          <w:rFonts w:ascii="Arial" w:hAnsi="Arial" w:cs="Arial"/>
          <w:sz w:val="18"/>
          <w:szCs w:val="18"/>
        </w:rPr>
        <w:t>P</w:t>
      </w:r>
      <w:r w:rsidR="00416700">
        <w:rPr>
          <w:rFonts w:ascii="Arial" w:hAnsi="Arial" w:cs="Arial"/>
          <w:sz w:val="18"/>
          <w:szCs w:val="18"/>
        </w:rPr>
        <w:t xml:space="preserve">romedio de </w:t>
      </w:r>
      <w:r w:rsidRPr="00C759D0">
        <w:rPr>
          <w:rFonts w:ascii="Arial" w:hAnsi="Arial" w:cs="Arial"/>
          <w:sz w:val="18"/>
          <w:szCs w:val="18"/>
        </w:rPr>
        <w:t>L</w:t>
      </w:r>
      <w:r w:rsidR="00416700">
        <w:rPr>
          <w:rFonts w:ascii="Arial" w:hAnsi="Arial" w:cs="Arial"/>
          <w:sz w:val="18"/>
          <w:szCs w:val="18"/>
        </w:rPr>
        <w:t>argo P</w:t>
      </w:r>
      <w:r w:rsidR="00EF2117">
        <w:rPr>
          <w:rFonts w:ascii="Arial" w:hAnsi="Arial" w:cs="Arial"/>
          <w:sz w:val="18"/>
          <w:szCs w:val="18"/>
        </w:rPr>
        <w:t>la</w:t>
      </w:r>
      <w:r w:rsidR="00416700">
        <w:rPr>
          <w:rFonts w:ascii="Arial" w:hAnsi="Arial" w:cs="Arial"/>
          <w:sz w:val="18"/>
          <w:szCs w:val="18"/>
        </w:rPr>
        <w:t>zo</w:t>
      </w:r>
      <w:r w:rsidR="005E3300">
        <w:rPr>
          <w:rFonts w:ascii="Arial" w:hAnsi="Arial" w:cs="Arial"/>
          <w:sz w:val="18"/>
          <w:szCs w:val="18"/>
        </w:rPr>
        <w:t xml:space="preserve"> (en lo sucesivo, “CITPLP”)</w:t>
      </w:r>
      <w:r w:rsidRPr="00C759D0">
        <w:rPr>
          <w:rFonts w:ascii="Arial" w:hAnsi="Arial" w:cs="Arial"/>
          <w:sz w:val="18"/>
          <w:szCs w:val="18"/>
        </w:rPr>
        <w:t xml:space="preserve"> (tratados como un </w:t>
      </w:r>
      <w:r w:rsidRPr="00C759D0">
        <w:rPr>
          <w:rFonts w:ascii="Arial" w:hAnsi="Arial" w:cs="Arial"/>
          <w:i/>
          <w:sz w:val="18"/>
          <w:szCs w:val="18"/>
        </w:rPr>
        <w:t>mark-up</w:t>
      </w:r>
      <w:r w:rsidRPr="00C759D0">
        <w:rPr>
          <w:rFonts w:ascii="Arial" w:hAnsi="Arial" w:cs="Arial"/>
          <w:sz w:val="18"/>
          <w:szCs w:val="18"/>
        </w:rPr>
        <w:t xml:space="preserve"> del resultado) pero no en el caso de un modelo CILP Puro. </w:t>
      </w:r>
    </w:p>
    <w:p w14:paraId="229C83EC" w14:textId="77777777" w:rsidR="00C759D0" w:rsidRPr="00C759D0" w:rsidRDefault="00C759D0" w:rsidP="00C759D0">
      <w:pPr>
        <w:spacing w:after="0"/>
        <w:jc w:val="both"/>
        <w:rPr>
          <w:rFonts w:ascii="Arial" w:hAnsi="Arial" w:cs="Arial"/>
          <w:sz w:val="18"/>
          <w:szCs w:val="18"/>
        </w:rPr>
      </w:pPr>
    </w:p>
    <w:p w14:paraId="697DAAAE" w14:textId="77777777" w:rsidR="00C759D0" w:rsidRPr="00C759D0" w:rsidRDefault="00C759D0" w:rsidP="00C759D0">
      <w:pPr>
        <w:spacing w:after="0"/>
        <w:jc w:val="both"/>
        <w:rPr>
          <w:rFonts w:ascii="Arial" w:hAnsi="Arial" w:cs="Arial"/>
          <w:sz w:val="18"/>
          <w:szCs w:val="18"/>
        </w:rPr>
      </w:pPr>
      <w:r w:rsidRPr="00C759D0">
        <w:rPr>
          <w:rFonts w:ascii="Arial" w:hAnsi="Arial" w:cs="Arial"/>
          <w:sz w:val="18"/>
          <w:szCs w:val="18"/>
        </w:rPr>
        <w:t>Un enfoque de separación vertical resulta en la exclusión de bastantes costos no relacionados con la red de los costos de terminación. Sin embargo, trae consigo la necesidad de determinar el tamaño relativo de los costos económicos de las actividades minoristas con el fin de determinar la magnitud de los costos generales (</w:t>
      </w:r>
      <w:r w:rsidRPr="00C759D0">
        <w:rPr>
          <w:rFonts w:ascii="Arial" w:hAnsi="Arial" w:cs="Arial"/>
          <w:i/>
          <w:sz w:val="18"/>
          <w:szCs w:val="18"/>
        </w:rPr>
        <w:t>business overheads</w:t>
      </w:r>
      <w:r w:rsidRPr="00C759D0">
        <w:rPr>
          <w:rFonts w:ascii="Arial" w:hAnsi="Arial" w:cs="Arial"/>
          <w:sz w:val="18"/>
          <w:szCs w:val="18"/>
        </w:rPr>
        <w:t xml:space="preserve">, en inglés) a añadir a los costos de red incrementales. </w:t>
      </w:r>
    </w:p>
    <w:p w14:paraId="1509CD06" w14:textId="77777777" w:rsidR="00C759D0" w:rsidRPr="00C759D0" w:rsidRDefault="00C759D0" w:rsidP="00C759D0">
      <w:pPr>
        <w:spacing w:after="0"/>
        <w:ind w:left="426"/>
        <w:jc w:val="both"/>
        <w:rPr>
          <w:rFonts w:ascii="Arial" w:hAnsi="Arial" w:cs="Arial"/>
          <w:sz w:val="18"/>
          <w:szCs w:val="18"/>
        </w:rPr>
      </w:pPr>
    </w:p>
    <w:p w14:paraId="4426DA80" w14:textId="0D926B34" w:rsidR="006172B4" w:rsidRPr="00C759D0" w:rsidRDefault="00C759D0" w:rsidP="00C759D0">
      <w:pPr>
        <w:spacing w:after="0"/>
        <w:jc w:val="both"/>
        <w:rPr>
          <w:rFonts w:ascii="Arial" w:hAnsi="Arial" w:cs="Arial"/>
          <w:sz w:val="18"/>
          <w:szCs w:val="18"/>
        </w:rPr>
      </w:pPr>
      <w:r w:rsidRPr="00C759D0">
        <w:rPr>
          <w:rFonts w:ascii="Arial" w:hAnsi="Arial" w:cs="Arial"/>
          <w:sz w:val="18"/>
          <w:szCs w:val="18"/>
        </w:rPr>
        <w:t>El modelo calculará los costos de red, incluyendo los costos generales en el caso de los servicios sujetos a una metodología CI</w:t>
      </w:r>
      <w:r w:rsidR="002A11FA">
        <w:rPr>
          <w:rFonts w:ascii="Arial" w:hAnsi="Arial" w:cs="Arial"/>
          <w:sz w:val="18"/>
          <w:szCs w:val="18"/>
        </w:rPr>
        <w:t>T</w:t>
      </w:r>
      <w:r w:rsidRPr="00C759D0">
        <w:rPr>
          <w:rFonts w:ascii="Arial" w:hAnsi="Arial" w:cs="Arial"/>
          <w:sz w:val="18"/>
          <w:szCs w:val="18"/>
        </w:rPr>
        <w:t>PLP. La proporción de gastos generales comunes que corresponde a la red se recupera como un costo operativo, que se revisa anualmente con la inflación y se distribuye entre todos los servicios en el caso de un modelo CI</w:t>
      </w:r>
      <w:r w:rsidR="002A11FA">
        <w:rPr>
          <w:rFonts w:ascii="Arial" w:hAnsi="Arial" w:cs="Arial"/>
          <w:sz w:val="18"/>
          <w:szCs w:val="18"/>
        </w:rPr>
        <w:t>T</w:t>
      </w:r>
      <w:r w:rsidRPr="00C759D0">
        <w:rPr>
          <w:rFonts w:ascii="Arial" w:hAnsi="Arial" w:cs="Arial"/>
          <w:sz w:val="18"/>
          <w:szCs w:val="18"/>
        </w:rPr>
        <w:t>PLP, pero se excluyen de los gastos distribuibles al servicio de terminación en un modelo CILP puro. El modelo excluye los costos de naturaleza minorista.</w:t>
      </w:r>
    </w:p>
    <w:p w14:paraId="1B8E9146" w14:textId="77777777" w:rsidR="00C759D0" w:rsidRPr="001B525F" w:rsidRDefault="00C759D0" w:rsidP="00C759D0">
      <w:pPr>
        <w:spacing w:after="0"/>
        <w:ind w:left="426"/>
        <w:jc w:val="both"/>
        <w:rPr>
          <w:rFonts w:ascii="Arial" w:hAnsi="Arial" w:cs="Arial"/>
          <w:sz w:val="18"/>
          <w:szCs w:val="18"/>
        </w:rPr>
      </w:pPr>
    </w:p>
    <w:p w14:paraId="2199432F" w14:textId="77777777" w:rsidR="006172B4" w:rsidRPr="001B525F" w:rsidRDefault="006172B4" w:rsidP="00CC0143">
      <w:pPr>
        <w:spacing w:after="0"/>
        <w:jc w:val="both"/>
        <w:rPr>
          <w:rFonts w:ascii="Arial" w:hAnsi="Arial" w:cs="Arial"/>
          <w:b/>
          <w:sz w:val="18"/>
          <w:szCs w:val="18"/>
        </w:rPr>
      </w:pPr>
      <w:r w:rsidRPr="001B525F">
        <w:rPr>
          <w:rFonts w:ascii="Arial" w:hAnsi="Arial" w:cs="Arial"/>
          <w:b/>
          <w:sz w:val="18"/>
          <w:szCs w:val="18"/>
        </w:rPr>
        <w:t>1.4 Aspectos relacionados con la implementación de los modelos</w:t>
      </w:r>
    </w:p>
    <w:p w14:paraId="0FB31E05" w14:textId="77777777" w:rsidR="006172B4" w:rsidRPr="001B525F" w:rsidRDefault="006172B4" w:rsidP="00CC0143">
      <w:pPr>
        <w:spacing w:after="0"/>
        <w:ind w:left="426"/>
        <w:jc w:val="both"/>
        <w:rPr>
          <w:rFonts w:ascii="Arial" w:hAnsi="Arial" w:cs="Arial"/>
          <w:b/>
          <w:sz w:val="18"/>
          <w:szCs w:val="18"/>
        </w:rPr>
      </w:pPr>
    </w:p>
    <w:p w14:paraId="65936547"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Selección del incremento de servicio</w:t>
      </w:r>
    </w:p>
    <w:p w14:paraId="62A14F39" w14:textId="77777777" w:rsidR="006172B4" w:rsidRPr="001B525F" w:rsidRDefault="006172B4" w:rsidP="00CC0143">
      <w:pPr>
        <w:spacing w:after="0"/>
        <w:rPr>
          <w:rFonts w:ascii="Arial" w:hAnsi="Arial" w:cs="Arial"/>
          <w:b/>
          <w:sz w:val="18"/>
          <w:szCs w:val="18"/>
        </w:rPr>
      </w:pPr>
    </w:p>
    <w:p w14:paraId="61693644"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r w:rsidRPr="001B525F">
        <w:rPr>
          <w:rFonts w:ascii="Arial" w:hAnsi="Arial" w:cs="Arial"/>
          <w:i/>
          <w:spacing w:val="-4"/>
          <w:sz w:val="18"/>
          <w:szCs w:val="18"/>
        </w:rPr>
        <w:t>mark-up</w:t>
      </w:r>
      <w:r w:rsidRPr="001B525F">
        <w:rPr>
          <w:rFonts w:ascii="Arial" w:hAnsi="Arial" w:cs="Arial"/>
          <w:spacing w:val="-4"/>
          <w:sz w:val="18"/>
          <w:szCs w:val="18"/>
        </w:rPr>
        <w:t xml:space="preserve"> (si se incluyen los costos comunes). El tamaño y número del incremento afecta la complejidad</w:t>
      </w:r>
      <w:r w:rsidRPr="001B525F">
        <w:rPr>
          <w:rFonts w:ascii="Arial" w:hAnsi="Arial" w:cs="Arial"/>
          <w:spacing w:val="-4"/>
          <w:sz w:val="18"/>
          <w:szCs w:val="18"/>
          <w:vertAlign w:val="superscript"/>
        </w:rPr>
        <w:footnoteReference w:id="20"/>
      </w:r>
      <w:r w:rsidRPr="001B525F">
        <w:rPr>
          <w:rFonts w:ascii="Arial" w:hAnsi="Arial" w:cs="Arial"/>
          <w:spacing w:val="-4"/>
          <w:sz w:val="18"/>
          <w:szCs w:val="18"/>
          <w:vertAlign w:val="superscript"/>
        </w:rPr>
        <w:t xml:space="preserve"> </w:t>
      </w:r>
      <w:r w:rsidRPr="001B525F">
        <w:rPr>
          <w:rFonts w:ascii="Arial" w:hAnsi="Arial" w:cs="Arial"/>
          <w:spacing w:val="-4"/>
          <w:sz w:val="18"/>
          <w:szCs w:val="18"/>
        </w:rPr>
        <w:t>de los resultados y la magnitud</w:t>
      </w:r>
      <w:r w:rsidRPr="001B525F">
        <w:rPr>
          <w:rFonts w:ascii="Arial" w:hAnsi="Arial" w:cs="Arial"/>
          <w:spacing w:val="-4"/>
          <w:sz w:val="18"/>
          <w:szCs w:val="18"/>
          <w:vertAlign w:val="superscript"/>
        </w:rPr>
        <w:footnoteReference w:id="21"/>
      </w:r>
      <w:r w:rsidRPr="001B525F">
        <w:rPr>
          <w:rFonts w:ascii="Arial" w:hAnsi="Arial" w:cs="Arial"/>
          <w:spacing w:val="-4"/>
          <w:sz w:val="18"/>
          <w:szCs w:val="18"/>
        </w:rPr>
        <w:t xml:space="preserve"> de los costos resultantes.</w:t>
      </w:r>
    </w:p>
    <w:p w14:paraId="1C53B283" w14:textId="77777777" w:rsidR="006172B4" w:rsidRPr="001B525F" w:rsidRDefault="006172B4" w:rsidP="00CC0143">
      <w:pPr>
        <w:spacing w:after="0"/>
        <w:rPr>
          <w:rFonts w:ascii="Arial" w:hAnsi="Arial" w:cs="Arial"/>
          <w:b/>
          <w:sz w:val="18"/>
          <w:szCs w:val="18"/>
        </w:rPr>
      </w:pPr>
    </w:p>
    <w:p w14:paraId="51F3FCF8" w14:textId="039C5C74" w:rsidR="006172B4" w:rsidRPr="001B525F" w:rsidRDefault="006172B4" w:rsidP="00CC0143">
      <w:pPr>
        <w:spacing w:after="0"/>
        <w:rPr>
          <w:rFonts w:ascii="Arial" w:hAnsi="Arial" w:cs="Arial"/>
          <w:b/>
          <w:sz w:val="18"/>
          <w:szCs w:val="18"/>
        </w:rPr>
      </w:pPr>
      <w:r w:rsidRPr="001B525F">
        <w:rPr>
          <w:rFonts w:ascii="Arial" w:hAnsi="Arial" w:cs="Arial"/>
          <w:b/>
          <w:sz w:val="18"/>
          <w:szCs w:val="18"/>
        </w:rPr>
        <w:t>Enfoque CIT</w:t>
      </w:r>
      <w:r w:rsidR="002C596E">
        <w:rPr>
          <w:rFonts w:ascii="Arial" w:hAnsi="Arial" w:cs="Arial"/>
          <w:b/>
          <w:sz w:val="18"/>
          <w:szCs w:val="18"/>
        </w:rPr>
        <w:t>P</w:t>
      </w:r>
      <w:r w:rsidRPr="001B525F">
        <w:rPr>
          <w:rFonts w:ascii="Arial" w:hAnsi="Arial" w:cs="Arial"/>
          <w:b/>
          <w:sz w:val="18"/>
          <w:szCs w:val="18"/>
        </w:rPr>
        <w:t xml:space="preserve">LP </w:t>
      </w:r>
    </w:p>
    <w:p w14:paraId="183C8479" w14:textId="77777777" w:rsidR="006172B4" w:rsidRPr="001B525F" w:rsidRDefault="006172B4" w:rsidP="00CC0143">
      <w:pPr>
        <w:spacing w:after="0"/>
        <w:rPr>
          <w:rFonts w:ascii="Arial" w:hAnsi="Arial" w:cs="Arial"/>
          <w:b/>
          <w:sz w:val="18"/>
          <w:szCs w:val="18"/>
        </w:rPr>
      </w:pPr>
    </w:p>
    <w:p w14:paraId="7A150B24" w14:textId="4020C6B8"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El costo incremental total promedio de largo plazo</w:t>
      </w:r>
      <w:r w:rsidRPr="00BB1460">
        <w:rPr>
          <w:rFonts w:ascii="Arial" w:hAnsi="Arial" w:cs="Arial"/>
          <w:spacing w:val="-4"/>
          <w:sz w:val="18"/>
          <w:szCs w:val="18"/>
          <w:vertAlign w:val="superscript"/>
        </w:rPr>
        <w:footnoteReference w:id="22"/>
      </w:r>
      <w:r w:rsidRPr="00BB1460">
        <w:rPr>
          <w:rFonts w:ascii="Arial" w:hAnsi="Arial" w:cs="Arial"/>
          <w:spacing w:val="-4"/>
          <w:sz w:val="18"/>
          <w:szCs w:val="18"/>
        </w:rPr>
        <w:t xml:space="preserve"> (CIT</w:t>
      </w:r>
      <w:r w:rsidR="009022DD">
        <w:rPr>
          <w:rFonts w:ascii="Arial" w:hAnsi="Arial" w:cs="Arial"/>
          <w:spacing w:val="-4"/>
          <w:sz w:val="18"/>
          <w:szCs w:val="18"/>
        </w:rPr>
        <w:t>P</w:t>
      </w:r>
      <w:r w:rsidRPr="00BB1460">
        <w:rPr>
          <w:rFonts w:ascii="Arial" w:hAnsi="Arial" w:cs="Arial"/>
          <w:spacing w:val="-4"/>
          <w:sz w:val="18"/>
          <w:szCs w:val="18"/>
        </w:rPr>
        <w:t xml:space="preserve">LP, CIPLP+ o LRAIC+)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14595BAB" w14:textId="77777777" w:rsidR="00BB1460" w:rsidRPr="00BB1460" w:rsidRDefault="00BB1460" w:rsidP="00BB1460">
      <w:pPr>
        <w:spacing w:after="0"/>
        <w:jc w:val="both"/>
        <w:rPr>
          <w:rFonts w:ascii="Arial" w:hAnsi="Arial" w:cs="Arial"/>
          <w:spacing w:val="-4"/>
          <w:sz w:val="18"/>
          <w:szCs w:val="18"/>
        </w:rPr>
      </w:pPr>
    </w:p>
    <w:p w14:paraId="431E5EB3" w14:textId="77777777"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La adopción de un gran incremento – en general alguna forma de “tráfico” agregado – significa que todos los servicios que son suministrados se tratan juntos y con igualdad.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7F23DFFA" w14:textId="77777777" w:rsidR="00BB1460" w:rsidRPr="00BB1460" w:rsidRDefault="00BB1460" w:rsidP="00BB1460">
      <w:pPr>
        <w:spacing w:after="0"/>
        <w:jc w:val="both"/>
        <w:rPr>
          <w:rFonts w:ascii="Arial" w:hAnsi="Arial" w:cs="Arial"/>
          <w:spacing w:val="-4"/>
          <w:sz w:val="18"/>
          <w:szCs w:val="18"/>
        </w:rPr>
      </w:pPr>
    </w:p>
    <w:p w14:paraId="1E5469B1" w14:textId="77777777"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2767661F" w14:textId="77777777" w:rsidR="00BB1460" w:rsidRPr="00BB1460" w:rsidRDefault="00BB1460" w:rsidP="00BB1460">
      <w:pPr>
        <w:spacing w:after="0"/>
        <w:jc w:val="both"/>
        <w:rPr>
          <w:rFonts w:ascii="Arial" w:hAnsi="Arial" w:cs="Arial"/>
          <w:spacing w:val="-4"/>
          <w:sz w:val="18"/>
          <w:szCs w:val="18"/>
        </w:rPr>
      </w:pPr>
    </w:p>
    <w:p w14:paraId="44C57D4A" w14:textId="77777777"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Un método generalmente utilizado debido a su objetividad y facilidad de implementación para la repartición de costos comunes es el de Márgenes Equiproporcionales (EPMU), mismo que es consistente con las prácticas regulatorias a nivel mundial.</w:t>
      </w:r>
    </w:p>
    <w:p w14:paraId="67646B67" w14:textId="77777777" w:rsidR="00BB1460" w:rsidRPr="00BB1460" w:rsidRDefault="00BB1460" w:rsidP="00BB1460">
      <w:pPr>
        <w:spacing w:after="0"/>
        <w:jc w:val="both"/>
        <w:rPr>
          <w:rFonts w:ascii="Arial" w:hAnsi="Arial" w:cs="Arial"/>
          <w:spacing w:val="-4"/>
          <w:sz w:val="18"/>
          <w:szCs w:val="18"/>
        </w:rPr>
      </w:pPr>
    </w:p>
    <w:p w14:paraId="1279415C" w14:textId="026DCE2F"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 xml:space="preserve">En el modelo de costos se emplea el método EPMU para distribuir los costos comunes a cada servicio </w:t>
      </w:r>
      <w:r w:rsidR="00FF1893">
        <w:rPr>
          <w:rFonts w:ascii="Arial" w:hAnsi="Arial" w:cs="Arial"/>
          <w:spacing w:val="-4"/>
          <w:sz w:val="18"/>
          <w:szCs w:val="18"/>
        </w:rPr>
        <w:t xml:space="preserve">bajo la aplicación de la metodología de </w:t>
      </w:r>
      <w:r w:rsidRPr="00BB1460">
        <w:rPr>
          <w:rFonts w:ascii="Arial" w:hAnsi="Arial" w:cs="Arial"/>
          <w:spacing w:val="-4"/>
          <w:sz w:val="18"/>
          <w:szCs w:val="18"/>
        </w:rPr>
        <w:t xml:space="preserve"> CIT</w:t>
      </w:r>
      <w:r w:rsidR="00AA1053">
        <w:rPr>
          <w:rFonts w:ascii="Arial" w:hAnsi="Arial" w:cs="Arial"/>
          <w:spacing w:val="-4"/>
          <w:sz w:val="18"/>
          <w:szCs w:val="18"/>
        </w:rPr>
        <w:t>P</w:t>
      </w:r>
      <w:r w:rsidRPr="00BB1460">
        <w:rPr>
          <w:rFonts w:ascii="Arial" w:hAnsi="Arial" w:cs="Arial"/>
          <w:spacing w:val="-4"/>
          <w:sz w:val="18"/>
          <w:szCs w:val="18"/>
        </w:rPr>
        <w:t xml:space="preserve">LP </w:t>
      </w:r>
      <w:r w:rsidR="00FF1893">
        <w:rPr>
          <w:rFonts w:ascii="Arial" w:hAnsi="Arial" w:cs="Arial"/>
          <w:spacing w:val="-4"/>
          <w:sz w:val="18"/>
          <w:szCs w:val="18"/>
        </w:rPr>
        <w:t>que incluye el modelo,</w:t>
      </w:r>
      <w:r w:rsidRPr="00BB1460">
        <w:rPr>
          <w:rFonts w:ascii="Arial" w:hAnsi="Arial" w:cs="Arial"/>
          <w:spacing w:val="-4"/>
          <w:sz w:val="18"/>
          <w:szCs w:val="18"/>
        </w:rPr>
        <w:t xml:space="preserve"> pero se excluirá el </w:t>
      </w:r>
      <w:r w:rsidRPr="00BB1460">
        <w:rPr>
          <w:rFonts w:ascii="Arial" w:hAnsi="Arial" w:cs="Arial"/>
          <w:i/>
          <w:spacing w:val="-4"/>
          <w:sz w:val="18"/>
          <w:szCs w:val="18"/>
        </w:rPr>
        <w:t>mark-up</w:t>
      </w:r>
      <w:r w:rsidRPr="00BB1460">
        <w:rPr>
          <w:rFonts w:ascii="Arial" w:hAnsi="Arial" w:cs="Arial"/>
          <w:spacing w:val="-4"/>
          <w:sz w:val="18"/>
          <w:szCs w:val="18"/>
        </w:rPr>
        <w:t xml:space="preserve"> </w:t>
      </w:r>
      <w:r w:rsidR="00FF1893">
        <w:rPr>
          <w:rFonts w:ascii="Arial" w:hAnsi="Arial" w:cs="Arial"/>
          <w:spacing w:val="-4"/>
          <w:sz w:val="18"/>
          <w:szCs w:val="18"/>
        </w:rPr>
        <w:t>para la aplicación de la metodología de</w:t>
      </w:r>
      <w:r w:rsidRPr="00BB1460">
        <w:rPr>
          <w:rFonts w:ascii="Arial" w:hAnsi="Arial" w:cs="Arial"/>
          <w:spacing w:val="-4"/>
          <w:sz w:val="18"/>
          <w:szCs w:val="18"/>
        </w:rPr>
        <w:t xml:space="preserve"> CILP </w:t>
      </w:r>
      <w:r w:rsidR="00C93436">
        <w:rPr>
          <w:rFonts w:ascii="Arial" w:hAnsi="Arial" w:cs="Arial"/>
          <w:spacing w:val="-4"/>
          <w:sz w:val="18"/>
          <w:szCs w:val="18"/>
        </w:rPr>
        <w:t>P</w:t>
      </w:r>
      <w:r w:rsidRPr="00BB1460">
        <w:rPr>
          <w:rFonts w:ascii="Arial" w:hAnsi="Arial" w:cs="Arial"/>
          <w:spacing w:val="-4"/>
          <w:sz w:val="18"/>
          <w:szCs w:val="18"/>
        </w:rPr>
        <w:t>uro</w:t>
      </w:r>
      <w:r w:rsidR="00FF1893">
        <w:rPr>
          <w:rFonts w:ascii="Arial" w:hAnsi="Arial" w:cs="Arial"/>
          <w:spacing w:val="-4"/>
          <w:sz w:val="18"/>
          <w:szCs w:val="18"/>
        </w:rPr>
        <w:t xml:space="preserve"> incluida en el modelo (es decir, que el modelo de costos es una herramienta capaz de calcular </w:t>
      </w:r>
      <w:r w:rsidR="00635391">
        <w:rPr>
          <w:rFonts w:ascii="Arial" w:hAnsi="Arial" w:cs="Arial"/>
          <w:spacing w:val="-4"/>
          <w:sz w:val="18"/>
          <w:szCs w:val="18"/>
        </w:rPr>
        <w:t>costos derivados de la aplicación de diferentes metodologías</w:t>
      </w:r>
      <w:r w:rsidR="00613059">
        <w:rPr>
          <w:rFonts w:ascii="Arial" w:hAnsi="Arial" w:cs="Arial"/>
          <w:spacing w:val="-4"/>
          <w:sz w:val="18"/>
          <w:szCs w:val="18"/>
        </w:rPr>
        <w:t>,</w:t>
      </w:r>
      <w:r w:rsidR="003B1AA8">
        <w:rPr>
          <w:rFonts w:ascii="Arial" w:hAnsi="Arial" w:cs="Arial"/>
          <w:spacing w:val="-4"/>
          <w:sz w:val="18"/>
          <w:szCs w:val="18"/>
        </w:rPr>
        <w:t xml:space="preserve"> pues partir de este se pued</w:t>
      </w:r>
      <w:r w:rsidR="00613059">
        <w:rPr>
          <w:rFonts w:ascii="Arial" w:hAnsi="Arial" w:cs="Arial"/>
          <w:spacing w:val="-4"/>
          <w:sz w:val="18"/>
          <w:szCs w:val="18"/>
        </w:rPr>
        <w:t>e</w:t>
      </w:r>
      <w:r w:rsidR="003B1AA8">
        <w:rPr>
          <w:rFonts w:ascii="Arial" w:hAnsi="Arial" w:cs="Arial"/>
          <w:spacing w:val="-4"/>
          <w:sz w:val="18"/>
          <w:szCs w:val="18"/>
        </w:rPr>
        <w:t xml:space="preserve"> aplicar la metodología de CITPLP y también la metodología de CILP Puros</w:t>
      </w:r>
      <w:r w:rsidR="00635391">
        <w:rPr>
          <w:rFonts w:ascii="Arial" w:hAnsi="Arial" w:cs="Arial"/>
          <w:spacing w:val="-4"/>
          <w:sz w:val="18"/>
          <w:szCs w:val="18"/>
        </w:rPr>
        <w:t>)</w:t>
      </w:r>
      <w:r w:rsidRPr="00BB1460">
        <w:rPr>
          <w:rFonts w:ascii="Arial" w:hAnsi="Arial" w:cs="Arial"/>
          <w:spacing w:val="-4"/>
          <w:sz w:val="18"/>
          <w:szCs w:val="18"/>
        </w:rPr>
        <w:t xml:space="preserve">. </w:t>
      </w:r>
    </w:p>
    <w:p w14:paraId="50CD3253" w14:textId="77777777" w:rsidR="00BB1460" w:rsidRPr="00BB1460" w:rsidRDefault="00BB1460" w:rsidP="00BB1460">
      <w:pPr>
        <w:spacing w:after="0"/>
        <w:jc w:val="both"/>
        <w:rPr>
          <w:rFonts w:ascii="Arial" w:hAnsi="Arial" w:cs="Arial"/>
          <w:spacing w:val="-4"/>
          <w:sz w:val="18"/>
          <w:szCs w:val="18"/>
        </w:rPr>
      </w:pPr>
    </w:p>
    <w:p w14:paraId="6B107410" w14:textId="77777777"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714188D0" w14:textId="77777777" w:rsidR="00BB1460" w:rsidRPr="00BB1460" w:rsidRDefault="00BB1460" w:rsidP="00BB1460">
      <w:pPr>
        <w:spacing w:after="0"/>
        <w:jc w:val="both"/>
        <w:rPr>
          <w:rFonts w:ascii="Arial" w:hAnsi="Arial" w:cs="Arial"/>
          <w:spacing w:val="-4"/>
          <w:sz w:val="18"/>
          <w:szCs w:val="18"/>
        </w:rPr>
      </w:pPr>
    </w:p>
    <w:p w14:paraId="7A2A8F44" w14:textId="77777777" w:rsidR="00BB1460" w:rsidRPr="00BB1460" w:rsidRDefault="00BB1460" w:rsidP="004A0A71">
      <w:pPr>
        <w:numPr>
          <w:ilvl w:val="0"/>
          <w:numId w:val="15"/>
        </w:numPr>
        <w:spacing w:after="0"/>
        <w:ind w:left="709" w:hanging="357"/>
        <w:jc w:val="both"/>
        <w:rPr>
          <w:rFonts w:ascii="Arial" w:hAnsi="Arial" w:cs="Arial"/>
          <w:spacing w:val="-4"/>
          <w:sz w:val="18"/>
          <w:szCs w:val="18"/>
        </w:rPr>
      </w:pPr>
      <w:r w:rsidRPr="00BB1460">
        <w:rPr>
          <w:rFonts w:ascii="Arial" w:hAnsi="Arial" w:cs="Arial"/>
          <w:spacing w:val="-4"/>
          <w:sz w:val="18"/>
          <w:szCs w:val="18"/>
        </w:rPr>
        <w:t>En una red móvil, un nuevo usuario recibe una tarjeta SIM para poder enviar y recibir tráfico en el punto de concentración (el aire es la interfaz).</w:t>
      </w:r>
    </w:p>
    <w:p w14:paraId="4DC71FB5" w14:textId="77777777" w:rsidR="00BB1460" w:rsidRPr="00BB1460" w:rsidRDefault="00BB1460" w:rsidP="004A0A71">
      <w:pPr>
        <w:numPr>
          <w:ilvl w:val="0"/>
          <w:numId w:val="15"/>
        </w:numPr>
        <w:spacing w:after="0"/>
        <w:ind w:left="709" w:hanging="357"/>
        <w:jc w:val="both"/>
        <w:rPr>
          <w:rFonts w:ascii="Arial" w:hAnsi="Arial" w:cs="Arial"/>
          <w:spacing w:val="-4"/>
          <w:sz w:val="18"/>
          <w:szCs w:val="18"/>
        </w:rPr>
      </w:pPr>
      <w:r w:rsidRPr="00BB1460">
        <w:rPr>
          <w:rFonts w:ascii="Arial" w:hAnsi="Arial" w:cs="Arial"/>
          <w:spacing w:val="-4"/>
          <w:sz w:val="18"/>
          <w:szCs w:val="18"/>
        </w:rPr>
        <w:t>En una red fija, un nuevo usuario requerirá ser conectado a la tarjeta del conmutador, o equivalente en una red de nueva generación, mediante cobre/cable/fibra que vaya del usuario al punto de concentración.</w:t>
      </w:r>
    </w:p>
    <w:p w14:paraId="6B185445" w14:textId="77777777" w:rsidR="00BB1460" w:rsidRPr="00BB1460" w:rsidRDefault="00BB1460" w:rsidP="00BB1460">
      <w:pPr>
        <w:spacing w:after="0"/>
        <w:ind w:left="714"/>
        <w:jc w:val="both"/>
        <w:rPr>
          <w:rFonts w:ascii="Arial" w:hAnsi="Arial" w:cs="Arial"/>
          <w:spacing w:val="-4"/>
          <w:sz w:val="18"/>
          <w:szCs w:val="18"/>
        </w:rPr>
      </w:pPr>
    </w:p>
    <w:p w14:paraId="1F65BC07" w14:textId="77777777"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1CEB0DD2" w14:textId="77777777" w:rsidR="00BB1460" w:rsidRPr="00BB1460" w:rsidRDefault="00BB1460" w:rsidP="00BB1460">
      <w:pPr>
        <w:spacing w:after="0"/>
        <w:jc w:val="both"/>
        <w:rPr>
          <w:rFonts w:ascii="Arial" w:hAnsi="Arial" w:cs="Arial"/>
          <w:spacing w:val="-4"/>
          <w:sz w:val="18"/>
          <w:szCs w:val="18"/>
        </w:rPr>
      </w:pPr>
    </w:p>
    <w:p w14:paraId="007DEA63" w14:textId="77777777" w:rsidR="00BB1460" w:rsidRPr="00BB1460" w:rsidRDefault="00BB1460" w:rsidP="00BB1460">
      <w:pPr>
        <w:spacing w:after="0"/>
        <w:jc w:val="both"/>
        <w:rPr>
          <w:rFonts w:ascii="Arial" w:hAnsi="Arial" w:cs="Arial"/>
          <w:spacing w:val="-4"/>
          <w:sz w:val="18"/>
          <w:szCs w:val="18"/>
        </w:rPr>
      </w:pPr>
      <w:r w:rsidRPr="00BB1460">
        <w:rPr>
          <w:rFonts w:ascii="Arial" w:hAnsi="Arial" w:cs="Arial"/>
          <w:spacing w:val="-4"/>
          <w:sz w:val="18"/>
          <w:szCs w:val="18"/>
        </w:rPr>
        <w:t>En el siguiente diagrama se encuentran reflejados los costos a incluirse siguiendo este método.</w:t>
      </w:r>
    </w:p>
    <w:p w14:paraId="7BCFACC5" w14:textId="77777777" w:rsidR="006172B4" w:rsidRPr="001B525F" w:rsidRDefault="006172B4" w:rsidP="00CC0143">
      <w:pPr>
        <w:spacing w:after="0"/>
        <w:jc w:val="center"/>
        <w:rPr>
          <w:rFonts w:ascii="Arial" w:hAnsi="Arial" w:cs="Arial"/>
          <w:sz w:val="18"/>
          <w:szCs w:val="18"/>
        </w:rPr>
      </w:pPr>
      <w:r w:rsidRPr="007740FC">
        <w:rPr>
          <w:rFonts w:ascii="Arial" w:eastAsia="Times New Roman" w:hAnsi="Arial" w:cs="Arial"/>
          <w:bCs/>
          <w:i/>
          <w:iCs/>
          <w:noProof/>
          <w:sz w:val="18"/>
          <w:szCs w:val="18"/>
          <w:lang w:eastAsia="es-MX"/>
        </w:rPr>
        <w:lastRenderedPageBreak/>
        <w:drawing>
          <wp:inline distT="0" distB="0" distL="0" distR="0" wp14:anchorId="0E99E656" wp14:editId="102D0381">
            <wp:extent cx="4498002" cy="210309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6923F2DB" w14:textId="53DC8685" w:rsidR="006172B4" w:rsidRPr="001B525F" w:rsidRDefault="006172B4" w:rsidP="00CC0143">
      <w:pPr>
        <w:spacing w:after="0"/>
        <w:jc w:val="center"/>
        <w:rPr>
          <w:rFonts w:ascii="Arial" w:hAnsi="Arial" w:cs="Arial"/>
          <w:spacing w:val="-4"/>
          <w:sz w:val="18"/>
          <w:szCs w:val="18"/>
        </w:rPr>
      </w:pPr>
      <w:r w:rsidRPr="001B525F">
        <w:rPr>
          <w:rFonts w:ascii="Arial" w:hAnsi="Arial" w:cs="Arial"/>
          <w:spacing w:val="-4"/>
          <w:sz w:val="18"/>
          <w:szCs w:val="18"/>
        </w:rPr>
        <w:t xml:space="preserve">Figura </w:t>
      </w:r>
      <w:r w:rsidR="00E20C0D">
        <w:rPr>
          <w:rFonts w:ascii="Arial" w:hAnsi="Arial" w:cs="Arial"/>
          <w:spacing w:val="-4"/>
          <w:sz w:val="18"/>
          <w:szCs w:val="18"/>
        </w:rPr>
        <w:t>6</w:t>
      </w:r>
      <w:r w:rsidRPr="001B525F">
        <w:rPr>
          <w:rFonts w:ascii="Arial" w:hAnsi="Arial" w:cs="Arial"/>
          <w:spacing w:val="-4"/>
          <w:sz w:val="18"/>
          <w:szCs w:val="18"/>
        </w:rPr>
        <w:t>. Distribución de costos usando CIPLP Plus.</w:t>
      </w:r>
    </w:p>
    <w:p w14:paraId="2328ADFA" w14:textId="77777777" w:rsidR="006172B4" w:rsidRPr="001B525F" w:rsidRDefault="006172B4" w:rsidP="00CC0143">
      <w:pPr>
        <w:spacing w:after="0"/>
        <w:rPr>
          <w:rFonts w:ascii="Arial" w:hAnsi="Arial" w:cs="Arial"/>
          <w:sz w:val="18"/>
          <w:szCs w:val="18"/>
          <w:lang w:eastAsia="es-ES"/>
        </w:rPr>
      </w:pPr>
    </w:p>
    <w:p w14:paraId="6AA7114E"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Enfoque CILP Puro</w:t>
      </w:r>
    </w:p>
    <w:p w14:paraId="264FD419" w14:textId="77777777" w:rsidR="006172B4" w:rsidRPr="001B525F" w:rsidRDefault="006172B4" w:rsidP="00CC0143">
      <w:pPr>
        <w:spacing w:after="0"/>
        <w:jc w:val="both"/>
        <w:rPr>
          <w:rFonts w:ascii="Arial" w:hAnsi="Arial" w:cs="Arial"/>
          <w:spacing w:val="-4"/>
          <w:sz w:val="18"/>
          <w:szCs w:val="18"/>
        </w:rPr>
      </w:pPr>
    </w:p>
    <w:p w14:paraId="5F88991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costo incremental de largo plazo puro es acorde a los Lineamientos Tercero y Cuarto de la Metodología de Costos, que a la letra establecen:</w:t>
      </w:r>
    </w:p>
    <w:p w14:paraId="16664201" w14:textId="77777777" w:rsidR="006172B4" w:rsidRPr="001B525F" w:rsidRDefault="006172B4" w:rsidP="004A0A71">
      <w:pPr>
        <w:spacing w:after="0"/>
        <w:ind w:left="352"/>
        <w:jc w:val="both"/>
        <w:rPr>
          <w:rFonts w:ascii="Arial" w:hAnsi="Arial" w:cs="Arial"/>
          <w:spacing w:val="-4"/>
          <w:sz w:val="18"/>
          <w:szCs w:val="18"/>
        </w:rPr>
      </w:pPr>
    </w:p>
    <w:p w14:paraId="6BFEE5BF"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r w:rsidRPr="001B525F">
        <w:rPr>
          <w:rFonts w:ascii="Arial" w:eastAsia="Times New Roman" w:hAnsi="Arial" w:cs="Arial"/>
          <w:b/>
          <w:i/>
          <w:sz w:val="16"/>
          <w:szCs w:val="16"/>
          <w:lang w:eastAsia="es-ES"/>
        </w:rPr>
        <w:t xml:space="preserve">TERCERO.- </w:t>
      </w:r>
      <w:r w:rsidRPr="001B525F">
        <w:rPr>
          <w:rFonts w:ascii="Arial" w:eastAsia="Times New Roman" w:hAnsi="Arial" w:cs="Arial"/>
          <w:i/>
          <w:sz w:val="16"/>
          <w:szCs w:val="16"/>
          <w:lang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2CC0B1DF"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7774779F"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 xml:space="preserve">La unidad de medida que se empleará en los Modelos de Costos para los servicios de conducción de tráfico cuando éstos se midan por tiempo, será el segundo. </w:t>
      </w:r>
    </w:p>
    <w:p w14:paraId="4A1E1722"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La unidad monetaria en la que se expresarán los resultados de los Modelos de Costos será en pesos mexicanos.”</w:t>
      </w:r>
    </w:p>
    <w:p w14:paraId="7F6A3D4D"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29BEBDE4"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r w:rsidRPr="001B525F">
        <w:rPr>
          <w:rFonts w:ascii="Arial" w:eastAsia="Times New Roman" w:hAnsi="Arial" w:cs="Arial"/>
          <w:b/>
          <w:i/>
          <w:sz w:val="16"/>
          <w:szCs w:val="16"/>
          <w:lang w:eastAsia="es-ES"/>
        </w:rPr>
        <w:t xml:space="preserve">CUARTO.- </w:t>
      </w:r>
      <w:r w:rsidRPr="001B525F">
        <w:rPr>
          <w:rFonts w:ascii="Arial" w:eastAsia="Times New Roman" w:hAnsi="Arial" w:cs="Arial"/>
          <w:i/>
          <w:sz w:val="16"/>
          <w:szCs w:val="16"/>
          <w:lang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1587A4AE"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0FC55A51"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 xml:space="preserve">La unidad de medida que se empleará en los Modelos de Costos para el servicio de tránsito cuando éste se mida por tiempo, será el segundo. </w:t>
      </w:r>
    </w:p>
    <w:p w14:paraId="21268442"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5DAC9F9B"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La unidad monetaria en la que se expresarán los resultados de los Modelos de Costos será en pesos mexicanos.”</w:t>
      </w:r>
    </w:p>
    <w:p w14:paraId="4273F006" w14:textId="77777777" w:rsidR="006172B4" w:rsidRPr="001B525F" w:rsidRDefault="006172B4" w:rsidP="00CC0143">
      <w:pPr>
        <w:spacing w:after="0"/>
        <w:jc w:val="both"/>
        <w:rPr>
          <w:rFonts w:ascii="Arial" w:hAnsi="Arial" w:cs="Arial"/>
          <w:spacing w:val="-4"/>
          <w:sz w:val="18"/>
          <w:szCs w:val="18"/>
        </w:rPr>
      </w:pPr>
    </w:p>
    <w:p w14:paraId="74CBF38A"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4F4ADB69" w14:textId="77777777" w:rsidR="006172B4" w:rsidRPr="001B525F" w:rsidRDefault="006172B4" w:rsidP="00CC0143">
      <w:pPr>
        <w:spacing w:after="0"/>
        <w:jc w:val="both"/>
        <w:rPr>
          <w:rFonts w:ascii="Arial" w:hAnsi="Arial" w:cs="Arial"/>
          <w:spacing w:val="-4"/>
          <w:sz w:val="18"/>
          <w:szCs w:val="18"/>
        </w:rPr>
      </w:pPr>
    </w:p>
    <w:p w14:paraId="05D022BD" w14:textId="7670BAAC" w:rsidR="006172B4"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Para el cálculo del CILP Puro, se calcula el costo incremental ejecutando el modelo </w:t>
      </w:r>
      <w:r w:rsidRPr="001B525F">
        <w:rPr>
          <w:rFonts w:ascii="Arial" w:hAnsi="Arial" w:cs="Arial"/>
          <w:i/>
          <w:spacing w:val="-4"/>
          <w:sz w:val="18"/>
          <w:szCs w:val="18"/>
        </w:rPr>
        <w:t xml:space="preserve">con </w:t>
      </w:r>
      <w:r w:rsidRPr="001B525F">
        <w:rPr>
          <w:rFonts w:ascii="Arial" w:hAnsi="Arial" w:cs="Arial"/>
          <w:spacing w:val="-4"/>
          <w:sz w:val="18"/>
          <w:szCs w:val="18"/>
        </w:rPr>
        <w:t xml:space="preserve">y </w:t>
      </w:r>
      <w:r w:rsidRPr="001B525F">
        <w:rPr>
          <w:rFonts w:ascii="Arial" w:hAnsi="Arial" w:cs="Arial"/>
          <w:i/>
          <w:spacing w:val="-4"/>
          <w:sz w:val="18"/>
          <w:szCs w:val="18"/>
        </w:rPr>
        <w:t xml:space="preserve">sin </w:t>
      </w:r>
      <w:r w:rsidRPr="001B525F">
        <w:rPr>
          <w:rFonts w:ascii="Arial" w:hAnsi="Arial" w:cs="Arial"/>
          <w:spacing w:val="-4"/>
          <w:sz w:val="18"/>
          <w:szCs w:val="18"/>
        </w:rPr>
        <w:t xml:space="preserve">el incremento que se quiera costear. Los costos unitarios son entonces determinados como el cociente entre este costo incremental y el volumen de tráfico incremental del servicio (ver Figura </w:t>
      </w:r>
      <w:r w:rsidR="00E20C0D">
        <w:rPr>
          <w:rFonts w:ascii="Arial" w:hAnsi="Arial" w:cs="Arial"/>
          <w:spacing w:val="-4"/>
          <w:sz w:val="18"/>
          <w:szCs w:val="18"/>
        </w:rPr>
        <w:t>7</w:t>
      </w:r>
      <w:r w:rsidRPr="001B525F">
        <w:rPr>
          <w:rFonts w:ascii="Arial" w:hAnsi="Arial" w:cs="Arial"/>
          <w:spacing w:val="-4"/>
          <w:sz w:val="18"/>
          <w:szCs w:val="18"/>
        </w:rPr>
        <w:t>).</w:t>
      </w:r>
    </w:p>
    <w:p w14:paraId="2B01CAED" w14:textId="77777777" w:rsidR="003C406E" w:rsidRPr="001B525F" w:rsidRDefault="003C406E" w:rsidP="00CC0143">
      <w:pPr>
        <w:spacing w:after="0"/>
        <w:jc w:val="both"/>
        <w:rPr>
          <w:rFonts w:ascii="Arial" w:hAnsi="Arial" w:cs="Arial"/>
          <w:spacing w:val="-4"/>
          <w:sz w:val="18"/>
          <w:szCs w:val="18"/>
        </w:rPr>
      </w:pPr>
    </w:p>
    <w:p w14:paraId="1CD16D1A" w14:textId="277D00F1" w:rsidR="006172B4" w:rsidRPr="001B525F" w:rsidRDefault="00054632" w:rsidP="00602CAB">
      <w:pPr>
        <w:spacing w:after="0"/>
        <w:jc w:val="center"/>
        <w:rPr>
          <w:rFonts w:ascii="Arial" w:hAnsi="Arial" w:cs="Arial"/>
          <w:spacing w:val="-4"/>
          <w:sz w:val="18"/>
          <w:szCs w:val="18"/>
        </w:rPr>
      </w:pPr>
      <w:r w:rsidRPr="00D32A7C">
        <w:rPr>
          <w:rFonts w:ascii="Arial" w:hAnsi="Arial" w:cs="Arial"/>
          <w:noProof/>
          <w:lang w:eastAsia="es-MX"/>
        </w:rPr>
        <w:lastRenderedPageBreak/>
        <w:drawing>
          <wp:inline distT="0" distB="0" distL="0" distR="0" wp14:anchorId="0199D826" wp14:editId="0605DEEF">
            <wp:extent cx="2932665" cy="2213637"/>
            <wp:effectExtent l="19050" t="19050" r="20320" b="15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w="12700">
                      <a:solidFill>
                        <a:schemeClr val="tx1"/>
                      </a:solidFill>
                    </a:ln>
                  </pic:spPr>
                </pic:pic>
              </a:graphicData>
            </a:graphic>
          </wp:inline>
        </w:drawing>
      </w:r>
    </w:p>
    <w:p w14:paraId="14CAA75E" w14:textId="361F1900" w:rsidR="006172B4" w:rsidRPr="001B525F" w:rsidRDefault="006172B4" w:rsidP="00CC0143">
      <w:pPr>
        <w:spacing w:after="0"/>
        <w:jc w:val="center"/>
        <w:rPr>
          <w:rFonts w:ascii="Arial" w:hAnsi="Arial" w:cs="Arial"/>
          <w:spacing w:val="-4"/>
          <w:sz w:val="18"/>
          <w:szCs w:val="18"/>
        </w:rPr>
      </w:pPr>
      <w:r w:rsidRPr="001B525F">
        <w:rPr>
          <w:rFonts w:ascii="Arial" w:hAnsi="Arial" w:cs="Arial"/>
          <w:spacing w:val="-4"/>
          <w:sz w:val="18"/>
          <w:szCs w:val="18"/>
        </w:rPr>
        <w:t xml:space="preserve">Figura </w:t>
      </w:r>
      <w:r w:rsidR="00E20C0D">
        <w:rPr>
          <w:rFonts w:ascii="Arial" w:hAnsi="Arial" w:cs="Arial"/>
          <w:spacing w:val="-4"/>
          <w:sz w:val="18"/>
          <w:szCs w:val="18"/>
        </w:rPr>
        <w:t>7</w:t>
      </w:r>
      <w:r w:rsidRPr="001B525F">
        <w:rPr>
          <w:rFonts w:ascii="Arial" w:hAnsi="Arial" w:cs="Arial"/>
          <w:spacing w:val="-4"/>
          <w:sz w:val="18"/>
          <w:szCs w:val="18"/>
        </w:rPr>
        <w:t>. Cálculo del costo incremental del tráfico de terminación.</w:t>
      </w:r>
    </w:p>
    <w:p w14:paraId="3D836B2F" w14:textId="77777777" w:rsidR="006172B4" w:rsidRPr="001B525F" w:rsidRDefault="006172B4" w:rsidP="00CC0143">
      <w:pPr>
        <w:spacing w:after="0"/>
        <w:jc w:val="both"/>
        <w:rPr>
          <w:rFonts w:ascii="Arial" w:hAnsi="Arial" w:cs="Arial"/>
          <w:spacing w:val="-4"/>
          <w:sz w:val="18"/>
          <w:szCs w:val="18"/>
        </w:rPr>
      </w:pPr>
    </w:p>
    <w:p w14:paraId="75B3C017" w14:textId="53B5C1BD" w:rsidR="006172B4"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Debido a los requisitos específicos de la Metodología de Costos, es necesario que el modelo de costos</w:t>
      </w:r>
      <w:r w:rsidR="000B0060">
        <w:rPr>
          <w:rFonts w:ascii="Arial" w:hAnsi="Arial" w:cs="Arial"/>
          <w:spacing w:val="-4"/>
          <w:sz w:val="18"/>
          <w:szCs w:val="18"/>
        </w:rPr>
        <w:t xml:space="preserve"> en su aplicación del CIPL Puro</w:t>
      </w:r>
      <w:r w:rsidRPr="001B525F">
        <w:rPr>
          <w:rFonts w:ascii="Arial" w:hAnsi="Arial" w:cs="Arial"/>
          <w:spacing w:val="-4"/>
          <w:sz w:val="18"/>
          <w:szCs w:val="18"/>
        </w:rPr>
        <w:t xml:space="preserve">: </w:t>
      </w:r>
    </w:p>
    <w:p w14:paraId="4A4A8E1A" w14:textId="77777777" w:rsidR="00644101" w:rsidRPr="001B525F" w:rsidRDefault="00644101" w:rsidP="00CC0143">
      <w:pPr>
        <w:spacing w:after="0"/>
        <w:jc w:val="both"/>
        <w:rPr>
          <w:rFonts w:ascii="Arial" w:hAnsi="Arial" w:cs="Arial"/>
          <w:spacing w:val="-4"/>
          <w:sz w:val="18"/>
          <w:szCs w:val="18"/>
        </w:rPr>
      </w:pPr>
    </w:p>
    <w:p w14:paraId="3D2C0941" w14:textId="25E71F34" w:rsidR="006172B4" w:rsidRPr="001B525F" w:rsidRDefault="006172B4" w:rsidP="004A0A71">
      <w:pPr>
        <w:numPr>
          <w:ilvl w:val="0"/>
          <w:numId w:val="22"/>
        </w:numPr>
        <w:spacing w:after="0"/>
        <w:ind w:left="709" w:hanging="357"/>
        <w:jc w:val="both"/>
        <w:rPr>
          <w:rFonts w:ascii="Arial" w:hAnsi="Arial" w:cs="Arial"/>
          <w:spacing w:val="-4"/>
          <w:sz w:val="18"/>
          <w:szCs w:val="18"/>
        </w:rPr>
      </w:pPr>
      <w:r w:rsidRPr="001B525F">
        <w:rPr>
          <w:rFonts w:ascii="Arial" w:hAnsi="Arial" w:cs="Arial"/>
          <w:spacing w:val="-4"/>
          <w:sz w:val="18"/>
          <w:szCs w:val="18"/>
        </w:rPr>
        <w:t>Excluya los costos compartidos y comunes a los servicios de interconexión de los asignables a los servicios costeados.</w:t>
      </w:r>
    </w:p>
    <w:p w14:paraId="5D6BC4B3" w14:textId="77777777" w:rsidR="006172B4" w:rsidRPr="001B525F" w:rsidRDefault="006172B4" w:rsidP="004A0A71">
      <w:pPr>
        <w:numPr>
          <w:ilvl w:val="0"/>
          <w:numId w:val="22"/>
        </w:numPr>
        <w:spacing w:after="0"/>
        <w:ind w:left="709" w:hanging="357"/>
        <w:jc w:val="both"/>
        <w:rPr>
          <w:rFonts w:ascii="Arial" w:hAnsi="Arial" w:cs="Arial"/>
          <w:spacing w:val="-4"/>
          <w:sz w:val="18"/>
          <w:szCs w:val="18"/>
        </w:rPr>
      </w:pPr>
      <w:r w:rsidRPr="001B525F">
        <w:rPr>
          <w:rFonts w:ascii="Arial" w:hAnsi="Arial" w:cs="Arial"/>
          <w:spacing w:val="-4"/>
          <w:sz w:val="18"/>
          <w:szCs w:val="18"/>
        </w:rPr>
        <w:t>Permita ser competitivamente neutral con las operaciones móvil y fija.</w:t>
      </w:r>
    </w:p>
    <w:p w14:paraId="0A65E8D0" w14:textId="77777777" w:rsidR="006172B4" w:rsidRPr="001B525F" w:rsidRDefault="006172B4" w:rsidP="00CC0143">
      <w:pPr>
        <w:spacing w:after="0"/>
        <w:jc w:val="both"/>
        <w:rPr>
          <w:rFonts w:ascii="Arial" w:hAnsi="Arial" w:cs="Arial"/>
          <w:spacing w:val="-4"/>
          <w:sz w:val="18"/>
          <w:szCs w:val="18"/>
        </w:rPr>
      </w:pPr>
    </w:p>
    <w:p w14:paraId="02A1289E" w14:textId="2EA4C291" w:rsidR="006172B4"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El cálculo de los resultados obtenidos al aplicar la metodología CILP </w:t>
      </w:r>
      <w:r w:rsidR="002646D6">
        <w:rPr>
          <w:rFonts w:ascii="Arial" w:hAnsi="Arial" w:cs="Arial"/>
          <w:spacing w:val="-4"/>
          <w:sz w:val="18"/>
          <w:szCs w:val="18"/>
        </w:rPr>
        <w:t>P</w:t>
      </w:r>
      <w:r w:rsidRPr="001B525F">
        <w:rPr>
          <w:rFonts w:ascii="Arial" w:hAnsi="Arial" w:cs="Arial"/>
          <w:spacing w:val="-4"/>
          <w:sz w:val="18"/>
          <w:szCs w:val="18"/>
        </w:rPr>
        <w:t xml:space="preserve">uro se basa en los siguientes pasos (ver Figura </w:t>
      </w:r>
      <w:r w:rsidR="00E20C0D">
        <w:rPr>
          <w:rFonts w:ascii="Arial" w:hAnsi="Arial" w:cs="Arial"/>
          <w:spacing w:val="-4"/>
          <w:sz w:val="18"/>
          <w:szCs w:val="18"/>
        </w:rPr>
        <w:t>8</w:t>
      </w:r>
      <w:r w:rsidRPr="001B525F">
        <w:rPr>
          <w:rFonts w:ascii="Arial" w:hAnsi="Arial" w:cs="Arial"/>
          <w:spacing w:val="-4"/>
          <w:sz w:val="18"/>
          <w:szCs w:val="18"/>
        </w:rPr>
        <w:t>).</w:t>
      </w:r>
    </w:p>
    <w:p w14:paraId="341AC8D0" w14:textId="77777777" w:rsidR="008232B6" w:rsidRPr="001B525F" w:rsidRDefault="008232B6" w:rsidP="00CC0143">
      <w:pPr>
        <w:spacing w:after="0"/>
        <w:jc w:val="both"/>
        <w:rPr>
          <w:rFonts w:ascii="Arial" w:hAnsi="Arial" w:cs="Arial"/>
          <w:spacing w:val="-4"/>
          <w:sz w:val="18"/>
          <w:szCs w:val="18"/>
        </w:rPr>
      </w:pPr>
    </w:p>
    <w:p w14:paraId="7B9FD996" w14:textId="0A79791C" w:rsidR="006172B4" w:rsidRPr="001B525F" w:rsidRDefault="006172B4" w:rsidP="004A0A71">
      <w:pPr>
        <w:numPr>
          <w:ilvl w:val="0"/>
          <w:numId w:val="22"/>
        </w:numPr>
        <w:spacing w:after="0"/>
        <w:ind w:left="709" w:hanging="357"/>
        <w:jc w:val="both"/>
        <w:rPr>
          <w:rFonts w:ascii="Arial" w:hAnsi="Arial" w:cs="Arial"/>
          <w:spacing w:val="-4"/>
          <w:sz w:val="18"/>
          <w:szCs w:val="18"/>
        </w:rPr>
      </w:pPr>
      <w:r w:rsidRPr="001B525F">
        <w:rPr>
          <w:rFonts w:ascii="Arial" w:hAnsi="Arial" w:cs="Arial"/>
          <w:spacing w:val="-4"/>
          <w:sz w:val="18"/>
          <w:szCs w:val="18"/>
        </w:rPr>
        <w:t xml:space="preserve">Cálculo de los costos de la red completa del operador, </w:t>
      </w:r>
      <w:r w:rsidRPr="001B525F">
        <w:rPr>
          <w:rFonts w:ascii="Arial" w:hAnsi="Arial" w:cs="Arial"/>
          <w:i/>
          <w:spacing w:val="-4"/>
          <w:sz w:val="18"/>
          <w:szCs w:val="18"/>
        </w:rPr>
        <w:t>sin</w:t>
      </w:r>
      <w:r w:rsidRPr="001B525F">
        <w:rPr>
          <w:rFonts w:ascii="Arial" w:hAnsi="Arial" w:cs="Arial"/>
          <w:spacing w:val="-4"/>
          <w:sz w:val="18"/>
          <w:szCs w:val="18"/>
        </w:rPr>
        <w:t xml:space="preserve"> el incremento del servicio considerado (</w:t>
      </w:r>
      <w:r w:rsidR="001D74C5">
        <w:rPr>
          <w:rFonts w:ascii="Arial" w:hAnsi="Arial" w:cs="Arial"/>
          <w:spacing w:val="-4"/>
          <w:sz w:val="18"/>
          <w:szCs w:val="18"/>
        </w:rPr>
        <w:t xml:space="preserve">por ejemplo, </w:t>
      </w:r>
      <w:r w:rsidRPr="001B525F">
        <w:rPr>
          <w:rFonts w:ascii="Arial" w:hAnsi="Arial" w:cs="Arial"/>
          <w:spacing w:val="-4"/>
          <w:sz w:val="18"/>
          <w:szCs w:val="18"/>
        </w:rPr>
        <w:t>tráfico de terminación de otras redes o tránsito).</w:t>
      </w:r>
    </w:p>
    <w:p w14:paraId="3E6B456F" w14:textId="4E749486" w:rsidR="006172B4" w:rsidRPr="001B525F" w:rsidRDefault="006172B4" w:rsidP="004A0A71">
      <w:pPr>
        <w:numPr>
          <w:ilvl w:val="0"/>
          <w:numId w:val="22"/>
        </w:numPr>
        <w:spacing w:after="0"/>
        <w:ind w:left="709" w:hanging="357"/>
        <w:jc w:val="both"/>
        <w:rPr>
          <w:rFonts w:ascii="Arial" w:hAnsi="Arial" w:cs="Arial"/>
          <w:spacing w:val="-4"/>
          <w:sz w:val="18"/>
          <w:szCs w:val="18"/>
        </w:rPr>
      </w:pPr>
      <w:r w:rsidRPr="001B525F">
        <w:rPr>
          <w:rFonts w:ascii="Arial" w:hAnsi="Arial" w:cs="Arial"/>
          <w:spacing w:val="-4"/>
          <w:sz w:val="18"/>
          <w:szCs w:val="18"/>
        </w:rPr>
        <w:t xml:space="preserve">Cálculo de los costos de la red completa del operador, </w:t>
      </w:r>
      <w:r w:rsidRPr="001B525F">
        <w:rPr>
          <w:rFonts w:ascii="Arial" w:hAnsi="Arial" w:cs="Arial"/>
          <w:i/>
          <w:spacing w:val="-4"/>
          <w:sz w:val="18"/>
          <w:szCs w:val="18"/>
        </w:rPr>
        <w:t xml:space="preserve">con </w:t>
      </w:r>
      <w:r w:rsidRPr="001B525F">
        <w:rPr>
          <w:rFonts w:ascii="Arial" w:hAnsi="Arial" w:cs="Arial"/>
          <w:spacing w:val="-4"/>
          <w:sz w:val="18"/>
          <w:szCs w:val="18"/>
        </w:rPr>
        <w:t>el incremento del servicio considerado (</w:t>
      </w:r>
      <w:r w:rsidR="001D74C5">
        <w:rPr>
          <w:rFonts w:ascii="Arial" w:hAnsi="Arial" w:cs="Arial"/>
          <w:spacing w:val="-4"/>
          <w:sz w:val="18"/>
          <w:szCs w:val="18"/>
        </w:rPr>
        <w:t xml:space="preserve">por ejemplo, </w:t>
      </w:r>
      <w:r w:rsidRPr="001B525F">
        <w:rPr>
          <w:rFonts w:ascii="Arial" w:hAnsi="Arial" w:cs="Arial"/>
          <w:spacing w:val="-4"/>
          <w:sz w:val="18"/>
          <w:szCs w:val="18"/>
        </w:rPr>
        <w:t>tráfico de terminación de otras redes o tránsito).</w:t>
      </w:r>
    </w:p>
    <w:p w14:paraId="34537A22" w14:textId="77777777" w:rsidR="006172B4" w:rsidRPr="001B525F" w:rsidRDefault="006172B4" w:rsidP="004A0A71">
      <w:pPr>
        <w:numPr>
          <w:ilvl w:val="0"/>
          <w:numId w:val="22"/>
        </w:numPr>
        <w:spacing w:after="0"/>
        <w:ind w:left="709" w:hanging="357"/>
        <w:jc w:val="both"/>
        <w:rPr>
          <w:rFonts w:ascii="Arial" w:hAnsi="Arial" w:cs="Arial"/>
          <w:spacing w:val="-4"/>
          <w:sz w:val="18"/>
          <w:szCs w:val="18"/>
        </w:rPr>
      </w:pPr>
      <w:r w:rsidRPr="001B525F">
        <w:rPr>
          <w:rFonts w:ascii="Arial" w:hAnsi="Arial" w:cs="Arial"/>
          <w:spacing w:val="-4"/>
          <w:sz w:val="18"/>
          <w:szCs w:val="18"/>
        </w:rPr>
        <w:t>Obtención de la diferencia en costos entre los dos cálculos obtenidos y anualización de esta diferencia en base a la metodología de depreciación económica</w:t>
      </w:r>
    </w:p>
    <w:p w14:paraId="018136C8" w14:textId="7BCBCF6E" w:rsidR="006172B4" w:rsidRPr="001B525F" w:rsidRDefault="006172B4" w:rsidP="004A0A71">
      <w:pPr>
        <w:numPr>
          <w:ilvl w:val="0"/>
          <w:numId w:val="22"/>
        </w:numPr>
        <w:spacing w:after="0"/>
        <w:ind w:left="709" w:hanging="357"/>
        <w:jc w:val="both"/>
        <w:rPr>
          <w:rFonts w:ascii="Arial" w:hAnsi="Arial" w:cs="Arial"/>
          <w:spacing w:val="-4"/>
          <w:sz w:val="18"/>
          <w:szCs w:val="18"/>
        </w:rPr>
      </w:pPr>
      <w:r w:rsidRPr="001B525F">
        <w:rPr>
          <w:rFonts w:ascii="Arial" w:hAnsi="Arial" w:cs="Arial"/>
          <w:spacing w:val="-4"/>
          <w:sz w:val="18"/>
          <w:szCs w:val="18"/>
        </w:rPr>
        <w:t>División del costo anualizado total por el número de minutos incrementales del servicio considerado para la obtención del costo del minuto incremental.</w:t>
      </w:r>
    </w:p>
    <w:p w14:paraId="71C61484" w14:textId="77777777" w:rsidR="00247F45" w:rsidRPr="001B525F" w:rsidRDefault="00247F45" w:rsidP="00247F45">
      <w:pPr>
        <w:spacing w:after="0"/>
        <w:ind w:left="720"/>
        <w:jc w:val="both"/>
        <w:rPr>
          <w:rFonts w:ascii="Arial" w:hAnsi="Arial" w:cs="Arial"/>
          <w:spacing w:val="-4"/>
          <w:sz w:val="18"/>
          <w:szCs w:val="18"/>
        </w:rPr>
      </w:pPr>
    </w:p>
    <w:p w14:paraId="551F549F" w14:textId="77777777" w:rsidR="006172B4" w:rsidRPr="001B525F" w:rsidRDefault="006172B4" w:rsidP="00CC0143">
      <w:pPr>
        <w:spacing w:after="0"/>
        <w:ind w:left="720" w:hanging="153"/>
        <w:jc w:val="center"/>
        <w:rPr>
          <w:rFonts w:ascii="Arial" w:hAnsi="Arial" w:cs="Arial"/>
          <w:spacing w:val="-4"/>
          <w:sz w:val="18"/>
          <w:szCs w:val="18"/>
        </w:rPr>
      </w:pPr>
      <w:r w:rsidRPr="007740FC">
        <w:rPr>
          <w:rFonts w:ascii="Arial" w:hAnsi="Arial" w:cs="Arial"/>
          <w:noProof/>
          <w:spacing w:val="-4"/>
          <w:sz w:val="18"/>
          <w:szCs w:val="18"/>
          <w:lang w:eastAsia="es-MX"/>
        </w:rPr>
        <w:lastRenderedPageBreak/>
        <w:drawing>
          <wp:inline distT="0" distB="0" distL="0" distR="0" wp14:anchorId="5491C2CF" wp14:editId="3E4D8B38">
            <wp:extent cx="4857293" cy="3161012"/>
            <wp:effectExtent l="0" t="0" r="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2DFE39EC" w14:textId="2A0D5B8A" w:rsidR="006172B4" w:rsidRPr="001B525F" w:rsidRDefault="006172B4" w:rsidP="00CC0143">
      <w:pPr>
        <w:spacing w:after="0"/>
        <w:ind w:left="720"/>
        <w:jc w:val="center"/>
        <w:rPr>
          <w:rFonts w:ascii="Arial" w:hAnsi="Arial" w:cs="Arial"/>
          <w:spacing w:val="-4"/>
          <w:sz w:val="18"/>
          <w:szCs w:val="18"/>
        </w:rPr>
      </w:pPr>
      <w:r w:rsidRPr="001B525F">
        <w:rPr>
          <w:rFonts w:ascii="Arial" w:hAnsi="Arial" w:cs="Arial"/>
          <w:spacing w:val="-4"/>
          <w:sz w:val="18"/>
          <w:szCs w:val="18"/>
        </w:rPr>
        <w:t xml:space="preserve">Figura </w:t>
      </w:r>
      <w:r w:rsidR="00E20C0D">
        <w:rPr>
          <w:rFonts w:ascii="Arial" w:hAnsi="Arial" w:cs="Arial"/>
          <w:spacing w:val="-4"/>
          <w:sz w:val="18"/>
          <w:szCs w:val="18"/>
        </w:rPr>
        <w:t>8</w:t>
      </w:r>
      <w:r w:rsidRPr="001B525F">
        <w:rPr>
          <w:rFonts w:ascii="Arial" w:hAnsi="Arial" w:cs="Arial"/>
          <w:spacing w:val="-4"/>
          <w:sz w:val="18"/>
          <w:szCs w:val="18"/>
        </w:rPr>
        <w:t xml:space="preserve">. Etapas necesarias para el cálculo del CILP </w:t>
      </w:r>
      <w:r w:rsidR="000E4D34">
        <w:rPr>
          <w:rFonts w:ascii="Arial" w:hAnsi="Arial" w:cs="Arial"/>
          <w:spacing w:val="-4"/>
          <w:sz w:val="18"/>
          <w:szCs w:val="18"/>
        </w:rPr>
        <w:t>P</w:t>
      </w:r>
      <w:r w:rsidRPr="001B525F">
        <w:rPr>
          <w:rFonts w:ascii="Arial" w:hAnsi="Arial" w:cs="Arial"/>
          <w:spacing w:val="-4"/>
          <w:sz w:val="18"/>
          <w:szCs w:val="18"/>
        </w:rPr>
        <w:t>uro.</w:t>
      </w:r>
    </w:p>
    <w:p w14:paraId="0D00CFBB" w14:textId="77777777" w:rsidR="006172B4" w:rsidRPr="001B525F" w:rsidRDefault="006172B4" w:rsidP="00CC0143">
      <w:pPr>
        <w:spacing w:after="0"/>
        <w:jc w:val="center"/>
        <w:rPr>
          <w:rFonts w:ascii="Arial" w:hAnsi="Arial" w:cs="Arial"/>
          <w:spacing w:val="-4"/>
          <w:sz w:val="18"/>
          <w:szCs w:val="18"/>
        </w:rPr>
      </w:pPr>
    </w:p>
    <w:p w14:paraId="732DE6DD" w14:textId="753A5334"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De esta forma el modelo calculará los costos </w:t>
      </w:r>
      <w:r w:rsidR="000E4D34">
        <w:rPr>
          <w:rFonts w:ascii="Arial" w:hAnsi="Arial" w:cs="Arial"/>
          <w:spacing w:val="-4"/>
          <w:sz w:val="18"/>
          <w:szCs w:val="18"/>
        </w:rPr>
        <w:t>bajo la metodología de</w:t>
      </w:r>
      <w:r w:rsidRPr="001B525F">
        <w:rPr>
          <w:rFonts w:ascii="Arial" w:hAnsi="Arial" w:cs="Arial"/>
          <w:spacing w:val="-4"/>
          <w:sz w:val="18"/>
          <w:szCs w:val="18"/>
        </w:rPr>
        <w:t xml:space="preserve"> CILP puro y </w:t>
      </w:r>
      <w:r w:rsidR="000E4D34">
        <w:rPr>
          <w:rFonts w:ascii="Arial" w:hAnsi="Arial" w:cs="Arial"/>
          <w:spacing w:val="-4"/>
          <w:sz w:val="18"/>
          <w:szCs w:val="18"/>
        </w:rPr>
        <w:t>también es ca</w:t>
      </w:r>
      <w:r w:rsidRPr="001B525F">
        <w:rPr>
          <w:rFonts w:ascii="Arial" w:hAnsi="Arial" w:cs="Arial"/>
          <w:spacing w:val="-4"/>
          <w:sz w:val="18"/>
          <w:szCs w:val="18"/>
        </w:rPr>
        <w:t>paz de calcular los costos mediante la metodología CI</w:t>
      </w:r>
      <w:r w:rsidR="000E4D34">
        <w:rPr>
          <w:rFonts w:ascii="Arial" w:hAnsi="Arial" w:cs="Arial"/>
          <w:spacing w:val="-4"/>
          <w:sz w:val="18"/>
          <w:szCs w:val="18"/>
        </w:rPr>
        <w:t>TPLP</w:t>
      </w:r>
      <w:r w:rsidRPr="001B525F">
        <w:rPr>
          <w:rFonts w:ascii="Arial" w:hAnsi="Arial" w:cs="Arial"/>
          <w:spacing w:val="-4"/>
          <w:sz w:val="18"/>
          <w:szCs w:val="18"/>
        </w:rPr>
        <w:t>.</w:t>
      </w:r>
    </w:p>
    <w:p w14:paraId="42FE9363" w14:textId="77777777" w:rsidR="006172B4" w:rsidRPr="001B525F" w:rsidRDefault="006172B4" w:rsidP="00CC0143">
      <w:pPr>
        <w:spacing w:after="0"/>
        <w:rPr>
          <w:rFonts w:ascii="Arial" w:hAnsi="Arial" w:cs="Arial"/>
          <w:b/>
          <w:sz w:val="18"/>
          <w:szCs w:val="18"/>
        </w:rPr>
      </w:pPr>
    </w:p>
    <w:p w14:paraId="3B691468" w14:textId="77777777" w:rsidR="006172B4" w:rsidRPr="001B525F" w:rsidRDefault="006172B4" w:rsidP="00CC0143">
      <w:pPr>
        <w:spacing w:after="0"/>
        <w:rPr>
          <w:rFonts w:ascii="Arial" w:hAnsi="Arial" w:cs="Arial"/>
          <w:sz w:val="18"/>
          <w:szCs w:val="18"/>
        </w:rPr>
      </w:pPr>
      <w:r w:rsidRPr="001B525F">
        <w:rPr>
          <w:rFonts w:ascii="Arial" w:hAnsi="Arial" w:cs="Arial"/>
          <w:b/>
          <w:sz w:val="18"/>
          <w:szCs w:val="18"/>
        </w:rPr>
        <w:t>Depreciación</w:t>
      </w:r>
    </w:p>
    <w:p w14:paraId="4940B2A5" w14:textId="77777777" w:rsidR="006172B4" w:rsidRPr="001B525F" w:rsidRDefault="006172B4" w:rsidP="00CC0143">
      <w:pPr>
        <w:spacing w:after="0"/>
        <w:jc w:val="both"/>
        <w:rPr>
          <w:rFonts w:ascii="Arial" w:hAnsi="Arial" w:cs="Arial"/>
          <w:spacing w:val="-4"/>
          <w:sz w:val="18"/>
          <w:szCs w:val="18"/>
        </w:rPr>
      </w:pPr>
    </w:p>
    <w:p w14:paraId="52124E1D"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234B9723" w14:textId="77777777" w:rsidR="006172B4" w:rsidRPr="001B525F" w:rsidRDefault="006172B4" w:rsidP="004A0A71">
      <w:pPr>
        <w:spacing w:after="0"/>
        <w:ind w:left="352"/>
        <w:jc w:val="both"/>
        <w:rPr>
          <w:rFonts w:ascii="Arial" w:hAnsi="Arial" w:cs="Arial"/>
          <w:spacing w:val="-4"/>
          <w:sz w:val="18"/>
          <w:szCs w:val="18"/>
        </w:rPr>
      </w:pPr>
    </w:p>
    <w:p w14:paraId="25F1E312"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r w:rsidRPr="001B525F">
        <w:rPr>
          <w:rFonts w:ascii="Arial" w:eastAsia="Times New Roman" w:hAnsi="Arial" w:cs="Arial"/>
          <w:b/>
          <w:i/>
          <w:sz w:val="16"/>
          <w:szCs w:val="16"/>
          <w:lang w:eastAsia="es-ES"/>
        </w:rPr>
        <w:t>SEXTO.-</w:t>
      </w:r>
      <w:r w:rsidRPr="001B525F">
        <w:rPr>
          <w:rFonts w:ascii="Arial" w:eastAsia="Times New Roman" w:hAnsi="Arial" w:cs="Arial"/>
          <w:i/>
          <w:sz w:val="16"/>
          <w:szCs w:val="16"/>
          <w:lang w:eastAsia="es-ES"/>
        </w:rPr>
        <w:t xml:space="preserve"> La metodología empleada por los Modelos de Costos para la amortización de los activos será la metodología de Depreciación Económica.</w:t>
      </w:r>
    </w:p>
    <w:p w14:paraId="4BA0FCB6" w14:textId="77777777" w:rsidR="006172B4" w:rsidRPr="001B525F" w:rsidRDefault="006172B4" w:rsidP="004A0A71">
      <w:pPr>
        <w:spacing w:after="0"/>
        <w:ind w:left="352"/>
        <w:jc w:val="both"/>
        <w:rPr>
          <w:rFonts w:ascii="Arial" w:eastAsia="Times New Roman" w:hAnsi="Arial" w:cs="Arial"/>
          <w:i/>
          <w:sz w:val="16"/>
          <w:szCs w:val="16"/>
          <w:lang w:eastAsia="es-ES"/>
        </w:rPr>
      </w:pPr>
    </w:p>
    <w:p w14:paraId="7A0B9D6B" w14:textId="77777777" w:rsidR="006172B4" w:rsidRPr="001B525F" w:rsidRDefault="006172B4" w:rsidP="004A0A71">
      <w:pPr>
        <w:spacing w:after="0"/>
        <w:ind w:left="352"/>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2AA300C4" w14:textId="77777777" w:rsidR="006172B4" w:rsidRPr="001B525F" w:rsidRDefault="006172B4" w:rsidP="00CC0143">
      <w:pPr>
        <w:spacing w:after="0"/>
        <w:jc w:val="both"/>
        <w:rPr>
          <w:rFonts w:ascii="Arial" w:hAnsi="Arial" w:cs="Arial"/>
          <w:spacing w:val="-4"/>
          <w:sz w:val="18"/>
          <w:szCs w:val="18"/>
        </w:rPr>
      </w:pPr>
    </w:p>
    <w:p w14:paraId="4A61327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En comparación con otros métodos de depreciación, este método considera todos los factores relevantes potenciales de depreciación, como son: </w:t>
      </w:r>
    </w:p>
    <w:p w14:paraId="0DD9380D" w14:textId="77777777" w:rsidR="006172B4" w:rsidRPr="001B525F" w:rsidRDefault="006172B4" w:rsidP="00CC0143">
      <w:pPr>
        <w:spacing w:after="0"/>
        <w:jc w:val="both"/>
        <w:rPr>
          <w:rFonts w:ascii="Arial" w:hAnsi="Arial" w:cs="Arial"/>
          <w:spacing w:val="-4"/>
          <w:sz w:val="18"/>
          <w:szCs w:val="18"/>
        </w:rPr>
      </w:pPr>
    </w:p>
    <w:p w14:paraId="61480F21" w14:textId="77777777" w:rsidR="006172B4" w:rsidRPr="001B525F" w:rsidRDefault="006172B4" w:rsidP="004A0A71">
      <w:pPr>
        <w:numPr>
          <w:ilvl w:val="0"/>
          <w:numId w:val="16"/>
        </w:numPr>
        <w:spacing w:after="0"/>
        <w:ind w:left="709" w:hanging="357"/>
        <w:jc w:val="both"/>
        <w:rPr>
          <w:rFonts w:ascii="Arial" w:hAnsi="Arial" w:cs="Arial"/>
          <w:spacing w:val="-4"/>
          <w:sz w:val="18"/>
          <w:szCs w:val="18"/>
        </w:rPr>
      </w:pPr>
      <w:r w:rsidRPr="001B525F">
        <w:rPr>
          <w:rFonts w:ascii="Arial" w:hAnsi="Arial" w:cs="Arial"/>
          <w:spacing w:val="-4"/>
          <w:sz w:val="18"/>
          <w:szCs w:val="18"/>
        </w:rPr>
        <w:t>Costo del Activo Equivalente Moderno (MEA) en la actualidad</w:t>
      </w:r>
    </w:p>
    <w:p w14:paraId="24795EF9" w14:textId="77777777" w:rsidR="006172B4" w:rsidRPr="001B525F" w:rsidRDefault="006172B4" w:rsidP="004A0A71">
      <w:pPr>
        <w:numPr>
          <w:ilvl w:val="0"/>
          <w:numId w:val="16"/>
        </w:numPr>
        <w:spacing w:after="0"/>
        <w:ind w:left="709" w:hanging="357"/>
        <w:jc w:val="both"/>
        <w:rPr>
          <w:rFonts w:ascii="Arial" w:hAnsi="Arial" w:cs="Arial"/>
          <w:spacing w:val="-4"/>
          <w:sz w:val="18"/>
          <w:szCs w:val="18"/>
        </w:rPr>
      </w:pPr>
      <w:r w:rsidRPr="001B525F">
        <w:rPr>
          <w:rFonts w:ascii="Arial" w:hAnsi="Arial" w:cs="Arial"/>
          <w:spacing w:val="-4"/>
          <w:sz w:val="18"/>
          <w:szCs w:val="18"/>
        </w:rPr>
        <w:t>Pronóstico de costo del MEA</w:t>
      </w:r>
    </w:p>
    <w:p w14:paraId="5F3D4535" w14:textId="77777777" w:rsidR="006172B4" w:rsidRPr="001B525F" w:rsidRDefault="006172B4" w:rsidP="004A0A71">
      <w:pPr>
        <w:numPr>
          <w:ilvl w:val="0"/>
          <w:numId w:val="16"/>
        </w:numPr>
        <w:spacing w:after="0"/>
        <w:ind w:left="709" w:hanging="357"/>
        <w:jc w:val="both"/>
        <w:rPr>
          <w:rFonts w:ascii="Arial" w:hAnsi="Arial" w:cs="Arial"/>
          <w:spacing w:val="-4"/>
          <w:sz w:val="18"/>
          <w:szCs w:val="18"/>
        </w:rPr>
      </w:pPr>
      <w:r w:rsidRPr="001B525F">
        <w:rPr>
          <w:rFonts w:ascii="Arial" w:hAnsi="Arial" w:cs="Arial"/>
          <w:spacing w:val="-4"/>
          <w:sz w:val="18"/>
          <w:szCs w:val="18"/>
        </w:rPr>
        <w:t>Producción de la red a través del tiempo</w:t>
      </w:r>
    </w:p>
    <w:p w14:paraId="4C94D86C" w14:textId="77777777" w:rsidR="006172B4" w:rsidRPr="001B525F" w:rsidRDefault="006172B4" w:rsidP="004A0A71">
      <w:pPr>
        <w:numPr>
          <w:ilvl w:val="0"/>
          <w:numId w:val="16"/>
        </w:numPr>
        <w:spacing w:after="0"/>
        <w:ind w:left="709" w:hanging="357"/>
        <w:jc w:val="both"/>
        <w:rPr>
          <w:rFonts w:ascii="Arial" w:hAnsi="Arial" w:cs="Arial"/>
          <w:spacing w:val="-4"/>
          <w:sz w:val="18"/>
          <w:szCs w:val="18"/>
        </w:rPr>
      </w:pPr>
      <w:r w:rsidRPr="001B525F">
        <w:rPr>
          <w:rFonts w:ascii="Arial" w:hAnsi="Arial" w:cs="Arial"/>
          <w:spacing w:val="-4"/>
          <w:sz w:val="18"/>
          <w:szCs w:val="18"/>
        </w:rPr>
        <w:t>Vida financiera de los activos</w:t>
      </w:r>
    </w:p>
    <w:p w14:paraId="053F7CBB" w14:textId="77777777" w:rsidR="006172B4" w:rsidRPr="001B525F" w:rsidRDefault="006172B4" w:rsidP="004A0A71">
      <w:pPr>
        <w:numPr>
          <w:ilvl w:val="0"/>
          <w:numId w:val="16"/>
        </w:numPr>
        <w:spacing w:after="0"/>
        <w:ind w:left="709" w:hanging="357"/>
        <w:jc w:val="both"/>
        <w:rPr>
          <w:rFonts w:ascii="Arial" w:hAnsi="Arial" w:cs="Arial"/>
          <w:spacing w:val="-4"/>
          <w:sz w:val="18"/>
          <w:szCs w:val="18"/>
        </w:rPr>
      </w:pPr>
      <w:r w:rsidRPr="001B525F">
        <w:rPr>
          <w:rFonts w:ascii="Arial" w:hAnsi="Arial" w:cs="Arial"/>
          <w:spacing w:val="-4"/>
          <w:sz w:val="18"/>
          <w:szCs w:val="18"/>
        </w:rPr>
        <w:t>Vida económica de los activos</w:t>
      </w:r>
    </w:p>
    <w:p w14:paraId="6FA0CF13" w14:textId="77777777" w:rsidR="006172B4" w:rsidRPr="001B525F" w:rsidRDefault="006172B4" w:rsidP="00CC0143">
      <w:pPr>
        <w:spacing w:after="0"/>
        <w:jc w:val="both"/>
        <w:rPr>
          <w:rFonts w:ascii="Arial" w:hAnsi="Arial" w:cs="Arial"/>
          <w:spacing w:val="-4"/>
          <w:sz w:val="18"/>
          <w:szCs w:val="18"/>
        </w:rPr>
      </w:pPr>
    </w:p>
    <w:p w14:paraId="1B5DDA5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Como la depreciación económica es un método para determinar cuál es la recuperación de costos económicamente racional debe:</w:t>
      </w:r>
    </w:p>
    <w:p w14:paraId="7A8E4ACA" w14:textId="77777777" w:rsidR="006172B4" w:rsidRPr="001B525F" w:rsidRDefault="006172B4" w:rsidP="004A0A71">
      <w:pPr>
        <w:spacing w:after="0"/>
        <w:ind w:left="709" w:hanging="357"/>
        <w:jc w:val="both"/>
        <w:rPr>
          <w:rFonts w:ascii="Arial" w:hAnsi="Arial" w:cs="Arial"/>
          <w:spacing w:val="-4"/>
          <w:sz w:val="18"/>
          <w:szCs w:val="18"/>
        </w:rPr>
      </w:pPr>
    </w:p>
    <w:p w14:paraId="3FD82C02" w14:textId="77777777" w:rsidR="006172B4" w:rsidRPr="001B525F" w:rsidRDefault="006172B4" w:rsidP="004A0A71">
      <w:pPr>
        <w:numPr>
          <w:ilvl w:val="0"/>
          <w:numId w:val="17"/>
        </w:numPr>
        <w:spacing w:after="0"/>
        <w:ind w:left="709" w:hanging="357"/>
        <w:jc w:val="both"/>
        <w:rPr>
          <w:rFonts w:ascii="Arial" w:hAnsi="Arial" w:cs="Arial"/>
          <w:spacing w:val="-4"/>
          <w:sz w:val="18"/>
          <w:szCs w:val="18"/>
        </w:rPr>
      </w:pPr>
      <w:r w:rsidRPr="001B525F">
        <w:rPr>
          <w:rFonts w:ascii="Arial" w:hAnsi="Arial" w:cs="Arial"/>
          <w:spacing w:val="-4"/>
          <w:sz w:val="18"/>
          <w:szCs w:val="18"/>
        </w:rPr>
        <w:t>Reflejar los costos subyacentes de producción: tendencias de precio del MEA</w:t>
      </w:r>
    </w:p>
    <w:p w14:paraId="631D0FAF" w14:textId="77777777" w:rsidR="006172B4" w:rsidRPr="001B525F" w:rsidRDefault="006172B4" w:rsidP="004A0A71">
      <w:pPr>
        <w:numPr>
          <w:ilvl w:val="0"/>
          <w:numId w:val="17"/>
        </w:numPr>
        <w:spacing w:after="0"/>
        <w:ind w:left="709" w:hanging="357"/>
        <w:jc w:val="both"/>
        <w:rPr>
          <w:rFonts w:ascii="Arial" w:hAnsi="Arial" w:cs="Arial"/>
          <w:spacing w:val="-4"/>
          <w:sz w:val="18"/>
          <w:szCs w:val="18"/>
        </w:rPr>
      </w:pPr>
      <w:r w:rsidRPr="001B525F">
        <w:rPr>
          <w:rFonts w:ascii="Arial" w:hAnsi="Arial" w:cs="Arial"/>
          <w:spacing w:val="-4"/>
          <w:sz w:val="18"/>
          <w:szCs w:val="18"/>
        </w:rPr>
        <w:t>Reflejar la producción de los elementos de la red en el largo plazo.</w:t>
      </w:r>
    </w:p>
    <w:p w14:paraId="6CEF86EF" w14:textId="77777777" w:rsidR="006172B4" w:rsidRPr="001B525F" w:rsidRDefault="006172B4" w:rsidP="00CC0143">
      <w:pPr>
        <w:spacing w:after="0"/>
        <w:jc w:val="both"/>
        <w:rPr>
          <w:rFonts w:ascii="Arial" w:hAnsi="Arial" w:cs="Arial"/>
          <w:spacing w:val="-4"/>
          <w:sz w:val="18"/>
          <w:szCs w:val="18"/>
        </w:rPr>
      </w:pPr>
    </w:p>
    <w:p w14:paraId="3C188146"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lastRenderedPageBreak/>
        <w:t>El primer factor relaciona la recuperación de costos a la de un nuevo entrante en el mercado (si el mercado es contestable) que podría ofrecer servicios con base en los costos actuales de producción.</w:t>
      </w:r>
    </w:p>
    <w:p w14:paraId="13243D6A" w14:textId="77777777" w:rsidR="006172B4" w:rsidRPr="001B525F" w:rsidRDefault="006172B4" w:rsidP="00CC0143">
      <w:pPr>
        <w:spacing w:after="0"/>
        <w:jc w:val="both"/>
        <w:rPr>
          <w:rFonts w:ascii="Arial" w:hAnsi="Arial" w:cs="Arial"/>
          <w:spacing w:val="-4"/>
          <w:sz w:val="18"/>
          <w:szCs w:val="18"/>
        </w:rPr>
      </w:pPr>
    </w:p>
    <w:p w14:paraId="7054BCF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7DE1FEB5" w14:textId="77777777" w:rsidR="006172B4" w:rsidRPr="001B525F" w:rsidRDefault="006172B4" w:rsidP="00CC0143">
      <w:pPr>
        <w:spacing w:after="0"/>
        <w:jc w:val="both"/>
        <w:rPr>
          <w:rFonts w:ascii="Arial" w:hAnsi="Arial" w:cs="Arial"/>
          <w:spacing w:val="-4"/>
          <w:sz w:val="18"/>
          <w:szCs w:val="18"/>
        </w:rPr>
      </w:pPr>
    </w:p>
    <w:p w14:paraId="61F561C2" w14:textId="711D06A5"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La implementación de depreciación económica a ser usada en los modelos de costos está basada en el principio que establece que </w:t>
      </w:r>
      <w:r w:rsidRPr="001B525F">
        <w:rPr>
          <w:rFonts w:ascii="Arial" w:hAnsi="Arial" w:cs="Arial"/>
          <w:i/>
          <w:spacing w:val="-4"/>
          <w:sz w:val="18"/>
          <w:szCs w:val="18"/>
        </w:rPr>
        <w:t>todos los costos incurridos (eficientemente) deben ser completamente recuperados en forma económicamente racional</w:t>
      </w:r>
      <w:r w:rsidRPr="001B525F">
        <w:rPr>
          <w:rFonts w:ascii="Arial" w:hAnsi="Arial" w:cs="Arial"/>
          <w:spacing w:val="-4"/>
          <w:sz w:val="18"/>
          <w:szCs w:val="18"/>
        </w:rPr>
        <w:t xml:space="preserve">. La recuperación total de estos costos se garantiza al comprobar que el valor presente (PV) de los gastos sea igual al valor presente de los costos económicos recuperados, o alternativamente, que el valor presente neto (NPV) de los costos recuperados menos </w:t>
      </w:r>
      <w:r w:rsidR="007B42AA" w:rsidRPr="001B525F">
        <w:rPr>
          <w:rFonts w:ascii="Arial" w:hAnsi="Arial" w:cs="Arial"/>
          <w:spacing w:val="-4"/>
          <w:sz w:val="18"/>
          <w:szCs w:val="18"/>
        </w:rPr>
        <w:t>los gastos sean</w:t>
      </w:r>
      <w:r w:rsidRPr="001B525F">
        <w:rPr>
          <w:rFonts w:ascii="Arial" w:hAnsi="Arial" w:cs="Arial"/>
          <w:spacing w:val="-4"/>
          <w:sz w:val="18"/>
          <w:szCs w:val="18"/>
        </w:rPr>
        <w:t xml:space="preserve"> cero.  </w:t>
      </w:r>
    </w:p>
    <w:p w14:paraId="1DB440FF" w14:textId="77777777" w:rsidR="006172B4" w:rsidRPr="001B525F" w:rsidRDefault="006172B4" w:rsidP="00CC0143">
      <w:pPr>
        <w:spacing w:after="0"/>
        <w:jc w:val="both"/>
        <w:rPr>
          <w:rFonts w:ascii="Arial" w:hAnsi="Arial" w:cs="Arial"/>
          <w:spacing w:val="-4"/>
          <w:sz w:val="18"/>
          <w:szCs w:val="18"/>
        </w:rPr>
      </w:pPr>
    </w:p>
    <w:p w14:paraId="272E313C" w14:textId="77777777" w:rsidR="006172B4" w:rsidRPr="001B525F" w:rsidRDefault="006172B4" w:rsidP="00CC0143">
      <w:pPr>
        <w:spacing w:after="0"/>
        <w:jc w:val="both"/>
        <w:rPr>
          <w:rFonts w:ascii="Arial" w:hAnsi="Arial" w:cs="Arial"/>
          <w:b/>
          <w:spacing w:val="-4"/>
          <w:sz w:val="18"/>
          <w:szCs w:val="18"/>
        </w:rPr>
      </w:pPr>
      <w:r w:rsidRPr="001B525F">
        <w:rPr>
          <w:rFonts w:ascii="Arial" w:hAnsi="Arial" w:cs="Arial"/>
          <w:b/>
          <w:spacing w:val="-4"/>
          <w:sz w:val="18"/>
          <w:szCs w:val="18"/>
        </w:rPr>
        <w:t>Serie de tiempo</w:t>
      </w:r>
    </w:p>
    <w:p w14:paraId="32237FEC" w14:textId="77777777" w:rsidR="006172B4" w:rsidRPr="001B525F" w:rsidRDefault="006172B4" w:rsidP="00CC0143">
      <w:pPr>
        <w:spacing w:after="0"/>
        <w:jc w:val="both"/>
        <w:rPr>
          <w:rFonts w:ascii="Arial" w:hAnsi="Arial" w:cs="Arial"/>
          <w:b/>
          <w:spacing w:val="-4"/>
          <w:sz w:val="18"/>
          <w:szCs w:val="18"/>
        </w:rPr>
      </w:pPr>
    </w:p>
    <w:p w14:paraId="16EF5242" w14:textId="77777777" w:rsidR="006172B4"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serie de tiempo, o el número de años para el que se calcularán los volúmenes de demanda y activos, es un insumo muy importante. El modelo de costos empleará una serie de tiempo larga ya que ésta:</w:t>
      </w:r>
    </w:p>
    <w:p w14:paraId="3F3A05F7" w14:textId="77777777" w:rsidR="004F60DD" w:rsidRPr="001B525F" w:rsidRDefault="004F60DD" w:rsidP="00CC0143">
      <w:pPr>
        <w:spacing w:after="0"/>
        <w:jc w:val="both"/>
        <w:rPr>
          <w:rFonts w:ascii="Arial" w:hAnsi="Arial" w:cs="Arial"/>
          <w:spacing w:val="-4"/>
          <w:sz w:val="18"/>
          <w:szCs w:val="18"/>
        </w:rPr>
      </w:pPr>
    </w:p>
    <w:p w14:paraId="7633796D" w14:textId="77777777" w:rsidR="006172B4" w:rsidRPr="001B525F" w:rsidRDefault="006172B4" w:rsidP="004A0A71">
      <w:pPr>
        <w:numPr>
          <w:ilvl w:val="0"/>
          <w:numId w:val="18"/>
        </w:numPr>
        <w:spacing w:after="0"/>
        <w:ind w:left="709" w:hanging="357"/>
        <w:jc w:val="both"/>
        <w:rPr>
          <w:rFonts w:ascii="Arial" w:hAnsi="Arial" w:cs="Arial"/>
          <w:spacing w:val="-4"/>
          <w:sz w:val="18"/>
          <w:szCs w:val="18"/>
        </w:rPr>
      </w:pPr>
      <w:r w:rsidRPr="001B525F">
        <w:rPr>
          <w:rFonts w:ascii="Arial" w:hAnsi="Arial" w:cs="Arial"/>
          <w:spacing w:val="-4"/>
          <w:sz w:val="18"/>
          <w:szCs w:val="18"/>
        </w:rPr>
        <w:t>Permite que se consideren todos los costos en el tiempo, suministrando la mayor claridad dentro del modelo con relación a las implicaciones de adoptar depreciación económica;</w:t>
      </w:r>
    </w:p>
    <w:p w14:paraId="2FC6476E" w14:textId="77777777" w:rsidR="006172B4" w:rsidRPr="001B525F" w:rsidRDefault="006172B4" w:rsidP="004A0A71">
      <w:pPr>
        <w:numPr>
          <w:ilvl w:val="0"/>
          <w:numId w:val="18"/>
        </w:numPr>
        <w:spacing w:after="0"/>
        <w:ind w:left="709" w:hanging="357"/>
        <w:jc w:val="both"/>
        <w:rPr>
          <w:rFonts w:ascii="Arial" w:hAnsi="Arial" w:cs="Arial"/>
          <w:spacing w:val="-4"/>
          <w:sz w:val="18"/>
          <w:szCs w:val="18"/>
        </w:rPr>
      </w:pPr>
      <w:r w:rsidRPr="001B525F">
        <w:rPr>
          <w:rFonts w:ascii="Arial" w:hAnsi="Arial" w:cs="Arial"/>
          <w:spacing w:val="-4"/>
          <w:sz w:val="18"/>
          <w:szCs w:val="18"/>
        </w:rPr>
        <w:t xml:space="preserve">Puede ser utilizado para estimar grandes pérdidas/ganancias resultantes de cambios en el costeo, permitiendo mayor transparencia sobre la recuperación de todos los costos incurridos por proveer los servicios; </w:t>
      </w:r>
    </w:p>
    <w:p w14:paraId="64AF121D" w14:textId="77777777" w:rsidR="006172B4" w:rsidRPr="001B525F" w:rsidRDefault="006172B4" w:rsidP="004A0A71">
      <w:pPr>
        <w:numPr>
          <w:ilvl w:val="0"/>
          <w:numId w:val="18"/>
        </w:numPr>
        <w:spacing w:after="0"/>
        <w:ind w:left="709" w:hanging="357"/>
        <w:jc w:val="both"/>
        <w:rPr>
          <w:rFonts w:ascii="Arial" w:hAnsi="Arial" w:cs="Arial"/>
          <w:spacing w:val="-4"/>
          <w:sz w:val="18"/>
          <w:szCs w:val="18"/>
        </w:rPr>
      </w:pPr>
      <w:r w:rsidRPr="001B525F">
        <w:rPr>
          <w:rFonts w:ascii="Arial" w:hAnsi="Arial" w:cs="Arial"/>
          <w:spacing w:val="-4"/>
          <w:sz w:val="18"/>
          <w:szCs w:val="18"/>
        </w:rPr>
        <w:t>Genera una gran cantidad de información para entender como varían los costos del operador modelado a través del tiempo en respuesta a cambios en la demanda o la evolución de la red;</w:t>
      </w:r>
    </w:p>
    <w:p w14:paraId="2B56C37E" w14:textId="77777777" w:rsidR="006172B4" w:rsidRPr="001B525F" w:rsidRDefault="006172B4" w:rsidP="00CC0143">
      <w:pPr>
        <w:spacing w:after="0"/>
        <w:jc w:val="both"/>
        <w:rPr>
          <w:rFonts w:ascii="Arial" w:hAnsi="Arial" w:cs="Arial"/>
          <w:spacing w:val="-4"/>
          <w:sz w:val="18"/>
          <w:szCs w:val="18"/>
        </w:rPr>
      </w:pPr>
    </w:p>
    <w:p w14:paraId="3A96944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3DC29FDD" w14:textId="77777777" w:rsidR="006172B4" w:rsidRPr="001B525F" w:rsidRDefault="006172B4" w:rsidP="00CC0143">
      <w:pPr>
        <w:spacing w:after="0"/>
        <w:jc w:val="both"/>
        <w:rPr>
          <w:rFonts w:ascii="Arial" w:hAnsi="Arial" w:cs="Arial"/>
          <w:spacing w:val="-4"/>
          <w:sz w:val="18"/>
          <w:szCs w:val="18"/>
        </w:rPr>
      </w:pPr>
    </w:p>
    <w:p w14:paraId="6E7BACBC" w14:textId="77777777" w:rsidR="006172B4" w:rsidRPr="007740FC"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199EA521" w14:textId="77777777" w:rsidR="006172B4" w:rsidRPr="001B525F" w:rsidRDefault="006172B4" w:rsidP="00CC0143">
      <w:pPr>
        <w:spacing w:after="0"/>
        <w:jc w:val="both"/>
        <w:rPr>
          <w:rFonts w:ascii="Arial" w:hAnsi="Arial" w:cs="Arial"/>
          <w:spacing w:val="-4"/>
          <w:sz w:val="18"/>
          <w:szCs w:val="18"/>
        </w:rPr>
      </w:pPr>
    </w:p>
    <w:p w14:paraId="7F46BE2E" w14:textId="77777777" w:rsidR="004F60DD" w:rsidRPr="004F60DD" w:rsidRDefault="004F60DD" w:rsidP="004F60DD">
      <w:pPr>
        <w:spacing w:after="0"/>
        <w:jc w:val="both"/>
        <w:rPr>
          <w:rFonts w:ascii="Arial" w:hAnsi="Arial" w:cs="Arial"/>
          <w:spacing w:val="-4"/>
          <w:sz w:val="18"/>
          <w:szCs w:val="18"/>
        </w:rPr>
      </w:pPr>
      <w:r w:rsidRPr="004F60DD">
        <w:rPr>
          <w:rFonts w:ascii="Arial" w:hAnsi="Arial" w:cs="Arial"/>
          <w:spacing w:val="-4"/>
          <w:sz w:val="18"/>
          <w:szCs w:val="18"/>
        </w:rPr>
        <w:t xml:space="preserve">Dado que no sería realista efectuar una previsión detallada y precisa para el periodo total del modelo, se realiza un pronóstico para un periodo razonable de tiempo que cubra un periodo similar al periodo regulatorio (de cuatro a diez años), en este caso el periodo regulatorio es de 2024 a 2026. </w:t>
      </w:r>
    </w:p>
    <w:p w14:paraId="18D6E282" w14:textId="77777777" w:rsidR="004F60DD" w:rsidRPr="001B525F" w:rsidRDefault="004F60DD" w:rsidP="00CC0143">
      <w:pPr>
        <w:spacing w:after="0"/>
        <w:jc w:val="both"/>
        <w:rPr>
          <w:rFonts w:ascii="Arial" w:hAnsi="Arial" w:cs="Arial"/>
          <w:spacing w:val="-4"/>
          <w:sz w:val="18"/>
          <w:szCs w:val="18"/>
        </w:rPr>
      </w:pPr>
    </w:p>
    <w:p w14:paraId="738D40E7" w14:textId="705DAC4A"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54A7860C" w14:textId="77777777" w:rsidR="00E02D1A" w:rsidRPr="001B525F" w:rsidRDefault="00E02D1A" w:rsidP="00CC0143">
      <w:pPr>
        <w:spacing w:after="0"/>
        <w:jc w:val="both"/>
        <w:rPr>
          <w:rFonts w:ascii="Arial" w:hAnsi="Arial" w:cs="Arial"/>
          <w:spacing w:val="-4"/>
          <w:sz w:val="18"/>
          <w:szCs w:val="18"/>
        </w:rPr>
      </w:pPr>
    </w:p>
    <w:p w14:paraId="4FD3932E"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Para alinear la duración de las concesiones móviles con la serie de tiempo elegida para el modelo – equivalente a 50 años – se asume que cada concesión de espectro es válida durante un periodo de 20 años y después renovable cada 15 años.</w:t>
      </w:r>
    </w:p>
    <w:p w14:paraId="02C225C7" w14:textId="77777777" w:rsidR="006172B4" w:rsidRPr="001B525F" w:rsidRDefault="006172B4" w:rsidP="00CC0143">
      <w:pPr>
        <w:spacing w:after="0"/>
        <w:jc w:val="both"/>
        <w:rPr>
          <w:rFonts w:ascii="Arial" w:hAnsi="Arial" w:cs="Arial"/>
          <w:b/>
          <w:spacing w:val="-4"/>
          <w:sz w:val="18"/>
          <w:szCs w:val="18"/>
        </w:rPr>
      </w:pPr>
    </w:p>
    <w:p w14:paraId="6D300381"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1.5 Costo de capital promedio ponderado (CCPP)</w:t>
      </w:r>
    </w:p>
    <w:p w14:paraId="66035F41" w14:textId="77777777" w:rsidR="006172B4" w:rsidRDefault="006172B4" w:rsidP="00CC0143">
      <w:pPr>
        <w:spacing w:after="0"/>
        <w:rPr>
          <w:rFonts w:ascii="Arial" w:hAnsi="Arial" w:cs="Arial"/>
          <w:sz w:val="18"/>
          <w:szCs w:val="18"/>
        </w:rPr>
      </w:pPr>
    </w:p>
    <w:p w14:paraId="34B7ABF9" w14:textId="13BA072C" w:rsidR="008E04CE" w:rsidRDefault="0060160F" w:rsidP="0060160F">
      <w:pPr>
        <w:spacing w:after="0"/>
        <w:jc w:val="both"/>
        <w:rPr>
          <w:rFonts w:ascii="Arial" w:hAnsi="Arial" w:cs="Arial"/>
          <w:spacing w:val="-4"/>
          <w:sz w:val="18"/>
          <w:szCs w:val="18"/>
        </w:rPr>
      </w:pPr>
      <w:r>
        <w:rPr>
          <w:rFonts w:ascii="Arial" w:hAnsi="Arial" w:cs="Arial"/>
          <w:spacing w:val="-4"/>
          <w:sz w:val="18"/>
          <w:szCs w:val="18"/>
        </w:rPr>
        <w:t>H</w:t>
      </w:r>
      <w:r w:rsidR="008E04CE" w:rsidRPr="00472214">
        <w:rPr>
          <w:rFonts w:ascii="Arial" w:hAnsi="Arial" w:cs="Arial"/>
          <w:spacing w:val="-4"/>
          <w:sz w:val="18"/>
          <w:szCs w:val="18"/>
        </w:rPr>
        <w:t>istóricamente</w:t>
      </w:r>
      <w:r>
        <w:rPr>
          <w:rFonts w:ascii="Arial" w:hAnsi="Arial" w:cs="Arial"/>
          <w:spacing w:val="-4"/>
          <w:sz w:val="18"/>
          <w:szCs w:val="18"/>
        </w:rPr>
        <w:t xml:space="preserve"> se </w:t>
      </w:r>
      <w:r w:rsidR="008E04CE" w:rsidRPr="00472214">
        <w:rPr>
          <w:rFonts w:ascii="Arial" w:hAnsi="Arial" w:cs="Arial"/>
          <w:spacing w:val="-4"/>
          <w:sz w:val="18"/>
          <w:szCs w:val="18"/>
        </w:rPr>
        <w:t xml:space="preserve">ha desarrollado estimaciones </w:t>
      </w:r>
      <w:r w:rsidR="002C1907">
        <w:rPr>
          <w:rFonts w:ascii="Arial" w:hAnsi="Arial" w:cs="Arial"/>
          <w:spacing w:val="-4"/>
          <w:sz w:val="18"/>
          <w:szCs w:val="18"/>
        </w:rPr>
        <w:t xml:space="preserve">de CCPP </w:t>
      </w:r>
      <w:r w:rsidR="008E04CE" w:rsidRPr="00472214">
        <w:rPr>
          <w:rFonts w:ascii="Arial" w:hAnsi="Arial" w:cs="Arial"/>
          <w:spacing w:val="-4"/>
          <w:sz w:val="18"/>
          <w:szCs w:val="18"/>
        </w:rPr>
        <w:t xml:space="preserve">diferenciadas para redes fijas y redes móviles. Esta diferenciación </w:t>
      </w:r>
      <w:r w:rsidR="007F7CF1" w:rsidRPr="007F7CF1">
        <w:rPr>
          <w:rFonts w:ascii="Arial" w:hAnsi="Arial" w:cs="Arial"/>
          <w:spacing w:val="-4"/>
          <w:sz w:val="18"/>
          <w:szCs w:val="18"/>
        </w:rPr>
        <w:t>surg</w:t>
      </w:r>
      <w:r w:rsidR="007F7CF1">
        <w:rPr>
          <w:rFonts w:ascii="Arial" w:hAnsi="Arial" w:cs="Arial"/>
          <w:spacing w:val="-4"/>
          <w:sz w:val="18"/>
          <w:szCs w:val="18"/>
        </w:rPr>
        <w:t>e</w:t>
      </w:r>
      <w:r w:rsidR="008E04CE" w:rsidRPr="00472214">
        <w:rPr>
          <w:rFonts w:ascii="Arial" w:hAnsi="Arial" w:cs="Arial"/>
          <w:spacing w:val="-4"/>
          <w:sz w:val="18"/>
          <w:szCs w:val="18"/>
        </w:rPr>
        <w:t xml:space="preserve"> de la necesidad</w:t>
      </w:r>
      <w:r w:rsidR="00D6460E">
        <w:rPr>
          <w:rFonts w:ascii="Arial" w:hAnsi="Arial" w:cs="Arial"/>
          <w:spacing w:val="-4"/>
          <w:sz w:val="18"/>
          <w:szCs w:val="18"/>
        </w:rPr>
        <w:t xml:space="preserve"> normativa de reflejar las diferencias naturales de las rede</w:t>
      </w:r>
      <w:r w:rsidR="00326C6C">
        <w:rPr>
          <w:rFonts w:ascii="Arial" w:hAnsi="Arial" w:cs="Arial"/>
          <w:spacing w:val="-4"/>
          <w:sz w:val="18"/>
          <w:szCs w:val="18"/>
        </w:rPr>
        <w:t>s</w:t>
      </w:r>
      <w:r w:rsidR="001B1A0A">
        <w:rPr>
          <w:rFonts w:ascii="Arial" w:hAnsi="Arial" w:cs="Arial"/>
          <w:spacing w:val="-4"/>
          <w:sz w:val="18"/>
          <w:szCs w:val="18"/>
        </w:rPr>
        <w:t>, por lo que la diferenciación permite</w:t>
      </w:r>
      <w:r w:rsidR="008E04CE" w:rsidRPr="00472214">
        <w:rPr>
          <w:rFonts w:ascii="Arial" w:hAnsi="Arial" w:cs="Arial"/>
          <w:spacing w:val="-4"/>
          <w:sz w:val="18"/>
          <w:szCs w:val="18"/>
        </w:rPr>
        <w:t xml:space="preserve"> asegurar </w:t>
      </w:r>
      <w:r w:rsidR="008E04CE" w:rsidRPr="00472214">
        <w:rPr>
          <w:rFonts w:ascii="Arial" w:hAnsi="Arial" w:cs="Arial"/>
          <w:spacing w:val="-4"/>
          <w:sz w:val="18"/>
          <w:szCs w:val="18"/>
        </w:rPr>
        <w:lastRenderedPageBreak/>
        <w:t>que la estimación de los costos de los servicios cursados a través de cada red ha</w:t>
      </w:r>
      <w:r w:rsidR="008E2060" w:rsidRPr="00472214">
        <w:rPr>
          <w:rFonts w:ascii="Arial" w:hAnsi="Arial" w:cs="Arial"/>
          <w:spacing w:val="-4"/>
          <w:sz w:val="18"/>
          <w:szCs w:val="18"/>
        </w:rPr>
        <w:t>ce</w:t>
      </w:r>
      <w:r w:rsidR="008E04CE" w:rsidRPr="00472214">
        <w:rPr>
          <w:rFonts w:ascii="Arial" w:hAnsi="Arial" w:cs="Arial"/>
          <w:spacing w:val="-4"/>
          <w:sz w:val="18"/>
          <w:szCs w:val="18"/>
        </w:rPr>
        <w:t xml:space="preserve"> el mayor uso posible de parámetros específicos, a fin de lograr la estimación más precisa en cada caso. Por este motivo, </w:t>
      </w:r>
      <w:r w:rsidR="0091569A">
        <w:rPr>
          <w:rFonts w:ascii="Arial" w:hAnsi="Arial" w:cs="Arial"/>
          <w:spacing w:val="-4"/>
          <w:sz w:val="18"/>
          <w:szCs w:val="18"/>
        </w:rPr>
        <w:t xml:space="preserve">es que se </w:t>
      </w:r>
      <w:r w:rsidR="004C7E34" w:rsidRPr="004C7E34">
        <w:rPr>
          <w:rFonts w:ascii="Arial" w:hAnsi="Arial" w:cs="Arial"/>
          <w:spacing w:val="-4"/>
          <w:sz w:val="18"/>
          <w:szCs w:val="18"/>
        </w:rPr>
        <w:t>continúa</w:t>
      </w:r>
      <w:r w:rsidR="008E04CE" w:rsidRPr="00472214">
        <w:rPr>
          <w:rFonts w:ascii="Arial" w:hAnsi="Arial" w:cs="Arial"/>
          <w:spacing w:val="-4"/>
          <w:sz w:val="18"/>
          <w:szCs w:val="18"/>
        </w:rPr>
        <w:t xml:space="preserve"> manteniendo la desagregación entre el CCPP de redes fijas y redes móviles.</w:t>
      </w:r>
    </w:p>
    <w:p w14:paraId="7BBC2DA9" w14:textId="77777777" w:rsidR="0091569A" w:rsidRPr="00472214" w:rsidRDefault="0091569A" w:rsidP="00472214">
      <w:pPr>
        <w:spacing w:after="0"/>
        <w:jc w:val="both"/>
        <w:rPr>
          <w:rFonts w:ascii="Arial" w:hAnsi="Arial" w:cs="Arial"/>
          <w:spacing w:val="-4"/>
          <w:sz w:val="18"/>
          <w:szCs w:val="18"/>
        </w:rPr>
      </w:pPr>
    </w:p>
    <w:p w14:paraId="054D2F99" w14:textId="00B7549B" w:rsidR="008E04CE" w:rsidRDefault="004C7E34" w:rsidP="0060160F">
      <w:pPr>
        <w:spacing w:after="0"/>
        <w:jc w:val="both"/>
        <w:rPr>
          <w:rFonts w:ascii="Arial" w:hAnsi="Arial" w:cs="Arial"/>
          <w:spacing w:val="-4"/>
          <w:sz w:val="18"/>
          <w:szCs w:val="18"/>
        </w:rPr>
      </w:pPr>
      <w:r>
        <w:rPr>
          <w:rFonts w:ascii="Arial" w:hAnsi="Arial" w:cs="Arial"/>
          <w:spacing w:val="-4"/>
          <w:sz w:val="18"/>
          <w:szCs w:val="18"/>
        </w:rPr>
        <w:t>Asimismo,</w:t>
      </w:r>
      <w:r w:rsidR="008E04CE" w:rsidRPr="00472214">
        <w:rPr>
          <w:rFonts w:ascii="Arial" w:hAnsi="Arial" w:cs="Arial"/>
          <w:spacing w:val="-4"/>
          <w:sz w:val="18"/>
          <w:szCs w:val="18"/>
        </w:rPr>
        <w:t xml:space="preserve"> se realizará una estimación de un CCPP promedio de la industria de las telecomunicaciones en México (diferenciado entre redes fijas y redes móviles)</w:t>
      </w:r>
      <w:r w:rsidR="007430AE">
        <w:rPr>
          <w:rFonts w:ascii="Arial" w:hAnsi="Arial" w:cs="Arial"/>
          <w:spacing w:val="-4"/>
          <w:sz w:val="18"/>
          <w:szCs w:val="18"/>
        </w:rPr>
        <w:t xml:space="preserve"> aplicables a los diferentes modelos de costos que pueda desarrollar el Instituto</w:t>
      </w:r>
      <w:r w:rsidR="008E04CE" w:rsidRPr="00472214">
        <w:rPr>
          <w:rFonts w:ascii="Arial" w:hAnsi="Arial" w:cs="Arial"/>
          <w:spacing w:val="-4"/>
          <w:sz w:val="18"/>
          <w:szCs w:val="18"/>
        </w:rPr>
        <w:t>. Esta alternativa se considera apropiada para la definición del CCPP por los siguientes motivos:</w:t>
      </w:r>
    </w:p>
    <w:p w14:paraId="21EFDAF1" w14:textId="77777777" w:rsidR="00921C36" w:rsidRDefault="00921C36" w:rsidP="004A0A71">
      <w:pPr>
        <w:spacing w:after="0"/>
        <w:ind w:left="709" w:hanging="357"/>
        <w:jc w:val="both"/>
        <w:rPr>
          <w:rFonts w:ascii="Arial" w:hAnsi="Arial" w:cs="Arial"/>
          <w:spacing w:val="-4"/>
          <w:sz w:val="18"/>
          <w:szCs w:val="18"/>
        </w:rPr>
      </w:pPr>
    </w:p>
    <w:p w14:paraId="00391F47" w14:textId="342B5E2C" w:rsidR="004900D4" w:rsidRPr="00472214" w:rsidRDefault="004900D4" w:rsidP="004A0A71">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P</w:t>
      </w:r>
      <w:r w:rsidR="00921C36" w:rsidRPr="00472214">
        <w:rPr>
          <w:rFonts w:cs="Arial"/>
          <w:spacing w:val="-4"/>
          <w:sz w:val="18"/>
          <w:szCs w:val="18"/>
        </w:rPr>
        <w:t>ermite una definición objetiva de un operador eficiente, ya que la utilización de parámetros específicos por operador llevaría a contabilizar las posibles ineficiencias de los operadores</w:t>
      </w:r>
      <w:r>
        <w:rPr>
          <w:rFonts w:cs="Arial"/>
          <w:spacing w:val="-4"/>
          <w:sz w:val="18"/>
          <w:szCs w:val="18"/>
        </w:rPr>
        <w:t>.</w:t>
      </w:r>
    </w:p>
    <w:p w14:paraId="672E0E0D" w14:textId="2DDAB352" w:rsidR="00921C36" w:rsidRDefault="00961E4E" w:rsidP="004A0A71">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D</w:t>
      </w:r>
      <w:r w:rsidR="00921C36" w:rsidRPr="00472214">
        <w:rPr>
          <w:rFonts w:cs="Arial"/>
          <w:spacing w:val="-4"/>
          <w:sz w:val="18"/>
          <w:szCs w:val="18"/>
        </w:rPr>
        <w:t>esde un punto de vista estadístico, los valores de un parámetro de un único operador tendrán un mayor error estadístico que aquellos sobre una muestra de empresas.</w:t>
      </w:r>
    </w:p>
    <w:p w14:paraId="12DFBF5A" w14:textId="77777777" w:rsidR="004900D4" w:rsidRPr="00472214" w:rsidRDefault="004900D4" w:rsidP="00472214">
      <w:pPr>
        <w:pStyle w:val="Prrafodelista"/>
        <w:ind w:left="720"/>
        <w:jc w:val="both"/>
        <w:rPr>
          <w:rFonts w:cs="Arial"/>
          <w:spacing w:val="-4"/>
          <w:sz w:val="18"/>
          <w:szCs w:val="18"/>
        </w:rPr>
      </w:pPr>
    </w:p>
    <w:p w14:paraId="51C236F3" w14:textId="43ED98F3" w:rsidR="00921C36" w:rsidRDefault="00921C36" w:rsidP="00921C36">
      <w:pPr>
        <w:spacing w:after="0"/>
        <w:jc w:val="both"/>
        <w:rPr>
          <w:rFonts w:ascii="Arial" w:hAnsi="Arial" w:cs="Arial"/>
          <w:spacing w:val="-4"/>
          <w:sz w:val="18"/>
          <w:szCs w:val="18"/>
        </w:rPr>
      </w:pPr>
      <w:r w:rsidRPr="00921C36">
        <w:rPr>
          <w:rFonts w:ascii="Arial" w:hAnsi="Arial" w:cs="Arial"/>
          <w:spacing w:val="-4"/>
          <w:sz w:val="18"/>
          <w:szCs w:val="18"/>
        </w:rPr>
        <w:t>Cabe destacar que los modelos de costos no representan, directamente, a ningún operador real del mercado. Los modelos desarrollan las hipótesis necesarias para modelar operadores eficientes con una escala</w:t>
      </w:r>
      <w:r w:rsidR="00933F5A">
        <w:rPr>
          <w:rFonts w:ascii="Arial" w:hAnsi="Arial" w:cs="Arial"/>
          <w:spacing w:val="-4"/>
          <w:sz w:val="18"/>
          <w:szCs w:val="18"/>
        </w:rPr>
        <w:t xml:space="preserve"> o</w:t>
      </w:r>
      <w:r w:rsidR="002F0BF6">
        <w:rPr>
          <w:rFonts w:ascii="Arial" w:hAnsi="Arial" w:cs="Arial"/>
          <w:spacing w:val="-4"/>
          <w:sz w:val="18"/>
          <w:szCs w:val="18"/>
        </w:rPr>
        <w:t xml:space="preserve"> características</w:t>
      </w:r>
      <w:r w:rsidRPr="00921C36">
        <w:rPr>
          <w:rFonts w:ascii="Arial" w:hAnsi="Arial" w:cs="Arial"/>
          <w:spacing w:val="-4"/>
          <w:sz w:val="18"/>
          <w:szCs w:val="18"/>
        </w:rPr>
        <w:t xml:space="preserve"> determinada</w:t>
      </w:r>
      <w:r w:rsidR="002F0BF6">
        <w:rPr>
          <w:rFonts w:ascii="Arial" w:hAnsi="Arial" w:cs="Arial"/>
          <w:spacing w:val="-4"/>
          <w:sz w:val="18"/>
          <w:szCs w:val="18"/>
        </w:rPr>
        <w:t>s</w:t>
      </w:r>
      <w:r w:rsidRPr="00921C36">
        <w:rPr>
          <w:rFonts w:ascii="Arial" w:hAnsi="Arial" w:cs="Arial"/>
          <w:spacing w:val="-4"/>
          <w:sz w:val="18"/>
          <w:szCs w:val="18"/>
        </w:rPr>
        <w:t>. Por este motivo, la utilización de un CCPP específico de un operador concreto no sería apropiado en el contexto de la definición de los operadores modelados. En esta misma línea, no se considera apropiado establecer un cálculo diferenciado para las distintas divisiones de</w:t>
      </w:r>
      <w:r w:rsidR="00054ECB">
        <w:rPr>
          <w:rFonts w:ascii="Arial" w:hAnsi="Arial" w:cs="Arial"/>
          <w:spacing w:val="-4"/>
          <w:sz w:val="18"/>
          <w:szCs w:val="18"/>
        </w:rPr>
        <w:t xml:space="preserve"> las empresas</w:t>
      </w:r>
      <w:r w:rsidRPr="00921C36">
        <w:rPr>
          <w:rFonts w:ascii="Arial" w:hAnsi="Arial" w:cs="Arial"/>
          <w:spacing w:val="-4"/>
          <w:sz w:val="18"/>
          <w:szCs w:val="18"/>
        </w:rPr>
        <w:t xml:space="preserve"> de telecomunicaciones</w:t>
      </w:r>
      <w:r w:rsidR="008C0B3D">
        <w:rPr>
          <w:rFonts w:ascii="Arial" w:hAnsi="Arial" w:cs="Arial"/>
          <w:spacing w:val="-4"/>
          <w:sz w:val="18"/>
          <w:szCs w:val="18"/>
        </w:rPr>
        <w:t xml:space="preserve"> más que la diferenciación entre redes fijas y móviles</w:t>
      </w:r>
      <w:r w:rsidR="00000F04">
        <w:rPr>
          <w:rFonts w:ascii="Arial" w:hAnsi="Arial" w:cs="Arial"/>
          <w:spacing w:val="-4"/>
          <w:sz w:val="18"/>
          <w:szCs w:val="18"/>
        </w:rPr>
        <w:t xml:space="preserve"> la cual surge de una definición normativa</w:t>
      </w:r>
      <w:r w:rsidRPr="00921C36">
        <w:rPr>
          <w:rFonts w:ascii="Arial" w:hAnsi="Arial" w:cs="Arial"/>
          <w:spacing w:val="-4"/>
          <w:sz w:val="18"/>
          <w:szCs w:val="18"/>
        </w:rPr>
        <w:t>.</w:t>
      </w:r>
    </w:p>
    <w:p w14:paraId="3F9D86FF" w14:textId="77777777" w:rsidR="0035579C" w:rsidRDefault="0035579C" w:rsidP="00921C36">
      <w:pPr>
        <w:spacing w:after="0"/>
        <w:jc w:val="both"/>
        <w:rPr>
          <w:rFonts w:ascii="Arial" w:hAnsi="Arial" w:cs="Arial"/>
          <w:spacing w:val="-4"/>
          <w:sz w:val="18"/>
          <w:szCs w:val="18"/>
        </w:rPr>
      </w:pPr>
    </w:p>
    <w:p w14:paraId="022ACB9F" w14:textId="77777777" w:rsidR="0035579C" w:rsidRDefault="0035579C" w:rsidP="0035579C">
      <w:pPr>
        <w:spacing w:after="0"/>
        <w:rPr>
          <w:rFonts w:ascii="Arial" w:hAnsi="Arial" w:cs="Arial"/>
          <w:b/>
          <w:sz w:val="18"/>
          <w:szCs w:val="18"/>
        </w:rPr>
      </w:pPr>
      <w:r>
        <w:rPr>
          <w:rFonts w:ascii="Arial" w:hAnsi="Arial" w:cs="Arial"/>
          <w:b/>
          <w:sz w:val="18"/>
          <w:szCs w:val="18"/>
        </w:rPr>
        <w:t>Periodo de referencia</w:t>
      </w:r>
    </w:p>
    <w:p w14:paraId="3ED23D65" w14:textId="77777777" w:rsidR="0035579C" w:rsidRPr="001B525F" w:rsidRDefault="0035579C" w:rsidP="0035579C">
      <w:pPr>
        <w:spacing w:after="0"/>
        <w:rPr>
          <w:rFonts w:ascii="Arial" w:hAnsi="Arial" w:cs="Arial"/>
          <w:sz w:val="18"/>
          <w:szCs w:val="18"/>
        </w:rPr>
      </w:pPr>
    </w:p>
    <w:p w14:paraId="228A3319" w14:textId="33A08A14" w:rsidR="0035579C" w:rsidRDefault="0035579C" w:rsidP="0035579C">
      <w:pPr>
        <w:spacing w:after="0"/>
        <w:jc w:val="both"/>
        <w:rPr>
          <w:rFonts w:ascii="Arial" w:hAnsi="Arial" w:cs="Arial"/>
          <w:spacing w:val="-4"/>
          <w:sz w:val="18"/>
          <w:szCs w:val="18"/>
        </w:rPr>
      </w:pPr>
      <w:r w:rsidRPr="00EA5657">
        <w:rPr>
          <w:rFonts w:ascii="Arial" w:hAnsi="Arial" w:cs="Arial"/>
          <w:spacing w:val="-4"/>
          <w:sz w:val="18"/>
          <w:szCs w:val="18"/>
        </w:rPr>
        <w:t xml:space="preserve">Los modelos de costos parten de una base de costos incrementales </w:t>
      </w:r>
      <w:r>
        <w:rPr>
          <w:rFonts w:ascii="Arial" w:hAnsi="Arial" w:cs="Arial"/>
          <w:spacing w:val="-4"/>
          <w:sz w:val="18"/>
          <w:szCs w:val="18"/>
        </w:rPr>
        <w:t>de</w:t>
      </w:r>
      <w:r w:rsidRPr="00EA5657">
        <w:rPr>
          <w:rFonts w:ascii="Arial" w:hAnsi="Arial" w:cs="Arial"/>
          <w:spacing w:val="-4"/>
          <w:sz w:val="18"/>
          <w:szCs w:val="18"/>
        </w:rPr>
        <w:t xml:space="preserve"> largo plazo. El concepto de largo plazo implica que los distintos parámetros incluidos para la estimación de costos deben tener una naturaleza fundamentalmente prospectiva, con el objetivo de que sean representativos, al menos para el periodo regulatorio (2024–</w:t>
      </w:r>
      <w:r>
        <w:rPr>
          <w:rFonts w:ascii="Arial" w:hAnsi="Arial" w:cs="Arial"/>
          <w:spacing w:val="-4"/>
          <w:sz w:val="18"/>
          <w:szCs w:val="18"/>
        </w:rPr>
        <w:t>20</w:t>
      </w:r>
      <w:r w:rsidRPr="00EA5657">
        <w:rPr>
          <w:rFonts w:ascii="Arial" w:hAnsi="Arial" w:cs="Arial"/>
          <w:spacing w:val="-4"/>
          <w:sz w:val="18"/>
          <w:szCs w:val="18"/>
        </w:rPr>
        <w:t>26). De esta manera los distintos parámetros que se incluyan en la estimación del CCPP deberán ser, en la medida de lo posible, determinados con esta visión prospectiva</w:t>
      </w:r>
      <w:r w:rsidR="0004340B">
        <w:rPr>
          <w:rFonts w:ascii="Arial" w:hAnsi="Arial" w:cs="Arial"/>
          <w:spacing w:val="-4"/>
          <w:sz w:val="18"/>
          <w:szCs w:val="18"/>
        </w:rPr>
        <w:t xml:space="preserve"> </w:t>
      </w:r>
      <w:r>
        <w:rPr>
          <w:rFonts w:ascii="Arial" w:hAnsi="Arial" w:cs="Arial"/>
          <w:spacing w:val="-4"/>
          <w:sz w:val="18"/>
          <w:szCs w:val="18"/>
        </w:rPr>
        <w:t>al representar periodos de largo plazo, se debe ser cuidadoso en suavizar efectos de corto plazo que podrían reflejar de forma inadecuada la prospectiva financiera, por lo que se considera adecuado estimar los parámetros del CCPP con base en promedios de las variables relevantes.</w:t>
      </w:r>
    </w:p>
    <w:p w14:paraId="2AD703AD" w14:textId="77777777" w:rsidR="0035579C" w:rsidRDefault="0035579C" w:rsidP="0035579C">
      <w:pPr>
        <w:spacing w:after="0"/>
        <w:jc w:val="both"/>
        <w:rPr>
          <w:rFonts w:ascii="Arial" w:hAnsi="Arial" w:cs="Arial"/>
          <w:spacing w:val="-4"/>
          <w:sz w:val="18"/>
          <w:szCs w:val="18"/>
        </w:rPr>
      </w:pPr>
    </w:p>
    <w:p w14:paraId="15B4C32A" w14:textId="77777777" w:rsidR="0035579C" w:rsidRDefault="0035579C" w:rsidP="0035579C">
      <w:pPr>
        <w:spacing w:after="0"/>
        <w:jc w:val="both"/>
        <w:rPr>
          <w:rFonts w:ascii="Arial" w:hAnsi="Arial" w:cs="Arial"/>
          <w:spacing w:val="-4"/>
          <w:sz w:val="18"/>
          <w:szCs w:val="18"/>
        </w:rPr>
      </w:pPr>
      <w:r>
        <w:rPr>
          <w:rFonts w:ascii="Arial" w:hAnsi="Arial" w:cs="Arial"/>
          <w:spacing w:val="-4"/>
          <w:sz w:val="18"/>
          <w:szCs w:val="18"/>
        </w:rPr>
        <w:t xml:space="preserve">En este sentido, </w:t>
      </w:r>
      <w:r w:rsidRPr="00EA5657">
        <w:rPr>
          <w:rFonts w:ascii="Arial" w:hAnsi="Arial" w:cs="Arial"/>
          <w:spacing w:val="-4"/>
          <w:sz w:val="18"/>
          <w:szCs w:val="18"/>
        </w:rPr>
        <w:t>surge una cuestión relacionada con el horizonte de promediado razonable para los parámetros incluidos en los modelos de costos. Este horizonte de promediado es necesario por dos motivos:</w:t>
      </w:r>
    </w:p>
    <w:p w14:paraId="52AFE864" w14:textId="77777777" w:rsidR="0035579C" w:rsidRPr="00EA5657" w:rsidRDefault="0035579C" w:rsidP="004A0A71">
      <w:pPr>
        <w:spacing w:after="0"/>
        <w:ind w:left="709" w:hanging="357"/>
        <w:jc w:val="both"/>
        <w:rPr>
          <w:rFonts w:ascii="Arial" w:hAnsi="Arial" w:cs="Arial"/>
          <w:spacing w:val="-4"/>
          <w:sz w:val="18"/>
          <w:szCs w:val="18"/>
        </w:rPr>
      </w:pPr>
    </w:p>
    <w:p w14:paraId="41731EC4" w14:textId="77777777" w:rsidR="0035579C" w:rsidRPr="00EA5657" w:rsidRDefault="0035579C" w:rsidP="004A0A71">
      <w:pPr>
        <w:numPr>
          <w:ilvl w:val="0"/>
          <w:numId w:val="18"/>
        </w:numPr>
        <w:spacing w:after="0"/>
        <w:ind w:left="709" w:hanging="357"/>
        <w:jc w:val="both"/>
        <w:rPr>
          <w:rFonts w:ascii="Arial" w:hAnsi="Arial" w:cs="Arial"/>
          <w:spacing w:val="-4"/>
          <w:sz w:val="18"/>
          <w:szCs w:val="18"/>
        </w:rPr>
      </w:pPr>
      <w:r w:rsidRPr="00EA5657">
        <w:rPr>
          <w:rFonts w:ascii="Arial" w:hAnsi="Arial" w:cs="Arial"/>
          <w:spacing w:val="-4"/>
          <w:sz w:val="18"/>
          <w:szCs w:val="18"/>
        </w:rPr>
        <w:t xml:space="preserve">Cada uno de los parámetros se publica con una regularidad diferenciada (por ejemplo, el rendimiento de los bonos del estado, o la cotización de los operadores se puede observar de manera diaria), mientras que la información de los operadores (incluidos sus estados financieros) solo está disponible de manera anual o trimestral. </w:t>
      </w:r>
    </w:p>
    <w:p w14:paraId="78702841" w14:textId="77777777" w:rsidR="0035579C" w:rsidRDefault="0035579C" w:rsidP="004A0A71">
      <w:pPr>
        <w:numPr>
          <w:ilvl w:val="0"/>
          <w:numId w:val="18"/>
        </w:numPr>
        <w:spacing w:after="0"/>
        <w:ind w:left="709" w:hanging="357"/>
        <w:jc w:val="both"/>
        <w:rPr>
          <w:rFonts w:ascii="Arial" w:eastAsia="Times New Roman" w:hAnsi="Arial" w:cs="Arial"/>
          <w:spacing w:val="-4"/>
          <w:sz w:val="18"/>
          <w:szCs w:val="18"/>
          <w:lang w:eastAsia="es-ES"/>
        </w:rPr>
      </w:pPr>
      <w:r w:rsidRPr="00EA5657">
        <w:rPr>
          <w:rFonts w:ascii="Arial" w:eastAsia="Times New Roman" w:hAnsi="Arial" w:cs="Arial"/>
          <w:spacing w:val="-4"/>
          <w:sz w:val="18"/>
          <w:szCs w:val="18"/>
          <w:lang w:eastAsia="es-ES"/>
        </w:rPr>
        <w:t xml:space="preserve">Los modelos de costos realizan estimaciones de los costos de los servicios a largo plazo, mientras que las medidas de algunos parámetros pueden sufrir cambios bruscos a corto plazo (por ejemplo, por un cambio transitorio en las condiciones macroeconómicas). </w:t>
      </w:r>
      <w:r>
        <w:rPr>
          <w:rFonts w:ascii="Arial" w:eastAsia="Times New Roman" w:hAnsi="Arial" w:cs="Arial"/>
          <w:spacing w:val="-4"/>
          <w:sz w:val="18"/>
          <w:szCs w:val="18"/>
          <w:lang w:eastAsia="es-ES"/>
        </w:rPr>
        <w:t>E</w:t>
      </w:r>
      <w:r w:rsidRPr="00EA5657">
        <w:rPr>
          <w:rFonts w:ascii="Arial" w:eastAsia="Times New Roman" w:hAnsi="Arial" w:cs="Arial"/>
          <w:spacing w:val="-4"/>
          <w:sz w:val="18"/>
          <w:szCs w:val="18"/>
          <w:lang w:eastAsia="es-ES"/>
        </w:rPr>
        <w:t>l hecho de que se den variaciones significativas en los precios de los servicios regulados a corto plazo podría generar una cierta inseguridad en la industria, lo que conllevaría un posible impacto negativo sobre la inversión y la innovación en el sector.</w:t>
      </w:r>
    </w:p>
    <w:p w14:paraId="01C54AC4" w14:textId="77777777" w:rsidR="0035579C" w:rsidRPr="00EA5657" w:rsidRDefault="0035579C" w:rsidP="0035579C">
      <w:pPr>
        <w:spacing w:after="0"/>
        <w:ind w:left="720"/>
        <w:jc w:val="both"/>
        <w:rPr>
          <w:rFonts w:ascii="Arial" w:eastAsia="Times New Roman" w:hAnsi="Arial" w:cs="Arial"/>
          <w:spacing w:val="-4"/>
          <w:sz w:val="18"/>
          <w:szCs w:val="18"/>
          <w:lang w:eastAsia="es-ES"/>
        </w:rPr>
      </w:pPr>
    </w:p>
    <w:p w14:paraId="08D1EC24" w14:textId="77777777" w:rsidR="0035579C" w:rsidRPr="00EA5657" w:rsidRDefault="0035579C" w:rsidP="0035579C">
      <w:pPr>
        <w:spacing w:after="0"/>
        <w:jc w:val="both"/>
        <w:rPr>
          <w:rFonts w:ascii="Arial" w:hAnsi="Arial" w:cs="Arial"/>
          <w:spacing w:val="-4"/>
          <w:sz w:val="18"/>
          <w:szCs w:val="18"/>
        </w:rPr>
      </w:pPr>
      <w:r w:rsidRPr="00EA5657">
        <w:rPr>
          <w:rFonts w:ascii="Arial" w:hAnsi="Arial" w:cs="Arial"/>
          <w:spacing w:val="-4"/>
          <w:sz w:val="18"/>
          <w:szCs w:val="18"/>
        </w:rPr>
        <w:t xml:space="preserve">Sobre esta base, el horizonte de promediado debe asegurar que: i) los distintos parámetros son comparables entre sí, y ii) el CCPP debería suavizar las fluctuaciones a corto plazo de los parámetros. Con este fin, es apropiado tomar un horizonte de promediado de cinco años. Este horizonte permite, por un lado, asegurar que todos los parámetros se pueden estimar con una base temporal homogénea y, adicionalmente, asegurar que se suavizan las fluctuaciones a corto plazo de los distintos parámetros involucrados en la estimación del CCPP, limitando en un futuro la necesidad de realizar ajustes metodológicos </w:t>
      </w:r>
      <w:r w:rsidRPr="00EA5657">
        <w:rPr>
          <w:rFonts w:ascii="Arial" w:hAnsi="Arial" w:cs="Arial"/>
          <w:spacing w:val="-4"/>
          <w:sz w:val="18"/>
          <w:szCs w:val="18"/>
        </w:rPr>
        <w:lastRenderedPageBreak/>
        <w:t>en épocas de gran variabilidad en el mercado. Este horizonte de promediado se encuentra alineado con el empleado por reguladores en otros países (como, por ejemplo, España</w:t>
      </w:r>
      <w:r w:rsidRPr="00472214">
        <w:rPr>
          <w:rFonts w:ascii="Arial" w:hAnsi="Arial" w:cs="Arial"/>
          <w:spacing w:val="-4"/>
          <w:sz w:val="18"/>
          <w:szCs w:val="18"/>
          <w:vertAlign w:val="superscript"/>
        </w:rPr>
        <w:footnoteReference w:id="23"/>
      </w:r>
      <w:r w:rsidRPr="00EA5657">
        <w:rPr>
          <w:rFonts w:ascii="Arial" w:hAnsi="Arial" w:cs="Arial"/>
          <w:spacing w:val="-4"/>
          <w:sz w:val="18"/>
          <w:szCs w:val="18"/>
        </w:rPr>
        <w:t>, Alemania</w:t>
      </w:r>
      <w:r w:rsidRPr="00472214">
        <w:rPr>
          <w:rFonts w:ascii="Arial" w:hAnsi="Arial" w:cs="Arial"/>
          <w:spacing w:val="-4"/>
          <w:sz w:val="18"/>
          <w:szCs w:val="18"/>
          <w:vertAlign w:val="superscript"/>
        </w:rPr>
        <w:footnoteReference w:id="24"/>
      </w:r>
      <w:r w:rsidRPr="00EA5657">
        <w:rPr>
          <w:rFonts w:ascii="Arial" w:hAnsi="Arial" w:cs="Arial"/>
          <w:spacing w:val="-4"/>
          <w:sz w:val="18"/>
          <w:szCs w:val="18"/>
        </w:rPr>
        <w:t xml:space="preserve"> o Italia</w:t>
      </w:r>
      <w:r w:rsidRPr="00472214">
        <w:rPr>
          <w:rFonts w:ascii="Arial" w:hAnsi="Arial" w:cs="Arial"/>
          <w:spacing w:val="-4"/>
          <w:sz w:val="18"/>
          <w:szCs w:val="18"/>
          <w:vertAlign w:val="superscript"/>
        </w:rPr>
        <w:footnoteReference w:id="25"/>
      </w:r>
      <w:r w:rsidRPr="00472214">
        <w:rPr>
          <w:rFonts w:ascii="Arial" w:hAnsi="Arial" w:cs="Arial"/>
          <w:spacing w:val="-4"/>
          <w:sz w:val="18"/>
          <w:szCs w:val="18"/>
          <w:vertAlign w:val="superscript"/>
        </w:rPr>
        <w:t>)</w:t>
      </w:r>
      <w:r w:rsidRPr="00EA5657">
        <w:rPr>
          <w:rFonts w:ascii="Arial" w:hAnsi="Arial" w:cs="Arial"/>
          <w:spacing w:val="-4"/>
          <w:sz w:val="18"/>
          <w:szCs w:val="18"/>
        </w:rPr>
        <w:t xml:space="preserve"> para la estimación del CCPP.</w:t>
      </w:r>
    </w:p>
    <w:p w14:paraId="2E29F6EA" w14:textId="77777777" w:rsidR="00644101" w:rsidRDefault="00644101" w:rsidP="00921C36">
      <w:pPr>
        <w:spacing w:after="0"/>
        <w:jc w:val="both"/>
        <w:rPr>
          <w:rFonts w:ascii="Arial" w:hAnsi="Arial" w:cs="Arial"/>
          <w:spacing w:val="-4"/>
          <w:sz w:val="18"/>
          <w:szCs w:val="18"/>
        </w:rPr>
      </w:pPr>
    </w:p>
    <w:p w14:paraId="5BFDD5C3" w14:textId="3FC82D20" w:rsidR="000B5DDE" w:rsidRDefault="008C25D4" w:rsidP="000B5DDE">
      <w:pPr>
        <w:spacing w:after="0"/>
        <w:rPr>
          <w:rFonts w:ascii="Arial" w:hAnsi="Arial" w:cs="Arial"/>
          <w:b/>
          <w:sz w:val="18"/>
          <w:szCs w:val="18"/>
        </w:rPr>
      </w:pPr>
      <w:r>
        <w:rPr>
          <w:rFonts w:ascii="Arial" w:hAnsi="Arial" w:cs="Arial"/>
          <w:b/>
          <w:sz w:val="18"/>
          <w:szCs w:val="18"/>
        </w:rPr>
        <w:t>Empresas comparables</w:t>
      </w:r>
    </w:p>
    <w:p w14:paraId="71D85A9F" w14:textId="77777777" w:rsidR="001E58C4" w:rsidRDefault="001E58C4" w:rsidP="00C16290">
      <w:pPr>
        <w:spacing w:after="0"/>
        <w:jc w:val="both"/>
        <w:rPr>
          <w:rFonts w:ascii="Arial" w:hAnsi="Arial" w:cs="Arial"/>
          <w:iCs/>
          <w:spacing w:val="-4"/>
          <w:sz w:val="18"/>
          <w:szCs w:val="18"/>
        </w:rPr>
      </w:pPr>
    </w:p>
    <w:p w14:paraId="47873A5F" w14:textId="08C260FC" w:rsidR="00C16290" w:rsidRDefault="001E58C4" w:rsidP="00C16290">
      <w:pPr>
        <w:spacing w:after="0"/>
        <w:jc w:val="both"/>
        <w:rPr>
          <w:rFonts w:ascii="Arial" w:hAnsi="Arial" w:cs="Arial"/>
          <w:iCs/>
          <w:spacing w:val="-4"/>
          <w:sz w:val="18"/>
          <w:szCs w:val="18"/>
        </w:rPr>
      </w:pPr>
      <w:r>
        <w:rPr>
          <w:rFonts w:ascii="Arial" w:hAnsi="Arial" w:cs="Arial"/>
          <w:iCs/>
          <w:spacing w:val="-4"/>
          <w:sz w:val="18"/>
          <w:szCs w:val="18"/>
        </w:rPr>
        <w:t xml:space="preserve">Se debe tener en cuenta que algunos </w:t>
      </w:r>
      <w:r w:rsidR="00C16290" w:rsidRPr="00C16290">
        <w:rPr>
          <w:rFonts w:ascii="Arial" w:hAnsi="Arial" w:cs="Arial"/>
          <w:iCs/>
          <w:spacing w:val="-4"/>
          <w:sz w:val="18"/>
          <w:szCs w:val="18"/>
        </w:rPr>
        <w:t xml:space="preserve">parámetros (como los niveles de apalancamiento o la beta) </w:t>
      </w:r>
      <w:r w:rsidR="00BF3F7C">
        <w:rPr>
          <w:rFonts w:ascii="Arial" w:hAnsi="Arial" w:cs="Arial"/>
          <w:iCs/>
          <w:spacing w:val="-4"/>
          <w:sz w:val="18"/>
          <w:szCs w:val="18"/>
        </w:rPr>
        <w:t xml:space="preserve">que forman parte del cálculo </w:t>
      </w:r>
      <w:r w:rsidR="0031221E">
        <w:rPr>
          <w:rFonts w:ascii="Arial" w:hAnsi="Arial" w:cs="Arial"/>
          <w:iCs/>
          <w:spacing w:val="-4"/>
          <w:sz w:val="18"/>
          <w:szCs w:val="18"/>
        </w:rPr>
        <w:t xml:space="preserve">del CCPP </w:t>
      </w:r>
      <w:r w:rsidR="00C16290" w:rsidRPr="00C16290">
        <w:rPr>
          <w:rFonts w:ascii="Arial" w:hAnsi="Arial" w:cs="Arial"/>
          <w:iCs/>
          <w:spacing w:val="-4"/>
          <w:sz w:val="18"/>
          <w:szCs w:val="18"/>
        </w:rPr>
        <w:t>son dependientes de las empresas o industria bajo análisis. Por este motivo, es necesario prestar atención a qué empresa o empresas se emplean para determinar estos parámetros.</w:t>
      </w:r>
      <w:r w:rsidR="00F94FBA">
        <w:rPr>
          <w:rFonts w:ascii="Arial" w:hAnsi="Arial" w:cs="Arial"/>
          <w:iCs/>
          <w:spacing w:val="-4"/>
          <w:sz w:val="18"/>
          <w:szCs w:val="18"/>
        </w:rPr>
        <w:t xml:space="preserve"> </w:t>
      </w:r>
      <w:r w:rsidR="00904BD3">
        <w:rPr>
          <w:rFonts w:ascii="Arial" w:hAnsi="Arial" w:cs="Arial"/>
          <w:iCs/>
          <w:spacing w:val="-4"/>
          <w:sz w:val="18"/>
          <w:szCs w:val="18"/>
        </w:rPr>
        <w:t>E</w:t>
      </w:r>
      <w:r w:rsidR="00C16290" w:rsidRPr="00C16290">
        <w:rPr>
          <w:rFonts w:ascii="Arial" w:hAnsi="Arial" w:cs="Arial"/>
          <w:iCs/>
          <w:spacing w:val="-4"/>
          <w:sz w:val="18"/>
          <w:szCs w:val="18"/>
        </w:rPr>
        <w:t>l CCPP a determinar debe ser representativo no de una empresa concreta, sino que debe representar un promedio industria</w:t>
      </w:r>
      <w:r w:rsidR="00904BD3">
        <w:rPr>
          <w:rFonts w:ascii="Arial" w:hAnsi="Arial" w:cs="Arial"/>
          <w:iCs/>
          <w:spacing w:val="-4"/>
          <w:sz w:val="18"/>
          <w:szCs w:val="18"/>
        </w:rPr>
        <w:t>l</w:t>
      </w:r>
      <w:r w:rsidR="00C16290" w:rsidRPr="00C16290">
        <w:rPr>
          <w:rFonts w:ascii="Arial" w:hAnsi="Arial" w:cs="Arial"/>
          <w:iCs/>
          <w:spacing w:val="-4"/>
          <w:sz w:val="18"/>
          <w:szCs w:val="18"/>
        </w:rPr>
        <w:t>, diferenciando entre redes fijas y móviles. Por este motivo, no se ha</w:t>
      </w:r>
      <w:r w:rsidR="00FC1FF6">
        <w:rPr>
          <w:rFonts w:ascii="Arial" w:hAnsi="Arial" w:cs="Arial"/>
          <w:iCs/>
          <w:spacing w:val="-4"/>
          <w:sz w:val="18"/>
          <w:szCs w:val="18"/>
        </w:rPr>
        <w:t>ce uso de</w:t>
      </w:r>
      <w:r w:rsidR="00C16290" w:rsidRPr="00C16290">
        <w:rPr>
          <w:rFonts w:ascii="Arial" w:hAnsi="Arial" w:cs="Arial"/>
          <w:iCs/>
          <w:spacing w:val="-4"/>
          <w:sz w:val="18"/>
          <w:szCs w:val="18"/>
        </w:rPr>
        <w:t xml:space="preserve"> parámetros específicos de una empresa en la estimación del CCPP, sino que </w:t>
      </w:r>
      <w:r w:rsidR="000B5DDE">
        <w:rPr>
          <w:rFonts w:ascii="Arial" w:hAnsi="Arial" w:cs="Arial"/>
          <w:iCs/>
          <w:spacing w:val="-4"/>
          <w:sz w:val="18"/>
          <w:szCs w:val="18"/>
        </w:rPr>
        <w:t>es</w:t>
      </w:r>
      <w:r w:rsidR="00C16290" w:rsidRPr="00C16290">
        <w:rPr>
          <w:rFonts w:ascii="Arial" w:hAnsi="Arial" w:cs="Arial"/>
          <w:iCs/>
          <w:spacing w:val="-4"/>
          <w:sz w:val="18"/>
          <w:szCs w:val="18"/>
        </w:rPr>
        <w:t xml:space="preserve"> necesario realizar una comparativa que permita tener una visión amplia de la situación de la industria.</w:t>
      </w:r>
    </w:p>
    <w:p w14:paraId="56045BA4" w14:textId="77777777" w:rsidR="000B5DDE" w:rsidRPr="00C16290" w:rsidRDefault="000B5DDE" w:rsidP="00C16290">
      <w:pPr>
        <w:spacing w:after="0"/>
        <w:jc w:val="both"/>
        <w:rPr>
          <w:rFonts w:ascii="Arial" w:hAnsi="Arial" w:cs="Arial"/>
          <w:iCs/>
          <w:spacing w:val="-4"/>
          <w:sz w:val="18"/>
          <w:szCs w:val="18"/>
        </w:rPr>
      </w:pPr>
    </w:p>
    <w:p w14:paraId="47B27ABB" w14:textId="2F16BD0B" w:rsidR="00C16290" w:rsidRDefault="00C16290" w:rsidP="00F109D8">
      <w:pPr>
        <w:spacing w:after="0"/>
        <w:jc w:val="both"/>
        <w:rPr>
          <w:rFonts w:ascii="Arial" w:hAnsi="Arial" w:cs="Arial"/>
          <w:iCs/>
          <w:spacing w:val="-4"/>
          <w:sz w:val="18"/>
          <w:szCs w:val="18"/>
        </w:rPr>
      </w:pPr>
      <w:r w:rsidRPr="00C16290">
        <w:rPr>
          <w:rFonts w:ascii="Arial" w:hAnsi="Arial" w:cs="Arial"/>
          <w:iCs/>
          <w:spacing w:val="-4"/>
          <w:sz w:val="18"/>
          <w:szCs w:val="18"/>
        </w:rPr>
        <w:t>En este sentido, el mercado mexicano, y también el latinoamericano en general, se encuentra dominado por grandes grupos de operadores de telecomunicaciones. Estos grupos operan en diversos países, dentro y fuera de Latinoamérica, y, en muchos casos, proveen todo tipo de servicios (fijos, móviles, regulados y no regulados) a lo largo de sus operaciones globales. Sin embargo, estas empresas presentan resultados consolidados a nivel global, lo cual conlleva establecer que los parámetros no son realmente representativos, de forma exclusiva, de la situación en México. Adicionalmente, dado que no todos los operadores en México cotizan públicamente, lograr una representatividad absoluta del mercado no es una tarea posible a través de información pública. Esta situación limita la información disponible</w:t>
      </w:r>
      <w:r w:rsidR="00F109D8">
        <w:rPr>
          <w:rFonts w:ascii="Arial" w:hAnsi="Arial" w:cs="Arial"/>
          <w:iCs/>
          <w:spacing w:val="-4"/>
          <w:sz w:val="18"/>
          <w:szCs w:val="18"/>
        </w:rPr>
        <w:t>.</w:t>
      </w:r>
    </w:p>
    <w:p w14:paraId="1A48E959" w14:textId="77777777" w:rsidR="00F109D8" w:rsidRPr="00C16290" w:rsidRDefault="00F109D8" w:rsidP="00F109D8">
      <w:pPr>
        <w:spacing w:after="0"/>
        <w:jc w:val="both"/>
        <w:rPr>
          <w:rFonts w:ascii="Arial" w:hAnsi="Arial" w:cs="Arial"/>
          <w:spacing w:val="-4"/>
          <w:sz w:val="18"/>
          <w:szCs w:val="18"/>
        </w:rPr>
      </w:pPr>
    </w:p>
    <w:p w14:paraId="2153D374" w14:textId="71017FC9" w:rsidR="00C16290" w:rsidRDefault="00C16290" w:rsidP="00C16290">
      <w:pPr>
        <w:spacing w:after="0"/>
        <w:jc w:val="both"/>
        <w:rPr>
          <w:rFonts w:ascii="Arial" w:hAnsi="Arial" w:cs="Arial"/>
          <w:spacing w:val="-4"/>
          <w:sz w:val="18"/>
          <w:szCs w:val="18"/>
        </w:rPr>
      </w:pPr>
      <w:r w:rsidRPr="00C16290">
        <w:rPr>
          <w:rFonts w:ascii="Arial" w:hAnsi="Arial" w:cs="Arial"/>
          <w:spacing w:val="-4"/>
          <w:sz w:val="18"/>
          <w:szCs w:val="18"/>
        </w:rPr>
        <w:t xml:space="preserve">De esta manera, surge la necesidad de incluir </w:t>
      </w:r>
      <w:r w:rsidR="00C900A1">
        <w:rPr>
          <w:rFonts w:ascii="Arial" w:hAnsi="Arial" w:cs="Arial"/>
          <w:spacing w:val="-4"/>
          <w:sz w:val="18"/>
          <w:szCs w:val="18"/>
        </w:rPr>
        <w:t>en una</w:t>
      </w:r>
      <w:r w:rsidRPr="00C16290">
        <w:rPr>
          <w:rFonts w:ascii="Arial" w:hAnsi="Arial" w:cs="Arial"/>
          <w:spacing w:val="-4"/>
          <w:sz w:val="18"/>
          <w:szCs w:val="18"/>
        </w:rPr>
        <w:t xml:space="preserve"> comparativa </w:t>
      </w:r>
      <w:r w:rsidR="00431E10">
        <w:rPr>
          <w:rFonts w:ascii="Arial" w:hAnsi="Arial" w:cs="Arial"/>
          <w:spacing w:val="-4"/>
          <w:sz w:val="18"/>
          <w:szCs w:val="18"/>
        </w:rPr>
        <w:t xml:space="preserve">no </w:t>
      </w:r>
      <w:r w:rsidRPr="00C16290">
        <w:rPr>
          <w:rFonts w:ascii="Arial" w:hAnsi="Arial" w:cs="Arial"/>
          <w:spacing w:val="-4"/>
          <w:sz w:val="18"/>
          <w:szCs w:val="18"/>
        </w:rPr>
        <w:t>solamente aquellas empresas que estén operando en México, si</w:t>
      </w:r>
      <w:r w:rsidR="00431E10">
        <w:rPr>
          <w:rFonts w:ascii="Arial" w:hAnsi="Arial" w:cs="Arial"/>
          <w:spacing w:val="-4"/>
          <w:sz w:val="18"/>
          <w:szCs w:val="18"/>
        </w:rPr>
        <w:t>no</w:t>
      </w:r>
      <w:r w:rsidRPr="00C16290">
        <w:rPr>
          <w:rFonts w:ascii="Arial" w:hAnsi="Arial" w:cs="Arial"/>
          <w:spacing w:val="-4"/>
          <w:sz w:val="18"/>
          <w:szCs w:val="18"/>
        </w:rPr>
        <w:t xml:space="preserve"> por el contrario resulta más apropiado añadir empresas que operen en otros países.</w:t>
      </w:r>
      <w:r w:rsidR="00236B65">
        <w:rPr>
          <w:rFonts w:ascii="Arial" w:hAnsi="Arial" w:cs="Arial"/>
          <w:spacing w:val="-4"/>
          <w:sz w:val="18"/>
          <w:szCs w:val="18"/>
        </w:rPr>
        <w:t xml:space="preserve"> Así, dado que </w:t>
      </w:r>
      <w:r w:rsidRPr="00C16290">
        <w:rPr>
          <w:rFonts w:ascii="Arial" w:hAnsi="Arial" w:cs="Arial"/>
          <w:spacing w:val="-4"/>
          <w:sz w:val="18"/>
          <w:szCs w:val="18"/>
        </w:rPr>
        <w:t>solamente existe información pública para un número limitado de operadores en México, esta podría no resultar suficiente para poder realizar una estimación apropiada de los principales indicadores necesarios para poder proceder al cálculo del CCPP en el mercado mexicano. Por este motivo, se ha optado por añadir una serie de empresas para robustecer el análisis.</w:t>
      </w:r>
    </w:p>
    <w:p w14:paraId="28006958" w14:textId="77777777" w:rsidR="00236B65" w:rsidRPr="00C16290" w:rsidRDefault="00236B65" w:rsidP="00C16290">
      <w:pPr>
        <w:spacing w:after="0"/>
        <w:jc w:val="both"/>
        <w:rPr>
          <w:rFonts w:ascii="Arial" w:hAnsi="Arial" w:cs="Arial"/>
          <w:spacing w:val="-4"/>
          <w:sz w:val="18"/>
          <w:szCs w:val="18"/>
        </w:rPr>
      </w:pPr>
    </w:p>
    <w:p w14:paraId="27E3D9C4" w14:textId="7C255243" w:rsidR="00C16290" w:rsidRDefault="00C16290" w:rsidP="00C16290">
      <w:pPr>
        <w:spacing w:after="0"/>
        <w:jc w:val="both"/>
        <w:rPr>
          <w:rFonts w:ascii="Arial" w:hAnsi="Arial" w:cs="Arial"/>
          <w:iCs/>
          <w:spacing w:val="-4"/>
          <w:sz w:val="18"/>
          <w:szCs w:val="18"/>
        </w:rPr>
      </w:pPr>
      <w:r w:rsidRPr="00C16290">
        <w:rPr>
          <w:rFonts w:ascii="Arial" w:hAnsi="Arial" w:cs="Arial"/>
          <w:iCs/>
          <w:spacing w:val="-4"/>
          <w:sz w:val="18"/>
          <w:szCs w:val="18"/>
        </w:rPr>
        <w:t>A la hora de seleccionar la lista de empresas adicionales que sean comparables al caso de México, se considera apropiado tomar como guía las directrices emitidas por el Organismo de Reguladores Europeos de Comunicaciones Electrónicas (BEREC, por sus siglas en ingl</w:t>
      </w:r>
      <w:r w:rsidR="00226FEF">
        <w:rPr>
          <w:rFonts w:ascii="Arial" w:hAnsi="Arial" w:cs="Arial"/>
          <w:iCs/>
          <w:spacing w:val="-4"/>
          <w:sz w:val="18"/>
          <w:szCs w:val="18"/>
        </w:rPr>
        <w:t>é</w:t>
      </w:r>
      <w:r w:rsidRPr="00C16290">
        <w:rPr>
          <w:rFonts w:ascii="Arial" w:hAnsi="Arial" w:cs="Arial"/>
          <w:iCs/>
          <w:spacing w:val="-4"/>
          <w:sz w:val="18"/>
          <w:szCs w:val="18"/>
        </w:rPr>
        <w:t>s) y respaldadas por la Comisión Europea. Según el BEREC, todas aquellas empresas comparables deberán</w:t>
      </w:r>
      <w:r w:rsidRPr="00C16290">
        <w:rPr>
          <w:rFonts w:ascii="Arial" w:hAnsi="Arial" w:cs="Arial"/>
          <w:iCs/>
          <w:spacing w:val="-4"/>
          <w:sz w:val="18"/>
          <w:szCs w:val="18"/>
          <w:vertAlign w:val="superscript"/>
        </w:rPr>
        <w:footnoteReference w:id="26"/>
      </w:r>
      <w:r w:rsidRPr="00C16290">
        <w:rPr>
          <w:rFonts w:ascii="Arial" w:hAnsi="Arial" w:cs="Arial"/>
          <w:iCs/>
          <w:spacing w:val="-4"/>
          <w:sz w:val="18"/>
          <w:szCs w:val="18"/>
        </w:rPr>
        <w:t>:</w:t>
      </w:r>
    </w:p>
    <w:p w14:paraId="0EDE278F" w14:textId="77777777" w:rsidR="003964FB" w:rsidRPr="00C16290" w:rsidRDefault="003964FB" w:rsidP="00C16290">
      <w:pPr>
        <w:spacing w:after="0"/>
        <w:jc w:val="both"/>
        <w:rPr>
          <w:rFonts w:ascii="Arial" w:hAnsi="Arial" w:cs="Arial"/>
          <w:iCs/>
          <w:spacing w:val="-4"/>
          <w:sz w:val="18"/>
          <w:szCs w:val="18"/>
        </w:rPr>
      </w:pPr>
    </w:p>
    <w:p w14:paraId="6B25F8C3" w14:textId="16E85066" w:rsidR="00C16290" w:rsidRPr="00472214" w:rsidRDefault="002E2410" w:rsidP="006945E8">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C</w:t>
      </w:r>
      <w:r w:rsidR="00C16290" w:rsidRPr="00472214">
        <w:rPr>
          <w:rFonts w:cs="Arial"/>
          <w:spacing w:val="-4"/>
          <w:sz w:val="18"/>
          <w:szCs w:val="18"/>
        </w:rPr>
        <w:t>otizar en bolsa y tener acciones con liquidez</w:t>
      </w:r>
      <w:r>
        <w:rPr>
          <w:rFonts w:cs="Arial"/>
          <w:spacing w:val="-4"/>
          <w:sz w:val="18"/>
          <w:szCs w:val="18"/>
        </w:rPr>
        <w:t>.</w:t>
      </w:r>
    </w:p>
    <w:p w14:paraId="2AC53266" w14:textId="2CF3DDDC" w:rsidR="00C16290" w:rsidRPr="00472214" w:rsidRDefault="002E2410" w:rsidP="006945E8">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P</w:t>
      </w:r>
      <w:r w:rsidR="00C16290" w:rsidRPr="00472214">
        <w:rPr>
          <w:rFonts w:cs="Arial"/>
          <w:spacing w:val="-4"/>
          <w:sz w:val="18"/>
          <w:szCs w:val="18"/>
        </w:rPr>
        <w:t>oseer infraestructuras de comunicaciones electrónicas e invertir en ellas</w:t>
      </w:r>
      <w:r>
        <w:rPr>
          <w:rFonts w:cs="Arial"/>
          <w:spacing w:val="-4"/>
          <w:sz w:val="18"/>
          <w:szCs w:val="18"/>
        </w:rPr>
        <w:t>.</w:t>
      </w:r>
    </w:p>
    <w:p w14:paraId="6A2B39B6" w14:textId="3440003B" w:rsidR="00C16290" w:rsidRPr="00472214" w:rsidRDefault="002E2410" w:rsidP="006945E8">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T</w:t>
      </w:r>
      <w:r w:rsidR="00C16290" w:rsidRPr="00472214">
        <w:rPr>
          <w:rFonts w:cs="Arial"/>
          <w:spacing w:val="-4"/>
          <w:sz w:val="18"/>
          <w:szCs w:val="18"/>
        </w:rPr>
        <w:t>ener sus operaciones principales ubicadas en la región económica objeto de estudio</w:t>
      </w:r>
      <w:r>
        <w:rPr>
          <w:rFonts w:cs="Arial"/>
          <w:spacing w:val="-4"/>
          <w:sz w:val="18"/>
          <w:szCs w:val="18"/>
        </w:rPr>
        <w:t>.</w:t>
      </w:r>
    </w:p>
    <w:p w14:paraId="1751DFF9" w14:textId="30BA9D45" w:rsidR="00C16290" w:rsidRPr="00C57408" w:rsidRDefault="002E2410" w:rsidP="006945E8">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T</w:t>
      </w:r>
      <w:r w:rsidR="00C16290" w:rsidRPr="00472214">
        <w:rPr>
          <w:rFonts w:cs="Arial"/>
          <w:spacing w:val="-4"/>
          <w:sz w:val="18"/>
          <w:szCs w:val="18"/>
        </w:rPr>
        <w:t>ener una calificación crediticia razonable</w:t>
      </w:r>
      <w:r w:rsidR="00C16290" w:rsidRPr="00C57408">
        <w:rPr>
          <w:rFonts w:eastAsia="Calibri" w:cs="Arial"/>
          <w:iCs/>
          <w:spacing w:val="-4"/>
          <w:sz w:val="18"/>
          <w:szCs w:val="18"/>
          <w:vertAlign w:val="superscript"/>
          <w:lang w:eastAsia="en-US"/>
        </w:rPr>
        <w:footnoteReference w:id="27"/>
      </w:r>
      <w:r w:rsidR="00C16290" w:rsidRPr="00C57408">
        <w:rPr>
          <w:rFonts w:eastAsia="Calibri" w:cs="Arial"/>
          <w:iCs/>
          <w:spacing w:val="-4"/>
          <w:sz w:val="18"/>
          <w:szCs w:val="18"/>
          <w:vertAlign w:val="superscript"/>
          <w:lang w:eastAsia="en-US"/>
        </w:rPr>
        <w:t xml:space="preserve"> </w:t>
      </w:r>
      <w:r>
        <w:rPr>
          <w:rFonts w:cs="Arial"/>
          <w:spacing w:val="-4"/>
          <w:sz w:val="18"/>
          <w:szCs w:val="18"/>
        </w:rPr>
        <w:t>.</w:t>
      </w:r>
    </w:p>
    <w:p w14:paraId="3B0A19AA" w14:textId="1932C4A6" w:rsidR="00C16290" w:rsidRPr="00C57408" w:rsidRDefault="002E2410" w:rsidP="006945E8">
      <w:pPr>
        <w:pStyle w:val="Prrafodelista"/>
        <w:numPr>
          <w:ilvl w:val="0"/>
          <w:numId w:val="18"/>
        </w:numPr>
        <w:spacing w:line="276" w:lineRule="auto"/>
        <w:ind w:left="709" w:hanging="357"/>
        <w:jc w:val="both"/>
        <w:rPr>
          <w:rFonts w:cs="Arial"/>
          <w:spacing w:val="-4"/>
          <w:sz w:val="18"/>
          <w:szCs w:val="18"/>
        </w:rPr>
      </w:pPr>
      <w:r>
        <w:rPr>
          <w:rFonts w:cs="Arial"/>
          <w:spacing w:val="-4"/>
          <w:sz w:val="18"/>
          <w:szCs w:val="18"/>
        </w:rPr>
        <w:t>N</w:t>
      </w:r>
      <w:r w:rsidR="00C16290" w:rsidRPr="00C57408">
        <w:rPr>
          <w:rFonts w:cs="Arial"/>
          <w:spacing w:val="-4"/>
          <w:sz w:val="18"/>
          <w:szCs w:val="18"/>
        </w:rPr>
        <w:t>o haber participado recientemente en ninguna fusión o adquisición sustancial asociada a infraestructura regulada.</w:t>
      </w:r>
    </w:p>
    <w:p w14:paraId="3D6846BE" w14:textId="77777777" w:rsidR="003964FB" w:rsidRDefault="003964FB" w:rsidP="00C16290">
      <w:pPr>
        <w:spacing w:after="0"/>
        <w:jc w:val="both"/>
        <w:rPr>
          <w:rFonts w:ascii="Arial" w:hAnsi="Arial" w:cs="Arial"/>
          <w:iCs/>
          <w:spacing w:val="-4"/>
          <w:sz w:val="18"/>
          <w:szCs w:val="18"/>
        </w:rPr>
      </w:pPr>
    </w:p>
    <w:p w14:paraId="2E922F27" w14:textId="2FD53636" w:rsidR="00B90029" w:rsidRDefault="00C16290" w:rsidP="00C16290">
      <w:pPr>
        <w:spacing w:after="0"/>
        <w:jc w:val="both"/>
        <w:rPr>
          <w:rFonts w:ascii="Arial" w:hAnsi="Arial" w:cs="Arial"/>
          <w:iCs/>
          <w:spacing w:val="-4"/>
          <w:sz w:val="18"/>
          <w:szCs w:val="18"/>
        </w:rPr>
      </w:pPr>
      <w:r w:rsidRPr="00C16290">
        <w:rPr>
          <w:rFonts w:ascii="Arial" w:hAnsi="Arial" w:cs="Arial"/>
          <w:iCs/>
          <w:spacing w:val="-4"/>
          <w:sz w:val="18"/>
          <w:szCs w:val="18"/>
        </w:rPr>
        <w:lastRenderedPageBreak/>
        <w:t xml:space="preserve">A fin de identificar las empresas de telecomunicaciones que cumplan con estos criterios, se ha realizado una búsqueda exhaustiva a lo largo de las bolsas de valores en México y Latinoamérica. </w:t>
      </w:r>
    </w:p>
    <w:p w14:paraId="7FED2316" w14:textId="77777777" w:rsidR="00C226B0" w:rsidRPr="00C16290" w:rsidRDefault="00C226B0" w:rsidP="00C16290">
      <w:pPr>
        <w:spacing w:after="0"/>
        <w:jc w:val="both"/>
        <w:rPr>
          <w:rFonts w:ascii="Arial" w:hAnsi="Arial" w:cs="Arial"/>
          <w:iCs/>
          <w:spacing w:val="-4"/>
          <w:sz w:val="18"/>
          <w:szCs w:val="18"/>
        </w:rPr>
      </w:pPr>
    </w:p>
    <w:p w14:paraId="43FBC8AE" w14:textId="345687A9" w:rsidR="00C16290" w:rsidRDefault="00C16290" w:rsidP="00C16290">
      <w:pPr>
        <w:spacing w:after="0"/>
        <w:jc w:val="both"/>
        <w:rPr>
          <w:rFonts w:ascii="Arial" w:hAnsi="Arial" w:cs="Arial"/>
          <w:spacing w:val="-4"/>
          <w:sz w:val="18"/>
          <w:szCs w:val="18"/>
        </w:rPr>
      </w:pPr>
      <w:r w:rsidRPr="00C16290">
        <w:rPr>
          <w:rFonts w:ascii="Arial" w:hAnsi="Arial" w:cs="Arial"/>
          <w:spacing w:val="-4"/>
          <w:sz w:val="18"/>
          <w:szCs w:val="18"/>
        </w:rPr>
        <w:t xml:space="preserve">Por otro lado, es necesario tratar de reflejar las diferencias en los parámetros entre las empresas que disponen de redes fijas y redes móviles. Debido a que cada día hay menos operadores </w:t>
      </w:r>
      <w:r w:rsidRPr="00472214">
        <w:rPr>
          <w:rFonts w:ascii="Arial" w:hAnsi="Arial" w:cs="Arial"/>
          <w:iCs/>
          <w:spacing w:val="-4"/>
          <w:sz w:val="18"/>
          <w:szCs w:val="18"/>
        </w:rPr>
        <w:t>que ofrezcan exclusivamente servicios sobre redes fijas o redes móviles</w:t>
      </w:r>
      <w:r w:rsidRPr="00CA741E">
        <w:rPr>
          <w:rFonts w:ascii="Arial" w:hAnsi="Arial" w:cs="Arial"/>
          <w:iCs/>
          <w:spacing w:val="-4"/>
          <w:sz w:val="18"/>
          <w:szCs w:val="18"/>
        </w:rPr>
        <w:t>, es n</w:t>
      </w:r>
      <w:r w:rsidRPr="00C16290">
        <w:rPr>
          <w:rFonts w:ascii="Arial" w:hAnsi="Arial" w:cs="Arial"/>
          <w:spacing w:val="-4"/>
          <w:sz w:val="18"/>
          <w:szCs w:val="18"/>
        </w:rPr>
        <w:t>ecesario llevar a cabo una desagregación de la tipología de cada operador, donde podemos distinguir entre tres tipos de operadores:</w:t>
      </w:r>
    </w:p>
    <w:p w14:paraId="5FC3D92F" w14:textId="77777777" w:rsidR="00E30395" w:rsidRPr="00C16290" w:rsidRDefault="00E30395" w:rsidP="00C16290">
      <w:pPr>
        <w:spacing w:after="0"/>
        <w:jc w:val="both"/>
        <w:rPr>
          <w:rFonts w:ascii="Arial" w:hAnsi="Arial" w:cs="Arial"/>
          <w:spacing w:val="-4"/>
          <w:sz w:val="18"/>
          <w:szCs w:val="18"/>
        </w:rPr>
      </w:pPr>
    </w:p>
    <w:p w14:paraId="5BB3F5FF" w14:textId="590D7B9A" w:rsidR="00E30395" w:rsidRPr="00C16290" w:rsidRDefault="00C16290" w:rsidP="0020685A">
      <w:pPr>
        <w:spacing w:after="0"/>
        <w:ind w:left="708"/>
        <w:jc w:val="both"/>
        <w:rPr>
          <w:rFonts w:ascii="Arial" w:hAnsi="Arial" w:cs="Arial"/>
          <w:spacing w:val="-4"/>
          <w:sz w:val="18"/>
          <w:szCs w:val="18"/>
        </w:rPr>
      </w:pPr>
      <w:r w:rsidRPr="00C16290">
        <w:rPr>
          <w:rFonts w:ascii="Arial" w:hAnsi="Arial" w:cs="Arial"/>
          <w:b/>
          <w:bCs/>
          <w:spacing w:val="-4"/>
          <w:sz w:val="18"/>
          <w:szCs w:val="18"/>
        </w:rPr>
        <w:t>Operadores predominantemente móviles</w:t>
      </w:r>
      <w:r w:rsidRPr="00C16290">
        <w:rPr>
          <w:rFonts w:ascii="Arial" w:hAnsi="Arial" w:cs="Arial"/>
          <w:spacing w:val="-4"/>
          <w:sz w:val="18"/>
          <w:szCs w:val="18"/>
        </w:rPr>
        <w:t xml:space="preserve"> – aquellos donde la mayoría de sus operaciones se correspondan con redes móviles.</w:t>
      </w:r>
    </w:p>
    <w:p w14:paraId="21E0B2F7" w14:textId="2669B4BD" w:rsidR="00E30395" w:rsidRPr="00C16290" w:rsidRDefault="00C16290" w:rsidP="0020685A">
      <w:pPr>
        <w:spacing w:after="0"/>
        <w:ind w:left="708"/>
        <w:jc w:val="both"/>
        <w:rPr>
          <w:rFonts w:ascii="Arial" w:hAnsi="Arial" w:cs="Arial"/>
          <w:spacing w:val="-4"/>
          <w:sz w:val="18"/>
          <w:szCs w:val="18"/>
        </w:rPr>
      </w:pPr>
      <w:r w:rsidRPr="00C16290">
        <w:rPr>
          <w:rFonts w:ascii="Arial" w:hAnsi="Arial" w:cs="Arial"/>
          <w:b/>
          <w:bCs/>
          <w:spacing w:val="-4"/>
          <w:sz w:val="18"/>
          <w:szCs w:val="18"/>
        </w:rPr>
        <w:t>Operadores predominantemente fijos</w:t>
      </w:r>
      <w:r w:rsidRPr="00C16290">
        <w:rPr>
          <w:rFonts w:ascii="Arial" w:hAnsi="Arial" w:cs="Arial"/>
          <w:spacing w:val="-4"/>
          <w:sz w:val="18"/>
          <w:szCs w:val="18"/>
        </w:rPr>
        <w:t xml:space="preserve"> – aquellos donde la mayoría de sus operaciones se correspondan con redes fijas.</w:t>
      </w:r>
    </w:p>
    <w:p w14:paraId="1FC82E4F" w14:textId="77777777" w:rsidR="00C16290" w:rsidRDefault="00C16290" w:rsidP="0020685A">
      <w:pPr>
        <w:spacing w:after="0"/>
        <w:ind w:left="708"/>
        <w:jc w:val="both"/>
        <w:rPr>
          <w:rFonts w:ascii="Arial" w:hAnsi="Arial" w:cs="Arial"/>
          <w:spacing w:val="-4"/>
          <w:sz w:val="18"/>
          <w:szCs w:val="18"/>
        </w:rPr>
      </w:pPr>
      <w:r w:rsidRPr="00C16290">
        <w:rPr>
          <w:rFonts w:ascii="Arial" w:hAnsi="Arial" w:cs="Arial"/>
          <w:b/>
          <w:bCs/>
          <w:spacing w:val="-4"/>
          <w:sz w:val="18"/>
          <w:szCs w:val="18"/>
        </w:rPr>
        <w:t>Operadores híbridos fijo–móvil</w:t>
      </w:r>
      <w:r w:rsidRPr="00C16290">
        <w:rPr>
          <w:rFonts w:ascii="Arial" w:hAnsi="Arial" w:cs="Arial"/>
          <w:spacing w:val="-4"/>
          <w:sz w:val="18"/>
          <w:szCs w:val="18"/>
        </w:rPr>
        <w:t xml:space="preserve"> – aquellos donde no se pueda establecer que el operador está centrado exclusivamente (o casi exclusivamente) en redes fijas o móviles.</w:t>
      </w:r>
    </w:p>
    <w:p w14:paraId="1D9DF42A" w14:textId="77777777" w:rsidR="00E30395" w:rsidRPr="00C16290" w:rsidRDefault="00E30395" w:rsidP="00C16290">
      <w:pPr>
        <w:spacing w:after="0"/>
        <w:jc w:val="both"/>
        <w:rPr>
          <w:rFonts w:ascii="Arial" w:hAnsi="Arial" w:cs="Arial"/>
          <w:spacing w:val="-4"/>
          <w:sz w:val="18"/>
          <w:szCs w:val="18"/>
        </w:rPr>
      </w:pPr>
    </w:p>
    <w:p w14:paraId="2922BE6F" w14:textId="0047ACAD" w:rsidR="00C16290" w:rsidRPr="00C16290" w:rsidRDefault="00C16290" w:rsidP="00695F14">
      <w:pPr>
        <w:spacing w:after="0"/>
        <w:jc w:val="both"/>
        <w:rPr>
          <w:rFonts w:ascii="Arial" w:hAnsi="Arial" w:cs="Arial"/>
          <w:bCs/>
          <w:i/>
          <w:spacing w:val="-4"/>
          <w:sz w:val="18"/>
          <w:szCs w:val="18"/>
        </w:rPr>
      </w:pPr>
      <w:r w:rsidRPr="00C16290">
        <w:rPr>
          <w:rFonts w:ascii="Arial" w:hAnsi="Arial" w:cs="Arial"/>
          <w:spacing w:val="-4"/>
          <w:sz w:val="18"/>
          <w:szCs w:val="18"/>
        </w:rPr>
        <w:t>Para realizar esta desagregación podrían seguirse distintos criterios, como por ejemplo el beneficio antes de intereses, impuestos, depreciaciones y amortizaciones (EBITDA, por sus siglas en inglés) o el volumen de usuarios. No obstante, esta información no es siempre pública y consistente entre los distintos operadores, por lo tanto</w:t>
      </w:r>
      <w:r w:rsidR="00695F14">
        <w:rPr>
          <w:rFonts w:ascii="Arial" w:hAnsi="Arial" w:cs="Arial"/>
          <w:spacing w:val="-4"/>
          <w:sz w:val="18"/>
          <w:szCs w:val="18"/>
        </w:rPr>
        <w:t>,</w:t>
      </w:r>
      <w:r w:rsidRPr="00C16290">
        <w:rPr>
          <w:rFonts w:ascii="Arial" w:hAnsi="Arial" w:cs="Arial"/>
          <w:spacing w:val="-4"/>
          <w:sz w:val="18"/>
          <w:szCs w:val="18"/>
        </w:rPr>
        <w:t xml:space="preserve"> se ha optado por realizar una desagregación cualitativa con base a la información pública de redes y operaciones de cada empresa. </w:t>
      </w:r>
    </w:p>
    <w:p w14:paraId="69A13C84" w14:textId="77777777" w:rsidR="00C16290" w:rsidRDefault="00C16290" w:rsidP="00C16290">
      <w:pPr>
        <w:spacing w:after="0"/>
        <w:jc w:val="both"/>
        <w:rPr>
          <w:rFonts w:ascii="Arial" w:hAnsi="Arial" w:cs="Arial"/>
          <w:spacing w:val="-4"/>
          <w:sz w:val="18"/>
          <w:szCs w:val="18"/>
        </w:rPr>
      </w:pPr>
      <w:r w:rsidRPr="00C16290">
        <w:rPr>
          <w:rFonts w:ascii="Arial" w:hAnsi="Arial" w:cs="Arial"/>
          <w:spacing w:val="-4"/>
          <w:sz w:val="18"/>
          <w:szCs w:val="18"/>
        </w:rPr>
        <w:br/>
        <w:t>Con base a esta información se puede determinar cada parámetro para el cálculo del CCPP de redes fijas y móviles de la siguiente manera:</w:t>
      </w:r>
    </w:p>
    <w:p w14:paraId="73D469FA" w14:textId="77777777" w:rsidR="00F64881" w:rsidRPr="00C16290" w:rsidRDefault="00F64881" w:rsidP="00C16290">
      <w:pPr>
        <w:spacing w:after="0"/>
        <w:jc w:val="both"/>
        <w:rPr>
          <w:rFonts w:ascii="Arial" w:hAnsi="Arial" w:cs="Arial"/>
          <w:spacing w:val="-4"/>
          <w:sz w:val="18"/>
          <w:szCs w:val="18"/>
        </w:rPr>
      </w:pPr>
    </w:p>
    <w:p w14:paraId="699B9640" w14:textId="77777777" w:rsidR="00C16290" w:rsidRPr="00C16290" w:rsidRDefault="00C16290" w:rsidP="0020685A">
      <w:pPr>
        <w:spacing w:after="0"/>
        <w:ind w:left="708"/>
        <w:jc w:val="both"/>
        <w:rPr>
          <w:rFonts w:ascii="Arial" w:hAnsi="Arial" w:cs="Arial"/>
          <w:spacing w:val="-4"/>
          <w:sz w:val="18"/>
          <w:szCs w:val="18"/>
        </w:rPr>
      </w:pPr>
      <w:r w:rsidRPr="00C16290">
        <w:rPr>
          <w:rFonts w:ascii="Arial" w:hAnsi="Arial" w:cs="Arial"/>
          <w:b/>
          <w:bCs/>
          <w:spacing w:val="-4"/>
          <w:sz w:val="18"/>
          <w:szCs w:val="18"/>
        </w:rPr>
        <w:t>CCPP de redes móviles</w:t>
      </w:r>
      <w:r w:rsidRPr="00C16290">
        <w:rPr>
          <w:rFonts w:ascii="Arial" w:hAnsi="Arial" w:cs="Arial"/>
          <w:spacing w:val="-4"/>
          <w:sz w:val="18"/>
          <w:szCs w:val="18"/>
        </w:rPr>
        <w:t xml:space="preserve"> – promedio de los indicadores de los operadores predominantemente móviles o híbridos fijo–móvil.</w:t>
      </w:r>
    </w:p>
    <w:p w14:paraId="10E01096" w14:textId="77777777" w:rsidR="00C16290" w:rsidRPr="00C16290" w:rsidRDefault="00C16290" w:rsidP="0020685A">
      <w:pPr>
        <w:spacing w:after="0"/>
        <w:ind w:left="708"/>
        <w:jc w:val="both"/>
        <w:rPr>
          <w:rFonts w:ascii="Arial" w:hAnsi="Arial" w:cs="Arial"/>
          <w:spacing w:val="-4"/>
          <w:sz w:val="18"/>
          <w:szCs w:val="18"/>
        </w:rPr>
      </w:pPr>
      <w:r w:rsidRPr="00C16290">
        <w:rPr>
          <w:rFonts w:ascii="Arial" w:hAnsi="Arial" w:cs="Arial"/>
          <w:b/>
          <w:bCs/>
          <w:spacing w:val="-4"/>
          <w:sz w:val="18"/>
          <w:szCs w:val="18"/>
        </w:rPr>
        <w:t>CCPP de redes fijas</w:t>
      </w:r>
      <w:r w:rsidRPr="00C16290">
        <w:rPr>
          <w:rFonts w:ascii="Arial" w:hAnsi="Arial" w:cs="Arial"/>
          <w:spacing w:val="-4"/>
          <w:sz w:val="18"/>
          <w:szCs w:val="18"/>
        </w:rPr>
        <w:t xml:space="preserve"> – promedio de los indicadores de los operadores predominantemente fijos o híbridos fijo–móvil.</w:t>
      </w:r>
    </w:p>
    <w:p w14:paraId="63F6D947" w14:textId="77777777" w:rsidR="00C16290" w:rsidRDefault="00C16290" w:rsidP="00921C36">
      <w:pPr>
        <w:spacing w:after="0"/>
        <w:jc w:val="both"/>
        <w:rPr>
          <w:rFonts w:ascii="Arial" w:hAnsi="Arial" w:cs="Arial"/>
          <w:spacing w:val="-4"/>
          <w:sz w:val="18"/>
          <w:szCs w:val="18"/>
        </w:rPr>
      </w:pPr>
    </w:p>
    <w:p w14:paraId="2FA28330" w14:textId="56EEC6A8" w:rsidR="00644101" w:rsidRPr="001B525F" w:rsidRDefault="00644101" w:rsidP="00644101">
      <w:pPr>
        <w:spacing w:after="0"/>
        <w:rPr>
          <w:rFonts w:ascii="Arial" w:hAnsi="Arial" w:cs="Arial"/>
          <w:b/>
          <w:sz w:val="18"/>
          <w:szCs w:val="18"/>
        </w:rPr>
      </w:pPr>
      <w:r>
        <w:rPr>
          <w:rFonts w:ascii="Arial" w:hAnsi="Arial" w:cs="Arial"/>
          <w:b/>
          <w:sz w:val="18"/>
          <w:szCs w:val="18"/>
        </w:rPr>
        <w:t>Formulación general del CCPP</w:t>
      </w:r>
    </w:p>
    <w:p w14:paraId="2845A418" w14:textId="77777777" w:rsidR="008E04CE" w:rsidRPr="001B525F" w:rsidRDefault="008E04CE" w:rsidP="00CC0143">
      <w:pPr>
        <w:spacing w:after="0"/>
        <w:rPr>
          <w:rFonts w:ascii="Arial" w:hAnsi="Arial" w:cs="Arial"/>
          <w:sz w:val="18"/>
          <w:szCs w:val="18"/>
        </w:rPr>
      </w:pPr>
    </w:p>
    <w:p w14:paraId="52E4AD06" w14:textId="77777777" w:rsidR="004F60DD" w:rsidRPr="004F60DD" w:rsidRDefault="004F60DD" w:rsidP="004F60DD">
      <w:pPr>
        <w:spacing w:after="0"/>
        <w:jc w:val="both"/>
        <w:rPr>
          <w:rFonts w:ascii="Arial" w:hAnsi="Arial" w:cs="Arial"/>
          <w:spacing w:val="-4"/>
          <w:sz w:val="18"/>
          <w:szCs w:val="18"/>
        </w:rPr>
      </w:pPr>
      <w:r w:rsidRPr="004F60DD">
        <w:rPr>
          <w:rFonts w:ascii="Arial" w:hAnsi="Arial" w:cs="Arial"/>
          <w:spacing w:val="-4"/>
          <w:sz w:val="18"/>
          <w:szCs w:val="18"/>
        </w:rPr>
        <w:t>Los modelos deben incluir un retorno razonable sobre los activos, de conformidad con el Lineamiento Noveno de la Metodología de Costos, éste será determinado a través del costo de capital promedio ponderado (CCPP). El CCPP antes de impuestos se calcula de la siguiente forma:</w:t>
      </w:r>
    </w:p>
    <w:p w14:paraId="29CE913A" w14:textId="77777777" w:rsidR="004F60DD" w:rsidRPr="004F60DD" w:rsidRDefault="004F60DD" w:rsidP="004F60DD">
      <w:pPr>
        <w:spacing w:after="0"/>
        <w:jc w:val="both"/>
        <w:rPr>
          <w:rFonts w:ascii="Arial" w:hAnsi="Arial" w:cs="Arial"/>
          <w:spacing w:val="-4"/>
          <w:sz w:val="18"/>
          <w:szCs w:val="18"/>
        </w:rPr>
      </w:pPr>
    </w:p>
    <w:p w14:paraId="2E92D368" w14:textId="75AB5DB7" w:rsidR="00E521F5" w:rsidRPr="004F60DD" w:rsidRDefault="00E521F5" w:rsidP="00E521F5">
      <w:pPr>
        <w:spacing w:after="0"/>
        <w:jc w:val="center"/>
        <w:rPr>
          <w:rFonts w:ascii="Arial" w:hAnsi="Arial" w:cs="Arial"/>
          <w:sz w:val="18"/>
          <w:szCs w:val="18"/>
        </w:rPr>
      </w:pPr>
      <w:bookmarkStart w:id="7" w:name="_Hlk85112508"/>
      <m:oMathPara>
        <m:oMath>
          <m:r>
            <w:rPr>
              <w:rFonts w:ascii="Cambria Math" w:hAnsi="Cambria Math" w:cs="Arial"/>
              <w:i/>
              <w:noProof/>
              <w:sz w:val="18"/>
              <w:szCs w:val="18"/>
            </w:rPr>
            <w:drawing>
              <wp:inline distT="0" distB="0" distL="0" distR="0" wp14:anchorId="1BBDA7D5" wp14:editId="55DC517F">
                <wp:extent cx="5612130" cy="381635"/>
                <wp:effectExtent l="0" t="0" r="0" b="0"/>
                <wp:docPr id="343873566" name="Imagen 34387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81635"/>
                        </a:xfrm>
                        <a:prstGeom prst="rect">
                          <a:avLst/>
                        </a:prstGeom>
                        <a:noFill/>
                        <a:ln>
                          <a:noFill/>
                        </a:ln>
                      </pic:spPr>
                    </pic:pic>
                  </a:graphicData>
                </a:graphic>
              </wp:inline>
            </w:drawing>
          </m:r>
        </m:oMath>
      </m:oMathPara>
    </w:p>
    <w:p w14:paraId="27235E2C" w14:textId="77777777" w:rsidR="004F60DD" w:rsidRPr="004F60DD" w:rsidRDefault="004F60DD" w:rsidP="004F60DD">
      <w:pPr>
        <w:spacing w:after="0"/>
        <w:rPr>
          <w:rFonts w:ascii="Arial" w:hAnsi="Arial" w:cs="Arial"/>
          <w:sz w:val="18"/>
          <w:szCs w:val="18"/>
        </w:rPr>
      </w:pPr>
      <w:r w:rsidRPr="004F60DD">
        <w:rPr>
          <w:rFonts w:ascii="Arial" w:hAnsi="Arial" w:cs="Arial"/>
          <w:sz w:val="18"/>
          <w:szCs w:val="18"/>
        </w:rPr>
        <w:t>Donde:</w:t>
      </w:r>
    </w:p>
    <w:p w14:paraId="12E08BB0" w14:textId="77777777" w:rsidR="004F60DD" w:rsidRPr="004F60DD" w:rsidRDefault="001F6656"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e</m:t>
            </m:r>
          </m:sub>
        </m:sSub>
      </m:oMath>
      <w:r w:rsidR="004F60DD" w:rsidRPr="004F60DD">
        <w:rPr>
          <w:rFonts w:ascii="Arial" w:hAnsi="Arial" w:cs="Arial"/>
          <w:sz w:val="18"/>
          <w:szCs w:val="18"/>
        </w:rPr>
        <w:t xml:space="preserve"> es el costo del capital (</w:t>
      </w:r>
      <w:r w:rsidR="004F60DD" w:rsidRPr="004F60DD">
        <w:rPr>
          <w:rFonts w:ascii="Arial" w:hAnsi="Arial" w:cs="Arial"/>
          <w:i/>
          <w:iCs/>
          <w:sz w:val="18"/>
          <w:szCs w:val="18"/>
        </w:rPr>
        <w:t>equity</w:t>
      </w:r>
      <w:r w:rsidR="004F60DD" w:rsidRPr="004F60DD">
        <w:rPr>
          <w:rFonts w:ascii="Arial" w:hAnsi="Arial" w:cs="Arial"/>
          <w:sz w:val="18"/>
          <w:szCs w:val="18"/>
        </w:rPr>
        <w:t>).</w:t>
      </w:r>
    </w:p>
    <w:p w14:paraId="4B5BA046" w14:textId="77777777" w:rsidR="004F60DD" w:rsidRPr="004F60DD" w:rsidRDefault="004F60DD"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r>
          <w:rPr>
            <w:rFonts w:ascii="Cambria Math" w:hAnsi="Cambria Math" w:cs="Arial"/>
            <w:sz w:val="18"/>
            <w:szCs w:val="18"/>
          </w:rPr>
          <m:t>E</m:t>
        </m:r>
      </m:oMath>
      <w:r w:rsidRPr="004F60DD">
        <w:rPr>
          <w:rFonts w:ascii="Arial" w:hAnsi="Arial" w:cs="Arial"/>
          <w:sz w:val="18"/>
          <w:szCs w:val="18"/>
        </w:rPr>
        <w:t xml:space="preserve"> es el valor de los recursos propios del operador (o </w:t>
      </w:r>
      <w:r w:rsidRPr="004F60DD">
        <w:rPr>
          <w:rFonts w:ascii="Arial" w:hAnsi="Arial" w:cs="Arial"/>
          <w:i/>
          <w:iCs/>
          <w:sz w:val="18"/>
          <w:szCs w:val="18"/>
        </w:rPr>
        <w:t>equity</w:t>
      </w:r>
      <w:r w:rsidRPr="004F60DD">
        <w:rPr>
          <w:rFonts w:ascii="Arial" w:hAnsi="Arial" w:cs="Arial"/>
          <w:sz w:val="18"/>
          <w:szCs w:val="18"/>
        </w:rPr>
        <w:t>).</w:t>
      </w:r>
    </w:p>
    <w:p w14:paraId="15208642" w14:textId="77777777" w:rsidR="004F60DD" w:rsidRPr="004F60DD" w:rsidRDefault="004F60DD"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r>
          <w:rPr>
            <w:rFonts w:ascii="Cambria Math" w:hAnsi="Cambria Math" w:cs="Arial"/>
            <w:sz w:val="18"/>
            <w:szCs w:val="18"/>
          </w:rPr>
          <m:t>D</m:t>
        </m:r>
      </m:oMath>
      <w:r w:rsidRPr="004F60DD">
        <w:rPr>
          <w:rFonts w:ascii="Arial" w:eastAsiaTheme="minorEastAsia" w:hAnsi="Arial" w:cs="Arial"/>
          <w:sz w:val="18"/>
          <w:szCs w:val="18"/>
        </w:rPr>
        <w:t xml:space="preserve"> es el valor de la deuda del operador.</w:t>
      </w:r>
    </w:p>
    <w:p w14:paraId="1BCB49E0" w14:textId="77777777" w:rsidR="004F60DD" w:rsidRPr="004F60DD" w:rsidRDefault="001F6656"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d</m:t>
            </m:r>
          </m:sub>
        </m:sSub>
      </m:oMath>
      <w:r w:rsidR="004F60DD" w:rsidRPr="004F60DD">
        <w:rPr>
          <w:rFonts w:ascii="Arial" w:hAnsi="Arial" w:cs="Arial"/>
          <w:sz w:val="18"/>
          <w:szCs w:val="18"/>
        </w:rPr>
        <w:t xml:space="preserve"> es el costo de la deuda.</w:t>
      </w:r>
    </w:p>
    <w:p w14:paraId="60DDDD2E" w14:textId="77777777" w:rsidR="004F60DD" w:rsidRPr="004F60DD" w:rsidRDefault="004F60DD"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r>
          <w:rPr>
            <w:rFonts w:ascii="Cambria Math" w:hAnsi="Cambria Math" w:cs="Arial"/>
            <w:sz w:val="18"/>
            <w:szCs w:val="18"/>
          </w:rPr>
          <m:t>T</m:t>
        </m:r>
      </m:oMath>
      <w:r w:rsidRPr="004F60DD">
        <w:rPr>
          <w:rFonts w:ascii="Arial" w:eastAsiaTheme="minorEastAsia" w:hAnsi="Arial" w:cs="Arial"/>
          <w:sz w:val="18"/>
          <w:szCs w:val="18"/>
        </w:rPr>
        <w:t xml:space="preserve"> es el impuesto de sociedades.</w:t>
      </w:r>
    </w:p>
    <w:p w14:paraId="3A7B2080" w14:textId="77777777" w:rsidR="004F60DD" w:rsidRPr="004F60DD" w:rsidRDefault="004F60DD" w:rsidP="004F60DD">
      <w:pPr>
        <w:pStyle w:val="ListBulletCompact"/>
        <w:numPr>
          <w:ilvl w:val="0"/>
          <w:numId w:val="0"/>
        </w:numPr>
        <w:spacing w:line="276" w:lineRule="auto"/>
        <w:ind w:left="357"/>
        <w:contextualSpacing/>
        <w:rPr>
          <w:rFonts w:ascii="Arial" w:hAnsi="Arial" w:cs="Arial"/>
          <w:sz w:val="18"/>
          <w:szCs w:val="18"/>
        </w:rPr>
      </w:pPr>
    </w:p>
    <w:bookmarkEnd w:id="7"/>
    <w:p w14:paraId="209AB2D5" w14:textId="77777777" w:rsidR="004F60DD" w:rsidRDefault="004F60DD" w:rsidP="004F60DD">
      <w:pPr>
        <w:spacing w:after="0"/>
        <w:jc w:val="both"/>
        <w:rPr>
          <w:rFonts w:ascii="Arial" w:hAnsi="Arial" w:cs="Arial"/>
          <w:sz w:val="18"/>
          <w:szCs w:val="18"/>
        </w:rPr>
      </w:pPr>
      <w:r w:rsidRPr="004F60DD">
        <w:rPr>
          <w:rFonts w:ascii="Arial" w:hAnsi="Arial" w:cs="Arial"/>
          <w:sz w:val="18"/>
          <w:szCs w:val="18"/>
        </w:rPr>
        <w:t xml:space="preserve">Con respecto a estos parámetros, un aspecto a clarificar para el cálculo del CCPP es el tratamiento que se ha de dar al impuesto de sociedades, ya que el CCPP puede medirse </w:t>
      </w:r>
      <w:r w:rsidRPr="004F60DD">
        <w:rPr>
          <w:rFonts w:ascii="Arial" w:hAnsi="Arial" w:cs="Arial"/>
          <w:i/>
          <w:iCs/>
          <w:sz w:val="18"/>
          <w:szCs w:val="18"/>
        </w:rPr>
        <w:t>antes</w:t>
      </w:r>
      <w:r w:rsidRPr="004F60DD">
        <w:rPr>
          <w:rFonts w:ascii="Arial" w:hAnsi="Arial" w:cs="Arial"/>
          <w:sz w:val="18"/>
          <w:szCs w:val="18"/>
        </w:rPr>
        <w:t xml:space="preserve"> o </w:t>
      </w:r>
      <w:r w:rsidRPr="004F60DD">
        <w:rPr>
          <w:rFonts w:ascii="Arial" w:hAnsi="Arial" w:cs="Arial"/>
          <w:i/>
          <w:iCs/>
          <w:sz w:val="18"/>
          <w:szCs w:val="18"/>
        </w:rPr>
        <w:t>después</w:t>
      </w:r>
      <w:r w:rsidRPr="004F60DD">
        <w:rPr>
          <w:rFonts w:ascii="Arial" w:hAnsi="Arial" w:cs="Arial"/>
          <w:sz w:val="18"/>
          <w:szCs w:val="18"/>
        </w:rPr>
        <w:t xml:space="preserve"> de impuestos. El objetivo de medir el CCPP después de impuestos es reconocer que los intereses pagados a los acreedores son deducibles de la base imponible (esto es, los impuestos se aplican después de deducir los intereses). En el caso de los modelos de costos, ya que las estimaciones que se realizan son antes de impuestos, es importante aplicar un costo de capital antes de impuestos. Para estimar el CCPP antes de impuestos, es necesario aplicar la siguiente fórmula:</w:t>
      </w:r>
    </w:p>
    <w:p w14:paraId="42EC9A48" w14:textId="77777777" w:rsidR="004F60DD" w:rsidRPr="004F60DD" w:rsidRDefault="004F60DD" w:rsidP="004F60DD">
      <w:pPr>
        <w:spacing w:after="0"/>
        <w:jc w:val="both"/>
        <w:rPr>
          <w:rFonts w:ascii="Arial" w:hAnsi="Arial" w:cs="Arial"/>
          <w:sz w:val="18"/>
          <w:szCs w:val="18"/>
        </w:rPr>
      </w:pPr>
    </w:p>
    <w:p w14:paraId="37F5DCE0" w14:textId="675C9E86" w:rsidR="004F60DD" w:rsidRPr="004F60DD" w:rsidRDefault="00E521F5" w:rsidP="004F60DD">
      <w:pPr>
        <w:spacing w:after="0"/>
        <w:rPr>
          <w:rFonts w:ascii="Arial" w:eastAsiaTheme="minorEastAsia" w:hAnsi="Arial" w:cs="Arial"/>
          <w:sz w:val="18"/>
          <w:szCs w:val="18"/>
        </w:rPr>
      </w:pPr>
      <m:oMathPara>
        <m:oMath>
          <m:r>
            <m:rPr>
              <m:sty m:val="p"/>
            </m:rPr>
            <w:rPr>
              <w:rFonts w:ascii="Cambria Math" w:hAnsi="Cambria Math"/>
              <w:noProof/>
            </w:rPr>
            <w:lastRenderedPageBreak/>
            <w:drawing>
              <wp:inline distT="0" distB="0" distL="0" distR="0" wp14:anchorId="02D83C99" wp14:editId="2239C9AB">
                <wp:extent cx="5971540" cy="428625"/>
                <wp:effectExtent l="0" t="0" r="0" b="0"/>
                <wp:docPr id="1588203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1540" cy="428625"/>
                        </a:xfrm>
                        <a:prstGeom prst="rect">
                          <a:avLst/>
                        </a:prstGeom>
                        <a:noFill/>
                        <a:ln>
                          <a:noFill/>
                        </a:ln>
                      </pic:spPr>
                    </pic:pic>
                  </a:graphicData>
                </a:graphic>
              </wp:inline>
            </w:drawing>
          </m:r>
        </m:oMath>
      </m:oMathPara>
    </w:p>
    <w:p w14:paraId="6E2759AF" w14:textId="77777777" w:rsidR="004F60DD" w:rsidRPr="004F60DD" w:rsidRDefault="004F60DD" w:rsidP="004F60DD">
      <w:pPr>
        <w:spacing w:after="0"/>
        <w:rPr>
          <w:rFonts w:ascii="Arial" w:eastAsiaTheme="minorEastAsia" w:hAnsi="Arial" w:cs="Arial"/>
          <w:sz w:val="18"/>
          <w:szCs w:val="18"/>
        </w:rPr>
      </w:pPr>
      <w:r w:rsidRPr="004F60DD">
        <w:rPr>
          <w:rFonts w:ascii="Arial" w:eastAsiaTheme="minorEastAsia" w:hAnsi="Arial" w:cs="Arial"/>
          <w:sz w:val="18"/>
          <w:szCs w:val="18"/>
        </w:rPr>
        <w:t>Integrando esta fórmula sobre la formulación del CCPP después de impuestos se obtiene la siguiente formulación integral para el CCPP antes de impuestos:</w:t>
      </w:r>
    </w:p>
    <w:p w14:paraId="76A88662" w14:textId="77777777" w:rsidR="004F60DD" w:rsidRPr="004F60DD" w:rsidRDefault="004F60DD" w:rsidP="004F60DD">
      <w:pPr>
        <w:spacing w:after="0"/>
        <w:rPr>
          <w:rFonts w:ascii="Arial" w:eastAsiaTheme="minorEastAsia" w:hAnsi="Arial" w:cs="Arial"/>
          <w:sz w:val="18"/>
          <w:szCs w:val="18"/>
        </w:rPr>
      </w:pPr>
    </w:p>
    <w:p w14:paraId="6500F540" w14:textId="7E6FC68D" w:rsidR="00E521F5" w:rsidRPr="008E349D" w:rsidRDefault="00E521F5" w:rsidP="004F60DD">
      <w:pPr>
        <w:spacing w:after="0"/>
        <w:rPr>
          <w:rFonts w:ascii="Arial" w:eastAsiaTheme="minorEastAsia" w:hAnsi="Arial" w:cs="Arial"/>
          <w:sz w:val="18"/>
          <w:szCs w:val="18"/>
        </w:rPr>
      </w:pPr>
      <m:oMathPara>
        <m:oMath>
          <m:r>
            <m:rPr>
              <m:sty m:val="p"/>
            </m:rPr>
            <w:rPr>
              <w:rFonts w:ascii="Cambria Math" w:hAnsi="Cambria Math"/>
              <w:noProof/>
            </w:rPr>
            <w:drawing>
              <wp:inline distT="0" distB="0" distL="0" distR="0" wp14:anchorId="62BAB722" wp14:editId="30108DF0">
                <wp:extent cx="5610225" cy="428625"/>
                <wp:effectExtent l="0" t="0" r="0" b="0"/>
                <wp:docPr id="910024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428625"/>
                        </a:xfrm>
                        <a:prstGeom prst="rect">
                          <a:avLst/>
                        </a:prstGeom>
                        <a:noFill/>
                        <a:ln>
                          <a:noFill/>
                        </a:ln>
                      </pic:spPr>
                    </pic:pic>
                  </a:graphicData>
                </a:graphic>
              </wp:inline>
            </w:drawing>
          </m:r>
        </m:oMath>
      </m:oMathPara>
    </w:p>
    <w:p w14:paraId="6D47CC24" w14:textId="06CE6308" w:rsidR="006172B4" w:rsidRPr="001B525F" w:rsidRDefault="006172B4" w:rsidP="00CC0143">
      <w:pPr>
        <w:spacing w:after="0"/>
        <w:rPr>
          <w:rFonts w:ascii="Arial" w:hAnsi="Arial" w:cs="Arial"/>
          <w:sz w:val="18"/>
          <w:szCs w:val="18"/>
        </w:rPr>
      </w:pPr>
      <w:r w:rsidRPr="001B525F">
        <w:rPr>
          <w:rFonts w:ascii="Arial" w:hAnsi="Arial" w:cs="Arial"/>
          <w:b/>
          <w:sz w:val="18"/>
          <w:szCs w:val="18"/>
        </w:rPr>
        <w:t>Costo del capital (</w:t>
      </w:r>
      <w:r w:rsidRPr="001B525F">
        <w:rPr>
          <w:rFonts w:ascii="Arial" w:hAnsi="Arial" w:cs="Arial"/>
          <w:b/>
          <w:i/>
          <w:sz w:val="18"/>
          <w:szCs w:val="18"/>
        </w:rPr>
        <w:t>equity</w:t>
      </w:r>
      <w:r w:rsidRPr="001B525F">
        <w:rPr>
          <w:rFonts w:ascii="Arial" w:hAnsi="Arial" w:cs="Arial"/>
          <w:b/>
          <w:sz w:val="18"/>
          <w:szCs w:val="18"/>
        </w:rPr>
        <w:t>)</w:t>
      </w:r>
    </w:p>
    <w:p w14:paraId="5DA734BC" w14:textId="77777777" w:rsidR="0022151D" w:rsidRPr="00657BA6" w:rsidRDefault="0022151D" w:rsidP="0022151D">
      <w:pPr>
        <w:spacing w:after="0"/>
        <w:jc w:val="both"/>
        <w:rPr>
          <w:rFonts w:ascii="Arial" w:hAnsi="Arial" w:cs="Arial"/>
          <w:spacing w:val="-4"/>
        </w:rPr>
      </w:pPr>
    </w:p>
    <w:p w14:paraId="729EF2E6" w14:textId="77777777" w:rsidR="0022151D" w:rsidRPr="0022151D" w:rsidRDefault="0022151D" w:rsidP="0022151D">
      <w:pPr>
        <w:spacing w:after="0"/>
        <w:jc w:val="both"/>
        <w:rPr>
          <w:rFonts w:ascii="Arial" w:hAnsi="Arial" w:cs="Arial"/>
          <w:spacing w:val="-4"/>
          <w:sz w:val="18"/>
          <w:szCs w:val="18"/>
        </w:rPr>
      </w:pPr>
      <w:r w:rsidRPr="0022151D">
        <w:rPr>
          <w:rFonts w:ascii="Arial" w:hAnsi="Arial" w:cs="Arial"/>
          <w:spacing w:val="-4"/>
          <w:sz w:val="18"/>
          <w:szCs w:val="18"/>
        </w:rPr>
        <w:t>El costo del capital (</w:t>
      </w:r>
      <w:r w:rsidRPr="0022151D">
        <w:rPr>
          <w:rFonts w:ascii="Arial" w:hAnsi="Arial" w:cs="Arial"/>
          <w:i/>
          <w:spacing w:val="-4"/>
          <w:sz w:val="18"/>
          <w:szCs w:val="18"/>
        </w:rPr>
        <w:t>equity</w:t>
      </w:r>
      <w:r w:rsidRPr="0022151D">
        <w:rPr>
          <w:rFonts w:ascii="Arial" w:hAnsi="Arial" w:cs="Arial"/>
          <w:spacing w:val="-4"/>
          <w:sz w:val="18"/>
          <w:szCs w:val="18"/>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56D96341" w14:textId="77777777" w:rsidR="0022151D" w:rsidRPr="0022151D" w:rsidRDefault="0022151D" w:rsidP="0022151D">
      <w:pPr>
        <w:spacing w:after="0"/>
        <w:jc w:val="both"/>
        <w:rPr>
          <w:rFonts w:ascii="Arial" w:hAnsi="Arial" w:cs="Arial"/>
          <w:spacing w:val="-4"/>
          <w:sz w:val="18"/>
          <w:szCs w:val="18"/>
        </w:rPr>
      </w:pPr>
    </w:p>
    <w:p w14:paraId="6CC19EA2" w14:textId="77777777" w:rsidR="0022151D" w:rsidRPr="0022151D" w:rsidRDefault="0022151D" w:rsidP="0022151D">
      <w:pPr>
        <w:spacing w:after="0"/>
        <w:jc w:val="both"/>
        <w:rPr>
          <w:rFonts w:ascii="Arial" w:hAnsi="Arial" w:cs="Arial"/>
          <w:spacing w:val="-4"/>
          <w:sz w:val="18"/>
          <w:szCs w:val="18"/>
        </w:rPr>
      </w:pPr>
      <w:r w:rsidRPr="0022151D">
        <w:rPr>
          <w:rFonts w:ascii="Arial" w:hAnsi="Arial" w:cs="Arial"/>
          <w:spacing w:val="-4"/>
          <w:sz w:val="18"/>
          <w:szCs w:val="18"/>
        </w:rPr>
        <w:t>El costo del capital (</w:t>
      </w:r>
      <w:r w:rsidRPr="0022151D">
        <w:rPr>
          <w:rFonts w:ascii="Arial" w:hAnsi="Arial" w:cs="Arial"/>
          <w:i/>
          <w:spacing w:val="-4"/>
          <w:sz w:val="18"/>
          <w:szCs w:val="18"/>
        </w:rPr>
        <w:t>equity</w:t>
      </w:r>
      <w:r w:rsidRPr="0022151D">
        <w:rPr>
          <w:rFonts w:ascii="Arial" w:hAnsi="Arial" w:cs="Arial"/>
          <w:spacing w:val="-4"/>
          <w:sz w:val="18"/>
          <w:szCs w:val="18"/>
        </w:rPr>
        <w:t>) se calculará para dos operadores diferentes:</w:t>
      </w:r>
    </w:p>
    <w:p w14:paraId="5AEFADE0" w14:textId="77777777" w:rsidR="0022151D" w:rsidRPr="0022151D" w:rsidRDefault="0022151D" w:rsidP="0022151D">
      <w:pPr>
        <w:spacing w:after="0"/>
        <w:jc w:val="both"/>
        <w:rPr>
          <w:rFonts w:ascii="Arial" w:hAnsi="Arial" w:cs="Arial"/>
          <w:spacing w:val="-4"/>
          <w:sz w:val="18"/>
          <w:szCs w:val="18"/>
        </w:rPr>
      </w:pPr>
    </w:p>
    <w:p w14:paraId="37EE627C" w14:textId="77777777" w:rsidR="0022151D" w:rsidRPr="0022151D" w:rsidRDefault="0022151D" w:rsidP="006945E8">
      <w:pPr>
        <w:numPr>
          <w:ilvl w:val="0"/>
          <w:numId w:val="19"/>
        </w:numPr>
        <w:spacing w:after="0"/>
        <w:ind w:left="709" w:hanging="357"/>
        <w:jc w:val="both"/>
        <w:rPr>
          <w:rFonts w:ascii="Arial" w:hAnsi="Arial" w:cs="Arial"/>
          <w:spacing w:val="-4"/>
          <w:sz w:val="18"/>
          <w:szCs w:val="18"/>
        </w:rPr>
      </w:pPr>
      <w:r w:rsidRPr="0022151D">
        <w:rPr>
          <w:rFonts w:ascii="Arial" w:hAnsi="Arial" w:cs="Arial"/>
          <w:spacing w:val="-4"/>
          <w:sz w:val="18"/>
          <w:szCs w:val="18"/>
        </w:rPr>
        <w:t>un operador eficiente de servicios móviles en México.</w:t>
      </w:r>
    </w:p>
    <w:p w14:paraId="4F450F67" w14:textId="77777777" w:rsidR="0022151D" w:rsidRPr="0022151D" w:rsidRDefault="0022151D" w:rsidP="006945E8">
      <w:pPr>
        <w:numPr>
          <w:ilvl w:val="0"/>
          <w:numId w:val="19"/>
        </w:numPr>
        <w:spacing w:after="0"/>
        <w:ind w:left="709" w:hanging="357"/>
        <w:jc w:val="both"/>
        <w:rPr>
          <w:rFonts w:ascii="Arial" w:hAnsi="Arial" w:cs="Arial"/>
          <w:spacing w:val="-4"/>
          <w:sz w:val="18"/>
          <w:szCs w:val="18"/>
        </w:rPr>
      </w:pPr>
      <w:r w:rsidRPr="0022151D">
        <w:rPr>
          <w:rFonts w:ascii="Arial" w:hAnsi="Arial" w:cs="Arial"/>
          <w:spacing w:val="-4"/>
          <w:sz w:val="18"/>
          <w:szCs w:val="18"/>
        </w:rPr>
        <w:t>un operador eficiente de servicios fijos en México.</w:t>
      </w:r>
    </w:p>
    <w:p w14:paraId="276CD2E3" w14:textId="77777777" w:rsidR="0022151D" w:rsidRPr="0022151D" w:rsidRDefault="0022151D" w:rsidP="0022151D">
      <w:pPr>
        <w:spacing w:after="0"/>
        <w:jc w:val="both"/>
        <w:rPr>
          <w:rFonts w:ascii="Arial" w:hAnsi="Arial" w:cs="Arial"/>
          <w:spacing w:val="-4"/>
          <w:sz w:val="18"/>
          <w:szCs w:val="18"/>
        </w:rPr>
      </w:pPr>
    </w:p>
    <w:p w14:paraId="14E31A98" w14:textId="77777777" w:rsidR="0022151D" w:rsidRPr="0022151D" w:rsidRDefault="0022151D" w:rsidP="0022151D">
      <w:pPr>
        <w:spacing w:after="0"/>
        <w:rPr>
          <w:rFonts w:ascii="Arial" w:hAnsi="Arial" w:cs="Arial"/>
          <w:sz w:val="18"/>
          <w:szCs w:val="18"/>
        </w:rPr>
      </w:pPr>
      <w:r w:rsidRPr="0022151D">
        <w:rPr>
          <w:rFonts w:ascii="Arial" w:hAnsi="Arial" w:cs="Arial"/>
          <w:sz w:val="18"/>
          <w:szCs w:val="18"/>
        </w:rPr>
        <w:t>El modelo de cálculo a aplicar es el siguiente:</w:t>
      </w:r>
    </w:p>
    <w:p w14:paraId="678001AC" w14:textId="77777777" w:rsidR="0022151D" w:rsidRPr="0022151D" w:rsidRDefault="0022151D" w:rsidP="0022151D">
      <w:pPr>
        <w:spacing w:after="0"/>
        <w:rPr>
          <w:rFonts w:ascii="Arial" w:hAnsi="Arial" w:cs="Arial"/>
          <w:sz w:val="18"/>
          <w:szCs w:val="18"/>
        </w:rPr>
      </w:pPr>
    </w:p>
    <w:p w14:paraId="3AD6A005" w14:textId="757C3857" w:rsidR="0022151D" w:rsidRPr="0022151D" w:rsidRDefault="00E521F5" w:rsidP="00E521F5">
      <w:pPr>
        <w:spacing w:after="0"/>
        <w:jc w:val="center"/>
        <w:rPr>
          <w:rFonts w:ascii="Arial" w:eastAsiaTheme="minorEastAsia" w:hAnsi="Arial" w:cs="Arial"/>
          <w:sz w:val="18"/>
          <w:szCs w:val="18"/>
        </w:rPr>
      </w:pPr>
      <m:oMathPara>
        <m:oMath>
          <m:r>
            <m:rPr>
              <m:sty m:val="p"/>
            </m:rPr>
            <w:rPr>
              <w:rFonts w:ascii="Cambria Math" w:hAnsi="Cambria Math"/>
              <w:noProof/>
            </w:rPr>
            <w:drawing>
              <wp:inline distT="0" distB="0" distL="0" distR="0" wp14:anchorId="65409158" wp14:editId="7914BFCC">
                <wp:extent cx="5610225" cy="295275"/>
                <wp:effectExtent l="0" t="0" r="0" b="0"/>
                <wp:docPr id="7234789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0225" cy="295275"/>
                        </a:xfrm>
                        <a:prstGeom prst="rect">
                          <a:avLst/>
                        </a:prstGeom>
                        <a:noFill/>
                        <a:ln>
                          <a:noFill/>
                        </a:ln>
                      </pic:spPr>
                    </pic:pic>
                  </a:graphicData>
                </a:graphic>
              </wp:inline>
            </w:drawing>
          </m:r>
        </m:oMath>
      </m:oMathPara>
    </w:p>
    <w:p w14:paraId="56C5A3DA" w14:textId="77777777" w:rsidR="0022151D" w:rsidRDefault="0022151D" w:rsidP="0022151D">
      <w:pPr>
        <w:spacing w:after="0"/>
        <w:rPr>
          <w:rFonts w:ascii="Arial" w:hAnsi="Arial" w:cs="Arial"/>
          <w:sz w:val="18"/>
          <w:szCs w:val="18"/>
        </w:rPr>
      </w:pPr>
      <w:r w:rsidRPr="0022151D">
        <w:rPr>
          <w:rFonts w:ascii="Arial" w:hAnsi="Arial" w:cs="Arial"/>
          <w:sz w:val="18"/>
          <w:szCs w:val="18"/>
        </w:rPr>
        <w:t>Donde:</w:t>
      </w:r>
    </w:p>
    <w:p w14:paraId="772BB955" w14:textId="77777777" w:rsidR="0022151D" w:rsidRPr="0022151D" w:rsidRDefault="001F6656"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e</m:t>
            </m:r>
          </m:sub>
        </m:sSub>
      </m:oMath>
      <w:r w:rsidR="0022151D" w:rsidRPr="0022151D">
        <w:rPr>
          <w:rFonts w:ascii="Arial" w:hAnsi="Arial" w:cs="Arial"/>
          <w:sz w:val="18"/>
          <w:szCs w:val="18"/>
        </w:rPr>
        <w:t xml:space="preserve"> es el costo del capital de la empresa</w:t>
      </w:r>
    </w:p>
    <w:p w14:paraId="6371FB98" w14:textId="77777777" w:rsidR="0022151D" w:rsidRPr="0022151D" w:rsidRDefault="001F6656"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f</m:t>
            </m:r>
          </m:sub>
        </m:sSub>
      </m:oMath>
      <w:r w:rsidR="0022151D" w:rsidRPr="0022151D">
        <w:rPr>
          <w:rFonts w:ascii="Arial" w:hAnsi="Arial" w:cs="Arial"/>
          <w:sz w:val="18"/>
          <w:szCs w:val="18"/>
        </w:rPr>
        <w:t xml:space="preserve"> es la tasa libre de riesgo, aplicable para el país en el que se calcule el CCPP</w:t>
      </w:r>
    </w:p>
    <w:p w14:paraId="26CDF107" w14:textId="77777777" w:rsidR="0022151D" w:rsidRPr="0022151D" w:rsidRDefault="0022151D"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r>
          <w:rPr>
            <w:rFonts w:ascii="Cambria Math" w:hAnsi="Cambria Math" w:cs="Arial"/>
            <w:sz w:val="18"/>
            <w:szCs w:val="18"/>
          </w:rPr>
          <m:t>β</m:t>
        </m:r>
      </m:oMath>
      <w:r w:rsidRPr="0022151D">
        <w:rPr>
          <w:rFonts w:ascii="Arial" w:hAnsi="Arial" w:cs="Arial"/>
          <w:sz w:val="18"/>
          <w:szCs w:val="18"/>
        </w:rPr>
        <w:t xml:space="preserve"> es la volatilidad del rendimiento de una inversión en relación con el conjunto del mercado</w:t>
      </w:r>
    </w:p>
    <w:p w14:paraId="45A46838" w14:textId="77777777" w:rsidR="0022151D" w:rsidRPr="0022151D" w:rsidRDefault="001F6656" w:rsidP="006945E8">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e</m:t>
            </m:r>
          </m:sub>
        </m:sSub>
      </m:oMath>
      <w:r w:rsidR="0022151D" w:rsidRPr="0022151D">
        <w:rPr>
          <w:rFonts w:ascii="Arial" w:hAnsi="Arial" w:cs="Arial"/>
          <w:sz w:val="18"/>
          <w:szCs w:val="18"/>
        </w:rPr>
        <w:t xml:space="preserve"> es la prima de riesgo de mercado.</w:t>
      </w:r>
    </w:p>
    <w:p w14:paraId="4F3EFB8B" w14:textId="77777777" w:rsidR="0022151D" w:rsidRPr="0022151D" w:rsidRDefault="0022151D" w:rsidP="0022151D">
      <w:pPr>
        <w:spacing w:after="0"/>
        <w:jc w:val="both"/>
        <w:rPr>
          <w:rFonts w:ascii="Arial" w:hAnsi="Arial" w:cs="Arial"/>
          <w:sz w:val="18"/>
          <w:szCs w:val="18"/>
        </w:rPr>
      </w:pPr>
    </w:p>
    <w:p w14:paraId="3E44DD1C" w14:textId="77777777" w:rsidR="0022151D" w:rsidRPr="0022151D" w:rsidRDefault="0022151D" w:rsidP="0022151D">
      <w:pPr>
        <w:spacing w:after="0"/>
        <w:jc w:val="both"/>
        <w:rPr>
          <w:rFonts w:ascii="Arial" w:hAnsi="Arial" w:cs="Arial"/>
          <w:sz w:val="18"/>
          <w:szCs w:val="18"/>
        </w:rPr>
      </w:pPr>
      <w:r w:rsidRPr="0022151D">
        <w:rPr>
          <w:rFonts w:ascii="Arial" w:hAnsi="Arial" w:cs="Arial"/>
          <w:sz w:val="18"/>
          <w:szCs w:val="18"/>
        </w:rPr>
        <w:t>Cada uno de estos parámetros se trata a continuación.</w:t>
      </w:r>
    </w:p>
    <w:p w14:paraId="061BE349" w14:textId="77777777" w:rsidR="006172B4" w:rsidRPr="001B525F" w:rsidRDefault="006172B4" w:rsidP="00CC0143">
      <w:pPr>
        <w:spacing w:after="0"/>
        <w:jc w:val="both"/>
        <w:rPr>
          <w:rFonts w:ascii="Arial" w:hAnsi="Arial" w:cs="Arial"/>
          <w:sz w:val="18"/>
          <w:szCs w:val="18"/>
        </w:rPr>
      </w:pPr>
    </w:p>
    <w:p w14:paraId="76EB0E67" w14:textId="58533014" w:rsidR="006172B4" w:rsidRPr="001B525F" w:rsidRDefault="006172B4" w:rsidP="00CC0143">
      <w:pPr>
        <w:spacing w:after="0"/>
        <w:rPr>
          <w:rFonts w:ascii="Arial" w:hAnsi="Arial" w:cs="Arial"/>
          <w:b/>
          <w:sz w:val="18"/>
          <w:szCs w:val="18"/>
        </w:rPr>
      </w:pPr>
      <w:r w:rsidRPr="001B525F">
        <w:rPr>
          <w:rFonts w:ascii="Arial" w:hAnsi="Arial" w:cs="Arial"/>
          <w:b/>
          <w:sz w:val="18"/>
          <w:szCs w:val="18"/>
        </w:rPr>
        <w:t xml:space="preserve">Tasa de retorno libre de riesgo, </w:t>
      </w:r>
      <w:r w:rsidR="00CB09A5" w:rsidRPr="007461B7">
        <w:rPr>
          <w:rFonts w:ascii="Arial" w:hAnsi="Arial" w:cs="Arial"/>
          <w:i/>
          <w:iCs/>
          <w:sz w:val="18"/>
          <w:szCs w:val="18"/>
        </w:rPr>
        <w:t>R</w:t>
      </w:r>
      <w:r w:rsidR="00CB09A5" w:rsidRPr="007461B7">
        <w:rPr>
          <w:rFonts w:ascii="Arial" w:hAnsi="Arial" w:cs="Arial"/>
          <w:i/>
          <w:iCs/>
          <w:sz w:val="18"/>
          <w:szCs w:val="18"/>
          <w:vertAlign w:val="subscript"/>
        </w:rPr>
        <w:t>f</w:t>
      </w:r>
      <w:r w:rsidR="00CB09A5" w:rsidRPr="007740FC" w:rsidDel="00CB09A5">
        <w:rPr>
          <w:rFonts w:ascii="Arial" w:hAnsi="Arial" w:cs="Arial"/>
          <w:sz w:val="18"/>
          <w:szCs w:val="18"/>
        </w:rPr>
        <w:t xml:space="preserve"> </w:t>
      </w:r>
    </w:p>
    <w:p w14:paraId="32949009" w14:textId="77777777" w:rsidR="006172B4" w:rsidRPr="001B525F" w:rsidRDefault="006172B4" w:rsidP="00CC0143">
      <w:pPr>
        <w:spacing w:after="0"/>
        <w:jc w:val="both"/>
        <w:rPr>
          <w:rFonts w:ascii="Arial" w:hAnsi="Arial" w:cs="Arial"/>
          <w:spacing w:val="-4"/>
          <w:sz w:val="18"/>
          <w:szCs w:val="18"/>
        </w:rPr>
      </w:pPr>
    </w:p>
    <w:p w14:paraId="4454A2F8" w14:textId="4C6D75D5" w:rsidR="0022151D" w:rsidRDefault="0022151D" w:rsidP="0022151D">
      <w:pPr>
        <w:spacing w:after="0"/>
        <w:jc w:val="both"/>
        <w:rPr>
          <w:rFonts w:ascii="Arial" w:hAnsi="Arial" w:cs="Arial"/>
          <w:sz w:val="18"/>
          <w:szCs w:val="18"/>
        </w:rPr>
      </w:pPr>
      <w:r w:rsidRPr="0022151D">
        <w:rPr>
          <w:rFonts w:ascii="Arial" w:hAnsi="Arial" w:cs="Arial"/>
          <w:sz w:val="18"/>
          <w:szCs w:val="18"/>
        </w:rPr>
        <w:t>Se tomará la tasa de retorno libre de riesgo a partir del bono estadounidense, añadiendo una prima de riesgo país que represente el diferencial entre el bono mexicano (denominado en dólares americanos) y el bono estadounidense</w:t>
      </w:r>
      <w:r w:rsidR="00920F77">
        <w:rPr>
          <w:rStyle w:val="Refdenotaalpie"/>
          <w:rFonts w:ascii="Arial" w:hAnsi="Arial" w:cs="Arial"/>
          <w:sz w:val="18"/>
          <w:szCs w:val="18"/>
        </w:rPr>
        <w:footnoteReference w:id="28"/>
      </w:r>
      <w:r w:rsidRPr="0022151D">
        <w:rPr>
          <w:rFonts w:ascii="Arial" w:hAnsi="Arial" w:cs="Arial"/>
          <w:sz w:val="18"/>
          <w:szCs w:val="18"/>
        </w:rPr>
        <w:t>. La formulación de la tasa de retorno libre de riesgo será la siguiente:</w:t>
      </w:r>
    </w:p>
    <w:p w14:paraId="03195101" w14:textId="77777777" w:rsidR="0022151D" w:rsidRPr="0022151D" w:rsidRDefault="0022151D" w:rsidP="0022151D">
      <w:pPr>
        <w:spacing w:after="0"/>
        <w:jc w:val="both"/>
        <w:rPr>
          <w:rFonts w:ascii="Arial" w:hAnsi="Arial" w:cs="Arial"/>
          <w:sz w:val="18"/>
          <w:szCs w:val="18"/>
        </w:rPr>
      </w:pPr>
    </w:p>
    <w:p w14:paraId="7DFCCECB" w14:textId="31C233F9" w:rsidR="0022151D" w:rsidRPr="0022151D" w:rsidRDefault="00E521F5" w:rsidP="0022151D">
      <w:pPr>
        <w:spacing w:after="0"/>
        <w:rPr>
          <w:rFonts w:ascii="Arial" w:eastAsiaTheme="minorEastAsia" w:hAnsi="Arial" w:cs="Arial"/>
          <w:sz w:val="18"/>
          <w:szCs w:val="18"/>
        </w:rPr>
      </w:pPr>
      <w:r w:rsidRPr="00376DD4">
        <w:rPr>
          <w:noProof/>
        </w:rPr>
        <w:drawing>
          <wp:inline distT="0" distB="0" distL="0" distR="0" wp14:anchorId="7347F2BA" wp14:editId="2A37BC10">
            <wp:extent cx="5610225" cy="171450"/>
            <wp:effectExtent l="0" t="0" r="0" b="0"/>
            <wp:docPr id="14214516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0225" cy="171450"/>
                    </a:xfrm>
                    <a:prstGeom prst="rect">
                      <a:avLst/>
                    </a:prstGeom>
                    <a:noFill/>
                    <a:ln>
                      <a:noFill/>
                    </a:ln>
                  </pic:spPr>
                </pic:pic>
              </a:graphicData>
            </a:graphic>
          </wp:inline>
        </w:drawing>
      </w:r>
    </w:p>
    <w:p w14:paraId="6696459E" w14:textId="77777777" w:rsidR="0022151D" w:rsidRPr="0022151D" w:rsidRDefault="0022151D" w:rsidP="0022151D">
      <w:pPr>
        <w:spacing w:after="0"/>
        <w:rPr>
          <w:rFonts w:ascii="Arial" w:hAnsi="Arial" w:cs="Arial"/>
          <w:sz w:val="18"/>
          <w:szCs w:val="18"/>
        </w:rPr>
      </w:pPr>
      <w:r w:rsidRPr="0022151D">
        <w:rPr>
          <w:rFonts w:ascii="Arial" w:eastAsiaTheme="minorEastAsia" w:hAnsi="Arial" w:cs="Arial"/>
          <w:sz w:val="18"/>
          <w:szCs w:val="18"/>
        </w:rPr>
        <w:t>Donde:</w:t>
      </w:r>
    </w:p>
    <w:p w14:paraId="2DF9B29D" w14:textId="77777777" w:rsidR="0022151D" w:rsidRPr="0022151D" w:rsidRDefault="001F6656" w:rsidP="0081117A">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f</m:t>
            </m:r>
          </m:sub>
        </m:sSub>
      </m:oMath>
      <w:r w:rsidR="0022151D" w:rsidRPr="0022151D">
        <w:rPr>
          <w:rFonts w:ascii="Arial" w:hAnsi="Arial" w:cs="Arial"/>
          <w:sz w:val="18"/>
          <w:szCs w:val="18"/>
        </w:rPr>
        <w:t xml:space="preserve"> es la tasa de retorno libre de riesgo, aplicable en México</w:t>
      </w:r>
    </w:p>
    <w:p w14:paraId="5F46004F" w14:textId="77777777" w:rsidR="0022151D" w:rsidRPr="0022151D" w:rsidRDefault="001F6656" w:rsidP="0081117A">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f</m:t>
            </m:r>
          </m:sub>
        </m:sSub>
        <m:r>
          <w:rPr>
            <w:rFonts w:ascii="Cambria Math" w:hAnsi="Cambria Math" w:cs="Arial"/>
            <w:sz w:val="18"/>
            <w:szCs w:val="18"/>
          </w:rPr>
          <m:t>(</m:t>
        </m:r>
        <m:r>
          <w:rPr>
            <w:rFonts w:ascii="Cambria Math" w:hAnsi="Cambria Math" w:cs="Arial"/>
            <w:sz w:val="18"/>
            <w:szCs w:val="18"/>
          </w:rPr>
          <m:t>EEUU</m:t>
        </m:r>
        <m:r>
          <w:rPr>
            <w:rFonts w:ascii="Cambria Math" w:hAnsi="Cambria Math" w:cs="Arial"/>
            <w:sz w:val="18"/>
            <w:szCs w:val="18"/>
          </w:rPr>
          <m:t>)</m:t>
        </m:r>
      </m:oMath>
      <w:r w:rsidR="0022151D" w:rsidRPr="0022151D">
        <w:rPr>
          <w:rFonts w:ascii="Arial" w:hAnsi="Arial" w:cs="Arial"/>
          <w:sz w:val="18"/>
          <w:szCs w:val="18"/>
        </w:rPr>
        <w:t xml:space="preserve"> es la tasa de retorno libre de riesgo en Estados Unidos</w:t>
      </w:r>
    </w:p>
    <w:p w14:paraId="1B86B749" w14:textId="77777777" w:rsidR="0022151D" w:rsidRPr="0022151D" w:rsidRDefault="0022151D" w:rsidP="0081117A">
      <w:pPr>
        <w:pStyle w:val="ListBulletCompact"/>
        <w:numPr>
          <w:ilvl w:val="0"/>
          <w:numId w:val="5"/>
        </w:numPr>
        <w:tabs>
          <w:tab w:val="clear" w:pos="360"/>
        </w:tabs>
        <w:spacing w:line="276" w:lineRule="auto"/>
        <w:ind w:left="709" w:hanging="357"/>
        <w:contextualSpacing/>
        <w:rPr>
          <w:rFonts w:ascii="Arial" w:hAnsi="Arial" w:cs="Arial"/>
          <w:sz w:val="18"/>
          <w:szCs w:val="18"/>
        </w:rPr>
      </w:pPr>
      <m:oMath>
        <m:r>
          <w:rPr>
            <w:rFonts w:ascii="Cambria Math" w:hAnsi="Cambria Math" w:cs="Arial"/>
            <w:sz w:val="18"/>
            <w:szCs w:val="18"/>
          </w:rPr>
          <m:t>CRP</m:t>
        </m:r>
      </m:oMath>
      <w:r w:rsidRPr="0022151D">
        <w:rPr>
          <w:rFonts w:ascii="Arial" w:eastAsiaTheme="minorEastAsia" w:hAnsi="Arial" w:cs="Arial"/>
          <w:sz w:val="18"/>
          <w:szCs w:val="18"/>
        </w:rPr>
        <w:t xml:space="preserve"> </w:t>
      </w:r>
      <w:r w:rsidRPr="0022151D">
        <w:rPr>
          <w:rFonts w:ascii="Arial" w:hAnsi="Arial" w:cs="Arial"/>
          <w:sz w:val="18"/>
          <w:szCs w:val="18"/>
        </w:rPr>
        <w:t>es la prima de riesgo país.</w:t>
      </w:r>
    </w:p>
    <w:p w14:paraId="5FFA1841" w14:textId="77777777" w:rsidR="006172B4" w:rsidRPr="001B525F" w:rsidRDefault="006172B4" w:rsidP="00CC0143">
      <w:pPr>
        <w:spacing w:after="0"/>
        <w:jc w:val="both"/>
        <w:rPr>
          <w:rFonts w:ascii="Arial" w:hAnsi="Arial" w:cs="Arial"/>
          <w:spacing w:val="-4"/>
          <w:sz w:val="18"/>
          <w:szCs w:val="18"/>
        </w:rPr>
      </w:pPr>
    </w:p>
    <w:p w14:paraId="18816FAD" w14:textId="5E95794C" w:rsidR="006172B4" w:rsidRPr="001B525F" w:rsidRDefault="006172B4" w:rsidP="00CC0143">
      <w:pPr>
        <w:spacing w:after="0"/>
        <w:rPr>
          <w:rFonts w:ascii="Arial" w:hAnsi="Arial" w:cs="Arial"/>
          <w:b/>
          <w:sz w:val="18"/>
          <w:szCs w:val="18"/>
        </w:rPr>
      </w:pPr>
      <w:r w:rsidRPr="001B525F">
        <w:rPr>
          <w:rFonts w:ascii="Arial" w:hAnsi="Arial" w:cs="Arial"/>
          <w:b/>
          <w:sz w:val="18"/>
          <w:szCs w:val="18"/>
        </w:rPr>
        <w:t xml:space="preserve">Prima de riesgo del capital, </w:t>
      </w:r>
      <w:r w:rsidR="007A64A5" w:rsidRPr="007461B7">
        <w:rPr>
          <w:rFonts w:ascii="Arial" w:hAnsi="Arial" w:cs="Arial"/>
          <w:i/>
          <w:iCs/>
          <w:sz w:val="18"/>
          <w:szCs w:val="18"/>
        </w:rPr>
        <w:t>R</w:t>
      </w:r>
      <w:r w:rsidR="007A64A5" w:rsidRPr="007461B7">
        <w:rPr>
          <w:rFonts w:ascii="Arial" w:hAnsi="Arial" w:cs="Arial"/>
          <w:i/>
          <w:iCs/>
          <w:sz w:val="18"/>
          <w:szCs w:val="18"/>
          <w:vertAlign w:val="subscript"/>
        </w:rPr>
        <w:t>e</w:t>
      </w:r>
      <w:r w:rsidR="007A64A5" w:rsidRPr="007740FC" w:rsidDel="007A64A5">
        <w:rPr>
          <w:rFonts w:ascii="Arial" w:hAnsi="Arial" w:cs="Arial"/>
          <w:sz w:val="18"/>
          <w:szCs w:val="18"/>
        </w:rPr>
        <w:t xml:space="preserve"> </w:t>
      </w:r>
    </w:p>
    <w:p w14:paraId="38A5EF34" w14:textId="77777777" w:rsidR="006172B4" w:rsidRPr="00DB73C2" w:rsidRDefault="006172B4" w:rsidP="00CC0143">
      <w:pPr>
        <w:spacing w:after="0"/>
        <w:jc w:val="both"/>
        <w:rPr>
          <w:rFonts w:ascii="Arial" w:hAnsi="Arial" w:cs="Arial"/>
          <w:spacing w:val="-4"/>
          <w:sz w:val="14"/>
          <w:szCs w:val="14"/>
        </w:rPr>
      </w:pPr>
    </w:p>
    <w:p w14:paraId="3487B427" w14:textId="77777777" w:rsidR="00DB73C2" w:rsidRPr="00DB73C2" w:rsidRDefault="00DB73C2" w:rsidP="00DB73C2">
      <w:pPr>
        <w:spacing w:after="0"/>
        <w:jc w:val="both"/>
        <w:rPr>
          <w:rFonts w:ascii="Arial" w:hAnsi="Arial" w:cs="Arial"/>
          <w:sz w:val="18"/>
          <w:szCs w:val="18"/>
        </w:rPr>
      </w:pPr>
      <w:r w:rsidRPr="00DB73C2">
        <w:rPr>
          <w:rFonts w:ascii="Arial" w:hAnsi="Arial" w:cs="Arial"/>
          <w:sz w:val="18"/>
          <w:szCs w:val="18"/>
        </w:rPr>
        <w:lastRenderedPageBreak/>
        <w:t>La prima de riesgo del capital representa el incremento sobre la tasa de retorno libre de riesgo que los inversores demandan del capital (equity), debido a que invertir en acciones conlleva un mayor riesgo que invertir en bonos del Estado.</w:t>
      </w:r>
    </w:p>
    <w:p w14:paraId="5516FA22" w14:textId="77777777" w:rsidR="00DB73C2" w:rsidRPr="00DB73C2" w:rsidRDefault="00DB73C2" w:rsidP="00DB73C2">
      <w:pPr>
        <w:spacing w:after="0"/>
        <w:jc w:val="both"/>
        <w:rPr>
          <w:rFonts w:ascii="Arial" w:hAnsi="Arial" w:cs="Arial"/>
          <w:sz w:val="18"/>
          <w:szCs w:val="18"/>
        </w:rPr>
      </w:pPr>
    </w:p>
    <w:p w14:paraId="6D86CC81" w14:textId="77777777" w:rsidR="00DB73C2" w:rsidRDefault="00DB73C2" w:rsidP="00DB73C2">
      <w:pPr>
        <w:spacing w:after="0"/>
        <w:jc w:val="both"/>
        <w:rPr>
          <w:rFonts w:ascii="Arial" w:hAnsi="Arial" w:cs="Arial"/>
          <w:sz w:val="18"/>
          <w:szCs w:val="18"/>
        </w:rPr>
      </w:pPr>
      <w:r w:rsidRPr="00DB73C2">
        <w:rPr>
          <w:rFonts w:ascii="Arial" w:hAnsi="Arial" w:cs="Arial"/>
          <w:sz w:val="18"/>
          <w:szCs w:val="18"/>
        </w:rPr>
        <w:t>Se estimará la prima de riesgo del capital (Re) en México a partir de la prima de riesgo en un mercado maduro propuesta por el profesor Damodaran, a la que se añadirá la prima de riesgo país asociada a México, multiplicada por un factor de volatilidad que considere la mayor volatilidad de las acciones frente a los bonos. Se tomará el promedio de los últimos cinco años para los distintos parámetros.</w:t>
      </w:r>
    </w:p>
    <w:p w14:paraId="3E3BB7FA" w14:textId="77777777" w:rsidR="006B1BE1" w:rsidRDefault="006B1BE1" w:rsidP="00DB73C2">
      <w:pPr>
        <w:spacing w:after="0"/>
        <w:jc w:val="both"/>
        <w:rPr>
          <w:rFonts w:ascii="Arial" w:hAnsi="Arial" w:cs="Arial"/>
          <w:sz w:val="18"/>
          <w:szCs w:val="18"/>
        </w:rPr>
      </w:pPr>
    </w:p>
    <w:p w14:paraId="35FDC117" w14:textId="4C7CA4C2" w:rsidR="006B1BE1" w:rsidRPr="006B1BE1" w:rsidRDefault="00E521F5" w:rsidP="006B1BE1">
      <w:pPr>
        <w:spacing w:after="0"/>
        <w:jc w:val="both"/>
        <w:rPr>
          <w:rFonts w:ascii="Arial" w:hAnsi="Arial" w:cs="Arial"/>
          <w:sz w:val="18"/>
          <w:szCs w:val="18"/>
        </w:rPr>
      </w:pPr>
      <m:oMathPara>
        <m:oMath>
          <m:r>
            <m:rPr>
              <m:sty m:val="p"/>
            </m:rPr>
            <w:rPr>
              <w:rFonts w:ascii="Cambria Math" w:hAnsi="Cambria Math"/>
              <w:noProof/>
            </w:rPr>
            <w:drawing>
              <wp:inline distT="0" distB="0" distL="0" distR="0" wp14:anchorId="6A83AE8D" wp14:editId="18CB62D1">
                <wp:extent cx="5971540" cy="285750"/>
                <wp:effectExtent l="0" t="0" r="0" b="0"/>
                <wp:docPr id="7828833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1540" cy="285750"/>
                        </a:xfrm>
                        <a:prstGeom prst="rect">
                          <a:avLst/>
                        </a:prstGeom>
                        <a:noFill/>
                        <a:ln>
                          <a:noFill/>
                        </a:ln>
                      </pic:spPr>
                    </pic:pic>
                  </a:graphicData>
                </a:graphic>
              </wp:inline>
            </w:drawing>
          </m:r>
        </m:oMath>
      </m:oMathPara>
    </w:p>
    <w:p w14:paraId="62E56E4A" w14:textId="77777777" w:rsidR="006B1BE1" w:rsidRPr="006B1BE1" w:rsidRDefault="006B1BE1" w:rsidP="006B1BE1">
      <w:pPr>
        <w:spacing w:after="0"/>
        <w:jc w:val="both"/>
        <w:rPr>
          <w:rFonts w:ascii="Arial" w:hAnsi="Arial" w:cs="Arial"/>
          <w:sz w:val="18"/>
          <w:szCs w:val="18"/>
        </w:rPr>
      </w:pPr>
      <w:r w:rsidRPr="006B1BE1">
        <w:rPr>
          <w:rFonts w:ascii="Arial" w:hAnsi="Arial" w:cs="Arial"/>
          <w:sz w:val="18"/>
          <w:szCs w:val="18"/>
        </w:rPr>
        <w:t>Donde:</w:t>
      </w:r>
    </w:p>
    <w:p w14:paraId="16C4EC0B" w14:textId="306C1F93" w:rsidR="006B1BE1" w:rsidRPr="00AC4D9B" w:rsidRDefault="001F6656" w:rsidP="0081117A">
      <w:pPr>
        <w:pStyle w:val="Prrafodelista"/>
        <w:numPr>
          <w:ilvl w:val="0"/>
          <w:numId w:val="70"/>
        </w:numPr>
        <w:spacing w:line="276" w:lineRule="auto"/>
        <w:ind w:left="709" w:hanging="357"/>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e</m:t>
            </m:r>
          </m:sub>
        </m:sSub>
      </m:oMath>
      <w:r w:rsidR="006B1BE1" w:rsidRPr="00AC4D9B">
        <w:rPr>
          <w:rFonts w:cs="Arial"/>
          <w:sz w:val="18"/>
          <w:szCs w:val="18"/>
        </w:rPr>
        <w:t xml:space="preserve"> es la prima de riesgo de mercado aplicable en México</w:t>
      </w:r>
    </w:p>
    <w:p w14:paraId="1BA02FB3" w14:textId="1F952463" w:rsidR="006B1BE1" w:rsidRPr="00AC4D9B" w:rsidRDefault="001F6656" w:rsidP="0081117A">
      <w:pPr>
        <w:pStyle w:val="Prrafodelista"/>
        <w:numPr>
          <w:ilvl w:val="0"/>
          <w:numId w:val="70"/>
        </w:numPr>
        <w:spacing w:line="276" w:lineRule="auto"/>
        <w:ind w:left="709" w:hanging="357"/>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e</m:t>
            </m:r>
          </m:sub>
        </m:sSub>
        <m:r>
          <w:rPr>
            <w:rFonts w:ascii="Cambria Math" w:hAnsi="Cambria Math" w:cs="Arial"/>
            <w:sz w:val="18"/>
            <w:szCs w:val="18"/>
          </w:rPr>
          <m:t>(</m:t>
        </m:r>
        <m:r>
          <w:rPr>
            <w:rFonts w:ascii="Cambria Math" w:hAnsi="Cambria Math" w:cs="Arial"/>
            <w:sz w:val="18"/>
            <w:szCs w:val="18"/>
          </w:rPr>
          <m:t>EEUU</m:t>
        </m:r>
        <m:r>
          <w:rPr>
            <w:rFonts w:ascii="Cambria Math" w:hAnsi="Cambria Math" w:cs="Arial"/>
            <w:sz w:val="18"/>
            <w:szCs w:val="18"/>
          </w:rPr>
          <m:t>)</m:t>
        </m:r>
      </m:oMath>
      <w:r w:rsidR="006B1BE1" w:rsidRPr="00AC4D9B">
        <w:rPr>
          <w:rFonts w:cs="Arial"/>
          <w:sz w:val="18"/>
          <w:szCs w:val="18"/>
        </w:rPr>
        <w:t xml:space="preserve"> es la prima de riesgo de mercado en Estados Unidos</w:t>
      </w:r>
    </w:p>
    <w:p w14:paraId="6B52A75D" w14:textId="4F669B1C" w:rsidR="006B1BE1" w:rsidRPr="00AC4D9B" w:rsidRDefault="006B1BE1" w:rsidP="0081117A">
      <w:pPr>
        <w:pStyle w:val="Prrafodelista"/>
        <w:numPr>
          <w:ilvl w:val="0"/>
          <w:numId w:val="70"/>
        </w:numPr>
        <w:spacing w:line="276" w:lineRule="auto"/>
        <w:ind w:left="709" w:hanging="357"/>
        <w:jc w:val="both"/>
        <w:rPr>
          <w:rFonts w:cs="Arial"/>
          <w:sz w:val="18"/>
          <w:szCs w:val="18"/>
        </w:rPr>
      </w:pPr>
      <m:oMath>
        <m:r>
          <w:rPr>
            <w:rFonts w:ascii="Cambria Math" w:hAnsi="Cambria Math" w:cs="Arial"/>
            <w:sz w:val="18"/>
            <w:szCs w:val="18"/>
          </w:rPr>
          <m:t>CRP</m:t>
        </m:r>
      </m:oMath>
      <w:r w:rsidRPr="00AC4D9B">
        <w:rPr>
          <w:rFonts w:eastAsiaTheme="minorEastAsia" w:cs="Arial"/>
          <w:sz w:val="18"/>
          <w:szCs w:val="18"/>
        </w:rPr>
        <w:t xml:space="preserve"> </w:t>
      </w:r>
      <w:r w:rsidRPr="00AC4D9B">
        <w:rPr>
          <w:rFonts w:cs="Arial"/>
          <w:sz w:val="18"/>
          <w:szCs w:val="18"/>
        </w:rPr>
        <w:t>es la prima de riesgo país</w:t>
      </w:r>
    </w:p>
    <w:p w14:paraId="5CEB839C" w14:textId="77777777" w:rsidR="006B1BE1" w:rsidRPr="00FE353A" w:rsidRDefault="006B1BE1" w:rsidP="0081117A">
      <w:pPr>
        <w:pStyle w:val="Prrafodelista"/>
        <w:numPr>
          <w:ilvl w:val="0"/>
          <w:numId w:val="70"/>
        </w:numPr>
        <w:spacing w:line="276" w:lineRule="auto"/>
        <w:ind w:left="709" w:hanging="357"/>
        <w:jc w:val="both"/>
        <w:rPr>
          <w:rFonts w:cs="Arial"/>
          <w:sz w:val="18"/>
          <w:szCs w:val="18"/>
        </w:rPr>
      </w:pPr>
      <w:r w:rsidRPr="00FE353A">
        <w:rPr>
          <w:rFonts w:ascii="Cambria Math" w:eastAsiaTheme="minorEastAsia" w:hAnsi="Cambria Math" w:cs="Cambria Math"/>
          <w:sz w:val="18"/>
          <w:szCs w:val="18"/>
        </w:rPr>
        <w:t>𝜎</w:t>
      </w:r>
      <w:r w:rsidRPr="00FE353A">
        <w:rPr>
          <w:rFonts w:eastAsiaTheme="minorEastAsia" w:cs="Arial"/>
          <w:sz w:val="18"/>
          <w:szCs w:val="18"/>
        </w:rPr>
        <w:t xml:space="preserve"> </w:t>
      </w:r>
      <w:r w:rsidRPr="00FE353A">
        <w:rPr>
          <w:rFonts w:cs="Arial"/>
          <w:sz w:val="18"/>
          <w:szCs w:val="18"/>
        </w:rPr>
        <w:t>representa el factor de volatilidad adicional de las acciones en México sobre el bono mexicano.</w:t>
      </w:r>
    </w:p>
    <w:p w14:paraId="1A9DC0AE" w14:textId="77777777" w:rsidR="006B1BE1" w:rsidRPr="00DB73C2" w:rsidRDefault="006B1BE1" w:rsidP="00DB73C2">
      <w:pPr>
        <w:spacing w:after="0"/>
        <w:jc w:val="both"/>
        <w:rPr>
          <w:rFonts w:ascii="Arial" w:hAnsi="Arial" w:cs="Arial"/>
          <w:sz w:val="18"/>
          <w:szCs w:val="18"/>
        </w:rPr>
      </w:pPr>
    </w:p>
    <w:p w14:paraId="1408152B" w14:textId="77777777" w:rsidR="006172B4" w:rsidRPr="001B525F" w:rsidRDefault="006172B4" w:rsidP="00CC0143">
      <w:pPr>
        <w:spacing w:after="0"/>
        <w:rPr>
          <w:rFonts w:ascii="Arial" w:hAnsi="Arial" w:cs="Arial"/>
          <w:b/>
          <w:sz w:val="18"/>
          <w:szCs w:val="18"/>
        </w:rPr>
      </w:pPr>
    </w:p>
    <w:p w14:paraId="1520CCFE" w14:textId="77777777" w:rsidR="006172B4" w:rsidRDefault="006172B4" w:rsidP="00CC0143">
      <w:pPr>
        <w:spacing w:after="0"/>
        <w:rPr>
          <w:rFonts w:ascii="Arial" w:hAnsi="Arial" w:cs="Arial"/>
          <w:b/>
          <w:sz w:val="18"/>
          <w:szCs w:val="18"/>
        </w:rPr>
      </w:pPr>
      <w:r w:rsidRPr="001B525F">
        <w:rPr>
          <w:rFonts w:ascii="Arial" w:hAnsi="Arial" w:cs="Arial"/>
          <w:b/>
          <w:sz w:val="18"/>
          <w:szCs w:val="18"/>
        </w:rPr>
        <w:t xml:space="preserve">Beta para los operadores de telecomunicaciones, </w:t>
      </w:r>
      <w:r w:rsidRPr="001B525F">
        <w:rPr>
          <w:rFonts w:ascii="Symbol" w:eastAsia="Symbol" w:hAnsi="Symbol" w:cs="Symbol"/>
          <w:b/>
          <w:sz w:val="18"/>
          <w:szCs w:val="18"/>
        </w:rPr>
        <w:t></w:t>
      </w:r>
    </w:p>
    <w:p w14:paraId="51D88714" w14:textId="77777777" w:rsidR="00DB73C2" w:rsidRPr="001B525F" w:rsidRDefault="00DB73C2" w:rsidP="00CC0143">
      <w:pPr>
        <w:spacing w:after="0"/>
        <w:rPr>
          <w:rFonts w:ascii="Arial" w:hAnsi="Arial" w:cs="Arial"/>
          <w:b/>
          <w:sz w:val="18"/>
          <w:szCs w:val="18"/>
        </w:rPr>
      </w:pPr>
    </w:p>
    <w:p w14:paraId="45568980" w14:textId="77777777" w:rsidR="00DB73C2" w:rsidRDefault="00DB73C2" w:rsidP="00DB73C2">
      <w:pPr>
        <w:spacing w:after="0"/>
        <w:jc w:val="both"/>
        <w:rPr>
          <w:rFonts w:ascii="Arial" w:hAnsi="Arial" w:cs="Arial"/>
          <w:sz w:val="18"/>
          <w:szCs w:val="18"/>
        </w:rPr>
      </w:pPr>
      <w:r w:rsidRPr="00DB73C2">
        <w:rPr>
          <w:rFonts w:ascii="Arial" w:hAnsi="Arial" w:cs="Arial"/>
          <w:sz w:val="18"/>
          <w:szCs w:val="18"/>
        </w:rPr>
        <w:t xml:space="preserve">Para la estimación de la </w:t>
      </w:r>
      <w:r w:rsidRPr="00DB73C2">
        <w:rPr>
          <w:rFonts w:ascii="Symbol" w:eastAsia="Symbol" w:hAnsi="Symbol" w:cs="Symbol"/>
          <w:sz w:val="18"/>
          <w:szCs w:val="18"/>
        </w:rPr>
        <w:t></w:t>
      </w:r>
      <w:r w:rsidRPr="00DB73C2">
        <w:rPr>
          <w:rFonts w:ascii="Arial" w:hAnsi="Arial" w:cs="Arial"/>
          <w:sz w:val="18"/>
          <w:szCs w:val="18"/>
        </w:rPr>
        <w:t xml:space="preserve"> se tomará una comparativa de empresas de telecomunicaciones, a fin de identificar las </w:t>
      </w:r>
      <w:r w:rsidRPr="00DB73C2">
        <w:rPr>
          <w:rFonts w:ascii="Symbol" w:eastAsia="Symbol" w:hAnsi="Symbol" w:cs="Symbol"/>
          <w:sz w:val="18"/>
          <w:szCs w:val="18"/>
        </w:rPr>
        <w:t></w:t>
      </w:r>
      <w:r w:rsidRPr="00DB73C2">
        <w:rPr>
          <w:rFonts w:ascii="Arial" w:hAnsi="Arial" w:cs="Arial"/>
          <w:sz w:val="18"/>
          <w:szCs w:val="18"/>
        </w:rPr>
        <w:t xml:space="preserve"> específicas del mercado fijo y el mercado móvil. Las </w:t>
      </w:r>
      <w:r w:rsidRPr="00DB73C2">
        <w:rPr>
          <w:rFonts w:ascii="Symbol" w:eastAsia="Symbol" w:hAnsi="Symbol" w:cs="Symbol"/>
          <w:sz w:val="18"/>
          <w:szCs w:val="18"/>
        </w:rPr>
        <w:t></w:t>
      </w:r>
      <w:r w:rsidRPr="00DB73C2">
        <w:rPr>
          <w:rFonts w:ascii="Arial" w:hAnsi="Arial" w:cs="Arial"/>
          <w:sz w:val="18"/>
          <w:szCs w:val="18"/>
        </w:rPr>
        <w:t xml:space="preserve"> apalancadas para cada uno de los operadores serán extraídas de Reuters, dado que se trata de una fuente pública y utiliza una metodología de promedio para los últimos cinco años con datos mensuales. La </w:t>
      </w:r>
      <w:r w:rsidRPr="00DB73C2">
        <w:rPr>
          <w:rFonts w:ascii="Symbol" w:eastAsia="Symbol" w:hAnsi="Symbol" w:cs="Symbol"/>
          <w:sz w:val="18"/>
          <w:szCs w:val="18"/>
        </w:rPr>
        <w:t></w:t>
      </w:r>
      <w:r w:rsidRPr="00DB73C2">
        <w:rPr>
          <w:rFonts w:ascii="Arial" w:hAnsi="Arial" w:cs="Arial"/>
          <w:sz w:val="18"/>
          <w:szCs w:val="18"/>
        </w:rPr>
        <w:t xml:space="preserve"> de cada uno de los operadores comparables será desapalancada con base a los niveles de apalancamiento de cada operador, y se volverá a aplicar el ajuste de apalancamiento con el nivel de apalancamiento definido para los operadores eficientes empleados en el cálculo de los CCPP de redes fijas y móviles.</w:t>
      </w:r>
    </w:p>
    <w:p w14:paraId="12762843" w14:textId="77777777" w:rsidR="00644551" w:rsidRDefault="00644551" w:rsidP="00DB73C2">
      <w:pPr>
        <w:spacing w:after="0"/>
        <w:jc w:val="both"/>
        <w:rPr>
          <w:rFonts w:ascii="Arial" w:hAnsi="Arial" w:cs="Arial"/>
          <w:sz w:val="18"/>
          <w:szCs w:val="18"/>
        </w:rPr>
      </w:pPr>
    </w:p>
    <w:p w14:paraId="53B33A7C" w14:textId="4B887CDB" w:rsidR="00644551" w:rsidRDefault="00644551" w:rsidP="00644551">
      <w:pPr>
        <w:spacing w:after="0"/>
        <w:jc w:val="both"/>
        <w:rPr>
          <w:rFonts w:ascii="Arial" w:hAnsi="Arial" w:cs="Arial"/>
          <w:spacing w:val="-4"/>
          <w:sz w:val="18"/>
          <w:szCs w:val="18"/>
        </w:rPr>
      </w:pPr>
      <w:r w:rsidRPr="00644551">
        <w:rPr>
          <w:rFonts w:ascii="Arial" w:hAnsi="Arial" w:cs="Arial"/>
          <w:iCs/>
          <w:spacing w:val="-4"/>
          <w:sz w:val="18"/>
          <w:szCs w:val="18"/>
        </w:rPr>
        <w:t xml:space="preserve">Como resultado del ejercicio de </w:t>
      </w:r>
      <w:r>
        <w:rPr>
          <w:rFonts w:ascii="Arial" w:hAnsi="Arial" w:cs="Arial"/>
          <w:iCs/>
          <w:spacing w:val="-4"/>
          <w:sz w:val="18"/>
          <w:szCs w:val="18"/>
        </w:rPr>
        <w:t>comparativa</w:t>
      </w:r>
      <w:r w:rsidRPr="00644551">
        <w:rPr>
          <w:rFonts w:ascii="Arial" w:hAnsi="Arial" w:cs="Arial"/>
          <w:iCs/>
          <w:spacing w:val="-4"/>
          <w:sz w:val="18"/>
          <w:szCs w:val="18"/>
        </w:rPr>
        <w:t xml:space="preserve"> se estimará la </w:t>
      </w:r>
      <w:r w:rsidRPr="00644551">
        <w:rPr>
          <w:rFonts w:ascii="Symbol" w:eastAsia="Symbol" w:hAnsi="Symbol" w:cs="Symbol"/>
          <w:i/>
          <w:iCs/>
          <w:spacing w:val="-4"/>
          <w:sz w:val="18"/>
          <w:szCs w:val="18"/>
        </w:rPr>
        <w:t></w:t>
      </w:r>
      <w:r w:rsidRPr="00644551">
        <w:rPr>
          <w:rFonts w:ascii="Arial" w:hAnsi="Arial" w:cs="Arial"/>
          <w:i/>
          <w:iCs/>
          <w:spacing w:val="-4"/>
          <w:sz w:val="18"/>
          <w:szCs w:val="18"/>
        </w:rPr>
        <w:t xml:space="preserve"> </w:t>
      </w:r>
      <w:r w:rsidRPr="00644551">
        <w:rPr>
          <w:rFonts w:ascii="Arial" w:hAnsi="Arial" w:cs="Arial"/>
          <w:spacing w:val="-4"/>
          <w:sz w:val="18"/>
          <w:szCs w:val="18"/>
        </w:rPr>
        <w:t xml:space="preserve">asociada a las distintas empresas, así como el nivel del impuesto de sociedades aplicable. A través de la fórmula a continuación </w:t>
      </w:r>
      <w:r>
        <w:rPr>
          <w:rFonts w:ascii="Arial" w:hAnsi="Arial" w:cs="Arial"/>
          <w:spacing w:val="-4"/>
          <w:sz w:val="18"/>
          <w:szCs w:val="18"/>
        </w:rPr>
        <w:t>se</w:t>
      </w:r>
      <w:r w:rsidRPr="00644551">
        <w:rPr>
          <w:rFonts w:ascii="Arial" w:hAnsi="Arial" w:cs="Arial"/>
          <w:spacing w:val="-4"/>
          <w:sz w:val="18"/>
          <w:szCs w:val="18"/>
        </w:rPr>
        <w:t xml:space="preserve"> extrae la </w:t>
      </w:r>
      <w:r w:rsidR="0020685A" w:rsidRPr="00644551">
        <w:rPr>
          <w:rFonts w:ascii="Symbol" w:eastAsia="Symbol" w:hAnsi="Symbol" w:cs="Symbol"/>
          <w:i/>
          <w:iCs/>
          <w:spacing w:val="-4"/>
          <w:sz w:val="18"/>
          <w:szCs w:val="18"/>
        </w:rPr>
        <w:t></w:t>
      </w:r>
      <w:r w:rsidR="0020685A" w:rsidRPr="00644551">
        <w:rPr>
          <w:rFonts w:ascii="Arial" w:hAnsi="Arial" w:cs="Arial"/>
          <w:spacing w:val="-4"/>
          <w:sz w:val="18"/>
          <w:szCs w:val="18"/>
        </w:rPr>
        <w:t xml:space="preserve"> ‘</w:t>
      </w:r>
      <w:r w:rsidRPr="00644551">
        <w:rPr>
          <w:rFonts w:ascii="Arial" w:hAnsi="Arial" w:cs="Arial"/>
          <w:spacing w:val="-4"/>
          <w:sz w:val="18"/>
          <w:szCs w:val="18"/>
        </w:rPr>
        <w:t>desapalancada’ (</w:t>
      </w:r>
      <w:r w:rsidRPr="00644551">
        <w:rPr>
          <w:rFonts w:ascii="Arial" w:hAnsi="Arial" w:cs="Arial"/>
          <w:i/>
          <w:iCs/>
          <w:spacing w:val="-4"/>
          <w:sz w:val="18"/>
          <w:szCs w:val="18"/>
        </w:rPr>
        <w:t>asset</w:t>
      </w:r>
      <w:r w:rsidRPr="00644551">
        <w:rPr>
          <w:rFonts w:ascii="Arial" w:hAnsi="Arial" w:cs="Arial"/>
          <w:spacing w:val="-4"/>
          <w:sz w:val="18"/>
          <w:szCs w:val="18"/>
        </w:rPr>
        <w:t>) para cada empresa:</w:t>
      </w:r>
    </w:p>
    <w:p w14:paraId="1D9AF9B6" w14:textId="77777777" w:rsidR="00644551" w:rsidRPr="00644551" w:rsidRDefault="00644551" w:rsidP="00644551">
      <w:pPr>
        <w:spacing w:after="0"/>
        <w:jc w:val="both"/>
        <w:rPr>
          <w:rFonts w:ascii="Arial" w:hAnsi="Arial" w:cs="Arial"/>
          <w:spacing w:val="-4"/>
          <w:sz w:val="18"/>
          <w:szCs w:val="18"/>
        </w:rPr>
      </w:pPr>
    </w:p>
    <w:p w14:paraId="1C2FD909" w14:textId="7AB1D6AC" w:rsidR="00644551" w:rsidRDefault="00E521F5" w:rsidP="00644551">
      <w:pPr>
        <w:spacing w:after="0"/>
        <w:jc w:val="both"/>
        <w:rPr>
          <w:rFonts w:ascii="Arial" w:hAnsi="Arial" w:cs="Arial"/>
          <w:spacing w:val="-4"/>
          <w:sz w:val="18"/>
          <w:szCs w:val="18"/>
        </w:rPr>
      </w:pPr>
      <m:oMathPara>
        <m:oMath>
          <m:r>
            <m:rPr>
              <m:sty m:val="p"/>
            </m:rPr>
            <w:rPr>
              <w:rFonts w:ascii="Cambria Math" w:hAnsi="Cambria Math"/>
              <w:noProof/>
            </w:rPr>
            <w:drawing>
              <wp:inline distT="0" distB="0" distL="0" distR="0" wp14:anchorId="1D5ACC6D" wp14:editId="4D9405FD">
                <wp:extent cx="5971540" cy="390525"/>
                <wp:effectExtent l="0" t="0" r="0" b="9525"/>
                <wp:docPr id="3835434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1540" cy="390525"/>
                        </a:xfrm>
                        <a:prstGeom prst="rect">
                          <a:avLst/>
                        </a:prstGeom>
                        <a:noFill/>
                        <a:ln>
                          <a:noFill/>
                        </a:ln>
                      </pic:spPr>
                    </pic:pic>
                  </a:graphicData>
                </a:graphic>
              </wp:inline>
            </w:drawing>
          </m:r>
        </m:oMath>
      </m:oMathPara>
    </w:p>
    <w:p w14:paraId="3407E910" w14:textId="41A29EAF" w:rsidR="00644551" w:rsidRDefault="00644551" w:rsidP="00644551">
      <w:pPr>
        <w:spacing w:after="0"/>
        <w:jc w:val="both"/>
        <w:rPr>
          <w:rFonts w:ascii="Arial" w:hAnsi="Arial" w:cs="Arial"/>
          <w:spacing w:val="-4"/>
          <w:sz w:val="18"/>
          <w:szCs w:val="18"/>
        </w:rPr>
      </w:pPr>
      <w:r w:rsidRPr="00644551">
        <w:rPr>
          <w:rFonts w:ascii="Arial" w:hAnsi="Arial" w:cs="Arial"/>
          <w:spacing w:val="-4"/>
          <w:sz w:val="18"/>
          <w:szCs w:val="18"/>
        </w:rPr>
        <w:t xml:space="preserve">Cada empresa será desapalancada con los niveles de apalancamiento propios de la empresa y los impuestos propios del país principal en el que radique. La </w:t>
      </w:r>
      <w:r w:rsidRPr="00644551">
        <w:rPr>
          <w:rFonts w:ascii="Symbol" w:eastAsia="Symbol" w:hAnsi="Symbol" w:cs="Symbol"/>
          <w:i/>
          <w:iCs/>
          <w:spacing w:val="-4"/>
          <w:sz w:val="18"/>
          <w:szCs w:val="18"/>
        </w:rPr>
        <w:t></w:t>
      </w:r>
      <w:r w:rsidRPr="00644551">
        <w:rPr>
          <w:rFonts w:ascii="Arial" w:hAnsi="Arial" w:cs="Arial"/>
          <w:i/>
          <w:iCs/>
          <w:spacing w:val="-4"/>
          <w:sz w:val="18"/>
          <w:szCs w:val="18"/>
        </w:rPr>
        <w:t xml:space="preserve"> </w:t>
      </w:r>
      <w:r w:rsidRPr="00644551">
        <w:rPr>
          <w:rFonts w:ascii="Arial" w:hAnsi="Arial" w:cs="Arial"/>
          <w:spacing w:val="-4"/>
          <w:sz w:val="18"/>
          <w:szCs w:val="18"/>
        </w:rPr>
        <w:t xml:space="preserve">desapalancada aplicable para el cálculo del CCPP resultará del promedio simple de las </w:t>
      </w:r>
      <w:r w:rsidRPr="00644551">
        <w:rPr>
          <w:rFonts w:ascii="Symbol" w:eastAsia="Symbol" w:hAnsi="Symbol" w:cs="Symbol"/>
          <w:i/>
          <w:iCs/>
          <w:spacing w:val="-4"/>
          <w:sz w:val="18"/>
          <w:szCs w:val="18"/>
        </w:rPr>
        <w:t></w:t>
      </w:r>
      <w:r w:rsidRPr="00644551">
        <w:rPr>
          <w:rFonts w:ascii="Arial" w:hAnsi="Arial" w:cs="Arial"/>
          <w:i/>
          <w:iCs/>
          <w:spacing w:val="-4"/>
          <w:sz w:val="18"/>
          <w:szCs w:val="18"/>
        </w:rPr>
        <w:t xml:space="preserve"> </w:t>
      </w:r>
      <w:r w:rsidRPr="00644551">
        <w:rPr>
          <w:rFonts w:ascii="Arial" w:hAnsi="Arial" w:cs="Arial"/>
          <w:spacing w:val="-4"/>
          <w:sz w:val="18"/>
          <w:szCs w:val="18"/>
        </w:rPr>
        <w:t xml:space="preserve">desapalancadas de las empresas comparables. Se estimarán </w:t>
      </w:r>
      <w:r w:rsidRPr="00644551">
        <w:rPr>
          <w:rFonts w:ascii="Symbol" w:eastAsia="Symbol" w:hAnsi="Symbol" w:cs="Symbol"/>
          <w:i/>
          <w:iCs/>
          <w:spacing w:val="-4"/>
          <w:sz w:val="18"/>
          <w:szCs w:val="18"/>
        </w:rPr>
        <w:t></w:t>
      </w:r>
      <w:r w:rsidRPr="00644551">
        <w:rPr>
          <w:rFonts w:ascii="Arial" w:hAnsi="Arial" w:cs="Arial"/>
          <w:i/>
          <w:iCs/>
          <w:spacing w:val="-4"/>
          <w:sz w:val="18"/>
          <w:szCs w:val="18"/>
        </w:rPr>
        <w:t xml:space="preserve"> </w:t>
      </w:r>
      <w:r w:rsidRPr="00644551">
        <w:rPr>
          <w:rFonts w:ascii="Arial" w:hAnsi="Arial" w:cs="Arial"/>
          <w:spacing w:val="-4"/>
          <w:sz w:val="18"/>
          <w:szCs w:val="18"/>
        </w:rPr>
        <w:t>diferenciadas para el CCPP de redes fijas y el CCPP de redes móviles, con base a las empresas comparables definidas en cada caso</w:t>
      </w:r>
      <w:r w:rsidR="00475DF1">
        <w:rPr>
          <w:rFonts w:ascii="Arial" w:hAnsi="Arial" w:cs="Arial"/>
          <w:spacing w:val="-4"/>
          <w:sz w:val="18"/>
          <w:szCs w:val="18"/>
        </w:rPr>
        <w:t>.</w:t>
      </w:r>
    </w:p>
    <w:p w14:paraId="32B65BF9" w14:textId="77777777" w:rsidR="00914DA9" w:rsidRDefault="00914DA9" w:rsidP="00644551">
      <w:pPr>
        <w:spacing w:after="0"/>
        <w:jc w:val="both"/>
        <w:rPr>
          <w:rFonts w:ascii="Arial" w:hAnsi="Arial" w:cs="Arial"/>
          <w:spacing w:val="-4"/>
          <w:sz w:val="18"/>
          <w:szCs w:val="18"/>
        </w:rPr>
      </w:pPr>
    </w:p>
    <w:p w14:paraId="0E7F74F4" w14:textId="4E0FAAE3" w:rsidR="00914DA9" w:rsidRPr="00DB73C2" w:rsidRDefault="00914DA9" w:rsidP="00644551">
      <w:pPr>
        <w:spacing w:after="0"/>
        <w:jc w:val="both"/>
        <w:rPr>
          <w:rFonts w:ascii="Arial" w:hAnsi="Arial" w:cs="Arial"/>
          <w:spacing w:val="-4"/>
          <w:sz w:val="18"/>
          <w:szCs w:val="18"/>
        </w:rPr>
      </w:pPr>
      <w:r w:rsidRPr="00914DA9">
        <w:rPr>
          <w:rFonts w:ascii="Arial" w:hAnsi="Arial" w:cs="Arial"/>
          <w:spacing w:val="-4"/>
          <w:sz w:val="18"/>
          <w:szCs w:val="18"/>
        </w:rPr>
        <w:t xml:space="preserve">Para estimar la </w:t>
      </w:r>
      <w:r w:rsidRPr="00914DA9">
        <w:rPr>
          <w:rFonts w:ascii="Symbol" w:eastAsia="Symbol" w:hAnsi="Symbol" w:cs="Symbol"/>
          <w:i/>
          <w:iCs/>
          <w:spacing w:val="-4"/>
          <w:sz w:val="18"/>
          <w:szCs w:val="18"/>
        </w:rPr>
        <w:t></w:t>
      </w:r>
      <w:r w:rsidRPr="00914DA9">
        <w:rPr>
          <w:rFonts w:ascii="Arial" w:hAnsi="Arial" w:cs="Arial"/>
          <w:i/>
          <w:iCs/>
          <w:spacing w:val="-4"/>
          <w:sz w:val="18"/>
          <w:szCs w:val="18"/>
        </w:rPr>
        <w:t xml:space="preserve"> </w:t>
      </w:r>
      <w:r w:rsidRPr="00914DA9">
        <w:rPr>
          <w:rFonts w:ascii="Arial" w:hAnsi="Arial" w:cs="Arial"/>
          <w:spacing w:val="-4"/>
          <w:sz w:val="18"/>
          <w:szCs w:val="18"/>
        </w:rPr>
        <w:t>final aplicable para el cálculo del CCPP se hace necesario reaplicar el ajuste de los niveles de apalancamiento e impuestos</w:t>
      </w:r>
      <w:r>
        <w:rPr>
          <w:rFonts w:ascii="Arial" w:hAnsi="Arial" w:cs="Arial"/>
          <w:spacing w:val="-4"/>
          <w:sz w:val="18"/>
          <w:szCs w:val="18"/>
        </w:rPr>
        <w:t xml:space="preserve"> que se definan </w:t>
      </w:r>
      <w:r w:rsidR="00475327">
        <w:rPr>
          <w:rFonts w:ascii="Arial" w:hAnsi="Arial" w:cs="Arial"/>
          <w:spacing w:val="-4"/>
          <w:sz w:val="18"/>
          <w:szCs w:val="18"/>
        </w:rPr>
        <w:t>para el caso de la industria mexicana</w:t>
      </w:r>
      <w:r w:rsidRPr="00914DA9">
        <w:rPr>
          <w:rFonts w:ascii="Arial" w:hAnsi="Arial" w:cs="Arial"/>
          <w:spacing w:val="-4"/>
          <w:sz w:val="18"/>
          <w:szCs w:val="18"/>
        </w:rPr>
        <w:t>.</w:t>
      </w:r>
    </w:p>
    <w:p w14:paraId="3B535B76" w14:textId="77777777" w:rsidR="006172B4" w:rsidRPr="001B525F" w:rsidRDefault="006172B4" w:rsidP="00CC0143">
      <w:pPr>
        <w:spacing w:after="0"/>
        <w:rPr>
          <w:rFonts w:ascii="Arial" w:hAnsi="Arial" w:cs="Arial"/>
          <w:b/>
          <w:sz w:val="18"/>
          <w:szCs w:val="18"/>
        </w:rPr>
      </w:pPr>
    </w:p>
    <w:p w14:paraId="07E89C0E" w14:textId="77777777" w:rsidR="006172B4" w:rsidRDefault="006172B4" w:rsidP="00CC0143">
      <w:pPr>
        <w:spacing w:after="0"/>
        <w:rPr>
          <w:rFonts w:ascii="Arial" w:hAnsi="Arial" w:cs="Arial"/>
          <w:b/>
          <w:sz w:val="18"/>
          <w:szCs w:val="18"/>
        </w:rPr>
      </w:pPr>
      <w:r w:rsidRPr="001B525F">
        <w:rPr>
          <w:rFonts w:ascii="Arial" w:hAnsi="Arial" w:cs="Arial"/>
          <w:b/>
          <w:sz w:val="18"/>
          <w:szCs w:val="18"/>
        </w:rPr>
        <w:t>Relación deuda/capital (</w:t>
      </w:r>
      <w:r w:rsidRPr="001B525F">
        <w:rPr>
          <w:rFonts w:ascii="Arial" w:hAnsi="Arial" w:cs="Arial"/>
          <w:b/>
          <w:i/>
          <w:sz w:val="18"/>
          <w:szCs w:val="18"/>
        </w:rPr>
        <w:t>D/E</w:t>
      </w:r>
      <w:r w:rsidRPr="001B525F">
        <w:rPr>
          <w:rFonts w:ascii="Arial" w:hAnsi="Arial" w:cs="Arial"/>
          <w:b/>
          <w:sz w:val="18"/>
          <w:szCs w:val="18"/>
        </w:rPr>
        <w:t>)</w:t>
      </w:r>
    </w:p>
    <w:p w14:paraId="6C6D83BC" w14:textId="77777777" w:rsidR="00DB73C2" w:rsidRPr="001B525F" w:rsidRDefault="00DB73C2" w:rsidP="00CC0143">
      <w:pPr>
        <w:spacing w:after="0"/>
        <w:rPr>
          <w:rFonts w:ascii="Arial" w:hAnsi="Arial" w:cs="Arial"/>
          <w:b/>
          <w:sz w:val="18"/>
          <w:szCs w:val="18"/>
        </w:rPr>
      </w:pPr>
    </w:p>
    <w:p w14:paraId="5A1C0CBA" w14:textId="77777777" w:rsidR="00DB73C2" w:rsidRPr="00DB73C2" w:rsidRDefault="00DB73C2" w:rsidP="00DB73C2">
      <w:pPr>
        <w:spacing w:after="0"/>
        <w:jc w:val="both"/>
        <w:rPr>
          <w:rFonts w:ascii="Arial" w:hAnsi="Arial" w:cs="Arial"/>
          <w:spacing w:val="-4"/>
          <w:sz w:val="18"/>
          <w:szCs w:val="18"/>
        </w:rPr>
      </w:pPr>
      <w:r w:rsidRPr="00DB73C2">
        <w:rPr>
          <w:rFonts w:ascii="Arial" w:hAnsi="Arial" w:cs="Arial"/>
          <w:spacing w:val="-4"/>
          <w:sz w:val="18"/>
          <w:szCs w:val="18"/>
        </w:rPr>
        <w:t>El nivel de apalancamiento denota la deuda como proporción de las necesidades de financiamiento de la empresa, y se expresa como:</w:t>
      </w:r>
    </w:p>
    <w:p w14:paraId="6D254FFA" w14:textId="58A71E5F" w:rsidR="00DB73C2" w:rsidRPr="00DB73C2" w:rsidRDefault="00E521F5" w:rsidP="00210CFA">
      <w:pPr>
        <w:spacing w:after="0"/>
        <w:rPr>
          <w:rFonts w:ascii="Arial" w:hAnsi="Arial" w:cs="Arial"/>
          <w:position w:val="-24"/>
          <w:sz w:val="18"/>
          <w:szCs w:val="18"/>
        </w:rPr>
      </w:pPr>
      <w:r w:rsidRPr="00EE6EA1">
        <w:rPr>
          <w:noProof/>
        </w:rPr>
        <w:drawing>
          <wp:inline distT="0" distB="0" distL="0" distR="0" wp14:anchorId="71000E34" wp14:editId="01BAF3AF">
            <wp:extent cx="5971540" cy="371475"/>
            <wp:effectExtent l="0" t="0" r="0" b="0"/>
            <wp:docPr id="1449632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1540" cy="371475"/>
                    </a:xfrm>
                    <a:prstGeom prst="rect">
                      <a:avLst/>
                    </a:prstGeom>
                    <a:noFill/>
                    <a:ln>
                      <a:noFill/>
                    </a:ln>
                  </pic:spPr>
                </pic:pic>
              </a:graphicData>
            </a:graphic>
          </wp:inline>
        </w:drawing>
      </w:r>
    </w:p>
    <w:p w14:paraId="4B7A284D" w14:textId="77777777" w:rsidR="00DB73C2" w:rsidRPr="00DB73C2" w:rsidRDefault="00DB73C2" w:rsidP="00DB73C2">
      <w:pPr>
        <w:spacing w:after="0"/>
        <w:jc w:val="both"/>
        <w:rPr>
          <w:rFonts w:ascii="Arial" w:hAnsi="Arial" w:cs="Arial"/>
          <w:spacing w:val="-4"/>
          <w:sz w:val="18"/>
          <w:szCs w:val="18"/>
        </w:rPr>
      </w:pPr>
      <w:r w:rsidRPr="00DB73C2">
        <w:rPr>
          <w:rFonts w:ascii="Arial" w:hAnsi="Arial" w:cs="Arial"/>
          <w:spacing w:val="-4"/>
          <w:sz w:val="18"/>
          <w:szCs w:val="18"/>
        </w:rPr>
        <w:t>Generalmente, la expectativa en lo que respecta al nivel de retorno del capital (</w:t>
      </w:r>
      <w:r w:rsidRPr="00DB73C2">
        <w:rPr>
          <w:rFonts w:ascii="Arial" w:hAnsi="Arial" w:cs="Arial"/>
          <w:i/>
          <w:spacing w:val="-4"/>
          <w:sz w:val="18"/>
          <w:szCs w:val="18"/>
        </w:rPr>
        <w:t>equity</w:t>
      </w:r>
      <w:r w:rsidRPr="00DB73C2">
        <w:rPr>
          <w:rFonts w:ascii="Arial" w:hAnsi="Arial" w:cs="Arial"/>
          <w:spacing w:val="-4"/>
          <w:sz w:val="18"/>
          <w:szCs w:val="18"/>
        </w:rPr>
        <w:t>) será mayor que la del retorno de la deuda. Si aumenta el nivel de apalancamiento, la deuda tendrá una prima de riesgo mayor ya que los acreedores requerirán un mayor interés al existir menor certidumbre en el pago.</w:t>
      </w:r>
    </w:p>
    <w:p w14:paraId="2868E85E" w14:textId="77777777" w:rsidR="00DB73C2" w:rsidRPr="00DB73C2" w:rsidRDefault="00DB73C2" w:rsidP="00DB73C2">
      <w:pPr>
        <w:spacing w:after="0"/>
        <w:jc w:val="both"/>
        <w:rPr>
          <w:rFonts w:ascii="Arial" w:hAnsi="Arial" w:cs="Arial"/>
          <w:spacing w:val="-4"/>
          <w:sz w:val="18"/>
          <w:szCs w:val="18"/>
        </w:rPr>
      </w:pPr>
    </w:p>
    <w:p w14:paraId="5BA7222F" w14:textId="77777777" w:rsidR="00DB73C2" w:rsidRPr="00DB73C2" w:rsidRDefault="00DB73C2" w:rsidP="00DB73C2">
      <w:pPr>
        <w:spacing w:after="0"/>
        <w:jc w:val="both"/>
        <w:rPr>
          <w:rFonts w:ascii="Arial" w:hAnsi="Arial" w:cs="Arial"/>
          <w:spacing w:val="-4"/>
          <w:sz w:val="18"/>
          <w:szCs w:val="18"/>
        </w:rPr>
      </w:pPr>
      <w:r w:rsidRPr="00DB73C2">
        <w:rPr>
          <w:rFonts w:ascii="Arial" w:hAnsi="Arial" w:cs="Arial"/>
          <w:spacing w:val="-4"/>
          <w:sz w:val="18"/>
          <w:szCs w:val="18"/>
        </w:rPr>
        <w:lastRenderedPageBreak/>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1D2DED56" w14:textId="0B49EC7E" w:rsidR="00DB73C2" w:rsidRPr="00DB73C2" w:rsidRDefault="00DB73C2" w:rsidP="00DB73C2">
      <w:pPr>
        <w:spacing w:after="0"/>
        <w:jc w:val="both"/>
        <w:rPr>
          <w:rFonts w:ascii="Arial" w:hAnsi="Arial" w:cs="Arial"/>
          <w:b/>
          <w:sz w:val="18"/>
          <w:szCs w:val="18"/>
        </w:rPr>
      </w:pPr>
      <w:r w:rsidRPr="00DB73C2">
        <w:rPr>
          <w:rFonts w:ascii="Arial" w:hAnsi="Arial" w:cs="Arial"/>
          <w:spacing w:val="-4"/>
          <w:sz w:val="18"/>
          <w:szCs w:val="18"/>
        </w:rPr>
        <w:t>Es así como se evaluará el nivel apropiado de apalancamiento utilizando una selección de empresas comparables. Se tomará el valor en libros de la deuda total de los operadores y el valor de mercado de los recursos propios</w:t>
      </w:r>
      <w:r w:rsidR="006C60FA">
        <w:rPr>
          <w:rStyle w:val="Refdenotaalpie"/>
          <w:rFonts w:ascii="Arial" w:hAnsi="Arial" w:cs="Arial"/>
          <w:spacing w:val="-4"/>
          <w:sz w:val="18"/>
          <w:szCs w:val="18"/>
        </w:rPr>
        <w:footnoteReference w:id="29"/>
      </w:r>
      <w:r w:rsidRPr="00DB73C2">
        <w:rPr>
          <w:rFonts w:ascii="Arial" w:hAnsi="Arial" w:cs="Arial"/>
          <w:spacing w:val="-4"/>
          <w:sz w:val="18"/>
          <w:szCs w:val="18"/>
        </w:rPr>
        <w:t>.</w:t>
      </w:r>
    </w:p>
    <w:p w14:paraId="088829CE" w14:textId="77777777" w:rsidR="0017273E" w:rsidRPr="001B525F" w:rsidRDefault="0017273E" w:rsidP="00CC0143">
      <w:pPr>
        <w:spacing w:after="0"/>
        <w:rPr>
          <w:rFonts w:ascii="Arial" w:hAnsi="Arial" w:cs="Arial"/>
          <w:b/>
          <w:sz w:val="18"/>
          <w:szCs w:val="18"/>
        </w:rPr>
      </w:pPr>
    </w:p>
    <w:p w14:paraId="52AC82F8"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Costo de la deuda</w:t>
      </w:r>
    </w:p>
    <w:p w14:paraId="3F2940C8" w14:textId="77777777" w:rsidR="006172B4" w:rsidRPr="00DB73C2" w:rsidRDefault="006172B4" w:rsidP="00CC0143">
      <w:pPr>
        <w:spacing w:after="0"/>
        <w:jc w:val="both"/>
        <w:rPr>
          <w:rFonts w:ascii="Arial" w:hAnsi="Arial" w:cs="Arial"/>
          <w:spacing w:val="-4"/>
          <w:sz w:val="18"/>
          <w:szCs w:val="18"/>
        </w:rPr>
      </w:pPr>
    </w:p>
    <w:p w14:paraId="50F5C5D0" w14:textId="77777777" w:rsidR="00DB73C2" w:rsidRPr="00DB73C2" w:rsidRDefault="00DB73C2" w:rsidP="00DB73C2">
      <w:pPr>
        <w:spacing w:after="0"/>
        <w:rPr>
          <w:rFonts w:ascii="Arial" w:hAnsi="Arial" w:cs="Arial"/>
          <w:sz w:val="18"/>
          <w:szCs w:val="18"/>
        </w:rPr>
      </w:pPr>
      <w:r w:rsidRPr="00DB73C2">
        <w:rPr>
          <w:rFonts w:ascii="Arial" w:hAnsi="Arial" w:cs="Arial"/>
          <w:sz w:val="18"/>
          <w:szCs w:val="18"/>
        </w:rPr>
        <w:t>El costo de la deuda antes de impuestos se define como:</w:t>
      </w:r>
    </w:p>
    <w:p w14:paraId="00AB45D2" w14:textId="1DCF11C4" w:rsidR="00DB73C2" w:rsidRPr="00DB73C2" w:rsidRDefault="00DB73C2" w:rsidP="00DB73C2">
      <w:pPr>
        <w:spacing w:after="0"/>
        <w:jc w:val="center"/>
        <w:rPr>
          <w:rFonts w:ascii="Arial" w:hAnsi="Arial" w:cs="Arial"/>
          <w:sz w:val="18"/>
          <w:szCs w:val="18"/>
        </w:rPr>
      </w:pPr>
    </w:p>
    <w:p w14:paraId="45A22C95" w14:textId="3152BFD8" w:rsidR="00DB73C2" w:rsidRPr="00DB73C2" w:rsidRDefault="00E521F5" w:rsidP="00DB73C2">
      <w:pPr>
        <w:spacing w:after="0"/>
        <w:jc w:val="center"/>
        <w:rPr>
          <w:rFonts w:ascii="Arial" w:hAnsi="Arial" w:cs="Arial"/>
          <w:sz w:val="18"/>
          <w:szCs w:val="18"/>
        </w:rPr>
      </w:pPr>
      <w:r w:rsidRPr="00EE6EA1">
        <w:rPr>
          <w:noProof/>
        </w:rPr>
        <w:drawing>
          <wp:inline distT="0" distB="0" distL="0" distR="0" wp14:anchorId="4E968607" wp14:editId="78C6DFB5">
            <wp:extent cx="5971540" cy="295275"/>
            <wp:effectExtent l="0" t="0" r="0" b="0"/>
            <wp:docPr id="140105457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1540" cy="295275"/>
                    </a:xfrm>
                    <a:prstGeom prst="rect">
                      <a:avLst/>
                    </a:prstGeom>
                    <a:noFill/>
                    <a:ln>
                      <a:noFill/>
                    </a:ln>
                  </pic:spPr>
                </pic:pic>
              </a:graphicData>
            </a:graphic>
          </wp:inline>
        </w:drawing>
      </w:r>
    </w:p>
    <w:p w14:paraId="799518CF" w14:textId="77777777" w:rsidR="00DB73C2" w:rsidRPr="00DB73C2" w:rsidRDefault="00DB73C2" w:rsidP="00DB73C2">
      <w:pPr>
        <w:spacing w:after="0"/>
        <w:rPr>
          <w:rFonts w:ascii="Arial" w:hAnsi="Arial" w:cs="Arial"/>
          <w:sz w:val="18"/>
          <w:szCs w:val="18"/>
        </w:rPr>
      </w:pPr>
      <w:r w:rsidRPr="00DB73C2">
        <w:rPr>
          <w:rFonts w:ascii="Arial" w:hAnsi="Arial" w:cs="Arial"/>
          <w:sz w:val="18"/>
          <w:szCs w:val="18"/>
        </w:rPr>
        <w:t>Donde:</w:t>
      </w:r>
    </w:p>
    <w:p w14:paraId="67E5A9D8" w14:textId="77777777" w:rsidR="00DB73C2" w:rsidRPr="00DB73C2" w:rsidRDefault="001F6656" w:rsidP="00DB73C2">
      <w:pPr>
        <w:pStyle w:val="ListBulletCompact"/>
        <w:numPr>
          <w:ilvl w:val="0"/>
          <w:numId w:val="5"/>
        </w:numPr>
        <w:tabs>
          <w:tab w:val="clear" w:pos="360"/>
        </w:tabs>
        <w:spacing w:line="276" w:lineRule="auto"/>
        <w:ind w:left="717"/>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f</m:t>
            </m:r>
          </m:sub>
        </m:sSub>
      </m:oMath>
      <w:r w:rsidR="00DB73C2" w:rsidRPr="00DB73C2">
        <w:rPr>
          <w:rFonts w:ascii="Arial" w:hAnsi="Arial" w:cs="Arial"/>
          <w:sz w:val="18"/>
          <w:szCs w:val="18"/>
        </w:rPr>
        <w:t xml:space="preserve"> es la tasa de retorno libre de riesgo</w:t>
      </w:r>
    </w:p>
    <w:p w14:paraId="70B1ABFE" w14:textId="77777777" w:rsidR="00DB73C2" w:rsidRPr="00DB73C2" w:rsidRDefault="001F6656" w:rsidP="00DB73C2">
      <w:pPr>
        <w:pStyle w:val="ListBulletCompact"/>
        <w:numPr>
          <w:ilvl w:val="0"/>
          <w:numId w:val="5"/>
        </w:numPr>
        <w:tabs>
          <w:tab w:val="clear" w:pos="360"/>
        </w:tabs>
        <w:spacing w:line="276" w:lineRule="auto"/>
        <w:ind w:left="714"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D</m:t>
            </m:r>
          </m:sub>
        </m:sSub>
      </m:oMath>
      <w:r w:rsidR="00DB73C2" w:rsidRPr="00DB73C2">
        <w:rPr>
          <w:rFonts w:ascii="Arial" w:hAnsi="Arial" w:cs="Arial"/>
          <w:sz w:val="18"/>
          <w:szCs w:val="18"/>
        </w:rPr>
        <w:t xml:space="preserve"> es la prima de riesgo de deuda.</w:t>
      </w:r>
    </w:p>
    <w:p w14:paraId="6B201805" w14:textId="77777777" w:rsidR="00DB73C2" w:rsidRPr="00DB73C2" w:rsidRDefault="00DB73C2" w:rsidP="00DB73C2">
      <w:pPr>
        <w:pStyle w:val="ListBulletCompact"/>
        <w:numPr>
          <w:ilvl w:val="0"/>
          <w:numId w:val="0"/>
        </w:numPr>
        <w:spacing w:line="276" w:lineRule="auto"/>
        <w:ind w:left="357"/>
        <w:contextualSpacing/>
        <w:rPr>
          <w:rFonts w:ascii="Arial" w:hAnsi="Arial" w:cs="Arial"/>
          <w:sz w:val="18"/>
          <w:szCs w:val="18"/>
        </w:rPr>
      </w:pPr>
    </w:p>
    <w:p w14:paraId="4946759F" w14:textId="77777777" w:rsidR="00DB73C2" w:rsidRPr="00DB73C2" w:rsidRDefault="00DB73C2" w:rsidP="00DB73C2">
      <w:pPr>
        <w:spacing w:after="0"/>
        <w:jc w:val="both"/>
        <w:rPr>
          <w:rFonts w:ascii="Arial" w:hAnsi="Arial" w:cs="Arial"/>
          <w:spacing w:val="-4"/>
          <w:sz w:val="18"/>
          <w:szCs w:val="18"/>
        </w:rPr>
      </w:pPr>
      <w:r w:rsidRPr="00DB73C2">
        <w:rPr>
          <w:rFonts w:ascii="Arial" w:hAnsi="Arial" w:cs="Arial"/>
          <w:spacing w:val="-4"/>
          <w:sz w:val="18"/>
          <w:szCs w:val="18"/>
        </w:rPr>
        <w:t xml:space="preserve">La tasa de retorno libre de riesgo debe definirse en consecuencia con la tasa empleada en la definición del costo del </w:t>
      </w:r>
      <w:r w:rsidRPr="00DB73C2">
        <w:rPr>
          <w:rFonts w:ascii="Arial" w:hAnsi="Arial" w:cs="Arial"/>
          <w:i/>
          <w:iCs/>
          <w:spacing w:val="-4"/>
          <w:sz w:val="18"/>
          <w:szCs w:val="18"/>
        </w:rPr>
        <w:t>equity</w:t>
      </w:r>
      <w:r w:rsidRPr="00DB73C2">
        <w:rPr>
          <w:rFonts w:ascii="Arial" w:hAnsi="Arial" w:cs="Arial"/>
          <w:spacing w:val="-4"/>
          <w:sz w:val="18"/>
          <w:szCs w:val="18"/>
        </w:rPr>
        <w:t>. Esta definición toma el retorno de los bonos gubernamentales estadounidenses a 10 años, promediando de manera aritmética los retornos diarios de los últimos cinco años y añadiendo la prima de riesgo país asociada a México. La fórmula concreta es la siguiente:</w:t>
      </w:r>
    </w:p>
    <w:p w14:paraId="2F1B2DB4" w14:textId="4553B117" w:rsidR="00DB73C2" w:rsidRPr="00210CFA" w:rsidRDefault="00DB73C2" w:rsidP="00DB73C2">
      <w:pPr>
        <w:spacing w:after="0"/>
        <w:rPr>
          <w:rFonts w:ascii="Arial" w:hAnsi="Arial" w:cs="Arial"/>
          <w:spacing w:val="-4"/>
          <w:sz w:val="18"/>
          <w:szCs w:val="18"/>
        </w:rPr>
      </w:pPr>
    </w:p>
    <w:p w14:paraId="23962618" w14:textId="40050FF1" w:rsidR="00E521F5" w:rsidRPr="00DB73C2" w:rsidRDefault="00E521F5" w:rsidP="00DB73C2">
      <w:pPr>
        <w:spacing w:after="0"/>
        <w:rPr>
          <w:rFonts w:ascii="Arial" w:hAnsi="Arial" w:cs="Arial"/>
          <w:spacing w:val="-4"/>
          <w:sz w:val="18"/>
          <w:szCs w:val="18"/>
        </w:rPr>
      </w:pPr>
      <w:r w:rsidRPr="00EE6EA1">
        <w:rPr>
          <w:noProof/>
        </w:rPr>
        <w:drawing>
          <wp:inline distT="0" distB="0" distL="0" distR="0" wp14:anchorId="1D417508" wp14:editId="16D2CADA">
            <wp:extent cx="5971540" cy="295275"/>
            <wp:effectExtent l="0" t="0" r="0" b="0"/>
            <wp:docPr id="17220033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1540" cy="295275"/>
                    </a:xfrm>
                    <a:prstGeom prst="rect">
                      <a:avLst/>
                    </a:prstGeom>
                    <a:noFill/>
                    <a:ln>
                      <a:noFill/>
                    </a:ln>
                  </pic:spPr>
                </pic:pic>
              </a:graphicData>
            </a:graphic>
          </wp:inline>
        </w:drawing>
      </w:r>
    </w:p>
    <w:p w14:paraId="40B51D2B" w14:textId="77777777" w:rsidR="00DB73C2" w:rsidRPr="00DB73C2" w:rsidRDefault="00DB73C2" w:rsidP="00DB73C2">
      <w:pPr>
        <w:spacing w:after="0"/>
        <w:rPr>
          <w:rFonts w:ascii="Arial" w:hAnsi="Arial" w:cs="Arial"/>
          <w:spacing w:val="-4"/>
          <w:sz w:val="18"/>
          <w:szCs w:val="18"/>
        </w:rPr>
      </w:pPr>
      <w:r w:rsidRPr="00DB73C2">
        <w:rPr>
          <w:rFonts w:ascii="Arial" w:hAnsi="Arial" w:cs="Arial"/>
          <w:spacing w:val="-4"/>
          <w:sz w:val="18"/>
          <w:szCs w:val="18"/>
        </w:rPr>
        <w:t>Donde:</w:t>
      </w:r>
    </w:p>
    <w:p w14:paraId="7777B22C" w14:textId="77777777" w:rsidR="00DB73C2" w:rsidRPr="00DB73C2" w:rsidRDefault="001F6656" w:rsidP="00226F17">
      <w:pPr>
        <w:pStyle w:val="Prrafodelista"/>
        <w:numPr>
          <w:ilvl w:val="0"/>
          <w:numId w:val="66"/>
        </w:numPr>
        <w:jc w:val="both"/>
        <w:rPr>
          <w:rFonts w:cs="Arial"/>
          <w:spacing w:val="-4"/>
          <w:sz w:val="18"/>
          <w:szCs w:val="18"/>
        </w:rPr>
      </w:pPr>
      <m:oMath>
        <m:sSub>
          <m:sSubPr>
            <m:ctrlPr>
              <w:rPr>
                <w:rFonts w:ascii="Cambria Math" w:hAnsi="Cambria Math" w:cs="Arial"/>
                <w:spacing w:val="-4"/>
                <w:sz w:val="18"/>
                <w:szCs w:val="18"/>
              </w:rPr>
            </m:ctrlPr>
          </m:sSubPr>
          <m:e>
            <m:r>
              <w:rPr>
                <w:rFonts w:ascii="Cambria Math" w:hAnsi="Cambria Math" w:cs="Arial"/>
                <w:spacing w:val="-4"/>
                <w:sz w:val="18"/>
                <w:szCs w:val="18"/>
              </w:rPr>
              <m:t>R</m:t>
            </m:r>
          </m:e>
          <m:sub>
            <m:r>
              <w:rPr>
                <w:rFonts w:ascii="Cambria Math" w:hAnsi="Cambria Math" w:cs="Arial"/>
                <w:spacing w:val="-4"/>
                <w:sz w:val="18"/>
                <w:szCs w:val="18"/>
              </w:rPr>
              <m:t>f</m:t>
            </m:r>
          </m:sub>
        </m:sSub>
      </m:oMath>
      <w:r w:rsidR="00DB73C2" w:rsidRPr="00DB73C2">
        <w:rPr>
          <w:rFonts w:cs="Arial"/>
          <w:spacing w:val="-4"/>
          <w:sz w:val="18"/>
          <w:szCs w:val="18"/>
        </w:rPr>
        <w:t xml:space="preserve"> es la tasa de retorno libre de riesgo, aplicable en México.</w:t>
      </w:r>
    </w:p>
    <w:p w14:paraId="45FB37FF" w14:textId="77777777" w:rsidR="00DB73C2" w:rsidRPr="00DB73C2" w:rsidRDefault="001F6656" w:rsidP="00226F17">
      <w:pPr>
        <w:pStyle w:val="Prrafodelista"/>
        <w:numPr>
          <w:ilvl w:val="0"/>
          <w:numId w:val="66"/>
        </w:numPr>
        <w:jc w:val="both"/>
        <w:rPr>
          <w:rFonts w:cs="Arial"/>
          <w:spacing w:val="-4"/>
          <w:sz w:val="18"/>
          <w:szCs w:val="18"/>
        </w:rPr>
      </w:pPr>
      <m:oMath>
        <m:sSub>
          <m:sSubPr>
            <m:ctrlPr>
              <w:rPr>
                <w:rFonts w:ascii="Cambria Math" w:hAnsi="Cambria Math" w:cs="Arial"/>
                <w:spacing w:val="-4"/>
                <w:sz w:val="18"/>
                <w:szCs w:val="18"/>
              </w:rPr>
            </m:ctrlPr>
          </m:sSubPr>
          <m:e>
            <m:r>
              <w:rPr>
                <w:rFonts w:ascii="Cambria Math" w:hAnsi="Cambria Math" w:cs="Arial"/>
                <w:spacing w:val="-4"/>
                <w:sz w:val="18"/>
                <w:szCs w:val="18"/>
              </w:rPr>
              <m:t>R</m:t>
            </m:r>
          </m:e>
          <m:sub>
            <m:r>
              <w:rPr>
                <w:rFonts w:ascii="Cambria Math" w:hAnsi="Cambria Math" w:cs="Arial"/>
                <w:spacing w:val="-4"/>
                <w:sz w:val="18"/>
                <w:szCs w:val="18"/>
              </w:rPr>
              <m:t>f</m:t>
            </m:r>
          </m:sub>
        </m:sSub>
        <m:r>
          <m:rPr>
            <m:sty m:val="p"/>
          </m:rPr>
          <w:rPr>
            <w:rFonts w:ascii="Cambria Math" w:hAnsi="Cambria Math" w:cs="Arial"/>
            <w:spacing w:val="-4"/>
            <w:sz w:val="18"/>
            <w:szCs w:val="18"/>
          </w:rPr>
          <m:t>(</m:t>
        </m:r>
        <m:r>
          <w:rPr>
            <w:rFonts w:ascii="Cambria Math" w:hAnsi="Cambria Math" w:cs="Arial"/>
            <w:spacing w:val="-4"/>
            <w:sz w:val="18"/>
            <w:szCs w:val="18"/>
          </w:rPr>
          <m:t>EEUU</m:t>
        </m:r>
        <m:r>
          <m:rPr>
            <m:sty m:val="p"/>
          </m:rPr>
          <w:rPr>
            <w:rFonts w:ascii="Cambria Math" w:hAnsi="Cambria Math" w:cs="Arial"/>
            <w:spacing w:val="-4"/>
            <w:sz w:val="18"/>
            <w:szCs w:val="18"/>
          </w:rPr>
          <m:t>)</m:t>
        </m:r>
      </m:oMath>
      <w:r w:rsidR="00DB73C2" w:rsidRPr="00DB73C2">
        <w:rPr>
          <w:rFonts w:cs="Arial"/>
          <w:spacing w:val="-4"/>
          <w:sz w:val="18"/>
          <w:szCs w:val="18"/>
        </w:rPr>
        <w:t xml:space="preserve"> es la tasa de retorno libre de riesgo en Estados Unidos.</w:t>
      </w:r>
    </w:p>
    <w:p w14:paraId="51A00EC6" w14:textId="77777777" w:rsidR="00DB73C2" w:rsidRPr="00DB73C2" w:rsidRDefault="00DB73C2" w:rsidP="00226F17">
      <w:pPr>
        <w:pStyle w:val="Prrafodelista"/>
        <w:numPr>
          <w:ilvl w:val="0"/>
          <w:numId w:val="66"/>
        </w:numPr>
        <w:jc w:val="both"/>
        <w:rPr>
          <w:rFonts w:cs="Arial"/>
          <w:spacing w:val="-4"/>
          <w:sz w:val="18"/>
          <w:szCs w:val="18"/>
        </w:rPr>
      </w:pPr>
      <m:oMath>
        <m:r>
          <w:rPr>
            <w:rFonts w:ascii="Cambria Math" w:hAnsi="Cambria Math" w:cs="Arial"/>
            <w:spacing w:val="-4"/>
            <w:sz w:val="18"/>
            <w:szCs w:val="18"/>
          </w:rPr>
          <m:t>CRP</m:t>
        </m:r>
      </m:oMath>
      <w:r w:rsidRPr="00DB73C2">
        <w:rPr>
          <w:rFonts w:eastAsia="Calibri" w:cs="Arial"/>
          <w:spacing w:val="-4"/>
          <w:sz w:val="18"/>
          <w:szCs w:val="18"/>
        </w:rPr>
        <w:t xml:space="preserve"> </w:t>
      </w:r>
      <w:r w:rsidRPr="00DB73C2">
        <w:rPr>
          <w:rFonts w:cs="Arial"/>
          <w:spacing w:val="-4"/>
          <w:sz w:val="18"/>
          <w:szCs w:val="18"/>
        </w:rPr>
        <w:t>es la prima de riesgo país.</w:t>
      </w:r>
    </w:p>
    <w:p w14:paraId="0463934E" w14:textId="77777777" w:rsidR="00DB73C2" w:rsidRPr="00DB73C2" w:rsidRDefault="00DB73C2" w:rsidP="00DB73C2">
      <w:pPr>
        <w:spacing w:after="0"/>
        <w:rPr>
          <w:rFonts w:ascii="Arial" w:hAnsi="Arial" w:cs="Arial"/>
          <w:spacing w:val="-4"/>
          <w:sz w:val="18"/>
          <w:szCs w:val="18"/>
        </w:rPr>
      </w:pPr>
    </w:p>
    <w:p w14:paraId="03BA4DF6" w14:textId="37CCE385" w:rsidR="00DB73C2" w:rsidRPr="00DB73C2" w:rsidRDefault="00DB73C2" w:rsidP="00DB73C2">
      <w:pPr>
        <w:spacing w:after="0"/>
        <w:jc w:val="both"/>
        <w:rPr>
          <w:rFonts w:ascii="Arial" w:hAnsi="Arial" w:cs="Arial"/>
          <w:spacing w:val="-4"/>
          <w:sz w:val="18"/>
          <w:szCs w:val="18"/>
        </w:rPr>
      </w:pPr>
      <w:r w:rsidRPr="00DB73C2">
        <w:rPr>
          <w:rFonts w:ascii="Arial" w:hAnsi="Arial" w:cs="Arial"/>
          <w:spacing w:val="-4"/>
          <w:sz w:val="18"/>
          <w:szCs w:val="18"/>
        </w:rPr>
        <w:t>La prima de riesgo de deuda de una empresa es la diferencia entre lo que una empresa tiene que pagar a sus acreedores al adquirir un préstamo y la tasa libre de riesgo. Típicamente, la prima de riesgo de deuda varía de acuerdo con el apalancamiento de la empresa – cuanto mayor sea la proporción de financiamiento a través de deuda, mayor es la prima debido a la presión ejercida sobre los flujos de efectivo.</w:t>
      </w:r>
    </w:p>
    <w:p w14:paraId="1D4D7D08" w14:textId="77777777" w:rsidR="00DB73C2" w:rsidRPr="00DB73C2" w:rsidRDefault="00DB73C2" w:rsidP="00DB73C2">
      <w:pPr>
        <w:spacing w:after="0"/>
        <w:jc w:val="both"/>
        <w:rPr>
          <w:rFonts w:ascii="Arial" w:hAnsi="Arial" w:cs="Arial"/>
          <w:spacing w:val="-4"/>
          <w:sz w:val="18"/>
          <w:szCs w:val="18"/>
        </w:rPr>
      </w:pPr>
    </w:p>
    <w:p w14:paraId="40C26B41" w14:textId="4A412574" w:rsidR="00DB73C2" w:rsidRPr="00DB73C2" w:rsidRDefault="00DB73C2" w:rsidP="00DB73C2">
      <w:pPr>
        <w:spacing w:after="0"/>
        <w:jc w:val="both"/>
        <w:rPr>
          <w:rFonts w:ascii="Arial" w:hAnsi="Arial" w:cs="Arial"/>
          <w:sz w:val="18"/>
          <w:szCs w:val="18"/>
        </w:rPr>
      </w:pPr>
      <w:r w:rsidRPr="00DB73C2">
        <w:rPr>
          <w:rFonts w:ascii="Arial" w:hAnsi="Arial" w:cs="Arial"/>
          <w:sz w:val="18"/>
          <w:szCs w:val="18"/>
        </w:rPr>
        <w:t>Para definir la prima de deuda, se calcula la diferencia entre el cupón de los bonos emitidos en México por operadores de telecomunicaciones y el rendimiento del bono estadounidense de madurez equivalente en la fecha de emisión del bono. Adicionalmente, para asegurar consistencia con la estimación de la tasa libre de riesgo en México, se descontará la prima de riesgo asociada a los bonos mexicanos en el año de emisión de los bonos. La formulación práctica se muestra a continuación:</w:t>
      </w:r>
    </w:p>
    <w:p w14:paraId="05701A26" w14:textId="1AA50521" w:rsidR="00DB73C2" w:rsidRPr="00DB73C2" w:rsidRDefault="00DB73C2" w:rsidP="00DB73C2">
      <w:pPr>
        <w:spacing w:after="0"/>
        <w:rPr>
          <w:rFonts w:ascii="Arial" w:eastAsiaTheme="minorEastAsia" w:hAnsi="Arial" w:cs="Arial"/>
          <w:sz w:val="18"/>
          <w:szCs w:val="18"/>
        </w:rPr>
      </w:pPr>
    </w:p>
    <w:p w14:paraId="38A7E405" w14:textId="2B83B895" w:rsidR="00DB73C2" w:rsidRPr="00DB73C2" w:rsidRDefault="00E521F5" w:rsidP="00DB73C2">
      <w:pPr>
        <w:spacing w:after="0"/>
        <w:rPr>
          <w:rFonts w:ascii="Arial" w:eastAsiaTheme="minorEastAsia" w:hAnsi="Arial" w:cs="Arial"/>
          <w:sz w:val="18"/>
          <w:szCs w:val="18"/>
        </w:rPr>
      </w:pPr>
      <w:r w:rsidRPr="00EE6EA1">
        <w:rPr>
          <w:noProof/>
        </w:rPr>
        <w:drawing>
          <wp:inline distT="0" distB="0" distL="0" distR="0" wp14:anchorId="774CF2C9" wp14:editId="30F1747B">
            <wp:extent cx="5971540" cy="295275"/>
            <wp:effectExtent l="0" t="0" r="0" b="0"/>
            <wp:docPr id="14585488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1540" cy="295275"/>
                    </a:xfrm>
                    <a:prstGeom prst="rect">
                      <a:avLst/>
                    </a:prstGeom>
                    <a:noFill/>
                    <a:ln>
                      <a:noFill/>
                    </a:ln>
                  </pic:spPr>
                </pic:pic>
              </a:graphicData>
            </a:graphic>
          </wp:inline>
        </w:drawing>
      </w:r>
    </w:p>
    <w:p w14:paraId="1BE360D8" w14:textId="77777777" w:rsidR="00DB73C2" w:rsidRPr="00DB73C2" w:rsidRDefault="00DB73C2" w:rsidP="00DB73C2">
      <w:pPr>
        <w:spacing w:after="0"/>
        <w:rPr>
          <w:rFonts w:ascii="Arial" w:hAnsi="Arial" w:cs="Arial"/>
          <w:sz w:val="18"/>
          <w:szCs w:val="18"/>
        </w:rPr>
      </w:pPr>
      <w:r w:rsidRPr="00DB73C2">
        <w:rPr>
          <w:rFonts w:ascii="Arial" w:eastAsiaTheme="minorEastAsia" w:hAnsi="Arial" w:cs="Arial"/>
          <w:sz w:val="18"/>
          <w:szCs w:val="18"/>
        </w:rPr>
        <w:t>Donde:</w:t>
      </w:r>
    </w:p>
    <w:p w14:paraId="7D070DD0" w14:textId="77777777" w:rsidR="00DB73C2" w:rsidRPr="00DB73C2" w:rsidRDefault="001F6656" w:rsidP="0062635B">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d</m:t>
            </m:r>
          </m:sub>
        </m:sSub>
      </m:oMath>
      <w:r w:rsidR="00DB73C2" w:rsidRPr="00DB73C2">
        <w:rPr>
          <w:rFonts w:ascii="Arial" w:eastAsiaTheme="minorEastAsia" w:hAnsi="Arial" w:cs="Arial"/>
          <w:sz w:val="18"/>
          <w:szCs w:val="18"/>
        </w:rPr>
        <w:t xml:space="preserve"> </w:t>
      </w:r>
      <w:r w:rsidR="00DB73C2" w:rsidRPr="00DB73C2">
        <w:rPr>
          <w:rFonts w:ascii="Arial" w:hAnsi="Arial" w:cs="Arial"/>
          <w:sz w:val="18"/>
          <w:szCs w:val="18"/>
        </w:rPr>
        <w:t>es la prima de deuda asociada al bono.</w:t>
      </w:r>
    </w:p>
    <w:p w14:paraId="12A9F27B" w14:textId="77777777" w:rsidR="00DB73C2" w:rsidRPr="00DB73C2" w:rsidRDefault="001F6656" w:rsidP="0062635B">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b</m:t>
            </m:r>
          </m:sub>
        </m:sSub>
        <m:r>
          <w:rPr>
            <w:rFonts w:ascii="Cambria Math" w:hAnsi="Cambria Math" w:cs="Arial"/>
            <w:sz w:val="18"/>
            <w:szCs w:val="18"/>
          </w:rPr>
          <m:t xml:space="preserve"> </m:t>
        </m:r>
      </m:oMath>
      <w:r w:rsidR="00DB73C2" w:rsidRPr="00DB73C2">
        <w:rPr>
          <w:rFonts w:ascii="Arial" w:hAnsi="Arial" w:cs="Arial"/>
          <w:sz w:val="18"/>
          <w:szCs w:val="18"/>
        </w:rPr>
        <w:t>es el cupón asociado al bono corporativo emitido por la empresa.</w:t>
      </w:r>
    </w:p>
    <w:p w14:paraId="1CC80D5C" w14:textId="77777777" w:rsidR="00DB73C2" w:rsidRPr="00DB73C2" w:rsidRDefault="001F6656" w:rsidP="0062635B">
      <w:pPr>
        <w:pStyle w:val="ListBulletCompact"/>
        <w:numPr>
          <w:ilvl w:val="0"/>
          <w:numId w:val="5"/>
        </w:numPr>
        <w:tabs>
          <w:tab w:val="clear" w:pos="360"/>
        </w:tabs>
        <w:spacing w:line="276" w:lineRule="auto"/>
        <w:ind w:left="709" w:hanging="357"/>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f</m:t>
            </m:r>
          </m:sub>
        </m:sSub>
        <m:r>
          <w:rPr>
            <w:rFonts w:ascii="Cambria Math" w:hAnsi="Cambria Math" w:cs="Arial"/>
            <w:sz w:val="18"/>
            <w:szCs w:val="18"/>
          </w:rPr>
          <m:t>(</m:t>
        </m:r>
        <m:r>
          <w:rPr>
            <w:rFonts w:ascii="Cambria Math" w:hAnsi="Cambria Math" w:cs="Arial"/>
            <w:sz w:val="18"/>
            <w:szCs w:val="18"/>
          </w:rPr>
          <m:t>EEUU</m:t>
        </m:r>
        <m:r>
          <w:rPr>
            <w:rFonts w:ascii="Cambria Math" w:hAnsi="Cambria Math" w:cs="Arial"/>
            <w:sz w:val="18"/>
            <w:szCs w:val="18"/>
          </w:rPr>
          <m:t>)</m:t>
        </m:r>
      </m:oMath>
      <w:r w:rsidR="00DB73C2" w:rsidRPr="00DB73C2">
        <w:rPr>
          <w:rFonts w:ascii="Arial" w:hAnsi="Arial" w:cs="Arial"/>
          <w:sz w:val="18"/>
          <w:szCs w:val="18"/>
        </w:rPr>
        <w:t xml:space="preserve"> es el retorno de un bono emitido por el gobierno de Estados Unidos y de una duración comparable, en el momento de la emisión del bono corporativo.</w:t>
      </w:r>
    </w:p>
    <w:p w14:paraId="41B5507F" w14:textId="77777777" w:rsidR="00DB73C2" w:rsidRPr="00DB73C2" w:rsidRDefault="00DB73C2" w:rsidP="0062635B">
      <w:pPr>
        <w:pStyle w:val="ListBulletCompact"/>
        <w:numPr>
          <w:ilvl w:val="0"/>
          <w:numId w:val="5"/>
        </w:numPr>
        <w:tabs>
          <w:tab w:val="clear" w:pos="360"/>
        </w:tabs>
        <w:spacing w:line="276" w:lineRule="auto"/>
        <w:ind w:left="709" w:hanging="357"/>
        <w:contextualSpacing/>
        <w:rPr>
          <w:rFonts w:ascii="Arial" w:hAnsi="Arial" w:cs="Arial"/>
          <w:sz w:val="18"/>
          <w:szCs w:val="18"/>
        </w:rPr>
      </w:pPr>
      <m:oMath>
        <m:r>
          <w:rPr>
            <w:rFonts w:ascii="Cambria Math" w:hAnsi="Cambria Math" w:cs="Arial"/>
            <w:sz w:val="18"/>
            <w:szCs w:val="18"/>
          </w:rPr>
          <m:t>CRP</m:t>
        </m:r>
      </m:oMath>
      <w:r w:rsidRPr="00DB73C2">
        <w:rPr>
          <w:rFonts w:ascii="Arial" w:eastAsiaTheme="minorEastAsia" w:hAnsi="Arial" w:cs="Arial"/>
          <w:sz w:val="18"/>
          <w:szCs w:val="18"/>
        </w:rPr>
        <w:t xml:space="preserve"> </w:t>
      </w:r>
      <w:r w:rsidRPr="00DB73C2">
        <w:rPr>
          <w:rFonts w:ascii="Arial" w:hAnsi="Arial" w:cs="Arial"/>
          <w:sz w:val="18"/>
          <w:szCs w:val="18"/>
        </w:rPr>
        <w:t>es la prima de riesgo asociada a México en el momento de emisión del bono corporativo.</w:t>
      </w:r>
    </w:p>
    <w:p w14:paraId="63DDFC50" w14:textId="77777777" w:rsidR="00DB73C2" w:rsidRPr="00DB73C2" w:rsidRDefault="00DB73C2" w:rsidP="00DB73C2">
      <w:pPr>
        <w:spacing w:after="0"/>
        <w:jc w:val="both"/>
        <w:rPr>
          <w:rFonts w:ascii="Arial" w:hAnsi="Arial" w:cs="Arial"/>
          <w:spacing w:val="-4"/>
          <w:sz w:val="18"/>
          <w:szCs w:val="18"/>
        </w:rPr>
      </w:pPr>
    </w:p>
    <w:p w14:paraId="238D3C5A" w14:textId="7B96702C" w:rsidR="00C33D77" w:rsidRPr="001B525F" w:rsidRDefault="00C33D77" w:rsidP="00C33D77">
      <w:pPr>
        <w:spacing w:after="0"/>
        <w:rPr>
          <w:rFonts w:ascii="Arial" w:hAnsi="Arial" w:cs="Arial"/>
          <w:b/>
          <w:sz w:val="18"/>
          <w:szCs w:val="18"/>
        </w:rPr>
      </w:pPr>
      <w:r>
        <w:rPr>
          <w:rFonts w:ascii="Arial" w:hAnsi="Arial" w:cs="Arial"/>
          <w:b/>
          <w:sz w:val="18"/>
          <w:szCs w:val="18"/>
        </w:rPr>
        <w:lastRenderedPageBreak/>
        <w:t>Tasa de impuestos de sociedades (T)</w:t>
      </w:r>
    </w:p>
    <w:p w14:paraId="6098ED31" w14:textId="77777777" w:rsidR="00B662E4" w:rsidRDefault="00B662E4" w:rsidP="00DB73C2">
      <w:pPr>
        <w:spacing w:after="0"/>
        <w:jc w:val="both"/>
        <w:rPr>
          <w:rFonts w:ascii="Arial" w:hAnsi="Arial" w:cs="Arial"/>
          <w:sz w:val="18"/>
          <w:szCs w:val="18"/>
        </w:rPr>
      </w:pPr>
    </w:p>
    <w:p w14:paraId="02C77B4D" w14:textId="7797A65F" w:rsidR="00B662E4" w:rsidRDefault="00B662E4" w:rsidP="00B662E4">
      <w:pPr>
        <w:spacing w:after="0"/>
        <w:jc w:val="both"/>
        <w:rPr>
          <w:rFonts w:ascii="Arial" w:hAnsi="Arial" w:cs="Arial"/>
          <w:spacing w:val="-4"/>
          <w:sz w:val="18"/>
          <w:szCs w:val="18"/>
        </w:rPr>
      </w:pPr>
      <w:r w:rsidRPr="00DB73C2">
        <w:rPr>
          <w:rFonts w:ascii="Arial" w:hAnsi="Arial" w:cs="Arial"/>
          <w:spacing w:val="-4"/>
          <w:sz w:val="18"/>
          <w:szCs w:val="18"/>
        </w:rPr>
        <w:t xml:space="preserve">Para efectos del modelo se utilizará el Impuesto sobre la Renta (ISR) como la tasa adecuada de impuestos corporativos (T), cuyo valor es del 30%. </w:t>
      </w:r>
    </w:p>
    <w:p w14:paraId="15C96953" w14:textId="77777777" w:rsidR="00C33D77" w:rsidRPr="00DB73C2" w:rsidRDefault="00C33D77" w:rsidP="00B662E4">
      <w:pPr>
        <w:spacing w:after="0"/>
        <w:jc w:val="both"/>
        <w:rPr>
          <w:rFonts w:ascii="Arial" w:hAnsi="Arial" w:cs="Arial"/>
          <w:spacing w:val="-4"/>
          <w:sz w:val="18"/>
          <w:szCs w:val="18"/>
        </w:rPr>
      </w:pPr>
    </w:p>
    <w:p w14:paraId="2CA402C3" w14:textId="62C98AFA" w:rsidR="00C33D77" w:rsidRPr="001B525F" w:rsidRDefault="00C33D77" w:rsidP="00C33D77">
      <w:pPr>
        <w:spacing w:after="0"/>
        <w:rPr>
          <w:rFonts w:ascii="Arial" w:hAnsi="Arial" w:cs="Arial"/>
          <w:b/>
          <w:sz w:val="18"/>
          <w:szCs w:val="18"/>
        </w:rPr>
      </w:pPr>
      <w:r>
        <w:rPr>
          <w:rFonts w:ascii="Arial" w:hAnsi="Arial" w:cs="Arial"/>
          <w:b/>
          <w:sz w:val="18"/>
          <w:szCs w:val="18"/>
        </w:rPr>
        <w:t>Inflación</w:t>
      </w:r>
    </w:p>
    <w:p w14:paraId="259970D1" w14:textId="77777777" w:rsidR="00B662E4" w:rsidRDefault="00B662E4" w:rsidP="00DB73C2">
      <w:pPr>
        <w:spacing w:after="0"/>
        <w:jc w:val="both"/>
        <w:rPr>
          <w:rFonts w:ascii="Arial" w:hAnsi="Arial" w:cs="Arial"/>
          <w:sz w:val="18"/>
          <w:szCs w:val="18"/>
        </w:rPr>
      </w:pPr>
    </w:p>
    <w:p w14:paraId="28FD12CC" w14:textId="51172F77" w:rsidR="00B54DC7" w:rsidRDefault="00B54DC7" w:rsidP="00B54DC7">
      <w:pPr>
        <w:spacing w:after="0"/>
        <w:jc w:val="both"/>
        <w:rPr>
          <w:rFonts w:ascii="Arial" w:hAnsi="Arial" w:cs="Arial"/>
          <w:sz w:val="18"/>
          <w:szCs w:val="18"/>
        </w:rPr>
      </w:pPr>
      <w:r w:rsidRPr="00B54DC7">
        <w:rPr>
          <w:rFonts w:ascii="Arial" w:hAnsi="Arial" w:cs="Arial"/>
          <w:sz w:val="18"/>
          <w:szCs w:val="18"/>
        </w:rPr>
        <w:t>La formulación general del CCPP proporciona una medición por parámetro en términos nominales</w:t>
      </w:r>
      <w:r w:rsidR="004927BF">
        <w:rPr>
          <w:rFonts w:ascii="Arial" w:hAnsi="Arial" w:cs="Arial"/>
          <w:sz w:val="18"/>
          <w:szCs w:val="18"/>
        </w:rPr>
        <w:t xml:space="preserve"> en dólares</w:t>
      </w:r>
      <w:r w:rsidRPr="00B54DC7">
        <w:rPr>
          <w:rFonts w:ascii="Arial" w:hAnsi="Arial" w:cs="Arial"/>
          <w:sz w:val="18"/>
          <w:szCs w:val="18"/>
        </w:rPr>
        <w:t xml:space="preserve">. En el caso de los modelos de costos que estimen los costos de los activos en términos reales, es necesario asegurar que el CCPP estimado se encuentra alineado con la aproximación definida en los modelos de costos. </w:t>
      </w:r>
    </w:p>
    <w:p w14:paraId="3B5B1E9E" w14:textId="77777777" w:rsidR="002B30DA" w:rsidRPr="00B54DC7" w:rsidRDefault="002B30DA" w:rsidP="00B54DC7">
      <w:pPr>
        <w:spacing w:after="0"/>
        <w:jc w:val="both"/>
        <w:rPr>
          <w:rFonts w:ascii="Arial" w:hAnsi="Arial" w:cs="Arial"/>
          <w:sz w:val="18"/>
          <w:szCs w:val="18"/>
        </w:rPr>
      </w:pPr>
    </w:p>
    <w:p w14:paraId="0FC6D4FC" w14:textId="37DC0B32" w:rsidR="00B54DC7" w:rsidRDefault="00414565" w:rsidP="00B54DC7">
      <w:pPr>
        <w:spacing w:after="0"/>
        <w:jc w:val="both"/>
        <w:rPr>
          <w:rFonts w:ascii="Arial" w:hAnsi="Arial" w:cs="Arial"/>
          <w:sz w:val="18"/>
          <w:szCs w:val="18"/>
        </w:rPr>
      </w:pPr>
      <w:r>
        <w:rPr>
          <w:rFonts w:ascii="Arial" w:hAnsi="Arial" w:cs="Arial"/>
          <w:sz w:val="18"/>
          <w:szCs w:val="18"/>
        </w:rPr>
        <w:t>L</w:t>
      </w:r>
      <w:r w:rsidR="00B54DC7" w:rsidRPr="00B54DC7">
        <w:rPr>
          <w:rFonts w:ascii="Arial" w:hAnsi="Arial" w:cs="Arial"/>
          <w:sz w:val="18"/>
          <w:szCs w:val="18"/>
        </w:rPr>
        <w:t>a definición de los distintos parámetros (como el costo de la deuda, la tasa de retorno libre de riesgo y la prima de mercado) se realiza en dólares americanos</w:t>
      </w:r>
      <w:r w:rsidR="004B0A65">
        <w:rPr>
          <w:rFonts w:ascii="Arial" w:hAnsi="Arial" w:cs="Arial"/>
          <w:sz w:val="18"/>
          <w:szCs w:val="18"/>
        </w:rPr>
        <w:t xml:space="preserve"> por lo que el </w:t>
      </w:r>
      <w:r w:rsidR="00B54DC7" w:rsidRPr="00B54DC7">
        <w:rPr>
          <w:rFonts w:ascii="Arial" w:hAnsi="Arial" w:cs="Arial"/>
          <w:sz w:val="18"/>
          <w:szCs w:val="18"/>
        </w:rPr>
        <w:t xml:space="preserve">CCPP resultante de este cálculo es nominal, denominado en dólares americanos. De esta manera, para poder obtener el CCPP real a partir del CCPP nominal, es necesario tomar la tasa de inflación en Estados Unidos. </w:t>
      </w:r>
    </w:p>
    <w:p w14:paraId="36F8AFFD" w14:textId="77777777" w:rsidR="000A2FFA" w:rsidRPr="00B54DC7" w:rsidRDefault="000A2FFA" w:rsidP="00B54DC7">
      <w:pPr>
        <w:spacing w:after="0"/>
        <w:jc w:val="both"/>
        <w:rPr>
          <w:rFonts w:ascii="Arial" w:hAnsi="Arial" w:cs="Arial"/>
          <w:sz w:val="18"/>
          <w:szCs w:val="18"/>
        </w:rPr>
      </w:pPr>
    </w:p>
    <w:p w14:paraId="59E575DA" w14:textId="77777777" w:rsidR="00B54DC7" w:rsidRDefault="00B54DC7" w:rsidP="00B54DC7">
      <w:pPr>
        <w:spacing w:after="0"/>
        <w:jc w:val="both"/>
        <w:rPr>
          <w:rFonts w:ascii="Arial" w:hAnsi="Arial" w:cs="Arial"/>
          <w:sz w:val="18"/>
          <w:szCs w:val="18"/>
        </w:rPr>
      </w:pPr>
      <w:r w:rsidRPr="00B54DC7">
        <w:rPr>
          <w:rFonts w:ascii="Arial" w:hAnsi="Arial" w:cs="Arial"/>
          <w:sz w:val="18"/>
          <w:szCs w:val="18"/>
        </w:rPr>
        <w:t>Para obtener el CCPP real</w:t>
      </w:r>
      <w:r w:rsidRPr="00B54DC7">
        <w:rPr>
          <w:rFonts w:ascii="Arial" w:hAnsi="Arial" w:cs="Arial"/>
          <w:sz w:val="18"/>
          <w:szCs w:val="18"/>
          <w:vertAlign w:val="superscript"/>
        </w:rPr>
        <w:footnoteReference w:id="30"/>
      </w:r>
      <w:r w:rsidRPr="00B54DC7">
        <w:rPr>
          <w:rFonts w:ascii="Arial" w:hAnsi="Arial" w:cs="Arial"/>
          <w:sz w:val="18"/>
          <w:szCs w:val="18"/>
        </w:rPr>
        <w:t xml:space="preserve"> a partir del CCPP nominal, podemos hacer uso de la ecuación de Fisher</w:t>
      </w:r>
      <w:r w:rsidRPr="00B54DC7">
        <w:rPr>
          <w:rFonts w:ascii="Arial" w:hAnsi="Arial" w:cs="Arial"/>
          <w:sz w:val="18"/>
          <w:szCs w:val="18"/>
          <w:vertAlign w:val="superscript"/>
        </w:rPr>
        <w:footnoteReference w:id="31"/>
      </w:r>
      <w:r w:rsidRPr="00B54DC7">
        <w:rPr>
          <w:rFonts w:ascii="Arial" w:hAnsi="Arial" w:cs="Arial"/>
          <w:sz w:val="18"/>
          <w:szCs w:val="18"/>
        </w:rPr>
        <w:t>:</w:t>
      </w:r>
    </w:p>
    <w:p w14:paraId="52E70FC6" w14:textId="2F428D9D" w:rsidR="00B54DC7" w:rsidRPr="00210CFA" w:rsidRDefault="00B54DC7" w:rsidP="00B54DC7">
      <w:pPr>
        <w:spacing w:after="0"/>
        <w:jc w:val="both"/>
        <w:rPr>
          <w:rFonts w:ascii="Arial" w:hAnsi="Arial" w:cs="Arial"/>
          <w:bCs/>
          <w:iCs/>
          <w:sz w:val="18"/>
          <w:szCs w:val="18"/>
        </w:rPr>
      </w:pPr>
    </w:p>
    <w:p w14:paraId="7EECC700" w14:textId="682A2018" w:rsidR="00E521F5" w:rsidRPr="00B54DC7" w:rsidRDefault="00E521F5" w:rsidP="00B54DC7">
      <w:pPr>
        <w:spacing w:after="0"/>
        <w:jc w:val="both"/>
        <w:rPr>
          <w:rFonts w:ascii="Arial" w:hAnsi="Arial" w:cs="Arial"/>
          <w:bCs/>
          <w:sz w:val="18"/>
          <w:szCs w:val="18"/>
        </w:rPr>
      </w:pPr>
      <w:r w:rsidRPr="00EE6EA1">
        <w:rPr>
          <w:noProof/>
        </w:rPr>
        <w:drawing>
          <wp:inline distT="0" distB="0" distL="0" distR="0" wp14:anchorId="331E2092" wp14:editId="7F91F1F1">
            <wp:extent cx="5971540" cy="457200"/>
            <wp:effectExtent l="0" t="0" r="0" b="0"/>
            <wp:docPr id="187262857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1540" cy="457200"/>
                    </a:xfrm>
                    <a:prstGeom prst="rect">
                      <a:avLst/>
                    </a:prstGeom>
                    <a:noFill/>
                    <a:ln>
                      <a:noFill/>
                    </a:ln>
                  </pic:spPr>
                </pic:pic>
              </a:graphicData>
            </a:graphic>
          </wp:inline>
        </w:drawing>
      </w:r>
    </w:p>
    <w:p w14:paraId="05550822" w14:textId="77777777" w:rsidR="00B54DC7" w:rsidRPr="00B54DC7" w:rsidRDefault="00B54DC7" w:rsidP="00B54DC7">
      <w:pPr>
        <w:spacing w:after="0"/>
        <w:jc w:val="both"/>
        <w:rPr>
          <w:rFonts w:ascii="Arial" w:hAnsi="Arial" w:cs="Arial"/>
          <w:sz w:val="18"/>
          <w:szCs w:val="18"/>
        </w:rPr>
      </w:pPr>
      <w:r w:rsidRPr="00B54DC7">
        <w:rPr>
          <w:rFonts w:ascii="Arial" w:hAnsi="Arial" w:cs="Arial"/>
          <w:sz w:val="18"/>
          <w:szCs w:val="18"/>
        </w:rPr>
        <w:t>Donde:</w:t>
      </w:r>
    </w:p>
    <w:p w14:paraId="2A25B4BA" w14:textId="77777777" w:rsidR="00B54DC7" w:rsidRDefault="00B54DC7" w:rsidP="0062635B">
      <w:pPr>
        <w:pStyle w:val="Prrafodelista"/>
        <w:numPr>
          <w:ilvl w:val="0"/>
          <w:numId w:val="71"/>
        </w:numPr>
        <w:spacing w:line="276" w:lineRule="auto"/>
        <w:ind w:left="709" w:hanging="357"/>
        <w:jc w:val="both"/>
        <w:rPr>
          <w:rFonts w:cs="Arial"/>
          <w:sz w:val="18"/>
          <w:szCs w:val="18"/>
        </w:rPr>
      </w:pPr>
      <w:r w:rsidRPr="006D7AA4">
        <w:rPr>
          <w:rFonts w:cs="Arial"/>
          <w:i/>
          <w:sz w:val="18"/>
          <w:szCs w:val="18"/>
        </w:rPr>
        <w:t>π</w:t>
      </w:r>
      <w:r w:rsidRPr="006D7AA4">
        <w:rPr>
          <w:rFonts w:cs="Arial"/>
          <w:i/>
          <w:iCs/>
          <w:sz w:val="18"/>
          <w:szCs w:val="18"/>
        </w:rPr>
        <w:t>(EEUU)</w:t>
      </w:r>
      <w:r w:rsidRPr="006D7AA4">
        <w:rPr>
          <w:rFonts w:cs="Arial"/>
          <w:sz w:val="18"/>
          <w:szCs w:val="18"/>
        </w:rPr>
        <w:t xml:space="preserve"> es la tasa de inflación, medida por el índice de precios al consumidor en Estados Unidos.</w:t>
      </w:r>
    </w:p>
    <w:p w14:paraId="39E7D871" w14:textId="77777777" w:rsidR="000A2FFA" w:rsidRPr="006D7AA4" w:rsidRDefault="000A2FFA" w:rsidP="006D7AA4">
      <w:pPr>
        <w:pStyle w:val="Prrafodelista"/>
        <w:ind w:left="720"/>
        <w:jc w:val="both"/>
        <w:rPr>
          <w:rFonts w:cs="Arial"/>
          <w:sz w:val="18"/>
          <w:szCs w:val="18"/>
        </w:rPr>
      </w:pPr>
    </w:p>
    <w:p w14:paraId="03931C24" w14:textId="67EB6A6D" w:rsidR="00B54DC7" w:rsidRPr="00B54DC7" w:rsidRDefault="00B54DC7" w:rsidP="00B54DC7">
      <w:pPr>
        <w:spacing w:after="0"/>
        <w:jc w:val="both"/>
        <w:rPr>
          <w:rFonts w:ascii="Arial" w:hAnsi="Arial" w:cs="Arial"/>
          <w:sz w:val="18"/>
          <w:szCs w:val="18"/>
        </w:rPr>
      </w:pPr>
      <w:r w:rsidRPr="00B54DC7">
        <w:rPr>
          <w:rFonts w:ascii="Arial" w:hAnsi="Arial" w:cs="Arial"/>
          <w:sz w:val="18"/>
          <w:szCs w:val="18"/>
        </w:rPr>
        <w:t>Posteriormente, se podrá estimar un CCPP nominal</w:t>
      </w:r>
      <w:r w:rsidR="002E10F2">
        <w:rPr>
          <w:rFonts w:ascii="Arial" w:hAnsi="Arial" w:cs="Arial"/>
          <w:sz w:val="18"/>
          <w:szCs w:val="18"/>
        </w:rPr>
        <w:t xml:space="preserve"> el cual puede ser aplicado a otros modelos definidos por el Instituto</w:t>
      </w:r>
      <w:r w:rsidRPr="00B54DC7">
        <w:rPr>
          <w:rFonts w:ascii="Arial" w:hAnsi="Arial" w:cs="Arial"/>
          <w:sz w:val="18"/>
          <w:szCs w:val="18"/>
        </w:rPr>
        <w:t>, denominado en pesos mexicanos, aplicando la relación de inflaciones entre Estados Unidos y México. Esto se muestra en la siguiente fórmula:</w:t>
      </w:r>
    </w:p>
    <w:p w14:paraId="3DAB3904" w14:textId="71560C3D" w:rsidR="00B54DC7" w:rsidRPr="00B44C73" w:rsidRDefault="00B54DC7" w:rsidP="00B54DC7">
      <w:pPr>
        <w:spacing w:after="0"/>
        <w:jc w:val="both"/>
        <w:rPr>
          <w:rFonts w:ascii="Arial" w:hAnsi="Arial" w:cs="Arial"/>
          <w:sz w:val="18"/>
          <w:szCs w:val="18"/>
        </w:rPr>
      </w:pPr>
    </w:p>
    <w:p w14:paraId="40F61E71" w14:textId="7A45D329" w:rsidR="00B44C73" w:rsidRPr="00B54DC7" w:rsidRDefault="00E521F5" w:rsidP="00B54DC7">
      <w:pPr>
        <w:spacing w:after="0"/>
        <w:jc w:val="both"/>
        <w:rPr>
          <w:rFonts w:ascii="Arial" w:hAnsi="Arial" w:cs="Arial"/>
          <w:sz w:val="18"/>
          <w:szCs w:val="18"/>
        </w:rPr>
      </w:pPr>
      <w:r w:rsidRPr="00EE6EA1">
        <w:rPr>
          <w:noProof/>
        </w:rPr>
        <w:drawing>
          <wp:inline distT="0" distB="0" distL="0" distR="0" wp14:anchorId="63C2B35F" wp14:editId="7C3F5280">
            <wp:extent cx="5971540" cy="438150"/>
            <wp:effectExtent l="0" t="0" r="0" b="0"/>
            <wp:docPr id="54336108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540" cy="438150"/>
                    </a:xfrm>
                    <a:prstGeom prst="rect">
                      <a:avLst/>
                    </a:prstGeom>
                    <a:noFill/>
                    <a:ln>
                      <a:noFill/>
                    </a:ln>
                  </pic:spPr>
                </pic:pic>
              </a:graphicData>
            </a:graphic>
          </wp:inline>
        </w:drawing>
      </w:r>
    </w:p>
    <w:p w14:paraId="255AAE16" w14:textId="628BBB33" w:rsidR="00DB73C2" w:rsidRPr="00DB73C2" w:rsidRDefault="00DB73C2" w:rsidP="00DB73C2">
      <w:pPr>
        <w:spacing w:after="0"/>
        <w:jc w:val="both"/>
        <w:rPr>
          <w:rFonts w:ascii="Arial" w:hAnsi="Arial" w:cs="Arial"/>
          <w:sz w:val="18"/>
          <w:szCs w:val="18"/>
        </w:rPr>
      </w:pPr>
      <w:r w:rsidRPr="00DB73C2">
        <w:rPr>
          <w:rFonts w:ascii="Arial" w:hAnsi="Arial" w:cs="Arial"/>
          <w:sz w:val="18"/>
          <w:szCs w:val="18"/>
        </w:rPr>
        <w:t>Con respecto a las tasas de inflación a emplear, la práctica internacional recomienda el uso de perspectivas a largo plazo (por ejemplo, 10 años). Dicha duración permite asegurar el alineamiento de este parámetro con la definición del resto de parámetros involucrados en el cálculo del CCPP (como, por ejemplo, la tasa de retorno libre de riesgo). Para esta estimación, se emplearán, como fuente inicial, las perspectivas de inflación oficiales para el periodo que se encuentren disponibles en el momento de la estimación del CCPP, y se complementarán los años para los cuales no se disponga de una perspectiva de inflación a través de los objetivos de inflación propuestos por las fuentes oficiales. En concreto, se hará uso de datos publicados por el Banco de México para México y de datos reportados por la Reserva Federal en el caso de Estados Unidos.</w:t>
      </w:r>
    </w:p>
    <w:p w14:paraId="22D544FB" w14:textId="77777777" w:rsidR="00DB73C2" w:rsidRPr="00DB73C2" w:rsidRDefault="00DB73C2" w:rsidP="00DB73C2">
      <w:pPr>
        <w:spacing w:after="0"/>
        <w:jc w:val="both"/>
        <w:rPr>
          <w:rFonts w:ascii="Arial" w:hAnsi="Arial" w:cs="Arial"/>
          <w:sz w:val="18"/>
          <w:szCs w:val="18"/>
        </w:rPr>
      </w:pPr>
    </w:p>
    <w:p w14:paraId="0B297871" w14:textId="69374AAD" w:rsidR="002661F9" w:rsidRDefault="00DB73C2" w:rsidP="00DB73C2">
      <w:pPr>
        <w:spacing w:after="0"/>
        <w:jc w:val="both"/>
        <w:rPr>
          <w:rFonts w:ascii="Arial" w:hAnsi="Arial" w:cs="Arial"/>
          <w:sz w:val="18"/>
          <w:szCs w:val="18"/>
        </w:rPr>
      </w:pPr>
      <w:r w:rsidRPr="00074509">
        <w:rPr>
          <w:rFonts w:ascii="Arial" w:hAnsi="Arial" w:cs="Arial"/>
          <w:sz w:val="18"/>
          <w:szCs w:val="18"/>
        </w:rPr>
        <w:t xml:space="preserve">En suma, se calculan dos CCPP para los sectores fijo y móvil del entorno mexicano respectivamente, buscando que estos sean representativos a nivel industrial y por tanto aplicables </w:t>
      </w:r>
      <w:r w:rsidR="007742A1" w:rsidRPr="00074509">
        <w:rPr>
          <w:rFonts w:ascii="Arial" w:hAnsi="Arial" w:cs="Arial"/>
          <w:sz w:val="18"/>
          <w:szCs w:val="18"/>
        </w:rPr>
        <w:t xml:space="preserve">a </w:t>
      </w:r>
      <w:r w:rsidRPr="00074509">
        <w:rPr>
          <w:rFonts w:ascii="Arial" w:hAnsi="Arial" w:cs="Arial"/>
          <w:sz w:val="18"/>
          <w:szCs w:val="18"/>
        </w:rPr>
        <w:t xml:space="preserve">cualquier operador modelado sin importar el modelo </w:t>
      </w:r>
      <w:r w:rsidRPr="00074509">
        <w:rPr>
          <w:rFonts w:ascii="Arial" w:hAnsi="Arial" w:cs="Arial"/>
          <w:sz w:val="18"/>
          <w:szCs w:val="18"/>
        </w:rPr>
        <w:lastRenderedPageBreak/>
        <w:t>o la metodología aplicable a estos.</w:t>
      </w:r>
      <w:r w:rsidR="00146CE2" w:rsidRPr="00074509">
        <w:rPr>
          <w:rFonts w:ascii="Arial" w:hAnsi="Arial" w:cs="Arial"/>
          <w:sz w:val="18"/>
          <w:szCs w:val="18"/>
        </w:rPr>
        <w:t xml:space="preserve"> En este caso, </w:t>
      </w:r>
      <w:r w:rsidR="00C0424B" w:rsidRPr="00074509">
        <w:rPr>
          <w:rFonts w:ascii="Arial" w:hAnsi="Arial" w:cs="Arial"/>
          <w:sz w:val="18"/>
          <w:szCs w:val="18"/>
        </w:rPr>
        <w:t>los CCPP</w:t>
      </w:r>
      <w:r w:rsidR="00146CE2" w:rsidRPr="00074509">
        <w:rPr>
          <w:rFonts w:ascii="Arial" w:hAnsi="Arial" w:cs="Arial"/>
          <w:sz w:val="18"/>
          <w:szCs w:val="18"/>
        </w:rPr>
        <w:t xml:space="preserve"> se utilizan </w:t>
      </w:r>
      <w:r w:rsidR="00C0424B" w:rsidRPr="00074509">
        <w:rPr>
          <w:rFonts w:ascii="Arial" w:hAnsi="Arial" w:cs="Arial"/>
          <w:sz w:val="18"/>
          <w:szCs w:val="18"/>
        </w:rPr>
        <w:t>en</w:t>
      </w:r>
      <w:r w:rsidR="00177EB7" w:rsidRPr="00074509">
        <w:rPr>
          <w:rFonts w:ascii="Arial" w:hAnsi="Arial" w:cs="Arial"/>
          <w:sz w:val="18"/>
          <w:szCs w:val="18"/>
        </w:rPr>
        <w:t xml:space="preserve"> los modelos de costos para determinar las tarifas de los servicios de interconexión tanto en el sector fijo como en el móvil</w:t>
      </w:r>
      <w:r w:rsidR="00EF1FE0" w:rsidRPr="00074509">
        <w:rPr>
          <w:rFonts w:ascii="Arial" w:hAnsi="Arial" w:cs="Arial"/>
          <w:sz w:val="18"/>
          <w:szCs w:val="18"/>
        </w:rPr>
        <w:t>, mismos que a su vez</w:t>
      </w:r>
      <w:r w:rsidR="00177EB7" w:rsidRPr="00074509">
        <w:rPr>
          <w:rFonts w:ascii="Arial" w:hAnsi="Arial" w:cs="Arial"/>
          <w:sz w:val="18"/>
          <w:szCs w:val="18"/>
        </w:rPr>
        <w:t xml:space="preserve"> se </w:t>
      </w:r>
      <w:r w:rsidR="00716039" w:rsidRPr="00074509">
        <w:rPr>
          <w:rFonts w:ascii="Arial" w:hAnsi="Arial" w:cs="Arial"/>
          <w:sz w:val="18"/>
          <w:szCs w:val="18"/>
        </w:rPr>
        <w:t xml:space="preserve">dividen en modelos para el </w:t>
      </w:r>
      <w:r w:rsidR="00435A29" w:rsidRPr="00074509">
        <w:rPr>
          <w:rFonts w:ascii="Arial" w:hAnsi="Arial" w:cs="Arial"/>
          <w:sz w:val="18"/>
          <w:szCs w:val="18"/>
        </w:rPr>
        <w:t xml:space="preserve">AEP y para el Concesionario Solicitante (en lo sucesivo, el “CS”) </w:t>
      </w:r>
      <w:r w:rsidR="00FC2707" w:rsidRPr="00074509">
        <w:rPr>
          <w:rFonts w:ascii="Arial" w:hAnsi="Arial" w:cs="Arial"/>
          <w:sz w:val="18"/>
          <w:szCs w:val="18"/>
        </w:rPr>
        <w:t>con diferencias de</w:t>
      </w:r>
      <w:r w:rsidR="00BE31A8" w:rsidRPr="00074509">
        <w:rPr>
          <w:rFonts w:ascii="Arial" w:hAnsi="Arial" w:cs="Arial"/>
          <w:sz w:val="18"/>
          <w:szCs w:val="18"/>
        </w:rPr>
        <w:t xml:space="preserve"> acuerdo </w:t>
      </w:r>
      <w:r w:rsidR="006F3E6E" w:rsidRPr="00074509">
        <w:rPr>
          <w:rFonts w:ascii="Arial" w:hAnsi="Arial" w:cs="Arial"/>
          <w:sz w:val="18"/>
          <w:szCs w:val="18"/>
        </w:rPr>
        <w:t>con</w:t>
      </w:r>
      <w:r w:rsidR="00BE31A8" w:rsidRPr="00074509">
        <w:rPr>
          <w:rFonts w:ascii="Arial" w:hAnsi="Arial" w:cs="Arial"/>
          <w:sz w:val="18"/>
          <w:szCs w:val="18"/>
        </w:rPr>
        <w:t xml:space="preserve"> sus características específicas </w:t>
      </w:r>
      <w:r w:rsidR="00435A29" w:rsidRPr="00074509">
        <w:rPr>
          <w:rFonts w:ascii="Arial" w:hAnsi="Arial" w:cs="Arial"/>
          <w:sz w:val="18"/>
          <w:szCs w:val="18"/>
        </w:rPr>
        <w:t xml:space="preserve">y </w:t>
      </w:r>
      <w:r w:rsidR="00C409A7" w:rsidRPr="00074509">
        <w:rPr>
          <w:rFonts w:ascii="Arial" w:hAnsi="Arial" w:cs="Arial"/>
          <w:sz w:val="18"/>
          <w:szCs w:val="18"/>
        </w:rPr>
        <w:t>se reflejan en los</w:t>
      </w:r>
      <w:r w:rsidR="00BE31A8" w:rsidRPr="00074509">
        <w:rPr>
          <w:rFonts w:ascii="Arial" w:hAnsi="Arial" w:cs="Arial"/>
          <w:sz w:val="18"/>
          <w:szCs w:val="18"/>
        </w:rPr>
        <w:t xml:space="preserve"> archivos de Excel que </w:t>
      </w:r>
      <w:r w:rsidR="00D16D4C" w:rsidRPr="00074509">
        <w:rPr>
          <w:rFonts w:ascii="Arial" w:hAnsi="Arial" w:cs="Arial"/>
          <w:sz w:val="18"/>
          <w:szCs w:val="18"/>
        </w:rPr>
        <w:t xml:space="preserve">publica el </w:t>
      </w:r>
      <w:r w:rsidR="00732195" w:rsidRPr="00074509">
        <w:rPr>
          <w:rFonts w:ascii="Arial" w:hAnsi="Arial" w:cs="Arial"/>
          <w:sz w:val="18"/>
          <w:szCs w:val="18"/>
        </w:rPr>
        <w:t>Instituto</w:t>
      </w:r>
      <w:r w:rsidR="001225C0">
        <w:rPr>
          <w:rStyle w:val="Refdenotaalpie"/>
          <w:rFonts w:ascii="Arial" w:hAnsi="Arial" w:cs="Arial"/>
          <w:sz w:val="18"/>
          <w:szCs w:val="18"/>
        </w:rPr>
        <w:footnoteReference w:id="32"/>
      </w:r>
      <w:r w:rsidR="00732195">
        <w:rPr>
          <w:rFonts w:ascii="Arial" w:hAnsi="Arial" w:cs="Arial"/>
          <w:sz w:val="18"/>
          <w:szCs w:val="18"/>
        </w:rPr>
        <w:t xml:space="preserve">. </w:t>
      </w:r>
    </w:p>
    <w:p w14:paraId="43B6631D" w14:textId="77777777" w:rsidR="002661F9" w:rsidRDefault="002661F9" w:rsidP="00DB73C2">
      <w:pPr>
        <w:spacing w:after="0"/>
        <w:jc w:val="both"/>
        <w:rPr>
          <w:rFonts w:ascii="Arial" w:hAnsi="Arial" w:cs="Arial"/>
          <w:sz w:val="18"/>
          <w:szCs w:val="18"/>
        </w:rPr>
      </w:pPr>
    </w:p>
    <w:p w14:paraId="6AC4137E" w14:textId="4745BCE8" w:rsidR="00DB73C2" w:rsidRPr="00DB73C2" w:rsidRDefault="002661F9" w:rsidP="00DB73C2">
      <w:pPr>
        <w:spacing w:after="0"/>
        <w:jc w:val="both"/>
        <w:rPr>
          <w:rFonts w:ascii="Arial" w:hAnsi="Arial" w:cs="Arial"/>
          <w:sz w:val="18"/>
          <w:szCs w:val="18"/>
        </w:rPr>
      </w:pPr>
      <w:r>
        <w:rPr>
          <w:rFonts w:ascii="Arial" w:hAnsi="Arial" w:cs="Arial"/>
          <w:sz w:val="18"/>
          <w:szCs w:val="18"/>
        </w:rPr>
        <w:t>Los CCPP calculados se presentan en el siguiente cuadro</w:t>
      </w:r>
      <w:r w:rsidR="00DB73C2" w:rsidRPr="00DB73C2">
        <w:rPr>
          <w:rFonts w:ascii="Arial" w:hAnsi="Arial" w:cs="Arial"/>
          <w:sz w:val="18"/>
          <w:szCs w:val="18"/>
        </w:rPr>
        <w:t>:</w:t>
      </w:r>
    </w:p>
    <w:p w14:paraId="7F2CBF75" w14:textId="77777777" w:rsidR="00DB73C2" w:rsidRPr="00DB73C2" w:rsidRDefault="00DB73C2" w:rsidP="00DB73C2">
      <w:pPr>
        <w:spacing w:after="0"/>
        <w:rPr>
          <w:rFonts w:ascii="Arial" w:hAnsi="Arial" w:cs="Arial"/>
          <w:spacing w:val="-4"/>
          <w:sz w:val="18"/>
          <w:szCs w:val="18"/>
        </w:rPr>
      </w:pPr>
    </w:p>
    <w:tbl>
      <w:tblPr>
        <w:tblStyle w:val="Tablaconcuadrcula5oscura"/>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252"/>
        <w:gridCol w:w="2268"/>
        <w:gridCol w:w="2268"/>
      </w:tblGrid>
      <w:tr w:rsidR="00DB73C2" w:rsidRPr="00DB73C2" w14:paraId="297F6AB3" w14:textId="77777777" w:rsidTr="00A523AD">
        <w:trPr>
          <w:cnfStyle w:val="100000000000" w:firstRow="1" w:lastRow="0" w:firstColumn="0" w:lastColumn="0" w:oddVBand="0" w:evenVBand="0" w:oddHBand="0" w:evenHBand="0" w:firstRowFirstColumn="0" w:firstRowLastColumn="0" w:lastRowFirstColumn="0" w:lastRowLastColumn="0"/>
          <w:jc w:val="center"/>
        </w:trPr>
        <w:tc>
          <w:tcPr>
            <w:tcW w:w="4252" w:type="dxa"/>
            <w:shd w:val="clear" w:color="auto" w:fill="A6A6A6" w:themeFill="background1" w:themeFillShade="A6"/>
          </w:tcPr>
          <w:p w14:paraId="72B9E0EA" w14:textId="77777777" w:rsidR="00DB73C2" w:rsidRPr="00DB73C2" w:rsidRDefault="00DB73C2" w:rsidP="00A523AD">
            <w:pPr>
              <w:pStyle w:val="Tableheading"/>
              <w:spacing w:before="0" w:after="0" w:line="276" w:lineRule="auto"/>
              <w:jc w:val="center"/>
              <w:rPr>
                <w:rFonts w:cs="Arial"/>
                <w:b/>
                <w:color w:val="auto"/>
                <w:szCs w:val="18"/>
                <w:lang w:val="es-ES"/>
              </w:rPr>
            </w:pPr>
            <w:r w:rsidRPr="00DB73C2">
              <w:rPr>
                <w:rFonts w:cs="Arial"/>
                <w:b/>
                <w:color w:val="auto"/>
                <w:szCs w:val="18"/>
                <w:lang w:val="es-ES"/>
              </w:rPr>
              <w:t>Parámetro</w:t>
            </w:r>
          </w:p>
        </w:tc>
        <w:tc>
          <w:tcPr>
            <w:tcW w:w="2268" w:type="dxa"/>
            <w:shd w:val="clear" w:color="auto" w:fill="A6A6A6" w:themeFill="background1" w:themeFillShade="A6"/>
          </w:tcPr>
          <w:p w14:paraId="5FF6631F" w14:textId="77777777" w:rsidR="00DB73C2" w:rsidRPr="00DB73C2" w:rsidRDefault="00DB73C2" w:rsidP="00A523AD">
            <w:pPr>
              <w:pStyle w:val="Tableheading"/>
              <w:spacing w:before="0" w:after="0" w:line="276" w:lineRule="auto"/>
              <w:jc w:val="center"/>
              <w:rPr>
                <w:rFonts w:cs="Arial"/>
                <w:b/>
                <w:color w:val="auto"/>
                <w:szCs w:val="18"/>
                <w:lang w:val="es-ES"/>
              </w:rPr>
            </w:pPr>
            <w:r w:rsidRPr="00DB73C2">
              <w:rPr>
                <w:rFonts w:cs="Arial"/>
                <w:b/>
                <w:color w:val="auto"/>
                <w:szCs w:val="18"/>
                <w:lang w:val="es-ES"/>
              </w:rPr>
              <w:t>CCPP de redes móviles</w:t>
            </w:r>
          </w:p>
        </w:tc>
        <w:tc>
          <w:tcPr>
            <w:tcW w:w="2268" w:type="dxa"/>
            <w:shd w:val="clear" w:color="auto" w:fill="A6A6A6" w:themeFill="background1" w:themeFillShade="A6"/>
          </w:tcPr>
          <w:p w14:paraId="0A458EAE" w14:textId="77777777" w:rsidR="00DB73C2" w:rsidRPr="00DB73C2" w:rsidRDefault="00DB73C2" w:rsidP="00A523AD">
            <w:pPr>
              <w:pStyle w:val="Tableheading"/>
              <w:spacing w:before="0" w:after="0" w:line="276" w:lineRule="auto"/>
              <w:jc w:val="center"/>
              <w:rPr>
                <w:rFonts w:cs="Arial"/>
                <w:b/>
                <w:color w:val="auto"/>
                <w:szCs w:val="18"/>
                <w:lang w:val="es-ES"/>
              </w:rPr>
            </w:pPr>
            <w:r w:rsidRPr="00DB73C2">
              <w:rPr>
                <w:rFonts w:cs="Arial"/>
                <w:b/>
                <w:color w:val="auto"/>
                <w:szCs w:val="18"/>
                <w:lang w:val="es-ES"/>
              </w:rPr>
              <w:t>CCPP de redes fijas</w:t>
            </w:r>
          </w:p>
        </w:tc>
      </w:tr>
      <w:tr w:rsidR="00DB73C2" w:rsidRPr="00DB73C2" w14:paraId="05171C64" w14:textId="77777777" w:rsidTr="00A523AD">
        <w:trPr>
          <w:jc w:val="center"/>
        </w:trPr>
        <w:tc>
          <w:tcPr>
            <w:tcW w:w="4252" w:type="dxa"/>
            <w:shd w:val="clear" w:color="auto" w:fill="auto"/>
          </w:tcPr>
          <w:p w14:paraId="182D256E" w14:textId="77777777" w:rsidR="00DB73C2" w:rsidRPr="00DB73C2" w:rsidRDefault="00DB73C2" w:rsidP="00344FBA">
            <w:pPr>
              <w:pStyle w:val="Tablecells"/>
              <w:spacing w:before="0" w:after="0" w:line="276" w:lineRule="auto"/>
              <w:rPr>
                <w:rFonts w:cs="Arial"/>
                <w:b/>
                <w:bCs/>
                <w:szCs w:val="18"/>
                <w:lang w:val="es-ES"/>
              </w:rPr>
            </w:pPr>
            <w:r w:rsidRPr="00DB73C2">
              <w:rPr>
                <w:rFonts w:cs="Arial"/>
                <w:b/>
                <w:bCs/>
                <w:szCs w:val="18"/>
                <w:lang w:val="es-ES"/>
              </w:rPr>
              <w:t>Costo de capital (equity)</w:t>
            </w:r>
          </w:p>
        </w:tc>
        <w:tc>
          <w:tcPr>
            <w:tcW w:w="2268" w:type="dxa"/>
            <w:shd w:val="clear" w:color="auto" w:fill="auto"/>
          </w:tcPr>
          <w:p w14:paraId="17019C9E" w14:textId="4C73F955" w:rsidR="00DB73C2" w:rsidRPr="00DB73C2" w:rsidRDefault="00DB73C2" w:rsidP="00344FBA">
            <w:pPr>
              <w:pStyle w:val="Tablecells"/>
              <w:spacing w:before="0" w:after="0" w:line="276" w:lineRule="auto"/>
              <w:jc w:val="right"/>
              <w:rPr>
                <w:rFonts w:cs="Arial"/>
                <w:b/>
                <w:bCs/>
                <w:szCs w:val="18"/>
                <w:lang w:val="es-ES"/>
              </w:rPr>
            </w:pPr>
            <w:r w:rsidRPr="00DB73C2">
              <w:rPr>
                <w:rFonts w:cs="Arial"/>
                <w:b/>
                <w:bCs/>
                <w:szCs w:val="18"/>
              </w:rPr>
              <w:t>9.</w:t>
            </w:r>
            <w:r w:rsidR="00832A9C">
              <w:rPr>
                <w:rFonts w:cs="Arial"/>
                <w:b/>
                <w:bCs/>
                <w:szCs w:val="18"/>
              </w:rPr>
              <w:t>19</w:t>
            </w:r>
            <w:r w:rsidRPr="00DB73C2">
              <w:rPr>
                <w:rFonts w:cs="Arial"/>
                <w:b/>
                <w:bCs/>
                <w:szCs w:val="18"/>
              </w:rPr>
              <w:t>%</w:t>
            </w:r>
          </w:p>
        </w:tc>
        <w:tc>
          <w:tcPr>
            <w:tcW w:w="2268" w:type="dxa"/>
            <w:shd w:val="clear" w:color="auto" w:fill="auto"/>
          </w:tcPr>
          <w:p w14:paraId="33E220F5" w14:textId="18310FEB" w:rsidR="00DB73C2" w:rsidRPr="00DB73C2" w:rsidRDefault="00DB73C2" w:rsidP="00344FBA">
            <w:pPr>
              <w:pStyle w:val="Tablecells"/>
              <w:spacing w:before="0" w:after="0" w:line="276" w:lineRule="auto"/>
              <w:jc w:val="right"/>
              <w:rPr>
                <w:rFonts w:cs="Arial"/>
                <w:b/>
                <w:bCs/>
                <w:szCs w:val="18"/>
                <w:lang w:val="es-ES"/>
              </w:rPr>
            </w:pPr>
            <w:r w:rsidRPr="00DB73C2">
              <w:rPr>
                <w:rFonts w:cs="Arial"/>
                <w:b/>
                <w:bCs/>
                <w:szCs w:val="18"/>
              </w:rPr>
              <w:t>9.</w:t>
            </w:r>
            <w:r w:rsidR="00832A9C">
              <w:rPr>
                <w:rFonts w:cs="Arial"/>
                <w:b/>
                <w:bCs/>
                <w:szCs w:val="18"/>
              </w:rPr>
              <w:t>15</w:t>
            </w:r>
            <w:r w:rsidRPr="00DB73C2">
              <w:rPr>
                <w:rFonts w:cs="Arial"/>
                <w:b/>
                <w:bCs/>
                <w:szCs w:val="18"/>
              </w:rPr>
              <w:t>%</w:t>
            </w:r>
          </w:p>
        </w:tc>
      </w:tr>
      <w:tr w:rsidR="00DB73C2" w:rsidRPr="00DB73C2" w14:paraId="52646B4E" w14:textId="77777777" w:rsidTr="00A523AD">
        <w:trPr>
          <w:jc w:val="center"/>
        </w:trPr>
        <w:tc>
          <w:tcPr>
            <w:tcW w:w="4252" w:type="dxa"/>
            <w:shd w:val="clear" w:color="auto" w:fill="auto"/>
          </w:tcPr>
          <w:p w14:paraId="62A8E372"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Tasa libre de riesgo en México</w:t>
            </w:r>
          </w:p>
        </w:tc>
        <w:tc>
          <w:tcPr>
            <w:tcW w:w="2268" w:type="dxa"/>
            <w:shd w:val="clear" w:color="auto" w:fill="auto"/>
          </w:tcPr>
          <w:p w14:paraId="042A7252" w14:textId="2D3C5C46"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w:t>
            </w:r>
            <w:r w:rsidR="000305F1">
              <w:rPr>
                <w:rFonts w:cs="Arial"/>
                <w:szCs w:val="18"/>
              </w:rPr>
              <w:t>77</w:t>
            </w:r>
            <w:r w:rsidRPr="00DB73C2">
              <w:rPr>
                <w:rFonts w:cs="Arial"/>
                <w:szCs w:val="18"/>
              </w:rPr>
              <w:t>%</w:t>
            </w:r>
          </w:p>
        </w:tc>
        <w:tc>
          <w:tcPr>
            <w:tcW w:w="2268" w:type="dxa"/>
            <w:shd w:val="clear" w:color="auto" w:fill="auto"/>
          </w:tcPr>
          <w:p w14:paraId="6B706876" w14:textId="7FACC237"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w:t>
            </w:r>
            <w:r w:rsidR="000305F1">
              <w:rPr>
                <w:rFonts w:cs="Arial"/>
                <w:szCs w:val="18"/>
              </w:rPr>
              <w:t>77</w:t>
            </w:r>
            <w:r w:rsidRPr="00DB73C2">
              <w:rPr>
                <w:rFonts w:cs="Arial"/>
                <w:szCs w:val="18"/>
              </w:rPr>
              <w:t>%</w:t>
            </w:r>
          </w:p>
        </w:tc>
      </w:tr>
      <w:tr w:rsidR="00DB73C2" w:rsidRPr="00DB73C2" w14:paraId="617C0D9B" w14:textId="77777777" w:rsidTr="00A523AD">
        <w:trPr>
          <w:jc w:val="center"/>
        </w:trPr>
        <w:tc>
          <w:tcPr>
            <w:tcW w:w="4252" w:type="dxa"/>
            <w:shd w:val="clear" w:color="auto" w:fill="auto"/>
          </w:tcPr>
          <w:p w14:paraId="717573AA"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Tasa libre de riesgo en EE. UU.</w:t>
            </w:r>
          </w:p>
        </w:tc>
        <w:tc>
          <w:tcPr>
            <w:tcW w:w="2268" w:type="dxa"/>
            <w:shd w:val="clear" w:color="auto" w:fill="auto"/>
          </w:tcPr>
          <w:p w14:paraId="41E322EA" w14:textId="21A3C18D"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2.</w:t>
            </w:r>
            <w:r w:rsidR="000305F1">
              <w:rPr>
                <w:rFonts w:cs="Arial"/>
                <w:szCs w:val="18"/>
              </w:rPr>
              <w:t>14</w:t>
            </w:r>
            <w:r w:rsidRPr="00DB73C2">
              <w:rPr>
                <w:rFonts w:cs="Arial"/>
                <w:szCs w:val="18"/>
              </w:rPr>
              <w:t>%</w:t>
            </w:r>
          </w:p>
        </w:tc>
        <w:tc>
          <w:tcPr>
            <w:tcW w:w="2268" w:type="dxa"/>
            <w:shd w:val="clear" w:color="auto" w:fill="auto"/>
          </w:tcPr>
          <w:p w14:paraId="41BF430C" w14:textId="22450495"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2.</w:t>
            </w:r>
            <w:r w:rsidR="000305F1">
              <w:rPr>
                <w:rFonts w:cs="Arial"/>
                <w:szCs w:val="18"/>
              </w:rPr>
              <w:t>14</w:t>
            </w:r>
            <w:r w:rsidRPr="00DB73C2">
              <w:rPr>
                <w:rFonts w:cs="Arial"/>
                <w:szCs w:val="18"/>
              </w:rPr>
              <w:t>%</w:t>
            </w:r>
          </w:p>
        </w:tc>
      </w:tr>
      <w:tr w:rsidR="00DB73C2" w:rsidRPr="00DB73C2" w14:paraId="4CE5C825" w14:textId="77777777" w:rsidTr="00A523AD">
        <w:trPr>
          <w:jc w:val="center"/>
        </w:trPr>
        <w:tc>
          <w:tcPr>
            <w:tcW w:w="4252" w:type="dxa"/>
            <w:shd w:val="clear" w:color="auto" w:fill="auto"/>
          </w:tcPr>
          <w:p w14:paraId="6F22E2E0"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Prima de riesgo país para México</w:t>
            </w:r>
          </w:p>
        </w:tc>
        <w:tc>
          <w:tcPr>
            <w:tcW w:w="2268" w:type="dxa"/>
            <w:shd w:val="clear" w:color="auto" w:fill="auto"/>
          </w:tcPr>
          <w:p w14:paraId="286696F9" w14:textId="4CCD911C"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1.</w:t>
            </w:r>
            <w:r w:rsidR="00AD696F">
              <w:rPr>
                <w:rFonts w:cs="Arial"/>
                <w:szCs w:val="18"/>
              </w:rPr>
              <w:t>63</w:t>
            </w:r>
            <w:r w:rsidRPr="00DB73C2">
              <w:rPr>
                <w:rFonts w:cs="Arial"/>
                <w:szCs w:val="18"/>
              </w:rPr>
              <w:t>%</w:t>
            </w:r>
          </w:p>
        </w:tc>
        <w:tc>
          <w:tcPr>
            <w:tcW w:w="2268" w:type="dxa"/>
            <w:shd w:val="clear" w:color="auto" w:fill="auto"/>
          </w:tcPr>
          <w:p w14:paraId="02BAA202" w14:textId="0544B5DE"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1.</w:t>
            </w:r>
            <w:r w:rsidR="00AD696F">
              <w:rPr>
                <w:rFonts w:cs="Arial"/>
                <w:szCs w:val="18"/>
              </w:rPr>
              <w:t>63</w:t>
            </w:r>
            <w:r w:rsidRPr="00DB73C2">
              <w:rPr>
                <w:rFonts w:cs="Arial"/>
                <w:szCs w:val="18"/>
              </w:rPr>
              <w:t>%</w:t>
            </w:r>
          </w:p>
        </w:tc>
      </w:tr>
      <w:tr w:rsidR="00DB73C2" w:rsidRPr="00DB73C2" w14:paraId="244C9BA9" w14:textId="77777777" w:rsidTr="00A523AD">
        <w:trPr>
          <w:jc w:val="center"/>
        </w:trPr>
        <w:tc>
          <w:tcPr>
            <w:tcW w:w="4252" w:type="dxa"/>
            <w:shd w:val="clear" w:color="auto" w:fill="auto"/>
          </w:tcPr>
          <w:p w14:paraId="263C0DBC"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Prima de riesgo de mercado en México</w:t>
            </w:r>
          </w:p>
        </w:tc>
        <w:tc>
          <w:tcPr>
            <w:tcW w:w="2268" w:type="dxa"/>
            <w:shd w:val="clear" w:color="auto" w:fill="auto"/>
          </w:tcPr>
          <w:p w14:paraId="68E7AB0E" w14:textId="3801BF32"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8.</w:t>
            </w:r>
            <w:r w:rsidR="00AD696F">
              <w:rPr>
                <w:rFonts w:cs="Arial"/>
                <w:szCs w:val="18"/>
              </w:rPr>
              <w:t>22</w:t>
            </w:r>
            <w:r w:rsidRPr="00DB73C2">
              <w:rPr>
                <w:rFonts w:cs="Arial"/>
                <w:szCs w:val="18"/>
              </w:rPr>
              <w:t>%</w:t>
            </w:r>
          </w:p>
        </w:tc>
        <w:tc>
          <w:tcPr>
            <w:tcW w:w="2268" w:type="dxa"/>
            <w:shd w:val="clear" w:color="auto" w:fill="auto"/>
          </w:tcPr>
          <w:p w14:paraId="1A9A160C" w14:textId="3610A7D3"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8.</w:t>
            </w:r>
            <w:r w:rsidR="00AD696F">
              <w:rPr>
                <w:rFonts w:cs="Arial"/>
                <w:szCs w:val="18"/>
              </w:rPr>
              <w:t>22</w:t>
            </w:r>
            <w:r w:rsidRPr="00DB73C2">
              <w:rPr>
                <w:rFonts w:cs="Arial"/>
                <w:szCs w:val="18"/>
              </w:rPr>
              <w:t>%</w:t>
            </w:r>
          </w:p>
        </w:tc>
      </w:tr>
      <w:tr w:rsidR="00DB73C2" w:rsidRPr="00DB73C2" w14:paraId="0D36F946" w14:textId="77777777" w:rsidTr="00A523AD">
        <w:trPr>
          <w:jc w:val="center"/>
        </w:trPr>
        <w:tc>
          <w:tcPr>
            <w:tcW w:w="4252" w:type="dxa"/>
            <w:shd w:val="clear" w:color="auto" w:fill="auto"/>
          </w:tcPr>
          <w:p w14:paraId="29FC58F2"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Prima de riesgo de mercado en EE. UU.</w:t>
            </w:r>
          </w:p>
        </w:tc>
        <w:tc>
          <w:tcPr>
            <w:tcW w:w="2268" w:type="dxa"/>
            <w:shd w:val="clear" w:color="auto" w:fill="auto"/>
          </w:tcPr>
          <w:p w14:paraId="50ECF861" w14:textId="38030825"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5.</w:t>
            </w:r>
            <w:r w:rsidR="00AD696F">
              <w:rPr>
                <w:rFonts w:cs="Arial"/>
                <w:szCs w:val="18"/>
              </w:rPr>
              <w:t>0</w:t>
            </w:r>
            <w:r w:rsidRPr="00DB73C2">
              <w:rPr>
                <w:rFonts w:cs="Arial"/>
                <w:szCs w:val="18"/>
              </w:rPr>
              <w:t>2%</w:t>
            </w:r>
          </w:p>
        </w:tc>
        <w:tc>
          <w:tcPr>
            <w:tcW w:w="2268" w:type="dxa"/>
            <w:shd w:val="clear" w:color="auto" w:fill="auto"/>
          </w:tcPr>
          <w:p w14:paraId="2E01917B" w14:textId="675C39A6"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5.</w:t>
            </w:r>
            <w:r w:rsidR="00AD696F">
              <w:rPr>
                <w:rFonts w:cs="Arial"/>
                <w:szCs w:val="18"/>
              </w:rPr>
              <w:t>0</w:t>
            </w:r>
            <w:r w:rsidRPr="00DB73C2">
              <w:rPr>
                <w:rFonts w:cs="Arial"/>
                <w:szCs w:val="18"/>
              </w:rPr>
              <w:t>2%</w:t>
            </w:r>
          </w:p>
        </w:tc>
      </w:tr>
      <w:tr w:rsidR="00DB73C2" w:rsidRPr="00DB73C2" w14:paraId="5625BB8C" w14:textId="77777777" w:rsidTr="00A523AD">
        <w:trPr>
          <w:jc w:val="center"/>
        </w:trPr>
        <w:tc>
          <w:tcPr>
            <w:tcW w:w="4252" w:type="dxa"/>
            <w:shd w:val="clear" w:color="auto" w:fill="auto"/>
          </w:tcPr>
          <w:p w14:paraId="1105A0E3"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Factor de volatilidad para México</w:t>
            </w:r>
          </w:p>
        </w:tc>
        <w:tc>
          <w:tcPr>
            <w:tcW w:w="2268" w:type="dxa"/>
            <w:shd w:val="clear" w:color="auto" w:fill="auto"/>
          </w:tcPr>
          <w:p w14:paraId="1FF9EF9F" w14:textId="581C76B6" w:rsidR="00DB73C2" w:rsidRPr="00DB73C2" w:rsidRDefault="004B2038" w:rsidP="00344FBA">
            <w:pPr>
              <w:pStyle w:val="Tablecells"/>
              <w:spacing w:before="0" w:after="0" w:line="276" w:lineRule="auto"/>
              <w:jc w:val="right"/>
              <w:rPr>
                <w:rFonts w:cs="Arial"/>
                <w:szCs w:val="18"/>
                <w:lang w:val="es-ES"/>
              </w:rPr>
            </w:pPr>
            <w:r>
              <w:rPr>
                <w:rFonts w:cs="Arial"/>
                <w:szCs w:val="18"/>
              </w:rPr>
              <w:t>1.97</w:t>
            </w:r>
            <w:r w:rsidR="00DB73C2" w:rsidRPr="00DB73C2">
              <w:rPr>
                <w:rFonts w:cs="Arial"/>
                <w:szCs w:val="18"/>
              </w:rPr>
              <w:t xml:space="preserve"> </w:t>
            </w:r>
          </w:p>
        </w:tc>
        <w:tc>
          <w:tcPr>
            <w:tcW w:w="2268" w:type="dxa"/>
            <w:shd w:val="clear" w:color="auto" w:fill="auto"/>
          </w:tcPr>
          <w:p w14:paraId="526A615B" w14:textId="5703030D" w:rsidR="00DB73C2" w:rsidRPr="00DB73C2" w:rsidRDefault="004B2038" w:rsidP="00344FBA">
            <w:pPr>
              <w:pStyle w:val="Tablecells"/>
              <w:spacing w:before="0" w:after="0" w:line="276" w:lineRule="auto"/>
              <w:jc w:val="right"/>
              <w:rPr>
                <w:rFonts w:cs="Arial"/>
                <w:szCs w:val="18"/>
                <w:lang w:val="es-ES"/>
              </w:rPr>
            </w:pPr>
            <w:r>
              <w:rPr>
                <w:rFonts w:cs="Arial"/>
                <w:szCs w:val="18"/>
              </w:rPr>
              <w:t>1.97</w:t>
            </w:r>
            <w:r w:rsidR="00DB73C2" w:rsidRPr="00DB73C2">
              <w:rPr>
                <w:rFonts w:cs="Arial"/>
                <w:szCs w:val="18"/>
              </w:rPr>
              <w:t xml:space="preserve"> </w:t>
            </w:r>
          </w:p>
        </w:tc>
      </w:tr>
      <w:tr w:rsidR="00DB73C2" w:rsidRPr="00DB73C2" w14:paraId="747F2B20" w14:textId="77777777" w:rsidTr="00A523AD">
        <w:trPr>
          <w:jc w:val="center"/>
        </w:trPr>
        <w:tc>
          <w:tcPr>
            <w:tcW w:w="4252" w:type="dxa"/>
            <w:shd w:val="clear" w:color="auto" w:fill="auto"/>
          </w:tcPr>
          <w:p w14:paraId="0098BB63"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Prima de riesgo país para México</w:t>
            </w:r>
          </w:p>
        </w:tc>
        <w:tc>
          <w:tcPr>
            <w:tcW w:w="2268" w:type="dxa"/>
            <w:shd w:val="clear" w:color="auto" w:fill="auto"/>
          </w:tcPr>
          <w:p w14:paraId="7E596A0D" w14:textId="2998E8E2"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1.</w:t>
            </w:r>
            <w:r w:rsidR="004B2038">
              <w:rPr>
                <w:rFonts w:cs="Arial"/>
                <w:szCs w:val="18"/>
              </w:rPr>
              <w:t>63</w:t>
            </w:r>
            <w:r w:rsidRPr="00DB73C2">
              <w:rPr>
                <w:rFonts w:cs="Arial"/>
                <w:szCs w:val="18"/>
              </w:rPr>
              <w:t>%</w:t>
            </w:r>
          </w:p>
        </w:tc>
        <w:tc>
          <w:tcPr>
            <w:tcW w:w="2268" w:type="dxa"/>
            <w:shd w:val="clear" w:color="auto" w:fill="auto"/>
          </w:tcPr>
          <w:p w14:paraId="4746718E" w14:textId="6A2AF3CD"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1.</w:t>
            </w:r>
            <w:r w:rsidR="004B2038">
              <w:rPr>
                <w:rFonts w:cs="Arial"/>
                <w:szCs w:val="18"/>
              </w:rPr>
              <w:t>63</w:t>
            </w:r>
            <w:r w:rsidRPr="00DB73C2">
              <w:rPr>
                <w:rFonts w:cs="Arial"/>
                <w:szCs w:val="18"/>
              </w:rPr>
              <w:t>%</w:t>
            </w:r>
          </w:p>
        </w:tc>
      </w:tr>
      <w:tr w:rsidR="00DB73C2" w:rsidRPr="00DB73C2" w14:paraId="5CDEE03C" w14:textId="77777777" w:rsidTr="00A523AD">
        <w:trPr>
          <w:jc w:val="center"/>
        </w:trPr>
        <w:tc>
          <w:tcPr>
            <w:tcW w:w="4252" w:type="dxa"/>
            <w:shd w:val="clear" w:color="auto" w:fill="auto"/>
          </w:tcPr>
          <w:p w14:paraId="4DA662F6"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Beta</w:t>
            </w:r>
          </w:p>
        </w:tc>
        <w:tc>
          <w:tcPr>
            <w:tcW w:w="2268" w:type="dxa"/>
            <w:shd w:val="clear" w:color="auto" w:fill="auto"/>
          </w:tcPr>
          <w:p w14:paraId="032F466C" w14:textId="0CD7E72D"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0.6</w:t>
            </w:r>
            <w:r w:rsidR="004B2038">
              <w:rPr>
                <w:rFonts w:cs="Arial"/>
                <w:szCs w:val="18"/>
              </w:rPr>
              <w:t>6</w:t>
            </w:r>
            <w:r w:rsidRPr="00DB73C2">
              <w:rPr>
                <w:rFonts w:cs="Arial"/>
                <w:szCs w:val="18"/>
              </w:rPr>
              <w:t xml:space="preserve"> </w:t>
            </w:r>
          </w:p>
        </w:tc>
        <w:tc>
          <w:tcPr>
            <w:tcW w:w="2268" w:type="dxa"/>
            <w:shd w:val="clear" w:color="auto" w:fill="auto"/>
          </w:tcPr>
          <w:p w14:paraId="47AD428C" w14:textId="51CC6BCF"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0.6</w:t>
            </w:r>
            <w:r w:rsidR="004B2038">
              <w:rPr>
                <w:rFonts w:cs="Arial"/>
                <w:szCs w:val="18"/>
              </w:rPr>
              <w:t>5</w:t>
            </w:r>
            <w:r w:rsidRPr="00DB73C2">
              <w:rPr>
                <w:rFonts w:cs="Arial"/>
                <w:szCs w:val="18"/>
              </w:rPr>
              <w:t xml:space="preserve"> </w:t>
            </w:r>
          </w:p>
        </w:tc>
      </w:tr>
      <w:tr w:rsidR="00DB73C2" w:rsidRPr="00DB73C2" w14:paraId="12D3DE2C" w14:textId="77777777" w:rsidTr="00A523AD">
        <w:trPr>
          <w:jc w:val="center"/>
        </w:trPr>
        <w:tc>
          <w:tcPr>
            <w:tcW w:w="4252" w:type="dxa"/>
            <w:shd w:val="clear" w:color="auto" w:fill="auto"/>
          </w:tcPr>
          <w:p w14:paraId="6D4D3370" w14:textId="77777777" w:rsidR="00DB73C2" w:rsidRPr="00DB73C2" w:rsidRDefault="00DB73C2" w:rsidP="00344FBA">
            <w:pPr>
              <w:pStyle w:val="Tablecells"/>
              <w:spacing w:before="0" w:after="0" w:line="276" w:lineRule="auto"/>
              <w:rPr>
                <w:rFonts w:cs="Arial"/>
                <w:b/>
                <w:bCs/>
                <w:szCs w:val="18"/>
                <w:lang w:val="es-ES"/>
              </w:rPr>
            </w:pPr>
            <w:r w:rsidRPr="00DB73C2">
              <w:rPr>
                <w:rFonts w:cs="Arial"/>
                <w:b/>
                <w:bCs/>
                <w:szCs w:val="18"/>
                <w:lang w:val="es-ES"/>
              </w:rPr>
              <w:t>Costo de deuda</w:t>
            </w:r>
          </w:p>
        </w:tc>
        <w:tc>
          <w:tcPr>
            <w:tcW w:w="2268" w:type="dxa"/>
            <w:shd w:val="clear" w:color="auto" w:fill="auto"/>
          </w:tcPr>
          <w:p w14:paraId="45BB4121" w14:textId="2A50C276" w:rsidR="00DB73C2" w:rsidRPr="00DB73C2" w:rsidRDefault="00DB73C2" w:rsidP="00344FBA">
            <w:pPr>
              <w:pStyle w:val="Tablecells"/>
              <w:spacing w:before="0" w:after="0" w:line="276" w:lineRule="auto"/>
              <w:jc w:val="right"/>
              <w:rPr>
                <w:rFonts w:cs="Arial"/>
                <w:b/>
                <w:bCs/>
                <w:szCs w:val="18"/>
                <w:lang w:val="es-ES"/>
              </w:rPr>
            </w:pPr>
            <w:r w:rsidRPr="00DB73C2">
              <w:rPr>
                <w:rFonts w:cs="Arial"/>
                <w:b/>
                <w:bCs/>
                <w:szCs w:val="18"/>
              </w:rPr>
              <w:t>5.</w:t>
            </w:r>
            <w:r w:rsidR="004B2038">
              <w:rPr>
                <w:rFonts w:cs="Arial"/>
                <w:b/>
                <w:bCs/>
                <w:szCs w:val="18"/>
              </w:rPr>
              <w:t>60</w:t>
            </w:r>
            <w:r w:rsidRPr="00DB73C2">
              <w:rPr>
                <w:rFonts w:cs="Arial"/>
                <w:b/>
                <w:bCs/>
                <w:szCs w:val="18"/>
              </w:rPr>
              <w:t>%</w:t>
            </w:r>
          </w:p>
        </w:tc>
        <w:tc>
          <w:tcPr>
            <w:tcW w:w="2268" w:type="dxa"/>
            <w:shd w:val="clear" w:color="auto" w:fill="auto"/>
          </w:tcPr>
          <w:p w14:paraId="3BBE6921" w14:textId="7740EFAC" w:rsidR="00DB73C2" w:rsidRPr="00DB73C2" w:rsidRDefault="00DB73C2" w:rsidP="00344FBA">
            <w:pPr>
              <w:pStyle w:val="Tablecells"/>
              <w:spacing w:before="0" w:after="0" w:line="276" w:lineRule="auto"/>
              <w:jc w:val="right"/>
              <w:rPr>
                <w:rFonts w:cs="Arial"/>
                <w:b/>
                <w:bCs/>
                <w:szCs w:val="18"/>
                <w:lang w:val="es-ES"/>
              </w:rPr>
            </w:pPr>
            <w:r w:rsidRPr="00DB73C2">
              <w:rPr>
                <w:rFonts w:cs="Arial"/>
                <w:b/>
                <w:bCs/>
                <w:szCs w:val="18"/>
              </w:rPr>
              <w:t>5.</w:t>
            </w:r>
            <w:r w:rsidR="004B2038">
              <w:rPr>
                <w:rFonts w:cs="Arial"/>
                <w:b/>
                <w:bCs/>
                <w:szCs w:val="18"/>
              </w:rPr>
              <w:t>60</w:t>
            </w:r>
            <w:r w:rsidRPr="00DB73C2">
              <w:rPr>
                <w:rFonts w:cs="Arial"/>
                <w:b/>
                <w:bCs/>
                <w:szCs w:val="18"/>
              </w:rPr>
              <w:t>%</w:t>
            </w:r>
          </w:p>
        </w:tc>
      </w:tr>
      <w:tr w:rsidR="00DB73C2" w:rsidRPr="00DB73C2" w14:paraId="374FBCE6" w14:textId="77777777" w:rsidTr="00A523AD">
        <w:trPr>
          <w:jc w:val="center"/>
        </w:trPr>
        <w:tc>
          <w:tcPr>
            <w:tcW w:w="4252" w:type="dxa"/>
            <w:shd w:val="clear" w:color="auto" w:fill="auto"/>
          </w:tcPr>
          <w:p w14:paraId="64FF06E3"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Tasa libre de riesgo en México</w:t>
            </w:r>
          </w:p>
        </w:tc>
        <w:tc>
          <w:tcPr>
            <w:tcW w:w="2268" w:type="dxa"/>
            <w:shd w:val="clear" w:color="auto" w:fill="auto"/>
          </w:tcPr>
          <w:p w14:paraId="26B8288E" w14:textId="11378C47"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w:t>
            </w:r>
            <w:r w:rsidR="004078F2">
              <w:rPr>
                <w:rFonts w:cs="Arial"/>
                <w:szCs w:val="18"/>
              </w:rPr>
              <w:t>77</w:t>
            </w:r>
            <w:r w:rsidRPr="00DB73C2">
              <w:rPr>
                <w:rFonts w:cs="Arial"/>
                <w:szCs w:val="18"/>
              </w:rPr>
              <w:t>%</w:t>
            </w:r>
          </w:p>
        </w:tc>
        <w:tc>
          <w:tcPr>
            <w:tcW w:w="2268" w:type="dxa"/>
            <w:shd w:val="clear" w:color="auto" w:fill="auto"/>
          </w:tcPr>
          <w:p w14:paraId="01F88D42" w14:textId="1B0D3DC3"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w:t>
            </w:r>
            <w:r w:rsidR="004078F2">
              <w:rPr>
                <w:rFonts w:cs="Arial"/>
                <w:szCs w:val="18"/>
              </w:rPr>
              <w:t>77</w:t>
            </w:r>
            <w:r w:rsidRPr="00DB73C2">
              <w:rPr>
                <w:rFonts w:cs="Arial"/>
                <w:szCs w:val="18"/>
              </w:rPr>
              <w:t>%</w:t>
            </w:r>
          </w:p>
        </w:tc>
      </w:tr>
      <w:tr w:rsidR="00DB73C2" w:rsidRPr="00DB73C2" w14:paraId="0A519288" w14:textId="77777777" w:rsidTr="00A523AD">
        <w:trPr>
          <w:jc w:val="center"/>
        </w:trPr>
        <w:tc>
          <w:tcPr>
            <w:tcW w:w="4252" w:type="dxa"/>
            <w:shd w:val="clear" w:color="auto" w:fill="auto"/>
          </w:tcPr>
          <w:p w14:paraId="090E8593"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 xml:space="preserve">     Prima de riesgo de deuda</w:t>
            </w:r>
          </w:p>
        </w:tc>
        <w:tc>
          <w:tcPr>
            <w:tcW w:w="2268" w:type="dxa"/>
            <w:shd w:val="clear" w:color="auto" w:fill="auto"/>
          </w:tcPr>
          <w:p w14:paraId="0D26FD7F" w14:textId="66071DA1"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1.</w:t>
            </w:r>
            <w:r w:rsidR="004078F2">
              <w:rPr>
                <w:rFonts w:cs="Arial"/>
                <w:szCs w:val="18"/>
              </w:rPr>
              <w:t>83</w:t>
            </w:r>
            <w:r w:rsidRPr="00DB73C2">
              <w:rPr>
                <w:rFonts w:cs="Arial"/>
                <w:szCs w:val="18"/>
              </w:rPr>
              <w:t>%</w:t>
            </w:r>
          </w:p>
        </w:tc>
        <w:tc>
          <w:tcPr>
            <w:tcW w:w="2268" w:type="dxa"/>
            <w:shd w:val="clear" w:color="auto" w:fill="auto"/>
          </w:tcPr>
          <w:p w14:paraId="2BD7A13E" w14:textId="3A08A7BE"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1.</w:t>
            </w:r>
            <w:r w:rsidR="004078F2">
              <w:rPr>
                <w:rFonts w:cs="Arial"/>
                <w:szCs w:val="18"/>
              </w:rPr>
              <w:t>83</w:t>
            </w:r>
            <w:r w:rsidRPr="00DB73C2">
              <w:rPr>
                <w:rFonts w:cs="Arial"/>
                <w:szCs w:val="18"/>
              </w:rPr>
              <w:t>%</w:t>
            </w:r>
          </w:p>
        </w:tc>
      </w:tr>
      <w:tr w:rsidR="00DB73C2" w:rsidRPr="00DB73C2" w14:paraId="56A1C36F" w14:textId="77777777" w:rsidTr="00A523AD">
        <w:trPr>
          <w:jc w:val="center"/>
        </w:trPr>
        <w:tc>
          <w:tcPr>
            <w:tcW w:w="4252" w:type="dxa"/>
            <w:shd w:val="clear" w:color="auto" w:fill="auto"/>
          </w:tcPr>
          <w:p w14:paraId="766F180F"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Apalancamiento</w:t>
            </w:r>
          </w:p>
        </w:tc>
        <w:tc>
          <w:tcPr>
            <w:tcW w:w="2268" w:type="dxa"/>
            <w:shd w:val="clear" w:color="auto" w:fill="auto"/>
          </w:tcPr>
          <w:p w14:paraId="1EFB018B" w14:textId="28D1B4B1"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4</w:t>
            </w:r>
            <w:r w:rsidR="004078F2">
              <w:rPr>
                <w:rFonts w:cs="Arial"/>
                <w:szCs w:val="18"/>
              </w:rPr>
              <w:t>3</w:t>
            </w:r>
            <w:r w:rsidRPr="00DB73C2">
              <w:rPr>
                <w:rFonts w:cs="Arial"/>
                <w:szCs w:val="18"/>
              </w:rPr>
              <w:t>.4</w:t>
            </w:r>
            <w:r w:rsidR="004078F2">
              <w:rPr>
                <w:rFonts w:cs="Arial"/>
                <w:szCs w:val="18"/>
              </w:rPr>
              <w:t>5</w:t>
            </w:r>
            <w:r w:rsidRPr="00DB73C2">
              <w:rPr>
                <w:rFonts w:cs="Arial"/>
                <w:szCs w:val="18"/>
              </w:rPr>
              <w:t>%</w:t>
            </w:r>
          </w:p>
        </w:tc>
        <w:tc>
          <w:tcPr>
            <w:tcW w:w="2268" w:type="dxa"/>
            <w:shd w:val="clear" w:color="auto" w:fill="auto"/>
          </w:tcPr>
          <w:p w14:paraId="1E770259" w14:textId="77FA0F7A"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4</w:t>
            </w:r>
            <w:r w:rsidR="004078F2">
              <w:rPr>
                <w:rFonts w:cs="Arial"/>
                <w:szCs w:val="18"/>
              </w:rPr>
              <w:t>4</w:t>
            </w:r>
            <w:r w:rsidRPr="00DB73C2">
              <w:rPr>
                <w:rFonts w:cs="Arial"/>
                <w:szCs w:val="18"/>
              </w:rPr>
              <w:t>.</w:t>
            </w:r>
            <w:r w:rsidR="004078F2">
              <w:rPr>
                <w:rFonts w:cs="Arial"/>
                <w:szCs w:val="18"/>
              </w:rPr>
              <w:t>4</w:t>
            </w:r>
            <w:r w:rsidRPr="00DB73C2">
              <w:rPr>
                <w:rFonts w:cs="Arial"/>
                <w:szCs w:val="18"/>
              </w:rPr>
              <w:t>4%</w:t>
            </w:r>
          </w:p>
        </w:tc>
      </w:tr>
      <w:tr w:rsidR="00DB73C2" w:rsidRPr="00DB73C2" w14:paraId="18693EDA" w14:textId="77777777" w:rsidTr="00A523AD">
        <w:trPr>
          <w:jc w:val="center"/>
        </w:trPr>
        <w:tc>
          <w:tcPr>
            <w:tcW w:w="4252" w:type="dxa"/>
            <w:shd w:val="clear" w:color="auto" w:fill="auto"/>
          </w:tcPr>
          <w:p w14:paraId="16D34E85"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Tasa de impuesto de sociedades</w:t>
            </w:r>
          </w:p>
        </w:tc>
        <w:tc>
          <w:tcPr>
            <w:tcW w:w="2268" w:type="dxa"/>
            <w:shd w:val="clear" w:color="auto" w:fill="auto"/>
          </w:tcPr>
          <w:p w14:paraId="43780BF3" w14:textId="77777777"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30.00%</w:t>
            </w:r>
          </w:p>
        </w:tc>
        <w:tc>
          <w:tcPr>
            <w:tcW w:w="2268" w:type="dxa"/>
            <w:shd w:val="clear" w:color="auto" w:fill="auto"/>
          </w:tcPr>
          <w:p w14:paraId="6F6F35A0" w14:textId="77777777"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30.00%</w:t>
            </w:r>
          </w:p>
        </w:tc>
      </w:tr>
      <w:tr w:rsidR="00DB73C2" w:rsidRPr="00DB73C2" w14:paraId="17BCB507" w14:textId="77777777" w:rsidTr="00A523AD">
        <w:trPr>
          <w:jc w:val="center"/>
        </w:trPr>
        <w:tc>
          <w:tcPr>
            <w:tcW w:w="4252" w:type="dxa"/>
            <w:shd w:val="clear" w:color="auto" w:fill="auto"/>
          </w:tcPr>
          <w:p w14:paraId="189CF143" w14:textId="77777777" w:rsidR="00DB73C2" w:rsidRPr="00DB73C2" w:rsidRDefault="00DB73C2" w:rsidP="00344FBA">
            <w:pPr>
              <w:pStyle w:val="Tablecells"/>
              <w:spacing w:before="0" w:after="0" w:line="276" w:lineRule="auto"/>
              <w:rPr>
                <w:rFonts w:cs="Arial"/>
                <w:b/>
                <w:bCs/>
                <w:szCs w:val="18"/>
                <w:lang w:val="es-ES"/>
              </w:rPr>
            </w:pPr>
            <w:r w:rsidRPr="00DB73C2">
              <w:rPr>
                <w:rFonts w:cs="Arial"/>
                <w:b/>
                <w:bCs/>
                <w:szCs w:val="18"/>
                <w:lang w:val="es-ES"/>
              </w:rPr>
              <w:t>CCPP antes de impuestos – nominal en USD</w:t>
            </w:r>
          </w:p>
        </w:tc>
        <w:tc>
          <w:tcPr>
            <w:tcW w:w="2268" w:type="dxa"/>
            <w:shd w:val="clear" w:color="auto" w:fill="auto"/>
          </w:tcPr>
          <w:p w14:paraId="57E0566E" w14:textId="18B136CC" w:rsidR="00DB73C2" w:rsidRPr="00DB73C2" w:rsidRDefault="004078F2" w:rsidP="00344FBA">
            <w:pPr>
              <w:pStyle w:val="Tablecells"/>
              <w:spacing w:before="0" w:after="0" w:line="276" w:lineRule="auto"/>
              <w:jc w:val="right"/>
              <w:rPr>
                <w:rFonts w:cs="Arial"/>
                <w:szCs w:val="18"/>
                <w:lang w:val="es-ES"/>
              </w:rPr>
            </w:pPr>
            <w:r>
              <w:rPr>
                <w:rFonts w:cs="Arial"/>
                <w:b/>
                <w:bCs/>
                <w:szCs w:val="18"/>
              </w:rPr>
              <w:t>9</w:t>
            </w:r>
            <w:r w:rsidR="00DB73C2" w:rsidRPr="00DB73C2">
              <w:rPr>
                <w:rFonts w:cs="Arial"/>
                <w:b/>
                <w:bCs/>
                <w:szCs w:val="18"/>
              </w:rPr>
              <w:t>.</w:t>
            </w:r>
            <w:r>
              <w:rPr>
                <w:rFonts w:cs="Arial"/>
                <w:b/>
                <w:bCs/>
                <w:szCs w:val="18"/>
              </w:rPr>
              <w:t>85</w:t>
            </w:r>
            <w:r w:rsidR="00DB73C2" w:rsidRPr="00DB73C2">
              <w:rPr>
                <w:rFonts w:cs="Arial"/>
                <w:b/>
                <w:bCs/>
                <w:szCs w:val="18"/>
              </w:rPr>
              <w:t>%</w:t>
            </w:r>
          </w:p>
        </w:tc>
        <w:tc>
          <w:tcPr>
            <w:tcW w:w="2268" w:type="dxa"/>
            <w:shd w:val="clear" w:color="auto" w:fill="auto"/>
          </w:tcPr>
          <w:p w14:paraId="5460918D" w14:textId="618FDF2A" w:rsidR="00DB73C2" w:rsidRPr="00DB73C2" w:rsidRDefault="00DB73C2" w:rsidP="00344FBA">
            <w:pPr>
              <w:pStyle w:val="Tablecells"/>
              <w:spacing w:before="0" w:after="0" w:line="276" w:lineRule="auto"/>
              <w:jc w:val="right"/>
              <w:rPr>
                <w:rFonts w:cs="Arial"/>
                <w:szCs w:val="18"/>
                <w:lang w:val="es-ES"/>
              </w:rPr>
            </w:pPr>
            <w:r w:rsidRPr="00DB73C2">
              <w:rPr>
                <w:rFonts w:cs="Arial"/>
                <w:b/>
                <w:bCs/>
                <w:szCs w:val="18"/>
              </w:rPr>
              <w:t>9.7</w:t>
            </w:r>
            <w:r w:rsidR="009007AC">
              <w:rPr>
                <w:rFonts w:cs="Arial"/>
                <w:b/>
                <w:bCs/>
                <w:szCs w:val="18"/>
              </w:rPr>
              <w:t>5</w:t>
            </w:r>
            <w:r w:rsidRPr="00DB73C2">
              <w:rPr>
                <w:rFonts w:cs="Arial"/>
                <w:b/>
                <w:bCs/>
                <w:szCs w:val="18"/>
              </w:rPr>
              <w:t>%</w:t>
            </w:r>
          </w:p>
        </w:tc>
      </w:tr>
      <w:tr w:rsidR="00DB73C2" w:rsidRPr="00DB73C2" w14:paraId="6DA97EAB" w14:textId="77777777" w:rsidTr="00A523AD">
        <w:trPr>
          <w:jc w:val="center"/>
        </w:trPr>
        <w:tc>
          <w:tcPr>
            <w:tcW w:w="4252" w:type="dxa"/>
            <w:shd w:val="clear" w:color="auto" w:fill="auto"/>
          </w:tcPr>
          <w:p w14:paraId="3D79891D"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Tasa de la inflación en EE. UU.</w:t>
            </w:r>
          </w:p>
        </w:tc>
        <w:tc>
          <w:tcPr>
            <w:tcW w:w="2268" w:type="dxa"/>
            <w:shd w:val="clear" w:color="auto" w:fill="auto"/>
          </w:tcPr>
          <w:p w14:paraId="7A8DE085" w14:textId="67712ACB"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2.1</w:t>
            </w:r>
            <w:r w:rsidR="009007AC">
              <w:rPr>
                <w:rFonts w:cs="Arial"/>
                <w:szCs w:val="18"/>
              </w:rPr>
              <w:t>7</w:t>
            </w:r>
            <w:r w:rsidRPr="00DB73C2">
              <w:rPr>
                <w:rFonts w:cs="Arial"/>
                <w:szCs w:val="18"/>
              </w:rPr>
              <w:t>%</w:t>
            </w:r>
          </w:p>
        </w:tc>
        <w:tc>
          <w:tcPr>
            <w:tcW w:w="2268" w:type="dxa"/>
            <w:shd w:val="clear" w:color="auto" w:fill="auto"/>
          </w:tcPr>
          <w:p w14:paraId="2FEB36FE" w14:textId="7B839418"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2.1</w:t>
            </w:r>
            <w:r w:rsidR="009007AC">
              <w:rPr>
                <w:rFonts w:cs="Arial"/>
                <w:szCs w:val="18"/>
              </w:rPr>
              <w:t>7</w:t>
            </w:r>
            <w:r w:rsidRPr="00DB73C2">
              <w:rPr>
                <w:rFonts w:cs="Arial"/>
                <w:szCs w:val="18"/>
              </w:rPr>
              <w:t>%</w:t>
            </w:r>
          </w:p>
        </w:tc>
      </w:tr>
      <w:tr w:rsidR="00DB73C2" w:rsidRPr="00DB73C2" w14:paraId="64761907" w14:textId="77777777" w:rsidTr="00A523AD">
        <w:trPr>
          <w:jc w:val="center"/>
        </w:trPr>
        <w:tc>
          <w:tcPr>
            <w:tcW w:w="4252" w:type="dxa"/>
            <w:shd w:val="clear" w:color="auto" w:fill="auto"/>
          </w:tcPr>
          <w:p w14:paraId="1A6D6281" w14:textId="77777777" w:rsidR="00DB73C2" w:rsidRPr="00DB73C2" w:rsidRDefault="00DB73C2" w:rsidP="00344FBA">
            <w:pPr>
              <w:pStyle w:val="Tablecells"/>
              <w:spacing w:before="0" w:after="0" w:line="276" w:lineRule="auto"/>
              <w:rPr>
                <w:rFonts w:cs="Arial"/>
                <w:b/>
                <w:bCs/>
                <w:szCs w:val="18"/>
                <w:lang w:val="es-ES"/>
              </w:rPr>
            </w:pPr>
            <w:r w:rsidRPr="00DB73C2">
              <w:rPr>
                <w:rFonts w:cs="Arial"/>
                <w:b/>
                <w:bCs/>
                <w:szCs w:val="18"/>
                <w:lang w:val="es-ES"/>
              </w:rPr>
              <w:t>CCPP antes de impuestos – real</w:t>
            </w:r>
          </w:p>
        </w:tc>
        <w:tc>
          <w:tcPr>
            <w:tcW w:w="2268" w:type="dxa"/>
            <w:shd w:val="clear" w:color="auto" w:fill="auto"/>
          </w:tcPr>
          <w:p w14:paraId="7168B66B" w14:textId="01D56192" w:rsidR="00DB73C2" w:rsidRPr="00DB73C2" w:rsidRDefault="00DB73C2" w:rsidP="00344FBA">
            <w:pPr>
              <w:pStyle w:val="Tablecells"/>
              <w:spacing w:before="0" w:after="0" w:line="276" w:lineRule="auto"/>
              <w:jc w:val="right"/>
              <w:rPr>
                <w:rFonts w:cs="Arial"/>
                <w:szCs w:val="18"/>
                <w:lang w:val="es-ES"/>
              </w:rPr>
            </w:pPr>
            <w:r w:rsidRPr="00DB73C2">
              <w:rPr>
                <w:rFonts w:cs="Arial"/>
                <w:b/>
                <w:bCs/>
                <w:szCs w:val="18"/>
              </w:rPr>
              <w:t>7.</w:t>
            </w:r>
            <w:r w:rsidR="009007AC">
              <w:rPr>
                <w:rFonts w:cs="Arial"/>
                <w:b/>
                <w:bCs/>
                <w:szCs w:val="18"/>
              </w:rPr>
              <w:t>52</w:t>
            </w:r>
            <w:r w:rsidRPr="00DB73C2">
              <w:rPr>
                <w:rFonts w:cs="Arial"/>
                <w:b/>
                <w:bCs/>
                <w:szCs w:val="18"/>
              </w:rPr>
              <w:t>%</w:t>
            </w:r>
          </w:p>
        </w:tc>
        <w:tc>
          <w:tcPr>
            <w:tcW w:w="2268" w:type="dxa"/>
            <w:shd w:val="clear" w:color="auto" w:fill="auto"/>
          </w:tcPr>
          <w:p w14:paraId="592B129E" w14:textId="720CD376" w:rsidR="00DB73C2" w:rsidRPr="00DB73C2" w:rsidRDefault="00DB73C2" w:rsidP="00344FBA">
            <w:pPr>
              <w:pStyle w:val="Tablecells"/>
              <w:spacing w:before="0" w:after="0" w:line="276" w:lineRule="auto"/>
              <w:jc w:val="right"/>
              <w:rPr>
                <w:rFonts w:cs="Arial"/>
                <w:szCs w:val="18"/>
                <w:lang w:val="es-ES"/>
              </w:rPr>
            </w:pPr>
            <w:r w:rsidRPr="00DB73C2">
              <w:rPr>
                <w:rFonts w:cs="Arial"/>
                <w:b/>
                <w:bCs/>
                <w:szCs w:val="18"/>
              </w:rPr>
              <w:t>7.4</w:t>
            </w:r>
            <w:r w:rsidR="009007AC">
              <w:rPr>
                <w:rFonts w:cs="Arial"/>
                <w:b/>
                <w:bCs/>
                <w:szCs w:val="18"/>
              </w:rPr>
              <w:t>2</w:t>
            </w:r>
            <w:r w:rsidRPr="00DB73C2">
              <w:rPr>
                <w:rFonts w:cs="Arial"/>
                <w:b/>
                <w:bCs/>
                <w:szCs w:val="18"/>
              </w:rPr>
              <w:t>%</w:t>
            </w:r>
          </w:p>
        </w:tc>
      </w:tr>
      <w:tr w:rsidR="00DB73C2" w:rsidRPr="00DB73C2" w14:paraId="551F6AE0" w14:textId="77777777" w:rsidTr="00A523AD">
        <w:trPr>
          <w:jc w:val="center"/>
        </w:trPr>
        <w:tc>
          <w:tcPr>
            <w:tcW w:w="4252" w:type="dxa"/>
            <w:shd w:val="clear" w:color="auto" w:fill="auto"/>
          </w:tcPr>
          <w:p w14:paraId="21AB1562" w14:textId="77777777" w:rsidR="00DB73C2" w:rsidRPr="00DB73C2" w:rsidRDefault="00DB73C2" w:rsidP="00344FBA">
            <w:pPr>
              <w:pStyle w:val="Tablecells"/>
              <w:spacing w:before="0" w:after="0" w:line="276" w:lineRule="auto"/>
              <w:rPr>
                <w:rFonts w:cs="Arial"/>
                <w:szCs w:val="18"/>
                <w:lang w:val="es-ES"/>
              </w:rPr>
            </w:pPr>
            <w:r w:rsidRPr="00DB73C2">
              <w:rPr>
                <w:rFonts w:cs="Arial"/>
                <w:szCs w:val="18"/>
                <w:lang w:val="es-ES"/>
              </w:rPr>
              <w:t>Tasa de la inflación en México</w:t>
            </w:r>
          </w:p>
        </w:tc>
        <w:tc>
          <w:tcPr>
            <w:tcW w:w="2268" w:type="dxa"/>
            <w:shd w:val="clear" w:color="auto" w:fill="auto"/>
          </w:tcPr>
          <w:p w14:paraId="3B602366" w14:textId="71194343"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3.3</w:t>
            </w:r>
            <w:r w:rsidR="00A44DBA">
              <w:rPr>
                <w:rFonts w:cs="Arial"/>
                <w:szCs w:val="18"/>
              </w:rPr>
              <w:t>0</w:t>
            </w:r>
            <w:r w:rsidRPr="00DB73C2">
              <w:rPr>
                <w:rFonts w:cs="Arial"/>
                <w:szCs w:val="18"/>
              </w:rPr>
              <w:t>%</w:t>
            </w:r>
          </w:p>
        </w:tc>
        <w:tc>
          <w:tcPr>
            <w:tcW w:w="2268" w:type="dxa"/>
            <w:shd w:val="clear" w:color="auto" w:fill="auto"/>
          </w:tcPr>
          <w:p w14:paraId="723ACEE0" w14:textId="713659BF" w:rsidR="00DB73C2" w:rsidRPr="00DB73C2" w:rsidRDefault="00DB73C2" w:rsidP="00344FBA">
            <w:pPr>
              <w:pStyle w:val="Tablecells"/>
              <w:spacing w:before="0" w:after="0" w:line="276" w:lineRule="auto"/>
              <w:jc w:val="right"/>
              <w:rPr>
                <w:rFonts w:cs="Arial"/>
                <w:szCs w:val="18"/>
                <w:lang w:val="es-ES"/>
              </w:rPr>
            </w:pPr>
            <w:r w:rsidRPr="00DB73C2">
              <w:rPr>
                <w:rFonts w:cs="Arial"/>
                <w:szCs w:val="18"/>
              </w:rPr>
              <w:t>3.3</w:t>
            </w:r>
            <w:r w:rsidR="00A44DBA">
              <w:rPr>
                <w:rFonts w:cs="Arial"/>
                <w:szCs w:val="18"/>
              </w:rPr>
              <w:t>0</w:t>
            </w:r>
            <w:r w:rsidRPr="00DB73C2">
              <w:rPr>
                <w:rFonts w:cs="Arial"/>
                <w:szCs w:val="18"/>
              </w:rPr>
              <w:t>%</w:t>
            </w:r>
          </w:p>
        </w:tc>
      </w:tr>
      <w:tr w:rsidR="00DB73C2" w:rsidRPr="00DB73C2" w14:paraId="0515BF0B" w14:textId="77777777" w:rsidTr="00A523AD">
        <w:trPr>
          <w:jc w:val="center"/>
        </w:trPr>
        <w:tc>
          <w:tcPr>
            <w:tcW w:w="4252" w:type="dxa"/>
            <w:shd w:val="clear" w:color="auto" w:fill="auto"/>
          </w:tcPr>
          <w:p w14:paraId="3153E4D3" w14:textId="77777777" w:rsidR="00DB73C2" w:rsidRPr="00DB73C2" w:rsidRDefault="00DB73C2" w:rsidP="00344FBA">
            <w:pPr>
              <w:pStyle w:val="Tablecells"/>
              <w:spacing w:before="0" w:after="0" w:line="276" w:lineRule="auto"/>
              <w:rPr>
                <w:rFonts w:cs="Arial"/>
                <w:b/>
                <w:bCs/>
                <w:szCs w:val="18"/>
                <w:lang w:val="es-ES"/>
              </w:rPr>
            </w:pPr>
            <w:r w:rsidRPr="00DB73C2">
              <w:rPr>
                <w:rFonts w:cs="Arial"/>
                <w:b/>
                <w:bCs/>
                <w:szCs w:val="18"/>
                <w:lang w:val="es-ES"/>
              </w:rPr>
              <w:t>CCPP antes de impuestos – nominal en MXN</w:t>
            </w:r>
          </w:p>
        </w:tc>
        <w:tc>
          <w:tcPr>
            <w:tcW w:w="2268" w:type="dxa"/>
            <w:shd w:val="clear" w:color="auto" w:fill="auto"/>
          </w:tcPr>
          <w:p w14:paraId="7A7E3722" w14:textId="4D1DF0B1" w:rsidR="00DB73C2" w:rsidRPr="00DB73C2" w:rsidRDefault="00DB73C2" w:rsidP="00344FBA">
            <w:pPr>
              <w:pStyle w:val="Tablecells"/>
              <w:spacing w:before="0" w:after="0" w:line="276" w:lineRule="auto"/>
              <w:jc w:val="right"/>
              <w:rPr>
                <w:rFonts w:cs="Arial"/>
                <w:szCs w:val="18"/>
                <w:lang w:val="es-ES"/>
              </w:rPr>
            </w:pPr>
            <w:r w:rsidRPr="00DB73C2">
              <w:rPr>
                <w:rFonts w:cs="Arial"/>
                <w:b/>
                <w:bCs/>
                <w:szCs w:val="18"/>
              </w:rPr>
              <w:t>11.</w:t>
            </w:r>
            <w:r w:rsidR="00A44DBA">
              <w:rPr>
                <w:rFonts w:cs="Arial"/>
                <w:b/>
                <w:bCs/>
                <w:szCs w:val="18"/>
              </w:rPr>
              <w:t>07</w:t>
            </w:r>
            <w:r w:rsidRPr="00DB73C2">
              <w:rPr>
                <w:rFonts w:cs="Arial"/>
                <w:b/>
                <w:bCs/>
                <w:szCs w:val="18"/>
              </w:rPr>
              <w:t>%</w:t>
            </w:r>
          </w:p>
        </w:tc>
        <w:tc>
          <w:tcPr>
            <w:tcW w:w="2268" w:type="dxa"/>
            <w:shd w:val="clear" w:color="auto" w:fill="auto"/>
          </w:tcPr>
          <w:p w14:paraId="5716144D" w14:textId="094B6FFE" w:rsidR="00DB73C2" w:rsidRPr="00DB73C2" w:rsidRDefault="00DB73C2" w:rsidP="00344FBA">
            <w:pPr>
              <w:pStyle w:val="Tablecells"/>
              <w:spacing w:before="0" w:after="0" w:line="276" w:lineRule="auto"/>
              <w:jc w:val="right"/>
              <w:rPr>
                <w:rFonts w:cs="Arial"/>
                <w:szCs w:val="18"/>
                <w:lang w:val="es-ES"/>
              </w:rPr>
            </w:pPr>
            <w:r w:rsidRPr="00DB73C2">
              <w:rPr>
                <w:rFonts w:cs="Arial"/>
                <w:b/>
                <w:bCs/>
                <w:szCs w:val="18"/>
              </w:rPr>
              <w:t>1</w:t>
            </w:r>
            <w:r w:rsidR="00A44DBA">
              <w:rPr>
                <w:rFonts w:cs="Arial"/>
                <w:b/>
                <w:bCs/>
                <w:szCs w:val="18"/>
              </w:rPr>
              <w:t>0</w:t>
            </w:r>
            <w:r w:rsidRPr="00DB73C2">
              <w:rPr>
                <w:rFonts w:cs="Arial"/>
                <w:b/>
                <w:bCs/>
                <w:szCs w:val="18"/>
              </w:rPr>
              <w:t>.</w:t>
            </w:r>
            <w:r w:rsidR="00A44DBA">
              <w:rPr>
                <w:rFonts w:cs="Arial"/>
                <w:b/>
                <w:bCs/>
                <w:szCs w:val="18"/>
              </w:rPr>
              <w:t>97</w:t>
            </w:r>
            <w:r w:rsidRPr="00DB73C2">
              <w:rPr>
                <w:rFonts w:cs="Arial"/>
                <w:b/>
                <w:bCs/>
                <w:szCs w:val="18"/>
              </w:rPr>
              <w:t>%</w:t>
            </w:r>
          </w:p>
        </w:tc>
      </w:tr>
    </w:tbl>
    <w:p w14:paraId="2C5D2126" w14:textId="77777777" w:rsidR="00DA5D8C" w:rsidRPr="00011891" w:rsidRDefault="00DA5D8C" w:rsidP="00DA5D8C">
      <w:pPr>
        <w:spacing w:after="0"/>
        <w:jc w:val="center"/>
        <w:rPr>
          <w:rFonts w:ascii="Arial" w:hAnsi="Arial" w:cs="Arial"/>
          <w:sz w:val="18"/>
          <w:szCs w:val="18"/>
        </w:rPr>
      </w:pPr>
      <w:r w:rsidRPr="00A523AD">
        <w:rPr>
          <w:rFonts w:ascii="Arial" w:eastAsia="Times New Roman" w:hAnsi="Arial" w:cs="Arial"/>
          <w:sz w:val="18"/>
          <w:szCs w:val="18"/>
          <w:lang w:eastAsia="es-ES"/>
        </w:rPr>
        <w:t>Tabla 8. Parámetros CCPP de redes móviles y redes fijas.</w:t>
      </w:r>
    </w:p>
    <w:p w14:paraId="7F15FEA7" w14:textId="4420FD6A" w:rsidR="009C777D" w:rsidRDefault="009C777D" w:rsidP="00CC0143">
      <w:pPr>
        <w:spacing w:after="0"/>
        <w:jc w:val="both"/>
        <w:rPr>
          <w:rFonts w:ascii="Arial" w:hAnsi="Arial" w:cs="Arial"/>
          <w:b/>
          <w:sz w:val="18"/>
          <w:szCs w:val="18"/>
        </w:rPr>
      </w:pPr>
    </w:p>
    <w:p w14:paraId="612698A3" w14:textId="22C984C0" w:rsidR="00413341" w:rsidRDefault="00EF639A" w:rsidP="00CC0143">
      <w:pPr>
        <w:spacing w:after="0"/>
        <w:jc w:val="both"/>
        <w:rPr>
          <w:rFonts w:ascii="Arial" w:hAnsi="Arial" w:cs="Arial"/>
          <w:bCs/>
          <w:sz w:val="18"/>
          <w:szCs w:val="18"/>
        </w:rPr>
      </w:pPr>
      <w:r>
        <w:rPr>
          <w:rFonts w:ascii="Arial" w:hAnsi="Arial" w:cs="Arial"/>
          <w:bCs/>
          <w:sz w:val="18"/>
          <w:szCs w:val="18"/>
        </w:rPr>
        <w:t>Así, los modelos de costos desarrollados p</w:t>
      </w:r>
      <w:r w:rsidR="001135F9">
        <w:rPr>
          <w:rFonts w:ascii="Arial" w:hAnsi="Arial" w:cs="Arial"/>
          <w:bCs/>
          <w:sz w:val="18"/>
          <w:szCs w:val="18"/>
        </w:rPr>
        <w:t>or</w:t>
      </w:r>
      <w:r>
        <w:rPr>
          <w:rFonts w:ascii="Arial" w:hAnsi="Arial" w:cs="Arial"/>
          <w:bCs/>
          <w:sz w:val="18"/>
          <w:szCs w:val="18"/>
        </w:rPr>
        <w:t xml:space="preserve"> </w:t>
      </w:r>
      <w:r w:rsidR="001135F9">
        <w:rPr>
          <w:rFonts w:ascii="Arial" w:hAnsi="Arial" w:cs="Arial"/>
          <w:bCs/>
          <w:sz w:val="18"/>
          <w:szCs w:val="18"/>
        </w:rPr>
        <w:t>el</w:t>
      </w:r>
      <w:r>
        <w:rPr>
          <w:rFonts w:ascii="Arial" w:hAnsi="Arial" w:cs="Arial"/>
          <w:bCs/>
          <w:sz w:val="18"/>
          <w:szCs w:val="18"/>
        </w:rPr>
        <w:t xml:space="preserve"> </w:t>
      </w:r>
      <w:r w:rsidR="001135F9">
        <w:rPr>
          <w:rFonts w:ascii="Arial" w:hAnsi="Arial" w:cs="Arial"/>
          <w:bCs/>
          <w:sz w:val="18"/>
          <w:szCs w:val="18"/>
        </w:rPr>
        <w:t>I</w:t>
      </w:r>
      <w:r>
        <w:rPr>
          <w:rFonts w:ascii="Arial" w:hAnsi="Arial" w:cs="Arial"/>
          <w:bCs/>
          <w:sz w:val="18"/>
          <w:szCs w:val="18"/>
        </w:rPr>
        <w:t>nstituto</w:t>
      </w:r>
      <w:r w:rsidR="00844725">
        <w:rPr>
          <w:rFonts w:ascii="Arial" w:hAnsi="Arial" w:cs="Arial"/>
          <w:bCs/>
          <w:sz w:val="18"/>
          <w:szCs w:val="18"/>
        </w:rPr>
        <w:t xml:space="preserve"> se configuran como una herramienta capaz de calcular costos y tarifas de todos los servicios </w:t>
      </w:r>
      <w:r w:rsidR="00A654C1">
        <w:rPr>
          <w:rFonts w:ascii="Arial" w:hAnsi="Arial" w:cs="Arial"/>
          <w:bCs/>
          <w:sz w:val="18"/>
          <w:szCs w:val="18"/>
        </w:rPr>
        <w:t>que se incorporan a este,</w:t>
      </w:r>
      <w:r w:rsidR="009B4649">
        <w:rPr>
          <w:rFonts w:ascii="Arial" w:hAnsi="Arial" w:cs="Arial"/>
          <w:bCs/>
          <w:sz w:val="18"/>
          <w:szCs w:val="18"/>
        </w:rPr>
        <w:t xml:space="preserve"> </w:t>
      </w:r>
      <w:r w:rsidR="00C54AB8">
        <w:rPr>
          <w:rFonts w:ascii="Arial" w:hAnsi="Arial" w:cs="Arial"/>
          <w:bCs/>
          <w:sz w:val="18"/>
          <w:szCs w:val="18"/>
        </w:rPr>
        <w:t>calcular</w:t>
      </w:r>
      <w:r w:rsidR="009B4649">
        <w:rPr>
          <w:rFonts w:ascii="Arial" w:hAnsi="Arial" w:cs="Arial"/>
          <w:bCs/>
          <w:sz w:val="18"/>
          <w:szCs w:val="18"/>
        </w:rPr>
        <w:t xml:space="preserve"> resultados para distintos periodos de tiempo</w:t>
      </w:r>
      <w:r w:rsidR="00EA4888">
        <w:rPr>
          <w:rFonts w:ascii="Arial" w:hAnsi="Arial" w:cs="Arial"/>
          <w:bCs/>
          <w:sz w:val="18"/>
          <w:szCs w:val="18"/>
        </w:rPr>
        <w:t xml:space="preserve"> y</w:t>
      </w:r>
      <w:r w:rsidR="00A654C1">
        <w:rPr>
          <w:rFonts w:ascii="Arial" w:hAnsi="Arial" w:cs="Arial"/>
          <w:bCs/>
          <w:sz w:val="18"/>
          <w:szCs w:val="18"/>
        </w:rPr>
        <w:t xml:space="preserve"> </w:t>
      </w:r>
      <w:r w:rsidR="00C54AB8">
        <w:rPr>
          <w:rFonts w:ascii="Arial" w:hAnsi="Arial" w:cs="Arial"/>
          <w:bCs/>
          <w:sz w:val="18"/>
          <w:szCs w:val="18"/>
        </w:rPr>
        <w:t>además brindar</w:t>
      </w:r>
      <w:r w:rsidR="00A654C1">
        <w:rPr>
          <w:rFonts w:ascii="Arial" w:hAnsi="Arial" w:cs="Arial"/>
          <w:bCs/>
          <w:sz w:val="18"/>
          <w:szCs w:val="18"/>
        </w:rPr>
        <w:t xml:space="preserve"> los insumos para hacer cálculos bajo distintos est</w:t>
      </w:r>
      <w:r w:rsidR="00C22406">
        <w:rPr>
          <w:rFonts w:ascii="Arial" w:hAnsi="Arial" w:cs="Arial"/>
          <w:bCs/>
          <w:sz w:val="18"/>
          <w:szCs w:val="18"/>
        </w:rPr>
        <w:t>ándares de cotos</w:t>
      </w:r>
      <w:r w:rsidR="00A12DF5">
        <w:rPr>
          <w:rFonts w:ascii="Arial" w:hAnsi="Arial" w:cs="Arial"/>
          <w:bCs/>
          <w:sz w:val="18"/>
          <w:szCs w:val="18"/>
        </w:rPr>
        <w:t xml:space="preserve"> (CILP Puro o CI</w:t>
      </w:r>
      <w:r w:rsidR="006A39B0">
        <w:rPr>
          <w:rFonts w:ascii="Arial" w:hAnsi="Arial" w:cs="Arial"/>
          <w:bCs/>
          <w:sz w:val="18"/>
          <w:szCs w:val="18"/>
        </w:rPr>
        <w:t>TPLP)</w:t>
      </w:r>
      <w:r w:rsidR="00931E0E">
        <w:rPr>
          <w:rFonts w:ascii="Arial" w:hAnsi="Arial" w:cs="Arial"/>
          <w:bCs/>
          <w:sz w:val="18"/>
          <w:szCs w:val="18"/>
        </w:rPr>
        <w:t xml:space="preserve">. En este sentido, </w:t>
      </w:r>
      <w:r w:rsidR="003453AD">
        <w:rPr>
          <w:rFonts w:ascii="Arial" w:hAnsi="Arial" w:cs="Arial"/>
          <w:bCs/>
          <w:sz w:val="18"/>
          <w:szCs w:val="18"/>
        </w:rPr>
        <w:t>para lo</w:t>
      </w:r>
      <w:r w:rsidR="000526F9">
        <w:rPr>
          <w:rFonts w:ascii="Arial" w:hAnsi="Arial" w:cs="Arial"/>
          <w:bCs/>
          <w:sz w:val="18"/>
          <w:szCs w:val="18"/>
        </w:rPr>
        <w:t>s</w:t>
      </w:r>
      <w:r w:rsidR="003453AD">
        <w:rPr>
          <w:rFonts w:ascii="Arial" w:hAnsi="Arial" w:cs="Arial"/>
          <w:bCs/>
          <w:sz w:val="18"/>
          <w:szCs w:val="18"/>
        </w:rPr>
        <w:t xml:space="preserve"> efectos de este Acuerdo</w:t>
      </w:r>
      <w:r w:rsidR="00C648F8">
        <w:rPr>
          <w:rFonts w:ascii="Arial" w:hAnsi="Arial" w:cs="Arial"/>
          <w:bCs/>
          <w:sz w:val="18"/>
          <w:szCs w:val="18"/>
        </w:rPr>
        <w:t xml:space="preserve">, la herramienta se usa para calcular tarifas de servicios conmutados de interconexión conforme a lo presentado en el considerando </w:t>
      </w:r>
      <w:r w:rsidR="00C54AB8">
        <w:rPr>
          <w:rFonts w:ascii="Arial" w:hAnsi="Arial" w:cs="Arial"/>
          <w:bCs/>
          <w:sz w:val="18"/>
          <w:szCs w:val="18"/>
        </w:rPr>
        <w:t>Décimo</w:t>
      </w:r>
      <w:r w:rsidR="00C648F8">
        <w:rPr>
          <w:rFonts w:ascii="Arial" w:hAnsi="Arial" w:cs="Arial"/>
          <w:bCs/>
          <w:sz w:val="18"/>
          <w:szCs w:val="18"/>
        </w:rPr>
        <w:t xml:space="preserve"> de este Acuerdo</w:t>
      </w:r>
      <w:r w:rsidR="00EC0A70">
        <w:rPr>
          <w:rFonts w:ascii="Arial" w:hAnsi="Arial" w:cs="Arial"/>
          <w:bCs/>
          <w:sz w:val="18"/>
          <w:szCs w:val="18"/>
        </w:rPr>
        <w:t>.</w:t>
      </w:r>
      <w:r w:rsidR="000526F9">
        <w:rPr>
          <w:rFonts w:ascii="Arial" w:hAnsi="Arial" w:cs="Arial"/>
          <w:bCs/>
          <w:sz w:val="18"/>
          <w:szCs w:val="18"/>
        </w:rPr>
        <w:t xml:space="preserve"> </w:t>
      </w:r>
    </w:p>
    <w:p w14:paraId="7BB23CF7" w14:textId="77777777" w:rsidR="00A12DF5" w:rsidRDefault="00A12DF5" w:rsidP="00CC0143">
      <w:pPr>
        <w:spacing w:after="0"/>
        <w:jc w:val="both"/>
        <w:rPr>
          <w:rFonts w:ascii="Arial" w:hAnsi="Arial" w:cs="Arial"/>
          <w:bCs/>
          <w:sz w:val="18"/>
          <w:szCs w:val="18"/>
        </w:rPr>
      </w:pPr>
    </w:p>
    <w:p w14:paraId="3F9FCE46" w14:textId="77777777" w:rsidR="00413341" w:rsidRDefault="00413341" w:rsidP="00413341">
      <w:pPr>
        <w:spacing w:after="0"/>
        <w:jc w:val="both"/>
        <w:rPr>
          <w:rFonts w:ascii="Arial" w:eastAsia="Times New Roman" w:hAnsi="Arial" w:cs="Arial"/>
          <w:sz w:val="18"/>
          <w:szCs w:val="18"/>
          <w:lang w:eastAsia="es-ES"/>
        </w:rPr>
      </w:pPr>
      <w:r>
        <w:rPr>
          <w:rFonts w:ascii="Arial" w:eastAsia="Times New Roman" w:hAnsi="Arial" w:cs="Arial"/>
          <w:sz w:val="18"/>
          <w:szCs w:val="18"/>
          <w:lang w:eastAsia="es-ES"/>
        </w:rPr>
        <w:t>De lo anterior se debe considerar que, a través d</w:t>
      </w:r>
      <w:r w:rsidRPr="00FA5568">
        <w:rPr>
          <w:rFonts w:ascii="Arial" w:eastAsia="Times New Roman" w:hAnsi="Arial" w:cs="Arial"/>
          <w:sz w:val="18"/>
          <w:szCs w:val="18"/>
          <w:lang w:eastAsia="es-ES"/>
        </w:rPr>
        <w:t>el Acuerdo de Eliminación de Larga Distancia</w:t>
      </w:r>
      <w:r>
        <w:rPr>
          <w:rStyle w:val="Refdenotaalpie"/>
          <w:rFonts w:ascii="Arial" w:eastAsia="Times New Roman" w:hAnsi="Arial" w:cs="Arial"/>
          <w:sz w:val="18"/>
          <w:szCs w:val="18"/>
          <w:lang w:eastAsia="es-ES"/>
        </w:rPr>
        <w:footnoteReference w:id="33"/>
      </w:r>
      <w:r>
        <w:rPr>
          <w:rFonts w:ascii="Arial" w:eastAsia="Times New Roman" w:hAnsi="Arial" w:cs="Arial"/>
          <w:sz w:val="18"/>
          <w:szCs w:val="18"/>
          <w:lang w:eastAsia="es-ES"/>
        </w:rPr>
        <w:t xml:space="preserve">, el Instituto determinó que </w:t>
      </w:r>
      <w:r w:rsidRPr="001F4F57">
        <w:rPr>
          <w:rFonts w:ascii="Arial" w:eastAsia="Times New Roman" w:hAnsi="Arial" w:cs="Arial"/>
          <w:sz w:val="18"/>
          <w:szCs w:val="18"/>
          <w:lang w:eastAsia="es-ES"/>
        </w:rPr>
        <w:t xml:space="preserve">las tarifas </w:t>
      </w:r>
      <w:r>
        <w:rPr>
          <w:rFonts w:ascii="Arial" w:eastAsia="Times New Roman" w:hAnsi="Arial" w:cs="Arial"/>
          <w:sz w:val="18"/>
          <w:szCs w:val="18"/>
          <w:lang w:eastAsia="es-ES"/>
        </w:rPr>
        <w:t>cobradas</w:t>
      </w:r>
      <w:r w:rsidRPr="001F4F57">
        <w:rPr>
          <w:rFonts w:ascii="Arial" w:eastAsia="Times New Roman" w:hAnsi="Arial" w:cs="Arial"/>
          <w:sz w:val="18"/>
          <w:szCs w:val="18"/>
          <w:lang w:eastAsia="es-ES"/>
        </w:rPr>
        <w:t xml:space="preserve"> por las llamadas con prefijo 01, incluyendo las de números 800</w:t>
      </w:r>
      <w:r>
        <w:rPr>
          <w:rFonts w:ascii="Arial" w:eastAsia="Times New Roman" w:hAnsi="Arial" w:cs="Arial"/>
          <w:sz w:val="18"/>
          <w:szCs w:val="18"/>
          <w:lang w:eastAsia="es-ES"/>
        </w:rPr>
        <w:t>,</w:t>
      </w:r>
      <w:r w:rsidRPr="001F4F57">
        <w:rPr>
          <w:rFonts w:ascii="Arial" w:eastAsia="Times New Roman" w:hAnsi="Arial" w:cs="Arial"/>
          <w:sz w:val="18"/>
          <w:szCs w:val="18"/>
          <w:lang w:eastAsia="es-ES"/>
        </w:rPr>
        <w:t xml:space="preserve"> corresponden al servicio local, </w:t>
      </w:r>
      <w:r>
        <w:rPr>
          <w:rFonts w:ascii="Arial" w:eastAsia="Times New Roman" w:hAnsi="Arial" w:cs="Arial"/>
          <w:sz w:val="18"/>
          <w:szCs w:val="18"/>
          <w:lang w:eastAsia="es-ES"/>
        </w:rPr>
        <w:t xml:space="preserve">además de eliminar el servicio de selección por presuscripción y establecer la obligación de los concesionarios de redes públicas de telecomunicaciones de conducir las llamadas originadas por sus clientes hasta </w:t>
      </w:r>
      <w:r w:rsidRPr="001F4F57">
        <w:rPr>
          <w:rFonts w:ascii="Arial" w:eastAsia="Times New Roman" w:hAnsi="Arial" w:cs="Arial"/>
          <w:sz w:val="18"/>
          <w:szCs w:val="18"/>
          <w:lang w:eastAsia="es-ES"/>
        </w:rPr>
        <w:t xml:space="preserve">la red de destino. </w:t>
      </w:r>
    </w:p>
    <w:p w14:paraId="70B929AB" w14:textId="77777777" w:rsidR="00413341" w:rsidRDefault="00413341" w:rsidP="00413341">
      <w:pPr>
        <w:spacing w:after="0"/>
        <w:jc w:val="both"/>
        <w:rPr>
          <w:rFonts w:ascii="Arial" w:eastAsia="Times New Roman" w:hAnsi="Arial" w:cs="Arial"/>
          <w:sz w:val="18"/>
          <w:szCs w:val="18"/>
          <w:lang w:eastAsia="es-ES"/>
        </w:rPr>
      </w:pPr>
    </w:p>
    <w:p w14:paraId="0A8087F3" w14:textId="79BF04A9" w:rsidR="00413341" w:rsidRDefault="00413341" w:rsidP="00413341">
      <w:pPr>
        <w:spacing w:after="0"/>
        <w:jc w:val="both"/>
        <w:rPr>
          <w:rFonts w:ascii="Arial" w:eastAsia="Times New Roman" w:hAnsi="Arial" w:cs="Arial"/>
          <w:sz w:val="18"/>
          <w:szCs w:val="18"/>
          <w:lang w:eastAsia="es-ES"/>
        </w:rPr>
      </w:pPr>
      <w:r w:rsidRPr="00074509">
        <w:rPr>
          <w:rFonts w:ascii="Arial" w:eastAsia="Times New Roman" w:hAnsi="Arial" w:cs="Arial"/>
          <w:sz w:val="18"/>
          <w:szCs w:val="18"/>
          <w:lang w:eastAsia="es-ES"/>
        </w:rPr>
        <w:lastRenderedPageBreak/>
        <w:t>De esta forma, el Instituto considera</w:t>
      </w:r>
      <w:r>
        <w:rPr>
          <w:rFonts w:ascii="Arial" w:eastAsia="Times New Roman" w:hAnsi="Arial" w:cs="Arial"/>
          <w:sz w:val="18"/>
          <w:szCs w:val="18"/>
          <w:lang w:eastAsia="es-ES"/>
        </w:rPr>
        <w:t xml:space="preserve"> que, en virtud de que </w:t>
      </w:r>
      <w:r w:rsidRPr="00C10626">
        <w:rPr>
          <w:rFonts w:ascii="Arial" w:eastAsia="Times New Roman" w:hAnsi="Arial" w:cs="Arial"/>
          <w:sz w:val="18"/>
          <w:szCs w:val="18"/>
          <w:lang w:eastAsia="es-ES"/>
        </w:rPr>
        <w:t>todas las llamadas deben ser tratadas como locales</w:t>
      </w:r>
      <w:r>
        <w:rPr>
          <w:rFonts w:ascii="Arial" w:eastAsia="Times New Roman" w:hAnsi="Arial" w:cs="Arial"/>
          <w:sz w:val="18"/>
          <w:szCs w:val="18"/>
          <w:lang w:eastAsia="es-ES"/>
        </w:rPr>
        <w:t xml:space="preserve">, que el servicio de selección por presuscripción ya no es vigente y que los concesionarios </w:t>
      </w:r>
      <w:r w:rsidRPr="00F4359E">
        <w:rPr>
          <w:rFonts w:ascii="Arial" w:eastAsia="Times New Roman" w:hAnsi="Arial" w:cs="Arial"/>
          <w:sz w:val="18"/>
          <w:szCs w:val="18"/>
          <w:lang w:eastAsia="es-ES"/>
        </w:rPr>
        <w:t>serán responsables de conducir las llamadas originadas por sus clientes hasta el destino</w:t>
      </w:r>
      <w:r w:rsidR="00F60E70">
        <w:rPr>
          <w:rFonts w:ascii="Arial" w:eastAsia="Times New Roman" w:hAnsi="Arial" w:cs="Arial"/>
          <w:sz w:val="18"/>
          <w:szCs w:val="18"/>
          <w:lang w:eastAsia="es-ES"/>
        </w:rPr>
        <w:t xml:space="preserve"> </w:t>
      </w:r>
      <w:r w:rsidR="00F60E70" w:rsidRPr="00F60E70">
        <w:rPr>
          <w:rFonts w:ascii="Arial" w:eastAsia="Times New Roman" w:hAnsi="Arial" w:cs="Arial"/>
          <w:sz w:val="18"/>
          <w:szCs w:val="18"/>
          <w:lang w:eastAsia="es-ES"/>
        </w:rPr>
        <w:t>o a la red o combinación de redes que puedan terminarla</w:t>
      </w:r>
      <w:r>
        <w:rPr>
          <w:rFonts w:ascii="Arial" w:eastAsia="Times New Roman" w:hAnsi="Arial" w:cs="Arial"/>
          <w:sz w:val="18"/>
          <w:szCs w:val="18"/>
          <w:lang w:eastAsia="es-ES"/>
        </w:rPr>
        <w:t>,</w:t>
      </w:r>
      <w:r w:rsidRPr="00F4359E">
        <w:rPr>
          <w:rFonts w:ascii="Arial" w:eastAsia="Times New Roman" w:hAnsi="Arial" w:cs="Arial"/>
          <w:sz w:val="18"/>
          <w:szCs w:val="18"/>
          <w:lang w:eastAsia="es-ES"/>
        </w:rPr>
        <w:t xml:space="preserve"> </w:t>
      </w:r>
      <w:r>
        <w:rPr>
          <w:rFonts w:ascii="Arial" w:eastAsia="Times New Roman" w:hAnsi="Arial" w:cs="Arial"/>
          <w:sz w:val="18"/>
          <w:szCs w:val="18"/>
          <w:lang w:eastAsia="es-ES"/>
        </w:rPr>
        <w:t xml:space="preserve">no resulta </w:t>
      </w:r>
      <w:r w:rsidR="00CA6484">
        <w:rPr>
          <w:rFonts w:ascii="Arial" w:eastAsia="Times New Roman" w:hAnsi="Arial" w:cs="Arial"/>
          <w:sz w:val="18"/>
          <w:szCs w:val="18"/>
          <w:lang w:eastAsia="es-ES"/>
        </w:rPr>
        <w:t>necesario</w:t>
      </w:r>
      <w:r>
        <w:rPr>
          <w:rFonts w:ascii="Arial" w:eastAsia="Times New Roman" w:hAnsi="Arial" w:cs="Arial"/>
          <w:sz w:val="18"/>
          <w:szCs w:val="18"/>
          <w:lang w:eastAsia="es-ES"/>
        </w:rPr>
        <w:t xml:space="preserve"> </w:t>
      </w:r>
      <w:r w:rsidR="004526A4">
        <w:rPr>
          <w:rFonts w:ascii="Arial" w:eastAsia="Times New Roman" w:hAnsi="Arial" w:cs="Arial"/>
          <w:sz w:val="18"/>
          <w:szCs w:val="18"/>
          <w:lang w:eastAsia="es-ES"/>
        </w:rPr>
        <w:t>o es incluso ocioso</w:t>
      </w:r>
      <w:r>
        <w:rPr>
          <w:rFonts w:ascii="Arial" w:eastAsia="Times New Roman" w:hAnsi="Arial" w:cs="Arial"/>
          <w:sz w:val="18"/>
          <w:szCs w:val="18"/>
          <w:lang w:eastAsia="es-ES"/>
        </w:rPr>
        <w:t xml:space="preserve"> la determinación de tarifas de originación a través del presente Acuerdo</w:t>
      </w:r>
      <w:r w:rsidR="00F665B6">
        <w:rPr>
          <w:rFonts w:ascii="Arial" w:eastAsia="Times New Roman" w:hAnsi="Arial" w:cs="Arial"/>
          <w:sz w:val="18"/>
          <w:szCs w:val="18"/>
          <w:lang w:eastAsia="es-ES"/>
        </w:rPr>
        <w:t xml:space="preserve">, siendo las tarifas presentadas en el considerando </w:t>
      </w:r>
      <w:r w:rsidR="009C17F3">
        <w:rPr>
          <w:rFonts w:ascii="Arial" w:eastAsia="Times New Roman" w:hAnsi="Arial" w:cs="Arial"/>
          <w:sz w:val="18"/>
          <w:szCs w:val="18"/>
          <w:lang w:eastAsia="es-ES"/>
        </w:rPr>
        <w:t>Décimo</w:t>
      </w:r>
      <w:r w:rsidR="00F665B6">
        <w:rPr>
          <w:rFonts w:ascii="Arial" w:eastAsia="Times New Roman" w:hAnsi="Arial" w:cs="Arial"/>
          <w:sz w:val="18"/>
          <w:szCs w:val="18"/>
          <w:lang w:eastAsia="es-ES"/>
        </w:rPr>
        <w:t xml:space="preserve"> la</w:t>
      </w:r>
      <w:r w:rsidR="009C17F3">
        <w:rPr>
          <w:rFonts w:ascii="Arial" w:eastAsia="Times New Roman" w:hAnsi="Arial" w:cs="Arial"/>
          <w:sz w:val="18"/>
          <w:szCs w:val="18"/>
          <w:lang w:eastAsia="es-ES"/>
        </w:rPr>
        <w:t>s</w:t>
      </w:r>
      <w:r w:rsidR="00F665B6">
        <w:rPr>
          <w:rFonts w:ascii="Arial" w:eastAsia="Times New Roman" w:hAnsi="Arial" w:cs="Arial"/>
          <w:sz w:val="18"/>
          <w:szCs w:val="18"/>
          <w:lang w:eastAsia="es-ES"/>
        </w:rPr>
        <w:t xml:space="preserve"> que el Instituto considera relevantes publicar en este Acuerdo.</w:t>
      </w:r>
    </w:p>
    <w:p w14:paraId="2CC1A126" w14:textId="77777777" w:rsidR="00DC0B1A" w:rsidRDefault="00DC0B1A" w:rsidP="00CC0143">
      <w:pPr>
        <w:spacing w:after="0"/>
        <w:jc w:val="both"/>
        <w:rPr>
          <w:rFonts w:ascii="Arial" w:hAnsi="Arial" w:cs="Arial"/>
          <w:b/>
          <w:sz w:val="18"/>
          <w:szCs w:val="18"/>
        </w:rPr>
      </w:pPr>
    </w:p>
    <w:p w14:paraId="7999AE9D" w14:textId="75A096AF" w:rsidR="00682AA0" w:rsidRPr="001B525F" w:rsidRDefault="001A32E6" w:rsidP="00CC0143">
      <w:pPr>
        <w:spacing w:after="0"/>
        <w:jc w:val="both"/>
        <w:rPr>
          <w:rFonts w:ascii="Arial" w:hAnsi="Arial" w:cs="Arial"/>
          <w:sz w:val="18"/>
          <w:szCs w:val="18"/>
        </w:rPr>
      </w:pPr>
      <w:r w:rsidRPr="001B525F">
        <w:rPr>
          <w:rFonts w:ascii="Arial" w:hAnsi="Arial" w:cs="Arial"/>
          <w:b/>
          <w:sz w:val="18"/>
          <w:szCs w:val="18"/>
        </w:rPr>
        <w:t>Noveno</w:t>
      </w:r>
      <w:r w:rsidR="00350F69" w:rsidRPr="001B525F">
        <w:rPr>
          <w:rFonts w:ascii="Arial" w:hAnsi="Arial" w:cs="Arial"/>
          <w:b/>
          <w:sz w:val="18"/>
          <w:szCs w:val="18"/>
        </w:rPr>
        <w:t xml:space="preserve">.- Modelos de Costos de servicios no conmutados de interconexión. </w:t>
      </w:r>
      <w:r w:rsidR="00682AA0" w:rsidRPr="001B525F">
        <w:rPr>
          <w:rFonts w:ascii="Arial" w:hAnsi="Arial" w:cs="Arial"/>
          <w:sz w:val="18"/>
          <w:szCs w:val="18"/>
        </w:rPr>
        <w:t xml:space="preserve">El Lineamiento Segundo de la Metodología de Costos establece a la letra lo siguiente: </w:t>
      </w:r>
    </w:p>
    <w:p w14:paraId="17CCB705" w14:textId="77777777" w:rsidR="00682AA0" w:rsidRPr="001B525F" w:rsidRDefault="00682AA0" w:rsidP="0062635B">
      <w:pPr>
        <w:spacing w:after="0"/>
        <w:ind w:left="352"/>
        <w:rPr>
          <w:rFonts w:ascii="Arial" w:eastAsia="Times New Roman" w:hAnsi="Arial" w:cs="Arial"/>
          <w:sz w:val="18"/>
          <w:szCs w:val="18"/>
          <w:lang w:eastAsia="es-ES"/>
        </w:rPr>
      </w:pPr>
    </w:p>
    <w:p w14:paraId="61FF3DC2" w14:textId="77777777" w:rsidR="00104B9A" w:rsidRDefault="00682AA0" w:rsidP="0062635B">
      <w:pPr>
        <w:spacing w:after="0"/>
        <w:ind w:left="352"/>
        <w:jc w:val="both"/>
        <w:rPr>
          <w:rFonts w:ascii="Arial" w:hAnsi="Arial" w:cs="Arial"/>
          <w:i/>
          <w:sz w:val="16"/>
          <w:szCs w:val="16"/>
        </w:rPr>
      </w:pPr>
      <w:r w:rsidRPr="007740FC">
        <w:rPr>
          <w:rFonts w:ascii="Arial" w:hAnsi="Arial" w:cs="Arial"/>
          <w:i/>
          <w:sz w:val="16"/>
          <w:szCs w:val="16"/>
        </w:rPr>
        <w:t>“SEGUNDO.- En la elaboración de los Modelos de Costos, para servicios de interconexión distintos a los señalados en los Lineamientos Tercero y Cuarto siguientes, se empleará el enfoque de Costo Incremental Total Promedio de Largo Plazo.</w:t>
      </w:r>
    </w:p>
    <w:p w14:paraId="21C19446" w14:textId="77777777" w:rsidR="00DA5D8C" w:rsidRPr="007740FC" w:rsidRDefault="00DA5D8C" w:rsidP="0062635B">
      <w:pPr>
        <w:spacing w:after="0"/>
        <w:ind w:left="352"/>
        <w:jc w:val="both"/>
        <w:rPr>
          <w:rFonts w:ascii="Arial" w:hAnsi="Arial" w:cs="Arial"/>
          <w:i/>
          <w:sz w:val="16"/>
          <w:szCs w:val="16"/>
        </w:rPr>
      </w:pPr>
    </w:p>
    <w:p w14:paraId="0E8CE1BA" w14:textId="77777777" w:rsidR="00DA5D8C" w:rsidRDefault="00682AA0" w:rsidP="0062635B">
      <w:pPr>
        <w:spacing w:after="0"/>
        <w:ind w:left="352"/>
        <w:jc w:val="both"/>
        <w:rPr>
          <w:rFonts w:ascii="Arial" w:hAnsi="Arial" w:cs="Arial"/>
          <w:i/>
          <w:sz w:val="16"/>
          <w:szCs w:val="16"/>
        </w:rPr>
      </w:pPr>
      <w:r w:rsidRPr="007740FC">
        <w:rPr>
          <w:rFonts w:ascii="Arial" w:hAnsi="Arial" w:cs="Arial"/>
          <w:i/>
          <w:sz w:val="16"/>
          <w:szCs w:val="16"/>
        </w:rP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p>
    <w:p w14:paraId="19FBF15F" w14:textId="73B1FEE7" w:rsidR="00104B9A" w:rsidRPr="007740FC" w:rsidRDefault="00682AA0" w:rsidP="0062635B">
      <w:pPr>
        <w:spacing w:after="0"/>
        <w:ind w:left="352"/>
        <w:jc w:val="both"/>
        <w:rPr>
          <w:rFonts w:ascii="Arial" w:hAnsi="Arial" w:cs="Arial"/>
          <w:i/>
          <w:sz w:val="16"/>
          <w:szCs w:val="16"/>
        </w:rPr>
      </w:pPr>
      <w:r w:rsidRPr="007740FC">
        <w:rPr>
          <w:rFonts w:ascii="Arial" w:hAnsi="Arial" w:cs="Arial"/>
          <w:i/>
          <w:sz w:val="16"/>
          <w:szCs w:val="16"/>
        </w:rPr>
        <w:br/>
        <w:t>Se entenderá como Costos Comunes a aquellos en que se incurren por actividades o recursos que no pueden ser asignados a los Servicios de Interconexión de una manera directa. Estos costos son generados por todos los servicios que presta la empresa.</w:t>
      </w:r>
    </w:p>
    <w:p w14:paraId="2F4D1DAD" w14:textId="77777777" w:rsidR="00860E1A" w:rsidRDefault="00682AA0" w:rsidP="0062635B">
      <w:pPr>
        <w:spacing w:after="0"/>
        <w:ind w:left="352"/>
        <w:jc w:val="both"/>
        <w:rPr>
          <w:rFonts w:ascii="Arial" w:hAnsi="Arial" w:cs="Arial"/>
          <w:i/>
          <w:sz w:val="16"/>
          <w:szCs w:val="16"/>
        </w:rPr>
      </w:pPr>
      <w:r w:rsidRPr="007740FC">
        <w:rPr>
          <w:rFonts w:ascii="Arial" w:hAnsi="Arial" w:cs="Arial"/>
          <w:i/>
          <w:sz w:val="16"/>
          <w:szCs w:val="16"/>
        </w:rPr>
        <w:t>Los Costos Comunes se asignarán por medio de la metodología de Margen Equi-proporcional.</w:t>
      </w:r>
      <w:r w:rsidRPr="007740FC">
        <w:rPr>
          <w:rFonts w:ascii="Arial" w:hAnsi="Arial" w:cs="Arial"/>
          <w:i/>
          <w:sz w:val="16"/>
          <w:szCs w:val="16"/>
        </w:rPr>
        <w:br/>
        <w:t>El Modelo de costos deberá permitir que el Instituto Federal de Telecomunicaciones especifique la unidad de medida de acuerdo con las mejores prácticas internacionales.</w:t>
      </w:r>
    </w:p>
    <w:p w14:paraId="4348D4A3" w14:textId="77777777" w:rsidR="00DA5D8C" w:rsidRPr="007740FC" w:rsidRDefault="00DA5D8C" w:rsidP="0062635B">
      <w:pPr>
        <w:spacing w:after="0"/>
        <w:ind w:left="352"/>
        <w:jc w:val="both"/>
        <w:rPr>
          <w:rFonts w:ascii="Arial" w:hAnsi="Arial" w:cs="Arial"/>
          <w:i/>
          <w:sz w:val="16"/>
          <w:szCs w:val="16"/>
        </w:rPr>
      </w:pPr>
    </w:p>
    <w:p w14:paraId="23960991" w14:textId="3C784439" w:rsidR="00682AA0" w:rsidRPr="007740FC" w:rsidRDefault="00682AA0" w:rsidP="0062635B">
      <w:pPr>
        <w:spacing w:after="0"/>
        <w:ind w:left="352"/>
        <w:jc w:val="both"/>
        <w:rPr>
          <w:rFonts w:ascii="Arial" w:hAnsi="Arial" w:cs="Arial"/>
          <w:i/>
          <w:sz w:val="16"/>
          <w:szCs w:val="16"/>
        </w:rPr>
      </w:pPr>
      <w:r w:rsidRPr="007740FC">
        <w:rPr>
          <w:rFonts w:ascii="Arial" w:hAnsi="Arial" w:cs="Arial"/>
          <w:i/>
          <w:sz w:val="16"/>
          <w:szCs w:val="16"/>
        </w:rPr>
        <w:t>La unidad monetaria en la que se expresarán los resultados de los Modelos de Costos será en pesos mexicanos.</w:t>
      </w:r>
      <w:r w:rsidR="00104B9A" w:rsidRPr="007740FC">
        <w:rPr>
          <w:rFonts w:ascii="Arial" w:hAnsi="Arial" w:cs="Arial"/>
          <w:i/>
          <w:sz w:val="16"/>
          <w:szCs w:val="16"/>
        </w:rPr>
        <w:t>”</w:t>
      </w:r>
    </w:p>
    <w:p w14:paraId="4DF9D5D8" w14:textId="77777777" w:rsidR="00682AA0" w:rsidRPr="001B525F" w:rsidRDefault="00682AA0" w:rsidP="00CC0143">
      <w:pPr>
        <w:spacing w:after="0"/>
        <w:rPr>
          <w:rFonts w:ascii="Arial" w:eastAsia="Times New Roman" w:hAnsi="Arial" w:cs="Arial"/>
          <w:sz w:val="18"/>
          <w:szCs w:val="18"/>
          <w:lang w:eastAsia="es-ES"/>
        </w:rPr>
      </w:pPr>
    </w:p>
    <w:p w14:paraId="048D94F7" w14:textId="2578DEDB"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w:t>
      </w:r>
      <w:r w:rsidR="00861FFD">
        <w:rPr>
          <w:rFonts w:ascii="Arial" w:eastAsia="Times New Roman" w:hAnsi="Arial" w:cs="Arial"/>
          <w:sz w:val="18"/>
          <w:szCs w:val="18"/>
          <w:lang w:eastAsia="es-ES"/>
        </w:rPr>
        <w:t xml:space="preserve"> (CITPLP)</w:t>
      </w:r>
      <w:r w:rsidRPr="001B525F">
        <w:rPr>
          <w:rFonts w:ascii="Arial" w:eastAsia="Times New Roman" w:hAnsi="Arial" w:cs="Arial"/>
          <w:sz w:val="18"/>
          <w:szCs w:val="18"/>
          <w:lang w:eastAsia="es-ES"/>
        </w:rPr>
        <w:t>, es así que en la presente sección se aplica ese enfoque para la determinación de las tarifas aplicables a los servicios de enlaces de transmisión entre coubicaciones, enlaces de transmisión de interconexión y coubicación.</w:t>
      </w:r>
    </w:p>
    <w:p w14:paraId="469884DF" w14:textId="77777777" w:rsidR="00682AA0" w:rsidRPr="001B525F" w:rsidRDefault="00682AA0" w:rsidP="00CC0143">
      <w:pPr>
        <w:spacing w:after="0"/>
        <w:jc w:val="both"/>
        <w:rPr>
          <w:rFonts w:ascii="Arial" w:hAnsi="Arial" w:cs="Arial"/>
          <w:b/>
          <w:sz w:val="18"/>
          <w:szCs w:val="18"/>
        </w:rPr>
      </w:pPr>
    </w:p>
    <w:p w14:paraId="642E413E"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5D89C662" w14:textId="77777777" w:rsidR="00682AA0" w:rsidRPr="001B525F" w:rsidRDefault="00682AA0" w:rsidP="00CC0143">
      <w:pPr>
        <w:spacing w:after="0"/>
        <w:jc w:val="both"/>
        <w:rPr>
          <w:rFonts w:ascii="Arial" w:hAnsi="Arial" w:cs="Arial"/>
          <w:b/>
          <w:sz w:val="18"/>
          <w:szCs w:val="18"/>
        </w:rPr>
      </w:pPr>
    </w:p>
    <w:p w14:paraId="098C75CC"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MODELO DE COSTOS DE ENLACES DEDICADOS DE INTERCONEXIÓN</w:t>
      </w:r>
    </w:p>
    <w:p w14:paraId="6C8FBE91" w14:textId="77777777" w:rsidR="00682AA0" w:rsidRPr="001B525F" w:rsidRDefault="00682AA0" w:rsidP="00CC0143">
      <w:pPr>
        <w:spacing w:after="0"/>
        <w:jc w:val="both"/>
        <w:rPr>
          <w:rFonts w:ascii="Arial" w:hAnsi="Arial" w:cs="Arial"/>
          <w:b/>
          <w:sz w:val="18"/>
          <w:szCs w:val="18"/>
        </w:rPr>
      </w:pPr>
    </w:p>
    <w:p w14:paraId="618EA800" w14:textId="77777777" w:rsidR="00682AA0" w:rsidRPr="001B525F" w:rsidRDefault="00682AA0" w:rsidP="00CC0143">
      <w:pPr>
        <w:spacing w:after="0"/>
        <w:jc w:val="both"/>
        <w:rPr>
          <w:rFonts w:ascii="Arial" w:hAnsi="Arial" w:cs="Arial"/>
          <w:sz w:val="18"/>
          <w:szCs w:val="18"/>
          <w:lang w:val="es-ES_tradnl"/>
        </w:rPr>
      </w:pPr>
      <w:r w:rsidRPr="001B525F">
        <w:rPr>
          <w:rFonts w:ascii="Arial" w:hAnsi="Arial" w:cs="Arial"/>
          <w:sz w:val="18"/>
          <w:szCs w:val="18"/>
          <w:lang w:val="es-ES_tradnl"/>
        </w:rPr>
        <w:t>En términos de la Condición Segunda el servicio de enlaces de transmisión consiste en el establecimiento de enlaces de transmisión físicos o virtuales de cualquier tecnología, a través de los cuales se conduce Tráfico.</w:t>
      </w:r>
    </w:p>
    <w:p w14:paraId="38CFF46C" w14:textId="77777777" w:rsidR="00682AA0" w:rsidRPr="001B525F" w:rsidRDefault="00682AA0" w:rsidP="00CC0143">
      <w:pPr>
        <w:spacing w:after="0"/>
        <w:jc w:val="both"/>
        <w:rPr>
          <w:rFonts w:ascii="Arial" w:hAnsi="Arial" w:cs="Arial"/>
          <w:sz w:val="18"/>
          <w:szCs w:val="18"/>
          <w:lang w:val="es-ES_tradnl"/>
        </w:rPr>
      </w:pPr>
    </w:p>
    <w:p w14:paraId="1CE0A6B5" w14:textId="77777777" w:rsidR="00682AA0" w:rsidRPr="001B525F" w:rsidRDefault="00682AA0" w:rsidP="00CC0143">
      <w:pPr>
        <w:spacing w:after="0"/>
        <w:ind w:right="20"/>
        <w:jc w:val="both"/>
        <w:rPr>
          <w:rFonts w:ascii="Arial" w:hAnsi="Arial" w:cs="Arial"/>
          <w:sz w:val="18"/>
          <w:szCs w:val="18"/>
        </w:rPr>
      </w:pPr>
      <w:r w:rsidRPr="001B525F">
        <w:rPr>
          <w:rFonts w:ascii="Arial" w:hAnsi="Arial" w:cs="Arial"/>
          <w:sz w:val="18"/>
          <w:szCs w:val="18"/>
          <w:lang w:val="es-ES_tradnl"/>
        </w:rPr>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r w:rsidRPr="001B525F">
        <w:rPr>
          <w:rFonts w:ascii="Arial" w:hAnsi="Arial" w:cs="Arial"/>
          <w:sz w:val="18"/>
          <w:szCs w:val="18"/>
        </w:rPr>
        <w:t xml:space="preserve">. </w:t>
      </w:r>
    </w:p>
    <w:p w14:paraId="71682E90" w14:textId="77777777" w:rsidR="00682AA0" w:rsidRPr="001B525F" w:rsidRDefault="00682AA0" w:rsidP="00CC0143">
      <w:pPr>
        <w:spacing w:after="0"/>
        <w:jc w:val="both"/>
        <w:rPr>
          <w:rFonts w:ascii="Arial" w:hAnsi="Arial" w:cs="Arial"/>
          <w:sz w:val="18"/>
          <w:szCs w:val="18"/>
        </w:rPr>
      </w:pPr>
    </w:p>
    <w:p w14:paraId="44CF4F16" w14:textId="425C8106" w:rsidR="00682AA0" w:rsidRPr="001B525F" w:rsidRDefault="00682AA0" w:rsidP="00CC0143">
      <w:pPr>
        <w:spacing w:after="0"/>
        <w:jc w:val="both"/>
        <w:rPr>
          <w:rFonts w:ascii="Arial" w:hAnsi="Arial" w:cs="Arial"/>
          <w:bCs/>
          <w:sz w:val="18"/>
          <w:szCs w:val="18"/>
        </w:rPr>
      </w:pPr>
      <w:r w:rsidRPr="001B525F">
        <w:rPr>
          <w:rFonts w:ascii="Arial" w:hAnsi="Arial" w:cs="Arial"/>
          <w:bCs/>
          <w:sz w:val="18"/>
          <w:szCs w:val="18"/>
        </w:rPr>
        <w:t>El modelo de costos se elaboró con una metodología CIT</w:t>
      </w:r>
      <w:r w:rsidR="00D2581F">
        <w:rPr>
          <w:rFonts w:ascii="Arial" w:hAnsi="Arial" w:cs="Arial"/>
          <w:bCs/>
          <w:sz w:val="18"/>
          <w:szCs w:val="18"/>
        </w:rPr>
        <w:t>P</w:t>
      </w:r>
      <w:r w:rsidRPr="001B525F">
        <w:rPr>
          <w:rFonts w:ascii="Arial" w:hAnsi="Arial" w:cs="Arial"/>
          <w:bCs/>
          <w:sz w:val="18"/>
          <w:szCs w:val="18"/>
        </w:rPr>
        <w:t xml:space="preserve">LP. Bajo esta metodología el modelo calcula las tarifas mayoristas de enlaces dedicados locales, entre localidades e internacionales. </w:t>
      </w:r>
    </w:p>
    <w:p w14:paraId="6019D3BC" w14:textId="77777777" w:rsidR="00682AA0" w:rsidRPr="001B525F" w:rsidRDefault="00682AA0" w:rsidP="00CC0143">
      <w:pPr>
        <w:spacing w:after="0"/>
        <w:jc w:val="both"/>
        <w:rPr>
          <w:rFonts w:ascii="Arial" w:hAnsi="Arial" w:cs="Arial"/>
          <w:bCs/>
          <w:sz w:val="18"/>
          <w:szCs w:val="18"/>
        </w:rPr>
      </w:pPr>
    </w:p>
    <w:p w14:paraId="60E3154E" w14:textId="77777777" w:rsidR="00245EFC" w:rsidRPr="00245EFC" w:rsidRDefault="00245EFC" w:rsidP="00245EFC">
      <w:pPr>
        <w:spacing w:after="0"/>
        <w:jc w:val="both"/>
        <w:rPr>
          <w:rFonts w:ascii="Arial" w:hAnsi="Arial" w:cs="Arial"/>
          <w:bCs/>
          <w:sz w:val="18"/>
          <w:szCs w:val="18"/>
        </w:rPr>
      </w:pPr>
      <w:r w:rsidRPr="00245EFC">
        <w:rPr>
          <w:rFonts w:ascii="Arial" w:hAnsi="Arial" w:cs="Arial"/>
          <w:bCs/>
          <w:sz w:val="18"/>
          <w:szCs w:val="18"/>
        </w:rPr>
        <w:t>Cabe señalar que conforme a los establecido en las Medidas Fijas el AEP tiene la obligación asimétrica de brindar los servicios de enlaces dedicados conforme las condiciones y tarifas que se aprueben en la oferta de referencia respectiva por lo que el modelo se basa en un operador hipotético representativo del AEP que se nutre con la mejor información disponible.</w:t>
      </w:r>
    </w:p>
    <w:p w14:paraId="3C9C9E62" w14:textId="77777777" w:rsidR="00245EFC" w:rsidRPr="00245EFC" w:rsidRDefault="00245EFC" w:rsidP="00245EFC">
      <w:pPr>
        <w:spacing w:after="0"/>
        <w:jc w:val="both"/>
        <w:rPr>
          <w:rFonts w:ascii="Arial" w:hAnsi="Arial" w:cs="Arial"/>
          <w:bCs/>
          <w:sz w:val="18"/>
          <w:szCs w:val="18"/>
        </w:rPr>
      </w:pPr>
    </w:p>
    <w:p w14:paraId="02B54867" w14:textId="77777777" w:rsidR="00245EFC" w:rsidRPr="00245EFC" w:rsidRDefault="00245EFC" w:rsidP="00245EFC">
      <w:pPr>
        <w:spacing w:after="0"/>
        <w:jc w:val="both"/>
        <w:rPr>
          <w:rFonts w:ascii="Arial" w:hAnsi="Arial" w:cs="Arial"/>
          <w:sz w:val="18"/>
          <w:szCs w:val="18"/>
        </w:rPr>
      </w:pPr>
      <w:r w:rsidRPr="00245EFC">
        <w:rPr>
          <w:rFonts w:ascii="Arial" w:hAnsi="Arial" w:cs="Arial"/>
          <w:sz w:val="18"/>
          <w:szCs w:val="18"/>
        </w:rPr>
        <w:t>Asimismo, para el cálculo de tarifas de enlaces dedicados, se usará el CCPP nominal para el sector fijo antes calculado representativo a nivel industrial.</w:t>
      </w:r>
    </w:p>
    <w:p w14:paraId="0B225890" w14:textId="77777777" w:rsidR="00682AA0" w:rsidRPr="001B525F" w:rsidRDefault="00682AA0" w:rsidP="00CC0143">
      <w:pPr>
        <w:spacing w:after="0"/>
        <w:jc w:val="center"/>
        <w:rPr>
          <w:rFonts w:ascii="Arial" w:hAnsi="Arial" w:cs="Arial"/>
          <w:b/>
          <w:bCs/>
          <w:sz w:val="18"/>
          <w:szCs w:val="18"/>
        </w:rPr>
      </w:pPr>
    </w:p>
    <w:p w14:paraId="4EEF8FED" w14:textId="77777777" w:rsidR="00B313BB" w:rsidRPr="00B313BB" w:rsidRDefault="00682AA0" w:rsidP="00B313BB">
      <w:pPr>
        <w:spacing w:after="0"/>
        <w:jc w:val="both"/>
        <w:rPr>
          <w:rFonts w:ascii="Arial" w:hAnsi="Arial" w:cs="Arial"/>
          <w:bCs/>
          <w:sz w:val="18"/>
          <w:szCs w:val="18"/>
          <w:lang w:val="es-ES_tradnl"/>
        </w:rPr>
      </w:pPr>
      <w:r w:rsidRPr="00B313BB">
        <w:rPr>
          <w:rFonts w:ascii="Arial" w:hAnsi="Arial" w:cs="Arial"/>
          <w:b/>
          <w:bCs/>
          <w:sz w:val="18"/>
          <w:szCs w:val="18"/>
          <w:lang w:val="es-ES_tradnl"/>
        </w:rPr>
        <w:t xml:space="preserve">Hipótesis del Modelo de Costos. </w:t>
      </w:r>
      <w:r w:rsidR="00B313BB" w:rsidRPr="00B313BB">
        <w:rPr>
          <w:rFonts w:ascii="Arial" w:hAnsi="Arial" w:cs="Arial"/>
          <w:bCs/>
          <w:sz w:val="18"/>
          <w:szCs w:val="18"/>
          <w:lang w:val="es-ES_tradnl"/>
        </w:rPr>
        <w:t>El módulo de enlaces dedicados tiene la función de calcular el costo total del servicio de enlaces dedicados desglosado para las distintas velocidades disponibles. Para esto, el módulo considera el costo del transporte proveniente Modelo Fijo además de otros costos que pudieran existir, como, por ejemplo, costos del cableado de acceso. El módulo se estructura en dos bloques principales, con el objetivo de costear los principales grupos de servicios involucrados: enlaces dedicados entre localidades y enlaces locales. Estos bloques tienen una estructura similar, aunque tienen ciertas diferencias en términos de sus insumos:</w:t>
      </w:r>
    </w:p>
    <w:p w14:paraId="5771526F" w14:textId="77777777" w:rsidR="00B313BB" w:rsidRDefault="00B313BB" w:rsidP="00B313BB">
      <w:pPr>
        <w:spacing w:after="0"/>
        <w:jc w:val="both"/>
        <w:rPr>
          <w:rFonts w:ascii="Arial" w:hAnsi="Arial" w:cs="Arial"/>
          <w:bCs/>
          <w:lang w:val="es-ES_tradnl"/>
        </w:rPr>
      </w:pPr>
    </w:p>
    <w:p w14:paraId="571E8F20" w14:textId="77777777" w:rsidR="00B313BB" w:rsidRDefault="00B313BB" w:rsidP="00B313BB">
      <w:pPr>
        <w:spacing w:after="0"/>
        <w:jc w:val="center"/>
        <w:rPr>
          <w:rFonts w:ascii="Arial" w:hAnsi="Arial" w:cs="Arial"/>
          <w:lang w:val="es-ES_tradnl"/>
        </w:rPr>
      </w:pPr>
      <w:r w:rsidRPr="00BB680C">
        <w:rPr>
          <w:noProof/>
        </w:rPr>
        <w:drawing>
          <wp:inline distT="0" distB="0" distL="0" distR="0" wp14:anchorId="13FD5360" wp14:editId="78744165">
            <wp:extent cx="3724516" cy="3061617"/>
            <wp:effectExtent l="0" t="0" r="0" b="0"/>
            <wp:docPr id="453911692" name="Imagen 45391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3738510" cy="3073120"/>
                    </a:xfrm>
                    <a:prstGeom prst="rect">
                      <a:avLst/>
                    </a:prstGeom>
                    <a:noFill/>
                    <a:ln>
                      <a:noFill/>
                    </a:ln>
                  </pic:spPr>
                </pic:pic>
              </a:graphicData>
            </a:graphic>
          </wp:inline>
        </w:drawing>
      </w:r>
    </w:p>
    <w:p w14:paraId="4A659458" w14:textId="0A8E392C" w:rsidR="00B313BB" w:rsidRPr="00B313BB" w:rsidRDefault="00B313BB" w:rsidP="00B313BB">
      <w:pPr>
        <w:spacing w:after="0"/>
        <w:jc w:val="center"/>
        <w:rPr>
          <w:rFonts w:ascii="Arial" w:hAnsi="Arial" w:cs="Arial"/>
          <w:sz w:val="18"/>
          <w:szCs w:val="18"/>
          <w:lang w:val="es-ES_tradnl"/>
        </w:rPr>
      </w:pPr>
      <w:r w:rsidRPr="00B313BB">
        <w:rPr>
          <w:rFonts w:ascii="Arial" w:hAnsi="Arial" w:cs="Arial"/>
          <w:sz w:val="18"/>
          <w:szCs w:val="18"/>
          <w:lang w:val="es-ES_tradnl"/>
        </w:rPr>
        <w:t xml:space="preserve">Figura </w:t>
      </w:r>
      <w:r w:rsidR="00E20C0D">
        <w:rPr>
          <w:rFonts w:ascii="Arial" w:hAnsi="Arial" w:cs="Arial"/>
          <w:sz w:val="18"/>
          <w:szCs w:val="18"/>
          <w:lang w:val="es-ES_tradnl"/>
        </w:rPr>
        <w:t>9</w:t>
      </w:r>
      <w:r w:rsidRPr="00B313BB">
        <w:rPr>
          <w:rFonts w:ascii="Arial" w:hAnsi="Arial" w:cs="Arial"/>
          <w:sz w:val="18"/>
          <w:szCs w:val="18"/>
          <w:lang w:val="es-ES_tradnl"/>
        </w:rPr>
        <w:t>. Estructura del módulo de enlaces locales</w:t>
      </w:r>
    </w:p>
    <w:p w14:paraId="35F8C604" w14:textId="77777777" w:rsidR="00B313BB" w:rsidRDefault="00B313BB" w:rsidP="00B313BB">
      <w:pPr>
        <w:spacing w:after="0"/>
        <w:jc w:val="both"/>
        <w:rPr>
          <w:rFonts w:ascii="Arial" w:hAnsi="Arial" w:cs="Arial"/>
          <w:bCs/>
          <w:lang w:val="es-ES_tradnl"/>
        </w:rPr>
      </w:pPr>
    </w:p>
    <w:p w14:paraId="23D15D53" w14:textId="77777777" w:rsidR="00B313BB" w:rsidRDefault="00B313BB" w:rsidP="00B313BB">
      <w:pPr>
        <w:spacing w:after="0"/>
        <w:jc w:val="both"/>
        <w:rPr>
          <w:rFonts w:ascii="Arial" w:hAnsi="Arial" w:cs="Arial"/>
          <w:bCs/>
          <w:lang w:val="es-ES_tradnl"/>
        </w:rPr>
      </w:pPr>
    </w:p>
    <w:p w14:paraId="31F5F2C6" w14:textId="77777777" w:rsidR="00B313BB" w:rsidRDefault="00B313BB" w:rsidP="00B313BB">
      <w:pPr>
        <w:spacing w:after="0"/>
        <w:jc w:val="center"/>
        <w:rPr>
          <w:rFonts w:ascii="Arial" w:hAnsi="Arial" w:cs="Arial"/>
          <w:lang w:val="es-ES_tradnl"/>
        </w:rPr>
      </w:pPr>
      <w:r w:rsidRPr="00B36E72">
        <w:rPr>
          <w:noProof/>
        </w:rPr>
        <w:drawing>
          <wp:inline distT="0" distB="0" distL="0" distR="0" wp14:anchorId="1EFDB063" wp14:editId="056480A3">
            <wp:extent cx="3198300" cy="3119890"/>
            <wp:effectExtent l="0" t="0" r="2540" b="0"/>
            <wp:docPr id="1703168270" name="Imagen 170316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3206534" cy="3127922"/>
                    </a:xfrm>
                    <a:prstGeom prst="rect">
                      <a:avLst/>
                    </a:prstGeom>
                    <a:noFill/>
                    <a:ln>
                      <a:noFill/>
                    </a:ln>
                  </pic:spPr>
                </pic:pic>
              </a:graphicData>
            </a:graphic>
          </wp:inline>
        </w:drawing>
      </w:r>
    </w:p>
    <w:p w14:paraId="436F638E" w14:textId="223E5B4C" w:rsidR="00B313BB" w:rsidRPr="00B313BB" w:rsidRDefault="00B313BB" w:rsidP="00B313BB">
      <w:pPr>
        <w:spacing w:after="0"/>
        <w:jc w:val="center"/>
        <w:rPr>
          <w:rFonts w:ascii="Arial" w:hAnsi="Arial" w:cs="Arial"/>
          <w:sz w:val="18"/>
          <w:szCs w:val="18"/>
          <w:lang w:val="es-ES_tradnl"/>
        </w:rPr>
      </w:pPr>
      <w:r w:rsidRPr="00B313BB">
        <w:rPr>
          <w:rFonts w:ascii="Arial" w:hAnsi="Arial" w:cs="Arial"/>
          <w:sz w:val="18"/>
          <w:szCs w:val="18"/>
          <w:lang w:val="es-ES_tradnl"/>
        </w:rPr>
        <w:lastRenderedPageBreak/>
        <w:t>Figura 1</w:t>
      </w:r>
      <w:r w:rsidR="00E20C0D">
        <w:rPr>
          <w:rFonts w:ascii="Arial" w:hAnsi="Arial" w:cs="Arial"/>
          <w:sz w:val="18"/>
          <w:szCs w:val="18"/>
          <w:lang w:val="es-ES_tradnl"/>
        </w:rPr>
        <w:t>0</w:t>
      </w:r>
      <w:r w:rsidRPr="00B313BB">
        <w:rPr>
          <w:rFonts w:ascii="Arial" w:hAnsi="Arial" w:cs="Arial"/>
          <w:sz w:val="18"/>
          <w:szCs w:val="18"/>
          <w:lang w:val="es-ES_tradnl"/>
        </w:rPr>
        <w:t>. Estructura del módulo de enlaces dedicados entre localidades e internacionales</w:t>
      </w:r>
    </w:p>
    <w:p w14:paraId="64FB53D2" w14:textId="234B1F52" w:rsidR="00682AA0" w:rsidRPr="001B525F" w:rsidRDefault="00682AA0" w:rsidP="00B313BB">
      <w:pPr>
        <w:spacing w:after="0"/>
        <w:jc w:val="both"/>
        <w:rPr>
          <w:rFonts w:ascii="Arial" w:hAnsi="Arial" w:cs="Arial"/>
          <w:bCs/>
          <w:sz w:val="18"/>
          <w:szCs w:val="18"/>
          <w:lang w:val="es-ES_tradnl"/>
        </w:rPr>
      </w:pPr>
    </w:p>
    <w:p w14:paraId="64A27EED" w14:textId="77777777" w:rsidR="00A7551A" w:rsidRPr="00A7551A" w:rsidRDefault="00A7551A" w:rsidP="00A7551A">
      <w:pPr>
        <w:autoSpaceDE w:val="0"/>
        <w:autoSpaceDN w:val="0"/>
        <w:adjustRightInd w:val="0"/>
        <w:spacing w:after="0"/>
        <w:jc w:val="both"/>
        <w:rPr>
          <w:rFonts w:ascii="Arial" w:hAnsi="Arial" w:cs="Arial"/>
          <w:b/>
          <w:bCs/>
          <w:sz w:val="18"/>
          <w:szCs w:val="18"/>
        </w:rPr>
      </w:pPr>
      <w:r w:rsidRPr="00A7551A">
        <w:rPr>
          <w:rFonts w:ascii="Arial" w:hAnsi="Arial" w:cs="Arial"/>
          <w:b/>
          <w:bCs/>
          <w:sz w:val="18"/>
          <w:szCs w:val="18"/>
        </w:rPr>
        <w:t>Enlaces dedicados locales</w:t>
      </w:r>
    </w:p>
    <w:p w14:paraId="7B746CFF" w14:textId="77777777" w:rsidR="00A7551A" w:rsidRPr="00A7551A" w:rsidRDefault="00A7551A" w:rsidP="00A7551A">
      <w:pPr>
        <w:spacing w:after="0"/>
        <w:jc w:val="both"/>
        <w:rPr>
          <w:rFonts w:ascii="Arial" w:hAnsi="Arial" w:cs="Arial"/>
          <w:bCs/>
          <w:sz w:val="18"/>
          <w:szCs w:val="18"/>
          <w:lang w:val="es-ES_tradnl"/>
        </w:rPr>
      </w:pPr>
    </w:p>
    <w:p w14:paraId="48EC2942" w14:textId="5BDAFEF9" w:rsidR="00A7551A" w:rsidRPr="00A7551A" w:rsidRDefault="00A7551A" w:rsidP="00A7551A">
      <w:pPr>
        <w:spacing w:after="0"/>
        <w:jc w:val="both"/>
        <w:rPr>
          <w:rFonts w:ascii="Arial" w:hAnsi="Arial" w:cs="Arial"/>
          <w:sz w:val="18"/>
          <w:szCs w:val="18"/>
        </w:rPr>
      </w:pPr>
      <w:r w:rsidRPr="5459DB53">
        <w:rPr>
          <w:rFonts w:ascii="Arial" w:hAnsi="Arial" w:cs="Arial"/>
          <w:sz w:val="18"/>
          <w:szCs w:val="18"/>
        </w:rPr>
        <w:t>Para el caso de enlaces locales los costos se calculan con base en un modelo unianual bottom-up que incluye los costos anualizados del equipamiento de red necesarios, los costos de la infraestructura de cobre y fibra, así como los costos de transporte de tráfico entre centrales del operador hipotético representativo del AEP calculado a partir del Modelo Fijo para enlaces dedicados.</w:t>
      </w:r>
    </w:p>
    <w:p w14:paraId="26F796AE" w14:textId="77777777" w:rsidR="00A7551A" w:rsidRPr="00A7551A" w:rsidRDefault="00A7551A" w:rsidP="00A7551A">
      <w:pPr>
        <w:spacing w:after="0"/>
        <w:jc w:val="both"/>
        <w:rPr>
          <w:rFonts w:ascii="Arial" w:hAnsi="Arial" w:cs="Arial"/>
          <w:bCs/>
          <w:sz w:val="18"/>
          <w:szCs w:val="18"/>
          <w:lang w:val="es-ES_tradnl"/>
        </w:rPr>
      </w:pPr>
    </w:p>
    <w:p w14:paraId="035C528D" w14:textId="77777777" w:rsidR="00A7551A" w:rsidRPr="00A7551A" w:rsidRDefault="00A7551A" w:rsidP="00A7551A">
      <w:pPr>
        <w:spacing w:after="0"/>
        <w:jc w:val="both"/>
        <w:rPr>
          <w:rFonts w:ascii="Arial" w:hAnsi="Arial" w:cs="Arial"/>
          <w:bCs/>
          <w:sz w:val="18"/>
          <w:szCs w:val="18"/>
          <w:lang w:val="es-ES_tradnl"/>
        </w:rPr>
      </w:pPr>
      <w:r w:rsidRPr="00A7551A">
        <w:rPr>
          <w:rFonts w:ascii="Arial" w:hAnsi="Arial" w:cs="Arial"/>
          <w:bCs/>
          <w:sz w:val="18"/>
          <w:szCs w:val="18"/>
          <w:lang w:val="es-ES_tradnl"/>
        </w:rPr>
        <w:t xml:space="preserve">Asimismo, se han definido reglas de ingeniería en función de los elementos de red necesarios para ofrecer el servicio de enlaces dedicados. </w:t>
      </w:r>
    </w:p>
    <w:p w14:paraId="07D7ADB0" w14:textId="77777777" w:rsidR="00A7551A" w:rsidRPr="00A7551A" w:rsidRDefault="00A7551A" w:rsidP="00A7551A">
      <w:pPr>
        <w:spacing w:after="0"/>
        <w:jc w:val="both"/>
        <w:rPr>
          <w:rFonts w:ascii="Arial" w:hAnsi="Arial" w:cs="Arial"/>
          <w:bCs/>
          <w:sz w:val="18"/>
          <w:szCs w:val="18"/>
          <w:lang w:val="es-ES_tradnl"/>
        </w:rPr>
      </w:pPr>
    </w:p>
    <w:p w14:paraId="782EF0D5" w14:textId="77777777" w:rsidR="00A7551A" w:rsidRPr="00A7551A" w:rsidRDefault="00A7551A" w:rsidP="00A7551A">
      <w:pPr>
        <w:spacing w:after="0"/>
        <w:jc w:val="both"/>
        <w:rPr>
          <w:rFonts w:ascii="Arial" w:hAnsi="Arial" w:cs="Arial"/>
          <w:bCs/>
          <w:sz w:val="18"/>
          <w:szCs w:val="18"/>
          <w:lang w:val="es-ES_tradnl"/>
        </w:rPr>
      </w:pPr>
      <w:r w:rsidRPr="00A7551A">
        <w:rPr>
          <w:rFonts w:ascii="Arial" w:hAnsi="Arial" w:cs="Arial"/>
          <w:bCs/>
          <w:sz w:val="18"/>
          <w:szCs w:val="18"/>
          <w:lang w:val="es-ES_tradnl"/>
        </w:rPr>
        <w:t>En línea con la Oferta de Referencia, el modelo costea el precio de una punta de enlace dedicado, pudiendo estar formado el enlace de una o dos puntas que conectan cada una el emplazamiento del operador con una central.</w:t>
      </w:r>
    </w:p>
    <w:p w14:paraId="3BDA088D" w14:textId="77777777" w:rsidR="00A7551A" w:rsidRPr="00A7551A" w:rsidRDefault="00A7551A" w:rsidP="00A7551A">
      <w:pPr>
        <w:autoSpaceDE w:val="0"/>
        <w:autoSpaceDN w:val="0"/>
        <w:adjustRightInd w:val="0"/>
        <w:spacing w:after="0"/>
        <w:jc w:val="both"/>
        <w:rPr>
          <w:rFonts w:ascii="Arial" w:hAnsi="Arial" w:cs="Arial"/>
          <w:sz w:val="18"/>
          <w:szCs w:val="18"/>
        </w:rPr>
      </w:pPr>
    </w:p>
    <w:p w14:paraId="3686D5BA"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Los enlaces dedicados locales son aquellos que proporcionan conectividad entre dos puntos dentro de una misma localidad. Estos enlaces pueden pasar por más de una central local del operador modelado, siempre y cuando las mismas se encuentren dentro de la misma localidad.</w:t>
      </w:r>
    </w:p>
    <w:p w14:paraId="6DC20580" w14:textId="77777777" w:rsidR="00A7551A" w:rsidRPr="00A7551A" w:rsidRDefault="00A7551A" w:rsidP="00A7551A">
      <w:pPr>
        <w:autoSpaceDE w:val="0"/>
        <w:autoSpaceDN w:val="0"/>
        <w:adjustRightInd w:val="0"/>
        <w:spacing w:after="0"/>
        <w:jc w:val="both"/>
        <w:rPr>
          <w:rFonts w:ascii="Arial" w:hAnsi="Arial" w:cs="Arial"/>
          <w:sz w:val="18"/>
          <w:szCs w:val="18"/>
        </w:rPr>
      </w:pPr>
    </w:p>
    <w:p w14:paraId="475A03E6" w14:textId="77777777" w:rsidR="00A7551A" w:rsidRPr="00A7551A" w:rsidRDefault="00A7551A" w:rsidP="00A7551A">
      <w:pPr>
        <w:autoSpaceDE w:val="0"/>
        <w:autoSpaceDN w:val="0"/>
        <w:adjustRightInd w:val="0"/>
        <w:spacing w:after="0"/>
        <w:jc w:val="center"/>
        <w:rPr>
          <w:rFonts w:ascii="Arial" w:hAnsi="Arial" w:cs="Arial"/>
          <w:sz w:val="18"/>
          <w:szCs w:val="18"/>
        </w:rPr>
      </w:pPr>
      <w:r w:rsidRPr="00A7551A">
        <w:rPr>
          <w:rFonts w:ascii="Arial" w:hAnsi="Arial" w:cs="Arial"/>
          <w:noProof/>
          <w:sz w:val="18"/>
          <w:szCs w:val="18"/>
        </w:rPr>
        <w:drawing>
          <wp:inline distT="0" distB="0" distL="0" distR="0" wp14:anchorId="3A3A3888" wp14:editId="669784C8">
            <wp:extent cx="5542915" cy="1486535"/>
            <wp:effectExtent l="0" t="0" r="635" b="0"/>
            <wp:docPr id="2118440021" name="Imagen 211844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5542915" cy="1486535"/>
                    </a:xfrm>
                    <a:prstGeom prst="rect">
                      <a:avLst/>
                    </a:prstGeom>
                    <a:noFill/>
                    <a:ln>
                      <a:noFill/>
                    </a:ln>
                  </pic:spPr>
                </pic:pic>
              </a:graphicData>
            </a:graphic>
          </wp:inline>
        </w:drawing>
      </w:r>
    </w:p>
    <w:p w14:paraId="635466E5" w14:textId="54A3D2F0" w:rsidR="00A7551A" w:rsidRPr="00A7551A" w:rsidRDefault="00E20C0D" w:rsidP="00A7551A">
      <w:pPr>
        <w:spacing w:after="0"/>
        <w:jc w:val="center"/>
        <w:rPr>
          <w:rFonts w:ascii="Arial" w:hAnsi="Arial" w:cs="Arial"/>
          <w:sz w:val="18"/>
          <w:szCs w:val="18"/>
          <w:lang w:val="es-ES_tradnl"/>
        </w:rPr>
      </w:pPr>
      <w:r w:rsidRPr="00A7551A">
        <w:rPr>
          <w:rFonts w:ascii="Arial" w:hAnsi="Arial" w:cs="Arial"/>
          <w:sz w:val="18"/>
          <w:szCs w:val="18"/>
          <w:lang w:val="es-ES_tradnl"/>
        </w:rPr>
        <w:t xml:space="preserve">Figura </w:t>
      </w:r>
      <w:r w:rsidR="00A7551A" w:rsidRPr="00A7551A">
        <w:rPr>
          <w:rFonts w:ascii="Arial" w:hAnsi="Arial" w:cs="Arial"/>
          <w:sz w:val="18"/>
          <w:szCs w:val="18"/>
          <w:lang w:val="es-ES_tradnl"/>
        </w:rPr>
        <w:t>1</w:t>
      </w:r>
      <w:r>
        <w:rPr>
          <w:rFonts w:ascii="Arial" w:hAnsi="Arial" w:cs="Arial"/>
          <w:sz w:val="18"/>
          <w:szCs w:val="18"/>
          <w:lang w:val="es-ES_tradnl"/>
        </w:rPr>
        <w:t>1</w:t>
      </w:r>
      <w:r w:rsidR="00A7551A" w:rsidRPr="00A7551A">
        <w:rPr>
          <w:rFonts w:ascii="Arial" w:hAnsi="Arial" w:cs="Arial"/>
          <w:sz w:val="18"/>
          <w:szCs w:val="18"/>
          <w:lang w:val="es-ES_tradnl"/>
        </w:rPr>
        <w:t>. Esquema de enlaces dedicados locales</w:t>
      </w:r>
    </w:p>
    <w:p w14:paraId="6307CF5C" w14:textId="77777777" w:rsidR="00A7551A" w:rsidRPr="00A7551A" w:rsidRDefault="00A7551A" w:rsidP="00210CFA">
      <w:pPr>
        <w:autoSpaceDE w:val="0"/>
        <w:autoSpaceDN w:val="0"/>
        <w:adjustRightInd w:val="0"/>
        <w:spacing w:after="0"/>
        <w:rPr>
          <w:rFonts w:ascii="Arial" w:hAnsi="Arial" w:cs="Arial"/>
          <w:sz w:val="18"/>
          <w:szCs w:val="18"/>
        </w:rPr>
      </w:pPr>
    </w:p>
    <w:p w14:paraId="3DAAE985"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El AEP, bajo la oferta de referencia, debe ofertar servicios de enlaces dedicados locales para las tecnologías TDM y Ethernet, con lo cual el modelo de costos debe ser capaz de estimar los costos para ambos tipos de tecnología, y para cada una de las velocidades ofertadas. Las tarifas por determinar por el modelo de costos, tanto en su tarifa recurrente como en la tarifa no recurrente, deberán medirse para cada tramo del enlace.</w:t>
      </w:r>
    </w:p>
    <w:p w14:paraId="60CD58C6" w14:textId="77777777" w:rsidR="00A7551A" w:rsidRPr="00A7551A" w:rsidRDefault="00A7551A" w:rsidP="00A7551A">
      <w:pPr>
        <w:autoSpaceDE w:val="0"/>
        <w:autoSpaceDN w:val="0"/>
        <w:adjustRightInd w:val="0"/>
        <w:spacing w:after="0"/>
        <w:jc w:val="both"/>
        <w:rPr>
          <w:rFonts w:ascii="Arial" w:hAnsi="Arial" w:cs="Arial"/>
          <w:sz w:val="18"/>
          <w:szCs w:val="18"/>
        </w:rPr>
      </w:pPr>
    </w:p>
    <w:p w14:paraId="40D38C61"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Los costos asociados a la tarifa recurrente del servicio de enlaces dedicados locales pueden desagregarse en las siguientes componentes:</w:t>
      </w:r>
    </w:p>
    <w:p w14:paraId="0EBD4706" w14:textId="77777777" w:rsidR="00A7551A" w:rsidRPr="00A7551A" w:rsidRDefault="00A7551A" w:rsidP="0089203B">
      <w:pPr>
        <w:autoSpaceDE w:val="0"/>
        <w:autoSpaceDN w:val="0"/>
        <w:adjustRightInd w:val="0"/>
        <w:spacing w:after="0"/>
        <w:ind w:left="709" w:hanging="357"/>
        <w:jc w:val="both"/>
        <w:rPr>
          <w:rFonts w:ascii="Arial" w:hAnsi="Arial" w:cs="Arial"/>
          <w:sz w:val="18"/>
          <w:szCs w:val="18"/>
        </w:rPr>
      </w:pPr>
    </w:p>
    <w:p w14:paraId="0E5A663B" w14:textId="77777777" w:rsidR="00A7551A" w:rsidRPr="00A7551A" w:rsidRDefault="00A7551A" w:rsidP="0089203B">
      <w:pPr>
        <w:pStyle w:val="Prrafodelista"/>
        <w:numPr>
          <w:ilvl w:val="0"/>
          <w:numId w:val="67"/>
        </w:numPr>
        <w:autoSpaceDE w:val="0"/>
        <w:autoSpaceDN w:val="0"/>
        <w:adjustRightInd w:val="0"/>
        <w:spacing w:line="276" w:lineRule="auto"/>
        <w:ind w:left="709" w:hanging="357"/>
        <w:jc w:val="both"/>
        <w:rPr>
          <w:rFonts w:cs="Arial"/>
          <w:sz w:val="18"/>
          <w:szCs w:val="18"/>
        </w:rPr>
      </w:pPr>
      <w:r w:rsidRPr="00A7551A">
        <w:rPr>
          <w:rFonts w:cs="Arial"/>
          <w:sz w:val="18"/>
          <w:szCs w:val="18"/>
        </w:rPr>
        <w:t>Cableado de acceso: costos asociados a la red de fibra o cobre necesaria para alcanzar la ubicación final del cliente desde la central local.</w:t>
      </w:r>
    </w:p>
    <w:p w14:paraId="3D10AFFD" w14:textId="77777777" w:rsidR="00A7551A" w:rsidRPr="00A7551A" w:rsidRDefault="00A7551A" w:rsidP="0089203B">
      <w:pPr>
        <w:pStyle w:val="Prrafodelista"/>
        <w:numPr>
          <w:ilvl w:val="0"/>
          <w:numId w:val="67"/>
        </w:numPr>
        <w:autoSpaceDE w:val="0"/>
        <w:autoSpaceDN w:val="0"/>
        <w:adjustRightInd w:val="0"/>
        <w:spacing w:line="276" w:lineRule="auto"/>
        <w:ind w:left="709" w:hanging="357"/>
        <w:jc w:val="both"/>
        <w:rPr>
          <w:rFonts w:cs="Arial"/>
          <w:sz w:val="18"/>
          <w:szCs w:val="18"/>
        </w:rPr>
      </w:pPr>
      <w:r w:rsidRPr="00A7551A">
        <w:rPr>
          <w:rFonts w:cs="Arial"/>
          <w:sz w:val="18"/>
          <w:szCs w:val="18"/>
        </w:rPr>
        <w:t>Transporte: costos asociados a los enrutadores, fibra de transporte y otros equipos de la red de transporte que interconectan las centrales locales, los cuales son compartidos con otros servicios de voz y datos provistos a través de la red fija.</w:t>
      </w:r>
    </w:p>
    <w:p w14:paraId="443C4C7C" w14:textId="77777777" w:rsidR="00A7551A" w:rsidRPr="00A7551A" w:rsidRDefault="00A7551A" w:rsidP="0089203B">
      <w:pPr>
        <w:pStyle w:val="Prrafodelista"/>
        <w:numPr>
          <w:ilvl w:val="0"/>
          <w:numId w:val="67"/>
        </w:numPr>
        <w:autoSpaceDE w:val="0"/>
        <w:autoSpaceDN w:val="0"/>
        <w:adjustRightInd w:val="0"/>
        <w:spacing w:line="276" w:lineRule="auto"/>
        <w:ind w:left="709" w:hanging="357"/>
        <w:jc w:val="both"/>
        <w:rPr>
          <w:rFonts w:cs="Arial"/>
          <w:sz w:val="18"/>
          <w:szCs w:val="18"/>
        </w:rPr>
      </w:pPr>
      <w:r w:rsidRPr="00A7551A">
        <w:rPr>
          <w:rFonts w:cs="Arial"/>
          <w:sz w:val="18"/>
          <w:szCs w:val="18"/>
        </w:rPr>
        <w:t>Equipos específicos para enlaces dedicados: costos asociados a equipos específicos a instalar o bien en el emplazamiento de cliente o bien en las centrales locales, pero que son empleados exclusivamente para servicios de enlaces dedicados.</w:t>
      </w:r>
    </w:p>
    <w:p w14:paraId="584F0723" w14:textId="77777777" w:rsidR="00A7551A" w:rsidRPr="00A7551A" w:rsidRDefault="00A7551A" w:rsidP="00A7551A">
      <w:pPr>
        <w:autoSpaceDE w:val="0"/>
        <w:autoSpaceDN w:val="0"/>
        <w:adjustRightInd w:val="0"/>
        <w:spacing w:after="0"/>
        <w:jc w:val="both"/>
        <w:rPr>
          <w:rFonts w:ascii="Arial" w:hAnsi="Arial" w:cs="Arial"/>
          <w:sz w:val="18"/>
          <w:szCs w:val="18"/>
        </w:rPr>
      </w:pPr>
    </w:p>
    <w:p w14:paraId="6AD1BE9A" w14:textId="37A4F98C"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Cabe destacar que el Modelo Fijo presentado se basa exclusivamente en una tecnología NGN</w:t>
      </w:r>
      <w:r w:rsidR="00322BC7">
        <w:rPr>
          <w:rFonts w:ascii="Arial" w:hAnsi="Arial" w:cs="Arial"/>
          <w:sz w:val="18"/>
          <w:szCs w:val="18"/>
        </w:rPr>
        <w:t xml:space="preserve"> de un operador hipotético eficiente</w:t>
      </w:r>
      <w:r w:rsidRPr="00A7551A">
        <w:rPr>
          <w:rFonts w:ascii="Arial" w:hAnsi="Arial" w:cs="Arial"/>
          <w:sz w:val="18"/>
          <w:szCs w:val="18"/>
        </w:rPr>
        <w:t xml:space="preserve">, </w:t>
      </w:r>
      <w:r w:rsidR="004842A7">
        <w:rPr>
          <w:rFonts w:ascii="Arial" w:hAnsi="Arial" w:cs="Arial"/>
          <w:sz w:val="18"/>
          <w:szCs w:val="18"/>
        </w:rPr>
        <w:t xml:space="preserve">el cual podría no ser completamente compatible con el operador hipotético que </w:t>
      </w:r>
      <w:r w:rsidR="00CF4BED">
        <w:rPr>
          <w:rFonts w:ascii="Arial" w:hAnsi="Arial" w:cs="Arial"/>
          <w:sz w:val="18"/>
          <w:szCs w:val="18"/>
        </w:rPr>
        <w:t>brinda los servicios de la oferta de referencia de enlaces dedicados</w:t>
      </w:r>
      <w:r w:rsidRPr="00A7551A">
        <w:rPr>
          <w:rFonts w:ascii="Arial" w:hAnsi="Arial" w:cs="Arial"/>
          <w:sz w:val="18"/>
          <w:szCs w:val="18"/>
        </w:rPr>
        <w:t xml:space="preserve">. Por este motivo, </w:t>
      </w:r>
      <w:r w:rsidR="000B772B">
        <w:rPr>
          <w:rFonts w:ascii="Arial" w:hAnsi="Arial" w:cs="Arial"/>
          <w:sz w:val="18"/>
          <w:szCs w:val="18"/>
        </w:rPr>
        <w:t xml:space="preserve">se considera razonable que </w:t>
      </w:r>
      <w:r w:rsidRPr="00A7551A">
        <w:rPr>
          <w:rFonts w:ascii="Arial" w:hAnsi="Arial" w:cs="Arial"/>
          <w:sz w:val="18"/>
          <w:szCs w:val="18"/>
        </w:rPr>
        <w:t>el modelo podrá, de manera adicional considerar un factor de reconciliación que considere los costos adicionales.</w:t>
      </w:r>
    </w:p>
    <w:p w14:paraId="0B8A0193" w14:textId="77777777" w:rsidR="00A7551A" w:rsidRPr="00A7551A" w:rsidRDefault="00A7551A" w:rsidP="00A7551A">
      <w:pPr>
        <w:autoSpaceDE w:val="0"/>
        <w:autoSpaceDN w:val="0"/>
        <w:adjustRightInd w:val="0"/>
        <w:spacing w:after="0"/>
        <w:jc w:val="both"/>
        <w:rPr>
          <w:rFonts w:ascii="Arial" w:hAnsi="Arial" w:cs="Arial"/>
          <w:sz w:val="18"/>
          <w:szCs w:val="18"/>
        </w:rPr>
      </w:pPr>
    </w:p>
    <w:p w14:paraId="486B1FF8"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lastRenderedPageBreak/>
        <w:t>Por otro lado, con respecto al componente de cableado de acceso, el modelo no estima los costos del acceso. Por este motivo, el componente de acceso será extraída del modelo integral de acceso vigente aprobado por el Instituto. Los costos de cableado y los costos de equipos específicos serán determinados a través de una serie de reglas de ingeniería que permitan precisar la relación entre los servicios concretos provistos y estas componentes.</w:t>
      </w:r>
    </w:p>
    <w:p w14:paraId="50B65671" w14:textId="77777777" w:rsidR="00A7551A" w:rsidRPr="00A7551A" w:rsidRDefault="00A7551A" w:rsidP="00A7551A">
      <w:pPr>
        <w:autoSpaceDE w:val="0"/>
        <w:autoSpaceDN w:val="0"/>
        <w:adjustRightInd w:val="0"/>
        <w:spacing w:after="0"/>
        <w:jc w:val="both"/>
        <w:rPr>
          <w:rFonts w:ascii="Arial" w:hAnsi="Arial" w:cs="Arial"/>
          <w:sz w:val="18"/>
          <w:szCs w:val="18"/>
        </w:rPr>
      </w:pPr>
    </w:p>
    <w:p w14:paraId="7E1F15B9" w14:textId="77777777" w:rsidR="00A7551A" w:rsidRPr="00A7551A" w:rsidRDefault="00A7551A" w:rsidP="00A7551A">
      <w:pPr>
        <w:spacing w:after="0"/>
        <w:jc w:val="both"/>
        <w:rPr>
          <w:rFonts w:ascii="Arial" w:hAnsi="Arial" w:cs="Arial"/>
          <w:bCs/>
          <w:sz w:val="18"/>
          <w:szCs w:val="18"/>
          <w:lang w:val="es-ES_tradnl"/>
        </w:rPr>
      </w:pPr>
      <w:r w:rsidRPr="00A7551A">
        <w:rPr>
          <w:rFonts w:ascii="Arial" w:hAnsi="Arial" w:cs="Arial"/>
          <w:bCs/>
          <w:sz w:val="18"/>
          <w:szCs w:val="18"/>
          <w:lang w:val="es-ES_tradnl"/>
        </w:rPr>
        <w:t>Para calcular los costos del equipamiento se han identificado los elementos de red necesarios entre el cliente y la central del AEP. Para cada uno de los elementos se han definido unas reglas de ingeniería que incluye el equipo en el sitio del cliente, el cableado y el equipo de agregación en central como muestra la siguiente figura:</w:t>
      </w:r>
    </w:p>
    <w:p w14:paraId="099150E6" w14:textId="77777777" w:rsidR="00A7551A" w:rsidRPr="00A7551A" w:rsidRDefault="00A7551A" w:rsidP="00A7551A">
      <w:pPr>
        <w:spacing w:after="0"/>
        <w:jc w:val="both"/>
        <w:rPr>
          <w:rFonts w:ascii="Arial" w:hAnsi="Arial" w:cs="Arial"/>
          <w:bCs/>
          <w:sz w:val="18"/>
          <w:szCs w:val="18"/>
          <w:lang w:val="es-ES_tradnl"/>
        </w:rPr>
      </w:pPr>
    </w:p>
    <w:p w14:paraId="26D9303E" w14:textId="77777777" w:rsidR="00A7551A" w:rsidRPr="00A7551A" w:rsidRDefault="00A7551A" w:rsidP="00A7551A">
      <w:pPr>
        <w:spacing w:after="0"/>
        <w:jc w:val="center"/>
        <w:rPr>
          <w:rFonts w:ascii="Arial" w:hAnsi="Arial" w:cs="Arial"/>
          <w:bCs/>
          <w:sz w:val="18"/>
          <w:szCs w:val="18"/>
          <w:lang w:val="es-ES_tradnl"/>
        </w:rPr>
      </w:pPr>
      <w:r w:rsidRPr="00A7551A">
        <w:rPr>
          <w:rFonts w:ascii="Arial" w:hAnsi="Arial" w:cs="Arial"/>
          <w:bCs/>
          <w:noProof/>
          <w:sz w:val="18"/>
          <w:szCs w:val="18"/>
          <w:lang w:eastAsia="es-MX"/>
        </w:rPr>
        <w:drawing>
          <wp:inline distT="0" distB="0" distL="0" distR="0" wp14:anchorId="5DCDE284" wp14:editId="1489D48C">
            <wp:extent cx="5613400" cy="30670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5613400" cy="3067050"/>
                    </a:xfrm>
                    <a:prstGeom prst="rect">
                      <a:avLst/>
                    </a:prstGeom>
                    <a:noFill/>
                    <a:ln>
                      <a:noFill/>
                    </a:ln>
                  </pic:spPr>
                </pic:pic>
              </a:graphicData>
            </a:graphic>
          </wp:inline>
        </w:drawing>
      </w:r>
    </w:p>
    <w:p w14:paraId="751C8633" w14:textId="513FD8C8" w:rsidR="00A7551A" w:rsidRPr="00A7551A" w:rsidRDefault="00A7551A" w:rsidP="00A7551A">
      <w:pPr>
        <w:spacing w:after="0"/>
        <w:jc w:val="center"/>
        <w:rPr>
          <w:rFonts w:ascii="Arial" w:hAnsi="Arial" w:cs="Arial"/>
          <w:sz w:val="18"/>
          <w:szCs w:val="18"/>
          <w:lang w:val="es-ES_tradnl"/>
        </w:rPr>
      </w:pPr>
      <w:r w:rsidRPr="00A7551A">
        <w:rPr>
          <w:rFonts w:ascii="Arial" w:hAnsi="Arial" w:cs="Arial"/>
          <w:sz w:val="18"/>
          <w:szCs w:val="18"/>
          <w:lang w:val="es-ES_tradnl"/>
        </w:rPr>
        <w:t>Figura 1</w:t>
      </w:r>
      <w:r w:rsidR="00E20C0D">
        <w:rPr>
          <w:rFonts w:ascii="Arial" w:hAnsi="Arial" w:cs="Arial"/>
          <w:sz w:val="18"/>
          <w:szCs w:val="18"/>
          <w:lang w:val="es-ES_tradnl"/>
        </w:rPr>
        <w:t>2</w:t>
      </w:r>
      <w:r w:rsidRPr="00A7551A">
        <w:rPr>
          <w:rFonts w:ascii="Arial" w:hAnsi="Arial" w:cs="Arial"/>
          <w:sz w:val="18"/>
          <w:szCs w:val="18"/>
          <w:lang w:val="es-ES_tradnl"/>
        </w:rPr>
        <w:t>. Reglas de ingeniería para calcular los costos de equipamiento</w:t>
      </w:r>
    </w:p>
    <w:p w14:paraId="2DA14D26" w14:textId="77777777" w:rsidR="00A0555B" w:rsidRDefault="00A0555B" w:rsidP="00A7551A">
      <w:pPr>
        <w:autoSpaceDE w:val="0"/>
        <w:autoSpaceDN w:val="0"/>
        <w:adjustRightInd w:val="0"/>
        <w:spacing w:after="0"/>
        <w:jc w:val="both"/>
        <w:rPr>
          <w:rFonts w:ascii="Arial" w:hAnsi="Arial" w:cs="Arial"/>
          <w:sz w:val="18"/>
          <w:szCs w:val="18"/>
        </w:rPr>
      </w:pPr>
    </w:p>
    <w:p w14:paraId="7B3485A1" w14:textId="6D5D415C"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Por su parte, las tarifas de instalación del servicio de enlaces dedicados locales, comprenderá dos componentes diferenciadas:</w:t>
      </w:r>
    </w:p>
    <w:p w14:paraId="28F772F7" w14:textId="77777777" w:rsidR="00A7551A" w:rsidRPr="00A7551A" w:rsidRDefault="00A7551A" w:rsidP="00A7551A">
      <w:pPr>
        <w:autoSpaceDE w:val="0"/>
        <w:autoSpaceDN w:val="0"/>
        <w:adjustRightInd w:val="0"/>
        <w:spacing w:after="0"/>
        <w:jc w:val="both"/>
        <w:rPr>
          <w:rFonts w:ascii="Arial" w:hAnsi="Arial" w:cs="Arial"/>
          <w:sz w:val="18"/>
          <w:szCs w:val="18"/>
        </w:rPr>
      </w:pPr>
    </w:p>
    <w:p w14:paraId="380242C6" w14:textId="77777777" w:rsidR="00A7551A" w:rsidRPr="00A7551A" w:rsidRDefault="00A7551A" w:rsidP="0089203B">
      <w:pPr>
        <w:pStyle w:val="Prrafodelista"/>
        <w:numPr>
          <w:ilvl w:val="0"/>
          <w:numId w:val="68"/>
        </w:numPr>
        <w:autoSpaceDE w:val="0"/>
        <w:autoSpaceDN w:val="0"/>
        <w:adjustRightInd w:val="0"/>
        <w:spacing w:line="276" w:lineRule="auto"/>
        <w:ind w:left="709" w:hanging="357"/>
        <w:jc w:val="both"/>
        <w:rPr>
          <w:rFonts w:cs="Arial"/>
          <w:sz w:val="18"/>
          <w:szCs w:val="18"/>
        </w:rPr>
      </w:pPr>
      <w:r w:rsidRPr="00A7551A">
        <w:rPr>
          <w:rFonts w:cs="Arial"/>
          <w:sz w:val="18"/>
          <w:szCs w:val="18"/>
        </w:rPr>
        <w:t>Instalación de los equipos específicos: costos asociados a la instalación de los equipos específicos asociados a los servicios de enlaces dedicados locales.</w:t>
      </w:r>
    </w:p>
    <w:p w14:paraId="49C885FD" w14:textId="77777777" w:rsidR="00A7551A" w:rsidRPr="00A7551A" w:rsidRDefault="00A7551A" w:rsidP="0089203B">
      <w:pPr>
        <w:pStyle w:val="Prrafodelista"/>
        <w:numPr>
          <w:ilvl w:val="0"/>
          <w:numId w:val="68"/>
        </w:numPr>
        <w:autoSpaceDE w:val="0"/>
        <w:autoSpaceDN w:val="0"/>
        <w:adjustRightInd w:val="0"/>
        <w:spacing w:line="276" w:lineRule="auto"/>
        <w:ind w:left="709" w:hanging="357"/>
        <w:jc w:val="both"/>
        <w:rPr>
          <w:rFonts w:cs="Arial"/>
          <w:sz w:val="18"/>
          <w:szCs w:val="18"/>
        </w:rPr>
      </w:pPr>
      <w:r w:rsidRPr="00A7551A">
        <w:rPr>
          <w:rFonts w:cs="Arial"/>
          <w:sz w:val="18"/>
          <w:szCs w:val="18"/>
        </w:rPr>
        <w:t>Activación del servicio: costos del personal del AEP requerido para la instalación y activación del servicio.</w:t>
      </w:r>
    </w:p>
    <w:p w14:paraId="2CC90F81" w14:textId="77777777" w:rsidR="00A7551A" w:rsidRPr="00A7551A" w:rsidRDefault="00A7551A" w:rsidP="00A7551A">
      <w:pPr>
        <w:pStyle w:val="Prrafodelista"/>
        <w:autoSpaceDE w:val="0"/>
        <w:autoSpaceDN w:val="0"/>
        <w:adjustRightInd w:val="0"/>
        <w:spacing w:line="276" w:lineRule="auto"/>
        <w:ind w:left="720"/>
        <w:rPr>
          <w:rFonts w:cs="Arial"/>
          <w:sz w:val="18"/>
          <w:szCs w:val="18"/>
        </w:rPr>
      </w:pPr>
    </w:p>
    <w:p w14:paraId="3864A47A"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Los costos totales de las diferentes componentes de costos (tanto de la tarifa recurrente como de la tarifa no recurrente) serán atribuidos a los servicios específicos con base a un criterio causal. Asimismo, se determinará un gradiente de costos que permita una asignación de los costos. Dicho gradiente se basará en los niveles de precios existentes en el mercado, a fin de asegurar consistencia en su evolución temporal.</w:t>
      </w:r>
    </w:p>
    <w:p w14:paraId="0806A348" w14:textId="77777777" w:rsidR="00A7551A" w:rsidRPr="00A7551A" w:rsidRDefault="00A7551A" w:rsidP="00A7551A">
      <w:pPr>
        <w:autoSpaceDE w:val="0"/>
        <w:autoSpaceDN w:val="0"/>
        <w:adjustRightInd w:val="0"/>
        <w:spacing w:after="0"/>
        <w:jc w:val="both"/>
        <w:rPr>
          <w:rFonts w:ascii="Arial" w:hAnsi="Arial" w:cs="Arial"/>
          <w:sz w:val="18"/>
          <w:szCs w:val="18"/>
        </w:rPr>
      </w:pPr>
    </w:p>
    <w:p w14:paraId="01B2B529" w14:textId="3D127195"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De manera adicional, el modelo deberá calcular la tarifa del servicio de tramo local coubicado. Un tramo local coubicado es aquel en el que la entrega del servicio al cliente final se realiza dentro de una central del operador representativo del AEP, en la cual se encuentre coubicado el </w:t>
      </w:r>
      <w:r w:rsidR="00C3440F">
        <w:rPr>
          <w:rFonts w:ascii="Arial" w:hAnsi="Arial" w:cs="Arial"/>
          <w:sz w:val="18"/>
          <w:szCs w:val="18"/>
        </w:rPr>
        <w:t>CS</w:t>
      </w:r>
      <w:r w:rsidRPr="00074509">
        <w:rPr>
          <w:rFonts w:ascii="Arial" w:hAnsi="Arial" w:cs="Arial"/>
          <w:sz w:val="18"/>
          <w:szCs w:val="18"/>
        </w:rPr>
        <w:t>.</w:t>
      </w:r>
      <w:r w:rsidRPr="00A7551A">
        <w:rPr>
          <w:rFonts w:ascii="Arial" w:hAnsi="Arial" w:cs="Arial"/>
          <w:sz w:val="18"/>
          <w:szCs w:val="18"/>
        </w:rPr>
        <w:t xml:space="preserve"> En el cálculo de esta tarifa se seguirán unos principios similares a los seguidos en los tramos locales no coubicados, con las siguientes excepciones:</w:t>
      </w:r>
    </w:p>
    <w:p w14:paraId="3FDC9B9E" w14:textId="77777777" w:rsidR="00A7551A" w:rsidRPr="00A7551A" w:rsidRDefault="00A7551A" w:rsidP="00A7551A">
      <w:pPr>
        <w:autoSpaceDE w:val="0"/>
        <w:autoSpaceDN w:val="0"/>
        <w:adjustRightInd w:val="0"/>
        <w:spacing w:after="0"/>
        <w:jc w:val="both"/>
        <w:rPr>
          <w:rFonts w:ascii="Arial" w:hAnsi="Arial" w:cs="Arial"/>
          <w:sz w:val="18"/>
          <w:szCs w:val="18"/>
        </w:rPr>
      </w:pPr>
    </w:p>
    <w:p w14:paraId="0D4ADF4F" w14:textId="77777777" w:rsidR="00A7551A" w:rsidRPr="00A7551A" w:rsidRDefault="00A7551A" w:rsidP="0089203B">
      <w:pPr>
        <w:pStyle w:val="Prrafodelista"/>
        <w:numPr>
          <w:ilvl w:val="0"/>
          <w:numId w:val="69"/>
        </w:numPr>
        <w:autoSpaceDE w:val="0"/>
        <w:autoSpaceDN w:val="0"/>
        <w:adjustRightInd w:val="0"/>
        <w:spacing w:line="276" w:lineRule="auto"/>
        <w:ind w:left="709" w:hanging="357"/>
        <w:jc w:val="both"/>
        <w:rPr>
          <w:rFonts w:cs="Arial"/>
          <w:sz w:val="18"/>
          <w:szCs w:val="18"/>
        </w:rPr>
      </w:pPr>
      <w:r w:rsidRPr="00A7551A">
        <w:rPr>
          <w:rFonts w:cs="Arial"/>
          <w:sz w:val="18"/>
          <w:szCs w:val="18"/>
        </w:rPr>
        <w:t>Se excluirá la componente de cableado de acceso.</w:t>
      </w:r>
    </w:p>
    <w:p w14:paraId="0C659B31" w14:textId="77777777" w:rsidR="00A7551A" w:rsidRPr="00A7551A" w:rsidRDefault="00A7551A" w:rsidP="0089203B">
      <w:pPr>
        <w:pStyle w:val="Prrafodelista"/>
        <w:numPr>
          <w:ilvl w:val="0"/>
          <w:numId w:val="69"/>
        </w:numPr>
        <w:autoSpaceDE w:val="0"/>
        <w:autoSpaceDN w:val="0"/>
        <w:adjustRightInd w:val="0"/>
        <w:spacing w:line="276" w:lineRule="auto"/>
        <w:ind w:left="709" w:hanging="357"/>
        <w:jc w:val="both"/>
        <w:rPr>
          <w:rFonts w:cs="Arial"/>
          <w:sz w:val="18"/>
          <w:szCs w:val="18"/>
        </w:rPr>
      </w:pPr>
      <w:r w:rsidRPr="00A7551A">
        <w:rPr>
          <w:rFonts w:cs="Arial"/>
          <w:sz w:val="18"/>
          <w:szCs w:val="18"/>
        </w:rPr>
        <w:t>Se excluirá la componente de transporte.</w:t>
      </w:r>
    </w:p>
    <w:p w14:paraId="30FF50D6" w14:textId="77777777" w:rsidR="00A7551A" w:rsidRPr="00A7551A" w:rsidRDefault="00A7551A" w:rsidP="0089203B">
      <w:pPr>
        <w:pStyle w:val="Prrafodelista"/>
        <w:numPr>
          <w:ilvl w:val="0"/>
          <w:numId w:val="69"/>
        </w:numPr>
        <w:autoSpaceDE w:val="0"/>
        <w:autoSpaceDN w:val="0"/>
        <w:adjustRightInd w:val="0"/>
        <w:spacing w:line="276" w:lineRule="auto"/>
        <w:ind w:left="709" w:hanging="357"/>
        <w:jc w:val="both"/>
        <w:rPr>
          <w:rFonts w:cs="Arial"/>
          <w:sz w:val="18"/>
          <w:szCs w:val="18"/>
        </w:rPr>
      </w:pPr>
      <w:r w:rsidRPr="00A7551A">
        <w:rPr>
          <w:rFonts w:cs="Arial"/>
          <w:sz w:val="18"/>
          <w:szCs w:val="18"/>
        </w:rPr>
        <w:t>Se asegurará que la componente de equipos específicos no recoge los costos de equipos no relevantes para esta modalidad del servicio (por ejemplo, la instalación de los equipos en la ubicación del cliente).</w:t>
      </w:r>
    </w:p>
    <w:p w14:paraId="4DCCF7C2" w14:textId="77777777" w:rsidR="00A7551A" w:rsidRPr="00A7551A" w:rsidRDefault="00A7551A" w:rsidP="00A7551A">
      <w:pPr>
        <w:autoSpaceDE w:val="0"/>
        <w:autoSpaceDN w:val="0"/>
        <w:adjustRightInd w:val="0"/>
        <w:spacing w:after="0"/>
        <w:jc w:val="both"/>
        <w:rPr>
          <w:rFonts w:ascii="Arial" w:hAnsi="Arial" w:cs="Arial"/>
          <w:b/>
          <w:bCs/>
          <w:sz w:val="18"/>
          <w:szCs w:val="18"/>
        </w:rPr>
      </w:pPr>
    </w:p>
    <w:p w14:paraId="4B49BB65" w14:textId="77777777" w:rsidR="00A7551A" w:rsidRPr="00A7551A" w:rsidRDefault="00A7551A" w:rsidP="00A7551A">
      <w:pPr>
        <w:autoSpaceDE w:val="0"/>
        <w:autoSpaceDN w:val="0"/>
        <w:adjustRightInd w:val="0"/>
        <w:spacing w:after="0"/>
        <w:jc w:val="both"/>
        <w:rPr>
          <w:rFonts w:ascii="Arial" w:hAnsi="Arial" w:cs="Arial"/>
          <w:b/>
          <w:bCs/>
          <w:sz w:val="18"/>
          <w:szCs w:val="18"/>
        </w:rPr>
      </w:pPr>
      <w:r w:rsidRPr="00A7551A">
        <w:rPr>
          <w:rFonts w:ascii="Arial" w:hAnsi="Arial" w:cs="Arial"/>
          <w:b/>
          <w:bCs/>
          <w:sz w:val="18"/>
          <w:szCs w:val="18"/>
        </w:rPr>
        <w:t>Enlaces dedicados entre localidades</w:t>
      </w:r>
    </w:p>
    <w:p w14:paraId="66A6FD70" w14:textId="77777777" w:rsidR="00A7551A" w:rsidRPr="00A7551A" w:rsidRDefault="00A7551A" w:rsidP="00A7551A">
      <w:pPr>
        <w:autoSpaceDE w:val="0"/>
        <w:autoSpaceDN w:val="0"/>
        <w:adjustRightInd w:val="0"/>
        <w:spacing w:after="0"/>
        <w:jc w:val="both"/>
        <w:rPr>
          <w:rFonts w:ascii="Arial" w:hAnsi="Arial" w:cs="Arial"/>
          <w:sz w:val="18"/>
          <w:szCs w:val="18"/>
        </w:rPr>
      </w:pPr>
    </w:p>
    <w:p w14:paraId="2F55932C"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Los enlaces dedicados entre localidades son aquellos que proporcionan conectividad entre dos centrales locales del AEP ubicadas en distintas localidades. Estos enlaces pueden pasar por más de una central local. Estos enlaces no incluyen el tramo local de entrega del tráfico al cliente final. </w:t>
      </w:r>
    </w:p>
    <w:p w14:paraId="00FBBE87" w14:textId="77777777" w:rsidR="00A7551A" w:rsidRPr="00A7551A" w:rsidRDefault="00A7551A" w:rsidP="00A7551A">
      <w:pPr>
        <w:autoSpaceDE w:val="0"/>
        <w:autoSpaceDN w:val="0"/>
        <w:adjustRightInd w:val="0"/>
        <w:spacing w:after="0"/>
        <w:jc w:val="both"/>
        <w:rPr>
          <w:rFonts w:ascii="Arial" w:hAnsi="Arial" w:cs="Arial"/>
          <w:sz w:val="18"/>
          <w:szCs w:val="18"/>
        </w:rPr>
      </w:pPr>
    </w:p>
    <w:p w14:paraId="54C8F5B7" w14:textId="77777777" w:rsidR="00A7551A" w:rsidRPr="00A7551A" w:rsidRDefault="00A7551A" w:rsidP="00A7551A">
      <w:pPr>
        <w:autoSpaceDE w:val="0"/>
        <w:autoSpaceDN w:val="0"/>
        <w:adjustRightInd w:val="0"/>
        <w:spacing w:after="0"/>
        <w:jc w:val="center"/>
        <w:rPr>
          <w:rFonts w:ascii="Arial" w:hAnsi="Arial" w:cs="Arial"/>
          <w:sz w:val="18"/>
          <w:szCs w:val="18"/>
        </w:rPr>
      </w:pPr>
      <w:r w:rsidRPr="00A7551A">
        <w:rPr>
          <w:rFonts w:ascii="Arial" w:hAnsi="Arial" w:cs="Arial"/>
          <w:noProof/>
          <w:sz w:val="18"/>
          <w:szCs w:val="18"/>
        </w:rPr>
        <w:drawing>
          <wp:inline distT="0" distB="0" distL="0" distR="0" wp14:anchorId="1690DCB3" wp14:editId="4E6F7FEA">
            <wp:extent cx="5542915" cy="1230630"/>
            <wp:effectExtent l="0" t="0" r="635" b="7620"/>
            <wp:docPr id="133322587" name="Imagen 13332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542915" cy="1230630"/>
                    </a:xfrm>
                    <a:prstGeom prst="rect">
                      <a:avLst/>
                    </a:prstGeom>
                    <a:noFill/>
                    <a:ln>
                      <a:noFill/>
                    </a:ln>
                  </pic:spPr>
                </pic:pic>
              </a:graphicData>
            </a:graphic>
          </wp:inline>
        </w:drawing>
      </w:r>
    </w:p>
    <w:p w14:paraId="3C8761EC" w14:textId="6A89BAC6" w:rsidR="00A7551A" w:rsidRPr="00A7551A" w:rsidRDefault="00A7551A" w:rsidP="00A7551A">
      <w:pPr>
        <w:spacing w:after="0"/>
        <w:jc w:val="center"/>
        <w:rPr>
          <w:rFonts w:ascii="Arial" w:hAnsi="Arial" w:cs="Arial"/>
          <w:sz w:val="18"/>
          <w:szCs w:val="18"/>
          <w:lang w:val="es-ES_tradnl"/>
        </w:rPr>
      </w:pPr>
      <w:r w:rsidRPr="00A7551A">
        <w:rPr>
          <w:rFonts w:ascii="Arial" w:hAnsi="Arial" w:cs="Arial"/>
          <w:sz w:val="18"/>
          <w:szCs w:val="18"/>
          <w:lang w:val="es-ES_tradnl"/>
        </w:rPr>
        <w:t>Figura 1</w:t>
      </w:r>
      <w:r w:rsidR="00E20C0D">
        <w:rPr>
          <w:rFonts w:ascii="Arial" w:hAnsi="Arial" w:cs="Arial"/>
          <w:sz w:val="18"/>
          <w:szCs w:val="18"/>
          <w:lang w:val="es-ES_tradnl"/>
        </w:rPr>
        <w:t>3</w:t>
      </w:r>
      <w:r w:rsidRPr="00A7551A">
        <w:rPr>
          <w:rFonts w:ascii="Arial" w:hAnsi="Arial" w:cs="Arial"/>
          <w:sz w:val="18"/>
          <w:szCs w:val="18"/>
          <w:lang w:val="es-ES_tradnl"/>
        </w:rPr>
        <w:t>. Esquema de enlaces dedicados entre localidades</w:t>
      </w:r>
    </w:p>
    <w:p w14:paraId="30C46404" w14:textId="77777777" w:rsidR="00A7551A" w:rsidRPr="00A7551A" w:rsidRDefault="00A7551A" w:rsidP="00A7551A">
      <w:pPr>
        <w:autoSpaceDE w:val="0"/>
        <w:autoSpaceDN w:val="0"/>
        <w:adjustRightInd w:val="0"/>
        <w:spacing w:after="0"/>
        <w:jc w:val="both"/>
        <w:rPr>
          <w:rFonts w:ascii="Arial" w:hAnsi="Arial" w:cs="Arial"/>
          <w:sz w:val="18"/>
          <w:szCs w:val="18"/>
        </w:rPr>
      </w:pPr>
    </w:p>
    <w:p w14:paraId="793DB9A7"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El AEP debe ofertar servicios de enlaces dedicados entre localidades para las tecnologías TDM y Ethernet, con lo cual el modelo de costos debe ser capaz de estimar los costos para ambos tipos de tecnología, y para cada una de las velocidades ofertadas. </w:t>
      </w:r>
    </w:p>
    <w:p w14:paraId="50083174" w14:textId="77777777" w:rsidR="00A7551A" w:rsidRPr="00A7551A" w:rsidRDefault="00A7551A" w:rsidP="00A7551A">
      <w:pPr>
        <w:autoSpaceDE w:val="0"/>
        <w:autoSpaceDN w:val="0"/>
        <w:adjustRightInd w:val="0"/>
        <w:spacing w:after="0"/>
        <w:jc w:val="both"/>
        <w:rPr>
          <w:rFonts w:ascii="Arial" w:hAnsi="Arial" w:cs="Arial"/>
          <w:sz w:val="18"/>
          <w:szCs w:val="18"/>
        </w:rPr>
      </w:pPr>
    </w:p>
    <w:p w14:paraId="655E1DA8"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La tarifa recurrente del servicio de enlaces dedicados entre localidades comprenderá exclusivamente el costo asociado al transporte entre las centrales locales. Estos costos incluyen los costos asociados a los enrutadores, fibra de transporte y otros equipos de la red de transporte que interconectan los nodos del operador, los cuales son compartidos con otros servicios de voz y datos provistos a través de la red fija. No se considera necesario la estimación de costos adicionales asociados a equipos específicos, se asume que los costos de estos equipos se recuperan a través de los servicios de enlaces dedicados locales.</w:t>
      </w:r>
    </w:p>
    <w:p w14:paraId="66A4B329" w14:textId="77777777" w:rsidR="00A7551A" w:rsidRPr="00A7551A" w:rsidRDefault="00A7551A" w:rsidP="00A7551A">
      <w:pPr>
        <w:autoSpaceDE w:val="0"/>
        <w:autoSpaceDN w:val="0"/>
        <w:adjustRightInd w:val="0"/>
        <w:spacing w:after="0"/>
        <w:jc w:val="both"/>
        <w:rPr>
          <w:rFonts w:ascii="Arial" w:hAnsi="Arial" w:cs="Arial"/>
          <w:sz w:val="18"/>
          <w:szCs w:val="18"/>
        </w:rPr>
      </w:pPr>
    </w:p>
    <w:p w14:paraId="012EF878" w14:textId="38B45DA9" w:rsidR="00A7551A" w:rsidRPr="00A7551A" w:rsidRDefault="00DC2AB3"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Cabe destacar que el Modelo Fijo presentado se basa exclusivamente en una tecnología NGN</w:t>
      </w:r>
      <w:r>
        <w:rPr>
          <w:rFonts w:ascii="Arial" w:hAnsi="Arial" w:cs="Arial"/>
          <w:sz w:val="18"/>
          <w:szCs w:val="18"/>
        </w:rPr>
        <w:t xml:space="preserve"> de un operador hipotético eficiente</w:t>
      </w:r>
      <w:r w:rsidRPr="00A7551A">
        <w:rPr>
          <w:rFonts w:ascii="Arial" w:hAnsi="Arial" w:cs="Arial"/>
          <w:sz w:val="18"/>
          <w:szCs w:val="18"/>
        </w:rPr>
        <w:t xml:space="preserve">, </w:t>
      </w:r>
      <w:r>
        <w:rPr>
          <w:rFonts w:ascii="Arial" w:hAnsi="Arial" w:cs="Arial"/>
          <w:sz w:val="18"/>
          <w:szCs w:val="18"/>
        </w:rPr>
        <w:t>el cual podría no ser completamente compatible con el operador hipotético que brinda los servicios de la oferta de referencia de enlaces dedicados</w:t>
      </w:r>
      <w:r w:rsidRPr="00A7551A">
        <w:rPr>
          <w:rFonts w:ascii="Arial" w:hAnsi="Arial" w:cs="Arial"/>
          <w:sz w:val="18"/>
          <w:szCs w:val="18"/>
        </w:rPr>
        <w:t xml:space="preserve">. Por este motivo, </w:t>
      </w:r>
      <w:r>
        <w:rPr>
          <w:rFonts w:ascii="Arial" w:hAnsi="Arial" w:cs="Arial"/>
          <w:sz w:val="18"/>
          <w:szCs w:val="18"/>
        </w:rPr>
        <w:t xml:space="preserve">se considera razonable que </w:t>
      </w:r>
      <w:r w:rsidRPr="00A7551A">
        <w:rPr>
          <w:rFonts w:ascii="Arial" w:hAnsi="Arial" w:cs="Arial"/>
          <w:sz w:val="18"/>
          <w:szCs w:val="18"/>
        </w:rPr>
        <w:t>el modelo podrá, de manera adicional considerar un factor de reconciliación que considere los costos adicionales.</w:t>
      </w:r>
    </w:p>
    <w:p w14:paraId="714E38BB" w14:textId="77777777" w:rsidR="00553013" w:rsidRDefault="00553013" w:rsidP="00A7551A">
      <w:pPr>
        <w:autoSpaceDE w:val="0"/>
        <w:autoSpaceDN w:val="0"/>
        <w:adjustRightInd w:val="0"/>
        <w:spacing w:after="0"/>
        <w:jc w:val="both"/>
        <w:rPr>
          <w:rFonts w:ascii="Arial" w:hAnsi="Arial" w:cs="Arial"/>
          <w:sz w:val="18"/>
          <w:szCs w:val="18"/>
        </w:rPr>
      </w:pPr>
    </w:p>
    <w:p w14:paraId="01FED276" w14:textId="3F67199C"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Las tarifas recurrentes para determinar por el modelo de costos podrán incluir una componente fija por enlace y/o una componente variable en función de la longitud del enlace necesario, medido en kilómetros.</w:t>
      </w:r>
    </w:p>
    <w:p w14:paraId="27DCBB8E" w14:textId="77777777" w:rsidR="00A7551A" w:rsidRPr="00A7551A" w:rsidRDefault="00A7551A" w:rsidP="00A7551A">
      <w:pPr>
        <w:autoSpaceDE w:val="0"/>
        <w:autoSpaceDN w:val="0"/>
        <w:adjustRightInd w:val="0"/>
        <w:spacing w:after="0"/>
        <w:jc w:val="both"/>
        <w:rPr>
          <w:rFonts w:ascii="Arial" w:hAnsi="Arial" w:cs="Arial"/>
          <w:sz w:val="18"/>
          <w:szCs w:val="18"/>
        </w:rPr>
      </w:pPr>
    </w:p>
    <w:p w14:paraId="5A140EE3" w14:textId="5FBD18C3"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Por su parte, las tarifas de instalación del servicio de enlaces dedicados locales, comprenderá exclusivamente los costos asociados a la activación del servicio (esto es, los costos del personal </w:t>
      </w:r>
      <w:r w:rsidR="00F97CDD">
        <w:rPr>
          <w:rFonts w:ascii="Arial" w:hAnsi="Arial" w:cs="Arial"/>
          <w:sz w:val="18"/>
          <w:szCs w:val="18"/>
        </w:rPr>
        <w:t>del operador hipotético</w:t>
      </w:r>
      <w:r w:rsidRPr="00A7551A">
        <w:rPr>
          <w:rFonts w:ascii="Arial" w:hAnsi="Arial" w:cs="Arial"/>
          <w:sz w:val="18"/>
          <w:szCs w:val="18"/>
        </w:rPr>
        <w:t xml:space="preserve"> requerido para la instalación y activación del servicio). Esta tarifa se presentará como un precio fijo por enlace.</w:t>
      </w:r>
    </w:p>
    <w:p w14:paraId="4E8BF2EB" w14:textId="77777777" w:rsidR="00A7551A" w:rsidRPr="00A7551A" w:rsidRDefault="00A7551A" w:rsidP="00A7551A">
      <w:pPr>
        <w:autoSpaceDE w:val="0"/>
        <w:autoSpaceDN w:val="0"/>
        <w:adjustRightInd w:val="0"/>
        <w:spacing w:after="0"/>
        <w:jc w:val="both"/>
        <w:rPr>
          <w:rFonts w:ascii="Arial" w:hAnsi="Arial" w:cs="Arial"/>
          <w:sz w:val="18"/>
          <w:szCs w:val="18"/>
        </w:rPr>
      </w:pPr>
    </w:p>
    <w:p w14:paraId="69F2F86F"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Los costos totales de las diferentes componentes de costos (tanto de la tarifa recurrente como de la tarifa no recurrente) serán atribuidos a los servicios específicos con base a un criterio causal. Asimismo, se determinará un gradiente de costos que permita una asignación de los costos. Dicho gradiente se basará en los niveles de precios existentes en el mercado, a fin de asegurar consistencia en su evolución temporal.</w:t>
      </w:r>
    </w:p>
    <w:p w14:paraId="2931BD13" w14:textId="77777777" w:rsidR="00A7551A" w:rsidRPr="00A7551A" w:rsidRDefault="00A7551A" w:rsidP="00A7551A">
      <w:pPr>
        <w:autoSpaceDE w:val="0"/>
        <w:autoSpaceDN w:val="0"/>
        <w:adjustRightInd w:val="0"/>
        <w:spacing w:after="0"/>
        <w:jc w:val="both"/>
        <w:rPr>
          <w:rFonts w:ascii="Arial" w:hAnsi="Arial" w:cs="Arial"/>
          <w:sz w:val="18"/>
          <w:szCs w:val="18"/>
        </w:rPr>
      </w:pPr>
    </w:p>
    <w:p w14:paraId="742F5A51" w14:textId="77777777" w:rsidR="00A7551A" w:rsidRPr="00A7551A" w:rsidRDefault="00A7551A" w:rsidP="00A7551A">
      <w:pPr>
        <w:autoSpaceDE w:val="0"/>
        <w:autoSpaceDN w:val="0"/>
        <w:adjustRightInd w:val="0"/>
        <w:spacing w:after="0"/>
        <w:jc w:val="both"/>
        <w:rPr>
          <w:rFonts w:ascii="Arial" w:hAnsi="Arial" w:cs="Arial"/>
          <w:b/>
          <w:bCs/>
          <w:sz w:val="18"/>
          <w:szCs w:val="18"/>
        </w:rPr>
      </w:pPr>
      <w:r w:rsidRPr="00A7551A">
        <w:rPr>
          <w:rFonts w:ascii="Arial" w:hAnsi="Arial" w:cs="Arial"/>
          <w:b/>
          <w:bCs/>
          <w:sz w:val="18"/>
          <w:szCs w:val="18"/>
        </w:rPr>
        <w:t>Enlaces dedicados de larga distancia internacional</w:t>
      </w:r>
    </w:p>
    <w:p w14:paraId="57A8BC27" w14:textId="77777777" w:rsidR="00A7551A" w:rsidRPr="00A7551A" w:rsidRDefault="00A7551A" w:rsidP="00A7551A">
      <w:pPr>
        <w:autoSpaceDE w:val="0"/>
        <w:autoSpaceDN w:val="0"/>
        <w:adjustRightInd w:val="0"/>
        <w:spacing w:after="0"/>
        <w:jc w:val="both"/>
        <w:rPr>
          <w:rFonts w:ascii="Arial" w:hAnsi="Arial" w:cs="Arial"/>
          <w:sz w:val="18"/>
          <w:szCs w:val="18"/>
        </w:rPr>
      </w:pPr>
    </w:p>
    <w:p w14:paraId="7F46FF34"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Los enlaces dedicados de larga distancia internacional son aquellos que proporcionan conectividad entre una central local del AEP y un nodo internacional del operador. Estos enlaces pueden pasar por más de una central local del AEP. Estos enlaces no incluyen el tramo local de entrega del tráfico al cliente final. </w:t>
      </w:r>
    </w:p>
    <w:p w14:paraId="61B96254" w14:textId="77777777" w:rsidR="00A7551A" w:rsidRPr="00A7551A" w:rsidRDefault="00A7551A" w:rsidP="00A7551A">
      <w:pPr>
        <w:autoSpaceDE w:val="0"/>
        <w:autoSpaceDN w:val="0"/>
        <w:adjustRightInd w:val="0"/>
        <w:spacing w:after="0"/>
        <w:jc w:val="both"/>
        <w:rPr>
          <w:rFonts w:ascii="Arial" w:hAnsi="Arial" w:cs="Arial"/>
          <w:sz w:val="18"/>
          <w:szCs w:val="18"/>
        </w:rPr>
      </w:pPr>
    </w:p>
    <w:p w14:paraId="7172849F" w14:textId="77777777" w:rsidR="00A7551A" w:rsidRPr="00A7551A" w:rsidRDefault="00A7551A" w:rsidP="00A7551A">
      <w:pPr>
        <w:autoSpaceDE w:val="0"/>
        <w:autoSpaceDN w:val="0"/>
        <w:adjustRightInd w:val="0"/>
        <w:spacing w:after="0"/>
        <w:jc w:val="center"/>
        <w:rPr>
          <w:rFonts w:ascii="Arial" w:hAnsi="Arial" w:cs="Arial"/>
          <w:sz w:val="18"/>
          <w:szCs w:val="18"/>
        </w:rPr>
      </w:pPr>
      <w:r w:rsidRPr="00A7551A">
        <w:rPr>
          <w:rFonts w:ascii="Arial" w:hAnsi="Arial" w:cs="Arial"/>
          <w:noProof/>
          <w:sz w:val="18"/>
          <w:szCs w:val="18"/>
        </w:rPr>
        <w:lastRenderedPageBreak/>
        <w:drawing>
          <wp:inline distT="0" distB="0" distL="0" distR="0" wp14:anchorId="268B1963" wp14:editId="4159BB97">
            <wp:extent cx="5544185" cy="1143635"/>
            <wp:effectExtent l="0" t="0" r="0" b="0"/>
            <wp:docPr id="1676321696" name="Imagen 16763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5544185" cy="1143635"/>
                    </a:xfrm>
                    <a:prstGeom prst="rect">
                      <a:avLst/>
                    </a:prstGeom>
                    <a:noFill/>
                    <a:ln>
                      <a:noFill/>
                    </a:ln>
                  </pic:spPr>
                </pic:pic>
              </a:graphicData>
            </a:graphic>
          </wp:inline>
        </w:drawing>
      </w:r>
    </w:p>
    <w:p w14:paraId="5156C604" w14:textId="648D69B3" w:rsidR="00A7551A" w:rsidRPr="00A7551A" w:rsidRDefault="00A7551A" w:rsidP="00A7551A">
      <w:pPr>
        <w:spacing w:after="0"/>
        <w:jc w:val="center"/>
        <w:rPr>
          <w:rFonts w:ascii="Arial" w:hAnsi="Arial" w:cs="Arial"/>
          <w:sz w:val="18"/>
          <w:szCs w:val="18"/>
          <w:lang w:val="es-ES_tradnl"/>
        </w:rPr>
      </w:pPr>
      <w:r w:rsidRPr="00A7551A">
        <w:rPr>
          <w:rFonts w:ascii="Arial" w:hAnsi="Arial" w:cs="Arial"/>
          <w:sz w:val="18"/>
          <w:szCs w:val="18"/>
          <w:lang w:val="es-ES_tradnl"/>
        </w:rPr>
        <w:t>Figura 1</w:t>
      </w:r>
      <w:r w:rsidR="00E20C0D">
        <w:rPr>
          <w:rFonts w:ascii="Arial" w:hAnsi="Arial" w:cs="Arial"/>
          <w:sz w:val="18"/>
          <w:szCs w:val="18"/>
          <w:lang w:val="es-ES_tradnl"/>
        </w:rPr>
        <w:t>4</w:t>
      </w:r>
      <w:r w:rsidRPr="00A7551A">
        <w:rPr>
          <w:rFonts w:ascii="Arial" w:hAnsi="Arial" w:cs="Arial"/>
          <w:sz w:val="18"/>
          <w:szCs w:val="18"/>
          <w:lang w:val="es-ES_tradnl"/>
        </w:rPr>
        <w:t>. Esquema de enlaces dedicados de larga distancia internacional</w:t>
      </w:r>
    </w:p>
    <w:p w14:paraId="08F763D8" w14:textId="77777777" w:rsidR="00A7551A" w:rsidRPr="00A7551A" w:rsidRDefault="00A7551A" w:rsidP="00A7551A">
      <w:pPr>
        <w:autoSpaceDE w:val="0"/>
        <w:autoSpaceDN w:val="0"/>
        <w:adjustRightInd w:val="0"/>
        <w:spacing w:after="0"/>
        <w:jc w:val="center"/>
        <w:rPr>
          <w:rFonts w:ascii="Arial" w:hAnsi="Arial" w:cs="Arial"/>
          <w:sz w:val="18"/>
          <w:szCs w:val="18"/>
          <w:lang w:val="es-ES_tradnl"/>
        </w:rPr>
      </w:pPr>
    </w:p>
    <w:p w14:paraId="15BE0786"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El AEP debe ofertar servicios de enlaces dedicados de larga distancia internacional para las tecnologías TDM y Ethernet, con lo cual el modelo de costos debe ser capaz de estimar los costos para ambos tipos de tecnología, y para cada una de las velocidades ofertadas por el AEP. </w:t>
      </w:r>
    </w:p>
    <w:p w14:paraId="3633600B" w14:textId="77777777" w:rsidR="00A7551A" w:rsidRPr="00A7551A" w:rsidRDefault="00A7551A" w:rsidP="00A7551A">
      <w:pPr>
        <w:autoSpaceDE w:val="0"/>
        <w:autoSpaceDN w:val="0"/>
        <w:adjustRightInd w:val="0"/>
        <w:spacing w:after="0"/>
        <w:jc w:val="both"/>
        <w:rPr>
          <w:rFonts w:ascii="Arial" w:hAnsi="Arial" w:cs="Arial"/>
          <w:sz w:val="18"/>
          <w:szCs w:val="18"/>
        </w:rPr>
      </w:pPr>
    </w:p>
    <w:p w14:paraId="6BF860F5"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 xml:space="preserve">De manera equivalente a los enlaces entre localidades, la tarifa recurrente del servicio de enlaces dedicados de larga distancia internacional comprende el costo asociado al transporte entre los nodos del operador. Por este motivo, se tomará como base el mismo costo por enlace que el considerado para los enlaces entre localidades equivalentes. </w:t>
      </w:r>
    </w:p>
    <w:p w14:paraId="32AC847A" w14:textId="77777777" w:rsidR="00A7551A" w:rsidRPr="00A7551A" w:rsidRDefault="00A7551A" w:rsidP="00A7551A">
      <w:pPr>
        <w:autoSpaceDE w:val="0"/>
        <w:autoSpaceDN w:val="0"/>
        <w:adjustRightInd w:val="0"/>
        <w:spacing w:after="0"/>
        <w:jc w:val="both"/>
        <w:rPr>
          <w:rFonts w:ascii="Arial" w:hAnsi="Arial" w:cs="Arial"/>
          <w:sz w:val="18"/>
          <w:szCs w:val="18"/>
        </w:rPr>
      </w:pPr>
    </w:p>
    <w:p w14:paraId="1F62FE56"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Adicionalmente, los enlaces TDM requieren de equipos de traducción para adaptar el tráfico a países que emplean PDH portadoras-T y SONET. Por ello, el AEP ha de disponer de equipos especiales de traducción de interfaces para poder transportar el tráfico al extranjero. Los costos de estos equipos, los cuales son exclusivos para este tipo de enlaces, se deberán incorporar en las tarifas de estos enlaces para asegurar la recuperación de los costos asociados.</w:t>
      </w:r>
    </w:p>
    <w:p w14:paraId="33C3DDB1" w14:textId="77777777" w:rsidR="00A7551A" w:rsidRPr="00A7551A" w:rsidRDefault="00A7551A" w:rsidP="00A7551A">
      <w:pPr>
        <w:autoSpaceDE w:val="0"/>
        <w:autoSpaceDN w:val="0"/>
        <w:adjustRightInd w:val="0"/>
        <w:spacing w:after="0"/>
        <w:jc w:val="both"/>
        <w:rPr>
          <w:rFonts w:ascii="Arial" w:hAnsi="Arial" w:cs="Arial"/>
          <w:sz w:val="18"/>
          <w:szCs w:val="18"/>
        </w:rPr>
      </w:pPr>
    </w:p>
    <w:p w14:paraId="7C1CAED5" w14:textId="77777777" w:rsidR="00A7551A" w:rsidRP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Las tarifas recurrentes a determinar por el modelo de costos podrán incluir una componente fija por enlace y/o una componente variable en función de la longitud del enlace necesario, medido en kilómetros.</w:t>
      </w:r>
    </w:p>
    <w:p w14:paraId="736C11EB" w14:textId="77777777" w:rsidR="00A7551A" w:rsidRPr="00A7551A" w:rsidRDefault="00A7551A" w:rsidP="00A7551A">
      <w:pPr>
        <w:autoSpaceDE w:val="0"/>
        <w:autoSpaceDN w:val="0"/>
        <w:adjustRightInd w:val="0"/>
        <w:spacing w:after="0"/>
        <w:jc w:val="both"/>
        <w:rPr>
          <w:rFonts w:ascii="Arial" w:hAnsi="Arial" w:cs="Arial"/>
          <w:sz w:val="18"/>
          <w:szCs w:val="18"/>
        </w:rPr>
      </w:pPr>
    </w:p>
    <w:p w14:paraId="13F85DFC" w14:textId="77777777" w:rsidR="00A7551A" w:rsidRDefault="00A7551A" w:rsidP="00A7551A">
      <w:pPr>
        <w:autoSpaceDE w:val="0"/>
        <w:autoSpaceDN w:val="0"/>
        <w:adjustRightInd w:val="0"/>
        <w:spacing w:after="0"/>
        <w:jc w:val="both"/>
        <w:rPr>
          <w:rFonts w:ascii="Arial" w:hAnsi="Arial" w:cs="Arial"/>
          <w:sz w:val="18"/>
          <w:szCs w:val="18"/>
        </w:rPr>
      </w:pPr>
      <w:r w:rsidRPr="00A7551A">
        <w:rPr>
          <w:rFonts w:ascii="Arial" w:hAnsi="Arial" w:cs="Arial"/>
          <w:sz w:val="18"/>
          <w:szCs w:val="18"/>
        </w:rPr>
        <w:t>Por su parte, las tarifas de instalación del servicio, se basará en la tarifa estimada para los enlaces entre localidades, añadiendo el coste de instalación de los equipos de traducción en el caso de enlaces TDM.</w:t>
      </w:r>
    </w:p>
    <w:p w14:paraId="4D01238A" w14:textId="77777777" w:rsidR="008C0308" w:rsidRDefault="008C0308" w:rsidP="00A7551A">
      <w:pPr>
        <w:autoSpaceDE w:val="0"/>
        <w:autoSpaceDN w:val="0"/>
        <w:adjustRightInd w:val="0"/>
        <w:spacing w:after="0"/>
        <w:jc w:val="both"/>
        <w:rPr>
          <w:rFonts w:ascii="Arial" w:hAnsi="Arial" w:cs="Arial"/>
          <w:sz w:val="18"/>
          <w:szCs w:val="18"/>
        </w:rPr>
      </w:pPr>
    </w:p>
    <w:p w14:paraId="39E5B935" w14:textId="5868F946" w:rsidR="008C0308" w:rsidRPr="00A7551A" w:rsidRDefault="008C0308" w:rsidP="008C0308">
      <w:pPr>
        <w:autoSpaceDE w:val="0"/>
        <w:autoSpaceDN w:val="0"/>
        <w:adjustRightInd w:val="0"/>
        <w:spacing w:after="0"/>
        <w:jc w:val="both"/>
        <w:rPr>
          <w:rFonts w:ascii="Arial" w:hAnsi="Arial" w:cs="Arial"/>
          <w:b/>
          <w:bCs/>
          <w:sz w:val="18"/>
          <w:szCs w:val="18"/>
        </w:rPr>
      </w:pPr>
      <w:r>
        <w:rPr>
          <w:rFonts w:ascii="Arial" w:hAnsi="Arial" w:cs="Arial"/>
          <w:b/>
          <w:bCs/>
          <w:sz w:val="18"/>
          <w:szCs w:val="18"/>
        </w:rPr>
        <w:t>Gradiente</w:t>
      </w:r>
    </w:p>
    <w:p w14:paraId="5914FF40" w14:textId="77777777" w:rsidR="008C0308" w:rsidRDefault="008C0308" w:rsidP="00A7551A">
      <w:pPr>
        <w:autoSpaceDE w:val="0"/>
        <w:autoSpaceDN w:val="0"/>
        <w:adjustRightInd w:val="0"/>
        <w:spacing w:after="0"/>
        <w:jc w:val="both"/>
        <w:rPr>
          <w:rFonts w:ascii="Arial" w:hAnsi="Arial" w:cs="Arial"/>
          <w:sz w:val="18"/>
          <w:szCs w:val="18"/>
        </w:rPr>
      </w:pPr>
    </w:p>
    <w:p w14:paraId="21C0B64D" w14:textId="77777777" w:rsidR="00807A2D" w:rsidRDefault="008C0308" w:rsidP="008C0308">
      <w:pPr>
        <w:autoSpaceDE w:val="0"/>
        <w:autoSpaceDN w:val="0"/>
        <w:adjustRightInd w:val="0"/>
        <w:spacing w:after="0"/>
        <w:jc w:val="both"/>
        <w:rPr>
          <w:rFonts w:ascii="Arial" w:hAnsi="Arial" w:cs="Arial"/>
          <w:sz w:val="18"/>
          <w:szCs w:val="18"/>
        </w:rPr>
      </w:pPr>
      <w:r w:rsidRPr="008C0308">
        <w:rPr>
          <w:rFonts w:ascii="Arial" w:hAnsi="Arial" w:cs="Arial"/>
          <w:sz w:val="18"/>
          <w:szCs w:val="18"/>
        </w:rPr>
        <w:t>El uso del gradiente</w:t>
      </w:r>
      <w:r w:rsidR="009E0B34">
        <w:rPr>
          <w:rFonts w:ascii="Arial" w:hAnsi="Arial" w:cs="Arial"/>
          <w:sz w:val="18"/>
          <w:szCs w:val="18"/>
        </w:rPr>
        <w:t xml:space="preserve"> en el módulo de enlaces dedicados</w:t>
      </w:r>
      <w:r w:rsidRPr="008C0308">
        <w:rPr>
          <w:rFonts w:ascii="Arial" w:hAnsi="Arial" w:cs="Arial"/>
          <w:sz w:val="18"/>
          <w:szCs w:val="18"/>
        </w:rPr>
        <w:t xml:space="preserve"> es necesario ya que existe a nivel comercial un componente de diferenciación entre costos y precios difícil de replicar en un modelo de costos ascendente. Esto se debe a que, generalmente, las estructuras comerciales de precios no están orientadas puramente a </w:t>
      </w:r>
      <w:r w:rsidR="00807A2D" w:rsidRPr="008C0308">
        <w:rPr>
          <w:rFonts w:ascii="Arial" w:hAnsi="Arial" w:cs="Arial"/>
          <w:sz w:val="18"/>
          <w:szCs w:val="18"/>
        </w:rPr>
        <w:t>costos,</w:t>
      </w:r>
      <w:r w:rsidRPr="008C0308">
        <w:rPr>
          <w:rFonts w:ascii="Arial" w:hAnsi="Arial" w:cs="Arial"/>
          <w:sz w:val="18"/>
          <w:szCs w:val="18"/>
        </w:rPr>
        <w:t xml:space="preserve"> sino que toman en cuenta la elasticidad de la demanda (esta estructura se observa en todos los mercados, tanto regulados como no regulados). </w:t>
      </w:r>
    </w:p>
    <w:p w14:paraId="1ECDEEB3" w14:textId="77777777" w:rsidR="00807A2D" w:rsidRDefault="00807A2D" w:rsidP="008C0308">
      <w:pPr>
        <w:autoSpaceDE w:val="0"/>
        <w:autoSpaceDN w:val="0"/>
        <w:adjustRightInd w:val="0"/>
        <w:spacing w:after="0"/>
        <w:jc w:val="both"/>
        <w:rPr>
          <w:rFonts w:ascii="Arial" w:hAnsi="Arial" w:cs="Arial"/>
          <w:sz w:val="18"/>
          <w:szCs w:val="18"/>
        </w:rPr>
      </w:pPr>
    </w:p>
    <w:p w14:paraId="49C042FC" w14:textId="1AA3F3D5" w:rsidR="008C0308" w:rsidRDefault="008C0308" w:rsidP="008C0308">
      <w:pPr>
        <w:autoSpaceDE w:val="0"/>
        <w:autoSpaceDN w:val="0"/>
        <w:adjustRightInd w:val="0"/>
        <w:spacing w:after="0"/>
        <w:jc w:val="both"/>
        <w:rPr>
          <w:rFonts w:ascii="Arial" w:hAnsi="Arial" w:cs="Arial"/>
          <w:sz w:val="18"/>
          <w:szCs w:val="18"/>
        </w:rPr>
      </w:pPr>
      <w:r w:rsidRPr="008C0308">
        <w:rPr>
          <w:rFonts w:ascii="Arial" w:hAnsi="Arial" w:cs="Arial"/>
          <w:sz w:val="18"/>
          <w:szCs w:val="18"/>
        </w:rPr>
        <w:t>El uso del gradiente ayuda a tener en cuenta este efecto y reflejar esta diferenciación de precios de tal forma que se permite asegurar una completa recuperación de los costos asociados al servicio.</w:t>
      </w:r>
    </w:p>
    <w:p w14:paraId="14CB9328" w14:textId="77777777" w:rsidR="00741B95" w:rsidRPr="008C0308" w:rsidRDefault="00741B95" w:rsidP="008C0308">
      <w:pPr>
        <w:autoSpaceDE w:val="0"/>
        <w:autoSpaceDN w:val="0"/>
        <w:adjustRightInd w:val="0"/>
        <w:spacing w:after="0"/>
        <w:jc w:val="both"/>
        <w:rPr>
          <w:rFonts w:ascii="Arial" w:hAnsi="Arial" w:cs="Arial"/>
          <w:sz w:val="18"/>
          <w:szCs w:val="18"/>
        </w:rPr>
      </w:pPr>
    </w:p>
    <w:p w14:paraId="6FD6A9F7" w14:textId="3484378A" w:rsidR="008C0308" w:rsidRDefault="008C0308" w:rsidP="008C0308">
      <w:pPr>
        <w:autoSpaceDE w:val="0"/>
        <w:autoSpaceDN w:val="0"/>
        <w:adjustRightInd w:val="0"/>
        <w:spacing w:after="0"/>
        <w:jc w:val="both"/>
        <w:rPr>
          <w:rFonts w:ascii="Arial" w:hAnsi="Arial" w:cs="Arial"/>
          <w:sz w:val="18"/>
          <w:szCs w:val="18"/>
        </w:rPr>
      </w:pPr>
      <w:r w:rsidRPr="008C0308">
        <w:rPr>
          <w:rFonts w:ascii="Arial" w:hAnsi="Arial" w:cs="Arial"/>
          <w:sz w:val="18"/>
          <w:szCs w:val="18"/>
        </w:rPr>
        <w:t xml:space="preserve">El gradiente definido representa el costo proporcional de un enlace de velocidad y tecnología específica con respecto a un enlace de referencia y se estima a partir de los precios </w:t>
      </w:r>
      <w:r w:rsidR="00741B95">
        <w:rPr>
          <w:rFonts w:ascii="Arial" w:hAnsi="Arial" w:cs="Arial"/>
          <w:sz w:val="18"/>
          <w:szCs w:val="18"/>
        </w:rPr>
        <w:t>de</w:t>
      </w:r>
      <w:r w:rsidR="00EF5F4A">
        <w:rPr>
          <w:rFonts w:ascii="Arial" w:hAnsi="Arial" w:cs="Arial"/>
          <w:sz w:val="18"/>
          <w:szCs w:val="18"/>
        </w:rPr>
        <w:t xml:space="preserve"> la</w:t>
      </w:r>
      <w:r w:rsidRPr="008C0308">
        <w:rPr>
          <w:rFonts w:ascii="Arial" w:hAnsi="Arial" w:cs="Arial"/>
          <w:sz w:val="18"/>
          <w:szCs w:val="18"/>
        </w:rPr>
        <w:t xml:space="preserve"> oferta de referencia aprobada por el</w:t>
      </w:r>
      <w:r w:rsidR="00EF5F4A">
        <w:rPr>
          <w:rFonts w:ascii="Arial" w:hAnsi="Arial" w:cs="Arial"/>
          <w:sz w:val="18"/>
          <w:szCs w:val="18"/>
        </w:rPr>
        <w:t xml:space="preserve"> Instituto</w:t>
      </w:r>
      <w:r w:rsidRPr="008C0308">
        <w:rPr>
          <w:rFonts w:ascii="Arial" w:hAnsi="Arial" w:cs="Arial"/>
          <w:sz w:val="18"/>
          <w:szCs w:val="18"/>
        </w:rPr>
        <w:t xml:space="preserve">. </w:t>
      </w:r>
    </w:p>
    <w:p w14:paraId="482650BD" w14:textId="77777777" w:rsidR="00EF5F4A" w:rsidRPr="008C0308" w:rsidRDefault="00EF5F4A" w:rsidP="008C0308">
      <w:pPr>
        <w:autoSpaceDE w:val="0"/>
        <w:autoSpaceDN w:val="0"/>
        <w:adjustRightInd w:val="0"/>
        <w:spacing w:after="0"/>
        <w:jc w:val="both"/>
        <w:rPr>
          <w:rFonts w:ascii="Arial" w:hAnsi="Arial" w:cs="Arial"/>
          <w:sz w:val="18"/>
          <w:szCs w:val="18"/>
        </w:rPr>
      </w:pPr>
    </w:p>
    <w:p w14:paraId="73AC32D0" w14:textId="77777777" w:rsidR="008C0308" w:rsidRDefault="008C0308" w:rsidP="008C0308">
      <w:pPr>
        <w:autoSpaceDE w:val="0"/>
        <w:autoSpaceDN w:val="0"/>
        <w:adjustRightInd w:val="0"/>
        <w:spacing w:after="0"/>
        <w:jc w:val="both"/>
        <w:rPr>
          <w:rFonts w:ascii="Arial" w:hAnsi="Arial" w:cs="Arial"/>
          <w:sz w:val="18"/>
          <w:szCs w:val="18"/>
        </w:rPr>
      </w:pPr>
      <w:r w:rsidRPr="008C0308">
        <w:rPr>
          <w:rFonts w:ascii="Arial" w:hAnsi="Arial" w:cs="Arial"/>
          <w:sz w:val="18"/>
          <w:szCs w:val="18"/>
        </w:rPr>
        <w:t>El proceso de aplicación del gradiente implica tres pasos principales basados en la demanda y el precio de los enlaces de referencia equivalentes:</w:t>
      </w:r>
    </w:p>
    <w:p w14:paraId="5FEC7659" w14:textId="77777777" w:rsidR="008B15F7" w:rsidRPr="008C0308" w:rsidRDefault="008B15F7" w:rsidP="008C0308">
      <w:pPr>
        <w:autoSpaceDE w:val="0"/>
        <w:autoSpaceDN w:val="0"/>
        <w:adjustRightInd w:val="0"/>
        <w:spacing w:after="0"/>
        <w:jc w:val="both"/>
        <w:rPr>
          <w:rFonts w:ascii="Arial" w:hAnsi="Arial" w:cs="Arial"/>
          <w:sz w:val="18"/>
          <w:szCs w:val="18"/>
        </w:rPr>
      </w:pPr>
    </w:p>
    <w:p w14:paraId="302640DC" w14:textId="057DE232" w:rsidR="008C0308" w:rsidRPr="008C0308" w:rsidRDefault="008C0308" w:rsidP="0089203B">
      <w:pPr>
        <w:numPr>
          <w:ilvl w:val="0"/>
          <w:numId w:val="72"/>
        </w:numPr>
        <w:autoSpaceDE w:val="0"/>
        <w:autoSpaceDN w:val="0"/>
        <w:adjustRightInd w:val="0"/>
        <w:spacing w:after="0"/>
        <w:ind w:left="709" w:hanging="357"/>
        <w:jc w:val="both"/>
        <w:rPr>
          <w:rFonts w:ascii="Arial" w:hAnsi="Arial" w:cs="Arial"/>
          <w:sz w:val="18"/>
          <w:szCs w:val="18"/>
        </w:rPr>
      </w:pPr>
      <w:r w:rsidRPr="008C0308">
        <w:rPr>
          <w:rFonts w:ascii="Arial" w:hAnsi="Arial" w:cs="Arial"/>
          <w:sz w:val="18"/>
          <w:szCs w:val="18"/>
        </w:rPr>
        <w:t xml:space="preserve">Calcular el número de enlaces de referencia equivalentes: esto se hace tomando </w:t>
      </w:r>
      <w:r w:rsidRPr="008C0308">
        <w:rPr>
          <w:rFonts w:ascii="Arial" w:hAnsi="Arial" w:cs="Arial"/>
          <w:sz w:val="18"/>
          <w:szCs w:val="18"/>
          <w:lang w:val="es-ES_tradnl"/>
        </w:rPr>
        <w:t>el número total de enlaces según velocidad y distancia (enlaces entre localidades e internacional) y velocidad (enlaces locales) y multiplicando por el gradiente de precios</w:t>
      </w:r>
      <w:r w:rsidR="00135708">
        <w:rPr>
          <w:rFonts w:ascii="Arial" w:hAnsi="Arial" w:cs="Arial"/>
          <w:sz w:val="18"/>
          <w:szCs w:val="18"/>
          <w:lang w:val="es-ES_tradnl"/>
        </w:rPr>
        <w:t>.</w:t>
      </w:r>
    </w:p>
    <w:p w14:paraId="469315F5" w14:textId="6B11AA87" w:rsidR="008C0308" w:rsidRPr="008C0308" w:rsidRDefault="008C0308" w:rsidP="0089203B">
      <w:pPr>
        <w:numPr>
          <w:ilvl w:val="0"/>
          <w:numId w:val="72"/>
        </w:numPr>
        <w:autoSpaceDE w:val="0"/>
        <w:autoSpaceDN w:val="0"/>
        <w:adjustRightInd w:val="0"/>
        <w:spacing w:after="0"/>
        <w:ind w:left="709" w:hanging="357"/>
        <w:jc w:val="both"/>
        <w:rPr>
          <w:rFonts w:ascii="Arial" w:hAnsi="Arial" w:cs="Arial"/>
          <w:sz w:val="18"/>
          <w:szCs w:val="18"/>
        </w:rPr>
      </w:pPr>
      <w:r w:rsidRPr="008C0308">
        <w:rPr>
          <w:rFonts w:ascii="Arial" w:hAnsi="Arial" w:cs="Arial"/>
          <w:sz w:val="18"/>
          <w:szCs w:val="18"/>
          <w:lang w:val="es-ES_tradnl"/>
        </w:rPr>
        <w:t>Calcular el precio del enlace de referencia: para esto se dividen los costos totales que tienen que ser distribuidos (costos de transporte y los costos adicionales de calibración) por el número de enlaces de referencia equivalentes</w:t>
      </w:r>
      <w:r w:rsidR="00135708">
        <w:rPr>
          <w:rFonts w:ascii="Arial" w:hAnsi="Arial" w:cs="Arial"/>
          <w:sz w:val="18"/>
          <w:szCs w:val="18"/>
          <w:lang w:val="es-ES_tradnl"/>
        </w:rPr>
        <w:t>.</w:t>
      </w:r>
    </w:p>
    <w:p w14:paraId="13BE3046" w14:textId="77777777" w:rsidR="008C0308" w:rsidRPr="008C0308" w:rsidRDefault="008C0308" w:rsidP="0089203B">
      <w:pPr>
        <w:numPr>
          <w:ilvl w:val="0"/>
          <w:numId w:val="72"/>
        </w:numPr>
        <w:autoSpaceDE w:val="0"/>
        <w:autoSpaceDN w:val="0"/>
        <w:adjustRightInd w:val="0"/>
        <w:spacing w:after="0"/>
        <w:ind w:left="709" w:hanging="357"/>
        <w:jc w:val="both"/>
        <w:rPr>
          <w:rFonts w:ascii="Arial" w:hAnsi="Arial" w:cs="Arial"/>
          <w:sz w:val="18"/>
          <w:szCs w:val="18"/>
        </w:rPr>
      </w:pPr>
      <w:r w:rsidRPr="008C0308">
        <w:rPr>
          <w:rFonts w:ascii="Arial" w:hAnsi="Arial" w:cs="Arial"/>
          <w:sz w:val="18"/>
          <w:szCs w:val="18"/>
        </w:rPr>
        <w:lastRenderedPageBreak/>
        <w:t>Finalmente, se calcula el precio de cada velocidad de los enlaces: se multiplica el gradiente por el precio de referencia. En el caso de los enlaces internacionales, se suma al precio resultante los costos de equipos adicionales específicos de cada enlace TDM.</w:t>
      </w:r>
    </w:p>
    <w:p w14:paraId="20E8DCB9" w14:textId="77777777" w:rsidR="00682AA0" w:rsidRPr="001B525F" w:rsidRDefault="00682AA0" w:rsidP="00CC0143">
      <w:pPr>
        <w:spacing w:after="0"/>
        <w:rPr>
          <w:rFonts w:ascii="Arial" w:eastAsia="Times New Roman" w:hAnsi="Arial" w:cs="Arial"/>
          <w:sz w:val="18"/>
          <w:szCs w:val="18"/>
          <w:lang w:eastAsia="es-ES"/>
        </w:rPr>
      </w:pPr>
    </w:p>
    <w:p w14:paraId="20686F77" w14:textId="713229FD" w:rsidR="00682AA0" w:rsidRPr="001B525F" w:rsidRDefault="00682AA0" w:rsidP="00CC0143">
      <w:pPr>
        <w:spacing w:after="0"/>
        <w:jc w:val="both"/>
        <w:rPr>
          <w:rFonts w:ascii="Arial" w:hAnsi="Arial" w:cs="Arial"/>
          <w:b/>
          <w:sz w:val="18"/>
          <w:szCs w:val="18"/>
        </w:rPr>
      </w:pPr>
      <w:r w:rsidRPr="00CC16F2">
        <w:rPr>
          <w:rFonts w:ascii="Arial" w:hAnsi="Arial" w:cs="Arial"/>
          <w:b/>
          <w:sz w:val="18"/>
          <w:szCs w:val="18"/>
        </w:rPr>
        <w:t>MODELO DE COSTOS DE SERVICIO DE ENLACES DE TRANSMISIÓN ENTRE COUBICACIONES</w:t>
      </w:r>
    </w:p>
    <w:p w14:paraId="6188DBEE" w14:textId="77777777" w:rsidR="00682AA0" w:rsidRPr="001B525F" w:rsidRDefault="00682AA0" w:rsidP="00CC0143">
      <w:pPr>
        <w:autoSpaceDE w:val="0"/>
        <w:autoSpaceDN w:val="0"/>
        <w:adjustRightInd w:val="0"/>
        <w:spacing w:after="0"/>
        <w:rPr>
          <w:rFonts w:ascii="Arial" w:hAnsi="Arial" w:cs="Arial"/>
          <w:sz w:val="18"/>
          <w:szCs w:val="18"/>
        </w:rPr>
      </w:pPr>
    </w:p>
    <w:p w14:paraId="5A6A2009"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El servicio de enlaces de transmisión entre coubicaciones consiste en el establecimiento de enlaces de transmisión físicos de cualquier tecnología, a través de los cuales se establece la interconexión entre redes públicas de telecomunicaciones, para el intercambio de Tráfico Público Conmutado entre las coubicaciones de dos distintos concesionarios localizadas en un mismo punto de interconexión. </w:t>
      </w:r>
    </w:p>
    <w:p w14:paraId="345BECA9" w14:textId="77777777" w:rsidR="00682AA0" w:rsidRPr="001B525F" w:rsidRDefault="00682AA0" w:rsidP="00CC0143">
      <w:pPr>
        <w:autoSpaceDE w:val="0"/>
        <w:autoSpaceDN w:val="0"/>
        <w:adjustRightInd w:val="0"/>
        <w:spacing w:after="0"/>
        <w:jc w:val="both"/>
        <w:rPr>
          <w:rFonts w:ascii="Arial" w:hAnsi="Arial" w:cs="Arial"/>
          <w:sz w:val="18"/>
          <w:szCs w:val="18"/>
        </w:rPr>
      </w:pPr>
    </w:p>
    <w:p w14:paraId="4592DEBE"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Estos enlaces podrán suministrarse bajo las modalidades de Enlace de Transmisión de Interconexión entre Coubicaciones Gestionado y Enlace de Transmisión de lnterconexión entre Coubicaciones No Gestionado.</w:t>
      </w:r>
    </w:p>
    <w:p w14:paraId="2E780693" w14:textId="77777777" w:rsidR="00682AA0" w:rsidRPr="001B525F" w:rsidRDefault="00682AA0" w:rsidP="00CC0143">
      <w:pPr>
        <w:autoSpaceDE w:val="0"/>
        <w:autoSpaceDN w:val="0"/>
        <w:adjustRightInd w:val="0"/>
        <w:spacing w:after="0"/>
        <w:jc w:val="both"/>
        <w:rPr>
          <w:rFonts w:ascii="Arial" w:hAnsi="Arial" w:cs="Arial"/>
          <w:sz w:val="18"/>
          <w:szCs w:val="18"/>
        </w:rPr>
      </w:pPr>
    </w:p>
    <w:p w14:paraId="4DA1104A"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En este sentido, el modelo calcula los costos de ambos servicios considera la prestación del servicio de interconexión entre coubicaciones a través de un servicio activo, es decir, un enlace de transmisión entre coubicaciones gestionado; o un servicio pasivo, también conocido como enlace de transmisión entre coubicaciones no gestionado.</w:t>
      </w:r>
    </w:p>
    <w:p w14:paraId="36FACD63" w14:textId="77777777" w:rsidR="00682AA0" w:rsidRPr="001B525F" w:rsidRDefault="00682AA0" w:rsidP="00CC0143">
      <w:pPr>
        <w:autoSpaceDE w:val="0"/>
        <w:autoSpaceDN w:val="0"/>
        <w:adjustRightInd w:val="0"/>
        <w:spacing w:after="0"/>
        <w:jc w:val="both"/>
        <w:rPr>
          <w:rFonts w:ascii="Arial" w:hAnsi="Arial" w:cs="Arial"/>
          <w:sz w:val="18"/>
          <w:szCs w:val="18"/>
        </w:rPr>
      </w:pPr>
    </w:p>
    <w:p w14:paraId="4EA61506"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Servicio gestionado</w:t>
      </w:r>
    </w:p>
    <w:p w14:paraId="54815AA6" w14:textId="77777777" w:rsidR="00682AA0" w:rsidRPr="001B525F" w:rsidRDefault="00682AA0" w:rsidP="00CC0143">
      <w:pPr>
        <w:spacing w:after="0"/>
        <w:jc w:val="both"/>
        <w:rPr>
          <w:rFonts w:ascii="Arial" w:hAnsi="Arial" w:cs="Arial"/>
          <w:sz w:val="18"/>
          <w:szCs w:val="18"/>
        </w:rPr>
      </w:pPr>
    </w:p>
    <w:p w14:paraId="017F797C"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El servicio gestionado o activo consiste en la provisión de un medio de transmisión que enlace las coubicaciones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12644219" w14:textId="77777777" w:rsidR="00682AA0" w:rsidRPr="001B525F" w:rsidRDefault="00682AA0" w:rsidP="00CC0143">
      <w:pPr>
        <w:spacing w:after="0"/>
        <w:jc w:val="both"/>
        <w:rPr>
          <w:rFonts w:ascii="Arial" w:hAnsi="Arial" w:cs="Arial"/>
          <w:sz w:val="18"/>
          <w:szCs w:val="18"/>
        </w:rPr>
      </w:pPr>
    </w:p>
    <w:p w14:paraId="2B486777" w14:textId="77777777" w:rsidR="00682AA0" w:rsidRPr="001B525F" w:rsidRDefault="00682AA0" w:rsidP="00CC0143">
      <w:pPr>
        <w:spacing w:after="0"/>
        <w:jc w:val="center"/>
        <w:rPr>
          <w:rFonts w:ascii="Arial" w:hAnsi="Arial" w:cs="Arial"/>
          <w:sz w:val="18"/>
          <w:szCs w:val="18"/>
        </w:rPr>
      </w:pPr>
      <w:r w:rsidRPr="007740FC">
        <w:rPr>
          <w:rFonts w:ascii="Arial" w:hAnsi="Arial" w:cs="Arial"/>
          <w:noProof/>
          <w:sz w:val="18"/>
          <w:szCs w:val="18"/>
          <w:lang w:eastAsia="es-MX"/>
        </w:rPr>
        <w:drawing>
          <wp:inline distT="0" distB="0" distL="0" distR="0" wp14:anchorId="1F664E3B" wp14:editId="240EC28A">
            <wp:extent cx="2806700" cy="26282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grayscl/>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13B60FEB" w14:textId="49CCE235"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 xml:space="preserve">Figura </w:t>
      </w:r>
      <w:r w:rsidR="00E20C0D">
        <w:rPr>
          <w:rFonts w:ascii="Arial" w:hAnsi="Arial" w:cs="Arial"/>
          <w:sz w:val="18"/>
          <w:szCs w:val="18"/>
        </w:rPr>
        <w:t>15</w:t>
      </w:r>
      <w:r w:rsidRPr="001B525F">
        <w:rPr>
          <w:rFonts w:ascii="Arial" w:hAnsi="Arial" w:cs="Arial"/>
          <w:sz w:val="18"/>
          <w:szCs w:val="18"/>
        </w:rPr>
        <w:t>. Arquitectura servicio de interconexión cruzada activo.</w:t>
      </w:r>
    </w:p>
    <w:p w14:paraId="4A8D77BC" w14:textId="77777777" w:rsidR="00682AA0" w:rsidRPr="001B525F" w:rsidRDefault="00682AA0" w:rsidP="00CC0143">
      <w:pPr>
        <w:spacing w:after="0"/>
        <w:jc w:val="both"/>
        <w:rPr>
          <w:rFonts w:ascii="Arial" w:hAnsi="Arial" w:cs="Arial"/>
          <w:sz w:val="18"/>
          <w:szCs w:val="18"/>
        </w:rPr>
      </w:pPr>
    </w:p>
    <w:p w14:paraId="303742D3"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530B5A70" w14:textId="77777777" w:rsidR="00682AA0" w:rsidRPr="001B525F" w:rsidRDefault="00682AA0" w:rsidP="00CC0143">
      <w:pPr>
        <w:spacing w:after="0"/>
        <w:jc w:val="both"/>
        <w:rPr>
          <w:rFonts w:ascii="Arial" w:hAnsi="Arial" w:cs="Arial"/>
          <w:sz w:val="18"/>
          <w:szCs w:val="18"/>
        </w:rPr>
      </w:pPr>
    </w:p>
    <w:p w14:paraId="759966F5" w14:textId="5F8BB02B" w:rsidR="00682AA0" w:rsidRPr="001B525F" w:rsidRDefault="00682AA0" w:rsidP="0089203B">
      <w:pPr>
        <w:numPr>
          <w:ilvl w:val="0"/>
          <w:numId w:val="41"/>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Distribuidor de Fibra Óptica: con capacidad de 6 pares dobles de fibra (12 conectores)</w:t>
      </w:r>
      <w:r w:rsidR="00800752">
        <w:rPr>
          <w:rFonts w:ascii="Arial" w:eastAsia="Times New Roman" w:hAnsi="Arial" w:cs="Arial"/>
          <w:sz w:val="18"/>
          <w:szCs w:val="18"/>
          <w:lang w:eastAsia="es-ES"/>
        </w:rPr>
        <w:t>.</w:t>
      </w:r>
    </w:p>
    <w:p w14:paraId="190FB0E7" w14:textId="67EDE471" w:rsidR="00682AA0" w:rsidRPr="001B525F" w:rsidRDefault="00682AA0" w:rsidP="0089203B">
      <w:pPr>
        <w:numPr>
          <w:ilvl w:val="0"/>
          <w:numId w:val="41"/>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Demarcador: switch que servirá para delimitar la red del concesionario solicitado y del concesionario solicitante, con capacidad de 6 puertos ópticos, cuya capacidad puede ser de 1Gbps o 10Gbps, con un incremento del 2.5 en el Capex para este último caso.</w:t>
      </w:r>
    </w:p>
    <w:p w14:paraId="0A0256FA" w14:textId="77777777" w:rsidR="00682AA0" w:rsidRPr="001B525F" w:rsidRDefault="00682AA0" w:rsidP="0089203B">
      <w:pPr>
        <w:numPr>
          <w:ilvl w:val="0"/>
          <w:numId w:val="41"/>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Equipo de Transporte: switch encargado del enrutamiento del tráfico entre los concesionarios, con capacidad de 16 puertos ópticos de 1 Gbps o 10 Gbps, con un incremento del 2.5 en el Capex para este último caso.</w:t>
      </w:r>
    </w:p>
    <w:p w14:paraId="16CF6C1F" w14:textId="77777777" w:rsidR="00682AA0" w:rsidRPr="001B525F" w:rsidRDefault="00682AA0" w:rsidP="0089203B">
      <w:pPr>
        <w:numPr>
          <w:ilvl w:val="0"/>
          <w:numId w:val="41"/>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Jumper Óptico: multimodo dúplex y 10 metros de longitud.</w:t>
      </w:r>
    </w:p>
    <w:p w14:paraId="2E7396B0" w14:textId="77777777" w:rsidR="00682AA0" w:rsidRPr="001B525F" w:rsidRDefault="00682AA0" w:rsidP="00CC0143">
      <w:pPr>
        <w:spacing w:after="0"/>
        <w:jc w:val="both"/>
        <w:rPr>
          <w:rFonts w:ascii="Arial" w:hAnsi="Arial" w:cs="Arial"/>
          <w:b/>
          <w:sz w:val="18"/>
          <w:szCs w:val="18"/>
        </w:rPr>
      </w:pPr>
    </w:p>
    <w:p w14:paraId="2368A4F9"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Servicio no gestionado</w:t>
      </w:r>
    </w:p>
    <w:p w14:paraId="008D9F6E" w14:textId="77777777" w:rsidR="00682AA0" w:rsidRPr="001B525F" w:rsidRDefault="00682AA0" w:rsidP="00CC0143">
      <w:pPr>
        <w:spacing w:after="0"/>
        <w:jc w:val="both"/>
        <w:rPr>
          <w:rFonts w:ascii="Arial" w:hAnsi="Arial" w:cs="Arial"/>
          <w:b/>
          <w:sz w:val="18"/>
          <w:szCs w:val="18"/>
        </w:rPr>
      </w:pPr>
    </w:p>
    <w:p w14:paraId="5429F090"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El servicio no gestionado o 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67FEA797" w14:textId="77777777" w:rsidR="00682AA0" w:rsidRPr="001B525F" w:rsidRDefault="00682AA0" w:rsidP="00CC0143">
      <w:pPr>
        <w:spacing w:after="0"/>
        <w:jc w:val="center"/>
        <w:rPr>
          <w:rFonts w:ascii="Arial" w:hAnsi="Arial" w:cs="Arial"/>
          <w:sz w:val="18"/>
          <w:szCs w:val="18"/>
        </w:rPr>
      </w:pPr>
      <w:r w:rsidRPr="007740FC">
        <w:rPr>
          <w:rFonts w:ascii="Arial" w:hAnsi="Arial" w:cs="Arial"/>
          <w:noProof/>
          <w:sz w:val="18"/>
          <w:szCs w:val="18"/>
          <w:lang w:eastAsia="es-MX"/>
        </w:rPr>
        <w:drawing>
          <wp:inline distT="0" distB="0" distL="0" distR="0" wp14:anchorId="066510F1" wp14:editId="56C77FE9">
            <wp:extent cx="2552700" cy="239037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grayscl/>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2F704B03" w14:textId="3E3B9F3F"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 xml:space="preserve">Figura </w:t>
      </w:r>
      <w:r w:rsidR="00E20C0D">
        <w:rPr>
          <w:rFonts w:ascii="Arial" w:hAnsi="Arial" w:cs="Arial"/>
          <w:sz w:val="18"/>
          <w:szCs w:val="18"/>
        </w:rPr>
        <w:t>16</w:t>
      </w:r>
      <w:r w:rsidRPr="001B525F">
        <w:rPr>
          <w:rFonts w:ascii="Arial" w:hAnsi="Arial" w:cs="Arial"/>
          <w:sz w:val="18"/>
          <w:szCs w:val="18"/>
        </w:rPr>
        <w:t>. Arquitectura servicio de interconexión cruzada pasivo.</w:t>
      </w:r>
    </w:p>
    <w:p w14:paraId="01FA6EF0" w14:textId="77777777" w:rsidR="00682AA0" w:rsidRPr="001B525F" w:rsidRDefault="00682AA0" w:rsidP="00CC0143">
      <w:pPr>
        <w:autoSpaceDE w:val="0"/>
        <w:autoSpaceDN w:val="0"/>
        <w:adjustRightInd w:val="0"/>
        <w:spacing w:after="0"/>
        <w:jc w:val="both"/>
        <w:rPr>
          <w:rFonts w:ascii="Arial" w:hAnsi="Arial" w:cs="Arial"/>
          <w:sz w:val="18"/>
          <w:szCs w:val="18"/>
        </w:rPr>
      </w:pPr>
    </w:p>
    <w:p w14:paraId="7F7E8D2E"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El modelo de costos considera para la provisión del servicio los siguientes elementos:</w:t>
      </w:r>
    </w:p>
    <w:p w14:paraId="34FB0D0F" w14:textId="77777777" w:rsidR="00682AA0" w:rsidRPr="001B525F" w:rsidRDefault="00682AA0" w:rsidP="00CC0143">
      <w:pPr>
        <w:autoSpaceDE w:val="0"/>
        <w:autoSpaceDN w:val="0"/>
        <w:adjustRightInd w:val="0"/>
        <w:spacing w:after="0"/>
        <w:jc w:val="both"/>
        <w:rPr>
          <w:rFonts w:ascii="Arial" w:hAnsi="Arial" w:cs="Arial"/>
          <w:sz w:val="18"/>
          <w:szCs w:val="18"/>
        </w:rPr>
      </w:pPr>
    </w:p>
    <w:p w14:paraId="1E30BFDC" w14:textId="77777777" w:rsidR="00682AA0" w:rsidRPr="001B525F" w:rsidRDefault="00682AA0" w:rsidP="0089203B">
      <w:pPr>
        <w:numPr>
          <w:ilvl w:val="0"/>
          <w:numId w:val="42"/>
        </w:numPr>
        <w:autoSpaceDE w:val="0"/>
        <w:autoSpaceDN w:val="0"/>
        <w:adjustRightInd w:val="0"/>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Cable Óptico: cable de 12 fibras ópticas</w:t>
      </w:r>
    </w:p>
    <w:p w14:paraId="4F3D125E" w14:textId="77777777" w:rsidR="00682AA0" w:rsidRPr="001B525F" w:rsidRDefault="00682AA0" w:rsidP="0089203B">
      <w:pPr>
        <w:numPr>
          <w:ilvl w:val="0"/>
          <w:numId w:val="42"/>
        </w:numPr>
        <w:autoSpaceDE w:val="0"/>
        <w:autoSpaceDN w:val="0"/>
        <w:adjustRightInd w:val="0"/>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Escalerilla</w:t>
      </w:r>
    </w:p>
    <w:p w14:paraId="74F689DF" w14:textId="77777777" w:rsidR="00682AA0" w:rsidRPr="001B525F" w:rsidRDefault="00682AA0" w:rsidP="00CC0143">
      <w:pPr>
        <w:autoSpaceDE w:val="0"/>
        <w:autoSpaceDN w:val="0"/>
        <w:adjustRightInd w:val="0"/>
        <w:spacing w:after="0"/>
        <w:jc w:val="both"/>
        <w:rPr>
          <w:rFonts w:ascii="Arial" w:hAnsi="Arial" w:cs="Arial"/>
          <w:sz w:val="18"/>
          <w:szCs w:val="18"/>
        </w:rPr>
      </w:pPr>
    </w:p>
    <w:p w14:paraId="3114152B"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La utilización únicamente de elementos pasivos disminuye el Opex y el Capex en relación al servicio gestionado. </w:t>
      </w:r>
    </w:p>
    <w:p w14:paraId="6A7CCE7D" w14:textId="77777777" w:rsidR="00682AA0" w:rsidRPr="001B525F" w:rsidRDefault="00682AA0" w:rsidP="00CC0143">
      <w:pPr>
        <w:spacing w:after="0"/>
        <w:rPr>
          <w:rFonts w:ascii="Arial" w:hAnsi="Arial" w:cs="Arial"/>
          <w:b/>
          <w:sz w:val="18"/>
          <w:szCs w:val="18"/>
        </w:rPr>
      </w:pPr>
    </w:p>
    <w:p w14:paraId="510A7045" w14:textId="77777777" w:rsidR="00682AA0" w:rsidRPr="001B525F" w:rsidRDefault="00682AA0" w:rsidP="00CC0143">
      <w:pPr>
        <w:spacing w:after="0"/>
        <w:rPr>
          <w:rFonts w:ascii="Arial" w:hAnsi="Arial" w:cs="Arial"/>
          <w:b/>
          <w:sz w:val="18"/>
          <w:szCs w:val="18"/>
        </w:rPr>
      </w:pPr>
      <w:r w:rsidRPr="001B525F">
        <w:rPr>
          <w:rFonts w:ascii="Arial" w:hAnsi="Arial" w:cs="Arial"/>
          <w:b/>
          <w:sz w:val="18"/>
          <w:szCs w:val="18"/>
        </w:rPr>
        <w:t xml:space="preserve">Marco metodológico </w:t>
      </w:r>
    </w:p>
    <w:p w14:paraId="1881DF42" w14:textId="77777777" w:rsidR="00682AA0" w:rsidRPr="001B525F" w:rsidRDefault="00682AA0" w:rsidP="00CC0143">
      <w:pPr>
        <w:spacing w:after="0"/>
        <w:rPr>
          <w:rFonts w:ascii="Arial" w:hAnsi="Arial" w:cs="Arial"/>
          <w:b/>
          <w:sz w:val="18"/>
          <w:szCs w:val="18"/>
        </w:rPr>
      </w:pPr>
    </w:p>
    <w:p w14:paraId="495EB8C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 efecto de determinar el costo del servicio se señalan las principales hipótesis:</w:t>
      </w:r>
    </w:p>
    <w:p w14:paraId="51E4516F" w14:textId="77777777" w:rsidR="00682AA0" w:rsidRPr="001B525F" w:rsidRDefault="00682AA0" w:rsidP="00CC0143">
      <w:pPr>
        <w:spacing w:after="0"/>
        <w:rPr>
          <w:rFonts w:ascii="Arial" w:hAnsi="Arial" w:cs="Arial"/>
          <w:sz w:val="18"/>
          <w:szCs w:val="18"/>
        </w:rPr>
      </w:pPr>
    </w:p>
    <w:p w14:paraId="3F14FBAC" w14:textId="77777777" w:rsidR="00682AA0" w:rsidRPr="001B525F" w:rsidRDefault="00682AA0" w:rsidP="00CC0143">
      <w:pPr>
        <w:spacing w:after="0"/>
        <w:jc w:val="both"/>
        <w:rPr>
          <w:rFonts w:ascii="Arial" w:hAnsi="Arial" w:cs="Arial"/>
          <w:sz w:val="18"/>
          <w:szCs w:val="18"/>
        </w:rPr>
      </w:pPr>
      <w:r w:rsidRPr="001B525F">
        <w:rPr>
          <w:rFonts w:ascii="Arial" w:hAnsi="Arial" w:cs="Arial"/>
          <w:b/>
          <w:sz w:val="18"/>
          <w:szCs w:val="18"/>
        </w:rPr>
        <w:t xml:space="preserve">Demanda: </w:t>
      </w:r>
      <w:r w:rsidRPr="001B525F">
        <w:rPr>
          <w:rFonts w:ascii="Arial" w:hAnsi="Arial" w:cs="Arial"/>
          <w:sz w:val="18"/>
          <w:szCs w:val="18"/>
        </w:rPr>
        <w:t>Todos los concesionarios solicitantes se encuentran en una misma central del AEP, considerando una media de 2 operadores por central.</w:t>
      </w:r>
    </w:p>
    <w:p w14:paraId="2307C1FD" w14:textId="77777777" w:rsidR="00682AA0" w:rsidRPr="001B525F" w:rsidRDefault="00682AA0" w:rsidP="00CC0143">
      <w:pPr>
        <w:spacing w:after="0"/>
        <w:jc w:val="both"/>
        <w:rPr>
          <w:rFonts w:ascii="Arial" w:hAnsi="Arial" w:cs="Arial"/>
          <w:sz w:val="18"/>
          <w:szCs w:val="18"/>
        </w:rPr>
      </w:pPr>
    </w:p>
    <w:p w14:paraId="7BA9CBD7"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Estructura de red:</w:t>
      </w:r>
    </w:p>
    <w:p w14:paraId="3BFDFB81" w14:textId="77777777" w:rsidR="00682AA0" w:rsidRPr="001B525F" w:rsidRDefault="00682AA0" w:rsidP="0089203B">
      <w:pPr>
        <w:numPr>
          <w:ilvl w:val="0"/>
          <w:numId w:val="33"/>
        </w:numPr>
        <w:spacing w:after="0"/>
        <w:ind w:left="709" w:hanging="357"/>
        <w:contextualSpacing/>
        <w:jc w:val="both"/>
        <w:rPr>
          <w:rFonts w:ascii="Arial" w:eastAsia="Times New Roman" w:hAnsi="Arial" w:cs="Arial"/>
          <w:b/>
          <w:sz w:val="18"/>
          <w:szCs w:val="18"/>
          <w:lang w:eastAsia="es-ES"/>
        </w:rPr>
      </w:pPr>
      <w:r w:rsidRPr="001B525F">
        <w:rPr>
          <w:rFonts w:ascii="Arial" w:eastAsia="Times New Roman" w:hAnsi="Arial" w:cs="Arial"/>
          <w:sz w:val="18"/>
          <w:szCs w:val="18"/>
          <w:lang w:eastAsia="es-ES"/>
        </w:rPr>
        <w:t>Los elementos de red provistos por el AEP para la provisión de este servicio están totalmente separados de su red troncal y de acceso, y sus costos estarán por lo tanto exclusivamente repartidos entre los operadores que se interconecten.</w:t>
      </w:r>
    </w:p>
    <w:p w14:paraId="19A65C35" w14:textId="77777777" w:rsidR="00682AA0" w:rsidRPr="001B525F" w:rsidRDefault="00682AA0" w:rsidP="0089203B">
      <w:pPr>
        <w:numPr>
          <w:ilvl w:val="0"/>
          <w:numId w:val="33"/>
        </w:numPr>
        <w:spacing w:after="0"/>
        <w:ind w:left="709" w:hanging="357"/>
        <w:contextualSpacing/>
        <w:jc w:val="both"/>
        <w:rPr>
          <w:rFonts w:ascii="Arial" w:eastAsia="Times New Roman" w:hAnsi="Arial" w:cs="Arial"/>
          <w:b/>
          <w:sz w:val="18"/>
          <w:szCs w:val="18"/>
          <w:lang w:eastAsia="es-ES"/>
        </w:rPr>
      </w:pPr>
      <w:r w:rsidRPr="001B525F">
        <w:rPr>
          <w:rFonts w:ascii="Arial" w:eastAsia="Times New Roman" w:hAnsi="Arial" w:cs="Arial"/>
          <w:sz w:val="18"/>
          <w:szCs w:val="18"/>
          <w:lang w:eastAsia="es-ES"/>
        </w:rPr>
        <w:t>Los demarcadores empleados para separar la red del AEP de la de los concesionarios están formados por conmutadores ópticos.</w:t>
      </w:r>
    </w:p>
    <w:p w14:paraId="1E2C16A7" w14:textId="77777777" w:rsidR="00682AA0" w:rsidRPr="001B525F" w:rsidRDefault="00682AA0" w:rsidP="0089203B">
      <w:pPr>
        <w:numPr>
          <w:ilvl w:val="0"/>
          <w:numId w:val="33"/>
        </w:numPr>
        <w:spacing w:after="0"/>
        <w:ind w:left="709" w:hanging="357"/>
        <w:contextualSpacing/>
        <w:jc w:val="both"/>
        <w:rPr>
          <w:rFonts w:ascii="Arial" w:eastAsia="Times New Roman" w:hAnsi="Arial" w:cs="Arial"/>
          <w:b/>
          <w:sz w:val="18"/>
          <w:szCs w:val="18"/>
          <w:lang w:eastAsia="es-ES"/>
        </w:rPr>
      </w:pPr>
      <w:r w:rsidRPr="001B525F">
        <w:rPr>
          <w:rFonts w:ascii="Arial" w:eastAsia="Times New Roman" w:hAnsi="Arial" w:cs="Arial"/>
          <w:sz w:val="18"/>
          <w:szCs w:val="18"/>
          <w:lang w:eastAsia="es-ES"/>
        </w:rPr>
        <w:lastRenderedPageBreak/>
        <w:t>Todos los equipos considerados tienen conexiones de 1 Gbps; emplear equipos con conexiones de 10 Gbps incrementaría el capex en x2.5 para los equipos considerados.</w:t>
      </w:r>
    </w:p>
    <w:p w14:paraId="1C6DBD64" w14:textId="77777777" w:rsidR="00682AA0" w:rsidRPr="001B525F" w:rsidRDefault="00682AA0" w:rsidP="00CC0143">
      <w:pPr>
        <w:spacing w:after="0"/>
        <w:jc w:val="both"/>
        <w:rPr>
          <w:rFonts w:ascii="Arial" w:hAnsi="Arial" w:cs="Arial"/>
          <w:b/>
          <w:sz w:val="18"/>
          <w:szCs w:val="18"/>
        </w:rPr>
      </w:pPr>
    </w:p>
    <w:p w14:paraId="39076C10" w14:textId="77777777" w:rsidR="00682AA0" w:rsidRPr="001B525F" w:rsidRDefault="00682AA0" w:rsidP="00CC0143">
      <w:pPr>
        <w:spacing w:after="0"/>
        <w:jc w:val="both"/>
        <w:rPr>
          <w:rFonts w:ascii="Arial" w:hAnsi="Arial" w:cs="Arial"/>
          <w:sz w:val="18"/>
          <w:szCs w:val="18"/>
        </w:rPr>
      </w:pPr>
      <w:r w:rsidRPr="001B525F">
        <w:rPr>
          <w:rFonts w:ascii="Arial" w:hAnsi="Arial" w:cs="Arial"/>
          <w:b/>
          <w:sz w:val="18"/>
          <w:szCs w:val="18"/>
        </w:rPr>
        <w:t xml:space="preserve">Depreciación: </w:t>
      </w:r>
      <w:r w:rsidRPr="001B525F">
        <w:rPr>
          <w:rFonts w:ascii="Arial" w:hAnsi="Arial" w:cs="Arial"/>
          <w:sz w:val="18"/>
          <w:szCs w:val="18"/>
        </w:rPr>
        <w:t>El costo de reposición de los equipos se considera en los costos mensuales en forma de anualización inclinada.</w:t>
      </w:r>
    </w:p>
    <w:p w14:paraId="6CC96745" w14:textId="77777777" w:rsidR="00682AA0" w:rsidRPr="001B525F" w:rsidRDefault="00682AA0" w:rsidP="00CC0143">
      <w:pPr>
        <w:spacing w:after="0"/>
        <w:jc w:val="both"/>
        <w:rPr>
          <w:rFonts w:ascii="Arial" w:hAnsi="Arial" w:cs="Arial"/>
          <w:sz w:val="18"/>
          <w:szCs w:val="18"/>
        </w:rPr>
      </w:pPr>
    </w:p>
    <w:p w14:paraId="058BAA85" w14:textId="655272E8" w:rsidR="00682AA0" w:rsidRPr="001B525F" w:rsidRDefault="00682AA0" w:rsidP="00CC0143">
      <w:pPr>
        <w:spacing w:after="0"/>
        <w:jc w:val="both"/>
        <w:rPr>
          <w:rFonts w:ascii="Arial" w:hAnsi="Arial" w:cs="Arial"/>
          <w:sz w:val="18"/>
          <w:szCs w:val="18"/>
        </w:rPr>
      </w:pPr>
      <w:r w:rsidRPr="001B525F">
        <w:rPr>
          <w:rFonts w:ascii="Arial" w:hAnsi="Arial" w:cs="Arial"/>
          <w:b/>
          <w:sz w:val="18"/>
          <w:szCs w:val="18"/>
        </w:rPr>
        <w:t xml:space="preserve">CCPP: </w:t>
      </w:r>
      <w:r w:rsidRPr="001B525F">
        <w:rPr>
          <w:rFonts w:ascii="Arial" w:hAnsi="Arial" w:cs="Arial"/>
          <w:sz w:val="18"/>
          <w:szCs w:val="18"/>
        </w:rPr>
        <w:t xml:space="preserve">Se considera un CCPP nominal antes de impuestos del </w:t>
      </w:r>
      <w:r w:rsidR="00824C25">
        <w:rPr>
          <w:rFonts w:ascii="Arial" w:hAnsi="Arial" w:cs="Arial"/>
          <w:sz w:val="18"/>
          <w:szCs w:val="18"/>
        </w:rPr>
        <w:t>10.97%</w:t>
      </w:r>
      <w:r w:rsidR="006A7318">
        <w:rPr>
          <w:rFonts w:ascii="Arial" w:hAnsi="Arial" w:cs="Arial"/>
          <w:sz w:val="18"/>
          <w:szCs w:val="18"/>
        </w:rPr>
        <w:t xml:space="preserve"> </w:t>
      </w:r>
      <w:r w:rsidRPr="001B525F">
        <w:rPr>
          <w:rFonts w:ascii="Arial" w:hAnsi="Arial" w:cs="Arial"/>
          <w:sz w:val="18"/>
          <w:szCs w:val="18"/>
        </w:rPr>
        <w:t>en línea con el</w:t>
      </w:r>
      <w:r w:rsidR="00E85453">
        <w:rPr>
          <w:rFonts w:ascii="Arial" w:hAnsi="Arial" w:cs="Arial"/>
          <w:sz w:val="18"/>
          <w:szCs w:val="18"/>
        </w:rPr>
        <w:t xml:space="preserve"> calculado por el Instituto para los modelos de costos</w:t>
      </w:r>
      <w:r w:rsidRPr="001B525F">
        <w:rPr>
          <w:rFonts w:ascii="Arial" w:hAnsi="Arial" w:cs="Arial"/>
          <w:sz w:val="18"/>
          <w:szCs w:val="18"/>
        </w:rPr>
        <w:t>.</w:t>
      </w:r>
    </w:p>
    <w:p w14:paraId="5A196BE2" w14:textId="77777777" w:rsidR="00682AA0" w:rsidRPr="001B525F" w:rsidRDefault="00682AA0" w:rsidP="00CC0143">
      <w:pPr>
        <w:spacing w:after="0"/>
        <w:jc w:val="both"/>
        <w:rPr>
          <w:rFonts w:ascii="Arial" w:hAnsi="Arial" w:cs="Arial"/>
          <w:sz w:val="18"/>
          <w:szCs w:val="18"/>
        </w:rPr>
      </w:pPr>
    </w:p>
    <w:p w14:paraId="1C4CA674" w14:textId="77777777" w:rsidR="00682AA0" w:rsidRPr="001B525F" w:rsidRDefault="00682AA0" w:rsidP="00CC0143">
      <w:pPr>
        <w:spacing w:after="0"/>
        <w:jc w:val="center"/>
        <w:rPr>
          <w:rFonts w:ascii="Arial" w:hAnsi="Arial" w:cs="Arial"/>
          <w:sz w:val="18"/>
          <w:szCs w:val="18"/>
        </w:rPr>
      </w:pPr>
      <w:r w:rsidRPr="007740FC">
        <w:rPr>
          <w:rFonts w:ascii="Arial" w:hAnsi="Arial" w:cs="Arial"/>
          <w:noProof/>
          <w:sz w:val="18"/>
          <w:szCs w:val="18"/>
          <w:lang w:eastAsia="es-MX"/>
        </w:rPr>
        <w:drawing>
          <wp:inline distT="0" distB="0" distL="0" distR="0" wp14:anchorId="4A4D39FE" wp14:editId="22BDB3EF">
            <wp:extent cx="3140766" cy="2706778"/>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grayscl/>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439A7274" w14:textId="3897E061"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 xml:space="preserve">Figura </w:t>
      </w:r>
      <w:r w:rsidR="00E20C0D">
        <w:rPr>
          <w:rFonts w:ascii="Arial" w:hAnsi="Arial" w:cs="Arial"/>
          <w:sz w:val="18"/>
          <w:szCs w:val="18"/>
        </w:rPr>
        <w:t>17</w:t>
      </w:r>
      <w:r w:rsidRPr="001B525F">
        <w:rPr>
          <w:rFonts w:ascii="Arial" w:hAnsi="Arial" w:cs="Arial"/>
          <w:sz w:val="18"/>
          <w:szCs w:val="18"/>
        </w:rPr>
        <w:t>. Estructura del Modelo.</w:t>
      </w:r>
    </w:p>
    <w:p w14:paraId="17259C77" w14:textId="77777777" w:rsidR="00682AA0" w:rsidRPr="001B525F" w:rsidRDefault="00682AA0" w:rsidP="00CC0143">
      <w:pPr>
        <w:spacing w:after="0"/>
        <w:jc w:val="both"/>
        <w:rPr>
          <w:rFonts w:ascii="Arial" w:hAnsi="Arial" w:cs="Arial"/>
          <w:sz w:val="18"/>
          <w:szCs w:val="18"/>
        </w:rPr>
      </w:pPr>
    </w:p>
    <w:p w14:paraId="18F05048"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modelo adopta un enfoque orientado al cálculo de los costos de componentes asociados a estos servicios.</w:t>
      </w:r>
    </w:p>
    <w:p w14:paraId="5644A5D5" w14:textId="77777777" w:rsidR="00682AA0" w:rsidRPr="001B525F" w:rsidRDefault="00682AA0" w:rsidP="00CC0143">
      <w:pPr>
        <w:spacing w:after="0"/>
        <w:jc w:val="both"/>
        <w:rPr>
          <w:rFonts w:ascii="Arial" w:hAnsi="Arial" w:cs="Arial"/>
          <w:sz w:val="18"/>
          <w:szCs w:val="18"/>
        </w:rPr>
      </w:pPr>
    </w:p>
    <w:p w14:paraId="229AC7C1"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modelo captura elementos de red NGN, considerados como la tecnología moderna equivalente.</w:t>
      </w:r>
    </w:p>
    <w:p w14:paraId="26EDF5C1" w14:textId="77777777" w:rsidR="00682AA0" w:rsidRPr="001B525F" w:rsidRDefault="00682AA0" w:rsidP="00CC0143">
      <w:pPr>
        <w:spacing w:after="0"/>
        <w:jc w:val="both"/>
        <w:rPr>
          <w:rFonts w:ascii="Arial" w:hAnsi="Arial" w:cs="Arial"/>
          <w:sz w:val="18"/>
          <w:szCs w:val="18"/>
        </w:rPr>
      </w:pPr>
    </w:p>
    <w:p w14:paraId="3577DA24" w14:textId="7A6BD9C4" w:rsidR="00682AA0" w:rsidRDefault="00682AA0" w:rsidP="00CC0143">
      <w:pPr>
        <w:spacing w:after="0"/>
        <w:jc w:val="both"/>
        <w:rPr>
          <w:rFonts w:ascii="Arial" w:hAnsi="Arial" w:cs="Arial"/>
          <w:sz w:val="18"/>
          <w:szCs w:val="18"/>
        </w:rPr>
      </w:pPr>
      <w:r w:rsidRPr="001B525F">
        <w:rPr>
          <w:rFonts w:ascii="Arial" w:hAnsi="Arial" w:cs="Arial"/>
          <w:sz w:val="18"/>
          <w:szCs w:val="18"/>
        </w:rPr>
        <w:t xml:space="preserve">El modelo se expresa </w:t>
      </w:r>
      <w:r w:rsidR="00A33276">
        <w:rPr>
          <w:rFonts w:ascii="Arial" w:hAnsi="Arial" w:cs="Arial"/>
          <w:sz w:val="18"/>
          <w:szCs w:val="18"/>
        </w:rPr>
        <w:t xml:space="preserve">un vector de precios a 2022 </w:t>
      </w:r>
      <w:r w:rsidRPr="001B525F">
        <w:rPr>
          <w:rFonts w:ascii="Arial" w:hAnsi="Arial" w:cs="Arial"/>
          <w:sz w:val="18"/>
          <w:szCs w:val="18"/>
        </w:rPr>
        <w:t>en dólares americanos (USD) reales.</w:t>
      </w:r>
      <w:r w:rsidR="00217A0D">
        <w:rPr>
          <w:rFonts w:ascii="Arial" w:hAnsi="Arial" w:cs="Arial"/>
          <w:sz w:val="18"/>
          <w:szCs w:val="18"/>
        </w:rPr>
        <w:t xml:space="preserve"> Se utiliza el tipo de cambio de 2022 para obtener </w:t>
      </w:r>
      <w:r w:rsidR="00AE7579">
        <w:rPr>
          <w:rFonts w:ascii="Arial" w:hAnsi="Arial" w:cs="Arial"/>
          <w:sz w:val="18"/>
          <w:szCs w:val="18"/>
        </w:rPr>
        <w:t>el vector de precios en pesos reales.</w:t>
      </w:r>
    </w:p>
    <w:p w14:paraId="68E1E713" w14:textId="77777777" w:rsidR="00AE7579" w:rsidRPr="001B525F" w:rsidRDefault="00AE7579" w:rsidP="00CC0143">
      <w:pPr>
        <w:spacing w:after="0"/>
        <w:jc w:val="both"/>
        <w:rPr>
          <w:rFonts w:ascii="Arial" w:hAnsi="Arial" w:cs="Arial"/>
          <w:sz w:val="18"/>
          <w:szCs w:val="18"/>
        </w:rPr>
      </w:pPr>
    </w:p>
    <w:p w14:paraId="51F876C3" w14:textId="543B055A" w:rsidR="00682AA0" w:rsidRPr="001B525F" w:rsidRDefault="003C66D5" w:rsidP="00CC0143">
      <w:pPr>
        <w:spacing w:after="0"/>
        <w:jc w:val="both"/>
        <w:rPr>
          <w:rFonts w:ascii="Arial" w:hAnsi="Arial" w:cs="Arial"/>
          <w:sz w:val="18"/>
          <w:szCs w:val="18"/>
        </w:rPr>
      </w:pPr>
      <w:r>
        <w:rPr>
          <w:rFonts w:ascii="Arial" w:hAnsi="Arial" w:cs="Arial"/>
          <w:sz w:val="18"/>
          <w:szCs w:val="18"/>
        </w:rPr>
        <w:t xml:space="preserve">Se aplica una tendencia de costos reales </w:t>
      </w:r>
      <w:r w:rsidR="00DF6FD9">
        <w:rPr>
          <w:rFonts w:ascii="Arial" w:hAnsi="Arial" w:cs="Arial"/>
          <w:sz w:val="18"/>
          <w:szCs w:val="18"/>
        </w:rPr>
        <w:t xml:space="preserve">para </w:t>
      </w:r>
      <w:r w:rsidR="003E32FD">
        <w:rPr>
          <w:rFonts w:ascii="Arial" w:hAnsi="Arial" w:cs="Arial"/>
          <w:sz w:val="18"/>
          <w:szCs w:val="18"/>
        </w:rPr>
        <w:t>años</w:t>
      </w:r>
      <w:r w:rsidR="00C4247A">
        <w:rPr>
          <w:rFonts w:ascii="Arial" w:hAnsi="Arial" w:cs="Arial"/>
          <w:sz w:val="18"/>
          <w:szCs w:val="18"/>
        </w:rPr>
        <w:t xml:space="preserve"> futuros y se aplica </w:t>
      </w:r>
      <w:r w:rsidR="00416F16">
        <w:rPr>
          <w:rFonts w:ascii="Arial" w:hAnsi="Arial" w:cs="Arial"/>
          <w:sz w:val="18"/>
          <w:szCs w:val="18"/>
        </w:rPr>
        <w:t xml:space="preserve">inflación acumulada para </w:t>
      </w:r>
      <w:r w:rsidR="00820BF7">
        <w:rPr>
          <w:rFonts w:ascii="Arial" w:hAnsi="Arial" w:cs="Arial"/>
          <w:sz w:val="18"/>
          <w:szCs w:val="18"/>
        </w:rPr>
        <w:t xml:space="preserve">transformar los pesos reales en pesos nominales, las estimaciones de inflación acumulada se hacen con base en información </w:t>
      </w:r>
      <w:r w:rsidR="006F1FB7">
        <w:rPr>
          <w:rFonts w:ascii="Arial" w:hAnsi="Arial" w:cs="Arial"/>
          <w:sz w:val="18"/>
          <w:szCs w:val="18"/>
        </w:rPr>
        <w:t xml:space="preserve">de expectativas </w:t>
      </w:r>
      <w:r w:rsidR="00682AA0" w:rsidRPr="001B525F">
        <w:rPr>
          <w:rFonts w:ascii="Arial" w:hAnsi="Arial" w:cs="Arial"/>
          <w:sz w:val="18"/>
          <w:szCs w:val="18"/>
        </w:rPr>
        <w:t>del Banco de México.</w:t>
      </w:r>
    </w:p>
    <w:p w14:paraId="43F0EEF5" w14:textId="77777777" w:rsidR="00682AA0" w:rsidRPr="001B525F" w:rsidRDefault="00682AA0" w:rsidP="00CC0143">
      <w:pPr>
        <w:spacing w:after="0"/>
        <w:jc w:val="both"/>
        <w:rPr>
          <w:rFonts w:ascii="Arial" w:hAnsi="Arial" w:cs="Arial"/>
          <w:sz w:val="18"/>
          <w:szCs w:val="18"/>
        </w:rPr>
      </w:pPr>
    </w:p>
    <w:p w14:paraId="0D0BF7DC"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servicio de interconexión cruzada se limita a aquel aplicable al establecimiento de interconexión de voz en las instalaciones del AEP: El servicio será ofrecido tanto a operadores fijos como móviles.</w:t>
      </w:r>
    </w:p>
    <w:p w14:paraId="1F307802" w14:textId="77777777" w:rsidR="00682AA0" w:rsidRPr="001B525F" w:rsidRDefault="00682AA0" w:rsidP="00CC0143">
      <w:pPr>
        <w:spacing w:after="0"/>
        <w:jc w:val="both"/>
        <w:rPr>
          <w:rFonts w:ascii="Arial" w:hAnsi="Arial" w:cs="Arial"/>
          <w:sz w:val="18"/>
          <w:szCs w:val="18"/>
        </w:rPr>
      </w:pPr>
    </w:p>
    <w:p w14:paraId="2178AA56"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Los precios se calculan con base a una estructura de:</w:t>
      </w:r>
    </w:p>
    <w:p w14:paraId="2D2B7544" w14:textId="77777777" w:rsidR="00682AA0" w:rsidRPr="001B525F" w:rsidRDefault="00682AA0" w:rsidP="00CC0143">
      <w:pPr>
        <w:spacing w:after="0"/>
        <w:jc w:val="both"/>
        <w:rPr>
          <w:rFonts w:ascii="Arial" w:hAnsi="Arial" w:cs="Arial"/>
          <w:sz w:val="18"/>
          <w:szCs w:val="18"/>
        </w:rPr>
      </w:pPr>
    </w:p>
    <w:p w14:paraId="773E8B3D" w14:textId="77777777" w:rsidR="00682AA0" w:rsidRPr="001B525F" w:rsidRDefault="00682AA0" w:rsidP="0089203B">
      <w:pPr>
        <w:numPr>
          <w:ilvl w:val="0"/>
          <w:numId w:val="34"/>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de instalación, que cubre el costo de los elementos instalados (equipo de transporte, distribuidor de fibra óptica, demarcador y jumper óptico) y la mano de obra asociada.</w:t>
      </w:r>
    </w:p>
    <w:p w14:paraId="3570A5B0" w14:textId="77777777" w:rsidR="00682AA0" w:rsidRPr="001B525F" w:rsidRDefault="00682AA0" w:rsidP="0089203B">
      <w:pPr>
        <w:numPr>
          <w:ilvl w:val="0"/>
          <w:numId w:val="34"/>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mensuales, que cubren los costos de operación y mantenimiento, así como los costos de reposición de equipos.</w:t>
      </w:r>
    </w:p>
    <w:p w14:paraId="3D911499" w14:textId="77777777" w:rsidR="00682AA0" w:rsidRPr="001B525F" w:rsidRDefault="00682AA0" w:rsidP="0089203B">
      <w:pPr>
        <w:numPr>
          <w:ilvl w:val="0"/>
          <w:numId w:val="34"/>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Se consideran costos por metro lineal para despliegue y mantenimiento de fibra y escalerilla.</w:t>
      </w:r>
    </w:p>
    <w:p w14:paraId="01D00C40" w14:textId="77777777" w:rsidR="00682AA0" w:rsidRPr="001B525F" w:rsidRDefault="00682AA0" w:rsidP="00CC0143">
      <w:pPr>
        <w:spacing w:after="0"/>
        <w:jc w:val="both"/>
        <w:rPr>
          <w:rFonts w:ascii="Arial" w:hAnsi="Arial" w:cs="Arial"/>
          <w:sz w:val="18"/>
          <w:szCs w:val="18"/>
        </w:rPr>
      </w:pPr>
    </w:p>
    <w:p w14:paraId="25729E7C" w14:textId="77777777" w:rsidR="00682AA0" w:rsidRPr="001B525F" w:rsidRDefault="00682AA0" w:rsidP="00CC0143">
      <w:pPr>
        <w:spacing w:after="0"/>
        <w:jc w:val="both"/>
        <w:rPr>
          <w:rFonts w:ascii="Arial" w:hAnsi="Arial" w:cs="Arial"/>
          <w:sz w:val="18"/>
          <w:szCs w:val="18"/>
        </w:rPr>
      </w:pPr>
      <w:r w:rsidRPr="001B525F">
        <w:rPr>
          <w:rFonts w:ascii="Arial" w:eastAsia="Times New Roman" w:hAnsi="Arial" w:cs="Arial"/>
          <w:sz w:val="18"/>
          <w:szCs w:val="18"/>
          <w:lang w:eastAsia="es-ES"/>
        </w:rPr>
        <w:t>A efecto de determinar las tarifas aplicables se hace el supuesto de que existirán dos coubicaciones en el punto de interconexión.</w:t>
      </w:r>
    </w:p>
    <w:p w14:paraId="3936CD79" w14:textId="77777777" w:rsidR="00682AA0" w:rsidRPr="001B525F" w:rsidRDefault="00682AA0" w:rsidP="00CC0143">
      <w:pPr>
        <w:spacing w:after="0"/>
        <w:jc w:val="both"/>
        <w:rPr>
          <w:rFonts w:ascii="Arial" w:hAnsi="Arial" w:cs="Arial"/>
          <w:b/>
          <w:sz w:val="18"/>
          <w:szCs w:val="18"/>
        </w:rPr>
      </w:pPr>
    </w:p>
    <w:p w14:paraId="06755DF2"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MODELO DE COSTOS DE COUBICACIÓN</w:t>
      </w:r>
    </w:p>
    <w:p w14:paraId="5FA1CF39" w14:textId="77777777" w:rsidR="00682AA0" w:rsidRPr="001B525F" w:rsidRDefault="00682AA0" w:rsidP="00CC0143">
      <w:pPr>
        <w:spacing w:after="0"/>
        <w:jc w:val="both"/>
        <w:rPr>
          <w:rFonts w:ascii="Arial" w:eastAsia="Times New Roman" w:hAnsi="Arial" w:cs="Arial"/>
          <w:sz w:val="18"/>
          <w:szCs w:val="18"/>
          <w:lang w:eastAsia="es-ES"/>
        </w:rPr>
      </w:pPr>
    </w:p>
    <w:p w14:paraId="2EDD03C1" w14:textId="615B16E5" w:rsidR="008463B0"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términos de la Condición Segunda  el servicio de coubicación consiste en un servicio para la colocación de equipos y dispositivos de la red pública de telecomunicaciones del </w:t>
      </w:r>
      <w:r w:rsidR="00446E36">
        <w:rPr>
          <w:rFonts w:ascii="Arial" w:eastAsia="Times New Roman" w:hAnsi="Arial" w:cs="Arial"/>
          <w:sz w:val="18"/>
          <w:szCs w:val="18"/>
          <w:lang w:eastAsia="es-ES"/>
        </w:rPr>
        <w:t xml:space="preserve">Concesionario </w:t>
      </w:r>
      <w:r w:rsidR="00824C25">
        <w:rPr>
          <w:rFonts w:ascii="Arial" w:eastAsia="Times New Roman" w:hAnsi="Arial" w:cs="Arial"/>
          <w:sz w:val="18"/>
          <w:szCs w:val="18"/>
          <w:lang w:eastAsia="es-ES"/>
        </w:rPr>
        <w:t>Solicitante</w:t>
      </w:r>
      <w:r w:rsidRPr="001B525F">
        <w:rPr>
          <w:rFonts w:ascii="Arial" w:eastAsia="Times New Roman" w:hAnsi="Arial" w:cs="Arial"/>
          <w:sz w:val="18"/>
          <w:szCs w:val="18"/>
          <w:lang w:eastAsia="es-ES"/>
        </w:rPr>
        <w:t xml:space="preserve"> (CS),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w:t>
      </w:r>
    </w:p>
    <w:p w14:paraId="4EF607C9" w14:textId="77777777" w:rsidR="004C092E" w:rsidRDefault="004C092E" w:rsidP="00CC0143">
      <w:pPr>
        <w:spacing w:after="0"/>
        <w:jc w:val="both"/>
        <w:rPr>
          <w:rFonts w:ascii="Arial" w:eastAsia="Times New Roman" w:hAnsi="Arial" w:cs="Arial"/>
          <w:sz w:val="18"/>
          <w:szCs w:val="18"/>
          <w:lang w:eastAsia="es-ES"/>
        </w:rPr>
      </w:pPr>
    </w:p>
    <w:p w14:paraId="621625B3" w14:textId="6BBD0F04"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Es así que las facilidades y las condiciones necesarias para prestar el servicio de coubicación como el área a utilizarse, suministro de energía, medidas de seguridad, aire acondicionado, entre otras, no dependen del tipo de red del concesionario que presta el servicio (fija o móvil) ni del tipo de concesionario (AEP o no AEP), pues se refieren únicamente a características del espacio físico donde se instalarán los equipos que permitan salvaguardar la integridad de </w:t>
      </w:r>
      <w:r w:rsidR="00CC16F2">
        <w:rPr>
          <w:rFonts w:ascii="Arial" w:eastAsia="Times New Roman" w:hAnsi="Arial" w:cs="Arial"/>
          <w:sz w:val="18"/>
          <w:szCs w:val="18"/>
          <w:lang w:eastAsia="es-ES"/>
        </w:rPr>
        <w:t>estos</w:t>
      </w:r>
      <w:r w:rsidRPr="001B525F">
        <w:rPr>
          <w:rFonts w:ascii="Arial" w:eastAsia="Times New Roman" w:hAnsi="Arial" w:cs="Arial"/>
          <w:sz w:val="18"/>
          <w:szCs w:val="18"/>
          <w:lang w:eastAsia="es-ES"/>
        </w:rPr>
        <w:t>.</w:t>
      </w:r>
    </w:p>
    <w:p w14:paraId="06B12F67" w14:textId="77777777" w:rsidR="00682AA0" w:rsidRPr="001B525F" w:rsidRDefault="00682AA0" w:rsidP="00CC0143">
      <w:pPr>
        <w:spacing w:after="0"/>
        <w:jc w:val="both"/>
        <w:rPr>
          <w:rFonts w:ascii="Arial" w:eastAsia="Times New Roman" w:hAnsi="Arial" w:cs="Arial"/>
          <w:sz w:val="18"/>
          <w:szCs w:val="18"/>
          <w:lang w:eastAsia="es-ES"/>
        </w:rPr>
      </w:pPr>
    </w:p>
    <w:p w14:paraId="5674410F" w14:textId="0E5ADAF9"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términos de la definición antes señalada el modelo de costos debe ser capaz de calcular el costo correspondiente al espacio en piso ocupado por el Concesionario Solicitante, así como las diferentes facilidades que deben ser provistas por parte del Proveedor Hipotético (en lo sucesivo, “PH”) como suministro de energía, medidas de seguridad, aire acondicionado, y demás facilidades necesarias para su adecuada operación, así como el acceso a los espacios físicos mencionados.</w:t>
      </w:r>
    </w:p>
    <w:p w14:paraId="44F0B098" w14:textId="77777777" w:rsidR="00682AA0" w:rsidRPr="001B525F" w:rsidRDefault="00682AA0" w:rsidP="00CC0143">
      <w:pPr>
        <w:spacing w:after="0"/>
        <w:jc w:val="both"/>
        <w:rPr>
          <w:rFonts w:ascii="Arial" w:eastAsia="Times New Roman" w:hAnsi="Arial" w:cs="Arial"/>
          <w:sz w:val="18"/>
          <w:szCs w:val="18"/>
          <w:lang w:eastAsia="es-ES"/>
        </w:rPr>
      </w:pPr>
    </w:p>
    <w:p w14:paraId="60B39062"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facilidades antes mencionadas se modelan suponiendo salas específicamente dedicadas para tales efectos, de este modo se establecen las siguientes hipótesis:</w:t>
      </w:r>
    </w:p>
    <w:p w14:paraId="63B6DF48" w14:textId="77777777" w:rsidR="00682AA0" w:rsidRPr="001B525F" w:rsidRDefault="00682AA0" w:rsidP="00CC0143">
      <w:pPr>
        <w:spacing w:after="0"/>
        <w:jc w:val="both"/>
        <w:rPr>
          <w:rFonts w:ascii="Arial" w:eastAsia="Times New Roman" w:hAnsi="Arial" w:cs="Arial"/>
          <w:sz w:val="18"/>
          <w:szCs w:val="18"/>
          <w:lang w:eastAsia="es-ES"/>
        </w:rPr>
      </w:pPr>
    </w:p>
    <w:p w14:paraId="79A0CBA2" w14:textId="0ACBF000" w:rsidR="00682AA0" w:rsidRPr="001B525F" w:rsidRDefault="00682AA0" w:rsidP="00CF0973">
      <w:pPr>
        <w:numPr>
          <w:ilvl w:val="0"/>
          <w:numId w:val="39"/>
        </w:numPr>
        <w:spacing w:after="0"/>
        <w:ind w:left="709" w:hanging="357"/>
        <w:contextualSpacing/>
        <w:jc w:val="both"/>
        <w:rPr>
          <w:rFonts w:ascii="Arial" w:eastAsia="Times New Roman" w:hAnsi="Arial" w:cs="Arial"/>
          <w:sz w:val="18"/>
          <w:szCs w:val="18"/>
          <w:lang w:eastAsia="es-ES"/>
        </w:rPr>
      </w:pPr>
      <w:r w:rsidRPr="5459DB53">
        <w:rPr>
          <w:rFonts w:ascii="Arial" w:eastAsia="Times New Roman" w:hAnsi="Arial" w:cs="Arial"/>
          <w:sz w:val="18"/>
          <w:szCs w:val="18"/>
          <w:lang w:eastAsia="es-ES"/>
        </w:rPr>
        <w:t>Las características técnicas de las diferentes salas de la central (sala MDF/ODF/BSC, sala de control, sala de switching/DSLAM y sala de equipos de transmisión)</w:t>
      </w:r>
      <w:r w:rsidR="00071396" w:rsidRPr="5459DB53">
        <w:rPr>
          <w:rFonts w:ascii="Arial" w:eastAsia="Times New Roman" w:hAnsi="Arial" w:cs="Arial"/>
          <w:sz w:val="18"/>
          <w:szCs w:val="18"/>
          <w:lang w:eastAsia="es-ES"/>
        </w:rPr>
        <w:t>.</w:t>
      </w:r>
      <w:r w:rsidRPr="5459DB53">
        <w:rPr>
          <w:rFonts w:ascii="Arial" w:eastAsia="Times New Roman" w:hAnsi="Arial" w:cs="Arial"/>
          <w:sz w:val="18"/>
          <w:szCs w:val="18"/>
          <w:lang w:eastAsia="es-ES"/>
        </w:rPr>
        <w:t xml:space="preserve"> </w:t>
      </w:r>
    </w:p>
    <w:p w14:paraId="28B0F712" w14:textId="77777777" w:rsidR="00682AA0" w:rsidRPr="001B525F" w:rsidRDefault="00682AA0" w:rsidP="00CF0973">
      <w:pPr>
        <w:numPr>
          <w:ilvl w:val="0"/>
          <w:numId w:val="39"/>
        </w:numPr>
        <w:spacing w:after="0"/>
        <w:ind w:left="709" w:hanging="357"/>
        <w:contextualSpacing/>
        <w:jc w:val="both"/>
        <w:rPr>
          <w:rFonts w:ascii="Arial" w:eastAsia="Times New Roman" w:hAnsi="Arial" w:cs="Arial"/>
          <w:sz w:val="18"/>
          <w:szCs w:val="18"/>
          <w:lang w:eastAsia="es-ES"/>
        </w:rPr>
      </w:pPr>
      <w:r w:rsidRPr="5459DB53">
        <w:rPr>
          <w:rFonts w:ascii="Arial" w:eastAsia="Times New Roman" w:hAnsi="Arial" w:cs="Arial"/>
          <w:sz w:val="18"/>
          <w:szCs w:val="18"/>
          <w:lang w:eastAsia="es-ES"/>
        </w:rPr>
        <w:t>La demanda de coubicación en términos del número de concesionarios coubicados.</w:t>
      </w:r>
    </w:p>
    <w:p w14:paraId="280332B3" w14:textId="32B37E5E" w:rsidR="00682AA0" w:rsidRPr="001B525F" w:rsidRDefault="00682AA0" w:rsidP="00CF0973">
      <w:pPr>
        <w:numPr>
          <w:ilvl w:val="0"/>
          <w:numId w:val="39"/>
        </w:numPr>
        <w:spacing w:after="0"/>
        <w:ind w:left="709" w:hanging="357"/>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Los precios unitarios de los equipos empleados</w:t>
      </w:r>
      <w:r w:rsidR="00071396">
        <w:rPr>
          <w:rFonts w:ascii="Arial" w:eastAsia="Times New Roman" w:hAnsi="Arial" w:cs="Arial"/>
          <w:sz w:val="18"/>
          <w:szCs w:val="18"/>
          <w:lang w:val="es-ES_tradnl" w:eastAsia="es-ES"/>
        </w:rPr>
        <w:t>.</w:t>
      </w:r>
    </w:p>
    <w:p w14:paraId="1DBCC99B" w14:textId="67C572A3" w:rsidR="00682AA0" w:rsidRPr="001B525F" w:rsidRDefault="00682AA0" w:rsidP="00CF0973">
      <w:pPr>
        <w:numPr>
          <w:ilvl w:val="0"/>
          <w:numId w:val="39"/>
        </w:numPr>
        <w:spacing w:after="0"/>
        <w:ind w:left="709" w:hanging="357"/>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Espacios físicos requeridos</w:t>
      </w:r>
      <w:r w:rsidR="00071396">
        <w:rPr>
          <w:rFonts w:ascii="Arial" w:eastAsia="Times New Roman" w:hAnsi="Arial" w:cs="Arial"/>
          <w:sz w:val="18"/>
          <w:szCs w:val="18"/>
          <w:lang w:val="es-ES_tradnl" w:eastAsia="es-ES"/>
        </w:rPr>
        <w:t>.</w:t>
      </w:r>
    </w:p>
    <w:p w14:paraId="6E8F0B35" w14:textId="77777777" w:rsidR="00682AA0" w:rsidRPr="001B525F" w:rsidRDefault="00682AA0" w:rsidP="00CC0143">
      <w:pPr>
        <w:spacing w:after="0"/>
        <w:jc w:val="both"/>
        <w:rPr>
          <w:rFonts w:ascii="Arial" w:eastAsia="Times New Roman" w:hAnsi="Arial" w:cs="Arial"/>
          <w:sz w:val="18"/>
          <w:szCs w:val="18"/>
          <w:lang w:eastAsia="es-ES"/>
        </w:rPr>
      </w:pPr>
    </w:p>
    <w:p w14:paraId="00ADF089" w14:textId="07693C37" w:rsidR="00682AA0" w:rsidRPr="001B525F" w:rsidRDefault="000E3085" w:rsidP="00543766">
      <w:pPr>
        <w:spacing w:after="0"/>
        <w:jc w:val="center"/>
        <w:rPr>
          <w:rFonts w:ascii="Arial" w:eastAsia="Times New Roman" w:hAnsi="Arial" w:cs="Arial"/>
          <w:sz w:val="18"/>
          <w:szCs w:val="18"/>
          <w:lang w:eastAsia="es-ES"/>
        </w:rPr>
      </w:pPr>
      <w:r w:rsidRPr="00D32A7C">
        <w:rPr>
          <w:rFonts w:ascii="Arial" w:hAnsi="Arial" w:cs="Arial"/>
          <w:noProof/>
          <w:sz w:val="18"/>
          <w:szCs w:val="18"/>
          <w:lang w:eastAsia="es-MX"/>
        </w:rPr>
        <w:drawing>
          <wp:inline distT="0" distB="0" distL="0" distR="0" wp14:anchorId="5F9A7364" wp14:editId="375E3664">
            <wp:extent cx="5607170" cy="1551865"/>
            <wp:effectExtent l="0" t="0" r="0" b="0"/>
            <wp:docPr id="17" name="Imagen 17"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noFill/>
                    </a:ln>
                  </pic:spPr>
                </pic:pic>
              </a:graphicData>
            </a:graphic>
          </wp:inline>
        </w:drawing>
      </w:r>
    </w:p>
    <w:p w14:paraId="2BF16A0C" w14:textId="210749D0"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Figura </w:t>
      </w:r>
      <w:r w:rsidR="00E20C0D">
        <w:rPr>
          <w:rFonts w:ascii="Arial" w:eastAsia="Times New Roman" w:hAnsi="Arial" w:cs="Arial"/>
          <w:sz w:val="18"/>
          <w:szCs w:val="18"/>
          <w:lang w:eastAsia="es-ES"/>
        </w:rPr>
        <w:t>18</w:t>
      </w:r>
      <w:r w:rsidRPr="001B525F">
        <w:rPr>
          <w:rFonts w:ascii="Arial" w:eastAsia="Times New Roman" w:hAnsi="Arial" w:cs="Arial"/>
          <w:sz w:val="18"/>
          <w:szCs w:val="18"/>
          <w:lang w:eastAsia="es-ES"/>
        </w:rPr>
        <w:t>. Flujo del modelo.</w:t>
      </w:r>
    </w:p>
    <w:p w14:paraId="677E23A0" w14:textId="77777777" w:rsidR="00682AA0" w:rsidRPr="001B525F" w:rsidRDefault="00682AA0" w:rsidP="00CC0143">
      <w:pPr>
        <w:spacing w:after="0"/>
        <w:jc w:val="both"/>
        <w:rPr>
          <w:rFonts w:ascii="Arial" w:eastAsia="Times New Roman" w:hAnsi="Arial" w:cs="Arial"/>
          <w:sz w:val="18"/>
          <w:szCs w:val="18"/>
          <w:lang w:eastAsia="es-ES"/>
        </w:rPr>
      </w:pPr>
    </w:p>
    <w:p w14:paraId="6D29B19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 esta forma, el modelo de costos de coubicación se compone de los siguientes módulos:</w:t>
      </w:r>
    </w:p>
    <w:p w14:paraId="738EC4C5" w14:textId="77777777" w:rsidR="00682AA0" w:rsidRPr="001B525F" w:rsidRDefault="00682AA0" w:rsidP="00CC0143">
      <w:pPr>
        <w:spacing w:after="0"/>
        <w:jc w:val="both"/>
        <w:rPr>
          <w:rFonts w:ascii="Arial" w:eastAsia="Times New Roman" w:hAnsi="Arial" w:cs="Arial"/>
          <w:sz w:val="18"/>
          <w:szCs w:val="18"/>
          <w:lang w:eastAsia="es-ES"/>
        </w:rPr>
      </w:pPr>
    </w:p>
    <w:p w14:paraId="471FAE61" w14:textId="77777777" w:rsidR="00682AA0" w:rsidRPr="001B525F" w:rsidRDefault="00682AA0" w:rsidP="00CF0973">
      <w:pPr>
        <w:numPr>
          <w:ilvl w:val="0"/>
          <w:numId w:val="35"/>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Un módulo de </w:t>
      </w:r>
      <w:r w:rsidRPr="001B525F">
        <w:rPr>
          <w:rFonts w:ascii="Arial" w:eastAsia="Times New Roman" w:hAnsi="Arial" w:cs="Arial"/>
          <w:i/>
          <w:iCs/>
          <w:sz w:val="18"/>
          <w:szCs w:val="18"/>
          <w:lang w:val="es-ES_tradnl" w:eastAsia="es-ES"/>
        </w:rPr>
        <w:t>Control</w:t>
      </w:r>
      <w:r w:rsidRPr="001B525F">
        <w:rPr>
          <w:rFonts w:ascii="Arial" w:eastAsia="Times New Roman" w:hAnsi="Arial" w:cs="Arial"/>
          <w:sz w:val="18"/>
          <w:szCs w:val="18"/>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1B525F">
        <w:rPr>
          <w:rFonts w:ascii="Arial" w:eastAsia="Times New Roman" w:hAnsi="Arial" w:cs="Arial"/>
          <w:i/>
          <w:iCs/>
          <w:sz w:val="18"/>
          <w:szCs w:val="18"/>
          <w:lang w:val="es-ES_tradnl" w:eastAsia="es-ES"/>
        </w:rPr>
        <w:t>Control</w:t>
      </w:r>
      <w:r w:rsidRPr="001B525F">
        <w:rPr>
          <w:rFonts w:ascii="Arial" w:eastAsia="Times New Roman" w:hAnsi="Arial" w:cs="Arial"/>
          <w:sz w:val="18"/>
          <w:szCs w:val="18"/>
          <w:lang w:val="es-ES_tradnl" w:eastAsia="es-ES"/>
        </w:rPr>
        <w:t xml:space="preserve"> también permite seleccionar el tipo de coubicación y la posible inclusión de servicios auxiliares (ej. fuente de energía de respaldo, aire acondicionado).</w:t>
      </w:r>
    </w:p>
    <w:p w14:paraId="25719FF9" w14:textId="77777777" w:rsidR="00682AA0" w:rsidRPr="001B525F" w:rsidRDefault="00682AA0" w:rsidP="00CF0973">
      <w:pPr>
        <w:spacing w:after="0"/>
        <w:ind w:left="709" w:hanging="357"/>
        <w:jc w:val="both"/>
        <w:rPr>
          <w:rFonts w:ascii="Arial" w:eastAsia="Times New Roman" w:hAnsi="Arial" w:cs="Arial"/>
          <w:sz w:val="18"/>
          <w:szCs w:val="18"/>
          <w:lang w:eastAsia="es-ES"/>
        </w:rPr>
      </w:pPr>
    </w:p>
    <w:p w14:paraId="1312DA0B" w14:textId="77777777" w:rsidR="00682AA0" w:rsidRPr="001B525F" w:rsidRDefault="00682AA0" w:rsidP="00CF0973">
      <w:pPr>
        <w:numPr>
          <w:ilvl w:val="0"/>
          <w:numId w:val="35"/>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Un módulo de</w:t>
      </w:r>
      <w:r w:rsidRPr="001B525F">
        <w:rPr>
          <w:rFonts w:ascii="Arial" w:eastAsia="Times New Roman" w:hAnsi="Arial" w:cs="Arial"/>
          <w:sz w:val="18"/>
          <w:szCs w:val="18"/>
          <w:lang w:val="es-ES_tradnl" w:eastAsia="es-ES"/>
        </w:rPr>
        <w:t xml:space="preserve"> </w:t>
      </w:r>
      <w:r w:rsidRPr="001B525F">
        <w:rPr>
          <w:rFonts w:ascii="Arial" w:eastAsia="Times New Roman" w:hAnsi="Arial" w:cs="Arial"/>
          <w:i/>
          <w:iCs/>
          <w:sz w:val="18"/>
          <w:szCs w:val="18"/>
          <w:lang w:val="es-ES_tradnl" w:eastAsia="es-ES"/>
        </w:rPr>
        <w:t>Dimensionado</w:t>
      </w:r>
      <w:r w:rsidRPr="001B525F">
        <w:rPr>
          <w:rFonts w:ascii="Arial" w:eastAsia="Times New Roman" w:hAnsi="Arial" w:cs="Arial"/>
          <w:sz w:val="18"/>
          <w:szCs w:val="18"/>
          <w:lang w:val="es-ES_tradnl" w:eastAsia="es-ES"/>
        </w:rPr>
        <w:t xml:space="preserve"> que procesa la demanda y los otros parámetros de entrada (p.ej. las características técnicas de las salas de la central del PH) para calcular el dimensionamiento eficiente de la red</w:t>
      </w:r>
      <w:r w:rsidRPr="001B525F">
        <w:rPr>
          <w:rFonts w:ascii="Arial" w:eastAsia="Times New Roman" w:hAnsi="Arial" w:cs="Arial"/>
          <w:i/>
          <w:iCs/>
          <w:sz w:val="18"/>
          <w:szCs w:val="18"/>
          <w:lang w:val="es-ES_tradnl" w:eastAsia="es-ES"/>
        </w:rPr>
        <w:t xml:space="preserve">. </w:t>
      </w:r>
      <w:r w:rsidRPr="001B525F">
        <w:rPr>
          <w:rFonts w:ascii="Arial" w:eastAsia="Times New Roman" w:hAnsi="Arial" w:cs="Arial"/>
          <w:sz w:val="18"/>
          <w:szCs w:val="18"/>
          <w:lang w:val="es-ES_tradnl" w:eastAsia="es-ES"/>
        </w:rPr>
        <w:t>Este módulo produce como resultado el número de activos y su tamaño correspondiente.</w:t>
      </w:r>
    </w:p>
    <w:p w14:paraId="55438F84" w14:textId="77777777" w:rsidR="00682AA0" w:rsidRPr="001B525F" w:rsidRDefault="00682AA0" w:rsidP="00CF0973">
      <w:pPr>
        <w:spacing w:after="0"/>
        <w:ind w:left="709" w:hanging="357"/>
        <w:jc w:val="both"/>
        <w:rPr>
          <w:rFonts w:ascii="Arial" w:eastAsia="Times New Roman" w:hAnsi="Arial" w:cs="Arial"/>
          <w:sz w:val="18"/>
          <w:szCs w:val="18"/>
          <w:lang w:eastAsia="es-ES"/>
        </w:rPr>
      </w:pPr>
    </w:p>
    <w:p w14:paraId="1BE5ABA6" w14:textId="77777777" w:rsidR="00682AA0" w:rsidRPr="001B525F" w:rsidRDefault="00682AA0" w:rsidP="00CF0973">
      <w:pPr>
        <w:numPr>
          <w:ilvl w:val="0"/>
          <w:numId w:val="35"/>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Un módulo de </w:t>
      </w:r>
      <w:r w:rsidRPr="001B525F">
        <w:rPr>
          <w:rFonts w:ascii="Arial" w:eastAsia="Times New Roman" w:hAnsi="Arial" w:cs="Arial"/>
          <w:i/>
          <w:iCs/>
          <w:sz w:val="18"/>
          <w:szCs w:val="18"/>
          <w:lang w:val="es-ES_tradnl" w:eastAsia="es-ES"/>
        </w:rPr>
        <w:t xml:space="preserve">Costeo </w:t>
      </w:r>
      <w:r w:rsidRPr="001B525F">
        <w:rPr>
          <w:rFonts w:ascii="Arial" w:eastAsia="Times New Roman" w:hAnsi="Arial" w:cs="Arial"/>
          <w:iCs/>
          <w:sz w:val="18"/>
          <w:szCs w:val="18"/>
          <w:lang w:val="es-ES_tradnl" w:eastAsia="es-ES"/>
        </w:rPr>
        <w:t>el cual</w:t>
      </w:r>
      <w:r w:rsidRPr="001B525F">
        <w:rPr>
          <w:rFonts w:ascii="Arial" w:eastAsia="Times New Roman" w:hAnsi="Arial" w:cs="Arial"/>
          <w:i/>
          <w:iCs/>
          <w:sz w:val="18"/>
          <w:szCs w:val="18"/>
          <w:lang w:val="es-ES_tradnl" w:eastAsia="es-ES"/>
        </w:rPr>
        <w:t xml:space="preserve"> </w:t>
      </w:r>
      <w:r w:rsidRPr="001B525F">
        <w:rPr>
          <w:rFonts w:ascii="Arial" w:eastAsia="Times New Roman" w:hAnsi="Arial" w:cs="Arial"/>
          <w:sz w:val="18"/>
          <w:szCs w:val="18"/>
          <w:lang w:val="es-ES_tradnl" w:eastAsia="es-ES"/>
        </w:rPr>
        <w:t xml:space="preserve">toma los costos unitarios calculados en el módulo de </w:t>
      </w:r>
      <w:r w:rsidRPr="001B525F">
        <w:rPr>
          <w:rFonts w:ascii="Arial" w:eastAsia="Times New Roman" w:hAnsi="Arial" w:cs="Arial"/>
          <w:i/>
          <w:iCs/>
          <w:sz w:val="18"/>
          <w:szCs w:val="18"/>
          <w:lang w:val="es-ES_tradnl" w:eastAsia="es-ES"/>
        </w:rPr>
        <w:t xml:space="preserve">Costos unitarios </w:t>
      </w:r>
      <w:r w:rsidRPr="001B525F">
        <w:rPr>
          <w:rFonts w:ascii="Arial" w:eastAsia="Times New Roman" w:hAnsi="Arial" w:cs="Arial"/>
          <w:sz w:val="18"/>
          <w:szCs w:val="18"/>
          <w:lang w:val="es-ES_tradnl" w:eastAsia="es-ES"/>
        </w:rPr>
        <w:t xml:space="preserve">y los multiplica por las unidades de activos obtenidos en el módulo </w:t>
      </w:r>
      <w:r w:rsidRPr="001B525F">
        <w:rPr>
          <w:rFonts w:ascii="Arial" w:eastAsia="Times New Roman" w:hAnsi="Arial" w:cs="Arial"/>
          <w:i/>
          <w:iCs/>
          <w:sz w:val="18"/>
          <w:szCs w:val="18"/>
          <w:lang w:val="es-ES_tradnl" w:eastAsia="es-ES"/>
        </w:rPr>
        <w:t>Dimensionado.</w:t>
      </w:r>
    </w:p>
    <w:p w14:paraId="54F6B9F9" w14:textId="77777777" w:rsidR="00682AA0" w:rsidRPr="001B525F" w:rsidRDefault="00682AA0" w:rsidP="00CF0973">
      <w:pPr>
        <w:spacing w:after="0"/>
        <w:ind w:left="709" w:hanging="357"/>
        <w:jc w:val="both"/>
        <w:rPr>
          <w:rFonts w:ascii="Arial" w:eastAsia="Times New Roman" w:hAnsi="Arial" w:cs="Arial"/>
          <w:sz w:val="18"/>
          <w:szCs w:val="18"/>
          <w:lang w:eastAsia="es-ES"/>
        </w:rPr>
      </w:pPr>
    </w:p>
    <w:p w14:paraId="184967EA" w14:textId="77777777" w:rsidR="00682AA0" w:rsidRPr="00210CFA" w:rsidRDefault="00682AA0" w:rsidP="00CF0973">
      <w:pPr>
        <w:numPr>
          <w:ilvl w:val="0"/>
          <w:numId w:val="35"/>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Un módulo de </w:t>
      </w:r>
      <w:r w:rsidRPr="001B525F">
        <w:rPr>
          <w:rFonts w:ascii="Arial" w:eastAsia="Times New Roman" w:hAnsi="Arial" w:cs="Arial"/>
          <w:i/>
          <w:iCs/>
          <w:sz w:val="18"/>
          <w:szCs w:val="18"/>
          <w:lang w:val="es-ES_tradnl" w:eastAsia="es-ES"/>
        </w:rPr>
        <w:t>Precio</w:t>
      </w:r>
      <w:r w:rsidRPr="001B525F">
        <w:rPr>
          <w:rFonts w:ascii="Arial" w:eastAsia="Times New Roman" w:hAnsi="Arial" w:cs="Arial"/>
          <w:sz w:val="18"/>
          <w:szCs w:val="18"/>
          <w:lang w:val="es-ES_tradnl" w:eastAsia="es-ES"/>
        </w:rPr>
        <w:t xml:space="preserve"> en donde se asignan los costos de la red a los distintos servicios y se calcula el precio final del servicio mayorista.</w:t>
      </w:r>
    </w:p>
    <w:p w14:paraId="52F231D5" w14:textId="77777777" w:rsidR="00E521F5" w:rsidRPr="001B525F" w:rsidRDefault="00E521F5" w:rsidP="00210CFA">
      <w:pPr>
        <w:spacing w:after="0"/>
        <w:jc w:val="both"/>
        <w:rPr>
          <w:rFonts w:ascii="Arial" w:eastAsia="Times New Roman" w:hAnsi="Arial" w:cs="Arial"/>
          <w:sz w:val="18"/>
          <w:szCs w:val="18"/>
          <w:lang w:eastAsia="es-ES"/>
        </w:rPr>
      </w:pPr>
    </w:p>
    <w:p w14:paraId="32210CF9"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Demanda del servicio</w:t>
      </w:r>
    </w:p>
    <w:p w14:paraId="38FB7F67" w14:textId="77777777" w:rsidR="00682AA0" w:rsidRPr="001B525F" w:rsidRDefault="00682AA0" w:rsidP="00CC0143">
      <w:pPr>
        <w:spacing w:after="0"/>
        <w:jc w:val="both"/>
        <w:rPr>
          <w:rFonts w:ascii="Arial" w:eastAsia="Times New Roman" w:hAnsi="Arial" w:cs="Arial"/>
          <w:sz w:val="18"/>
          <w:szCs w:val="18"/>
          <w:lang w:eastAsia="es-ES"/>
        </w:rPr>
      </w:pPr>
    </w:p>
    <w:p w14:paraId="23536F2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demanda (espacio para coubicación) es un dato de entrada al modelo que se alimenta de manera externa en términos de: </w:t>
      </w:r>
    </w:p>
    <w:p w14:paraId="52DD0C9B" w14:textId="77777777" w:rsidR="00682AA0" w:rsidRPr="001B525F" w:rsidRDefault="00682AA0" w:rsidP="00CC0143">
      <w:pPr>
        <w:spacing w:after="0"/>
        <w:jc w:val="both"/>
        <w:rPr>
          <w:rFonts w:ascii="Arial" w:eastAsia="Times New Roman" w:hAnsi="Arial" w:cs="Arial"/>
          <w:sz w:val="18"/>
          <w:szCs w:val="18"/>
          <w:lang w:eastAsia="es-ES"/>
        </w:rPr>
      </w:pPr>
    </w:p>
    <w:p w14:paraId="0539686F" w14:textId="77777777" w:rsidR="00682AA0" w:rsidRPr="001B525F" w:rsidRDefault="00682AA0" w:rsidP="00CF0973">
      <w:pPr>
        <w:numPr>
          <w:ilvl w:val="0"/>
          <w:numId w:val="36"/>
        </w:numPr>
        <w:spacing w:after="0"/>
        <w:ind w:left="709" w:hanging="357"/>
        <w:jc w:val="both"/>
        <w:rPr>
          <w:rFonts w:ascii="Arial" w:eastAsia="Times New Roman" w:hAnsi="Arial" w:cs="Arial"/>
          <w:sz w:val="18"/>
          <w:szCs w:val="18"/>
          <w:lang w:eastAsia="es-ES"/>
        </w:rPr>
      </w:pPr>
      <w:r w:rsidRPr="005C5A3C">
        <w:rPr>
          <w:rFonts w:ascii="Arial" w:eastAsia="Times New Roman" w:hAnsi="Arial" w:cs="Arial"/>
          <w:sz w:val="18"/>
          <w:szCs w:val="18"/>
          <w:lang w:eastAsia="es-ES"/>
        </w:rPr>
        <w:t>Número de operadores que se coubican en la central en el año seleccionado.</w:t>
      </w:r>
    </w:p>
    <w:p w14:paraId="066820CD" w14:textId="77777777" w:rsidR="00682AA0" w:rsidRPr="001B525F" w:rsidRDefault="00682AA0" w:rsidP="00CF0973">
      <w:pPr>
        <w:numPr>
          <w:ilvl w:val="0"/>
          <w:numId w:val="36"/>
        </w:numPr>
        <w:spacing w:after="0"/>
        <w:ind w:left="709" w:hanging="357"/>
        <w:jc w:val="both"/>
        <w:rPr>
          <w:rFonts w:ascii="Arial" w:eastAsia="Times New Roman" w:hAnsi="Arial" w:cs="Arial"/>
          <w:sz w:val="18"/>
          <w:szCs w:val="18"/>
          <w:lang w:eastAsia="es-ES"/>
        </w:rPr>
      </w:pPr>
      <w:r w:rsidRPr="005C5A3C">
        <w:rPr>
          <w:rFonts w:ascii="Arial" w:eastAsia="Times New Roman" w:hAnsi="Arial" w:cs="Arial"/>
          <w:sz w:val="18"/>
          <w:szCs w:val="18"/>
          <w:lang w:eastAsia="es-ES"/>
        </w:rPr>
        <w:t>Espacio para la coubicación (en metros cuadrados) por operador.</w:t>
      </w:r>
    </w:p>
    <w:p w14:paraId="63BF0DF8" w14:textId="77777777" w:rsidR="00682AA0" w:rsidRPr="001B525F" w:rsidRDefault="00682AA0" w:rsidP="00CF0973">
      <w:pPr>
        <w:numPr>
          <w:ilvl w:val="0"/>
          <w:numId w:val="36"/>
        </w:numPr>
        <w:spacing w:after="0"/>
        <w:ind w:left="709" w:hanging="357"/>
        <w:jc w:val="both"/>
        <w:rPr>
          <w:rFonts w:ascii="Arial" w:eastAsia="Times New Roman" w:hAnsi="Arial" w:cs="Arial"/>
          <w:sz w:val="18"/>
          <w:szCs w:val="18"/>
          <w:lang w:eastAsia="es-ES"/>
        </w:rPr>
      </w:pPr>
      <w:r w:rsidRPr="005C5A3C">
        <w:rPr>
          <w:rFonts w:ascii="Arial" w:eastAsia="Times New Roman" w:hAnsi="Arial" w:cs="Arial"/>
          <w:sz w:val="18"/>
          <w:szCs w:val="18"/>
          <w:lang w:eastAsia="es-ES"/>
        </w:rPr>
        <w:t>Consumo de los equipos (del PH y de los CS) así como el tipo de acometida eléctrica a utilizar (48V DC o 127V AC).</w:t>
      </w:r>
    </w:p>
    <w:p w14:paraId="3387D775" w14:textId="77777777" w:rsidR="00682AA0" w:rsidRPr="001B525F" w:rsidRDefault="00682AA0" w:rsidP="00CC0143">
      <w:pPr>
        <w:spacing w:after="0"/>
        <w:jc w:val="both"/>
        <w:rPr>
          <w:rFonts w:ascii="Arial" w:eastAsia="Times New Roman" w:hAnsi="Arial" w:cs="Arial"/>
          <w:sz w:val="18"/>
          <w:szCs w:val="18"/>
          <w:lang w:eastAsia="es-ES"/>
        </w:rPr>
      </w:pPr>
    </w:p>
    <w:p w14:paraId="7D6180B6"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Despliegue y dimensionamiento</w:t>
      </w:r>
    </w:p>
    <w:p w14:paraId="2093C4D3" w14:textId="77777777" w:rsidR="00682AA0" w:rsidRPr="001B525F" w:rsidRDefault="00682AA0" w:rsidP="00CC0143">
      <w:pPr>
        <w:spacing w:after="0"/>
        <w:jc w:val="both"/>
        <w:rPr>
          <w:rFonts w:ascii="Arial" w:eastAsia="Times New Roman" w:hAnsi="Arial" w:cs="Arial"/>
          <w:sz w:val="18"/>
          <w:szCs w:val="18"/>
          <w:lang w:eastAsia="es-ES"/>
        </w:rPr>
      </w:pPr>
    </w:p>
    <w:p w14:paraId="5FF28C1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p>
    <w:p w14:paraId="76F66750" w14:textId="77777777" w:rsidR="00682AA0" w:rsidRPr="001B525F" w:rsidRDefault="00682AA0" w:rsidP="00CC0143">
      <w:pPr>
        <w:spacing w:after="0"/>
        <w:jc w:val="both"/>
        <w:rPr>
          <w:rFonts w:ascii="Arial" w:eastAsia="Times New Roman" w:hAnsi="Arial" w:cs="Arial"/>
          <w:sz w:val="18"/>
          <w:szCs w:val="18"/>
          <w:lang w:eastAsia="es-ES"/>
        </w:rPr>
      </w:pPr>
    </w:p>
    <w:p w14:paraId="65E6510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modelo implementa un dimensionamiento eficiente, es decir, se modela una red moderna equivalente a la del concesionario solicitado utilizando un enfoque teórico ascendente (</w:t>
      </w:r>
      <w:r w:rsidRPr="001B525F">
        <w:rPr>
          <w:rFonts w:ascii="Arial" w:hAnsi="Arial" w:cs="Arial"/>
          <w:sz w:val="18"/>
          <w:szCs w:val="18"/>
        </w:rPr>
        <w:t>bottom-up</w:t>
      </w:r>
      <w:r w:rsidRPr="001B525F">
        <w:rPr>
          <w:rFonts w:ascii="Arial" w:eastAsia="Times New Roman" w:hAnsi="Arial" w:cs="Arial"/>
          <w:sz w:val="18"/>
          <w:szCs w:val="18"/>
          <w:lang w:eastAsia="es-ES"/>
        </w:rPr>
        <w:t>). Asimismo, el modelo permite seleccionar las características apropiadas de la central a modelar.</w:t>
      </w:r>
    </w:p>
    <w:p w14:paraId="4FBFB28A" w14:textId="77777777" w:rsidR="00682AA0" w:rsidRPr="001B525F" w:rsidRDefault="00682AA0" w:rsidP="00CC0143">
      <w:pPr>
        <w:spacing w:after="0"/>
        <w:jc w:val="both"/>
        <w:rPr>
          <w:rFonts w:ascii="Arial" w:eastAsia="Times New Roman" w:hAnsi="Arial" w:cs="Arial"/>
          <w:sz w:val="18"/>
          <w:szCs w:val="18"/>
          <w:lang w:eastAsia="es-ES"/>
        </w:rPr>
      </w:pPr>
    </w:p>
    <w:p w14:paraId="0831440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este sentido, es necesario caracterizar el sitio para el que desee calcular el costo según una serie de parámetros técnicos:</w:t>
      </w:r>
    </w:p>
    <w:p w14:paraId="650BAFF6" w14:textId="77777777" w:rsidR="00682AA0" w:rsidRPr="001B525F" w:rsidRDefault="00682AA0" w:rsidP="00CF0973">
      <w:pPr>
        <w:spacing w:after="0"/>
        <w:ind w:left="709" w:hanging="357"/>
        <w:jc w:val="both"/>
        <w:rPr>
          <w:rFonts w:ascii="Arial" w:eastAsia="Times New Roman" w:hAnsi="Arial" w:cs="Arial"/>
          <w:sz w:val="18"/>
          <w:szCs w:val="18"/>
          <w:lang w:eastAsia="es-ES"/>
        </w:rPr>
      </w:pPr>
    </w:p>
    <w:p w14:paraId="0C6A4E08" w14:textId="38BA8278" w:rsidR="00682AA0" w:rsidRPr="001B525F" w:rsidRDefault="00682AA0" w:rsidP="00CF097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Geotipo: zona de tarificación alta, media y baja, por </w:t>
      </w:r>
      <w:r w:rsidR="00433DE4" w:rsidRPr="001B525F">
        <w:rPr>
          <w:rFonts w:ascii="Arial" w:eastAsia="Times New Roman" w:hAnsi="Arial" w:cs="Arial"/>
          <w:sz w:val="18"/>
          <w:szCs w:val="18"/>
          <w:lang w:eastAsia="es-ES"/>
        </w:rPr>
        <w:t>consiguiente,</w:t>
      </w:r>
      <w:r w:rsidRPr="001B525F">
        <w:rPr>
          <w:rFonts w:ascii="Arial" w:eastAsia="Times New Roman" w:hAnsi="Arial" w:cs="Arial"/>
          <w:sz w:val="18"/>
          <w:szCs w:val="18"/>
          <w:lang w:eastAsia="es-ES"/>
        </w:rPr>
        <w:t xml:space="preserve"> se refleja un costo diferente por geotipo, considerando que el mercado inmobiliario y de la construcción se pueden comportar de diferente forma dependiendo de la región geográfica de que se trate. </w:t>
      </w:r>
    </w:p>
    <w:p w14:paraId="6CA409E9" w14:textId="77777777" w:rsidR="00682AA0" w:rsidRPr="001B525F" w:rsidRDefault="00682AA0" w:rsidP="00CF097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Propiedad del predio: propiedad del PH, arrendamiento. En este caso se ha utilizado el escenario de un tercero en arrendamiento en virtud de que se considera que refleja mejor las características del mercado.</w:t>
      </w:r>
    </w:p>
    <w:p w14:paraId="32211EDD" w14:textId="59222215" w:rsidR="00682AA0" w:rsidRPr="001B525F" w:rsidRDefault="00682AA0" w:rsidP="00F94FA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 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3BA9C83F" w14:textId="77777777" w:rsidR="00682AA0" w:rsidRPr="001B525F" w:rsidRDefault="00682AA0" w:rsidP="00CF0973">
      <w:pPr>
        <w:spacing w:after="0"/>
        <w:ind w:left="709" w:hanging="357"/>
        <w:jc w:val="both"/>
        <w:rPr>
          <w:rFonts w:ascii="Arial" w:eastAsia="Times New Roman" w:hAnsi="Arial" w:cs="Arial"/>
          <w:sz w:val="18"/>
          <w:szCs w:val="18"/>
          <w:lang w:eastAsia="es-ES"/>
        </w:rPr>
      </w:pPr>
    </w:p>
    <w:p w14:paraId="7B73E90F" w14:textId="77777777" w:rsidR="00682AA0" w:rsidRPr="001B525F" w:rsidRDefault="00682AA0" w:rsidP="00D32112">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tamaño de la central también es aplicable a un operador móvil que presta el servicio de coubicación pues sus centrales tendrían las mismas dimensiones y serían categorizadas de la misma forma y, el espacio de la sala MDF sería utilizado para albergar equipos relacionados con la red de acceso, por lo cual las características de una central de dos niveles y sus dimensiones son aplicables para centrales de un operador móvil y un operador fijo.</w:t>
      </w:r>
    </w:p>
    <w:p w14:paraId="28C0CBED" w14:textId="77777777" w:rsidR="00682AA0" w:rsidRPr="001B525F" w:rsidRDefault="00682AA0" w:rsidP="00CF0973">
      <w:pPr>
        <w:spacing w:after="0"/>
        <w:ind w:left="709" w:hanging="357"/>
        <w:jc w:val="both"/>
        <w:rPr>
          <w:rFonts w:ascii="Arial" w:eastAsia="Times New Roman" w:hAnsi="Arial" w:cs="Arial"/>
          <w:sz w:val="18"/>
          <w:szCs w:val="18"/>
          <w:lang w:eastAsia="es-ES"/>
        </w:rPr>
      </w:pPr>
    </w:p>
    <w:p w14:paraId="075C1719" w14:textId="77777777" w:rsidR="00682AA0" w:rsidRPr="001B525F" w:rsidRDefault="00682AA0" w:rsidP="00CF097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Tipo de coubicación requerida: </w:t>
      </w:r>
    </w:p>
    <w:p w14:paraId="4C2031D7" w14:textId="77777777" w:rsidR="00682AA0" w:rsidRPr="001B525F" w:rsidRDefault="00682AA0" w:rsidP="00D32112">
      <w:pPr>
        <w:numPr>
          <w:ilvl w:val="1"/>
          <w:numId w:val="37"/>
        </w:numPr>
        <w:spacing w:after="0"/>
        <w:ind w:left="1134"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Coubicación interna. La coubicación se lleva a cabo dentro de la central.</w:t>
      </w:r>
    </w:p>
    <w:p w14:paraId="0A24DC8D" w14:textId="77777777" w:rsidR="00682AA0" w:rsidRPr="001B525F" w:rsidRDefault="00682AA0" w:rsidP="00D32112">
      <w:pPr>
        <w:numPr>
          <w:ilvl w:val="1"/>
          <w:numId w:val="37"/>
        </w:numPr>
        <w:spacing w:after="0"/>
        <w:ind w:left="1134"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Coubicación externa. La coubicación se lleva a cabo dentro del predio de la central.</w:t>
      </w:r>
    </w:p>
    <w:p w14:paraId="432DBFB9" w14:textId="77777777" w:rsidR="00682AA0" w:rsidRPr="001B525F" w:rsidRDefault="00682AA0" w:rsidP="00D32112">
      <w:pPr>
        <w:numPr>
          <w:ilvl w:val="1"/>
          <w:numId w:val="37"/>
        </w:numPr>
        <w:spacing w:after="0"/>
        <w:ind w:left="1134"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Coubicación equipada. Corresponde a la coubicación tipo 3 (gabinete).</w:t>
      </w:r>
    </w:p>
    <w:p w14:paraId="06FE9FD8" w14:textId="77777777" w:rsidR="00682AA0" w:rsidRPr="001B525F" w:rsidRDefault="00682AA0" w:rsidP="00F94FA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El espacio de coubicación servirá de base para el dimensionamiento de las salas de coubicación (mínimo 4m2).</w:t>
      </w:r>
    </w:p>
    <w:p w14:paraId="67B36915" w14:textId="6EB2F982" w:rsidR="00682AA0" w:rsidRPr="00EC16B0" w:rsidRDefault="00682AA0" w:rsidP="00F94FA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Cabe mencionar que en el caso de coubicación externa difiere de la coubicación interna únicamente en los gastos de instalación, y no así en los costos recurrentes.</w:t>
      </w:r>
    </w:p>
    <w:p w14:paraId="68D34775" w14:textId="77777777" w:rsidR="00682AA0" w:rsidRPr="001B525F" w:rsidRDefault="00682AA0" w:rsidP="00F94FA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Tipo de acometida eléctrica: AC_127V, DC_48V</w:t>
      </w:r>
    </w:p>
    <w:p w14:paraId="3D83F208" w14:textId="09F5AC7C" w:rsidR="00682AA0" w:rsidRPr="001B525F" w:rsidRDefault="00682AA0" w:rsidP="00F94FA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Aire acondicionado: sí (presente), no (ausente)</w:t>
      </w:r>
      <w:r w:rsidR="00E01417">
        <w:rPr>
          <w:rFonts w:ascii="Arial" w:eastAsia="Times New Roman" w:hAnsi="Arial" w:cs="Arial"/>
          <w:sz w:val="18"/>
          <w:szCs w:val="18"/>
          <w:lang w:eastAsia="es-ES"/>
        </w:rPr>
        <w:t>.</w:t>
      </w:r>
    </w:p>
    <w:p w14:paraId="4ACA3DFD" w14:textId="1E6D8769" w:rsidR="00682AA0" w:rsidRPr="001B525F" w:rsidRDefault="00682AA0" w:rsidP="00F94FA3">
      <w:pPr>
        <w:numPr>
          <w:ilvl w:val="0"/>
          <w:numId w:val="36"/>
        </w:num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Fuente de energía de respaldo: sí (presente), no (ausente)</w:t>
      </w:r>
      <w:r w:rsidR="00E01417">
        <w:rPr>
          <w:rFonts w:ascii="Arial" w:eastAsia="Times New Roman" w:hAnsi="Arial" w:cs="Arial"/>
          <w:sz w:val="18"/>
          <w:szCs w:val="18"/>
          <w:lang w:eastAsia="es-ES"/>
        </w:rPr>
        <w:t>.</w:t>
      </w:r>
    </w:p>
    <w:p w14:paraId="4BB8E568" w14:textId="77777777" w:rsidR="00682AA0" w:rsidRPr="001B525F" w:rsidRDefault="00682AA0" w:rsidP="00CC0143">
      <w:pPr>
        <w:spacing w:after="0"/>
        <w:jc w:val="both"/>
        <w:rPr>
          <w:rFonts w:ascii="Arial" w:eastAsia="Times New Roman" w:hAnsi="Arial" w:cs="Arial"/>
          <w:sz w:val="18"/>
          <w:szCs w:val="18"/>
          <w:lang w:eastAsia="es-ES"/>
        </w:rPr>
      </w:pPr>
    </w:p>
    <w:p w14:paraId="0F45A01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Por su parte, las salas ubicadas en la central del PH consideradas en el modelo se dimensionan en base a los siguientes parámetros:</w:t>
      </w:r>
    </w:p>
    <w:p w14:paraId="7D1BA656" w14:textId="77777777" w:rsidR="00682AA0" w:rsidRPr="001B525F" w:rsidRDefault="00682AA0" w:rsidP="00CC0143">
      <w:pPr>
        <w:spacing w:after="0"/>
        <w:rPr>
          <w:rFonts w:ascii="Arial" w:eastAsia="Times New Roman" w:hAnsi="Arial" w:cs="Arial"/>
          <w:sz w:val="18"/>
          <w:szCs w:val="18"/>
          <w:lang w:eastAsia="es-ES"/>
        </w:rPr>
      </w:pPr>
    </w:p>
    <w:tbl>
      <w:tblPr>
        <w:tblStyle w:val="Tabladecuadrcula4"/>
        <w:tblW w:w="5000" w:type="pct"/>
        <w:tblLook w:val="0420" w:firstRow="1" w:lastRow="0" w:firstColumn="0" w:lastColumn="0" w:noHBand="0" w:noVBand="1"/>
      </w:tblPr>
      <w:tblGrid>
        <w:gridCol w:w="1822"/>
        <w:gridCol w:w="7572"/>
      </w:tblGrid>
      <w:tr w:rsidR="001B525F" w:rsidRPr="009049D5" w14:paraId="38CC45AA" w14:textId="77777777" w:rsidTr="002021E3">
        <w:trPr>
          <w:cnfStyle w:val="100000000000" w:firstRow="1" w:lastRow="0" w:firstColumn="0" w:lastColumn="0" w:oddVBand="0" w:evenVBand="0" w:oddHBand="0" w:evenHBand="0" w:firstRowFirstColumn="0" w:firstRowLastColumn="0" w:lastRowFirstColumn="0" w:lastRowLastColumn="0"/>
          <w:trHeight w:val="440"/>
        </w:trPr>
        <w:tc>
          <w:tcPr>
            <w:tcW w:w="9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8C9277B"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Sala</w:t>
            </w:r>
          </w:p>
        </w:tc>
        <w:tc>
          <w:tcPr>
            <w:tcW w:w="403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7FC6570"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Descripción / dimensionamiento</w:t>
            </w:r>
          </w:p>
        </w:tc>
      </w:tr>
      <w:tr w:rsidR="001B525F" w:rsidRPr="009049D5" w14:paraId="5D8B5FB9" w14:textId="77777777" w:rsidTr="002021E3">
        <w:trPr>
          <w:cnfStyle w:val="000000100000" w:firstRow="0" w:lastRow="0" w:firstColumn="0" w:lastColumn="0" w:oddVBand="0" w:evenVBand="0" w:oddHBand="1" w:evenHBand="0" w:firstRowFirstColumn="0" w:firstRowLastColumn="0" w:lastRowFirstColumn="0" w:lastRowLastColumn="0"/>
          <w:trHeight w:val="444"/>
        </w:trPr>
        <w:tc>
          <w:tcPr>
            <w:tcW w:w="970" w:type="pct"/>
            <w:tcBorders>
              <w:top w:val="single" w:sz="4" w:space="0" w:color="000000"/>
            </w:tcBorders>
            <w:hideMark/>
          </w:tcPr>
          <w:p w14:paraId="0F996BA5"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MDF/ODF HP</w:t>
            </w:r>
          </w:p>
        </w:tc>
        <w:tc>
          <w:tcPr>
            <w:tcW w:w="4030" w:type="pct"/>
            <w:tcBorders>
              <w:top w:val="single" w:sz="4" w:space="0" w:color="000000"/>
            </w:tcBorders>
            <w:hideMark/>
          </w:tcPr>
          <w:p w14:paraId="0BC3471A" w14:textId="1F27CB95"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Sala donde se conecta el distribuidor general (MDF) del PH o su equivalente óptico (ODF). Esta sala no se comparte con el </w:t>
            </w:r>
            <w:r w:rsidR="00692D02" w:rsidRPr="009049D5">
              <w:rPr>
                <w:rFonts w:ascii="Arial" w:eastAsia="Times New Roman" w:hAnsi="Arial" w:cs="Arial"/>
                <w:sz w:val="16"/>
                <w:szCs w:val="18"/>
                <w:lang w:val="es-ES_tradnl" w:eastAsia="es-ES"/>
              </w:rPr>
              <w:t>PH,</w:t>
            </w:r>
            <w:r w:rsidRPr="009049D5">
              <w:rPr>
                <w:rFonts w:ascii="Arial" w:eastAsia="Times New Roman" w:hAnsi="Arial" w:cs="Arial"/>
                <w:sz w:val="16"/>
                <w:szCs w:val="18"/>
                <w:lang w:val="es-ES_tradnl" w:eastAsia="es-ES"/>
              </w:rPr>
              <w:t xml:space="preserve"> pero </w:t>
            </w:r>
            <w:r w:rsidR="0080340D" w:rsidRPr="009049D5">
              <w:rPr>
                <w:rFonts w:ascii="Arial" w:eastAsia="Times New Roman" w:hAnsi="Arial" w:cs="Arial"/>
                <w:sz w:val="16"/>
                <w:szCs w:val="18"/>
                <w:lang w:val="es-ES_tradnl" w:eastAsia="es-ES"/>
              </w:rPr>
              <w:t>el distribuidor de los CS se conecta</w:t>
            </w:r>
            <w:r w:rsidRPr="009049D5">
              <w:rPr>
                <w:rFonts w:ascii="Arial" w:eastAsia="Times New Roman" w:hAnsi="Arial" w:cs="Arial"/>
                <w:sz w:val="16"/>
                <w:szCs w:val="18"/>
                <w:lang w:val="es-ES_tradnl" w:eastAsia="es-ES"/>
              </w:rPr>
              <w:t xml:space="preserve"> al distribuidor principal del PH</w:t>
            </w:r>
          </w:p>
        </w:tc>
      </w:tr>
      <w:tr w:rsidR="001B525F" w:rsidRPr="009049D5" w14:paraId="42C903DB" w14:textId="77777777" w:rsidTr="007740FC">
        <w:trPr>
          <w:trHeight w:val="444"/>
        </w:trPr>
        <w:tc>
          <w:tcPr>
            <w:tcW w:w="970" w:type="pct"/>
            <w:hideMark/>
          </w:tcPr>
          <w:p w14:paraId="46E42DA6"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coubicación CS</w:t>
            </w:r>
          </w:p>
        </w:tc>
        <w:tc>
          <w:tcPr>
            <w:tcW w:w="4030" w:type="pct"/>
            <w:hideMark/>
          </w:tcPr>
          <w:p w14:paraId="3AB8134B"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Sala de coubicación para los CS que cuenta con las facilidades técnicas necesarias para la ubicación de sus equipos. </w:t>
            </w:r>
          </w:p>
        </w:tc>
      </w:tr>
      <w:tr w:rsidR="001B525F" w:rsidRPr="009049D5" w14:paraId="1CB181A5" w14:textId="77777777" w:rsidTr="007740FC">
        <w:trPr>
          <w:cnfStyle w:val="000000100000" w:firstRow="0" w:lastRow="0" w:firstColumn="0" w:lastColumn="0" w:oddVBand="0" w:evenVBand="0" w:oddHBand="1" w:evenHBand="0" w:firstRowFirstColumn="0" w:firstRowLastColumn="0" w:lastRowFirstColumn="0" w:lastRowLastColumn="0"/>
          <w:trHeight w:val="266"/>
        </w:trPr>
        <w:tc>
          <w:tcPr>
            <w:tcW w:w="970" w:type="pct"/>
            <w:hideMark/>
          </w:tcPr>
          <w:p w14:paraId="34A5B9B5"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de control</w:t>
            </w:r>
          </w:p>
        </w:tc>
        <w:tc>
          <w:tcPr>
            <w:tcW w:w="4030" w:type="pct"/>
            <w:hideMark/>
          </w:tcPr>
          <w:p w14:paraId="54D223BA"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La sala de control se dimensiona en función del tamaño de la central</w:t>
            </w:r>
          </w:p>
        </w:tc>
      </w:tr>
      <w:tr w:rsidR="001B525F" w:rsidRPr="009049D5" w14:paraId="0E91844A" w14:textId="77777777" w:rsidTr="007740FC">
        <w:trPr>
          <w:trHeight w:val="306"/>
        </w:trPr>
        <w:tc>
          <w:tcPr>
            <w:tcW w:w="970" w:type="pct"/>
            <w:hideMark/>
          </w:tcPr>
          <w:p w14:paraId="60C76012"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Sala de </w:t>
            </w:r>
            <w:r w:rsidRPr="009049D5">
              <w:rPr>
                <w:rFonts w:ascii="Arial" w:eastAsia="Times New Roman" w:hAnsi="Arial" w:cs="Arial"/>
                <w:i/>
                <w:iCs/>
                <w:sz w:val="16"/>
                <w:szCs w:val="18"/>
                <w:lang w:val="es-ES_tradnl" w:eastAsia="es-ES"/>
              </w:rPr>
              <w:t>switching</w:t>
            </w:r>
          </w:p>
        </w:tc>
        <w:tc>
          <w:tcPr>
            <w:tcW w:w="4030" w:type="pct"/>
            <w:hideMark/>
          </w:tcPr>
          <w:p w14:paraId="5BBD772B"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La sala de </w:t>
            </w:r>
            <w:r w:rsidRPr="009049D5">
              <w:rPr>
                <w:rFonts w:ascii="Arial" w:eastAsia="Times New Roman" w:hAnsi="Arial" w:cs="Arial"/>
                <w:i/>
                <w:iCs/>
                <w:sz w:val="16"/>
                <w:szCs w:val="18"/>
                <w:lang w:val="es-ES_tradnl" w:eastAsia="es-ES"/>
              </w:rPr>
              <w:t>switching</w:t>
            </w:r>
            <w:r w:rsidRPr="009049D5">
              <w:rPr>
                <w:rFonts w:ascii="Arial" w:eastAsia="Times New Roman" w:hAnsi="Arial" w:cs="Arial"/>
                <w:sz w:val="16"/>
                <w:szCs w:val="18"/>
                <w:lang w:val="es-ES_tradnl" w:eastAsia="es-ES"/>
              </w:rPr>
              <w:t xml:space="preserve"> se dimensiona en función del tamaño de la central</w:t>
            </w:r>
          </w:p>
        </w:tc>
      </w:tr>
      <w:tr w:rsidR="001B525F" w:rsidRPr="009049D5" w14:paraId="4BADF606"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7F8CD249"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equipos de transmisión</w:t>
            </w:r>
          </w:p>
        </w:tc>
        <w:tc>
          <w:tcPr>
            <w:tcW w:w="4030" w:type="pct"/>
            <w:hideMark/>
          </w:tcPr>
          <w:p w14:paraId="586C3EB1"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La sala de equipos de transmisión del PH se dimensiona en función del tamaño de la central (en la versión corriente del modelo). En esta sala el PH instala también los equipos DSLAM/MSAN</w:t>
            </w:r>
          </w:p>
        </w:tc>
      </w:tr>
      <w:tr w:rsidR="001B525F" w:rsidRPr="009049D5" w14:paraId="473D455D" w14:textId="77777777" w:rsidTr="007740FC">
        <w:trPr>
          <w:trHeight w:val="444"/>
        </w:trPr>
        <w:tc>
          <w:tcPr>
            <w:tcW w:w="970" w:type="pct"/>
            <w:hideMark/>
          </w:tcPr>
          <w:p w14:paraId="6BC42955"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subestación eléctrica</w:t>
            </w:r>
          </w:p>
        </w:tc>
        <w:tc>
          <w:tcPr>
            <w:tcW w:w="4030" w:type="pct"/>
            <w:hideMark/>
          </w:tcPr>
          <w:p w14:paraId="5F7283F5"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La sala de subestación eléctrica se dimensiona en función de la potencia de los equipos del PH y los CS</w:t>
            </w:r>
          </w:p>
        </w:tc>
      </w:tr>
      <w:tr w:rsidR="001B525F" w:rsidRPr="009049D5" w14:paraId="0BFB32B6"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149AE830"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planta de emergencia</w:t>
            </w:r>
          </w:p>
        </w:tc>
        <w:tc>
          <w:tcPr>
            <w:tcW w:w="4030" w:type="pct"/>
            <w:hideMark/>
          </w:tcPr>
          <w:p w14:paraId="15CA4664"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La sala de planta de emergencia se dimensiona en función de la potencia de los equipos del PH y los CS</w:t>
            </w:r>
          </w:p>
        </w:tc>
      </w:tr>
      <w:tr w:rsidR="001B525F" w:rsidRPr="009049D5" w14:paraId="12532933" w14:textId="77777777" w:rsidTr="007740FC">
        <w:trPr>
          <w:trHeight w:val="266"/>
        </w:trPr>
        <w:tc>
          <w:tcPr>
            <w:tcW w:w="970" w:type="pct"/>
            <w:hideMark/>
          </w:tcPr>
          <w:p w14:paraId="3ED5356D"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baterías</w:t>
            </w:r>
          </w:p>
        </w:tc>
        <w:tc>
          <w:tcPr>
            <w:tcW w:w="4030" w:type="pct"/>
            <w:hideMark/>
          </w:tcPr>
          <w:p w14:paraId="146F711D"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La sala de baterías se dimensiona en función de la potencia de los equipos del PH y los CS</w:t>
            </w:r>
          </w:p>
        </w:tc>
      </w:tr>
      <w:tr w:rsidR="001B525F" w:rsidRPr="009049D5" w14:paraId="2733BC75"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1B603DD4"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aire acondicionado</w:t>
            </w:r>
          </w:p>
        </w:tc>
        <w:tc>
          <w:tcPr>
            <w:tcW w:w="4030" w:type="pct"/>
            <w:hideMark/>
          </w:tcPr>
          <w:p w14:paraId="5630BF9D"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La sala de aire acondicionado se dimensiona en función del tamaño de la central</w:t>
            </w:r>
          </w:p>
        </w:tc>
      </w:tr>
      <w:tr w:rsidR="001B525F" w:rsidRPr="009049D5" w14:paraId="36540AE7" w14:textId="77777777" w:rsidTr="007740FC">
        <w:trPr>
          <w:trHeight w:val="444"/>
        </w:trPr>
        <w:tc>
          <w:tcPr>
            <w:tcW w:w="970" w:type="pct"/>
            <w:hideMark/>
          </w:tcPr>
          <w:p w14:paraId="06D1A6DB"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Espacio de </w:t>
            </w:r>
            <w:r w:rsidRPr="009049D5">
              <w:rPr>
                <w:rFonts w:ascii="Arial" w:eastAsia="Times New Roman" w:hAnsi="Arial" w:cs="Arial"/>
                <w:i/>
                <w:iCs/>
                <w:sz w:val="16"/>
                <w:szCs w:val="18"/>
                <w:lang w:val="es-ES_tradnl" w:eastAsia="es-ES"/>
              </w:rPr>
              <w:t>overheads</w:t>
            </w:r>
          </w:p>
        </w:tc>
        <w:tc>
          <w:tcPr>
            <w:tcW w:w="4030" w:type="pct"/>
            <w:hideMark/>
          </w:tcPr>
          <w:p w14:paraId="33FAC493"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El espacio para </w:t>
            </w:r>
            <w:r w:rsidRPr="009049D5">
              <w:rPr>
                <w:rFonts w:ascii="Arial" w:eastAsia="Times New Roman" w:hAnsi="Arial" w:cs="Arial"/>
                <w:i/>
                <w:iCs/>
                <w:sz w:val="16"/>
                <w:szCs w:val="18"/>
                <w:lang w:val="es-ES_tradnl" w:eastAsia="es-ES"/>
              </w:rPr>
              <w:t>overheads</w:t>
            </w:r>
            <w:r w:rsidRPr="009049D5">
              <w:rPr>
                <w:rFonts w:ascii="Arial" w:eastAsia="Times New Roman" w:hAnsi="Arial" w:cs="Arial"/>
                <w:sz w:val="16"/>
                <w:szCs w:val="18"/>
                <w:lang w:val="es-ES_tradnl" w:eastAsia="es-ES"/>
              </w:rPr>
              <w:t xml:space="preserve"> (pasillos, escaleras, baños, etc.) está dimensionado con un </w:t>
            </w:r>
            <w:r w:rsidRPr="009049D5">
              <w:rPr>
                <w:rFonts w:ascii="Arial" w:eastAsia="Times New Roman" w:hAnsi="Arial" w:cs="Arial"/>
                <w:i/>
                <w:iCs/>
                <w:sz w:val="16"/>
                <w:szCs w:val="18"/>
                <w:lang w:val="es-ES_tradnl" w:eastAsia="es-ES"/>
              </w:rPr>
              <w:t>mark-up</w:t>
            </w:r>
            <w:r w:rsidRPr="009049D5">
              <w:rPr>
                <w:rFonts w:ascii="Arial" w:eastAsia="Times New Roman" w:hAnsi="Arial" w:cs="Arial"/>
                <w:sz w:val="16"/>
                <w:szCs w:val="18"/>
                <w:lang w:val="es-ES_tradnl" w:eastAsia="es-ES"/>
              </w:rPr>
              <w:t xml:space="preserve"> del área de las salas ‘útiles’ (es decir, suma del área ocupada por las salas)</w:t>
            </w:r>
          </w:p>
        </w:tc>
      </w:tr>
    </w:tbl>
    <w:p w14:paraId="51330F0B" w14:textId="0A81F442"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Tabla </w:t>
      </w:r>
      <w:r w:rsidR="00950820">
        <w:rPr>
          <w:rFonts w:ascii="Arial" w:eastAsia="Times New Roman" w:hAnsi="Arial" w:cs="Arial"/>
          <w:sz w:val="18"/>
          <w:szCs w:val="18"/>
          <w:lang w:eastAsia="es-ES"/>
        </w:rPr>
        <w:t>9</w:t>
      </w:r>
      <w:r w:rsidRPr="001B525F">
        <w:rPr>
          <w:rFonts w:ascii="Arial" w:eastAsia="Times New Roman" w:hAnsi="Arial" w:cs="Arial"/>
          <w:sz w:val="18"/>
          <w:szCs w:val="18"/>
          <w:lang w:eastAsia="es-ES"/>
        </w:rPr>
        <w:t>. Dimensionamiento de las salas.</w:t>
      </w:r>
    </w:p>
    <w:p w14:paraId="2ED4EBA5" w14:textId="77777777" w:rsidR="00682AA0" w:rsidRPr="001B525F" w:rsidRDefault="00682AA0" w:rsidP="00CC0143">
      <w:pPr>
        <w:spacing w:after="0"/>
        <w:jc w:val="both"/>
        <w:rPr>
          <w:rFonts w:ascii="Arial" w:eastAsia="Times New Roman" w:hAnsi="Arial" w:cs="Arial"/>
          <w:sz w:val="18"/>
          <w:szCs w:val="18"/>
          <w:lang w:eastAsia="es-ES"/>
        </w:rPr>
      </w:pPr>
    </w:p>
    <w:p w14:paraId="3960D9D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Algunas salas de las centrales del PH (sala MDF/ODF/BSC PH, sala de control, sala de switching, sala de equipos de transmisión y sala de aire acondicionado) se han dimensionado en función de un tamaño de la central promedio; otras se han dimensionado en función de la potencia requerida por los equipos instalados en dichas salas.</w:t>
      </w:r>
    </w:p>
    <w:p w14:paraId="53917F65" w14:textId="77777777" w:rsidR="00682AA0" w:rsidRPr="001B525F" w:rsidRDefault="00682AA0" w:rsidP="00CC0143">
      <w:pPr>
        <w:spacing w:after="0"/>
        <w:jc w:val="both"/>
        <w:rPr>
          <w:rFonts w:ascii="Arial" w:eastAsia="Times New Roman" w:hAnsi="Arial" w:cs="Arial"/>
          <w:sz w:val="18"/>
          <w:szCs w:val="18"/>
          <w:lang w:eastAsia="es-ES"/>
        </w:rPr>
      </w:pPr>
    </w:p>
    <w:p w14:paraId="0FD1165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Los sistemas de respaldo se dimensionan </w:t>
      </w:r>
      <w:r w:rsidRPr="001B525F">
        <w:rPr>
          <w:rFonts w:ascii="Arial" w:hAnsi="Arial" w:cs="Arial"/>
          <w:sz w:val="18"/>
          <w:szCs w:val="18"/>
        </w:rPr>
        <w:t>bottom-up</w:t>
      </w:r>
      <w:r w:rsidRPr="001B525F">
        <w:rPr>
          <w:rFonts w:ascii="Arial" w:eastAsia="Times New Roman" w:hAnsi="Arial" w:cs="Arial"/>
          <w:sz w:val="18"/>
          <w:szCs w:val="18"/>
          <w:lang w:eastAsia="es-ES"/>
        </w:rPr>
        <w:t xml:space="preserve"> a partir del consumo de energía y del espacio ocupado, respectivamente.</w:t>
      </w:r>
    </w:p>
    <w:p w14:paraId="6351E5FC" w14:textId="77777777" w:rsidR="00682AA0" w:rsidRPr="001B525F" w:rsidRDefault="00682AA0" w:rsidP="00CC0143">
      <w:pPr>
        <w:spacing w:after="0"/>
        <w:jc w:val="both"/>
        <w:rPr>
          <w:rFonts w:ascii="Arial" w:eastAsia="Times New Roman" w:hAnsi="Arial" w:cs="Arial"/>
          <w:sz w:val="18"/>
          <w:szCs w:val="18"/>
          <w:lang w:eastAsia="es-ES"/>
        </w:rPr>
      </w:pPr>
    </w:p>
    <w:p w14:paraId="57F0D61A" w14:textId="77777777" w:rsidR="00682AA0" w:rsidRPr="001B525F" w:rsidRDefault="00682AA0" w:rsidP="00CC0143">
      <w:pPr>
        <w:spacing w:after="0"/>
        <w:jc w:val="both"/>
        <w:rPr>
          <w:rFonts w:ascii="Arial" w:hAnsi="Arial" w:cs="Arial"/>
          <w:sz w:val="18"/>
          <w:szCs w:val="18"/>
        </w:rPr>
      </w:pPr>
      <w:r w:rsidRPr="001B525F">
        <w:rPr>
          <w:rFonts w:ascii="Arial" w:eastAsia="Times New Roman" w:hAnsi="Arial" w:cs="Arial"/>
          <w:sz w:val="18"/>
          <w:szCs w:val="18"/>
          <w:lang w:eastAsia="es-ES"/>
        </w:rPr>
        <w:t>Para el dimensionamiento de las salas de MDF/ODF/BSC, se consideran módulos con dimensiones de 0.18 metros de ancho por 1.30 metros de profundidad. Con base en la capacidad de los módulos MDF y los tamaños definidos para las centrales del PH, se requieren 2 módulos MDF para una central promedio. En el caso móvil se considera que las dimensiones calculadas para la sala son razonables y utilizadas para albergar equipos relacionados con la red de acceso.</w:t>
      </w:r>
    </w:p>
    <w:p w14:paraId="4D529051" w14:textId="77777777" w:rsidR="00682AA0" w:rsidRPr="001B525F" w:rsidRDefault="00682AA0" w:rsidP="00CC0143">
      <w:pPr>
        <w:spacing w:after="0"/>
        <w:jc w:val="both"/>
        <w:rPr>
          <w:rFonts w:ascii="Arial" w:eastAsia="Times New Roman" w:hAnsi="Arial" w:cs="Arial"/>
          <w:sz w:val="18"/>
          <w:szCs w:val="18"/>
          <w:lang w:eastAsia="es-ES"/>
        </w:rPr>
      </w:pPr>
    </w:p>
    <w:p w14:paraId="73774A5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Se asumen 1.5 metros</w:t>
      </w:r>
      <w:r w:rsidRPr="001B525F">
        <w:rPr>
          <w:rFonts w:ascii="Arial" w:eastAsia="Times New Roman" w:hAnsi="Arial" w:cs="Arial"/>
          <w:sz w:val="18"/>
          <w:szCs w:val="18"/>
          <w:vertAlign w:val="superscript"/>
          <w:lang w:eastAsia="es-ES"/>
        </w:rPr>
        <w:t xml:space="preserve"> </w:t>
      </w:r>
      <w:r w:rsidRPr="001B525F">
        <w:rPr>
          <w:rFonts w:ascii="Arial" w:eastAsia="Times New Roman" w:hAnsi="Arial" w:cs="Arial"/>
          <w:sz w:val="18"/>
          <w:szCs w:val="18"/>
          <w:lang w:eastAsia="es-ES"/>
        </w:rPr>
        <w:t>para maniobra a cada lado, tanto en ancho como en profundidad, en el cual se incluye el espacio necesario para el aire acondicionado y las acometidas.</w:t>
      </w:r>
    </w:p>
    <w:p w14:paraId="426BE06B" w14:textId="77777777" w:rsidR="00682AA0" w:rsidRPr="001B525F" w:rsidRDefault="00682AA0" w:rsidP="00CC0143">
      <w:pPr>
        <w:spacing w:after="0"/>
        <w:jc w:val="both"/>
        <w:rPr>
          <w:rFonts w:ascii="Arial" w:eastAsia="Times New Roman" w:hAnsi="Arial" w:cs="Arial"/>
          <w:sz w:val="18"/>
          <w:szCs w:val="18"/>
          <w:lang w:eastAsia="es-ES"/>
        </w:rPr>
      </w:pPr>
    </w:p>
    <w:p w14:paraId="3F8D499B"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Para dimensionar la sala de switching, se consideraron gabinetes de 0.6 metros de ancho por 0.8 metros de profundidad, con un espacio adicional de 1.5 metros para maniobra a cada lado, tanto en ancho como en profundidad. 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2A4D85E5" w14:textId="77777777" w:rsidR="00682AA0" w:rsidRPr="001B525F" w:rsidRDefault="00682AA0" w:rsidP="00CC0143">
      <w:pPr>
        <w:spacing w:after="0"/>
        <w:jc w:val="both"/>
        <w:rPr>
          <w:rFonts w:ascii="Arial" w:eastAsia="Times New Roman" w:hAnsi="Arial" w:cs="Arial"/>
          <w:sz w:val="18"/>
          <w:szCs w:val="18"/>
          <w:lang w:eastAsia="es-ES"/>
        </w:rPr>
      </w:pPr>
    </w:p>
    <w:tbl>
      <w:tblPr>
        <w:tblStyle w:val="Tabladecuadrcula4"/>
        <w:tblW w:w="0" w:type="auto"/>
        <w:tblLook w:val="0420" w:firstRow="1" w:lastRow="0" w:firstColumn="0" w:lastColumn="0" w:noHBand="0" w:noVBand="1"/>
      </w:tblPr>
      <w:tblGrid>
        <w:gridCol w:w="1723"/>
        <w:gridCol w:w="4462"/>
        <w:gridCol w:w="883"/>
        <w:gridCol w:w="670"/>
        <w:gridCol w:w="777"/>
        <w:gridCol w:w="879"/>
      </w:tblGrid>
      <w:tr w:rsidR="001B525F" w:rsidRPr="009049D5" w14:paraId="6F60C911" w14:textId="77777777" w:rsidTr="002021E3">
        <w:trPr>
          <w:cnfStyle w:val="100000000000" w:firstRow="1" w:lastRow="0" w:firstColumn="0" w:lastColumn="0" w:oddVBand="0" w:evenVBand="0" w:oddHBand="0" w:evenHBand="0" w:firstRowFirstColumn="0" w:firstRowLastColumn="0" w:lastRowFirstColumn="0" w:lastRowLastColumn="0"/>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B1659B6"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eastAsia="es-ES"/>
              </w:rPr>
              <w:t>Sala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37C8BD0" w14:textId="13C6186B"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Supuestos</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C0C653A"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Pequeña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2946AE5"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2D57A62"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Grande</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2C4B502"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val="es-ES_tradnl" w:eastAsia="es-ES"/>
              </w:rPr>
              <w:t>Muy grande</w:t>
            </w:r>
          </w:p>
        </w:tc>
      </w:tr>
      <w:tr w:rsidR="001B525F" w:rsidRPr="009049D5" w14:paraId="5EF419DF" w14:textId="77777777" w:rsidTr="002021E3">
        <w:trPr>
          <w:cnfStyle w:val="000000100000" w:firstRow="0" w:lastRow="0" w:firstColumn="0" w:lastColumn="0" w:oddVBand="0" w:evenVBand="0" w:oddHBand="1" w:evenHBand="0" w:firstRowFirstColumn="0" w:firstRowLastColumn="0" w:lastRowFirstColumn="0" w:lastRowLastColumn="0"/>
          <w:trHeight w:val="197"/>
        </w:trPr>
        <w:tc>
          <w:tcPr>
            <w:tcW w:w="0" w:type="auto"/>
            <w:tcBorders>
              <w:top w:val="single" w:sz="4" w:space="0" w:color="000000"/>
            </w:tcBorders>
          </w:tcPr>
          <w:p w14:paraId="6F0E8BFB"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MDF/ODF del PH</w:t>
            </w:r>
          </w:p>
        </w:tc>
        <w:tc>
          <w:tcPr>
            <w:tcW w:w="0" w:type="auto"/>
            <w:tcBorders>
              <w:top w:val="single" w:sz="4" w:space="0" w:color="000000"/>
            </w:tcBorders>
          </w:tcPr>
          <w:p w14:paraId="1C1D114D"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Dimensionamiento ascendente (</w:t>
            </w:r>
            <w:r w:rsidRPr="009049D5">
              <w:rPr>
                <w:rFonts w:ascii="Arial" w:eastAsia="Times New Roman" w:hAnsi="Arial" w:cs="Arial"/>
                <w:i/>
                <w:iCs/>
                <w:sz w:val="16"/>
                <w:szCs w:val="18"/>
                <w:lang w:val="es-ES_tradnl" w:eastAsia="es-ES"/>
              </w:rPr>
              <w:t>bottom-up</w:t>
            </w:r>
            <w:r w:rsidRPr="009049D5">
              <w:rPr>
                <w:rFonts w:ascii="Arial" w:eastAsia="Times New Roman" w:hAnsi="Arial" w:cs="Arial"/>
                <w:sz w:val="16"/>
                <w:szCs w:val="18"/>
                <w:lang w:val="es-ES_tradnl" w:eastAsia="es-ES"/>
              </w:rPr>
              <w:t>) en función del número de pares terminados y de la capacidad de un módulo MDF estándar</w:t>
            </w:r>
          </w:p>
        </w:tc>
        <w:tc>
          <w:tcPr>
            <w:tcW w:w="0" w:type="auto"/>
            <w:tcBorders>
              <w:top w:val="single" w:sz="4" w:space="0" w:color="000000"/>
            </w:tcBorders>
          </w:tcPr>
          <w:p w14:paraId="222D66DB"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14m</w:t>
            </w:r>
            <w:r w:rsidRPr="009049D5">
              <w:rPr>
                <w:rFonts w:ascii="Arial" w:eastAsia="Times New Roman" w:hAnsi="Arial" w:cs="Arial"/>
                <w:sz w:val="16"/>
                <w:szCs w:val="18"/>
                <w:vertAlign w:val="superscript"/>
                <w:lang w:val="es-ES_tradnl" w:eastAsia="es-ES"/>
              </w:rPr>
              <w:t>2</w:t>
            </w:r>
          </w:p>
        </w:tc>
        <w:tc>
          <w:tcPr>
            <w:tcW w:w="0" w:type="auto"/>
            <w:tcBorders>
              <w:top w:val="single" w:sz="4" w:space="0" w:color="000000"/>
            </w:tcBorders>
          </w:tcPr>
          <w:p w14:paraId="42CF95A8"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14m</w:t>
            </w:r>
            <w:r w:rsidRPr="009049D5">
              <w:rPr>
                <w:rFonts w:ascii="Arial" w:eastAsia="Times New Roman" w:hAnsi="Arial" w:cs="Arial"/>
                <w:sz w:val="16"/>
                <w:szCs w:val="18"/>
                <w:vertAlign w:val="superscript"/>
                <w:lang w:val="es-ES_tradnl" w:eastAsia="es-ES"/>
              </w:rPr>
              <w:t>2</w:t>
            </w:r>
          </w:p>
        </w:tc>
        <w:tc>
          <w:tcPr>
            <w:tcW w:w="0" w:type="auto"/>
            <w:tcBorders>
              <w:top w:val="single" w:sz="4" w:space="0" w:color="000000"/>
            </w:tcBorders>
          </w:tcPr>
          <w:p w14:paraId="30AD2D6B"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17m</w:t>
            </w:r>
            <w:r w:rsidRPr="009049D5">
              <w:rPr>
                <w:rFonts w:ascii="Arial" w:eastAsia="Times New Roman" w:hAnsi="Arial" w:cs="Arial"/>
                <w:sz w:val="16"/>
                <w:szCs w:val="18"/>
                <w:vertAlign w:val="superscript"/>
                <w:lang w:val="es-ES_tradnl" w:eastAsia="es-ES"/>
              </w:rPr>
              <w:t>2</w:t>
            </w:r>
          </w:p>
        </w:tc>
        <w:tc>
          <w:tcPr>
            <w:tcW w:w="0" w:type="auto"/>
            <w:tcBorders>
              <w:top w:val="single" w:sz="4" w:space="0" w:color="000000"/>
            </w:tcBorders>
          </w:tcPr>
          <w:p w14:paraId="7EB41E1C"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23m</w:t>
            </w:r>
            <w:r w:rsidRPr="009049D5">
              <w:rPr>
                <w:rFonts w:ascii="Arial" w:eastAsia="Times New Roman" w:hAnsi="Arial" w:cs="Arial"/>
                <w:sz w:val="16"/>
                <w:szCs w:val="18"/>
                <w:vertAlign w:val="superscript"/>
                <w:lang w:val="es-ES_tradnl" w:eastAsia="es-ES"/>
              </w:rPr>
              <w:t>2</w:t>
            </w:r>
          </w:p>
        </w:tc>
      </w:tr>
      <w:tr w:rsidR="001B525F" w:rsidRPr="009049D5" w14:paraId="5FCA0FE5" w14:textId="77777777" w:rsidTr="007740FC">
        <w:trPr>
          <w:trHeight w:val="197"/>
        </w:trPr>
        <w:tc>
          <w:tcPr>
            <w:tcW w:w="0" w:type="auto"/>
            <w:hideMark/>
          </w:tcPr>
          <w:p w14:paraId="55916A09"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de control</w:t>
            </w:r>
          </w:p>
        </w:tc>
        <w:tc>
          <w:tcPr>
            <w:tcW w:w="0" w:type="auto"/>
            <w:hideMark/>
          </w:tcPr>
          <w:p w14:paraId="469DB5EF"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Estimación</w:t>
            </w:r>
          </w:p>
        </w:tc>
        <w:tc>
          <w:tcPr>
            <w:tcW w:w="0" w:type="auto"/>
            <w:hideMark/>
          </w:tcPr>
          <w:p w14:paraId="2B59636C"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10m</w:t>
            </w:r>
            <w:r w:rsidRPr="009049D5">
              <w:rPr>
                <w:rFonts w:ascii="Arial" w:eastAsia="Times New Roman" w:hAnsi="Arial" w:cs="Arial"/>
                <w:sz w:val="16"/>
                <w:szCs w:val="18"/>
                <w:vertAlign w:val="superscript"/>
                <w:lang w:val="es-ES_tradnl" w:eastAsia="es-ES"/>
              </w:rPr>
              <w:t>2</w:t>
            </w:r>
          </w:p>
        </w:tc>
        <w:tc>
          <w:tcPr>
            <w:tcW w:w="0" w:type="auto"/>
            <w:hideMark/>
          </w:tcPr>
          <w:p w14:paraId="1F47F8A8"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10m</w:t>
            </w:r>
            <w:r w:rsidRPr="009049D5">
              <w:rPr>
                <w:rFonts w:ascii="Arial" w:eastAsia="Times New Roman" w:hAnsi="Arial" w:cs="Arial"/>
                <w:sz w:val="16"/>
                <w:szCs w:val="18"/>
                <w:vertAlign w:val="superscript"/>
                <w:lang w:val="es-ES_tradnl" w:eastAsia="es-ES"/>
              </w:rPr>
              <w:t>2</w:t>
            </w:r>
          </w:p>
        </w:tc>
        <w:tc>
          <w:tcPr>
            <w:tcW w:w="0" w:type="auto"/>
            <w:hideMark/>
          </w:tcPr>
          <w:p w14:paraId="271B1761"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15m</w:t>
            </w:r>
            <w:r w:rsidRPr="009049D5">
              <w:rPr>
                <w:rFonts w:ascii="Arial" w:eastAsia="Times New Roman" w:hAnsi="Arial" w:cs="Arial"/>
                <w:sz w:val="16"/>
                <w:szCs w:val="18"/>
                <w:vertAlign w:val="superscript"/>
                <w:lang w:val="es-ES_tradnl" w:eastAsia="es-ES"/>
              </w:rPr>
              <w:t>2</w:t>
            </w:r>
          </w:p>
        </w:tc>
        <w:tc>
          <w:tcPr>
            <w:tcW w:w="0" w:type="auto"/>
            <w:hideMark/>
          </w:tcPr>
          <w:p w14:paraId="555CAF9D"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15m</w:t>
            </w:r>
            <w:r w:rsidRPr="009049D5">
              <w:rPr>
                <w:rFonts w:ascii="Arial" w:eastAsia="Times New Roman" w:hAnsi="Arial" w:cs="Arial"/>
                <w:sz w:val="16"/>
                <w:szCs w:val="18"/>
                <w:vertAlign w:val="superscript"/>
                <w:lang w:val="es-ES_tradnl" w:eastAsia="es-ES"/>
              </w:rPr>
              <w:t>2</w:t>
            </w:r>
          </w:p>
        </w:tc>
      </w:tr>
      <w:tr w:rsidR="001B525F" w:rsidRPr="009049D5" w14:paraId="00A9F007"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0" w:type="auto"/>
            <w:hideMark/>
          </w:tcPr>
          <w:p w14:paraId="65D0B9AD"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Sala de </w:t>
            </w:r>
            <w:r w:rsidRPr="009049D5">
              <w:rPr>
                <w:rFonts w:ascii="Arial" w:eastAsia="Times New Roman" w:hAnsi="Arial" w:cs="Arial"/>
                <w:i/>
                <w:iCs/>
                <w:sz w:val="16"/>
                <w:szCs w:val="18"/>
                <w:lang w:val="es-ES_tradnl" w:eastAsia="es-ES"/>
              </w:rPr>
              <w:t>switching</w:t>
            </w:r>
            <w:r w:rsidRPr="009049D5">
              <w:rPr>
                <w:rFonts w:ascii="Arial" w:eastAsia="Times New Roman" w:hAnsi="Arial" w:cs="Arial"/>
                <w:sz w:val="16"/>
                <w:szCs w:val="18"/>
                <w:lang w:val="es-ES_tradnl" w:eastAsia="es-ES"/>
              </w:rPr>
              <w:t xml:space="preserve"> del PH</w:t>
            </w:r>
          </w:p>
        </w:tc>
        <w:tc>
          <w:tcPr>
            <w:tcW w:w="0" w:type="auto"/>
            <w:hideMark/>
          </w:tcPr>
          <w:p w14:paraId="13701ADC" w14:textId="77777777" w:rsidR="00682AA0" w:rsidRPr="009049D5" w:rsidRDefault="00682AA0" w:rsidP="00CC0143">
            <w:pPr>
              <w:spacing w:after="0"/>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Número de racks por tamaño de central: </w:t>
            </w:r>
            <w:r w:rsidRPr="009049D5">
              <w:rPr>
                <w:rFonts w:ascii="Arial" w:eastAsia="Times New Roman" w:hAnsi="Arial" w:cs="Arial"/>
                <w:sz w:val="16"/>
                <w:szCs w:val="18"/>
                <w:lang w:val="es-ES_tradnl" w:eastAsia="es-ES"/>
              </w:rPr>
              <w:br/>
              <w:t>2, 4, 8 o 12 racks</w:t>
            </w:r>
          </w:p>
        </w:tc>
        <w:tc>
          <w:tcPr>
            <w:tcW w:w="0" w:type="auto"/>
            <w:hideMark/>
          </w:tcPr>
          <w:p w14:paraId="4EC32ACF"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16m</w:t>
            </w:r>
            <w:r w:rsidRPr="009049D5">
              <w:rPr>
                <w:rFonts w:ascii="Arial" w:eastAsia="Times New Roman" w:hAnsi="Arial" w:cs="Arial"/>
                <w:sz w:val="16"/>
                <w:szCs w:val="18"/>
                <w:vertAlign w:val="superscript"/>
                <w:lang w:val="es-ES_tradnl" w:eastAsia="es-ES"/>
              </w:rPr>
              <w:t>2</w:t>
            </w:r>
          </w:p>
        </w:tc>
        <w:tc>
          <w:tcPr>
            <w:tcW w:w="0" w:type="auto"/>
            <w:hideMark/>
          </w:tcPr>
          <w:p w14:paraId="304E2C94"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21m</w:t>
            </w:r>
            <w:r w:rsidRPr="009049D5">
              <w:rPr>
                <w:rFonts w:ascii="Arial" w:eastAsia="Times New Roman" w:hAnsi="Arial" w:cs="Arial"/>
                <w:sz w:val="16"/>
                <w:szCs w:val="18"/>
                <w:vertAlign w:val="superscript"/>
                <w:lang w:val="es-ES_tradnl" w:eastAsia="es-ES"/>
              </w:rPr>
              <w:t>2</w:t>
            </w:r>
          </w:p>
        </w:tc>
        <w:tc>
          <w:tcPr>
            <w:tcW w:w="0" w:type="auto"/>
            <w:hideMark/>
          </w:tcPr>
          <w:p w14:paraId="4210FA63"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30m</w:t>
            </w:r>
            <w:r w:rsidRPr="009049D5">
              <w:rPr>
                <w:rFonts w:ascii="Arial" w:eastAsia="Times New Roman" w:hAnsi="Arial" w:cs="Arial"/>
                <w:sz w:val="16"/>
                <w:szCs w:val="18"/>
                <w:vertAlign w:val="superscript"/>
                <w:lang w:val="es-ES_tradnl" w:eastAsia="es-ES"/>
              </w:rPr>
              <w:t>2</w:t>
            </w:r>
          </w:p>
        </w:tc>
        <w:tc>
          <w:tcPr>
            <w:tcW w:w="0" w:type="auto"/>
            <w:hideMark/>
          </w:tcPr>
          <w:p w14:paraId="206292E4"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39m</w:t>
            </w:r>
            <w:r w:rsidRPr="009049D5">
              <w:rPr>
                <w:rFonts w:ascii="Arial" w:eastAsia="Times New Roman" w:hAnsi="Arial" w:cs="Arial"/>
                <w:sz w:val="16"/>
                <w:szCs w:val="18"/>
                <w:vertAlign w:val="superscript"/>
                <w:lang w:val="es-ES_tradnl" w:eastAsia="es-ES"/>
              </w:rPr>
              <w:t>2</w:t>
            </w:r>
          </w:p>
        </w:tc>
      </w:tr>
      <w:tr w:rsidR="001B525F" w:rsidRPr="009049D5" w14:paraId="58F88F34" w14:textId="77777777" w:rsidTr="007740FC">
        <w:trPr>
          <w:trHeight w:val="510"/>
        </w:trPr>
        <w:tc>
          <w:tcPr>
            <w:tcW w:w="0" w:type="auto"/>
            <w:hideMark/>
          </w:tcPr>
          <w:p w14:paraId="1269DCB1"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de equipos de transmisión del PH</w:t>
            </w:r>
          </w:p>
        </w:tc>
        <w:tc>
          <w:tcPr>
            <w:tcW w:w="0" w:type="auto"/>
            <w:hideMark/>
          </w:tcPr>
          <w:p w14:paraId="024422DC" w14:textId="77777777" w:rsidR="00682AA0" w:rsidRPr="009049D5" w:rsidRDefault="00682AA0" w:rsidP="00CC0143">
            <w:pPr>
              <w:spacing w:after="0"/>
              <w:rPr>
                <w:rFonts w:ascii="Arial" w:eastAsia="Times New Roman" w:hAnsi="Arial" w:cs="Arial"/>
                <w:sz w:val="16"/>
                <w:szCs w:val="18"/>
                <w:lang w:val="es-ES_tradnl" w:eastAsia="es-ES"/>
              </w:rPr>
            </w:pPr>
            <w:r w:rsidRPr="009049D5">
              <w:rPr>
                <w:rFonts w:ascii="Arial" w:eastAsia="Times New Roman" w:hAnsi="Arial" w:cs="Arial"/>
                <w:sz w:val="16"/>
                <w:szCs w:val="18"/>
                <w:lang w:val="es-ES_tradnl" w:eastAsia="es-ES"/>
              </w:rPr>
              <w:t>Número de racks por tamaño de central:  2, 4, 8 o 12 racks</w:t>
            </w:r>
          </w:p>
        </w:tc>
        <w:tc>
          <w:tcPr>
            <w:tcW w:w="0" w:type="auto"/>
            <w:hideMark/>
          </w:tcPr>
          <w:p w14:paraId="0AFA0583"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16m</w:t>
            </w:r>
            <w:r w:rsidRPr="009049D5">
              <w:rPr>
                <w:rFonts w:ascii="Arial" w:eastAsia="Times New Roman" w:hAnsi="Arial" w:cs="Arial"/>
                <w:sz w:val="16"/>
                <w:szCs w:val="18"/>
                <w:vertAlign w:val="superscript"/>
                <w:lang w:val="es-ES_tradnl" w:eastAsia="es-ES"/>
              </w:rPr>
              <w:t>2</w:t>
            </w:r>
          </w:p>
        </w:tc>
        <w:tc>
          <w:tcPr>
            <w:tcW w:w="0" w:type="auto"/>
            <w:hideMark/>
          </w:tcPr>
          <w:p w14:paraId="34B23B89"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21m</w:t>
            </w:r>
            <w:r w:rsidRPr="009049D5">
              <w:rPr>
                <w:rFonts w:ascii="Arial" w:eastAsia="Times New Roman" w:hAnsi="Arial" w:cs="Arial"/>
                <w:sz w:val="16"/>
                <w:szCs w:val="18"/>
                <w:vertAlign w:val="superscript"/>
                <w:lang w:val="es-ES_tradnl" w:eastAsia="es-ES"/>
              </w:rPr>
              <w:t>2</w:t>
            </w:r>
          </w:p>
        </w:tc>
        <w:tc>
          <w:tcPr>
            <w:tcW w:w="0" w:type="auto"/>
            <w:hideMark/>
          </w:tcPr>
          <w:p w14:paraId="34A2CDCA"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30m</w:t>
            </w:r>
            <w:r w:rsidRPr="009049D5">
              <w:rPr>
                <w:rFonts w:ascii="Arial" w:eastAsia="Times New Roman" w:hAnsi="Arial" w:cs="Arial"/>
                <w:sz w:val="16"/>
                <w:szCs w:val="18"/>
                <w:vertAlign w:val="superscript"/>
                <w:lang w:val="es-ES_tradnl" w:eastAsia="es-ES"/>
              </w:rPr>
              <w:t>2</w:t>
            </w:r>
          </w:p>
        </w:tc>
        <w:tc>
          <w:tcPr>
            <w:tcW w:w="0" w:type="auto"/>
            <w:hideMark/>
          </w:tcPr>
          <w:p w14:paraId="64BD9B38"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39m</w:t>
            </w:r>
            <w:r w:rsidRPr="009049D5">
              <w:rPr>
                <w:rFonts w:ascii="Arial" w:eastAsia="Times New Roman" w:hAnsi="Arial" w:cs="Arial"/>
                <w:sz w:val="16"/>
                <w:szCs w:val="18"/>
                <w:vertAlign w:val="superscript"/>
                <w:lang w:val="es-ES_tradnl" w:eastAsia="es-ES"/>
              </w:rPr>
              <w:t>2</w:t>
            </w:r>
          </w:p>
        </w:tc>
      </w:tr>
    </w:tbl>
    <w:p w14:paraId="529AB241" w14:textId="2AAE7B7E"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Tabla </w:t>
      </w:r>
      <w:r w:rsidR="00950820">
        <w:rPr>
          <w:rFonts w:ascii="Arial" w:eastAsia="Times New Roman" w:hAnsi="Arial" w:cs="Arial"/>
          <w:sz w:val="18"/>
          <w:szCs w:val="18"/>
          <w:lang w:eastAsia="es-ES"/>
        </w:rPr>
        <w:t>10</w:t>
      </w:r>
      <w:r w:rsidRPr="001B525F">
        <w:rPr>
          <w:rFonts w:ascii="Arial" w:eastAsia="Times New Roman" w:hAnsi="Arial" w:cs="Arial"/>
          <w:sz w:val="18"/>
          <w:szCs w:val="18"/>
          <w:lang w:eastAsia="es-ES"/>
        </w:rPr>
        <w:t>. Dimensionamiento de las salas del PH.</w:t>
      </w:r>
    </w:p>
    <w:p w14:paraId="13B544D4" w14:textId="77777777" w:rsidR="00682AA0" w:rsidRPr="001B525F" w:rsidRDefault="00682AA0" w:rsidP="00CC0143">
      <w:pPr>
        <w:spacing w:after="0"/>
        <w:jc w:val="both"/>
        <w:rPr>
          <w:rFonts w:ascii="Arial" w:eastAsia="Times New Roman" w:hAnsi="Arial" w:cs="Arial"/>
          <w:sz w:val="18"/>
          <w:szCs w:val="18"/>
          <w:lang w:eastAsia="es-ES"/>
        </w:rPr>
      </w:pPr>
    </w:p>
    <w:p w14:paraId="2C1E2AF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Los</w:t>
      </w:r>
      <w:r w:rsidRPr="001B525F">
        <w:rPr>
          <w:rFonts w:ascii="Arial" w:eastAsia="Times New Roman" w:hAnsi="Arial" w:cs="Arial"/>
          <w:sz w:val="18"/>
          <w:szCs w:val="18"/>
          <w:lang w:val="es-ES_tradnl" w:eastAsia="es-ES"/>
        </w:rPr>
        <w:t xml:space="preserve"> sistemas de respaldo se dimensionan bottom-up a partir del consumo de energía y del respaldo ocupado respectivamente</w:t>
      </w:r>
    </w:p>
    <w:p w14:paraId="1C643209" w14:textId="77777777" w:rsidR="00682AA0" w:rsidRPr="001B525F" w:rsidRDefault="00682AA0" w:rsidP="00CC0143">
      <w:pPr>
        <w:spacing w:after="0"/>
        <w:jc w:val="both"/>
        <w:rPr>
          <w:rFonts w:ascii="Arial" w:eastAsia="Times New Roman" w:hAnsi="Arial" w:cs="Arial"/>
          <w:sz w:val="18"/>
          <w:szCs w:val="18"/>
          <w:lang w:eastAsia="es-ES"/>
        </w:rPr>
      </w:pPr>
    </w:p>
    <w:tbl>
      <w:tblPr>
        <w:tblStyle w:val="Tabladecuadrcula4"/>
        <w:tblW w:w="0" w:type="auto"/>
        <w:tblLook w:val="0420" w:firstRow="1" w:lastRow="0" w:firstColumn="0" w:lastColumn="0" w:noHBand="0" w:noVBand="1"/>
      </w:tblPr>
      <w:tblGrid>
        <w:gridCol w:w="1539"/>
        <w:gridCol w:w="7855"/>
      </w:tblGrid>
      <w:tr w:rsidR="001B525F" w:rsidRPr="009049D5" w14:paraId="630C802F" w14:textId="77777777" w:rsidTr="002021E3">
        <w:trPr>
          <w:cnfStyle w:val="100000000000" w:firstRow="1" w:lastRow="0" w:firstColumn="0" w:lastColumn="0" w:oddVBand="0" w:evenVBand="0" w:oddHBand="0" w:evenHBand="0" w:firstRowFirstColumn="0" w:firstRowLastColumn="0" w:lastRowFirstColumn="0" w:lastRowLastColumn="0"/>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AE03BFD" w14:textId="77777777" w:rsidR="00682AA0" w:rsidRPr="009049D5" w:rsidRDefault="00682AA0" w:rsidP="001B2640">
            <w:pPr>
              <w:spacing w:after="0"/>
              <w:jc w:val="center"/>
              <w:rPr>
                <w:rFonts w:ascii="Arial" w:eastAsia="Times New Roman" w:hAnsi="Arial" w:cs="Arial"/>
                <w:color w:val="auto"/>
                <w:sz w:val="16"/>
                <w:szCs w:val="18"/>
                <w:lang w:eastAsia="es-ES"/>
              </w:rPr>
            </w:pPr>
            <w:r w:rsidRPr="009049D5">
              <w:rPr>
                <w:rFonts w:ascii="Arial" w:eastAsia="Times New Roman" w:hAnsi="Arial" w:cs="Arial"/>
                <w:color w:val="auto"/>
                <w:sz w:val="16"/>
                <w:szCs w:val="18"/>
                <w:lang w:eastAsia="es-ES"/>
              </w:rPr>
              <w:t>Sala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76A4602" w14:textId="77777777" w:rsidR="00682AA0" w:rsidRPr="009049D5" w:rsidRDefault="00682AA0" w:rsidP="001B2640">
            <w:pPr>
              <w:spacing w:after="0"/>
              <w:jc w:val="center"/>
              <w:rPr>
                <w:rFonts w:ascii="Arial" w:hAnsi="Arial" w:cs="Arial"/>
                <w:color w:val="auto"/>
                <w:sz w:val="16"/>
                <w:szCs w:val="18"/>
              </w:rPr>
            </w:pPr>
            <w:r w:rsidRPr="009049D5">
              <w:rPr>
                <w:rFonts w:ascii="Arial" w:hAnsi="Arial" w:cs="Arial"/>
                <w:color w:val="auto"/>
                <w:sz w:val="16"/>
                <w:szCs w:val="18"/>
                <w:lang w:val="es-ES_tradnl"/>
              </w:rPr>
              <w:t>Descripción/dimensiones</w:t>
            </w:r>
          </w:p>
        </w:tc>
      </w:tr>
      <w:tr w:rsidR="001B525F" w:rsidRPr="009049D5" w14:paraId="57EB335A" w14:textId="77777777" w:rsidTr="002021E3">
        <w:trPr>
          <w:cnfStyle w:val="000000100000" w:firstRow="0" w:lastRow="0" w:firstColumn="0" w:lastColumn="0" w:oddVBand="0" w:evenVBand="0" w:oddHBand="1" w:evenHBand="0" w:firstRowFirstColumn="0" w:firstRowLastColumn="0" w:lastRowFirstColumn="0" w:lastRowLastColumn="0"/>
          <w:trHeight w:val="197"/>
        </w:trPr>
        <w:tc>
          <w:tcPr>
            <w:tcW w:w="0" w:type="auto"/>
            <w:tcBorders>
              <w:top w:val="single" w:sz="4" w:space="0" w:color="000000"/>
            </w:tcBorders>
            <w:hideMark/>
          </w:tcPr>
          <w:p w14:paraId="719E7386"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subestación eléctrica</w:t>
            </w:r>
          </w:p>
        </w:tc>
        <w:tc>
          <w:tcPr>
            <w:tcW w:w="0" w:type="auto"/>
            <w:tcBorders>
              <w:top w:val="single" w:sz="4" w:space="0" w:color="000000"/>
            </w:tcBorders>
            <w:hideMark/>
          </w:tcPr>
          <w:p w14:paraId="66C2BD76"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0.5 m2/kW (p.ej. 25 m</w:t>
            </w:r>
            <w:r w:rsidRPr="009049D5">
              <w:rPr>
                <w:rFonts w:ascii="Arial" w:eastAsia="Times New Roman" w:hAnsi="Arial" w:cs="Arial"/>
                <w:sz w:val="16"/>
                <w:szCs w:val="18"/>
                <w:vertAlign w:val="superscript"/>
                <w:lang w:val="es-ES_tradnl" w:eastAsia="es-ES"/>
              </w:rPr>
              <w:t>2</w:t>
            </w:r>
            <w:r w:rsidRPr="009049D5">
              <w:rPr>
                <w:rFonts w:ascii="Arial" w:eastAsia="Times New Roman" w:hAnsi="Arial" w:cs="Arial"/>
                <w:sz w:val="16"/>
                <w:szCs w:val="18"/>
                <w:lang w:val="es-ES_tradnl" w:eastAsia="es-ES"/>
              </w:rPr>
              <w:t xml:space="preserve"> para centrales medianas)</w:t>
            </w:r>
          </w:p>
        </w:tc>
      </w:tr>
      <w:tr w:rsidR="001B525F" w:rsidRPr="009049D5" w14:paraId="095880AD" w14:textId="77777777" w:rsidTr="007740FC">
        <w:trPr>
          <w:trHeight w:val="197"/>
        </w:trPr>
        <w:tc>
          <w:tcPr>
            <w:tcW w:w="0" w:type="auto"/>
            <w:hideMark/>
          </w:tcPr>
          <w:p w14:paraId="751DFB94"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planta de emergencia</w:t>
            </w:r>
          </w:p>
        </w:tc>
        <w:tc>
          <w:tcPr>
            <w:tcW w:w="0" w:type="auto"/>
            <w:hideMark/>
          </w:tcPr>
          <w:p w14:paraId="1A494E96"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 xml:space="preserve">Se dimensiona el motor y el tanque de diésel en base a la potencia de los equipos y a la fuente de respaldo requerida, más un </w:t>
            </w:r>
            <w:r w:rsidRPr="009049D5">
              <w:rPr>
                <w:rFonts w:ascii="Arial" w:hAnsi="Arial" w:cs="Arial"/>
                <w:sz w:val="16"/>
                <w:szCs w:val="18"/>
                <w:lang w:val="es-ES_tradnl"/>
              </w:rPr>
              <w:t>mark-up</w:t>
            </w:r>
            <w:r w:rsidRPr="009049D5">
              <w:rPr>
                <w:rFonts w:ascii="Arial" w:eastAsia="Times New Roman" w:hAnsi="Arial" w:cs="Arial"/>
                <w:sz w:val="16"/>
                <w:szCs w:val="18"/>
                <w:lang w:val="es-ES_tradnl" w:eastAsia="es-ES"/>
              </w:rPr>
              <w:t xml:space="preserve"> de operación. Una maquina típica necesita menos de 10 m</w:t>
            </w:r>
            <w:r w:rsidRPr="009049D5">
              <w:rPr>
                <w:rFonts w:ascii="Arial" w:eastAsia="Times New Roman" w:hAnsi="Arial" w:cs="Arial"/>
                <w:sz w:val="16"/>
                <w:szCs w:val="18"/>
                <w:vertAlign w:val="superscript"/>
                <w:lang w:val="es-ES_tradnl" w:eastAsia="es-ES"/>
              </w:rPr>
              <w:t>2</w:t>
            </w:r>
            <w:r w:rsidRPr="009049D5">
              <w:rPr>
                <w:rFonts w:ascii="Arial" w:eastAsia="Times New Roman" w:hAnsi="Arial" w:cs="Arial"/>
                <w:sz w:val="16"/>
                <w:szCs w:val="18"/>
                <w:lang w:val="es-ES_tradnl" w:eastAsia="es-ES"/>
              </w:rPr>
              <w:t xml:space="preserve"> de espacio</w:t>
            </w:r>
          </w:p>
        </w:tc>
      </w:tr>
      <w:tr w:rsidR="001B525F" w:rsidRPr="009049D5" w14:paraId="004BC687" w14:textId="77777777" w:rsidTr="007740FC">
        <w:trPr>
          <w:cnfStyle w:val="000000100000" w:firstRow="0" w:lastRow="0" w:firstColumn="0" w:lastColumn="0" w:oddVBand="0" w:evenVBand="0" w:oddHBand="1" w:evenHBand="0" w:firstRowFirstColumn="0" w:firstRowLastColumn="0" w:lastRowFirstColumn="0" w:lastRowLastColumn="0"/>
          <w:trHeight w:val="327"/>
        </w:trPr>
        <w:tc>
          <w:tcPr>
            <w:tcW w:w="0" w:type="auto"/>
            <w:hideMark/>
          </w:tcPr>
          <w:p w14:paraId="234D1875"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Sala baterías</w:t>
            </w:r>
          </w:p>
        </w:tc>
        <w:tc>
          <w:tcPr>
            <w:tcW w:w="0" w:type="auto"/>
            <w:hideMark/>
          </w:tcPr>
          <w:p w14:paraId="5FB00F67"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0.07m</w:t>
            </w:r>
            <w:r w:rsidRPr="009049D5">
              <w:rPr>
                <w:rFonts w:ascii="Arial" w:eastAsia="Times New Roman" w:hAnsi="Arial" w:cs="Arial"/>
                <w:sz w:val="16"/>
                <w:szCs w:val="18"/>
                <w:vertAlign w:val="superscript"/>
                <w:lang w:val="es-ES_tradnl" w:eastAsia="es-ES"/>
              </w:rPr>
              <w:t>2</w:t>
            </w:r>
            <w:r w:rsidRPr="009049D5">
              <w:rPr>
                <w:rFonts w:ascii="Arial" w:eastAsia="Times New Roman" w:hAnsi="Arial" w:cs="Arial"/>
                <w:sz w:val="16"/>
                <w:szCs w:val="18"/>
                <w:lang w:val="es-ES_tradnl" w:eastAsia="es-ES"/>
              </w:rPr>
              <w:t>/unidad</w:t>
            </w:r>
            <w:r w:rsidRPr="009049D5">
              <w:rPr>
                <w:rFonts w:ascii="Arial" w:eastAsia="Times New Roman" w:hAnsi="Arial" w:cs="Arial"/>
                <w:sz w:val="16"/>
                <w:szCs w:val="18"/>
                <w:lang w:val="es-ES_tradnl" w:eastAsia="es-ES"/>
              </w:rPr>
              <w:br/>
              <w:t>[10-30 unidades de 200Ah necesarias, según la potencia de los equipos]</w:t>
            </w:r>
          </w:p>
        </w:tc>
      </w:tr>
    </w:tbl>
    <w:p w14:paraId="760BCFEE" w14:textId="3504EDB8"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Tabla </w:t>
      </w:r>
      <w:r w:rsidR="00E20C0D">
        <w:rPr>
          <w:rFonts w:ascii="Arial" w:eastAsia="Times New Roman" w:hAnsi="Arial" w:cs="Arial"/>
          <w:sz w:val="18"/>
          <w:szCs w:val="18"/>
          <w:lang w:eastAsia="es-ES"/>
        </w:rPr>
        <w:t>1</w:t>
      </w:r>
      <w:r w:rsidR="00950820">
        <w:rPr>
          <w:rFonts w:ascii="Arial" w:eastAsia="Times New Roman" w:hAnsi="Arial" w:cs="Arial"/>
          <w:sz w:val="18"/>
          <w:szCs w:val="18"/>
          <w:lang w:eastAsia="es-ES"/>
        </w:rPr>
        <w:t>1</w:t>
      </w:r>
      <w:r w:rsidRPr="001B525F">
        <w:rPr>
          <w:rFonts w:ascii="Arial" w:eastAsia="Times New Roman" w:hAnsi="Arial" w:cs="Arial"/>
          <w:sz w:val="18"/>
          <w:szCs w:val="18"/>
          <w:lang w:eastAsia="es-ES"/>
        </w:rPr>
        <w:t>. Drivers para el dimensionamiento de las salas de energía de la central del PH.</w:t>
      </w:r>
    </w:p>
    <w:p w14:paraId="3E34C1B8" w14:textId="77777777" w:rsidR="00682AA0" w:rsidRPr="001B525F" w:rsidRDefault="00682AA0" w:rsidP="00CC0143">
      <w:pPr>
        <w:spacing w:after="0"/>
        <w:jc w:val="both"/>
        <w:rPr>
          <w:rFonts w:ascii="Arial" w:eastAsia="Times New Roman" w:hAnsi="Arial" w:cs="Arial"/>
          <w:sz w:val="18"/>
          <w:szCs w:val="18"/>
          <w:lang w:eastAsia="es-ES"/>
        </w:rPr>
      </w:pPr>
    </w:p>
    <w:p w14:paraId="08F8730F" w14:textId="77777777" w:rsidR="00682AA0" w:rsidRPr="001B525F" w:rsidRDefault="00682AA0" w:rsidP="00226F17">
      <w:pPr>
        <w:numPr>
          <w:ilvl w:val="0"/>
          <w:numId w:val="44"/>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La potencia requerida por las centrales del PH es un parámetro que se tiene que introducir a la hora de calibrar el modelo. </w:t>
      </w:r>
    </w:p>
    <w:p w14:paraId="3E62B74E" w14:textId="534029CB" w:rsidR="00682AA0" w:rsidRPr="00520BD6" w:rsidRDefault="00682AA0" w:rsidP="00226F17">
      <w:pPr>
        <w:numPr>
          <w:ilvl w:val="1"/>
          <w:numId w:val="44"/>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Los valores de este parámetro tienen un impacto en el dimensionamiento de las salas y de los equipos de subestación eléctrica, fuente de energía de respaldo y baterías</w:t>
      </w:r>
      <w:r w:rsidR="005C5A3C">
        <w:rPr>
          <w:rFonts w:ascii="Arial" w:eastAsia="Times New Roman" w:hAnsi="Arial" w:cs="Arial"/>
          <w:sz w:val="18"/>
          <w:szCs w:val="18"/>
          <w:lang w:val="es-ES_tradnl" w:eastAsia="es-ES"/>
        </w:rPr>
        <w:t>.</w:t>
      </w:r>
    </w:p>
    <w:p w14:paraId="2D301065" w14:textId="77777777" w:rsidR="00520BD6" w:rsidRPr="001B525F" w:rsidRDefault="00520BD6" w:rsidP="00520BD6">
      <w:pPr>
        <w:spacing w:after="0"/>
        <w:ind w:left="1440"/>
        <w:jc w:val="both"/>
        <w:rPr>
          <w:rFonts w:ascii="Arial" w:eastAsia="Times New Roman" w:hAnsi="Arial" w:cs="Arial"/>
          <w:sz w:val="18"/>
          <w:szCs w:val="18"/>
          <w:lang w:eastAsia="es-ES"/>
        </w:rPr>
      </w:pPr>
    </w:p>
    <w:tbl>
      <w:tblPr>
        <w:tblStyle w:val="Tabladecuadrcula4"/>
        <w:tblW w:w="5000" w:type="pct"/>
        <w:tblLook w:val="0420" w:firstRow="1" w:lastRow="0" w:firstColumn="0" w:lastColumn="0" w:noHBand="0" w:noVBand="1"/>
      </w:tblPr>
      <w:tblGrid>
        <w:gridCol w:w="2645"/>
        <w:gridCol w:w="3403"/>
        <w:gridCol w:w="3346"/>
      </w:tblGrid>
      <w:tr w:rsidR="00517EB8" w:rsidRPr="009049D5" w14:paraId="4BE4C216" w14:textId="77777777" w:rsidTr="002021E3">
        <w:trPr>
          <w:cnfStyle w:val="100000000000" w:firstRow="1" w:lastRow="0" w:firstColumn="0" w:lastColumn="0" w:oddVBand="0" w:evenVBand="0" w:oddHBand="0" w:evenHBand="0" w:firstRowFirstColumn="0" w:firstRowLastColumn="0" w:lastRowFirstColumn="0" w:lastRowLastColumn="0"/>
          <w:trHeight w:val="259"/>
        </w:trPr>
        <w:tc>
          <w:tcPr>
            <w:tcW w:w="140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C1EEF4B" w14:textId="77777777" w:rsidR="00682AA0" w:rsidRPr="009049D5" w:rsidRDefault="00682AA0" w:rsidP="00CC0143">
            <w:pPr>
              <w:spacing w:after="0"/>
              <w:jc w:val="both"/>
              <w:rPr>
                <w:rFonts w:ascii="Arial" w:eastAsia="Times New Roman" w:hAnsi="Arial" w:cs="Arial"/>
                <w:color w:val="auto"/>
                <w:sz w:val="16"/>
                <w:szCs w:val="18"/>
                <w:lang w:eastAsia="es-ES"/>
              </w:rPr>
            </w:pPr>
          </w:p>
        </w:tc>
        <w:tc>
          <w:tcPr>
            <w:tcW w:w="18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9CF06C8" w14:textId="77777777" w:rsidR="00682AA0" w:rsidRPr="009049D5" w:rsidRDefault="00682AA0" w:rsidP="001B2640">
            <w:pPr>
              <w:spacing w:after="0"/>
              <w:jc w:val="center"/>
              <w:rPr>
                <w:rFonts w:ascii="Arial" w:hAnsi="Arial" w:cs="Arial"/>
                <w:color w:val="auto"/>
                <w:sz w:val="16"/>
                <w:szCs w:val="18"/>
              </w:rPr>
            </w:pPr>
            <w:r w:rsidRPr="009049D5">
              <w:rPr>
                <w:rFonts w:ascii="Arial" w:hAnsi="Arial" w:cs="Arial"/>
                <w:color w:val="auto"/>
                <w:sz w:val="16"/>
                <w:szCs w:val="18"/>
                <w:lang w:val="es-ES_tradnl"/>
              </w:rPr>
              <w:t>Backup (horas) en zonas urbanas</w:t>
            </w:r>
          </w:p>
        </w:tc>
        <w:tc>
          <w:tcPr>
            <w:tcW w:w="178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6440E49" w14:textId="77777777" w:rsidR="00682AA0" w:rsidRPr="009049D5" w:rsidRDefault="00682AA0" w:rsidP="001B2640">
            <w:pPr>
              <w:spacing w:after="0"/>
              <w:jc w:val="center"/>
              <w:rPr>
                <w:rFonts w:ascii="Arial" w:hAnsi="Arial" w:cs="Arial"/>
                <w:color w:val="auto"/>
                <w:sz w:val="16"/>
                <w:szCs w:val="18"/>
              </w:rPr>
            </w:pPr>
            <w:r w:rsidRPr="009049D5">
              <w:rPr>
                <w:rFonts w:ascii="Arial" w:hAnsi="Arial" w:cs="Arial"/>
                <w:color w:val="auto"/>
                <w:sz w:val="16"/>
                <w:szCs w:val="18"/>
                <w:lang w:val="es-ES_tradnl"/>
              </w:rPr>
              <w:t>Backup (horas) en  zonas rurales</w:t>
            </w:r>
          </w:p>
        </w:tc>
      </w:tr>
      <w:tr w:rsidR="001B525F" w:rsidRPr="009049D5" w14:paraId="10209CBC" w14:textId="77777777" w:rsidTr="002021E3">
        <w:trPr>
          <w:cnfStyle w:val="000000100000" w:firstRow="0" w:lastRow="0" w:firstColumn="0" w:lastColumn="0" w:oddVBand="0" w:evenVBand="0" w:oddHBand="1" w:evenHBand="0" w:firstRowFirstColumn="0" w:firstRowLastColumn="0" w:lastRowFirstColumn="0" w:lastRowLastColumn="0"/>
          <w:trHeight w:val="197"/>
        </w:trPr>
        <w:tc>
          <w:tcPr>
            <w:tcW w:w="1408" w:type="pct"/>
            <w:tcBorders>
              <w:top w:val="single" w:sz="4" w:space="0" w:color="000000"/>
            </w:tcBorders>
            <w:hideMark/>
          </w:tcPr>
          <w:p w14:paraId="21F6AF58"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Grupos electrógenos diésel</w:t>
            </w:r>
          </w:p>
        </w:tc>
        <w:tc>
          <w:tcPr>
            <w:tcW w:w="1811" w:type="pct"/>
            <w:tcBorders>
              <w:top w:val="single" w:sz="4" w:space="0" w:color="000000"/>
            </w:tcBorders>
            <w:hideMark/>
          </w:tcPr>
          <w:p w14:paraId="0FB18549" w14:textId="77777777" w:rsidR="00682AA0" w:rsidRPr="009049D5" w:rsidRDefault="00682AA0" w:rsidP="00CC0143">
            <w:pPr>
              <w:spacing w:after="0"/>
              <w:jc w:val="center"/>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24</w:t>
            </w:r>
          </w:p>
        </w:tc>
        <w:tc>
          <w:tcPr>
            <w:tcW w:w="1781" w:type="pct"/>
            <w:tcBorders>
              <w:top w:val="single" w:sz="4" w:space="0" w:color="000000"/>
            </w:tcBorders>
            <w:hideMark/>
          </w:tcPr>
          <w:p w14:paraId="2852EB7B" w14:textId="77777777" w:rsidR="00682AA0" w:rsidRPr="009049D5" w:rsidRDefault="00682AA0" w:rsidP="00CC0143">
            <w:pPr>
              <w:spacing w:after="0"/>
              <w:jc w:val="center"/>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48</w:t>
            </w:r>
          </w:p>
        </w:tc>
      </w:tr>
      <w:tr w:rsidR="001B525F" w:rsidRPr="009049D5" w14:paraId="77AAD7F5" w14:textId="77777777" w:rsidTr="007740FC">
        <w:trPr>
          <w:trHeight w:val="197"/>
        </w:trPr>
        <w:tc>
          <w:tcPr>
            <w:tcW w:w="1408" w:type="pct"/>
            <w:hideMark/>
          </w:tcPr>
          <w:p w14:paraId="4E29A3F9" w14:textId="77777777" w:rsidR="00682AA0" w:rsidRPr="009049D5" w:rsidRDefault="00682AA0" w:rsidP="00CC0143">
            <w:pPr>
              <w:spacing w:after="0"/>
              <w:jc w:val="both"/>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Baterías de respaldo</w:t>
            </w:r>
          </w:p>
        </w:tc>
        <w:tc>
          <w:tcPr>
            <w:tcW w:w="1811" w:type="pct"/>
            <w:hideMark/>
          </w:tcPr>
          <w:p w14:paraId="2E8472D5" w14:textId="77777777" w:rsidR="00682AA0" w:rsidRPr="009049D5" w:rsidRDefault="00682AA0" w:rsidP="00CC0143">
            <w:pPr>
              <w:spacing w:after="0"/>
              <w:jc w:val="center"/>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4</w:t>
            </w:r>
          </w:p>
        </w:tc>
        <w:tc>
          <w:tcPr>
            <w:tcW w:w="1781" w:type="pct"/>
            <w:hideMark/>
          </w:tcPr>
          <w:p w14:paraId="2A361405" w14:textId="77777777" w:rsidR="00682AA0" w:rsidRPr="009049D5" w:rsidRDefault="00682AA0" w:rsidP="00CC0143">
            <w:pPr>
              <w:spacing w:after="0"/>
              <w:jc w:val="center"/>
              <w:rPr>
                <w:rFonts w:ascii="Arial" w:eastAsia="Times New Roman" w:hAnsi="Arial" w:cs="Arial"/>
                <w:sz w:val="16"/>
                <w:szCs w:val="18"/>
                <w:lang w:eastAsia="es-ES"/>
              </w:rPr>
            </w:pPr>
            <w:r w:rsidRPr="009049D5">
              <w:rPr>
                <w:rFonts w:ascii="Arial" w:eastAsia="Times New Roman" w:hAnsi="Arial" w:cs="Arial"/>
                <w:sz w:val="16"/>
                <w:szCs w:val="18"/>
                <w:lang w:val="es-ES_tradnl" w:eastAsia="es-ES"/>
              </w:rPr>
              <w:t>8</w:t>
            </w:r>
          </w:p>
        </w:tc>
      </w:tr>
    </w:tbl>
    <w:p w14:paraId="702BD187" w14:textId="39BC3018" w:rsidR="00682AA0" w:rsidRPr="001B525F" w:rsidRDefault="00682AA0" w:rsidP="00CC0143">
      <w:pPr>
        <w:spacing w:after="0"/>
        <w:ind w:left="1276"/>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Tabla </w:t>
      </w:r>
      <w:r w:rsidR="00E20C0D">
        <w:rPr>
          <w:rFonts w:ascii="Arial" w:eastAsia="Times New Roman" w:hAnsi="Arial" w:cs="Arial"/>
          <w:sz w:val="18"/>
          <w:szCs w:val="18"/>
          <w:lang w:eastAsia="es-ES"/>
        </w:rPr>
        <w:t>1</w:t>
      </w:r>
      <w:r w:rsidR="00950820">
        <w:rPr>
          <w:rFonts w:ascii="Arial" w:eastAsia="Times New Roman" w:hAnsi="Arial" w:cs="Arial"/>
          <w:sz w:val="18"/>
          <w:szCs w:val="18"/>
          <w:lang w:eastAsia="es-ES"/>
        </w:rPr>
        <w:t>2</w:t>
      </w:r>
      <w:r w:rsidRPr="001B525F">
        <w:rPr>
          <w:rFonts w:ascii="Arial" w:eastAsia="Times New Roman" w:hAnsi="Arial" w:cs="Arial"/>
          <w:sz w:val="18"/>
          <w:szCs w:val="18"/>
          <w:lang w:eastAsia="es-ES"/>
        </w:rPr>
        <w:t>. Fuente de energía de respaldo.</w:t>
      </w:r>
    </w:p>
    <w:p w14:paraId="5C122E3D" w14:textId="77777777" w:rsidR="00682AA0" w:rsidRPr="001B525F" w:rsidRDefault="00682AA0" w:rsidP="00CC0143">
      <w:pPr>
        <w:spacing w:after="0"/>
        <w:jc w:val="both"/>
        <w:rPr>
          <w:rFonts w:ascii="Arial" w:eastAsia="Times New Roman" w:hAnsi="Arial" w:cs="Arial"/>
          <w:sz w:val="18"/>
          <w:szCs w:val="18"/>
          <w:lang w:eastAsia="es-ES"/>
        </w:rPr>
      </w:pPr>
    </w:p>
    <w:p w14:paraId="4084C04A" w14:textId="4823CBC2"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3FD1A076" w14:textId="77777777" w:rsidR="00682AA0" w:rsidRPr="001B525F" w:rsidRDefault="00682AA0" w:rsidP="00CC0143">
      <w:pPr>
        <w:spacing w:after="0"/>
        <w:jc w:val="both"/>
        <w:rPr>
          <w:rFonts w:ascii="Arial" w:eastAsia="Times New Roman" w:hAnsi="Arial" w:cs="Arial"/>
          <w:sz w:val="18"/>
          <w:szCs w:val="18"/>
          <w:lang w:eastAsia="es-ES"/>
        </w:rPr>
      </w:pPr>
    </w:p>
    <w:p w14:paraId="6805B6F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Para el respaldo por medio del banco de baterías, se considera un banco de 33 baterías con capacidad de 2KW cada una, para proveer un respaldo de hasta 67 KW.</w:t>
      </w:r>
    </w:p>
    <w:p w14:paraId="3E4820DB" w14:textId="77777777" w:rsidR="00682AA0" w:rsidRPr="001B525F" w:rsidRDefault="00682AA0" w:rsidP="00CC0143">
      <w:pPr>
        <w:spacing w:after="0"/>
        <w:jc w:val="both"/>
        <w:rPr>
          <w:rFonts w:ascii="Arial" w:eastAsia="Times New Roman" w:hAnsi="Arial" w:cs="Arial"/>
          <w:sz w:val="18"/>
          <w:szCs w:val="18"/>
          <w:lang w:eastAsia="es-ES"/>
        </w:rPr>
      </w:pPr>
    </w:p>
    <w:p w14:paraId="70213B3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planta de aire acondicionado se dimensiona en función de la demanda efectiva de los operadores. El suministro de aire acondicionado, utilizando un equipo ya existente con capacidad o un equipo nuevo, es un servicio opcional.</w:t>
      </w:r>
    </w:p>
    <w:p w14:paraId="45E975A9" w14:textId="77777777" w:rsidR="00682AA0" w:rsidRPr="001B525F" w:rsidRDefault="00682AA0" w:rsidP="00CC0143">
      <w:pPr>
        <w:spacing w:after="0"/>
        <w:jc w:val="both"/>
        <w:rPr>
          <w:rFonts w:ascii="Arial" w:eastAsia="Times New Roman" w:hAnsi="Arial" w:cs="Arial"/>
          <w:sz w:val="18"/>
          <w:szCs w:val="18"/>
          <w:lang w:eastAsia="es-ES"/>
        </w:rPr>
      </w:pPr>
    </w:p>
    <w:p w14:paraId="0570030E" w14:textId="1A3A26BF"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Como se trata de un modelo ascendente (</w:t>
      </w:r>
      <w:r w:rsidRPr="001B525F">
        <w:rPr>
          <w:rFonts w:ascii="Arial" w:hAnsi="Arial" w:cs="Arial"/>
          <w:sz w:val="18"/>
          <w:szCs w:val="18"/>
        </w:rPr>
        <w:t>bottom-up</w:t>
      </w:r>
      <w:r w:rsidRPr="001B525F">
        <w:rPr>
          <w:rFonts w:ascii="Arial" w:eastAsia="Times New Roman" w:hAnsi="Arial" w:cs="Arial"/>
          <w:sz w:val="18"/>
          <w:szCs w:val="18"/>
          <w:lang w:eastAsia="es-ES"/>
        </w:rPr>
        <w:t>) eficiente, se dimensiona el aire acondicionado en función de la demanda efectiva de los operadores. Así, el modelo trata por igual el caso de utilización de la capacidad existente y el caso de utilización de un equipo nuevo.</w:t>
      </w:r>
      <w:r w:rsidR="00F93AF6">
        <w:rPr>
          <w:rFonts w:ascii="Arial" w:eastAsia="Times New Roman" w:hAnsi="Arial" w:cs="Arial"/>
          <w:sz w:val="18"/>
          <w:szCs w:val="18"/>
          <w:lang w:eastAsia="es-ES"/>
        </w:rPr>
        <w:t xml:space="preserve"> </w:t>
      </w:r>
      <w:r w:rsidRPr="001B525F">
        <w:rPr>
          <w:rFonts w:ascii="Arial" w:eastAsia="Times New Roman" w:hAnsi="Arial" w:cs="Arial"/>
          <w:sz w:val="18"/>
          <w:szCs w:val="18"/>
          <w:lang w:eastAsia="es-ES"/>
        </w:rPr>
        <w:t>En el modelo se asume que, en cada sala de la central, el 5% del espacio es ocupado por equipos de clima.</w:t>
      </w:r>
    </w:p>
    <w:p w14:paraId="3531D70D" w14:textId="77777777" w:rsidR="00682AA0" w:rsidRPr="001B525F" w:rsidRDefault="00682AA0" w:rsidP="00CC0143">
      <w:pPr>
        <w:spacing w:after="0"/>
        <w:jc w:val="both"/>
        <w:rPr>
          <w:rFonts w:ascii="Arial" w:eastAsia="Times New Roman" w:hAnsi="Arial" w:cs="Arial"/>
          <w:sz w:val="18"/>
          <w:szCs w:val="18"/>
          <w:lang w:eastAsia="es-ES"/>
        </w:rPr>
      </w:pPr>
    </w:p>
    <w:p w14:paraId="5413D295"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Recuperación de costos</w:t>
      </w:r>
    </w:p>
    <w:p w14:paraId="17827533" w14:textId="77777777" w:rsidR="00682AA0" w:rsidRPr="001B525F" w:rsidRDefault="00682AA0" w:rsidP="00CC0143">
      <w:pPr>
        <w:spacing w:after="0"/>
        <w:jc w:val="both"/>
        <w:rPr>
          <w:rFonts w:ascii="Arial" w:eastAsia="Times New Roman" w:hAnsi="Arial" w:cs="Arial"/>
          <w:sz w:val="18"/>
          <w:szCs w:val="18"/>
          <w:lang w:eastAsia="es-ES"/>
        </w:rPr>
      </w:pPr>
    </w:p>
    <w:p w14:paraId="02D6DB8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El modelo utiliza costos corrientes y una recuperación de los costos con anualidad. </w:t>
      </w:r>
    </w:p>
    <w:p w14:paraId="07B188A4" w14:textId="77777777" w:rsidR="00682AA0" w:rsidRPr="001B525F" w:rsidRDefault="00682AA0" w:rsidP="00CC0143">
      <w:pPr>
        <w:spacing w:after="0"/>
        <w:jc w:val="both"/>
        <w:rPr>
          <w:rFonts w:ascii="Arial" w:eastAsia="Times New Roman" w:hAnsi="Arial" w:cs="Arial"/>
          <w:sz w:val="18"/>
          <w:szCs w:val="18"/>
          <w:lang w:eastAsia="es-ES"/>
        </w:rPr>
      </w:pPr>
    </w:p>
    <w:p w14:paraId="40D3BBF2"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Para el costeo se utiliza el enfoque ascendente y de largo plazo, por lo tanto, se utilizan costos de Activos Modernos Equivalentes (MEA).</w:t>
      </w:r>
    </w:p>
    <w:p w14:paraId="15DDFE83" w14:textId="77777777" w:rsidR="00682AA0" w:rsidRPr="001B525F" w:rsidRDefault="00682AA0" w:rsidP="00CC0143">
      <w:pPr>
        <w:spacing w:after="0"/>
        <w:jc w:val="both"/>
        <w:rPr>
          <w:rFonts w:ascii="Arial" w:eastAsia="Times New Roman" w:hAnsi="Arial" w:cs="Arial"/>
          <w:sz w:val="18"/>
          <w:szCs w:val="18"/>
          <w:lang w:eastAsia="es-ES"/>
        </w:rPr>
      </w:pPr>
    </w:p>
    <w:p w14:paraId="0079965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modelo se consideran las inversiones (capex) para diferentes tipos de centrales en función de sus características, esto es: costos de infraestructura, corriente eléctrica, aire acondicionado y fuente de energía de respaldo, costos del predio.</w:t>
      </w:r>
    </w:p>
    <w:p w14:paraId="6025CB1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Asimismo, se consideran los siguientes costos operativos (opex): costos de alquiler y costos de mantenimiento de las centrales.</w:t>
      </w:r>
    </w:p>
    <w:p w14:paraId="24EDD9A0" w14:textId="77777777" w:rsidR="00682AA0" w:rsidRPr="001B525F" w:rsidRDefault="00682AA0" w:rsidP="00CC0143">
      <w:pPr>
        <w:spacing w:after="0"/>
        <w:jc w:val="both"/>
        <w:rPr>
          <w:rFonts w:ascii="Arial" w:eastAsia="Times New Roman" w:hAnsi="Arial" w:cs="Arial"/>
          <w:sz w:val="18"/>
          <w:szCs w:val="18"/>
          <w:lang w:eastAsia="es-ES"/>
        </w:rPr>
      </w:pPr>
    </w:p>
    <w:tbl>
      <w:tblPr>
        <w:tblStyle w:val="Tabladecuadrcula4"/>
        <w:tblW w:w="0" w:type="auto"/>
        <w:jc w:val="center"/>
        <w:tblLook w:val="0420" w:firstRow="1" w:lastRow="0" w:firstColumn="0" w:lastColumn="0" w:noHBand="0" w:noVBand="1"/>
      </w:tblPr>
      <w:tblGrid>
        <w:gridCol w:w="2732"/>
        <w:gridCol w:w="2929"/>
        <w:gridCol w:w="1978"/>
      </w:tblGrid>
      <w:tr w:rsidR="001B525F" w:rsidRPr="00943919" w14:paraId="29894E1A" w14:textId="77777777" w:rsidTr="002021E3">
        <w:trPr>
          <w:cnfStyle w:val="100000000000" w:firstRow="1" w:lastRow="0" w:firstColumn="0" w:lastColumn="0" w:oddVBand="0" w:evenVBand="0" w:oddHBand="0" w:evenHBand="0" w:firstRowFirstColumn="0" w:firstRowLastColumn="0" w:lastRowFirstColumn="0" w:lastRowLastColumn="0"/>
          <w:trHeight w:val="413"/>
          <w:jc w:val="center"/>
        </w:trPr>
        <w:tc>
          <w:tcPr>
            <w:tcW w:w="273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3C28A8B" w14:textId="77777777" w:rsidR="00682AA0" w:rsidRPr="00943919" w:rsidRDefault="00682AA0" w:rsidP="001B2640">
            <w:pPr>
              <w:spacing w:after="0"/>
              <w:jc w:val="center"/>
              <w:rPr>
                <w:rFonts w:ascii="Arial" w:hAnsi="Arial" w:cs="Arial"/>
                <w:color w:val="auto"/>
                <w:sz w:val="16"/>
                <w:szCs w:val="18"/>
              </w:rPr>
            </w:pPr>
            <w:r w:rsidRPr="00943919">
              <w:rPr>
                <w:rFonts w:ascii="Arial" w:hAnsi="Arial" w:cs="Arial"/>
                <w:color w:val="auto"/>
                <w:sz w:val="16"/>
                <w:szCs w:val="18"/>
                <w:lang w:val="es-ES_tradnl"/>
              </w:rPr>
              <w:t>Activo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949D1E8" w14:textId="77777777" w:rsidR="00682AA0" w:rsidRPr="00943919" w:rsidRDefault="00682AA0" w:rsidP="001B2640">
            <w:pPr>
              <w:spacing w:after="0"/>
              <w:jc w:val="center"/>
              <w:rPr>
                <w:rFonts w:ascii="Arial" w:hAnsi="Arial" w:cs="Arial"/>
                <w:color w:val="auto"/>
                <w:sz w:val="16"/>
                <w:szCs w:val="18"/>
              </w:rPr>
            </w:pPr>
            <w:r w:rsidRPr="00943919">
              <w:rPr>
                <w:rFonts w:ascii="Arial" w:hAnsi="Arial" w:cs="Arial"/>
                <w:color w:val="auto"/>
                <w:sz w:val="16"/>
                <w:szCs w:val="18"/>
                <w:lang w:val="es-ES_tradnl"/>
              </w:rPr>
              <w:t>Capex</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006A233" w14:textId="77777777" w:rsidR="00682AA0" w:rsidRPr="00943919" w:rsidRDefault="00682AA0" w:rsidP="001B2640">
            <w:pPr>
              <w:spacing w:after="0"/>
              <w:jc w:val="center"/>
              <w:rPr>
                <w:rFonts w:ascii="Arial" w:hAnsi="Arial" w:cs="Arial"/>
                <w:color w:val="auto"/>
                <w:sz w:val="16"/>
                <w:szCs w:val="18"/>
              </w:rPr>
            </w:pPr>
            <w:r w:rsidRPr="00943919">
              <w:rPr>
                <w:rFonts w:ascii="Arial" w:hAnsi="Arial" w:cs="Arial"/>
                <w:color w:val="auto"/>
                <w:sz w:val="16"/>
                <w:szCs w:val="18"/>
                <w:lang w:val="es-ES_tradnl"/>
              </w:rPr>
              <w:t>Opex</w:t>
            </w:r>
          </w:p>
        </w:tc>
      </w:tr>
      <w:tr w:rsidR="001B525F" w:rsidRPr="00943919" w14:paraId="4AB003E3" w14:textId="77777777" w:rsidTr="002021E3">
        <w:trPr>
          <w:cnfStyle w:val="000000100000" w:firstRow="0" w:lastRow="0" w:firstColumn="0" w:lastColumn="0" w:oddVBand="0" w:evenVBand="0" w:oddHBand="1" w:evenHBand="0" w:firstRowFirstColumn="0" w:firstRowLastColumn="0" w:lastRowFirstColumn="0" w:lastRowLastColumn="0"/>
          <w:trHeight w:val="413"/>
          <w:jc w:val="center"/>
        </w:trPr>
        <w:tc>
          <w:tcPr>
            <w:tcW w:w="2732" w:type="dxa"/>
            <w:tcBorders>
              <w:top w:val="single" w:sz="4" w:space="0" w:color="000000"/>
            </w:tcBorders>
            <w:hideMark/>
          </w:tcPr>
          <w:p w14:paraId="1386118A" w14:textId="77777777" w:rsidR="00682AA0" w:rsidRPr="00943919" w:rsidRDefault="00682AA0" w:rsidP="00CC0143">
            <w:pPr>
              <w:spacing w:after="0"/>
              <w:jc w:val="both"/>
              <w:rPr>
                <w:rFonts w:ascii="Arial" w:eastAsia="Times New Roman" w:hAnsi="Arial" w:cs="Arial"/>
                <w:sz w:val="16"/>
                <w:szCs w:val="18"/>
                <w:lang w:eastAsia="es-ES"/>
              </w:rPr>
            </w:pPr>
          </w:p>
        </w:tc>
        <w:tc>
          <w:tcPr>
            <w:tcW w:w="0" w:type="auto"/>
            <w:tcBorders>
              <w:top w:val="single" w:sz="4" w:space="0" w:color="000000"/>
            </w:tcBorders>
            <w:hideMark/>
          </w:tcPr>
          <w:p w14:paraId="195BA9A9"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b/>
                <w:bCs/>
                <w:i/>
                <w:iCs/>
                <w:sz w:val="16"/>
                <w:szCs w:val="18"/>
                <w:lang w:val="es-ES_tradnl" w:eastAsia="es-ES"/>
              </w:rPr>
              <w:t>Rubro</w:t>
            </w:r>
          </w:p>
        </w:tc>
        <w:tc>
          <w:tcPr>
            <w:tcW w:w="0" w:type="auto"/>
            <w:tcBorders>
              <w:top w:val="single" w:sz="4" w:space="0" w:color="000000"/>
            </w:tcBorders>
            <w:hideMark/>
          </w:tcPr>
          <w:p w14:paraId="6C8879A8"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b/>
                <w:bCs/>
                <w:i/>
                <w:iCs/>
                <w:sz w:val="16"/>
                <w:szCs w:val="18"/>
                <w:lang w:val="es-ES_tradnl" w:eastAsia="es-ES"/>
              </w:rPr>
              <w:t>Rubro</w:t>
            </w:r>
          </w:p>
        </w:tc>
      </w:tr>
      <w:tr w:rsidR="001B525F" w:rsidRPr="00943919" w14:paraId="078A4DA6" w14:textId="77777777" w:rsidTr="0081522E">
        <w:trPr>
          <w:trHeight w:val="228"/>
          <w:jc w:val="center"/>
        </w:trPr>
        <w:tc>
          <w:tcPr>
            <w:tcW w:w="2732" w:type="dxa"/>
            <w:vMerge w:val="restart"/>
            <w:shd w:val="clear" w:color="auto" w:fill="FFFFFF" w:themeFill="background1"/>
            <w:hideMark/>
          </w:tcPr>
          <w:p w14:paraId="5D91FDFE"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Predio</w:t>
            </w:r>
          </w:p>
        </w:tc>
        <w:tc>
          <w:tcPr>
            <w:tcW w:w="0" w:type="auto"/>
            <w:shd w:val="clear" w:color="auto" w:fill="FFFFFF" w:themeFill="background1"/>
            <w:hideMark/>
          </w:tcPr>
          <w:p w14:paraId="44C9F402"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Obras civiles de adecuación</w:t>
            </w:r>
          </w:p>
        </w:tc>
        <w:tc>
          <w:tcPr>
            <w:tcW w:w="0" w:type="auto"/>
            <w:shd w:val="clear" w:color="auto" w:fill="FFFFFF" w:themeFill="background1"/>
            <w:hideMark/>
          </w:tcPr>
          <w:p w14:paraId="12A2B870"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Mantenimiento</w:t>
            </w:r>
          </w:p>
        </w:tc>
      </w:tr>
      <w:tr w:rsidR="001B525F" w:rsidRPr="00943919" w14:paraId="39B6B9E3" w14:textId="77777777" w:rsidTr="0081522E">
        <w:trPr>
          <w:cnfStyle w:val="000000100000" w:firstRow="0" w:lastRow="0" w:firstColumn="0" w:lastColumn="0" w:oddVBand="0" w:evenVBand="0" w:oddHBand="1" w:evenHBand="0" w:firstRowFirstColumn="0" w:firstRowLastColumn="0" w:lastRowFirstColumn="0" w:lastRowLastColumn="0"/>
          <w:trHeight w:val="220"/>
          <w:jc w:val="center"/>
        </w:trPr>
        <w:tc>
          <w:tcPr>
            <w:tcW w:w="2732" w:type="dxa"/>
            <w:vMerge/>
            <w:shd w:val="clear" w:color="auto" w:fill="FFFFFF" w:themeFill="background1"/>
            <w:hideMark/>
          </w:tcPr>
          <w:p w14:paraId="5FD18C2E" w14:textId="77777777" w:rsidR="00682AA0" w:rsidRPr="00943919" w:rsidRDefault="00682AA0" w:rsidP="00CC0143">
            <w:pPr>
              <w:spacing w:after="0"/>
              <w:jc w:val="both"/>
              <w:rPr>
                <w:rFonts w:ascii="Arial" w:eastAsia="Times New Roman" w:hAnsi="Arial" w:cs="Arial"/>
                <w:sz w:val="16"/>
                <w:szCs w:val="18"/>
                <w:lang w:eastAsia="es-ES"/>
              </w:rPr>
            </w:pPr>
          </w:p>
        </w:tc>
        <w:tc>
          <w:tcPr>
            <w:tcW w:w="0" w:type="auto"/>
            <w:shd w:val="clear" w:color="auto" w:fill="FFFFFF" w:themeFill="background1"/>
            <w:hideMark/>
          </w:tcPr>
          <w:p w14:paraId="04FBA75E"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Adquisición</w:t>
            </w:r>
          </w:p>
        </w:tc>
        <w:tc>
          <w:tcPr>
            <w:tcW w:w="0" w:type="auto"/>
            <w:shd w:val="clear" w:color="auto" w:fill="FFFFFF" w:themeFill="background1"/>
            <w:hideMark/>
          </w:tcPr>
          <w:p w14:paraId="45506EC8"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Alquiler</w:t>
            </w:r>
          </w:p>
        </w:tc>
      </w:tr>
      <w:tr w:rsidR="001B525F" w:rsidRPr="00943919" w14:paraId="74150A6D" w14:textId="77777777" w:rsidTr="0081522E">
        <w:trPr>
          <w:trHeight w:val="225"/>
          <w:jc w:val="center"/>
        </w:trPr>
        <w:tc>
          <w:tcPr>
            <w:tcW w:w="2732" w:type="dxa"/>
            <w:vMerge w:val="restart"/>
            <w:shd w:val="clear" w:color="auto" w:fill="D9D9D9" w:themeFill="background1" w:themeFillShade="D9"/>
            <w:hideMark/>
          </w:tcPr>
          <w:p w14:paraId="3205FB07"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Central del PH</w:t>
            </w:r>
          </w:p>
        </w:tc>
        <w:tc>
          <w:tcPr>
            <w:tcW w:w="0" w:type="auto"/>
            <w:shd w:val="clear" w:color="auto" w:fill="D9D9D9" w:themeFill="background1" w:themeFillShade="D9"/>
            <w:hideMark/>
          </w:tcPr>
          <w:p w14:paraId="2A7C12E9"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Adquisición, instalación y obras civiles</w:t>
            </w:r>
          </w:p>
        </w:tc>
        <w:tc>
          <w:tcPr>
            <w:tcW w:w="0" w:type="auto"/>
            <w:shd w:val="clear" w:color="auto" w:fill="D9D9D9" w:themeFill="background1" w:themeFillShade="D9"/>
            <w:hideMark/>
          </w:tcPr>
          <w:p w14:paraId="74EE468A"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Mantenimiento</w:t>
            </w:r>
          </w:p>
        </w:tc>
      </w:tr>
      <w:tr w:rsidR="001B525F" w:rsidRPr="00943919" w14:paraId="67D463C2" w14:textId="77777777" w:rsidTr="0081522E">
        <w:trPr>
          <w:cnfStyle w:val="000000100000" w:firstRow="0" w:lastRow="0" w:firstColumn="0" w:lastColumn="0" w:oddVBand="0" w:evenVBand="0" w:oddHBand="1" w:evenHBand="0" w:firstRowFirstColumn="0" w:firstRowLastColumn="0" w:lastRowFirstColumn="0" w:lastRowLastColumn="0"/>
          <w:trHeight w:val="258"/>
          <w:jc w:val="center"/>
        </w:trPr>
        <w:tc>
          <w:tcPr>
            <w:tcW w:w="2732" w:type="dxa"/>
            <w:vMerge/>
            <w:shd w:val="clear" w:color="auto" w:fill="D9D9D9" w:themeFill="background1" w:themeFillShade="D9"/>
            <w:hideMark/>
          </w:tcPr>
          <w:p w14:paraId="663DDFD2" w14:textId="77777777" w:rsidR="00682AA0" w:rsidRPr="00943919" w:rsidRDefault="00682AA0" w:rsidP="00CC0143">
            <w:pPr>
              <w:spacing w:after="0"/>
              <w:jc w:val="both"/>
              <w:rPr>
                <w:rFonts w:ascii="Arial" w:eastAsia="Times New Roman" w:hAnsi="Arial" w:cs="Arial"/>
                <w:sz w:val="16"/>
                <w:szCs w:val="18"/>
                <w:lang w:eastAsia="es-ES"/>
              </w:rPr>
            </w:pPr>
          </w:p>
        </w:tc>
        <w:tc>
          <w:tcPr>
            <w:tcW w:w="0" w:type="auto"/>
            <w:shd w:val="clear" w:color="auto" w:fill="D9D9D9" w:themeFill="background1" w:themeFillShade="D9"/>
            <w:hideMark/>
          </w:tcPr>
          <w:p w14:paraId="6EC06E9A" w14:textId="77777777" w:rsidR="00682AA0" w:rsidRPr="00943919" w:rsidRDefault="00682AA0" w:rsidP="00CC0143">
            <w:pPr>
              <w:spacing w:after="0"/>
              <w:jc w:val="both"/>
              <w:rPr>
                <w:rFonts w:ascii="Arial" w:eastAsia="Times New Roman" w:hAnsi="Arial" w:cs="Arial"/>
                <w:sz w:val="16"/>
                <w:szCs w:val="18"/>
                <w:lang w:eastAsia="es-ES"/>
              </w:rPr>
            </w:pPr>
          </w:p>
        </w:tc>
        <w:tc>
          <w:tcPr>
            <w:tcW w:w="0" w:type="auto"/>
            <w:shd w:val="clear" w:color="auto" w:fill="D9D9D9" w:themeFill="background1" w:themeFillShade="D9"/>
            <w:hideMark/>
          </w:tcPr>
          <w:p w14:paraId="675FF8B0"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Alquiler</w:t>
            </w:r>
          </w:p>
        </w:tc>
      </w:tr>
      <w:tr w:rsidR="001B525F" w:rsidRPr="00943919" w14:paraId="4CBC0BB9" w14:textId="77777777" w:rsidTr="0081522E">
        <w:trPr>
          <w:trHeight w:val="289"/>
          <w:jc w:val="center"/>
        </w:trPr>
        <w:tc>
          <w:tcPr>
            <w:tcW w:w="2732" w:type="dxa"/>
            <w:vMerge w:val="restart"/>
            <w:shd w:val="clear" w:color="auto" w:fill="FFFFFF" w:themeFill="background1"/>
            <w:hideMark/>
          </w:tcPr>
          <w:p w14:paraId="5A03F1ED"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Sala de coubicación externa</w:t>
            </w:r>
          </w:p>
        </w:tc>
        <w:tc>
          <w:tcPr>
            <w:tcW w:w="0" w:type="auto"/>
            <w:shd w:val="clear" w:color="auto" w:fill="FFFFFF" w:themeFill="background1"/>
            <w:hideMark/>
          </w:tcPr>
          <w:p w14:paraId="6464F2E1"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Adquisición, instalación y obras civiles</w:t>
            </w:r>
          </w:p>
        </w:tc>
        <w:tc>
          <w:tcPr>
            <w:tcW w:w="0" w:type="auto"/>
            <w:shd w:val="clear" w:color="auto" w:fill="FFFFFF" w:themeFill="background1"/>
            <w:hideMark/>
          </w:tcPr>
          <w:p w14:paraId="0FC67D27"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Mantenimiento</w:t>
            </w:r>
          </w:p>
        </w:tc>
      </w:tr>
      <w:tr w:rsidR="001B525F" w:rsidRPr="00943919" w14:paraId="3DD88A0E" w14:textId="77777777" w:rsidTr="0081522E">
        <w:trPr>
          <w:cnfStyle w:val="000000100000" w:firstRow="0" w:lastRow="0" w:firstColumn="0" w:lastColumn="0" w:oddVBand="0" w:evenVBand="0" w:oddHBand="1" w:evenHBand="0" w:firstRowFirstColumn="0" w:firstRowLastColumn="0" w:lastRowFirstColumn="0" w:lastRowLastColumn="0"/>
          <w:trHeight w:val="266"/>
          <w:jc w:val="center"/>
        </w:trPr>
        <w:tc>
          <w:tcPr>
            <w:tcW w:w="2732" w:type="dxa"/>
            <w:vMerge/>
            <w:shd w:val="clear" w:color="auto" w:fill="FFFFFF" w:themeFill="background1"/>
            <w:hideMark/>
          </w:tcPr>
          <w:p w14:paraId="651A87C7" w14:textId="77777777" w:rsidR="00682AA0" w:rsidRPr="00943919" w:rsidRDefault="00682AA0" w:rsidP="00CC0143">
            <w:pPr>
              <w:spacing w:after="0"/>
              <w:jc w:val="both"/>
              <w:rPr>
                <w:rFonts w:ascii="Arial" w:eastAsia="Times New Roman" w:hAnsi="Arial" w:cs="Arial"/>
                <w:sz w:val="16"/>
                <w:szCs w:val="18"/>
                <w:lang w:eastAsia="es-ES"/>
              </w:rPr>
            </w:pPr>
          </w:p>
        </w:tc>
        <w:tc>
          <w:tcPr>
            <w:tcW w:w="0" w:type="auto"/>
            <w:shd w:val="clear" w:color="auto" w:fill="FFFFFF" w:themeFill="background1"/>
            <w:hideMark/>
          </w:tcPr>
          <w:p w14:paraId="45D7D9C0" w14:textId="77777777" w:rsidR="00682AA0" w:rsidRPr="00943919" w:rsidRDefault="00682AA0" w:rsidP="00CC0143">
            <w:pPr>
              <w:spacing w:after="0"/>
              <w:jc w:val="both"/>
              <w:rPr>
                <w:rFonts w:ascii="Arial" w:eastAsia="Times New Roman" w:hAnsi="Arial" w:cs="Arial"/>
                <w:sz w:val="16"/>
                <w:szCs w:val="18"/>
                <w:lang w:eastAsia="es-ES"/>
              </w:rPr>
            </w:pPr>
          </w:p>
        </w:tc>
        <w:tc>
          <w:tcPr>
            <w:tcW w:w="0" w:type="auto"/>
            <w:shd w:val="clear" w:color="auto" w:fill="FFFFFF" w:themeFill="background1"/>
            <w:hideMark/>
          </w:tcPr>
          <w:p w14:paraId="04C96947"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Alquiler</w:t>
            </w:r>
          </w:p>
        </w:tc>
      </w:tr>
      <w:tr w:rsidR="001B525F" w:rsidRPr="00943919" w14:paraId="1ECC51ED" w14:textId="77777777" w:rsidTr="0081522E">
        <w:trPr>
          <w:trHeight w:val="425"/>
          <w:jc w:val="center"/>
        </w:trPr>
        <w:tc>
          <w:tcPr>
            <w:tcW w:w="2732" w:type="dxa"/>
            <w:shd w:val="clear" w:color="auto" w:fill="D9D9D9" w:themeFill="background1" w:themeFillShade="D9"/>
            <w:hideMark/>
          </w:tcPr>
          <w:p w14:paraId="37351CF1"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Subestación eléctrica (AC 127V o DC 48V)</w:t>
            </w:r>
          </w:p>
        </w:tc>
        <w:tc>
          <w:tcPr>
            <w:tcW w:w="0" w:type="auto"/>
            <w:shd w:val="clear" w:color="auto" w:fill="D9D9D9" w:themeFill="background1" w:themeFillShade="D9"/>
            <w:hideMark/>
          </w:tcPr>
          <w:p w14:paraId="0BA42BEF"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 xml:space="preserve">Adquisición e instalación </w:t>
            </w:r>
          </w:p>
        </w:tc>
        <w:tc>
          <w:tcPr>
            <w:tcW w:w="0" w:type="auto"/>
            <w:shd w:val="clear" w:color="auto" w:fill="D9D9D9" w:themeFill="background1" w:themeFillShade="D9"/>
            <w:hideMark/>
          </w:tcPr>
          <w:p w14:paraId="34363642"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Mantenimiento</w:t>
            </w:r>
          </w:p>
        </w:tc>
      </w:tr>
      <w:tr w:rsidR="001B525F" w:rsidRPr="00943919" w14:paraId="0DCD4E9F" w14:textId="77777777" w:rsidTr="0081522E">
        <w:trPr>
          <w:cnfStyle w:val="000000100000" w:firstRow="0" w:lastRow="0" w:firstColumn="0" w:lastColumn="0" w:oddVBand="0" w:evenVBand="0" w:oddHBand="1" w:evenHBand="0" w:firstRowFirstColumn="0" w:firstRowLastColumn="0" w:lastRowFirstColumn="0" w:lastRowLastColumn="0"/>
          <w:trHeight w:val="503"/>
          <w:jc w:val="center"/>
        </w:trPr>
        <w:tc>
          <w:tcPr>
            <w:tcW w:w="2732" w:type="dxa"/>
            <w:shd w:val="clear" w:color="auto" w:fill="FFFFFF" w:themeFill="background1"/>
            <w:hideMark/>
          </w:tcPr>
          <w:p w14:paraId="1F6FC3AC" w14:textId="081CBE01"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 xml:space="preserve">Fuente de energía de respaldo (generador y </w:t>
            </w:r>
            <w:r w:rsidR="0080340D" w:rsidRPr="00943919">
              <w:rPr>
                <w:rFonts w:ascii="Arial" w:eastAsia="Times New Roman" w:hAnsi="Arial" w:cs="Arial"/>
                <w:sz w:val="16"/>
                <w:szCs w:val="18"/>
                <w:lang w:val="es-ES_tradnl" w:eastAsia="es-ES"/>
              </w:rPr>
              <w:t>baterías) *</w:t>
            </w:r>
            <w:r w:rsidRPr="00943919">
              <w:rPr>
                <w:rFonts w:ascii="Arial" w:eastAsia="Times New Roman" w:hAnsi="Arial" w:cs="Arial"/>
                <w:sz w:val="16"/>
                <w:szCs w:val="18"/>
                <w:lang w:val="es-ES_tradnl" w:eastAsia="es-ES"/>
              </w:rPr>
              <w:t>*</w:t>
            </w:r>
          </w:p>
        </w:tc>
        <w:tc>
          <w:tcPr>
            <w:tcW w:w="0" w:type="auto"/>
            <w:shd w:val="clear" w:color="auto" w:fill="FFFFFF" w:themeFill="background1"/>
            <w:hideMark/>
          </w:tcPr>
          <w:p w14:paraId="1DB25768"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 xml:space="preserve">Adquisición e instalación </w:t>
            </w:r>
          </w:p>
        </w:tc>
        <w:tc>
          <w:tcPr>
            <w:tcW w:w="0" w:type="auto"/>
            <w:shd w:val="clear" w:color="auto" w:fill="FFFFFF" w:themeFill="background1"/>
            <w:hideMark/>
          </w:tcPr>
          <w:p w14:paraId="5DCFF3EA"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Mantenimiento</w:t>
            </w:r>
          </w:p>
        </w:tc>
      </w:tr>
      <w:tr w:rsidR="001B525F" w:rsidRPr="00943919" w14:paraId="64CB5D8D" w14:textId="77777777" w:rsidTr="0081522E">
        <w:trPr>
          <w:trHeight w:val="251"/>
          <w:jc w:val="center"/>
        </w:trPr>
        <w:tc>
          <w:tcPr>
            <w:tcW w:w="2732" w:type="dxa"/>
            <w:shd w:val="clear" w:color="auto" w:fill="D9D9D9" w:themeFill="background1" w:themeFillShade="D9"/>
            <w:hideMark/>
          </w:tcPr>
          <w:p w14:paraId="184DF1D8"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Aire acondicionado</w:t>
            </w:r>
          </w:p>
        </w:tc>
        <w:tc>
          <w:tcPr>
            <w:tcW w:w="0" w:type="auto"/>
            <w:shd w:val="clear" w:color="auto" w:fill="D9D9D9" w:themeFill="background1" w:themeFillShade="D9"/>
            <w:hideMark/>
          </w:tcPr>
          <w:p w14:paraId="0143BB46"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 xml:space="preserve">Adquisición e instalación </w:t>
            </w:r>
          </w:p>
        </w:tc>
        <w:tc>
          <w:tcPr>
            <w:tcW w:w="0" w:type="auto"/>
            <w:shd w:val="clear" w:color="auto" w:fill="D9D9D9" w:themeFill="background1" w:themeFillShade="D9"/>
            <w:hideMark/>
          </w:tcPr>
          <w:p w14:paraId="1E740AB4" w14:textId="77777777" w:rsidR="00682AA0" w:rsidRPr="00943919" w:rsidRDefault="00682AA0" w:rsidP="00CC0143">
            <w:pPr>
              <w:spacing w:after="0"/>
              <w:jc w:val="both"/>
              <w:rPr>
                <w:rFonts w:ascii="Arial" w:eastAsia="Times New Roman" w:hAnsi="Arial" w:cs="Arial"/>
                <w:sz w:val="16"/>
                <w:szCs w:val="18"/>
                <w:lang w:eastAsia="es-ES"/>
              </w:rPr>
            </w:pPr>
            <w:r w:rsidRPr="00943919">
              <w:rPr>
                <w:rFonts w:ascii="Arial" w:eastAsia="Times New Roman" w:hAnsi="Arial" w:cs="Arial"/>
                <w:sz w:val="16"/>
                <w:szCs w:val="18"/>
                <w:lang w:val="es-ES_tradnl" w:eastAsia="es-ES"/>
              </w:rPr>
              <w:t>Mantenimiento y energía</w:t>
            </w:r>
          </w:p>
        </w:tc>
      </w:tr>
    </w:tbl>
    <w:p w14:paraId="68D0DE79" w14:textId="1492F74C"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w:t>
      </w:r>
      <w:r w:rsidR="00950820">
        <w:rPr>
          <w:rFonts w:ascii="Arial" w:eastAsia="Times New Roman" w:hAnsi="Arial" w:cs="Arial"/>
          <w:sz w:val="18"/>
          <w:szCs w:val="18"/>
          <w:lang w:eastAsia="es-ES"/>
        </w:rPr>
        <w:t>3</w:t>
      </w:r>
      <w:r w:rsidRPr="001B525F">
        <w:rPr>
          <w:rFonts w:ascii="Arial" w:eastAsia="Times New Roman" w:hAnsi="Arial" w:cs="Arial"/>
          <w:sz w:val="18"/>
          <w:szCs w:val="18"/>
          <w:lang w:eastAsia="es-ES"/>
        </w:rPr>
        <w:t>. Principales conceptos de capex y opex por activo.</w:t>
      </w:r>
    </w:p>
    <w:p w14:paraId="2FF3ADDC" w14:textId="77777777" w:rsidR="00682AA0" w:rsidRPr="001B525F" w:rsidRDefault="00682AA0" w:rsidP="00CC0143">
      <w:pPr>
        <w:spacing w:after="0"/>
        <w:jc w:val="both"/>
        <w:rPr>
          <w:rFonts w:ascii="Arial" w:eastAsia="Times New Roman" w:hAnsi="Arial" w:cs="Arial"/>
          <w:sz w:val="18"/>
          <w:szCs w:val="18"/>
          <w:lang w:eastAsia="es-ES"/>
        </w:rPr>
      </w:pPr>
    </w:p>
    <w:p w14:paraId="3261ABF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Para la recuperación de los costos se implementa una anualidad (</w:t>
      </w:r>
      <w:r w:rsidRPr="001B525F">
        <w:rPr>
          <w:rFonts w:ascii="Arial" w:hAnsi="Arial" w:cs="Arial"/>
          <w:sz w:val="18"/>
          <w:szCs w:val="18"/>
        </w:rPr>
        <w:t>annuity</w:t>
      </w:r>
      <w:r w:rsidRPr="001B525F">
        <w:rPr>
          <w:rFonts w:ascii="Arial" w:eastAsia="Times New Roman" w:hAnsi="Arial" w:cs="Arial"/>
          <w:sz w:val="18"/>
          <w:szCs w:val="18"/>
          <w:lang w:eastAsia="es-ES"/>
        </w:rPr>
        <w:t>), considerando perfiles de vidas útiles contables.</w:t>
      </w:r>
    </w:p>
    <w:p w14:paraId="680ECA71" w14:textId="77777777" w:rsidR="00682AA0" w:rsidRPr="001B525F" w:rsidRDefault="00682AA0" w:rsidP="00CC0143">
      <w:pPr>
        <w:spacing w:after="0"/>
        <w:jc w:val="both"/>
        <w:rPr>
          <w:rFonts w:ascii="Arial" w:eastAsia="Times New Roman" w:hAnsi="Arial" w:cs="Arial"/>
          <w:sz w:val="18"/>
          <w:szCs w:val="18"/>
          <w:lang w:eastAsia="es-ES"/>
        </w:rPr>
      </w:pPr>
    </w:p>
    <w:p w14:paraId="1A79353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modelo debe incluir un retorno razonable sobre los activos, de conformidad con el Lineamiento Noveno de la Metodología de Costos, este será determinado a través del costo de capital promedio ponderado (CCPP). El Costo de Capital Promedio Ponderado es el calculado en los modelos de costos de servicios de conmutados de interconexión.</w:t>
      </w:r>
    </w:p>
    <w:p w14:paraId="36FBECA7" w14:textId="505DA978" w:rsidR="00682AA0" w:rsidRDefault="00682AA0" w:rsidP="00CC0143">
      <w:pPr>
        <w:spacing w:after="0"/>
        <w:jc w:val="both"/>
        <w:rPr>
          <w:rFonts w:ascii="Arial" w:eastAsia="Times New Roman" w:hAnsi="Arial" w:cs="Arial"/>
          <w:sz w:val="18"/>
          <w:szCs w:val="18"/>
          <w:lang w:eastAsia="es-ES"/>
        </w:rPr>
      </w:pPr>
    </w:p>
    <w:p w14:paraId="79B2A2CC"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Asignación de costos</w:t>
      </w:r>
    </w:p>
    <w:p w14:paraId="551C6E09" w14:textId="77777777" w:rsidR="00682AA0" w:rsidRPr="001B525F" w:rsidRDefault="00682AA0" w:rsidP="00CC0143">
      <w:pPr>
        <w:spacing w:after="0"/>
        <w:jc w:val="both"/>
        <w:rPr>
          <w:rFonts w:ascii="Arial" w:eastAsia="Times New Roman" w:hAnsi="Arial" w:cs="Arial"/>
          <w:sz w:val="18"/>
          <w:szCs w:val="18"/>
          <w:lang w:eastAsia="es-ES"/>
        </w:rPr>
      </w:pPr>
    </w:p>
    <w:p w14:paraId="3EB627E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el Módulo de Precio se asignan los costos a los distintos activos y elementos de red en base a una serie de criterios claramente definidos, los cuales constituyen los </w:t>
      </w:r>
      <w:r w:rsidRPr="001B525F">
        <w:rPr>
          <w:rFonts w:ascii="Arial" w:hAnsi="Arial" w:cs="Arial"/>
          <w:sz w:val="18"/>
          <w:szCs w:val="18"/>
        </w:rPr>
        <w:t>drivers</w:t>
      </w:r>
      <w:r w:rsidRPr="001B525F">
        <w:rPr>
          <w:rFonts w:ascii="Arial" w:eastAsia="Times New Roman" w:hAnsi="Arial" w:cs="Arial"/>
          <w:sz w:val="18"/>
          <w:szCs w:val="18"/>
          <w:lang w:eastAsia="es-ES"/>
        </w:rPr>
        <w:t xml:space="preserve"> de asignación de costos para cada activo/elemento de red, principalmente se consideran los siguientes puntos:</w:t>
      </w:r>
    </w:p>
    <w:p w14:paraId="6D25EAE9" w14:textId="77777777" w:rsidR="00682AA0" w:rsidRPr="001B525F" w:rsidRDefault="00682AA0" w:rsidP="00CC0143">
      <w:pPr>
        <w:spacing w:after="0"/>
        <w:jc w:val="both"/>
        <w:rPr>
          <w:rFonts w:ascii="Arial" w:eastAsia="Times New Roman" w:hAnsi="Arial" w:cs="Arial"/>
          <w:sz w:val="18"/>
          <w:szCs w:val="18"/>
          <w:lang w:eastAsia="es-ES"/>
        </w:rPr>
      </w:pPr>
    </w:p>
    <w:p w14:paraId="62B1E19B" w14:textId="77777777" w:rsidR="00682AA0" w:rsidRPr="001B525F" w:rsidRDefault="00682AA0" w:rsidP="00943919">
      <w:pPr>
        <w:numPr>
          <w:ilvl w:val="0"/>
          <w:numId w:val="38"/>
        </w:numPr>
        <w:tabs>
          <w:tab w:val="num" w:pos="360"/>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los costos del predio:</w:t>
      </w:r>
      <w:r w:rsidRPr="001B525F">
        <w:rPr>
          <w:rFonts w:ascii="Arial" w:eastAsia="Times New Roman" w:hAnsi="Arial" w:cs="Arial"/>
          <w:sz w:val="18"/>
          <w:szCs w:val="18"/>
          <w:lang w:eastAsia="es-ES"/>
        </w:rPr>
        <w:t xml:space="preserve"> estos costos se reparten de manera proporcional al espacio horizontal ocupado por los operadores considerando el espacio requerido en la central del PH y en la sala de coubicación exterior.</w:t>
      </w:r>
    </w:p>
    <w:p w14:paraId="5D28E5FA" w14:textId="77777777" w:rsidR="00682AA0" w:rsidRPr="001B525F" w:rsidRDefault="00682AA0" w:rsidP="00943919">
      <w:pPr>
        <w:spacing w:after="0"/>
        <w:ind w:left="709" w:hanging="357"/>
        <w:jc w:val="both"/>
        <w:rPr>
          <w:rFonts w:ascii="Arial" w:eastAsia="Times New Roman" w:hAnsi="Arial" w:cs="Arial"/>
          <w:sz w:val="18"/>
          <w:szCs w:val="18"/>
          <w:lang w:eastAsia="es-ES"/>
        </w:rPr>
      </w:pPr>
    </w:p>
    <w:p w14:paraId="050B8C87" w14:textId="77777777" w:rsidR="00682AA0" w:rsidRPr="001B525F" w:rsidRDefault="00682AA0" w:rsidP="00943919">
      <w:pPr>
        <w:spacing w:after="0"/>
        <w:ind w:left="709"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área no construida libre se asigna en función del espacio funcional</w:t>
      </w:r>
      <w:r w:rsidRPr="001B525F">
        <w:rPr>
          <w:rFonts w:ascii="Arial" w:eastAsia="Times New Roman" w:hAnsi="Arial" w:cs="Arial"/>
          <w:sz w:val="18"/>
          <w:szCs w:val="18"/>
          <w:vertAlign w:val="superscript"/>
          <w:lang w:eastAsia="es-ES"/>
        </w:rPr>
        <w:footnoteReference w:id="34"/>
      </w:r>
      <w:r w:rsidRPr="001B525F">
        <w:rPr>
          <w:rFonts w:ascii="Arial" w:eastAsia="Times New Roman" w:hAnsi="Arial" w:cs="Arial"/>
          <w:sz w:val="18"/>
          <w:szCs w:val="18"/>
          <w:lang w:eastAsia="es-ES"/>
        </w:rPr>
        <w:t xml:space="preserve"> utilizado por cada operador; adicionalmente, el modelo permite asignar el costo total de este espacio al PH.</w:t>
      </w:r>
    </w:p>
    <w:p w14:paraId="271ACF51" w14:textId="77777777" w:rsidR="00682AA0" w:rsidRPr="001B525F" w:rsidRDefault="00682AA0" w:rsidP="00943919">
      <w:pPr>
        <w:spacing w:after="0"/>
        <w:ind w:left="709" w:hanging="357"/>
        <w:jc w:val="both"/>
        <w:rPr>
          <w:rFonts w:ascii="Arial" w:eastAsia="Times New Roman" w:hAnsi="Arial" w:cs="Arial"/>
          <w:sz w:val="18"/>
          <w:szCs w:val="18"/>
          <w:lang w:eastAsia="es-ES"/>
        </w:rPr>
      </w:pPr>
    </w:p>
    <w:p w14:paraId="4A9019B6" w14:textId="77777777" w:rsidR="00682AA0" w:rsidRPr="001B525F" w:rsidRDefault="00682AA0" w:rsidP="00943919">
      <w:pPr>
        <w:numPr>
          <w:ilvl w:val="0"/>
          <w:numId w:val="38"/>
        </w:numPr>
        <w:tabs>
          <w:tab w:val="num" w:pos="360"/>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 xml:space="preserve">Asignación de los costos de la central: </w:t>
      </w:r>
      <w:r w:rsidRPr="001B525F">
        <w:rPr>
          <w:rFonts w:ascii="Arial" w:eastAsia="Times New Roman" w:hAnsi="Arial" w:cs="Arial"/>
          <w:sz w:val="18"/>
          <w:szCs w:val="18"/>
          <w:lang w:eastAsia="es-ES"/>
        </w:rPr>
        <w:t>se utilizan criterios de asignación diferentes según para qué se utilice la sala:</w:t>
      </w:r>
    </w:p>
    <w:p w14:paraId="1537394E" w14:textId="77777777" w:rsidR="00682AA0" w:rsidRPr="001B525F" w:rsidRDefault="00682AA0" w:rsidP="00CC0143">
      <w:pPr>
        <w:spacing w:after="0"/>
        <w:ind w:left="720"/>
        <w:jc w:val="both"/>
        <w:rPr>
          <w:rFonts w:ascii="Arial" w:eastAsia="Times New Roman" w:hAnsi="Arial" w:cs="Arial"/>
          <w:sz w:val="18"/>
          <w:szCs w:val="18"/>
          <w:lang w:eastAsia="es-ES"/>
        </w:rPr>
      </w:pPr>
    </w:p>
    <w:tbl>
      <w:tblPr>
        <w:tblStyle w:val="Tabladecuadrcula4"/>
        <w:tblW w:w="0" w:type="auto"/>
        <w:tblLayout w:type="fixed"/>
        <w:tblLook w:val="0420" w:firstRow="1" w:lastRow="0" w:firstColumn="0" w:lastColumn="0" w:noHBand="0" w:noVBand="1"/>
      </w:tblPr>
      <w:tblGrid>
        <w:gridCol w:w="1847"/>
        <w:gridCol w:w="1735"/>
        <w:gridCol w:w="2321"/>
        <w:gridCol w:w="3491"/>
      </w:tblGrid>
      <w:tr w:rsidR="001B525F" w:rsidRPr="00943919" w14:paraId="2A7F2CAE" w14:textId="77777777" w:rsidTr="5459DB53">
        <w:trPr>
          <w:cnfStyle w:val="100000000000" w:firstRow="1" w:lastRow="0" w:firstColumn="0" w:lastColumn="0" w:oddVBand="0" w:evenVBand="0" w:oddHBand="0" w:evenHBand="0" w:firstRowFirstColumn="0" w:firstRowLastColumn="0" w:lastRowFirstColumn="0" w:lastRowLastColumn="0"/>
          <w:trHeight w:val="510"/>
        </w:trPr>
        <w:tc>
          <w:tcPr>
            <w:tcW w:w="1847" w:type="dxa"/>
            <w:tcBorders>
              <w:right w:val="single" w:sz="4" w:space="0" w:color="000000" w:themeColor="text1"/>
            </w:tcBorders>
            <w:shd w:val="clear" w:color="auto" w:fill="A6A6A6" w:themeFill="background1" w:themeFillShade="A6"/>
            <w:hideMark/>
          </w:tcPr>
          <w:p w14:paraId="029E252E" w14:textId="77777777" w:rsidR="00682AA0" w:rsidRPr="00943919" w:rsidRDefault="00682AA0" w:rsidP="001B2640">
            <w:pPr>
              <w:spacing w:after="0"/>
              <w:ind w:left="77"/>
              <w:jc w:val="center"/>
              <w:rPr>
                <w:rFonts w:ascii="Arial" w:hAnsi="Arial" w:cs="Arial"/>
                <w:color w:val="auto"/>
                <w:sz w:val="16"/>
                <w:szCs w:val="16"/>
              </w:rPr>
            </w:pPr>
            <w:r w:rsidRPr="00943919">
              <w:rPr>
                <w:rFonts w:ascii="Arial" w:hAnsi="Arial" w:cs="Arial"/>
                <w:color w:val="auto"/>
                <w:sz w:val="16"/>
                <w:szCs w:val="16"/>
                <w:lang w:val="es-ES_tradnl"/>
              </w:rPr>
              <w:t>Activo</w:t>
            </w:r>
          </w:p>
        </w:tc>
        <w:tc>
          <w:tcPr>
            <w:tcW w:w="1735" w:type="dxa"/>
            <w:tcBorders>
              <w:left w:val="single" w:sz="4" w:space="0" w:color="000000" w:themeColor="text1"/>
              <w:right w:val="single" w:sz="4" w:space="0" w:color="000000" w:themeColor="text1"/>
            </w:tcBorders>
            <w:shd w:val="clear" w:color="auto" w:fill="A6A6A6" w:themeFill="background1" w:themeFillShade="A6"/>
            <w:hideMark/>
          </w:tcPr>
          <w:p w14:paraId="0804FFE6" w14:textId="77777777" w:rsidR="00682AA0" w:rsidRPr="00943919" w:rsidRDefault="00682AA0" w:rsidP="001B2640">
            <w:pPr>
              <w:spacing w:after="0"/>
              <w:ind w:left="215"/>
              <w:jc w:val="center"/>
              <w:rPr>
                <w:rFonts w:ascii="Arial" w:hAnsi="Arial" w:cs="Arial"/>
                <w:color w:val="auto"/>
                <w:sz w:val="16"/>
                <w:szCs w:val="16"/>
              </w:rPr>
            </w:pPr>
            <w:r w:rsidRPr="00943919">
              <w:rPr>
                <w:rFonts w:ascii="Arial" w:hAnsi="Arial" w:cs="Arial"/>
                <w:color w:val="auto"/>
                <w:sz w:val="16"/>
                <w:szCs w:val="16"/>
                <w:lang w:val="es-ES_tradnl"/>
              </w:rPr>
              <w:t>Sub-elemento</w:t>
            </w:r>
          </w:p>
        </w:tc>
        <w:tc>
          <w:tcPr>
            <w:tcW w:w="2321" w:type="dxa"/>
            <w:tcBorders>
              <w:left w:val="single" w:sz="4" w:space="0" w:color="000000" w:themeColor="text1"/>
              <w:right w:val="single" w:sz="4" w:space="0" w:color="000000" w:themeColor="text1"/>
            </w:tcBorders>
            <w:shd w:val="clear" w:color="auto" w:fill="A6A6A6" w:themeFill="background1" w:themeFillShade="A6"/>
            <w:hideMark/>
          </w:tcPr>
          <w:p w14:paraId="42D9D826" w14:textId="77777777" w:rsidR="00682AA0" w:rsidRPr="00943919" w:rsidRDefault="00682AA0" w:rsidP="001B2640">
            <w:pPr>
              <w:spacing w:after="0"/>
              <w:ind w:left="140"/>
              <w:jc w:val="center"/>
              <w:rPr>
                <w:rFonts w:ascii="Arial" w:hAnsi="Arial" w:cs="Arial"/>
                <w:color w:val="auto"/>
                <w:sz w:val="16"/>
                <w:szCs w:val="16"/>
              </w:rPr>
            </w:pPr>
            <w:r w:rsidRPr="00943919">
              <w:rPr>
                <w:rFonts w:ascii="Arial" w:hAnsi="Arial" w:cs="Arial"/>
                <w:color w:val="auto"/>
                <w:sz w:val="16"/>
                <w:szCs w:val="16"/>
                <w:lang w:val="es-ES_tradnl"/>
              </w:rPr>
              <w:t>Servicio</w:t>
            </w:r>
          </w:p>
        </w:tc>
        <w:tc>
          <w:tcPr>
            <w:tcW w:w="3491" w:type="dxa"/>
            <w:tcBorders>
              <w:left w:val="single" w:sz="4" w:space="0" w:color="000000" w:themeColor="text1"/>
            </w:tcBorders>
            <w:shd w:val="clear" w:color="auto" w:fill="A6A6A6" w:themeFill="background1" w:themeFillShade="A6"/>
            <w:hideMark/>
          </w:tcPr>
          <w:p w14:paraId="3A46001D" w14:textId="77777777" w:rsidR="00682AA0" w:rsidRPr="00943919" w:rsidRDefault="00682AA0" w:rsidP="001B2640">
            <w:pPr>
              <w:spacing w:after="0"/>
              <w:ind w:left="10"/>
              <w:jc w:val="center"/>
              <w:rPr>
                <w:rFonts w:ascii="Arial" w:hAnsi="Arial" w:cs="Arial"/>
                <w:color w:val="auto"/>
                <w:sz w:val="16"/>
                <w:szCs w:val="16"/>
              </w:rPr>
            </w:pPr>
            <w:r w:rsidRPr="00943919">
              <w:rPr>
                <w:rFonts w:ascii="Arial" w:hAnsi="Arial" w:cs="Arial"/>
                <w:color w:val="auto"/>
                <w:sz w:val="16"/>
                <w:szCs w:val="16"/>
                <w:lang w:val="es-ES_tradnl"/>
              </w:rPr>
              <w:t>Driver</w:t>
            </w:r>
          </w:p>
        </w:tc>
      </w:tr>
      <w:tr w:rsidR="001B525F" w:rsidRPr="00943919" w14:paraId="50303815" w14:textId="77777777" w:rsidTr="5459DB53">
        <w:trPr>
          <w:cnfStyle w:val="000000100000" w:firstRow="0" w:lastRow="0" w:firstColumn="0" w:lastColumn="0" w:oddVBand="0" w:evenVBand="0" w:oddHBand="1" w:evenHBand="0" w:firstRowFirstColumn="0" w:firstRowLastColumn="0" w:lastRowFirstColumn="0" w:lastRowLastColumn="0"/>
          <w:trHeight w:val="248"/>
        </w:trPr>
        <w:tc>
          <w:tcPr>
            <w:tcW w:w="1847" w:type="dxa"/>
            <w:vMerge w:val="restart"/>
            <w:tcBorders>
              <w:top w:val="single" w:sz="4" w:space="0" w:color="000000" w:themeColor="text1"/>
            </w:tcBorders>
            <w:hideMark/>
          </w:tcPr>
          <w:p w14:paraId="6BE1E860" w14:textId="77777777" w:rsidR="00682AA0" w:rsidRPr="00943919" w:rsidRDefault="00682AA0" w:rsidP="00CC0143">
            <w:pPr>
              <w:spacing w:after="0"/>
              <w:ind w:left="77"/>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Predio</w:t>
            </w:r>
          </w:p>
          <w:p w14:paraId="549C8A8F" w14:textId="77777777" w:rsidR="00682AA0" w:rsidRPr="00943919" w:rsidRDefault="00682AA0" w:rsidP="00CC0143">
            <w:pPr>
              <w:spacing w:after="0"/>
              <w:ind w:left="77"/>
              <w:jc w:val="both"/>
              <w:rPr>
                <w:rFonts w:ascii="Arial" w:eastAsia="Times New Roman" w:hAnsi="Arial" w:cs="Arial"/>
                <w:sz w:val="16"/>
                <w:szCs w:val="16"/>
                <w:lang w:eastAsia="es-ES"/>
              </w:rPr>
            </w:pPr>
          </w:p>
        </w:tc>
        <w:tc>
          <w:tcPr>
            <w:tcW w:w="1735" w:type="dxa"/>
            <w:tcBorders>
              <w:top w:val="single" w:sz="4" w:space="0" w:color="000000" w:themeColor="text1"/>
            </w:tcBorders>
            <w:hideMark/>
          </w:tcPr>
          <w:p w14:paraId="147C6825" w14:textId="77777777" w:rsidR="00682AA0" w:rsidRPr="00943919" w:rsidRDefault="00682AA0" w:rsidP="00CC0143">
            <w:pPr>
              <w:spacing w:after="0"/>
              <w:ind w:left="83"/>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Área caseta central</w:t>
            </w:r>
          </w:p>
        </w:tc>
        <w:tc>
          <w:tcPr>
            <w:tcW w:w="2321" w:type="dxa"/>
            <w:tcBorders>
              <w:top w:val="single" w:sz="4" w:space="0" w:color="000000" w:themeColor="text1"/>
            </w:tcBorders>
            <w:hideMark/>
          </w:tcPr>
          <w:p w14:paraId="03B3FEE7" w14:textId="77777777" w:rsidR="00682AA0" w:rsidRPr="00943919" w:rsidRDefault="00682AA0" w:rsidP="00CC0143">
            <w:pPr>
              <w:spacing w:after="0"/>
              <w:ind w:left="83"/>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Coubicación (CI/CE)</w:t>
            </w:r>
          </w:p>
        </w:tc>
        <w:tc>
          <w:tcPr>
            <w:tcW w:w="3491" w:type="dxa"/>
            <w:tcBorders>
              <w:top w:val="single" w:sz="4" w:space="0" w:color="000000" w:themeColor="text1"/>
            </w:tcBorders>
            <w:hideMark/>
          </w:tcPr>
          <w:p w14:paraId="2B46A4E2" w14:textId="77777777" w:rsidR="00682AA0" w:rsidRPr="00943919" w:rsidRDefault="00682AA0" w:rsidP="00CC0143">
            <w:pPr>
              <w:spacing w:after="0"/>
              <w:ind w:left="85"/>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Espacio funcional* utilizado por operador en la central</w:t>
            </w:r>
          </w:p>
        </w:tc>
      </w:tr>
      <w:tr w:rsidR="001B525F" w:rsidRPr="00943919" w14:paraId="6EC9FCE9" w14:textId="77777777" w:rsidTr="007740FC">
        <w:trPr>
          <w:trHeight w:val="248"/>
        </w:trPr>
        <w:tc>
          <w:tcPr>
            <w:tcW w:w="1847" w:type="dxa"/>
            <w:vMerge/>
            <w:hideMark/>
          </w:tcPr>
          <w:p w14:paraId="64E4707E" w14:textId="77777777" w:rsidR="00682AA0" w:rsidRPr="00F36A25" w:rsidRDefault="00682AA0" w:rsidP="00CC0143">
            <w:pPr>
              <w:spacing w:after="0"/>
              <w:ind w:left="77"/>
              <w:jc w:val="both"/>
              <w:rPr>
                <w:rFonts w:ascii="Arial" w:eastAsia="Times New Roman" w:hAnsi="Arial" w:cs="Arial"/>
                <w:sz w:val="16"/>
                <w:szCs w:val="16"/>
                <w:lang w:eastAsia="es-ES"/>
              </w:rPr>
            </w:pPr>
          </w:p>
        </w:tc>
        <w:tc>
          <w:tcPr>
            <w:tcW w:w="1735" w:type="dxa"/>
            <w:hideMark/>
          </w:tcPr>
          <w:p w14:paraId="2ABC7D13" w14:textId="77777777" w:rsidR="00682AA0" w:rsidRPr="00F36A25" w:rsidRDefault="00682AA0" w:rsidP="00CC0143">
            <w:pPr>
              <w:spacing w:after="0"/>
              <w:ind w:left="83"/>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Área sala coubicación externa</w:t>
            </w:r>
          </w:p>
        </w:tc>
        <w:tc>
          <w:tcPr>
            <w:tcW w:w="2321" w:type="dxa"/>
            <w:hideMark/>
          </w:tcPr>
          <w:p w14:paraId="1C16F994" w14:textId="77777777" w:rsidR="00682AA0" w:rsidRPr="00F36A25" w:rsidRDefault="00682AA0" w:rsidP="00CC0143">
            <w:pPr>
              <w:spacing w:after="0"/>
              <w:ind w:left="83"/>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Coubicación externa (CE)</w:t>
            </w:r>
          </w:p>
        </w:tc>
        <w:tc>
          <w:tcPr>
            <w:tcW w:w="3491" w:type="dxa"/>
            <w:hideMark/>
          </w:tcPr>
          <w:p w14:paraId="387154AB" w14:textId="77777777" w:rsidR="00682AA0" w:rsidRPr="00F36A25" w:rsidRDefault="00682AA0" w:rsidP="00CC0143">
            <w:pPr>
              <w:spacing w:after="0"/>
              <w:ind w:left="85"/>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Espacio para CE por CS</w:t>
            </w:r>
          </w:p>
        </w:tc>
      </w:tr>
      <w:tr w:rsidR="001B525F" w:rsidRPr="00943919" w14:paraId="62791121"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55F859D9" w14:textId="77777777" w:rsidR="00682AA0" w:rsidRPr="00F36A25" w:rsidRDefault="00682AA0" w:rsidP="00CC0143">
            <w:pPr>
              <w:spacing w:after="0"/>
              <w:ind w:left="77"/>
              <w:jc w:val="both"/>
              <w:rPr>
                <w:rFonts w:ascii="Arial" w:eastAsia="Times New Roman" w:hAnsi="Arial" w:cs="Arial"/>
                <w:sz w:val="16"/>
                <w:szCs w:val="16"/>
                <w:lang w:eastAsia="es-ES"/>
              </w:rPr>
            </w:pPr>
          </w:p>
        </w:tc>
        <w:tc>
          <w:tcPr>
            <w:tcW w:w="1735" w:type="dxa"/>
            <w:hideMark/>
          </w:tcPr>
          <w:p w14:paraId="339BC68E" w14:textId="77777777" w:rsidR="00682AA0" w:rsidRPr="00F36A25" w:rsidRDefault="00682AA0" w:rsidP="00CC0143">
            <w:pPr>
              <w:spacing w:after="0"/>
              <w:ind w:left="83"/>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Área no construida / libre</w:t>
            </w:r>
          </w:p>
        </w:tc>
        <w:tc>
          <w:tcPr>
            <w:tcW w:w="2321" w:type="dxa"/>
            <w:hideMark/>
          </w:tcPr>
          <w:p w14:paraId="7A1CFE90" w14:textId="77777777" w:rsidR="00682AA0" w:rsidRPr="00F36A25" w:rsidRDefault="00682AA0" w:rsidP="00CC0143">
            <w:pPr>
              <w:spacing w:after="0"/>
              <w:ind w:left="83"/>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Coubicación (CI/CE)</w:t>
            </w:r>
          </w:p>
        </w:tc>
        <w:tc>
          <w:tcPr>
            <w:tcW w:w="3491" w:type="dxa"/>
            <w:hideMark/>
          </w:tcPr>
          <w:p w14:paraId="455ED75E" w14:textId="77777777" w:rsidR="00682AA0" w:rsidRPr="00F36A25" w:rsidRDefault="00682AA0" w:rsidP="00CC0143">
            <w:pPr>
              <w:spacing w:after="0"/>
              <w:ind w:left="85"/>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Espacio funcional* utilizado por operador. El modelo permite asignar el costo total de este elemento al PH</w:t>
            </w:r>
          </w:p>
        </w:tc>
      </w:tr>
      <w:tr w:rsidR="001B525F" w:rsidRPr="00943919" w14:paraId="513A1B4C" w14:textId="77777777" w:rsidTr="007740FC">
        <w:trPr>
          <w:trHeight w:val="248"/>
        </w:trPr>
        <w:tc>
          <w:tcPr>
            <w:tcW w:w="1847" w:type="dxa"/>
            <w:vMerge w:val="restart"/>
          </w:tcPr>
          <w:p w14:paraId="599312FA" w14:textId="77777777" w:rsidR="00682AA0" w:rsidRPr="00943919" w:rsidRDefault="00682AA0" w:rsidP="00CC0143">
            <w:pPr>
              <w:spacing w:after="0"/>
              <w:ind w:left="75"/>
              <w:jc w:val="both"/>
              <w:rPr>
                <w:rFonts w:ascii="Arial" w:eastAsia="Times New Roman" w:hAnsi="Arial" w:cs="Arial"/>
                <w:sz w:val="16"/>
                <w:szCs w:val="16"/>
                <w:lang w:eastAsia="es-ES"/>
              </w:rPr>
            </w:pPr>
            <w:r w:rsidRPr="00943919">
              <w:rPr>
                <w:rFonts w:ascii="Arial" w:eastAsia="Times New Roman" w:hAnsi="Arial" w:cs="Arial"/>
                <w:sz w:val="16"/>
                <w:szCs w:val="16"/>
                <w:lang w:eastAsia="es-ES"/>
              </w:rPr>
              <w:t>Central PH</w:t>
            </w:r>
          </w:p>
        </w:tc>
        <w:tc>
          <w:tcPr>
            <w:tcW w:w="1735" w:type="dxa"/>
          </w:tcPr>
          <w:p w14:paraId="7A4BE18D" w14:textId="77777777" w:rsidR="00682AA0" w:rsidRPr="00943919" w:rsidRDefault="00682AA0" w:rsidP="00CC0143">
            <w:pPr>
              <w:spacing w:after="0"/>
              <w:ind w:left="83"/>
              <w:rPr>
                <w:rFonts w:ascii="Arial" w:eastAsia="Times New Roman" w:hAnsi="Arial" w:cs="Arial"/>
                <w:sz w:val="16"/>
                <w:szCs w:val="16"/>
                <w:lang w:val="es-ES_tradnl" w:eastAsia="es-ES"/>
              </w:rPr>
            </w:pPr>
            <w:r w:rsidRPr="00943919">
              <w:rPr>
                <w:rFonts w:ascii="Arial" w:eastAsia="Times New Roman" w:hAnsi="Arial" w:cs="Arial"/>
                <w:sz w:val="16"/>
                <w:szCs w:val="16"/>
                <w:lang w:val="es-ES_tradnl" w:eastAsia="es-ES"/>
              </w:rPr>
              <w:t>Sala MDF/ODF PH</w:t>
            </w:r>
          </w:p>
        </w:tc>
        <w:tc>
          <w:tcPr>
            <w:tcW w:w="2321" w:type="dxa"/>
          </w:tcPr>
          <w:p w14:paraId="4C18CB2B" w14:textId="77777777" w:rsidR="00682AA0" w:rsidRPr="00943919" w:rsidRDefault="00682AA0" w:rsidP="00CC0143">
            <w:pPr>
              <w:spacing w:after="0"/>
              <w:ind w:left="83"/>
              <w:jc w:val="both"/>
              <w:rPr>
                <w:rFonts w:ascii="Arial" w:eastAsia="Times New Roman" w:hAnsi="Arial" w:cs="Arial"/>
                <w:sz w:val="16"/>
                <w:szCs w:val="16"/>
                <w:lang w:val="es-ES_tradnl" w:eastAsia="es-ES"/>
              </w:rPr>
            </w:pPr>
            <w:r w:rsidRPr="00943919">
              <w:rPr>
                <w:rFonts w:ascii="Arial" w:eastAsia="Times New Roman" w:hAnsi="Arial" w:cs="Arial"/>
                <w:sz w:val="16"/>
                <w:szCs w:val="16"/>
                <w:lang w:val="es-ES_tradnl" w:eastAsia="es-ES"/>
              </w:rPr>
              <w:t>Espacio dedicado y asignado en su totalidad al PH</w:t>
            </w:r>
          </w:p>
        </w:tc>
        <w:tc>
          <w:tcPr>
            <w:tcW w:w="3491" w:type="dxa"/>
          </w:tcPr>
          <w:p w14:paraId="6E370EA7" w14:textId="77777777" w:rsidR="00682AA0" w:rsidRPr="00943919" w:rsidRDefault="00682AA0" w:rsidP="00CC0143">
            <w:pPr>
              <w:spacing w:after="0"/>
              <w:ind w:left="85"/>
              <w:jc w:val="both"/>
              <w:rPr>
                <w:rFonts w:ascii="Arial" w:eastAsia="Times New Roman" w:hAnsi="Arial" w:cs="Arial"/>
                <w:sz w:val="16"/>
                <w:szCs w:val="16"/>
                <w:lang w:val="es-ES_tradnl" w:eastAsia="es-ES"/>
              </w:rPr>
            </w:pPr>
            <w:r w:rsidRPr="00943919">
              <w:rPr>
                <w:rFonts w:ascii="Arial" w:eastAsia="Times New Roman" w:hAnsi="Arial" w:cs="Arial"/>
                <w:sz w:val="16"/>
                <w:szCs w:val="16"/>
                <w:lang w:val="es-ES_tradnl" w:eastAsia="es-ES"/>
              </w:rPr>
              <w:t>Sala MDF/ODF PH</w:t>
            </w:r>
          </w:p>
        </w:tc>
      </w:tr>
      <w:tr w:rsidR="001B525F" w:rsidRPr="00943919" w14:paraId="18CCA529"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3D360B8D"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hideMark/>
          </w:tcPr>
          <w:p w14:paraId="5D65EB00" w14:textId="77777777" w:rsidR="00682AA0" w:rsidRPr="00F36A25" w:rsidRDefault="00682AA0" w:rsidP="00CC0143">
            <w:pPr>
              <w:spacing w:after="0"/>
              <w:ind w:left="83"/>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Sala coubicación CS</w:t>
            </w:r>
          </w:p>
        </w:tc>
        <w:tc>
          <w:tcPr>
            <w:tcW w:w="2321" w:type="dxa"/>
            <w:hideMark/>
          </w:tcPr>
          <w:p w14:paraId="29F5437B" w14:textId="77777777" w:rsidR="00682AA0" w:rsidRPr="00F36A25" w:rsidRDefault="00682AA0" w:rsidP="00CC0143">
            <w:pPr>
              <w:spacing w:after="0"/>
              <w:ind w:left="83"/>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Coubicación interna (CI)</w:t>
            </w:r>
          </w:p>
        </w:tc>
        <w:tc>
          <w:tcPr>
            <w:tcW w:w="3491" w:type="dxa"/>
            <w:hideMark/>
          </w:tcPr>
          <w:p w14:paraId="412A8F6A" w14:textId="77777777" w:rsidR="00682AA0" w:rsidRPr="00F36A25" w:rsidRDefault="00682AA0" w:rsidP="00CC0143">
            <w:pPr>
              <w:spacing w:after="0"/>
              <w:ind w:left="85"/>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Espacio dedicado a los CS y asignado a cada CS según su demanda de espacio en CI</w:t>
            </w:r>
          </w:p>
        </w:tc>
      </w:tr>
      <w:tr w:rsidR="001B525F" w:rsidRPr="00943919" w14:paraId="63108503" w14:textId="77777777" w:rsidTr="007740FC">
        <w:trPr>
          <w:trHeight w:val="510"/>
        </w:trPr>
        <w:tc>
          <w:tcPr>
            <w:tcW w:w="1847" w:type="dxa"/>
            <w:vMerge/>
          </w:tcPr>
          <w:p w14:paraId="7DE8CC97"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tcPr>
          <w:p w14:paraId="66FDAD9F" w14:textId="77777777" w:rsidR="00682AA0" w:rsidRPr="00F36A25" w:rsidRDefault="00682AA0" w:rsidP="00CC0143">
            <w:pPr>
              <w:spacing w:after="0"/>
              <w:ind w:left="87"/>
              <w:rPr>
                <w:rFonts w:ascii="Arial" w:eastAsia="Times New Roman" w:hAnsi="Arial" w:cs="Arial"/>
                <w:sz w:val="16"/>
                <w:szCs w:val="16"/>
                <w:lang w:val="es-ES_tradnl" w:eastAsia="es-ES"/>
              </w:rPr>
            </w:pPr>
            <w:r w:rsidRPr="00F36A25">
              <w:rPr>
                <w:rFonts w:ascii="Arial" w:eastAsia="Times New Roman" w:hAnsi="Arial" w:cs="Arial"/>
                <w:sz w:val="16"/>
                <w:szCs w:val="16"/>
                <w:lang w:val="es-ES_tradnl" w:eastAsia="es-ES"/>
              </w:rPr>
              <w:t>Sala de control</w:t>
            </w:r>
          </w:p>
        </w:tc>
        <w:tc>
          <w:tcPr>
            <w:tcW w:w="2321" w:type="dxa"/>
          </w:tcPr>
          <w:p w14:paraId="2CFA94D7" w14:textId="77777777" w:rsidR="00682AA0" w:rsidRPr="00F36A25" w:rsidRDefault="00682AA0" w:rsidP="00CC0143">
            <w:pPr>
              <w:spacing w:after="0"/>
              <w:ind w:left="57"/>
              <w:jc w:val="both"/>
              <w:rPr>
                <w:rFonts w:ascii="Arial" w:eastAsia="Times New Roman" w:hAnsi="Arial" w:cs="Arial"/>
                <w:sz w:val="16"/>
                <w:szCs w:val="16"/>
                <w:lang w:eastAsia="es-ES"/>
              </w:rPr>
            </w:pPr>
            <w:r w:rsidRPr="5459DB53">
              <w:rPr>
                <w:rFonts w:ascii="Arial" w:eastAsia="Times New Roman" w:hAnsi="Arial" w:cs="Arial"/>
                <w:sz w:val="16"/>
                <w:szCs w:val="16"/>
                <w:lang w:eastAsia="es-ES"/>
              </w:rPr>
              <w:t>Coubicación (CI/CE)</w:t>
            </w:r>
          </w:p>
        </w:tc>
        <w:tc>
          <w:tcPr>
            <w:tcW w:w="3491" w:type="dxa"/>
          </w:tcPr>
          <w:p w14:paraId="242CBB0C" w14:textId="77777777" w:rsidR="00682AA0" w:rsidRPr="00F36A25" w:rsidRDefault="00682AA0" w:rsidP="00CC0143">
            <w:pPr>
              <w:spacing w:after="0"/>
              <w:ind w:left="80"/>
              <w:jc w:val="both"/>
              <w:rPr>
                <w:rFonts w:ascii="Arial" w:eastAsia="Times New Roman" w:hAnsi="Arial" w:cs="Arial"/>
                <w:sz w:val="16"/>
                <w:szCs w:val="16"/>
                <w:lang w:val="es-ES_tradnl" w:eastAsia="es-ES"/>
              </w:rPr>
            </w:pPr>
            <w:r w:rsidRPr="00F36A25">
              <w:rPr>
                <w:rFonts w:ascii="Arial" w:eastAsia="Times New Roman" w:hAnsi="Arial" w:cs="Arial"/>
                <w:sz w:val="16"/>
                <w:szCs w:val="16"/>
                <w:lang w:val="es-ES_tradnl" w:eastAsia="es-ES"/>
              </w:rPr>
              <w:t>Prorrateo según los espacios dedicados a cada operador.</w:t>
            </w:r>
          </w:p>
        </w:tc>
      </w:tr>
      <w:tr w:rsidR="001B525F" w:rsidRPr="00943919" w14:paraId="1D0FEAA2"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1847" w:type="dxa"/>
            <w:vMerge/>
          </w:tcPr>
          <w:p w14:paraId="0BCBB323"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tcPr>
          <w:p w14:paraId="20A40089" w14:textId="77777777" w:rsidR="00682AA0" w:rsidRPr="00F36A25" w:rsidRDefault="00682AA0" w:rsidP="00CC0143">
            <w:pPr>
              <w:spacing w:after="0"/>
              <w:ind w:left="87"/>
              <w:rPr>
                <w:rFonts w:ascii="Arial" w:eastAsia="Times New Roman" w:hAnsi="Arial" w:cs="Arial"/>
                <w:sz w:val="16"/>
                <w:szCs w:val="16"/>
                <w:lang w:eastAsia="es-ES"/>
              </w:rPr>
            </w:pPr>
            <w:r w:rsidRPr="5459DB53">
              <w:rPr>
                <w:rFonts w:ascii="Arial" w:eastAsia="Times New Roman" w:hAnsi="Arial" w:cs="Arial"/>
                <w:sz w:val="16"/>
                <w:szCs w:val="16"/>
                <w:lang w:eastAsia="es-ES"/>
              </w:rPr>
              <w:t>Sala de switching PH</w:t>
            </w:r>
          </w:p>
        </w:tc>
        <w:tc>
          <w:tcPr>
            <w:tcW w:w="5812" w:type="dxa"/>
            <w:gridSpan w:val="2"/>
          </w:tcPr>
          <w:p w14:paraId="4EB551CC" w14:textId="77777777" w:rsidR="00682AA0" w:rsidRPr="00F36A25" w:rsidRDefault="00682AA0" w:rsidP="00CC0143">
            <w:pPr>
              <w:spacing w:after="0"/>
              <w:ind w:left="80"/>
              <w:jc w:val="both"/>
              <w:rPr>
                <w:rFonts w:ascii="Arial" w:eastAsia="Times New Roman" w:hAnsi="Arial" w:cs="Arial"/>
                <w:sz w:val="16"/>
                <w:szCs w:val="16"/>
                <w:lang w:val="es-ES_tradnl" w:eastAsia="es-ES"/>
              </w:rPr>
            </w:pPr>
            <w:r w:rsidRPr="00F36A25">
              <w:rPr>
                <w:rFonts w:ascii="Arial" w:eastAsia="Times New Roman" w:hAnsi="Arial" w:cs="Arial"/>
                <w:sz w:val="16"/>
                <w:szCs w:val="16"/>
                <w:lang w:val="es-ES_tradnl" w:eastAsia="es-ES"/>
              </w:rPr>
              <w:t>Espacio utilizado por PH y por ende los costos de este elemento son asignados al PH en su totalidad</w:t>
            </w:r>
          </w:p>
        </w:tc>
      </w:tr>
      <w:tr w:rsidR="001B525F" w:rsidRPr="00943919" w14:paraId="36B4BD2B" w14:textId="77777777" w:rsidTr="007740FC">
        <w:trPr>
          <w:trHeight w:val="510"/>
        </w:trPr>
        <w:tc>
          <w:tcPr>
            <w:tcW w:w="1847" w:type="dxa"/>
            <w:vMerge/>
          </w:tcPr>
          <w:p w14:paraId="06A9156F"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tcPr>
          <w:p w14:paraId="1FA7E8DE" w14:textId="77777777" w:rsidR="00682AA0" w:rsidRPr="00F36A25" w:rsidRDefault="00682AA0" w:rsidP="00CC0143">
            <w:pPr>
              <w:spacing w:after="0"/>
              <w:ind w:left="87"/>
              <w:rPr>
                <w:rFonts w:ascii="Arial" w:eastAsia="Times New Roman" w:hAnsi="Arial" w:cs="Arial"/>
                <w:sz w:val="16"/>
                <w:szCs w:val="16"/>
                <w:lang w:val="es-ES_tradnl" w:eastAsia="es-ES"/>
              </w:rPr>
            </w:pPr>
            <w:r w:rsidRPr="00F36A25">
              <w:rPr>
                <w:rFonts w:ascii="Arial" w:eastAsia="Times New Roman" w:hAnsi="Arial" w:cs="Arial"/>
                <w:sz w:val="16"/>
                <w:szCs w:val="16"/>
                <w:lang w:val="es-ES_tradnl" w:eastAsia="es-ES"/>
              </w:rPr>
              <w:t>Sala de equipos de transmisión</w:t>
            </w:r>
          </w:p>
        </w:tc>
        <w:tc>
          <w:tcPr>
            <w:tcW w:w="5812" w:type="dxa"/>
            <w:gridSpan w:val="2"/>
          </w:tcPr>
          <w:p w14:paraId="079D4034" w14:textId="77777777" w:rsidR="00682AA0" w:rsidRPr="00F36A25" w:rsidRDefault="00682AA0" w:rsidP="00CC0143">
            <w:pPr>
              <w:spacing w:after="0"/>
              <w:ind w:left="80"/>
              <w:jc w:val="both"/>
              <w:rPr>
                <w:rFonts w:ascii="Arial" w:eastAsia="Times New Roman" w:hAnsi="Arial" w:cs="Arial"/>
                <w:sz w:val="16"/>
                <w:szCs w:val="16"/>
                <w:lang w:val="es-ES_tradnl" w:eastAsia="es-ES"/>
              </w:rPr>
            </w:pPr>
            <w:r w:rsidRPr="00F36A25">
              <w:rPr>
                <w:rFonts w:ascii="Arial" w:eastAsia="Times New Roman" w:hAnsi="Arial" w:cs="Arial"/>
                <w:sz w:val="16"/>
                <w:szCs w:val="16"/>
                <w:lang w:val="es-ES_tradnl" w:eastAsia="es-ES"/>
              </w:rPr>
              <w:t>Espacio utilizado por PH y por ende los costos de este elemento son asignados al PH en su totalidad</w:t>
            </w:r>
          </w:p>
        </w:tc>
      </w:tr>
      <w:tr w:rsidR="001B525F" w:rsidRPr="00943919" w14:paraId="79FD0B86"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4EC9EFE4"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hideMark/>
          </w:tcPr>
          <w:p w14:paraId="3404CC6E" w14:textId="77777777" w:rsidR="00682AA0" w:rsidRPr="00F36A25" w:rsidRDefault="00682AA0" w:rsidP="00CC0143">
            <w:pPr>
              <w:spacing w:after="0"/>
              <w:ind w:left="87"/>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Sala subestación eléctrica</w:t>
            </w:r>
          </w:p>
        </w:tc>
        <w:tc>
          <w:tcPr>
            <w:tcW w:w="2321" w:type="dxa"/>
            <w:hideMark/>
          </w:tcPr>
          <w:p w14:paraId="37236031" w14:textId="77777777" w:rsidR="00682AA0" w:rsidRPr="00F36A25" w:rsidRDefault="00682AA0" w:rsidP="00CC0143">
            <w:pPr>
              <w:spacing w:after="0"/>
              <w:ind w:left="57"/>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Subestación eléctrica</w:t>
            </w:r>
          </w:p>
        </w:tc>
        <w:tc>
          <w:tcPr>
            <w:tcW w:w="3491" w:type="dxa"/>
            <w:hideMark/>
          </w:tcPr>
          <w:p w14:paraId="632E1589" w14:textId="77777777" w:rsidR="00682AA0" w:rsidRPr="00F36A25" w:rsidRDefault="00682AA0" w:rsidP="00CC0143">
            <w:pPr>
              <w:spacing w:after="0"/>
              <w:ind w:left="80"/>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Energía requerida por cada operador</w:t>
            </w:r>
          </w:p>
        </w:tc>
      </w:tr>
      <w:tr w:rsidR="001B525F" w:rsidRPr="00943919" w14:paraId="15A5C364" w14:textId="77777777" w:rsidTr="007740FC">
        <w:trPr>
          <w:trHeight w:val="510"/>
        </w:trPr>
        <w:tc>
          <w:tcPr>
            <w:tcW w:w="1847" w:type="dxa"/>
            <w:vMerge/>
            <w:hideMark/>
          </w:tcPr>
          <w:p w14:paraId="7BAFFCF3"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hideMark/>
          </w:tcPr>
          <w:p w14:paraId="2987FE6C" w14:textId="77777777" w:rsidR="00682AA0" w:rsidRPr="00F36A25" w:rsidRDefault="00682AA0" w:rsidP="00CC0143">
            <w:pPr>
              <w:spacing w:after="0"/>
              <w:ind w:left="87"/>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Sala planta de emergencia</w:t>
            </w:r>
          </w:p>
        </w:tc>
        <w:tc>
          <w:tcPr>
            <w:tcW w:w="2321" w:type="dxa"/>
            <w:hideMark/>
          </w:tcPr>
          <w:p w14:paraId="613850B8" w14:textId="77777777" w:rsidR="00682AA0" w:rsidRPr="00F36A25" w:rsidRDefault="00682AA0" w:rsidP="00CC0143">
            <w:pPr>
              <w:spacing w:after="0"/>
              <w:ind w:left="57"/>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Fuente de energía de respaldo</w:t>
            </w:r>
          </w:p>
        </w:tc>
        <w:tc>
          <w:tcPr>
            <w:tcW w:w="3491" w:type="dxa"/>
            <w:hideMark/>
          </w:tcPr>
          <w:p w14:paraId="487D9ABB" w14:textId="77777777" w:rsidR="00682AA0" w:rsidRPr="00F36A25" w:rsidRDefault="00682AA0" w:rsidP="00CC0143">
            <w:pPr>
              <w:spacing w:after="0"/>
              <w:ind w:left="80"/>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Energía requerida por cada operador</w:t>
            </w:r>
          </w:p>
        </w:tc>
      </w:tr>
      <w:tr w:rsidR="001B525F" w:rsidRPr="00943919" w14:paraId="3BCE6347"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1345836F"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hideMark/>
          </w:tcPr>
          <w:p w14:paraId="6CD00453" w14:textId="77777777" w:rsidR="00682AA0" w:rsidRPr="00F36A25" w:rsidRDefault="00682AA0" w:rsidP="00CC0143">
            <w:pPr>
              <w:spacing w:after="0"/>
              <w:ind w:left="87"/>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Sala baterías</w:t>
            </w:r>
          </w:p>
        </w:tc>
        <w:tc>
          <w:tcPr>
            <w:tcW w:w="2321" w:type="dxa"/>
            <w:hideMark/>
          </w:tcPr>
          <w:p w14:paraId="0342DD8A" w14:textId="77777777" w:rsidR="00682AA0" w:rsidRPr="00F36A25" w:rsidRDefault="00682AA0" w:rsidP="00CC0143">
            <w:pPr>
              <w:spacing w:after="0"/>
              <w:ind w:left="57"/>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Fuente de energía de respaldo</w:t>
            </w:r>
          </w:p>
        </w:tc>
        <w:tc>
          <w:tcPr>
            <w:tcW w:w="3491" w:type="dxa"/>
            <w:hideMark/>
          </w:tcPr>
          <w:p w14:paraId="3739B480" w14:textId="77777777" w:rsidR="00682AA0" w:rsidRPr="00F36A25" w:rsidRDefault="00682AA0" w:rsidP="00CC0143">
            <w:pPr>
              <w:spacing w:after="0"/>
              <w:ind w:left="80"/>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Energía requerida por cada operador</w:t>
            </w:r>
          </w:p>
        </w:tc>
      </w:tr>
      <w:tr w:rsidR="001B525F" w:rsidRPr="00943919" w14:paraId="35FB360B" w14:textId="77777777" w:rsidTr="007740FC">
        <w:trPr>
          <w:trHeight w:val="248"/>
        </w:trPr>
        <w:tc>
          <w:tcPr>
            <w:tcW w:w="1847" w:type="dxa"/>
            <w:vMerge/>
            <w:hideMark/>
          </w:tcPr>
          <w:p w14:paraId="77C35DED" w14:textId="77777777" w:rsidR="00682AA0" w:rsidRPr="00F36A25" w:rsidRDefault="00682AA0" w:rsidP="00CC0143">
            <w:pPr>
              <w:spacing w:after="0"/>
              <w:ind w:left="75"/>
              <w:jc w:val="both"/>
              <w:rPr>
                <w:rFonts w:ascii="Arial" w:eastAsia="Times New Roman" w:hAnsi="Arial" w:cs="Arial"/>
                <w:sz w:val="16"/>
                <w:szCs w:val="16"/>
                <w:lang w:eastAsia="es-ES"/>
              </w:rPr>
            </w:pPr>
          </w:p>
        </w:tc>
        <w:tc>
          <w:tcPr>
            <w:tcW w:w="1735" w:type="dxa"/>
            <w:hideMark/>
          </w:tcPr>
          <w:p w14:paraId="1CF743B6" w14:textId="77777777" w:rsidR="00682AA0" w:rsidRPr="00F36A25" w:rsidRDefault="00682AA0" w:rsidP="00CC0143">
            <w:pPr>
              <w:spacing w:after="0"/>
              <w:ind w:left="87"/>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Espacio para overheads</w:t>
            </w:r>
          </w:p>
        </w:tc>
        <w:tc>
          <w:tcPr>
            <w:tcW w:w="2321" w:type="dxa"/>
            <w:hideMark/>
          </w:tcPr>
          <w:p w14:paraId="54ED6546" w14:textId="77777777" w:rsidR="00682AA0" w:rsidRPr="00F36A25" w:rsidRDefault="00682AA0" w:rsidP="00CC0143">
            <w:pPr>
              <w:spacing w:after="0"/>
              <w:ind w:left="57"/>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Todos los servicios</w:t>
            </w:r>
          </w:p>
        </w:tc>
        <w:tc>
          <w:tcPr>
            <w:tcW w:w="3491" w:type="dxa"/>
            <w:hideMark/>
          </w:tcPr>
          <w:p w14:paraId="32530533" w14:textId="77777777" w:rsidR="00682AA0" w:rsidRPr="00F36A25" w:rsidRDefault="00682AA0" w:rsidP="00CC0143">
            <w:pPr>
              <w:spacing w:after="0"/>
              <w:ind w:left="80"/>
              <w:jc w:val="both"/>
              <w:rPr>
                <w:rFonts w:ascii="Arial" w:eastAsia="Times New Roman" w:hAnsi="Arial" w:cs="Arial"/>
                <w:sz w:val="16"/>
                <w:szCs w:val="16"/>
                <w:lang w:eastAsia="es-ES"/>
              </w:rPr>
            </w:pPr>
            <w:r w:rsidRPr="00F36A25">
              <w:rPr>
                <w:rFonts w:ascii="Arial" w:eastAsia="Times New Roman" w:hAnsi="Arial" w:cs="Arial"/>
                <w:sz w:val="16"/>
                <w:szCs w:val="16"/>
                <w:lang w:val="es-ES_tradnl" w:eastAsia="es-ES"/>
              </w:rPr>
              <w:t>Espacio funcional* (excl. overheads) utilizado por cada operador en la central</w:t>
            </w:r>
          </w:p>
        </w:tc>
      </w:tr>
      <w:tr w:rsidR="001B525F" w:rsidRPr="00943919" w14:paraId="1FE4ECDE"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01550689" w14:textId="77777777" w:rsidR="00682AA0" w:rsidRPr="00943919" w:rsidRDefault="00682AA0" w:rsidP="00CC0143">
            <w:pPr>
              <w:spacing w:after="0"/>
              <w:ind w:left="75"/>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Sala de coubicación externa</w:t>
            </w:r>
          </w:p>
        </w:tc>
        <w:tc>
          <w:tcPr>
            <w:tcW w:w="1735" w:type="dxa"/>
            <w:hideMark/>
          </w:tcPr>
          <w:p w14:paraId="35E874A3" w14:textId="77777777" w:rsidR="00682AA0" w:rsidRPr="00943919" w:rsidRDefault="00682AA0" w:rsidP="00CC0143">
            <w:pPr>
              <w:spacing w:after="0"/>
              <w:ind w:left="720"/>
              <w:jc w:val="both"/>
              <w:rPr>
                <w:rFonts w:ascii="Arial" w:eastAsia="Times New Roman" w:hAnsi="Arial" w:cs="Arial"/>
                <w:sz w:val="16"/>
                <w:szCs w:val="16"/>
                <w:lang w:eastAsia="es-ES"/>
              </w:rPr>
            </w:pPr>
          </w:p>
        </w:tc>
        <w:tc>
          <w:tcPr>
            <w:tcW w:w="2321" w:type="dxa"/>
            <w:hideMark/>
          </w:tcPr>
          <w:p w14:paraId="31CF53E7" w14:textId="77777777" w:rsidR="00682AA0" w:rsidRPr="00943919" w:rsidRDefault="00682AA0" w:rsidP="00CC0143">
            <w:pPr>
              <w:spacing w:after="0"/>
              <w:ind w:left="57"/>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Coubicación externa</w:t>
            </w:r>
          </w:p>
        </w:tc>
        <w:tc>
          <w:tcPr>
            <w:tcW w:w="3491" w:type="dxa"/>
            <w:hideMark/>
          </w:tcPr>
          <w:p w14:paraId="79D29D2E" w14:textId="77777777" w:rsidR="00682AA0" w:rsidRPr="00943919" w:rsidRDefault="00682AA0" w:rsidP="00CC0143">
            <w:pPr>
              <w:spacing w:after="0"/>
              <w:ind w:left="80"/>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Espacio dedicado a los CS y asignado a cada CS en función de su demanda de espacio en CE</w:t>
            </w:r>
          </w:p>
        </w:tc>
      </w:tr>
      <w:tr w:rsidR="001B525F" w:rsidRPr="00943919" w14:paraId="331C1D30" w14:textId="77777777" w:rsidTr="007740FC">
        <w:trPr>
          <w:trHeight w:val="510"/>
        </w:trPr>
        <w:tc>
          <w:tcPr>
            <w:tcW w:w="1847" w:type="dxa"/>
            <w:hideMark/>
          </w:tcPr>
          <w:p w14:paraId="2C5FBD91" w14:textId="77777777" w:rsidR="00682AA0" w:rsidRPr="00943919" w:rsidRDefault="00682AA0" w:rsidP="00CC0143">
            <w:pPr>
              <w:spacing w:after="0"/>
              <w:ind w:left="75"/>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Subestación eléctrica</w:t>
            </w:r>
          </w:p>
        </w:tc>
        <w:tc>
          <w:tcPr>
            <w:tcW w:w="1735" w:type="dxa"/>
            <w:hideMark/>
          </w:tcPr>
          <w:p w14:paraId="6FF83100" w14:textId="77777777" w:rsidR="00682AA0" w:rsidRPr="00943919" w:rsidRDefault="00682AA0" w:rsidP="00CC0143">
            <w:pPr>
              <w:spacing w:after="0"/>
              <w:ind w:left="720"/>
              <w:jc w:val="both"/>
              <w:rPr>
                <w:rFonts w:ascii="Arial" w:eastAsia="Times New Roman" w:hAnsi="Arial" w:cs="Arial"/>
                <w:sz w:val="16"/>
                <w:szCs w:val="16"/>
                <w:lang w:eastAsia="es-ES"/>
              </w:rPr>
            </w:pPr>
          </w:p>
        </w:tc>
        <w:tc>
          <w:tcPr>
            <w:tcW w:w="2321" w:type="dxa"/>
            <w:hideMark/>
          </w:tcPr>
          <w:p w14:paraId="1F7CB83A" w14:textId="77777777" w:rsidR="00682AA0" w:rsidRPr="00943919" w:rsidRDefault="00682AA0" w:rsidP="00CC0143">
            <w:pPr>
              <w:spacing w:after="0"/>
              <w:ind w:left="57"/>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Subestación eléctrica</w:t>
            </w:r>
          </w:p>
        </w:tc>
        <w:tc>
          <w:tcPr>
            <w:tcW w:w="3491" w:type="dxa"/>
            <w:hideMark/>
          </w:tcPr>
          <w:p w14:paraId="0EB439DA" w14:textId="77777777" w:rsidR="00682AA0" w:rsidRPr="00943919" w:rsidRDefault="00682AA0" w:rsidP="00CC0143">
            <w:pPr>
              <w:spacing w:after="0"/>
              <w:ind w:left="80"/>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Energía requerida por cada operador</w:t>
            </w:r>
          </w:p>
        </w:tc>
      </w:tr>
      <w:tr w:rsidR="001B525F" w:rsidRPr="00943919" w14:paraId="42728C3A"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58988EBB" w14:textId="77777777" w:rsidR="00682AA0" w:rsidRPr="00943919" w:rsidRDefault="00682AA0" w:rsidP="00CC0143">
            <w:pPr>
              <w:spacing w:after="0"/>
              <w:ind w:left="75"/>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Fuente de energía de respaldo</w:t>
            </w:r>
          </w:p>
        </w:tc>
        <w:tc>
          <w:tcPr>
            <w:tcW w:w="1735" w:type="dxa"/>
            <w:hideMark/>
          </w:tcPr>
          <w:p w14:paraId="6FA88308" w14:textId="77777777" w:rsidR="00682AA0" w:rsidRPr="00943919" w:rsidRDefault="00682AA0" w:rsidP="00CC0143">
            <w:pPr>
              <w:spacing w:after="0"/>
              <w:ind w:left="720"/>
              <w:jc w:val="both"/>
              <w:rPr>
                <w:rFonts w:ascii="Arial" w:eastAsia="Times New Roman" w:hAnsi="Arial" w:cs="Arial"/>
                <w:sz w:val="16"/>
                <w:szCs w:val="16"/>
                <w:lang w:eastAsia="es-ES"/>
              </w:rPr>
            </w:pPr>
          </w:p>
        </w:tc>
        <w:tc>
          <w:tcPr>
            <w:tcW w:w="2321" w:type="dxa"/>
            <w:hideMark/>
          </w:tcPr>
          <w:p w14:paraId="2EB7C7B6" w14:textId="77777777" w:rsidR="00682AA0" w:rsidRPr="00943919" w:rsidRDefault="00682AA0" w:rsidP="00CC0143">
            <w:pPr>
              <w:spacing w:after="0"/>
              <w:ind w:left="57"/>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Energía de respaldo</w:t>
            </w:r>
          </w:p>
        </w:tc>
        <w:tc>
          <w:tcPr>
            <w:tcW w:w="3491" w:type="dxa"/>
            <w:hideMark/>
          </w:tcPr>
          <w:p w14:paraId="5B756A0E" w14:textId="77777777" w:rsidR="00682AA0" w:rsidRPr="00943919" w:rsidRDefault="00682AA0" w:rsidP="00CC0143">
            <w:pPr>
              <w:spacing w:after="0"/>
              <w:ind w:left="80"/>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Energía requerida por cada operador</w:t>
            </w:r>
          </w:p>
        </w:tc>
      </w:tr>
      <w:tr w:rsidR="001B525F" w:rsidRPr="00943919" w14:paraId="09818852" w14:textId="77777777" w:rsidTr="007740FC">
        <w:trPr>
          <w:trHeight w:val="248"/>
        </w:trPr>
        <w:tc>
          <w:tcPr>
            <w:tcW w:w="1847" w:type="dxa"/>
            <w:hideMark/>
          </w:tcPr>
          <w:p w14:paraId="3F7A718D" w14:textId="77777777" w:rsidR="00682AA0" w:rsidRPr="00943919" w:rsidRDefault="00682AA0" w:rsidP="00CC0143">
            <w:pPr>
              <w:spacing w:after="0"/>
              <w:ind w:left="75"/>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Aire acondicionado</w:t>
            </w:r>
          </w:p>
        </w:tc>
        <w:tc>
          <w:tcPr>
            <w:tcW w:w="1735" w:type="dxa"/>
            <w:hideMark/>
          </w:tcPr>
          <w:p w14:paraId="5762F7F3" w14:textId="77777777" w:rsidR="00682AA0" w:rsidRPr="00943919" w:rsidRDefault="00682AA0" w:rsidP="00CC0143">
            <w:pPr>
              <w:spacing w:after="0"/>
              <w:ind w:left="720"/>
              <w:jc w:val="both"/>
              <w:rPr>
                <w:rFonts w:ascii="Arial" w:eastAsia="Times New Roman" w:hAnsi="Arial" w:cs="Arial"/>
                <w:sz w:val="16"/>
                <w:szCs w:val="16"/>
                <w:lang w:eastAsia="es-ES"/>
              </w:rPr>
            </w:pPr>
          </w:p>
        </w:tc>
        <w:tc>
          <w:tcPr>
            <w:tcW w:w="2321" w:type="dxa"/>
            <w:hideMark/>
          </w:tcPr>
          <w:p w14:paraId="0ACF1B4B" w14:textId="77777777" w:rsidR="00682AA0" w:rsidRPr="00943919" w:rsidRDefault="00682AA0" w:rsidP="00CC0143">
            <w:pPr>
              <w:spacing w:after="0"/>
              <w:ind w:left="57"/>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Aire acondicionado</w:t>
            </w:r>
          </w:p>
        </w:tc>
        <w:tc>
          <w:tcPr>
            <w:tcW w:w="3491" w:type="dxa"/>
            <w:hideMark/>
          </w:tcPr>
          <w:p w14:paraId="4656C2F2" w14:textId="77777777" w:rsidR="00682AA0" w:rsidRPr="00943919" w:rsidRDefault="00682AA0" w:rsidP="00CC0143">
            <w:pPr>
              <w:spacing w:after="0"/>
              <w:ind w:left="80"/>
              <w:jc w:val="both"/>
              <w:rPr>
                <w:rFonts w:ascii="Arial" w:eastAsia="Times New Roman" w:hAnsi="Arial" w:cs="Arial"/>
                <w:sz w:val="16"/>
                <w:szCs w:val="16"/>
                <w:lang w:eastAsia="es-ES"/>
              </w:rPr>
            </w:pPr>
            <w:r w:rsidRPr="00943919">
              <w:rPr>
                <w:rFonts w:ascii="Arial" w:eastAsia="Times New Roman" w:hAnsi="Arial" w:cs="Arial"/>
                <w:sz w:val="16"/>
                <w:szCs w:val="16"/>
                <w:lang w:val="es-ES_tradnl" w:eastAsia="es-ES"/>
              </w:rPr>
              <w:t>Espacio ocupado en las salas de la central</w:t>
            </w:r>
          </w:p>
        </w:tc>
      </w:tr>
    </w:tbl>
    <w:p w14:paraId="4957736D" w14:textId="5217F621"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w:t>
      </w:r>
      <w:r w:rsidR="00950820">
        <w:rPr>
          <w:rFonts w:ascii="Arial" w:eastAsia="Times New Roman" w:hAnsi="Arial" w:cs="Arial"/>
          <w:sz w:val="18"/>
          <w:szCs w:val="18"/>
          <w:lang w:eastAsia="es-ES"/>
        </w:rPr>
        <w:t>4</w:t>
      </w:r>
      <w:r w:rsidRPr="001B525F">
        <w:rPr>
          <w:rFonts w:ascii="Arial" w:eastAsia="Times New Roman" w:hAnsi="Arial" w:cs="Arial"/>
          <w:sz w:val="18"/>
          <w:szCs w:val="18"/>
          <w:lang w:eastAsia="es-ES"/>
        </w:rPr>
        <w:t>. Drivers principales de asignación de costos a los distintos servicios.</w:t>
      </w:r>
    </w:p>
    <w:p w14:paraId="3AF3FAEF" w14:textId="77777777" w:rsidR="00682AA0" w:rsidRPr="001B525F" w:rsidRDefault="00682AA0" w:rsidP="00CC0143">
      <w:pPr>
        <w:spacing w:after="0"/>
        <w:ind w:left="720"/>
        <w:jc w:val="both"/>
        <w:rPr>
          <w:rFonts w:ascii="Arial" w:eastAsia="Times New Roman" w:hAnsi="Arial" w:cs="Arial"/>
          <w:sz w:val="18"/>
          <w:szCs w:val="18"/>
          <w:lang w:eastAsia="es-ES"/>
        </w:rPr>
      </w:pPr>
    </w:p>
    <w:p w14:paraId="3CEE709A" w14:textId="77777777" w:rsidR="00682AA0" w:rsidRPr="001B525F" w:rsidRDefault="00682AA0" w:rsidP="00943919">
      <w:pPr>
        <w:numPr>
          <w:ilvl w:val="0"/>
          <w:numId w:val="38"/>
        </w:numPr>
        <w:tabs>
          <w:tab w:val="num" w:pos="360"/>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los costos de suministro de energía y de la fuente de energía de respaldo:</w:t>
      </w:r>
      <w:r w:rsidRPr="001B525F">
        <w:rPr>
          <w:rFonts w:ascii="Arial" w:eastAsia="Times New Roman" w:hAnsi="Arial" w:cs="Arial"/>
          <w:sz w:val="18"/>
          <w:szCs w:val="18"/>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22628C41" w14:textId="77777777" w:rsidR="00682AA0" w:rsidRPr="001B525F" w:rsidRDefault="00682AA0" w:rsidP="00943919">
      <w:pPr>
        <w:spacing w:after="0"/>
        <w:ind w:left="709" w:hanging="357"/>
        <w:jc w:val="both"/>
        <w:rPr>
          <w:rFonts w:ascii="Arial" w:eastAsia="Times New Roman" w:hAnsi="Arial" w:cs="Arial"/>
          <w:sz w:val="18"/>
          <w:szCs w:val="18"/>
          <w:lang w:eastAsia="es-ES"/>
        </w:rPr>
      </w:pPr>
    </w:p>
    <w:p w14:paraId="39AB57F4" w14:textId="77777777" w:rsidR="00682AA0" w:rsidRPr="001B525F" w:rsidRDefault="00682AA0" w:rsidP="00943919">
      <w:pPr>
        <w:numPr>
          <w:ilvl w:val="0"/>
          <w:numId w:val="38"/>
        </w:numPr>
        <w:tabs>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lastRenderedPageBreak/>
        <w:t>Asignación de los costos del clima</w:t>
      </w:r>
      <w:r w:rsidRPr="001B525F">
        <w:rPr>
          <w:rFonts w:ascii="Arial" w:eastAsia="Times New Roman" w:hAnsi="Arial" w:cs="Arial"/>
          <w:b/>
          <w:sz w:val="18"/>
          <w:szCs w:val="18"/>
          <w:vertAlign w:val="superscript"/>
          <w:lang w:eastAsia="es-ES"/>
        </w:rPr>
        <w:footnoteReference w:id="35"/>
      </w:r>
      <w:r w:rsidRPr="001B525F">
        <w:rPr>
          <w:rFonts w:ascii="Arial" w:eastAsia="Times New Roman" w:hAnsi="Arial" w:cs="Arial"/>
          <w:b/>
          <w:sz w:val="18"/>
          <w:szCs w:val="18"/>
          <w:lang w:eastAsia="es-ES"/>
        </w:rPr>
        <w:t>:</w:t>
      </w:r>
      <w:r w:rsidRPr="001B525F">
        <w:rPr>
          <w:rFonts w:ascii="Arial" w:eastAsia="Times New Roman" w:hAnsi="Arial" w:cs="Arial"/>
          <w:sz w:val="18"/>
          <w:szCs w:val="18"/>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de estos servicios incluye el costo de los equipos, el consumo de energía y el costo del espacio ocupado por los equipos.</w:t>
      </w:r>
    </w:p>
    <w:p w14:paraId="7D5A0A46" w14:textId="77777777" w:rsidR="00682AA0" w:rsidRPr="001B525F" w:rsidRDefault="00682AA0" w:rsidP="00943919">
      <w:pPr>
        <w:spacing w:after="0"/>
        <w:ind w:left="709" w:hanging="357"/>
        <w:jc w:val="both"/>
        <w:rPr>
          <w:rFonts w:ascii="Arial" w:eastAsia="Times New Roman" w:hAnsi="Arial" w:cs="Arial"/>
          <w:sz w:val="18"/>
          <w:szCs w:val="18"/>
          <w:lang w:eastAsia="es-ES"/>
        </w:rPr>
      </w:pPr>
    </w:p>
    <w:p w14:paraId="02490915" w14:textId="77777777" w:rsidR="00682AA0" w:rsidRPr="001B525F" w:rsidRDefault="00682AA0" w:rsidP="00943919">
      <w:pPr>
        <w:numPr>
          <w:ilvl w:val="0"/>
          <w:numId w:val="38"/>
        </w:numPr>
        <w:tabs>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 xml:space="preserve">Asignación de los costos de los racks: </w:t>
      </w:r>
      <w:r w:rsidRPr="001B525F">
        <w:rPr>
          <w:rFonts w:ascii="Arial" w:eastAsia="Times New Roman" w:hAnsi="Arial" w:cs="Arial"/>
          <w:sz w:val="18"/>
          <w:szCs w:val="18"/>
          <w:lang w:eastAsia="es-ES"/>
        </w:rPr>
        <w:t>Estos costos se asignan solamente en la coubicación equipada (Tipo 3); la coubicación equipada tiene los mismos drivers de asignación que la coubicación básica/cerrada, al que se añaden los costos específicos de los racks (Capex y Opex), anualizados.</w:t>
      </w:r>
    </w:p>
    <w:p w14:paraId="46EE229A" w14:textId="77777777" w:rsidR="00682AA0" w:rsidRPr="001B525F" w:rsidRDefault="00682AA0" w:rsidP="00943919">
      <w:pPr>
        <w:spacing w:after="0"/>
        <w:ind w:left="709" w:hanging="357"/>
        <w:jc w:val="both"/>
        <w:rPr>
          <w:rFonts w:ascii="Arial" w:eastAsia="Times New Roman" w:hAnsi="Arial" w:cs="Arial"/>
          <w:sz w:val="18"/>
          <w:szCs w:val="18"/>
          <w:lang w:eastAsia="es-ES"/>
        </w:rPr>
      </w:pPr>
    </w:p>
    <w:p w14:paraId="38B23BB9" w14:textId="77777777" w:rsidR="00682AA0" w:rsidRPr="001B525F" w:rsidRDefault="00682AA0" w:rsidP="00943919">
      <w:pPr>
        <w:numPr>
          <w:ilvl w:val="0"/>
          <w:numId w:val="38"/>
        </w:numPr>
        <w:tabs>
          <w:tab w:val="num" w:pos="426"/>
        </w:tabs>
        <w:spacing w:after="0"/>
        <w:ind w:left="709" w:hanging="357"/>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costos de los servicios complementarios:</w:t>
      </w:r>
      <w:r w:rsidRPr="001B525F">
        <w:rPr>
          <w:rFonts w:ascii="Arial" w:eastAsia="Times New Roman" w:hAnsi="Arial" w:cs="Arial"/>
          <w:sz w:val="18"/>
          <w:szCs w:val="18"/>
          <w:lang w:eastAsia="es-ES"/>
        </w:rPr>
        <w:t xml:space="preserve"> Estos costos son los que corresponden a los servicios complementarios los cuales se separan en costos recurrentes y costos no recurrentes.</w:t>
      </w:r>
    </w:p>
    <w:p w14:paraId="28AA0784" w14:textId="77777777" w:rsidR="00682AA0" w:rsidRPr="001B525F" w:rsidRDefault="00682AA0" w:rsidP="00943919">
      <w:pPr>
        <w:spacing w:after="0"/>
        <w:ind w:left="709" w:hanging="357"/>
        <w:jc w:val="both"/>
        <w:rPr>
          <w:rFonts w:ascii="Arial" w:eastAsia="Times New Roman" w:hAnsi="Arial" w:cs="Arial"/>
          <w:sz w:val="18"/>
          <w:szCs w:val="18"/>
          <w:lang w:eastAsia="es-ES"/>
        </w:rPr>
      </w:pPr>
    </w:p>
    <w:p w14:paraId="1DEF2E98" w14:textId="77777777" w:rsidR="00682AA0" w:rsidRPr="001B525F" w:rsidRDefault="00682AA0" w:rsidP="00943919">
      <w:pPr>
        <w:numPr>
          <w:ilvl w:val="0"/>
          <w:numId w:val="43"/>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no recurrentes: Incluyen los gastos de instalación de la coubicación (obra civil CI, obra civil CE, instalación eléctrica, costo de clima y racks), gastos de instalación metro lineal de construcción de escalerilla (escalerilla de 6” para F.O. incluye fijación en losa y escalerilla de aluminio de 6” a 8” para cableado UTP Y/O coaxial), gastos de instalación metro lineal de ductería para coubicación externa y gastos en adecuaciones.</w:t>
      </w:r>
    </w:p>
    <w:p w14:paraId="7BDB3650" w14:textId="77777777" w:rsidR="00682AA0" w:rsidRPr="001B525F" w:rsidRDefault="00682AA0" w:rsidP="00943919">
      <w:pPr>
        <w:numPr>
          <w:ilvl w:val="0"/>
          <w:numId w:val="43"/>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recurrentes: Cuota de mantenimiento, gastos de administración y costo de uso de escalerilla, y otros cobros adicionales relacionados con el interruptor termo magnético.</w:t>
      </w:r>
    </w:p>
    <w:p w14:paraId="23BF84A3" w14:textId="77777777" w:rsidR="00682AA0" w:rsidRPr="001B525F" w:rsidRDefault="00682AA0" w:rsidP="00CC0143">
      <w:pPr>
        <w:spacing w:after="0"/>
        <w:jc w:val="both"/>
        <w:rPr>
          <w:rFonts w:ascii="Arial" w:eastAsia="Times New Roman" w:hAnsi="Arial" w:cs="Arial"/>
          <w:sz w:val="18"/>
          <w:szCs w:val="18"/>
          <w:lang w:eastAsia="es-ES"/>
        </w:rPr>
      </w:pPr>
    </w:p>
    <w:p w14:paraId="05503883" w14:textId="77777777" w:rsidR="00682AA0" w:rsidRPr="001B525F" w:rsidRDefault="00682AA0"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Regiones de costos</w:t>
      </w:r>
    </w:p>
    <w:p w14:paraId="71949E27" w14:textId="77777777" w:rsidR="00682AA0" w:rsidRPr="001B525F" w:rsidRDefault="00682AA0" w:rsidP="00CC0143">
      <w:pPr>
        <w:spacing w:after="0"/>
        <w:jc w:val="both"/>
        <w:rPr>
          <w:rFonts w:ascii="Arial" w:eastAsia="Times New Roman" w:hAnsi="Arial" w:cs="Arial"/>
          <w:i/>
          <w:sz w:val="18"/>
          <w:szCs w:val="18"/>
          <w:lang w:eastAsia="es-ES"/>
        </w:rPr>
      </w:pPr>
    </w:p>
    <w:p w14:paraId="6D843095" w14:textId="77777777" w:rsidR="00682AA0" w:rsidRPr="001B525F" w:rsidRDefault="00682AA0" w:rsidP="00CC0143">
      <w:pPr>
        <w:spacing w:after="0"/>
        <w:jc w:val="both"/>
        <w:rPr>
          <w:rFonts w:ascii="Arial" w:hAnsi="Arial" w:cs="Arial"/>
          <w:spacing w:val="-4"/>
          <w:sz w:val="18"/>
          <w:szCs w:val="18"/>
        </w:rPr>
      </w:pPr>
      <w:r w:rsidRPr="001B525F">
        <w:rPr>
          <w:rFonts w:ascii="Arial" w:hAnsi="Arial" w:cs="Arial"/>
          <w:spacing w:val="-4"/>
          <w:sz w:val="18"/>
          <w:szCs w:val="18"/>
        </w:rPr>
        <w:t>La oferta de espacios físicos depende principalmente del valor de adquisición o alquiler de predios y de las adecuaciones y/u obras civiles necesarias para adaptar estos espacios. Es así que el costo de adquirir o comprar un predio y construir en el mismo en zonas con alta demanda es diferente del costo en zonas de baja demanda por lo que dichos costos pueden diferenciarse dependiendo de la zona o región geográfica de que se trate.</w:t>
      </w:r>
    </w:p>
    <w:p w14:paraId="0348AC0F" w14:textId="77777777" w:rsidR="00682AA0" w:rsidRPr="001B525F" w:rsidRDefault="00682AA0" w:rsidP="00CC0143">
      <w:pPr>
        <w:spacing w:after="0"/>
        <w:jc w:val="both"/>
        <w:rPr>
          <w:rFonts w:ascii="Arial" w:hAnsi="Arial" w:cs="Arial"/>
          <w:spacing w:val="-4"/>
          <w:sz w:val="18"/>
          <w:szCs w:val="18"/>
        </w:rPr>
      </w:pPr>
    </w:p>
    <w:p w14:paraId="564144A9" w14:textId="389EDDB8" w:rsidR="008463B0" w:rsidRDefault="00682AA0" w:rsidP="00CC0143">
      <w:pPr>
        <w:spacing w:after="0"/>
        <w:jc w:val="both"/>
        <w:rPr>
          <w:rFonts w:ascii="Arial" w:hAnsi="Arial" w:cs="Arial"/>
          <w:sz w:val="18"/>
          <w:szCs w:val="18"/>
        </w:rPr>
      </w:pPr>
      <w:r w:rsidRPr="001B525F">
        <w:rPr>
          <w:rFonts w:ascii="Arial" w:hAnsi="Arial" w:cs="Arial"/>
          <w:spacing w:val="-4"/>
          <w:sz w:val="18"/>
          <w:szCs w:val="18"/>
        </w:rPr>
        <w:t xml:space="preserve">De esta forma, las contraprestaciones por renta mensual del servicio de coubicación </w:t>
      </w:r>
      <w:r w:rsidRPr="001B525F">
        <w:rPr>
          <w:rFonts w:ascii="Arial" w:eastAsia="Times New Roman" w:hAnsi="Arial" w:cs="Arial"/>
          <w:sz w:val="18"/>
          <w:szCs w:val="18"/>
        </w:rPr>
        <w:t xml:space="preserve">dependerán de la región de costo de que se trate reflejándose en la diferenciación de los costos unitarios para el uso de predios, alquiler de los mismos e inversiones relacionadas a adecuaciones y obras civiles, lo cual se encuentra en línea con </w:t>
      </w:r>
      <w:r w:rsidRPr="001B525F">
        <w:rPr>
          <w:rFonts w:ascii="Arial" w:hAnsi="Arial" w:cs="Arial"/>
          <w:sz w:val="18"/>
          <w:szCs w:val="18"/>
        </w:rPr>
        <w:t>la práctica observada en precios de los convenios de interconexión que tienen suscritos diversos concesionarios de redes públicas de telecomunicaciones y que obran en el Registro Público de Concesiones los cuales reflejan en su configuración diferencias intrínsecas de costos de utilización y adecuación de espacios físicos, dichas regiones de costo se clasificarán conforme a lo siguiente:</w:t>
      </w:r>
    </w:p>
    <w:p w14:paraId="41ACA400" w14:textId="77777777" w:rsidR="008463B0" w:rsidRPr="001B525F" w:rsidRDefault="008463B0" w:rsidP="00CC0143">
      <w:pPr>
        <w:spacing w:after="0"/>
        <w:jc w:val="both"/>
        <w:rPr>
          <w:rFonts w:ascii="Arial" w:hAnsi="Arial" w:cs="Arial"/>
          <w:sz w:val="18"/>
          <w:szCs w:val="18"/>
        </w:rPr>
      </w:pPr>
    </w:p>
    <w:tbl>
      <w:tblPr>
        <w:tblW w:w="6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
        <w:gridCol w:w="3031"/>
        <w:gridCol w:w="1471"/>
        <w:gridCol w:w="1941"/>
      </w:tblGrid>
      <w:tr w:rsidR="008463B0" w:rsidRPr="00943919" w14:paraId="073FDF99" w14:textId="77777777" w:rsidTr="00D32112">
        <w:trPr>
          <w:jc w:val="center"/>
        </w:trPr>
        <w:tc>
          <w:tcPr>
            <w:tcW w:w="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F3EE33" w14:textId="77777777" w:rsidR="008463B0" w:rsidRPr="00943919" w:rsidRDefault="008463B0" w:rsidP="002F60B2">
            <w:pPr>
              <w:spacing w:after="0"/>
              <w:rPr>
                <w:rFonts w:ascii="Arial" w:hAnsi="Arial" w:cs="Arial"/>
                <w:b/>
                <w:sz w:val="16"/>
                <w:szCs w:val="16"/>
              </w:rPr>
            </w:pPr>
            <w:bookmarkStart w:id="8" w:name="_Hlk115130173"/>
            <w:r w:rsidRPr="00943919">
              <w:rPr>
                <w:rFonts w:ascii="Arial" w:hAnsi="Arial" w:cs="Arial"/>
                <w:b/>
                <w:sz w:val="16"/>
                <w:szCs w:val="16"/>
              </w:rPr>
              <w:t>No</w:t>
            </w:r>
          </w:p>
        </w:tc>
        <w:tc>
          <w:tcPr>
            <w:tcW w:w="3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05D618" w14:textId="77777777" w:rsidR="008463B0" w:rsidRPr="00943919" w:rsidRDefault="008463B0" w:rsidP="002F60B2">
            <w:pPr>
              <w:spacing w:after="0"/>
              <w:rPr>
                <w:rFonts w:ascii="Arial" w:hAnsi="Arial" w:cs="Arial"/>
                <w:b/>
                <w:sz w:val="16"/>
                <w:szCs w:val="16"/>
              </w:rPr>
            </w:pPr>
            <w:r w:rsidRPr="00943919">
              <w:rPr>
                <w:rFonts w:ascii="Arial" w:hAnsi="Arial" w:cs="Arial"/>
                <w:b/>
                <w:sz w:val="16"/>
                <w:szCs w:val="16"/>
              </w:rPr>
              <w:t>CIUDAD</w:t>
            </w:r>
          </w:p>
        </w:tc>
        <w:tc>
          <w:tcPr>
            <w:tcW w:w="14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F34010" w14:textId="77777777" w:rsidR="008463B0" w:rsidRPr="00943919" w:rsidRDefault="008463B0" w:rsidP="002F60B2">
            <w:pPr>
              <w:spacing w:after="0"/>
              <w:rPr>
                <w:rFonts w:ascii="Arial" w:hAnsi="Arial" w:cs="Arial"/>
                <w:b/>
                <w:sz w:val="16"/>
                <w:szCs w:val="16"/>
              </w:rPr>
            </w:pPr>
            <w:r w:rsidRPr="00943919">
              <w:rPr>
                <w:rFonts w:ascii="Arial" w:hAnsi="Arial" w:cs="Arial"/>
                <w:b/>
                <w:sz w:val="16"/>
                <w:szCs w:val="16"/>
              </w:rPr>
              <w:t>ESTADO</w:t>
            </w:r>
          </w:p>
        </w:tc>
        <w:tc>
          <w:tcPr>
            <w:tcW w:w="19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EDB4DA" w14:textId="77777777" w:rsidR="008463B0" w:rsidRPr="00943919" w:rsidRDefault="008463B0" w:rsidP="002F60B2">
            <w:pPr>
              <w:spacing w:after="0"/>
              <w:rPr>
                <w:rFonts w:ascii="Arial" w:hAnsi="Arial" w:cs="Arial"/>
                <w:b/>
                <w:sz w:val="16"/>
                <w:szCs w:val="16"/>
              </w:rPr>
            </w:pPr>
            <w:r w:rsidRPr="00943919">
              <w:rPr>
                <w:rFonts w:ascii="Arial" w:hAnsi="Arial" w:cs="Arial"/>
                <w:b/>
                <w:sz w:val="16"/>
                <w:szCs w:val="16"/>
              </w:rPr>
              <w:t>REGIÓN DE COSTO</w:t>
            </w:r>
          </w:p>
        </w:tc>
      </w:tr>
      <w:tr w:rsidR="008463B0" w:rsidRPr="00943919" w14:paraId="0D781FDF"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3871A03D"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1</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7A1D0BB7"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CD MEXICO</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757573A"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CD MEX</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CBA2DB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048ACACE"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546B5A9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2</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357F55FB"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 xml:space="preserve">CELAYA </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7112531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GTO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709F86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6890AAF9"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5B92F655"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3</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30010F3E"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CHIHUAHUA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33B29ABC"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CHIH</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5E6F6A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798DB092"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10FBF18B"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4</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2C6E283B"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COATZACOALCOS</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90A24E5"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VER</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5362747"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27D17ECF"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4BBBD2D1"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5</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7F93667A"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CUERNAVACA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54CF4C42"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MOR</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FAD563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4E6B963E"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2AFA8439"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6</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7AF3AF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GUADALAJARA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875579D"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JAL</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8AF0BFC"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3B5D0268"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106F9E3F"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7</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25168292"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HERMOSILLO</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6B9BF0E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SON</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875D44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743D729A"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7A32111E"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8</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DC794B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LA PAZ</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CA15B8B"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BCS</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541B15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BAJA</w:t>
            </w:r>
          </w:p>
        </w:tc>
      </w:tr>
      <w:tr w:rsidR="008463B0" w:rsidRPr="00943919" w14:paraId="009ECCD8"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7462850A"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9</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0296BDA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MONTERREY</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6BF6949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NL</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DAF7EC2"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4B672B83"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67253164"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10</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18E4A8A4"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PUEBLA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7265C52"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PUE</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5B066DE"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r w:rsidR="008463B0" w:rsidRPr="00943919" w14:paraId="3D508AF2"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4FFD2AC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11</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3E5E6371"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TIJUANA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619AF68"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BCN</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26AFBF3" w14:textId="77777777" w:rsidR="008463B0" w:rsidRPr="00943919" w:rsidRDefault="008463B0" w:rsidP="002F60B2">
            <w:pPr>
              <w:spacing w:after="0"/>
              <w:rPr>
                <w:rFonts w:ascii="Arial" w:hAnsi="Arial" w:cs="Arial"/>
                <w:bCs/>
                <w:sz w:val="16"/>
                <w:szCs w:val="16"/>
              </w:rPr>
            </w:pPr>
            <w:r w:rsidRPr="00943919">
              <w:rPr>
                <w:rFonts w:ascii="Arial" w:hAnsi="Arial" w:cs="Arial"/>
                <w:bCs/>
                <w:sz w:val="16"/>
                <w:szCs w:val="16"/>
              </w:rPr>
              <w:t>ALTA</w:t>
            </w:r>
          </w:p>
        </w:tc>
      </w:tr>
    </w:tbl>
    <w:bookmarkEnd w:id="8"/>
    <w:p w14:paraId="577F4F60" w14:textId="348165B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w:t>
      </w:r>
      <w:r w:rsidR="00950820">
        <w:rPr>
          <w:rFonts w:ascii="Arial" w:eastAsia="Times New Roman" w:hAnsi="Arial" w:cs="Arial"/>
          <w:sz w:val="18"/>
          <w:szCs w:val="18"/>
          <w:lang w:eastAsia="es-ES"/>
        </w:rPr>
        <w:t>5</w:t>
      </w:r>
      <w:r w:rsidRPr="001B525F">
        <w:rPr>
          <w:rFonts w:ascii="Arial" w:eastAsia="Times New Roman" w:hAnsi="Arial" w:cs="Arial"/>
          <w:sz w:val="18"/>
          <w:szCs w:val="18"/>
          <w:lang w:eastAsia="es-ES"/>
        </w:rPr>
        <w:t>. Regiones de costos</w:t>
      </w:r>
    </w:p>
    <w:p w14:paraId="4A14F6AF" w14:textId="77777777" w:rsidR="00682AA0" w:rsidRPr="001B525F" w:rsidRDefault="00682AA0" w:rsidP="00CC0143">
      <w:pPr>
        <w:spacing w:after="0"/>
        <w:jc w:val="both"/>
        <w:rPr>
          <w:rFonts w:ascii="Arial" w:eastAsia="Times New Roman" w:hAnsi="Arial" w:cs="Arial"/>
          <w:sz w:val="18"/>
          <w:szCs w:val="18"/>
          <w:lang w:eastAsia="es-ES"/>
        </w:rPr>
      </w:pPr>
    </w:p>
    <w:p w14:paraId="2148652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este sentido, el modelo de costos de coubicación permite calcular los gastos de instalación y las contraprestaciones mensuales correspondientes a los distintos tipos de coubicación:</w:t>
      </w:r>
    </w:p>
    <w:p w14:paraId="715C5663" w14:textId="77777777" w:rsidR="00682AA0" w:rsidRPr="001B525F" w:rsidRDefault="00682AA0" w:rsidP="00CC0143">
      <w:pPr>
        <w:spacing w:after="0"/>
        <w:jc w:val="both"/>
        <w:rPr>
          <w:rFonts w:ascii="Arial" w:eastAsia="Times New Roman" w:hAnsi="Arial" w:cs="Arial"/>
          <w:sz w:val="18"/>
          <w:szCs w:val="18"/>
          <w:lang w:eastAsia="es-ES"/>
        </w:rPr>
      </w:pPr>
    </w:p>
    <w:p w14:paraId="7E6B0507" w14:textId="77777777" w:rsidR="00682AA0" w:rsidRPr="001B525F" w:rsidRDefault="00682AA0" w:rsidP="00943919">
      <w:pPr>
        <w:numPr>
          <w:ilvl w:val="0"/>
          <w:numId w:val="40"/>
        </w:numPr>
        <w:spacing w:after="0"/>
        <w:ind w:left="709" w:hanging="357"/>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Tipo 1: Área de 9 m2 con delimitación de tabla roca</w:t>
      </w:r>
    </w:p>
    <w:p w14:paraId="6AACE17D" w14:textId="77777777" w:rsidR="00682AA0" w:rsidRPr="001B525F" w:rsidRDefault="00682AA0" w:rsidP="00943919">
      <w:pPr>
        <w:numPr>
          <w:ilvl w:val="0"/>
          <w:numId w:val="40"/>
        </w:numPr>
        <w:spacing w:after="0"/>
        <w:ind w:left="709" w:hanging="357"/>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Tipo 2: Área de 4 m2 con delimitación de tabla roca</w:t>
      </w:r>
    </w:p>
    <w:p w14:paraId="055373AC" w14:textId="77777777" w:rsidR="00682AA0" w:rsidRPr="001B525F" w:rsidRDefault="00682AA0" w:rsidP="00943919">
      <w:pPr>
        <w:numPr>
          <w:ilvl w:val="0"/>
          <w:numId w:val="40"/>
        </w:numPr>
        <w:spacing w:after="0"/>
        <w:ind w:left="709" w:hanging="357"/>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Tipo 3: Gabinete</w:t>
      </w:r>
    </w:p>
    <w:p w14:paraId="6D89393D" w14:textId="77777777" w:rsidR="00682AA0" w:rsidRPr="001B525F" w:rsidRDefault="00682AA0" w:rsidP="00CC0143">
      <w:pPr>
        <w:spacing w:after="0"/>
        <w:jc w:val="both"/>
        <w:rPr>
          <w:rFonts w:ascii="Arial" w:eastAsia="Times New Roman" w:hAnsi="Arial" w:cs="Arial"/>
          <w:sz w:val="18"/>
          <w:szCs w:val="18"/>
          <w:lang w:eastAsia="es-ES"/>
        </w:rPr>
      </w:pPr>
    </w:p>
    <w:p w14:paraId="4465DC5C" w14:textId="77777777" w:rsidR="00682AA0"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 acuerdo con lo anterior el modelo calcula los cobros recurrentes y no recurrentes para los 3 tipos de coubicación con base en el espacio y la energía utilizada para la prestación del servicio, ambos factores son prorrateados conforme al porcentaje de utilización de las distintas salas por parte de los concesionarios.</w:t>
      </w:r>
    </w:p>
    <w:p w14:paraId="552656B5" w14:textId="77777777" w:rsidR="00815491" w:rsidRPr="001B525F" w:rsidRDefault="00815491" w:rsidP="00CC0143">
      <w:pPr>
        <w:spacing w:after="0"/>
        <w:jc w:val="both"/>
        <w:rPr>
          <w:rFonts w:ascii="Arial" w:eastAsia="Times New Roman" w:hAnsi="Arial" w:cs="Arial"/>
          <w:sz w:val="18"/>
          <w:szCs w:val="18"/>
          <w:lang w:eastAsia="es-ES"/>
        </w:rPr>
      </w:pPr>
    </w:p>
    <w:p w14:paraId="73AC4B63" w14:textId="77777777" w:rsidR="00682AA0" w:rsidRPr="001B525F" w:rsidRDefault="00682AA0" w:rsidP="00CC0143">
      <w:pPr>
        <w:spacing w:after="0"/>
        <w:jc w:val="both"/>
        <w:rPr>
          <w:rFonts w:ascii="Arial" w:hAnsi="Arial" w:cs="Arial"/>
          <w:sz w:val="18"/>
          <w:szCs w:val="18"/>
        </w:rPr>
      </w:pPr>
      <w:r w:rsidRPr="001B525F">
        <w:rPr>
          <w:rFonts w:ascii="Arial" w:eastAsia="Times New Roman" w:hAnsi="Arial" w:cs="Arial"/>
          <w:sz w:val="18"/>
          <w:szCs w:val="18"/>
          <w:lang w:eastAsia="es-ES"/>
        </w:rPr>
        <w:t>Asimismo, el modelo calcula los costos adicionales correspondientes a la capacidad del interruptor termo magnético en caso de que este sea necesario y se debe considerar que</w:t>
      </w:r>
      <w:r w:rsidRPr="001B525F">
        <w:rPr>
          <w:rFonts w:ascii="Arial" w:hAnsi="Arial" w:cs="Arial"/>
          <w:sz w:val="18"/>
          <w:szCs w:val="18"/>
        </w:rPr>
        <w:t xml:space="preserve"> las tarifas calculadas no incluyen el consumo de energía eléctrica correspondiente a los equipos del concesionario. </w:t>
      </w:r>
    </w:p>
    <w:bookmarkEnd w:id="3"/>
    <w:p w14:paraId="76AACD89" w14:textId="77777777" w:rsidR="00350F69" w:rsidRPr="001B525F" w:rsidRDefault="00350F69" w:rsidP="00CC0143">
      <w:pPr>
        <w:tabs>
          <w:tab w:val="left" w:pos="2379"/>
        </w:tabs>
        <w:spacing w:after="0"/>
        <w:jc w:val="both"/>
        <w:rPr>
          <w:rFonts w:ascii="Arial" w:hAnsi="Arial" w:cs="Arial"/>
          <w:spacing w:val="-4"/>
          <w:sz w:val="18"/>
          <w:szCs w:val="18"/>
        </w:rPr>
      </w:pPr>
      <w:r w:rsidRPr="001B525F">
        <w:rPr>
          <w:rFonts w:ascii="Arial" w:hAnsi="Arial" w:cs="Arial"/>
          <w:spacing w:val="-4"/>
          <w:sz w:val="18"/>
          <w:szCs w:val="18"/>
        </w:rPr>
        <w:tab/>
      </w:r>
    </w:p>
    <w:p w14:paraId="3F3160B3" w14:textId="0473CCB8" w:rsidR="00682AA0" w:rsidRPr="001B525F" w:rsidRDefault="00520723" w:rsidP="00CC0143">
      <w:pPr>
        <w:spacing w:after="0"/>
        <w:jc w:val="both"/>
        <w:rPr>
          <w:rFonts w:ascii="Arial" w:hAnsi="Arial" w:cs="Arial"/>
          <w:sz w:val="18"/>
          <w:szCs w:val="18"/>
        </w:rPr>
      </w:pPr>
      <w:r w:rsidRPr="00EE7F36">
        <w:rPr>
          <w:rFonts w:ascii="Arial" w:hAnsi="Arial" w:cs="Arial"/>
          <w:b/>
          <w:sz w:val="18"/>
          <w:szCs w:val="18"/>
        </w:rPr>
        <w:t>Décimo</w:t>
      </w:r>
      <w:r w:rsidR="00350F69" w:rsidRPr="00EE7F36">
        <w:rPr>
          <w:rFonts w:ascii="Arial" w:hAnsi="Arial" w:cs="Arial"/>
          <w:b/>
          <w:sz w:val="18"/>
          <w:szCs w:val="18"/>
        </w:rPr>
        <w:t>.- Tarifas de servicios de interconexión conmutados excepto terminación en la red del Agente Económico Preponderante.</w:t>
      </w:r>
      <w:r w:rsidR="00350F69" w:rsidRPr="00EE7F36">
        <w:rPr>
          <w:rFonts w:ascii="Arial" w:hAnsi="Arial" w:cs="Arial"/>
          <w:sz w:val="18"/>
          <w:szCs w:val="18"/>
        </w:rPr>
        <w:t xml:space="preserve"> </w:t>
      </w:r>
      <w:r w:rsidR="00682AA0" w:rsidRPr="00EE7F36">
        <w:rPr>
          <w:rFonts w:ascii="Arial" w:hAnsi="Arial" w:cs="Arial"/>
          <w:sz w:val="18"/>
          <w:szCs w:val="18"/>
        </w:rPr>
        <w:t>El artículo 126 de la LFTR señala que, los concesionarios de redes públicas de telecomunicaciones acordarán las condiciones bajo las cuales se llevará a cabo la interconexión de estas. Asimismo, el artículo 131 señala en su inciso b) que para el tráfico que termina en la red de los concesionarios distintos al Agente Económico Preponderante la tarifa de interconexión será negociada libremente.</w:t>
      </w:r>
    </w:p>
    <w:p w14:paraId="69815B20" w14:textId="77777777" w:rsidR="00520723" w:rsidRPr="001B525F" w:rsidRDefault="00520723" w:rsidP="00CC0143">
      <w:pPr>
        <w:spacing w:after="0"/>
        <w:jc w:val="both"/>
        <w:rPr>
          <w:rFonts w:ascii="Arial" w:hAnsi="Arial" w:cs="Arial"/>
          <w:sz w:val="18"/>
          <w:szCs w:val="18"/>
        </w:rPr>
      </w:pPr>
    </w:p>
    <w:p w14:paraId="64578299" w14:textId="7F5D2F76"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 xml:space="preserve">Es así </w:t>
      </w:r>
      <w:r w:rsidR="00BF2717">
        <w:rPr>
          <w:rFonts w:ascii="Arial" w:hAnsi="Arial" w:cs="Arial"/>
          <w:sz w:val="18"/>
          <w:szCs w:val="18"/>
        </w:rPr>
        <w:t>como</w:t>
      </w:r>
      <w:r w:rsidR="00BF2717" w:rsidRPr="001B525F">
        <w:rPr>
          <w:rFonts w:ascii="Arial" w:hAnsi="Arial" w:cs="Arial"/>
          <w:sz w:val="18"/>
          <w:szCs w:val="18"/>
        </w:rPr>
        <w:t xml:space="preserve"> </w:t>
      </w:r>
      <w:r w:rsidRPr="001B525F">
        <w:rPr>
          <w:rFonts w:ascii="Arial" w:hAnsi="Arial" w:cs="Arial"/>
          <w:sz w:val="18"/>
          <w:szCs w:val="18"/>
        </w:rPr>
        <w:t xml:space="preserve">se observa que la propia LFTR privilegia la voluntad de las partes para efectos de que estas puedan acordar las tarifas aplicables a los distintos servicios de interconexión. </w:t>
      </w:r>
    </w:p>
    <w:p w14:paraId="0C3A240B" w14:textId="77777777" w:rsidR="00682AA0" w:rsidRPr="001B525F" w:rsidRDefault="00682AA0" w:rsidP="00CC0143">
      <w:pPr>
        <w:spacing w:after="0"/>
        <w:jc w:val="both"/>
        <w:rPr>
          <w:rFonts w:ascii="Arial" w:hAnsi="Arial" w:cs="Arial"/>
          <w:sz w:val="18"/>
          <w:szCs w:val="18"/>
        </w:rPr>
      </w:pPr>
    </w:p>
    <w:p w14:paraId="2D856229" w14:textId="10388E05"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 xml:space="preserve">Por las razones anteriormente expuestas, se determinan las tarifas que han resultado de las metodologías para el cálculo de los costos de interconexión con base en el Modelo Móvil y el Modelo Fijo para el año </w:t>
      </w:r>
      <w:r w:rsidR="00BF2717">
        <w:rPr>
          <w:rFonts w:ascii="Arial" w:hAnsi="Arial" w:cs="Arial"/>
          <w:sz w:val="18"/>
          <w:szCs w:val="18"/>
        </w:rPr>
        <w:t>2025</w:t>
      </w:r>
      <w:r w:rsidR="00BF2717" w:rsidRPr="001B525F">
        <w:rPr>
          <w:rFonts w:ascii="Arial" w:hAnsi="Arial" w:cs="Arial"/>
          <w:sz w:val="18"/>
          <w:szCs w:val="18"/>
        </w:rPr>
        <w:t xml:space="preserve"> </w:t>
      </w:r>
      <w:r w:rsidRPr="001B525F">
        <w:rPr>
          <w:rFonts w:ascii="Arial" w:hAnsi="Arial" w:cs="Arial"/>
          <w:sz w:val="18"/>
          <w:szCs w:val="18"/>
        </w:rPr>
        <w:t>para los concesionarios distintos al Agente Económico Preponderante que se utilizarán para resolver los desacuerdos de interconexión que se presenten en los siguientes términos:</w:t>
      </w:r>
    </w:p>
    <w:p w14:paraId="71138028" w14:textId="77777777" w:rsidR="00682AA0" w:rsidRPr="001B525F" w:rsidRDefault="00682AA0" w:rsidP="00CC0143">
      <w:pPr>
        <w:shd w:val="clear" w:color="auto" w:fill="FFFFFF"/>
        <w:spacing w:after="0"/>
        <w:jc w:val="both"/>
        <w:rPr>
          <w:rFonts w:ascii="Arial" w:hAnsi="Arial" w:cs="Arial"/>
          <w:sz w:val="18"/>
          <w:szCs w:val="18"/>
        </w:rPr>
      </w:pPr>
    </w:p>
    <w:p w14:paraId="4E009E41" w14:textId="20982DD5" w:rsidR="008B699B" w:rsidRPr="001B525F" w:rsidRDefault="008B699B" w:rsidP="00943919">
      <w:pPr>
        <w:pStyle w:val="Prrafodelista"/>
        <w:numPr>
          <w:ilvl w:val="0"/>
          <w:numId w:val="61"/>
        </w:numPr>
        <w:spacing w:line="276" w:lineRule="auto"/>
        <w:ind w:left="709" w:hanging="357"/>
        <w:contextualSpacing/>
        <w:jc w:val="both"/>
        <w:rPr>
          <w:rFonts w:cs="Arial"/>
          <w:sz w:val="18"/>
          <w:szCs w:val="18"/>
        </w:rPr>
      </w:pPr>
      <w:r w:rsidRPr="001B525F">
        <w:rPr>
          <w:rFonts w:cs="Arial"/>
          <w:sz w:val="18"/>
          <w:szCs w:val="18"/>
        </w:rPr>
        <w:t xml:space="preserve">Por servicios de terminación del Servicio Local en usuarios móviles bajo la modalidad “El que llama paga” será de </w:t>
      </w:r>
      <w:r w:rsidR="00BF2717" w:rsidRPr="00967F7D">
        <w:rPr>
          <w:rFonts w:cs="Arial"/>
          <w:b/>
          <w:bCs/>
          <w:sz w:val="18"/>
          <w:szCs w:val="18"/>
          <w:lang w:val="es-MX"/>
        </w:rPr>
        <w:t>$0.042221 pesos M.N.</w:t>
      </w:r>
      <w:r w:rsidRPr="00967F7D">
        <w:rPr>
          <w:rFonts w:cs="Arial"/>
          <w:b/>
          <w:bCs/>
          <w:sz w:val="18"/>
          <w:szCs w:val="18"/>
          <w:lang w:val="es-MX"/>
        </w:rPr>
        <w:t xml:space="preserve"> </w:t>
      </w:r>
      <w:r w:rsidRPr="001B525F">
        <w:rPr>
          <w:rFonts w:cs="Arial"/>
          <w:sz w:val="18"/>
          <w:szCs w:val="18"/>
        </w:rPr>
        <w:t>por minuto de interconexión.</w:t>
      </w:r>
    </w:p>
    <w:p w14:paraId="08C4065F" w14:textId="77777777" w:rsidR="008B699B" w:rsidRPr="001B525F" w:rsidRDefault="008B699B" w:rsidP="00943919">
      <w:pPr>
        <w:pStyle w:val="Prrafodelista"/>
        <w:spacing w:line="276" w:lineRule="auto"/>
        <w:ind w:left="709" w:hanging="357"/>
        <w:contextualSpacing/>
        <w:rPr>
          <w:rFonts w:cs="Arial"/>
          <w:sz w:val="18"/>
          <w:szCs w:val="18"/>
        </w:rPr>
      </w:pPr>
    </w:p>
    <w:p w14:paraId="63352D6C" w14:textId="51222DA6" w:rsidR="008B699B" w:rsidRPr="001B525F" w:rsidRDefault="008B699B" w:rsidP="00943919">
      <w:pPr>
        <w:pStyle w:val="Prrafodelista"/>
        <w:numPr>
          <w:ilvl w:val="0"/>
          <w:numId w:val="61"/>
        </w:numPr>
        <w:spacing w:line="276" w:lineRule="auto"/>
        <w:ind w:left="709" w:hanging="357"/>
        <w:contextualSpacing/>
        <w:jc w:val="both"/>
        <w:rPr>
          <w:rFonts w:cs="Arial"/>
          <w:sz w:val="18"/>
          <w:szCs w:val="18"/>
        </w:rPr>
      </w:pPr>
      <w:r w:rsidRPr="001B525F">
        <w:rPr>
          <w:rFonts w:cs="Arial"/>
          <w:sz w:val="18"/>
          <w:szCs w:val="18"/>
        </w:rPr>
        <w:t xml:space="preserve">Por servicios de terminación de mensajes cortos (SMS) en usuarios móviles será de </w:t>
      </w:r>
      <w:r w:rsidR="00BF2717" w:rsidRPr="00BF2717">
        <w:rPr>
          <w:rFonts w:cs="Arial"/>
          <w:b/>
          <w:bCs/>
          <w:sz w:val="18"/>
          <w:szCs w:val="18"/>
          <w:lang w:val="es-MX"/>
        </w:rPr>
        <w:t>$0.009272 pesos M.N.</w:t>
      </w:r>
      <w:r w:rsidRPr="001B525F">
        <w:rPr>
          <w:rFonts w:cs="Arial"/>
          <w:sz w:val="18"/>
          <w:szCs w:val="18"/>
        </w:rPr>
        <w:t xml:space="preserve"> por mensaje.</w:t>
      </w:r>
    </w:p>
    <w:p w14:paraId="0A1C69F2" w14:textId="77777777" w:rsidR="008B699B" w:rsidRPr="001B525F" w:rsidRDefault="008B699B" w:rsidP="00943919">
      <w:pPr>
        <w:pStyle w:val="Prrafodelista"/>
        <w:spacing w:line="276" w:lineRule="auto"/>
        <w:ind w:left="709" w:hanging="357"/>
        <w:contextualSpacing/>
        <w:rPr>
          <w:rFonts w:cs="Arial"/>
          <w:sz w:val="18"/>
          <w:szCs w:val="18"/>
        </w:rPr>
      </w:pPr>
    </w:p>
    <w:p w14:paraId="7F1916FE" w14:textId="7FA5B2BE" w:rsidR="008B699B" w:rsidRPr="008B7523" w:rsidRDefault="008B699B" w:rsidP="00943919">
      <w:pPr>
        <w:pStyle w:val="Prrafodelista"/>
        <w:numPr>
          <w:ilvl w:val="0"/>
          <w:numId w:val="61"/>
        </w:numPr>
        <w:spacing w:line="276" w:lineRule="auto"/>
        <w:ind w:left="709" w:hanging="357"/>
        <w:contextualSpacing/>
        <w:jc w:val="both"/>
        <w:rPr>
          <w:rFonts w:cs="Arial"/>
          <w:sz w:val="18"/>
          <w:szCs w:val="18"/>
        </w:rPr>
      </w:pPr>
      <w:r w:rsidRPr="008B7523">
        <w:rPr>
          <w:rFonts w:cs="Arial"/>
          <w:sz w:val="18"/>
          <w:szCs w:val="18"/>
        </w:rPr>
        <w:t xml:space="preserve">Por servicios de terminación del Servicio Local en usuarios fijos será de </w:t>
      </w:r>
      <w:r w:rsidR="00BF2717" w:rsidRPr="00BF2717">
        <w:rPr>
          <w:rFonts w:cs="Arial"/>
          <w:b/>
          <w:bCs/>
          <w:sz w:val="18"/>
          <w:szCs w:val="18"/>
          <w:lang w:val="es-MX"/>
        </w:rPr>
        <w:t>$0.003343 pesos M.N.</w:t>
      </w:r>
      <w:r w:rsidRPr="008B7523">
        <w:rPr>
          <w:rFonts w:cs="Arial"/>
          <w:sz w:val="18"/>
          <w:szCs w:val="18"/>
        </w:rPr>
        <w:t xml:space="preserve"> por minuto de interconexión.</w:t>
      </w:r>
    </w:p>
    <w:p w14:paraId="00940351" w14:textId="77777777" w:rsidR="008B699B" w:rsidRPr="001B525F" w:rsidRDefault="008B699B" w:rsidP="00943919">
      <w:pPr>
        <w:pStyle w:val="Prrafodelista"/>
        <w:spacing w:line="276" w:lineRule="auto"/>
        <w:ind w:left="709" w:hanging="357"/>
        <w:contextualSpacing/>
        <w:rPr>
          <w:rFonts w:cs="Arial"/>
          <w:sz w:val="18"/>
          <w:szCs w:val="18"/>
        </w:rPr>
      </w:pPr>
    </w:p>
    <w:p w14:paraId="494FE369" w14:textId="40A77B94" w:rsidR="008B699B" w:rsidRPr="001B525F" w:rsidRDefault="008B699B" w:rsidP="00943919">
      <w:pPr>
        <w:pStyle w:val="Prrafodelista"/>
        <w:numPr>
          <w:ilvl w:val="0"/>
          <w:numId w:val="61"/>
        </w:numPr>
        <w:spacing w:line="276" w:lineRule="auto"/>
        <w:ind w:left="709" w:hanging="357"/>
        <w:contextualSpacing/>
        <w:jc w:val="both"/>
        <w:rPr>
          <w:rFonts w:cs="Arial"/>
          <w:sz w:val="18"/>
          <w:szCs w:val="18"/>
        </w:rPr>
      </w:pPr>
      <w:r w:rsidRPr="001B525F">
        <w:rPr>
          <w:rFonts w:cs="Arial"/>
          <w:sz w:val="18"/>
          <w:szCs w:val="18"/>
        </w:rPr>
        <w:t xml:space="preserve">Por servicios de terminación de mensajes cortos (SMS) en usuarios fijos será de </w:t>
      </w:r>
      <w:r w:rsidR="00BF2717" w:rsidRPr="00BF2717">
        <w:rPr>
          <w:rFonts w:cs="Arial"/>
          <w:b/>
          <w:bCs/>
          <w:sz w:val="18"/>
          <w:szCs w:val="18"/>
          <w:lang w:val="es-MX"/>
        </w:rPr>
        <w:t>$0.012760 pesos M.N.</w:t>
      </w:r>
      <w:r w:rsidR="00BF2717">
        <w:rPr>
          <w:rFonts w:cs="Arial"/>
          <w:b/>
          <w:bCs/>
          <w:sz w:val="18"/>
          <w:szCs w:val="18"/>
          <w:lang w:val="es-MX"/>
        </w:rPr>
        <w:t xml:space="preserve"> </w:t>
      </w:r>
      <w:r w:rsidRPr="001B525F">
        <w:rPr>
          <w:rFonts w:cs="Arial"/>
          <w:sz w:val="18"/>
          <w:szCs w:val="18"/>
        </w:rPr>
        <w:t>por mensaje.</w:t>
      </w:r>
    </w:p>
    <w:p w14:paraId="3DFD3405" w14:textId="77777777" w:rsidR="00682AA0" w:rsidRPr="001B525F" w:rsidRDefault="00682AA0" w:rsidP="00CC0143">
      <w:pPr>
        <w:spacing w:after="0"/>
        <w:rPr>
          <w:rFonts w:ascii="Arial" w:hAnsi="Arial" w:cs="Arial"/>
          <w:sz w:val="18"/>
          <w:szCs w:val="18"/>
        </w:rPr>
      </w:pPr>
    </w:p>
    <w:p w14:paraId="35C16C33" w14:textId="1964E8DA"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Tratándose del Agente Económico Preponderante, las tarifas por los servicios de interconexión para el año 202</w:t>
      </w:r>
      <w:r w:rsidR="00BF2717">
        <w:rPr>
          <w:rFonts w:ascii="Arial" w:hAnsi="Arial" w:cs="Arial"/>
          <w:sz w:val="18"/>
          <w:szCs w:val="18"/>
        </w:rPr>
        <w:t>5</w:t>
      </w:r>
      <w:r w:rsidRPr="001B525F">
        <w:rPr>
          <w:rFonts w:ascii="Arial" w:hAnsi="Arial" w:cs="Arial"/>
          <w:sz w:val="18"/>
          <w:szCs w:val="18"/>
        </w:rPr>
        <w:t>, que se obtienen del Modelo Móvil y del Modelo Fijo, serán las siguientes:</w:t>
      </w:r>
    </w:p>
    <w:p w14:paraId="5860A5D6" w14:textId="77777777" w:rsidR="00682AA0" w:rsidRPr="001B525F" w:rsidRDefault="00682AA0" w:rsidP="00CC0143">
      <w:pPr>
        <w:spacing w:after="0"/>
        <w:jc w:val="both"/>
        <w:rPr>
          <w:rFonts w:ascii="Arial" w:hAnsi="Arial" w:cs="Arial"/>
          <w:sz w:val="18"/>
          <w:szCs w:val="18"/>
        </w:rPr>
      </w:pPr>
    </w:p>
    <w:p w14:paraId="7AE3D13B" w14:textId="6B4EBD1A" w:rsidR="008B699B" w:rsidRPr="001B525F" w:rsidRDefault="008B699B" w:rsidP="00943919">
      <w:pPr>
        <w:numPr>
          <w:ilvl w:val="0"/>
          <w:numId w:val="61"/>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móvil será de </w:t>
      </w:r>
      <w:r w:rsidR="00BF2717" w:rsidRPr="00BF2717">
        <w:rPr>
          <w:rFonts w:ascii="Arial" w:eastAsia="Times New Roman" w:hAnsi="Arial" w:cs="Arial"/>
          <w:b/>
          <w:bCs/>
          <w:sz w:val="18"/>
          <w:szCs w:val="18"/>
          <w:lang w:val="es-MX" w:eastAsia="es-ES"/>
        </w:rPr>
        <w:t>$0.002046 pesos M.N.</w:t>
      </w:r>
      <w:r w:rsidRPr="001B525F">
        <w:rPr>
          <w:rFonts w:ascii="Arial" w:eastAsia="Times New Roman" w:hAnsi="Arial" w:cs="Arial"/>
          <w:sz w:val="18"/>
          <w:szCs w:val="18"/>
          <w:lang w:eastAsia="es-ES"/>
        </w:rPr>
        <w:t xml:space="preserve"> por minuto de interconexión.</w:t>
      </w:r>
    </w:p>
    <w:p w14:paraId="479F8987" w14:textId="77777777" w:rsidR="008B699B" w:rsidRPr="001B525F" w:rsidRDefault="008B699B" w:rsidP="00943919">
      <w:pPr>
        <w:spacing w:after="0"/>
        <w:ind w:left="709" w:hanging="357"/>
        <w:contextualSpacing/>
        <w:jc w:val="both"/>
        <w:rPr>
          <w:rFonts w:ascii="Arial" w:eastAsia="Times New Roman" w:hAnsi="Arial" w:cs="Arial"/>
          <w:sz w:val="18"/>
          <w:szCs w:val="18"/>
          <w:lang w:eastAsia="es-ES"/>
        </w:rPr>
      </w:pPr>
    </w:p>
    <w:p w14:paraId="4E6BE4D2" w14:textId="27E7E034" w:rsidR="008B699B" w:rsidRPr="001B525F" w:rsidRDefault="008B699B" w:rsidP="00943919">
      <w:pPr>
        <w:numPr>
          <w:ilvl w:val="0"/>
          <w:numId w:val="61"/>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fija será de </w:t>
      </w:r>
      <w:r w:rsidR="00BF2717" w:rsidRPr="00BF2717">
        <w:rPr>
          <w:rFonts w:ascii="Arial" w:eastAsia="Times New Roman" w:hAnsi="Arial" w:cs="Arial"/>
          <w:b/>
          <w:bCs/>
          <w:sz w:val="18"/>
          <w:szCs w:val="18"/>
          <w:lang w:val="es-MX" w:eastAsia="es-ES"/>
        </w:rPr>
        <w:t>$0.002092 pesos M.N.</w:t>
      </w:r>
      <w:r w:rsidRPr="001B525F">
        <w:rPr>
          <w:rFonts w:ascii="Arial" w:eastAsia="Times New Roman" w:hAnsi="Arial" w:cs="Arial"/>
          <w:sz w:val="18"/>
          <w:szCs w:val="18"/>
          <w:lang w:eastAsia="es-ES"/>
        </w:rPr>
        <w:t xml:space="preserve"> por minuto de interconexión.</w:t>
      </w:r>
    </w:p>
    <w:p w14:paraId="3FDEC4E3" w14:textId="77777777" w:rsidR="00682AA0" w:rsidRPr="001B525F" w:rsidDel="00306DD8" w:rsidRDefault="00682AA0" w:rsidP="00CC0143">
      <w:pPr>
        <w:spacing w:after="0"/>
        <w:ind w:left="708"/>
        <w:jc w:val="both"/>
        <w:rPr>
          <w:rFonts w:ascii="Arial" w:eastAsia="Times New Roman" w:hAnsi="Arial" w:cs="Arial"/>
          <w:sz w:val="18"/>
          <w:szCs w:val="18"/>
          <w:lang w:eastAsia="es-ES"/>
        </w:rPr>
      </w:pPr>
    </w:p>
    <w:p w14:paraId="60340497"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46A103AD" w14:textId="77777777" w:rsidR="00682AA0" w:rsidRPr="001B525F" w:rsidRDefault="00682AA0" w:rsidP="00CC0143">
      <w:pPr>
        <w:spacing w:after="0"/>
        <w:jc w:val="both"/>
        <w:rPr>
          <w:rFonts w:ascii="Arial" w:hAnsi="Arial" w:cs="Arial"/>
          <w:sz w:val="18"/>
          <w:szCs w:val="18"/>
        </w:rPr>
      </w:pPr>
    </w:p>
    <w:p w14:paraId="2A16D020" w14:textId="37EF9CFC" w:rsidR="00682AA0" w:rsidRDefault="00682AA0" w:rsidP="00CC0143">
      <w:pPr>
        <w:spacing w:after="0"/>
        <w:jc w:val="both"/>
        <w:rPr>
          <w:rFonts w:ascii="Arial" w:hAnsi="Arial" w:cs="Arial"/>
          <w:sz w:val="18"/>
          <w:szCs w:val="18"/>
        </w:rPr>
      </w:pPr>
      <w:r w:rsidRPr="001B525F">
        <w:rPr>
          <w:rFonts w:ascii="Arial" w:hAnsi="Arial" w:cs="Arial"/>
          <w:sz w:val="18"/>
          <w:szCs w:val="18"/>
        </w:rPr>
        <w:t>La aplicación de las tarifas indicadas en los incisos a), c), e</w:t>
      </w:r>
      <w:r w:rsidRPr="00074509">
        <w:rPr>
          <w:rFonts w:ascii="Arial" w:hAnsi="Arial" w:cs="Arial"/>
          <w:sz w:val="18"/>
          <w:szCs w:val="18"/>
        </w:rPr>
        <w:t>)</w:t>
      </w:r>
      <w:r w:rsidR="00E31201">
        <w:rPr>
          <w:rFonts w:ascii="Arial" w:hAnsi="Arial" w:cs="Arial"/>
          <w:sz w:val="18"/>
          <w:szCs w:val="18"/>
        </w:rPr>
        <w:t xml:space="preserve"> y</w:t>
      </w:r>
      <w:r w:rsidRPr="001B525F">
        <w:rPr>
          <w:rFonts w:ascii="Arial" w:hAnsi="Arial" w:cs="Arial"/>
          <w:sz w:val="18"/>
          <w:szCs w:val="18"/>
        </w:rPr>
        <w:t xml:space="preserve"> f) se calcularán con base en la duración real de las llamadas, sin redondear al minuto, debiendo para tal efecto sumar la duración de todas las llamadas completadas en </w:t>
      </w:r>
      <w:r w:rsidRPr="001B525F">
        <w:rPr>
          <w:rFonts w:ascii="Arial" w:hAnsi="Arial" w:cs="Arial"/>
          <w:sz w:val="18"/>
          <w:szCs w:val="18"/>
        </w:rPr>
        <w:lastRenderedPageBreak/>
        <w:t>el periodo de facturación correspondiente, medidas en segundos, sin redondeo y multiplicar los minutos equivalentes a dicha suma, por la tarifa correspondiente.</w:t>
      </w:r>
    </w:p>
    <w:p w14:paraId="09550667" w14:textId="77777777" w:rsidR="00A778D5" w:rsidRDefault="00A778D5" w:rsidP="00CC0143">
      <w:pPr>
        <w:spacing w:after="0"/>
        <w:jc w:val="both"/>
        <w:rPr>
          <w:rFonts w:ascii="Arial" w:hAnsi="Arial" w:cs="Arial"/>
          <w:sz w:val="18"/>
          <w:szCs w:val="18"/>
        </w:rPr>
      </w:pPr>
    </w:p>
    <w:p w14:paraId="3983D0C1" w14:textId="43A3A495" w:rsidR="00AE7DFE" w:rsidRPr="00AE7DFE" w:rsidRDefault="00AE7DFE" w:rsidP="00AE7DFE">
      <w:pPr>
        <w:spacing w:after="0"/>
        <w:jc w:val="both"/>
        <w:rPr>
          <w:rFonts w:ascii="Arial" w:hAnsi="Arial" w:cs="Arial"/>
          <w:sz w:val="18"/>
          <w:szCs w:val="18"/>
        </w:rPr>
      </w:pPr>
      <w:r w:rsidRPr="009F4DC9">
        <w:rPr>
          <w:rFonts w:ascii="Arial" w:hAnsi="Arial" w:cs="Arial"/>
          <w:sz w:val="18"/>
          <w:szCs w:val="18"/>
        </w:rPr>
        <w:t>Asimismo, las tarifas que han sido estimadas con base en el Modelo Móvil y el Modelo Fijo para el año 2026 para los concesionarios distintos al Agente Económico Preponderante son:</w:t>
      </w:r>
    </w:p>
    <w:p w14:paraId="10EC52A9" w14:textId="77777777" w:rsidR="00AE7DFE" w:rsidRPr="00AE7DFE" w:rsidRDefault="00AE7DFE" w:rsidP="00AE7DFE">
      <w:pPr>
        <w:spacing w:after="0"/>
        <w:jc w:val="both"/>
        <w:rPr>
          <w:rFonts w:ascii="Arial" w:hAnsi="Arial" w:cs="Arial"/>
          <w:sz w:val="18"/>
          <w:szCs w:val="18"/>
        </w:rPr>
      </w:pPr>
    </w:p>
    <w:p w14:paraId="552BC900" w14:textId="66863A44" w:rsidR="00AE7DFE" w:rsidRPr="00AE7DFE" w:rsidRDefault="00AE7DFE" w:rsidP="000054A6">
      <w:pPr>
        <w:pStyle w:val="Prrafodelista"/>
        <w:numPr>
          <w:ilvl w:val="0"/>
          <w:numId w:val="75"/>
        </w:numPr>
        <w:spacing w:line="276" w:lineRule="auto"/>
        <w:contextualSpacing/>
        <w:jc w:val="both"/>
        <w:rPr>
          <w:rFonts w:cs="Arial"/>
          <w:sz w:val="18"/>
          <w:szCs w:val="18"/>
        </w:rPr>
      </w:pPr>
      <w:r w:rsidRPr="00AE7DFE">
        <w:rPr>
          <w:rFonts w:cs="Arial"/>
          <w:sz w:val="18"/>
          <w:szCs w:val="18"/>
        </w:rPr>
        <w:t xml:space="preserve">Por servicios de terminación del Servicio Local en usuarios móviles bajo la modalidad “El que llama paga” será de </w:t>
      </w:r>
      <w:r w:rsidRPr="00BC1839">
        <w:rPr>
          <w:rFonts w:cs="Arial"/>
          <w:b/>
          <w:sz w:val="18"/>
          <w:szCs w:val="18"/>
        </w:rPr>
        <w:t>$</w:t>
      </w:r>
      <w:r w:rsidR="003F0693" w:rsidRPr="00BC1839">
        <w:rPr>
          <w:rFonts w:cs="Arial"/>
          <w:b/>
          <w:sz w:val="18"/>
          <w:szCs w:val="18"/>
        </w:rPr>
        <w:t>0.039135</w:t>
      </w:r>
      <w:r w:rsidRPr="00BC1839">
        <w:rPr>
          <w:rFonts w:cs="Arial"/>
          <w:b/>
          <w:sz w:val="18"/>
          <w:szCs w:val="18"/>
        </w:rPr>
        <w:t xml:space="preserve"> pesos M.N.</w:t>
      </w:r>
      <w:r w:rsidRPr="00AE7DFE">
        <w:rPr>
          <w:rFonts w:cs="Arial"/>
          <w:sz w:val="18"/>
          <w:szCs w:val="18"/>
        </w:rPr>
        <w:t xml:space="preserve"> por minuto de interconexión.</w:t>
      </w:r>
    </w:p>
    <w:p w14:paraId="0BCAFA44" w14:textId="77777777" w:rsidR="00AE7DFE" w:rsidRPr="00AE7DFE" w:rsidRDefault="00AE7DFE" w:rsidP="008433C9">
      <w:pPr>
        <w:pStyle w:val="Prrafodelista"/>
        <w:spacing w:line="276" w:lineRule="auto"/>
        <w:ind w:left="709" w:hanging="357"/>
        <w:contextualSpacing/>
        <w:rPr>
          <w:rFonts w:cs="Arial"/>
          <w:sz w:val="18"/>
          <w:szCs w:val="18"/>
        </w:rPr>
      </w:pPr>
    </w:p>
    <w:p w14:paraId="04EFC073" w14:textId="3CD7F492" w:rsidR="00AE7DFE" w:rsidRPr="00AE7DFE" w:rsidRDefault="00AE7DFE" w:rsidP="000054A6">
      <w:pPr>
        <w:pStyle w:val="Prrafodelista"/>
        <w:numPr>
          <w:ilvl w:val="0"/>
          <w:numId w:val="75"/>
        </w:numPr>
        <w:spacing w:line="276" w:lineRule="auto"/>
        <w:ind w:left="709" w:hanging="357"/>
        <w:contextualSpacing/>
        <w:jc w:val="both"/>
        <w:rPr>
          <w:rFonts w:cs="Arial"/>
          <w:sz w:val="18"/>
          <w:szCs w:val="18"/>
        </w:rPr>
      </w:pPr>
      <w:r w:rsidRPr="00AE7DFE">
        <w:rPr>
          <w:rFonts w:cs="Arial"/>
          <w:sz w:val="18"/>
          <w:szCs w:val="18"/>
        </w:rPr>
        <w:t xml:space="preserve">Por servicios de terminación de mensajes cortos (SMS) en usuarios móviles será de </w:t>
      </w:r>
      <w:r w:rsidRPr="00F65F2D">
        <w:rPr>
          <w:rFonts w:cs="Arial"/>
          <w:b/>
          <w:sz w:val="18"/>
          <w:szCs w:val="18"/>
        </w:rPr>
        <w:t>$</w:t>
      </w:r>
      <w:r w:rsidR="003F0693" w:rsidRPr="00F65F2D">
        <w:rPr>
          <w:rFonts w:cs="Arial"/>
          <w:b/>
          <w:sz w:val="18"/>
          <w:szCs w:val="18"/>
        </w:rPr>
        <w:t>0.007916</w:t>
      </w:r>
      <w:r w:rsidRPr="00F65F2D">
        <w:rPr>
          <w:rFonts w:cs="Arial"/>
          <w:b/>
          <w:sz w:val="18"/>
          <w:szCs w:val="18"/>
        </w:rPr>
        <w:t xml:space="preserve"> pesos M.N.</w:t>
      </w:r>
      <w:r w:rsidRPr="00AE7DFE">
        <w:rPr>
          <w:rFonts w:cs="Arial"/>
          <w:sz w:val="18"/>
          <w:szCs w:val="18"/>
        </w:rPr>
        <w:t xml:space="preserve"> por mensaje.</w:t>
      </w:r>
    </w:p>
    <w:p w14:paraId="7CB6A2A9" w14:textId="77777777" w:rsidR="00AE7DFE" w:rsidRPr="00AE7DFE" w:rsidRDefault="00AE7DFE" w:rsidP="008433C9">
      <w:pPr>
        <w:pStyle w:val="Prrafodelista"/>
        <w:spacing w:line="276" w:lineRule="auto"/>
        <w:ind w:left="709" w:hanging="357"/>
        <w:contextualSpacing/>
        <w:rPr>
          <w:rFonts w:cs="Arial"/>
          <w:sz w:val="18"/>
          <w:szCs w:val="18"/>
        </w:rPr>
      </w:pPr>
    </w:p>
    <w:p w14:paraId="058B3804" w14:textId="0672F457" w:rsidR="00AE7DFE" w:rsidRPr="00AE7DFE" w:rsidRDefault="00AE7DFE" w:rsidP="000054A6">
      <w:pPr>
        <w:pStyle w:val="Prrafodelista"/>
        <w:numPr>
          <w:ilvl w:val="0"/>
          <w:numId w:val="75"/>
        </w:numPr>
        <w:spacing w:line="276" w:lineRule="auto"/>
        <w:ind w:left="709" w:hanging="357"/>
        <w:contextualSpacing/>
        <w:jc w:val="both"/>
        <w:rPr>
          <w:rFonts w:cs="Arial"/>
          <w:sz w:val="18"/>
          <w:szCs w:val="18"/>
        </w:rPr>
      </w:pPr>
      <w:r w:rsidRPr="00AE7DFE">
        <w:rPr>
          <w:rFonts w:cs="Arial"/>
          <w:sz w:val="18"/>
          <w:szCs w:val="18"/>
        </w:rPr>
        <w:t xml:space="preserve">Por servicios de terminación del Servicio Local en usuarios fijos será </w:t>
      </w:r>
      <w:r w:rsidRPr="00D56764">
        <w:rPr>
          <w:rFonts w:cs="Arial"/>
          <w:sz w:val="18"/>
          <w:szCs w:val="18"/>
        </w:rPr>
        <w:t xml:space="preserve">de </w:t>
      </w:r>
      <w:r w:rsidRPr="00D56764">
        <w:rPr>
          <w:rFonts w:cs="Arial"/>
          <w:b/>
          <w:sz w:val="18"/>
          <w:szCs w:val="18"/>
        </w:rPr>
        <w:t>$</w:t>
      </w:r>
      <w:r w:rsidR="003F0693" w:rsidRPr="00D56764">
        <w:rPr>
          <w:rFonts w:cs="Arial"/>
          <w:b/>
          <w:sz w:val="18"/>
          <w:szCs w:val="18"/>
        </w:rPr>
        <w:t>0.003370</w:t>
      </w:r>
      <w:r w:rsidRPr="00D56764">
        <w:rPr>
          <w:rFonts w:cs="Arial"/>
          <w:b/>
          <w:sz w:val="18"/>
          <w:szCs w:val="18"/>
        </w:rPr>
        <w:t xml:space="preserve"> pesos M.N.</w:t>
      </w:r>
      <w:r w:rsidRPr="00AE7DFE">
        <w:rPr>
          <w:rFonts w:cs="Arial"/>
          <w:sz w:val="18"/>
          <w:szCs w:val="18"/>
        </w:rPr>
        <w:t xml:space="preserve"> por minuto de interconexión.</w:t>
      </w:r>
    </w:p>
    <w:p w14:paraId="48F0A66D" w14:textId="77777777" w:rsidR="00AE7DFE" w:rsidRPr="00AE7DFE" w:rsidRDefault="00AE7DFE" w:rsidP="008433C9">
      <w:pPr>
        <w:pStyle w:val="Prrafodelista"/>
        <w:spacing w:line="276" w:lineRule="auto"/>
        <w:ind w:left="709" w:hanging="357"/>
        <w:contextualSpacing/>
        <w:rPr>
          <w:rFonts w:cs="Arial"/>
          <w:sz w:val="18"/>
          <w:szCs w:val="18"/>
        </w:rPr>
      </w:pPr>
    </w:p>
    <w:p w14:paraId="532D8D8C" w14:textId="4345FF3C" w:rsidR="00AE7DFE" w:rsidRPr="00AE7DFE" w:rsidRDefault="00AE7DFE" w:rsidP="000054A6">
      <w:pPr>
        <w:pStyle w:val="Prrafodelista"/>
        <w:numPr>
          <w:ilvl w:val="0"/>
          <w:numId w:val="75"/>
        </w:numPr>
        <w:spacing w:line="276" w:lineRule="auto"/>
        <w:ind w:left="709" w:hanging="357"/>
        <w:contextualSpacing/>
        <w:jc w:val="both"/>
        <w:rPr>
          <w:rFonts w:cs="Arial"/>
          <w:sz w:val="18"/>
          <w:szCs w:val="18"/>
        </w:rPr>
      </w:pPr>
      <w:r w:rsidRPr="00AE7DFE">
        <w:rPr>
          <w:rFonts w:cs="Arial"/>
          <w:sz w:val="18"/>
          <w:szCs w:val="18"/>
        </w:rPr>
        <w:t xml:space="preserve">Por servicios de terminación de mensajes cortos (SMS) en usuarios fijos será </w:t>
      </w:r>
      <w:r w:rsidRPr="00D56764">
        <w:rPr>
          <w:rFonts w:cs="Arial"/>
          <w:sz w:val="18"/>
          <w:szCs w:val="18"/>
        </w:rPr>
        <w:t xml:space="preserve">de </w:t>
      </w:r>
      <w:r w:rsidRPr="00D56764">
        <w:rPr>
          <w:rFonts w:cs="Arial"/>
          <w:b/>
          <w:sz w:val="18"/>
          <w:szCs w:val="18"/>
        </w:rPr>
        <w:t>$</w:t>
      </w:r>
      <w:r w:rsidR="003F0693" w:rsidRPr="00D56764">
        <w:rPr>
          <w:rFonts w:cs="Arial"/>
          <w:b/>
          <w:sz w:val="18"/>
          <w:szCs w:val="18"/>
        </w:rPr>
        <w:t>0.012616</w:t>
      </w:r>
      <w:r w:rsidRPr="00D56764">
        <w:rPr>
          <w:rFonts w:cs="Arial"/>
          <w:b/>
          <w:sz w:val="18"/>
          <w:szCs w:val="18"/>
        </w:rPr>
        <w:t xml:space="preserve"> pesos M.N</w:t>
      </w:r>
      <w:r w:rsidRPr="00AE7DFE">
        <w:rPr>
          <w:rFonts w:cs="Arial"/>
          <w:b/>
          <w:sz w:val="18"/>
          <w:szCs w:val="18"/>
        </w:rPr>
        <w:t>.</w:t>
      </w:r>
      <w:r w:rsidRPr="00AE7DFE">
        <w:rPr>
          <w:rFonts w:cs="Arial"/>
          <w:sz w:val="18"/>
          <w:szCs w:val="18"/>
        </w:rPr>
        <w:t xml:space="preserve"> por mensaje.</w:t>
      </w:r>
    </w:p>
    <w:p w14:paraId="159C078F" w14:textId="77777777" w:rsidR="00AE7DFE" w:rsidRPr="00AE7DFE" w:rsidRDefault="00AE7DFE" w:rsidP="00AE7DFE">
      <w:pPr>
        <w:spacing w:after="0"/>
        <w:rPr>
          <w:rFonts w:ascii="Arial" w:hAnsi="Arial" w:cs="Arial"/>
          <w:sz w:val="18"/>
          <w:szCs w:val="18"/>
        </w:rPr>
      </w:pPr>
    </w:p>
    <w:p w14:paraId="1DDAA84E" w14:textId="77777777"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Lo anterior, en la inteligencia que, en cumplimiento a lo previsto por el artículo 137 de la LFTR, este Instituto, en el último trimestre del año que corresponda, publicará las tarifas que hayan resultado de las metodologías de costos emitidas por el Instituto, mismas que estarán vigentes en el año calendario inmediato siguiente.</w:t>
      </w:r>
    </w:p>
    <w:p w14:paraId="68778A61" w14:textId="77777777" w:rsidR="00AE7DFE" w:rsidRPr="00AE7DFE" w:rsidRDefault="00AE7DFE" w:rsidP="00AE7DFE">
      <w:pPr>
        <w:spacing w:after="0"/>
        <w:jc w:val="both"/>
        <w:rPr>
          <w:rFonts w:ascii="Arial" w:hAnsi="Arial" w:cs="Arial"/>
          <w:sz w:val="18"/>
          <w:szCs w:val="18"/>
        </w:rPr>
      </w:pPr>
    </w:p>
    <w:p w14:paraId="4D04A778" w14:textId="4DF9E2AE"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Tratándose del Agente Económico Preponderante, las tarifas que han sido estimadas con base en el Modelo Móvil y el Modelo Fijo por los servicios de interconexión para el año 2026 son:</w:t>
      </w:r>
    </w:p>
    <w:p w14:paraId="46998694" w14:textId="77777777" w:rsidR="00AE7DFE" w:rsidRPr="00AE7DFE" w:rsidRDefault="00AE7DFE" w:rsidP="008433C9">
      <w:pPr>
        <w:spacing w:after="0"/>
        <w:ind w:left="709" w:hanging="357"/>
        <w:jc w:val="both"/>
        <w:rPr>
          <w:rFonts w:ascii="Arial" w:hAnsi="Arial" w:cs="Arial"/>
          <w:sz w:val="18"/>
          <w:szCs w:val="18"/>
        </w:rPr>
      </w:pPr>
    </w:p>
    <w:p w14:paraId="0ACCA965" w14:textId="02D5D97F" w:rsidR="00AE7DFE" w:rsidRPr="00AE7DFE" w:rsidRDefault="00AE7DFE" w:rsidP="000054A6">
      <w:pPr>
        <w:numPr>
          <w:ilvl w:val="0"/>
          <w:numId w:val="75"/>
        </w:numPr>
        <w:spacing w:after="0"/>
        <w:ind w:left="709" w:hanging="357"/>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tránsito en red móvil será de </w:t>
      </w:r>
      <w:r w:rsidRPr="00F65F2D">
        <w:rPr>
          <w:rFonts w:ascii="Arial" w:eastAsia="Times New Roman" w:hAnsi="Arial" w:cs="Arial"/>
          <w:b/>
          <w:sz w:val="18"/>
          <w:szCs w:val="18"/>
          <w:lang w:eastAsia="es-ES"/>
        </w:rPr>
        <w:t>$</w:t>
      </w:r>
      <w:r w:rsidR="003F0693" w:rsidRPr="00F65F2D">
        <w:rPr>
          <w:rFonts w:ascii="Arial" w:eastAsia="Times New Roman" w:hAnsi="Arial" w:cs="Arial"/>
          <w:b/>
          <w:sz w:val="18"/>
          <w:szCs w:val="18"/>
          <w:lang w:eastAsia="es-ES"/>
        </w:rPr>
        <w:t>0.00</w:t>
      </w:r>
      <w:r w:rsidR="00E80676">
        <w:rPr>
          <w:rFonts w:ascii="Arial" w:eastAsia="Times New Roman" w:hAnsi="Arial" w:cs="Arial"/>
          <w:b/>
          <w:sz w:val="18"/>
          <w:szCs w:val="18"/>
          <w:lang w:eastAsia="es-ES"/>
        </w:rPr>
        <w:t>2046</w:t>
      </w:r>
      <w:r w:rsidRPr="00F65F2D">
        <w:rPr>
          <w:rFonts w:ascii="Arial" w:eastAsia="Times New Roman" w:hAnsi="Arial" w:cs="Arial"/>
          <w:b/>
          <w:sz w:val="18"/>
          <w:szCs w:val="18"/>
          <w:lang w:eastAsia="es-ES"/>
        </w:rPr>
        <w:t xml:space="preserve"> pesos M.N.</w:t>
      </w:r>
      <w:r w:rsidRPr="00AE7DFE">
        <w:rPr>
          <w:rFonts w:ascii="Arial" w:eastAsia="Times New Roman" w:hAnsi="Arial" w:cs="Arial"/>
          <w:sz w:val="18"/>
          <w:szCs w:val="18"/>
          <w:lang w:eastAsia="es-ES"/>
        </w:rPr>
        <w:t xml:space="preserve"> por minuto de interconexión.</w:t>
      </w:r>
    </w:p>
    <w:p w14:paraId="688B420F" w14:textId="77777777" w:rsidR="00AE7DFE" w:rsidRPr="00AE7DFE" w:rsidRDefault="00AE7DFE" w:rsidP="008433C9">
      <w:pPr>
        <w:spacing w:after="0"/>
        <w:ind w:left="709" w:hanging="357"/>
        <w:contextualSpacing/>
        <w:jc w:val="both"/>
        <w:rPr>
          <w:rFonts w:ascii="Arial" w:eastAsia="Times New Roman" w:hAnsi="Arial" w:cs="Arial"/>
          <w:sz w:val="18"/>
          <w:szCs w:val="18"/>
          <w:lang w:eastAsia="es-ES"/>
        </w:rPr>
      </w:pPr>
    </w:p>
    <w:p w14:paraId="1EFCCE19" w14:textId="71CE08B7" w:rsidR="00AE7DFE" w:rsidRPr="00AE7DFE" w:rsidRDefault="00AE7DFE" w:rsidP="000054A6">
      <w:pPr>
        <w:numPr>
          <w:ilvl w:val="0"/>
          <w:numId w:val="75"/>
        </w:numPr>
        <w:spacing w:after="0"/>
        <w:ind w:left="709" w:hanging="357"/>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tránsito en red fija será de </w:t>
      </w:r>
      <w:r w:rsidRPr="00D56764">
        <w:rPr>
          <w:rFonts w:ascii="Arial" w:eastAsia="Times New Roman" w:hAnsi="Arial" w:cs="Arial"/>
          <w:b/>
          <w:sz w:val="18"/>
          <w:szCs w:val="18"/>
          <w:lang w:eastAsia="es-ES"/>
        </w:rPr>
        <w:t>$</w:t>
      </w:r>
      <w:r w:rsidR="003F0693" w:rsidRPr="00D56764">
        <w:rPr>
          <w:rFonts w:ascii="Arial" w:eastAsia="Times New Roman" w:hAnsi="Arial" w:cs="Arial"/>
          <w:b/>
          <w:sz w:val="18"/>
          <w:szCs w:val="18"/>
          <w:lang w:eastAsia="es-ES"/>
        </w:rPr>
        <w:t>0.002099</w:t>
      </w:r>
      <w:r w:rsidRPr="00D56764">
        <w:rPr>
          <w:rFonts w:ascii="Arial" w:eastAsia="Times New Roman" w:hAnsi="Arial" w:cs="Arial"/>
          <w:b/>
          <w:sz w:val="18"/>
          <w:szCs w:val="18"/>
          <w:lang w:eastAsia="es-ES"/>
        </w:rPr>
        <w:t xml:space="preserve"> pesos M.N.</w:t>
      </w:r>
      <w:r w:rsidRPr="00AE7DFE">
        <w:rPr>
          <w:rFonts w:ascii="Arial" w:eastAsia="Times New Roman" w:hAnsi="Arial" w:cs="Arial"/>
          <w:sz w:val="18"/>
          <w:szCs w:val="18"/>
          <w:lang w:eastAsia="es-ES"/>
        </w:rPr>
        <w:t xml:space="preserve"> por minuto de interconexión.</w:t>
      </w:r>
    </w:p>
    <w:p w14:paraId="637B4FC0" w14:textId="77777777" w:rsidR="00AE7DFE" w:rsidRPr="00AE7DFE" w:rsidRDefault="00AE7DFE" w:rsidP="00AE7DFE">
      <w:pPr>
        <w:pStyle w:val="Prrafodelista"/>
        <w:rPr>
          <w:rFonts w:cs="Arial"/>
          <w:sz w:val="18"/>
          <w:szCs w:val="18"/>
        </w:rPr>
      </w:pPr>
    </w:p>
    <w:p w14:paraId="0CAF5B36" w14:textId="77777777"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Lo anterior, en la inteligencia que, en cumplimiento a lo previsto por el artículo 137 de la LFTR, este Instituto, en el último trimestre del año que corresponda, publicará las tarifas que hayan resultado de las metodologías de costos emitidas por el Instituto, mismas que estarán vigentes en el año calendario inmediato siguiente.</w:t>
      </w:r>
    </w:p>
    <w:p w14:paraId="4F74DAA3" w14:textId="50F4723C" w:rsidR="00A05825" w:rsidRPr="001B525F" w:rsidRDefault="00A05825" w:rsidP="00CC0143">
      <w:pPr>
        <w:spacing w:after="0"/>
        <w:jc w:val="both"/>
        <w:rPr>
          <w:rFonts w:ascii="Arial" w:hAnsi="Arial" w:cs="Arial"/>
          <w:sz w:val="18"/>
          <w:szCs w:val="18"/>
        </w:rPr>
      </w:pPr>
    </w:p>
    <w:p w14:paraId="130E6AF7" w14:textId="01BFD49F" w:rsidR="00D6105B" w:rsidRPr="001B525F" w:rsidRDefault="00947D7A" w:rsidP="00CC0143">
      <w:pPr>
        <w:spacing w:after="0"/>
        <w:jc w:val="both"/>
        <w:rPr>
          <w:rFonts w:ascii="Arial" w:hAnsi="Arial" w:cs="Arial"/>
          <w:sz w:val="18"/>
          <w:szCs w:val="18"/>
        </w:rPr>
      </w:pPr>
      <w:r w:rsidRPr="001B525F">
        <w:rPr>
          <w:rFonts w:ascii="Arial" w:hAnsi="Arial" w:cs="Arial"/>
          <w:b/>
          <w:sz w:val="18"/>
          <w:szCs w:val="18"/>
        </w:rPr>
        <w:t>Décimo</w:t>
      </w:r>
      <w:r w:rsidR="00520723" w:rsidRPr="001B525F">
        <w:rPr>
          <w:rFonts w:ascii="Arial" w:hAnsi="Arial" w:cs="Arial"/>
          <w:b/>
          <w:sz w:val="18"/>
          <w:szCs w:val="18"/>
        </w:rPr>
        <w:t xml:space="preserve"> </w:t>
      </w:r>
      <w:r w:rsidR="00DD7B49" w:rsidRPr="001B525F">
        <w:rPr>
          <w:rFonts w:ascii="Arial" w:hAnsi="Arial" w:cs="Arial"/>
          <w:b/>
          <w:sz w:val="18"/>
          <w:szCs w:val="18"/>
        </w:rPr>
        <w:t>P</w:t>
      </w:r>
      <w:r w:rsidR="00520723" w:rsidRPr="001B525F">
        <w:rPr>
          <w:rFonts w:ascii="Arial" w:hAnsi="Arial" w:cs="Arial"/>
          <w:b/>
          <w:sz w:val="18"/>
          <w:szCs w:val="18"/>
        </w:rPr>
        <w:t>rimero</w:t>
      </w:r>
      <w:r w:rsidR="00350F69" w:rsidRPr="001B525F">
        <w:rPr>
          <w:rFonts w:ascii="Arial" w:hAnsi="Arial" w:cs="Arial"/>
          <w:b/>
          <w:sz w:val="18"/>
          <w:szCs w:val="18"/>
        </w:rPr>
        <w:t xml:space="preserve">.- Tarifa del servicio de interconexión conmutado de terminación en la red del Agente Económico Preponderante. </w:t>
      </w:r>
      <w:r w:rsidR="00D6105B" w:rsidRPr="001B525F">
        <w:rPr>
          <w:rFonts w:ascii="Arial" w:hAnsi="Arial" w:cs="Arial"/>
          <w:sz w:val="18"/>
          <w:szCs w:val="18"/>
        </w:rPr>
        <w:t xml:space="preserve">Tratándose del Agente Económico Preponderante, las tarifas de interconexión que cobrará del 1 de enero al 31 de diciembre de </w:t>
      </w:r>
      <w:r w:rsidR="00B02034" w:rsidRPr="001B525F">
        <w:rPr>
          <w:rFonts w:ascii="Arial" w:hAnsi="Arial" w:cs="Arial"/>
          <w:sz w:val="18"/>
          <w:szCs w:val="18"/>
        </w:rPr>
        <w:t>202</w:t>
      </w:r>
      <w:r w:rsidR="00B02034">
        <w:rPr>
          <w:rFonts w:ascii="Arial" w:hAnsi="Arial" w:cs="Arial"/>
          <w:sz w:val="18"/>
          <w:szCs w:val="18"/>
        </w:rPr>
        <w:t>5</w:t>
      </w:r>
      <w:r w:rsidR="00B02034" w:rsidRPr="001B525F">
        <w:rPr>
          <w:rFonts w:ascii="Arial" w:hAnsi="Arial" w:cs="Arial"/>
          <w:sz w:val="18"/>
          <w:szCs w:val="18"/>
        </w:rPr>
        <w:t xml:space="preserve"> </w:t>
      </w:r>
      <w:r w:rsidR="00D6105B" w:rsidRPr="001B525F">
        <w:rPr>
          <w:rFonts w:ascii="Arial" w:hAnsi="Arial" w:cs="Arial"/>
          <w:sz w:val="18"/>
          <w:szCs w:val="18"/>
        </w:rPr>
        <w:t>que han resultado de las metodologías para el cálculo de los costos de interconexión con base en el Modelo Móvil y el Modelo Fijo para el servicio de terminación, serán las siguientes:</w:t>
      </w:r>
    </w:p>
    <w:p w14:paraId="2B2A4C21" w14:textId="77777777" w:rsidR="00D6105B" w:rsidRPr="001B525F" w:rsidRDefault="00D6105B" w:rsidP="00CC0143">
      <w:pPr>
        <w:spacing w:after="0"/>
        <w:jc w:val="both"/>
        <w:rPr>
          <w:rFonts w:ascii="Arial" w:hAnsi="Arial" w:cs="Arial"/>
          <w:b/>
          <w:sz w:val="18"/>
          <w:szCs w:val="18"/>
        </w:rPr>
      </w:pPr>
    </w:p>
    <w:p w14:paraId="7C19D9AB" w14:textId="6D69CD3E" w:rsidR="00693872" w:rsidRPr="001B525F" w:rsidRDefault="00693872" w:rsidP="008433C9">
      <w:pPr>
        <w:numPr>
          <w:ilvl w:val="0"/>
          <w:numId w:val="62"/>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móviles bajo la modalidad “El que llama paga” será </w:t>
      </w:r>
      <w:r w:rsidRPr="00BC1839">
        <w:rPr>
          <w:rFonts w:ascii="Arial" w:eastAsia="Times New Roman" w:hAnsi="Arial" w:cs="Arial"/>
          <w:sz w:val="18"/>
          <w:szCs w:val="18"/>
          <w:lang w:eastAsia="es-ES"/>
        </w:rPr>
        <w:t xml:space="preserve">de </w:t>
      </w:r>
      <w:r w:rsidR="00B02034" w:rsidRPr="00B02034">
        <w:rPr>
          <w:rFonts w:ascii="Arial" w:eastAsia="Times New Roman" w:hAnsi="Arial" w:cs="Arial"/>
          <w:b/>
          <w:bCs/>
          <w:sz w:val="18"/>
          <w:szCs w:val="18"/>
          <w:lang w:val="es-MX" w:eastAsia="es-ES"/>
        </w:rPr>
        <w:t>$0.012255 pesos M.N.</w:t>
      </w:r>
      <w:r w:rsidRPr="001B525F">
        <w:rPr>
          <w:rFonts w:ascii="Arial" w:eastAsia="Times New Roman" w:hAnsi="Arial" w:cs="Arial"/>
          <w:sz w:val="18"/>
          <w:szCs w:val="18"/>
          <w:lang w:eastAsia="es-ES"/>
        </w:rPr>
        <w:t xml:space="preserve"> por minuto de interconexión.</w:t>
      </w:r>
    </w:p>
    <w:p w14:paraId="06C06179" w14:textId="77777777" w:rsidR="00693872" w:rsidRPr="001B525F" w:rsidRDefault="00693872" w:rsidP="008433C9">
      <w:pPr>
        <w:spacing w:after="0"/>
        <w:ind w:left="709" w:hanging="357"/>
        <w:contextualSpacing/>
        <w:jc w:val="both"/>
        <w:rPr>
          <w:rFonts w:ascii="Arial" w:eastAsia="Times New Roman" w:hAnsi="Arial" w:cs="Arial"/>
          <w:sz w:val="18"/>
          <w:szCs w:val="18"/>
          <w:lang w:eastAsia="es-ES"/>
        </w:rPr>
      </w:pPr>
    </w:p>
    <w:p w14:paraId="1D68053F" w14:textId="14426365" w:rsidR="00693872" w:rsidRPr="001B525F" w:rsidRDefault="00693872" w:rsidP="008433C9">
      <w:pPr>
        <w:numPr>
          <w:ilvl w:val="0"/>
          <w:numId w:val="62"/>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fijos será </w:t>
      </w:r>
      <w:r w:rsidRPr="00D56764">
        <w:rPr>
          <w:rFonts w:ascii="Arial" w:eastAsia="Times New Roman" w:hAnsi="Arial" w:cs="Arial"/>
          <w:sz w:val="18"/>
          <w:szCs w:val="18"/>
          <w:lang w:eastAsia="es-ES"/>
        </w:rPr>
        <w:t xml:space="preserve">de </w:t>
      </w:r>
      <w:r w:rsidR="00B02034" w:rsidRPr="00B02034">
        <w:rPr>
          <w:rFonts w:ascii="Arial" w:eastAsia="Times New Roman" w:hAnsi="Arial" w:cs="Arial"/>
          <w:b/>
          <w:bCs/>
          <w:sz w:val="18"/>
          <w:szCs w:val="18"/>
          <w:lang w:val="es-MX" w:eastAsia="es-ES"/>
        </w:rPr>
        <w:t>$0.002858 pesos M.N. pesos M.N.</w:t>
      </w:r>
      <w:r w:rsidRPr="001B525F">
        <w:rPr>
          <w:rFonts w:ascii="Arial" w:eastAsia="Times New Roman" w:hAnsi="Arial" w:cs="Arial"/>
          <w:sz w:val="18"/>
          <w:szCs w:val="18"/>
          <w:lang w:eastAsia="es-ES"/>
        </w:rPr>
        <w:t xml:space="preserve"> por minuto de interconexión.</w:t>
      </w:r>
    </w:p>
    <w:p w14:paraId="3A9E14C2" w14:textId="77777777" w:rsidR="00693872" w:rsidRPr="001B525F" w:rsidRDefault="00693872" w:rsidP="008433C9">
      <w:pPr>
        <w:spacing w:after="0"/>
        <w:ind w:left="709" w:hanging="357"/>
        <w:contextualSpacing/>
        <w:jc w:val="both"/>
        <w:rPr>
          <w:rFonts w:ascii="Arial" w:eastAsia="Times New Roman" w:hAnsi="Arial" w:cs="Arial"/>
          <w:sz w:val="18"/>
          <w:szCs w:val="18"/>
          <w:lang w:eastAsia="es-ES"/>
        </w:rPr>
      </w:pPr>
    </w:p>
    <w:p w14:paraId="5D8F2C45" w14:textId="712F9418" w:rsidR="00693872" w:rsidRPr="001B525F" w:rsidRDefault="00693872" w:rsidP="008433C9">
      <w:pPr>
        <w:numPr>
          <w:ilvl w:val="0"/>
          <w:numId w:val="62"/>
        </w:numPr>
        <w:spacing w:after="0"/>
        <w:ind w:left="709" w:hanging="357"/>
        <w:contextualSpacing/>
        <w:jc w:val="both"/>
        <w:rPr>
          <w:rFonts w:ascii="Arial" w:hAnsi="Arial" w:cs="Arial"/>
          <w:sz w:val="18"/>
          <w:szCs w:val="18"/>
        </w:rPr>
      </w:pPr>
      <w:r w:rsidRPr="001B525F">
        <w:rPr>
          <w:rFonts w:ascii="Arial" w:eastAsia="Times New Roman" w:hAnsi="Arial" w:cs="Arial"/>
          <w:sz w:val="18"/>
          <w:szCs w:val="18"/>
          <w:lang w:eastAsia="es-ES"/>
        </w:rPr>
        <w:t xml:space="preserve">Por servicios de terminación de mensajes cortos (SMS) en usuarios móviles será de </w:t>
      </w:r>
      <w:r w:rsidR="00B02034" w:rsidRPr="00B02034">
        <w:rPr>
          <w:rFonts w:ascii="Arial" w:eastAsia="Times New Roman" w:hAnsi="Arial" w:cs="Arial"/>
          <w:b/>
          <w:bCs/>
          <w:sz w:val="18"/>
          <w:szCs w:val="18"/>
          <w:lang w:val="es-MX" w:eastAsia="es-ES"/>
        </w:rPr>
        <w:t>$0.004083 pesos M.N.</w:t>
      </w:r>
      <w:r w:rsidRPr="001B525F">
        <w:rPr>
          <w:rFonts w:ascii="Arial" w:eastAsia="Times New Roman" w:hAnsi="Arial" w:cs="Arial"/>
          <w:sz w:val="18"/>
          <w:szCs w:val="18"/>
          <w:lang w:eastAsia="es-ES"/>
        </w:rPr>
        <w:t xml:space="preserve"> por mensaje.</w:t>
      </w:r>
    </w:p>
    <w:p w14:paraId="43116A5E" w14:textId="77777777" w:rsidR="00D6105B" w:rsidRPr="001B525F" w:rsidRDefault="00D6105B" w:rsidP="00CC0143">
      <w:pPr>
        <w:spacing w:after="0"/>
        <w:jc w:val="both"/>
        <w:rPr>
          <w:rFonts w:ascii="Arial" w:hAnsi="Arial" w:cs="Arial"/>
          <w:b/>
          <w:sz w:val="18"/>
          <w:szCs w:val="18"/>
        </w:rPr>
      </w:pPr>
    </w:p>
    <w:p w14:paraId="22734C9B" w14:textId="194A8355" w:rsidR="00693872" w:rsidRDefault="00693872" w:rsidP="00A05825">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5A9D0FD2" w14:textId="77777777" w:rsidR="00BC1839" w:rsidRDefault="00BC1839" w:rsidP="00A05825">
      <w:pPr>
        <w:spacing w:after="0"/>
        <w:jc w:val="both"/>
        <w:rPr>
          <w:rFonts w:ascii="Arial" w:hAnsi="Arial" w:cs="Arial"/>
          <w:sz w:val="18"/>
          <w:szCs w:val="18"/>
        </w:rPr>
      </w:pPr>
    </w:p>
    <w:p w14:paraId="660EA6C6" w14:textId="7A838431" w:rsidR="00A05825" w:rsidRPr="00AE7DFE" w:rsidRDefault="00A05825" w:rsidP="00A05825">
      <w:pPr>
        <w:spacing w:after="0"/>
        <w:jc w:val="both"/>
        <w:rPr>
          <w:rFonts w:ascii="Arial" w:hAnsi="Arial" w:cs="Arial"/>
          <w:sz w:val="18"/>
          <w:szCs w:val="18"/>
        </w:rPr>
      </w:pPr>
      <w:r w:rsidRPr="001B525F">
        <w:rPr>
          <w:rFonts w:ascii="Arial" w:hAnsi="Arial" w:cs="Arial"/>
          <w:sz w:val="18"/>
          <w:szCs w:val="18"/>
        </w:rPr>
        <w:t xml:space="preserve">La aplicación de las tarifas indicadas en los incisos a) y b) se calcularán con base en la duración real de las llamadas, sin redondear al minuto, debiendo para tal efecto sumar la duración de todas las llamadas completadas en el periodo </w:t>
      </w:r>
      <w:r w:rsidRPr="00AE7DFE">
        <w:rPr>
          <w:rFonts w:ascii="Arial" w:hAnsi="Arial" w:cs="Arial"/>
          <w:sz w:val="18"/>
          <w:szCs w:val="18"/>
        </w:rPr>
        <w:t>de facturación correspondiente, medidas en segundos, y multiplicar los minutos equivalentes a dicha suma, por la tarifa correspondiente.</w:t>
      </w:r>
    </w:p>
    <w:p w14:paraId="1948B1A0" w14:textId="77777777" w:rsidR="00A05825" w:rsidRPr="00AE7DFE" w:rsidRDefault="00A05825" w:rsidP="00CC0143">
      <w:pPr>
        <w:spacing w:after="0"/>
        <w:jc w:val="both"/>
        <w:rPr>
          <w:rFonts w:ascii="Arial" w:hAnsi="Arial" w:cs="Arial"/>
          <w:sz w:val="18"/>
          <w:szCs w:val="18"/>
        </w:rPr>
      </w:pPr>
    </w:p>
    <w:p w14:paraId="6310E438" w14:textId="5B978EBB"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Asimismo, las tarifas de interconexión que han sido estimadas para el Agente Económico Preponderante con base en el Modelo Móvil y el Modelo Fijo para el año 2026 son:</w:t>
      </w:r>
    </w:p>
    <w:p w14:paraId="1A10285D" w14:textId="77777777" w:rsidR="00AE7DFE" w:rsidRPr="00AE7DFE" w:rsidRDefault="00AE7DFE" w:rsidP="00AE7DFE">
      <w:pPr>
        <w:spacing w:after="0"/>
        <w:ind w:left="709" w:hanging="357"/>
        <w:jc w:val="both"/>
        <w:rPr>
          <w:rFonts w:ascii="Arial" w:hAnsi="Arial" w:cs="Arial"/>
          <w:b/>
          <w:sz w:val="18"/>
          <w:szCs w:val="18"/>
        </w:rPr>
      </w:pPr>
    </w:p>
    <w:p w14:paraId="78E94076" w14:textId="68B906AE" w:rsidR="00AE7DFE" w:rsidRPr="00AE7DFE" w:rsidRDefault="00AE7DFE" w:rsidP="001F023E">
      <w:pPr>
        <w:numPr>
          <w:ilvl w:val="0"/>
          <w:numId w:val="74"/>
        </w:numPr>
        <w:spacing w:after="0"/>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terminación del Servicio Local en usuarios móviles bajo la modalidad “El que llama paga” será de </w:t>
      </w:r>
      <w:r w:rsidRPr="00F65F2D">
        <w:rPr>
          <w:rFonts w:ascii="Arial" w:eastAsia="Times New Roman" w:hAnsi="Arial" w:cs="Arial"/>
          <w:b/>
          <w:sz w:val="18"/>
          <w:szCs w:val="18"/>
          <w:lang w:eastAsia="es-ES"/>
        </w:rPr>
        <w:t>$</w:t>
      </w:r>
      <w:r w:rsidR="003F0693" w:rsidRPr="00F65F2D">
        <w:rPr>
          <w:rFonts w:ascii="Arial" w:eastAsia="Times New Roman" w:hAnsi="Arial" w:cs="Arial"/>
          <w:b/>
          <w:sz w:val="18"/>
          <w:szCs w:val="18"/>
          <w:lang w:eastAsia="es-ES"/>
        </w:rPr>
        <w:t>0.009785</w:t>
      </w:r>
      <w:r w:rsidRPr="00F65F2D">
        <w:rPr>
          <w:rFonts w:ascii="Arial" w:eastAsia="Times New Roman" w:hAnsi="Arial" w:cs="Arial"/>
          <w:b/>
          <w:sz w:val="18"/>
          <w:szCs w:val="18"/>
          <w:lang w:eastAsia="es-ES"/>
        </w:rPr>
        <w:t xml:space="preserve"> pesos M.N.</w:t>
      </w:r>
      <w:r w:rsidRPr="00AE7DFE">
        <w:rPr>
          <w:rFonts w:ascii="Arial" w:eastAsia="Times New Roman" w:hAnsi="Arial" w:cs="Arial"/>
          <w:sz w:val="18"/>
          <w:szCs w:val="18"/>
          <w:lang w:eastAsia="es-ES"/>
        </w:rPr>
        <w:t xml:space="preserve"> por minuto de interconexión.</w:t>
      </w:r>
    </w:p>
    <w:p w14:paraId="275AF66A" w14:textId="77777777" w:rsidR="00AE7DFE" w:rsidRPr="00AE7DFE" w:rsidRDefault="00AE7DFE" w:rsidP="00AE7DFE">
      <w:pPr>
        <w:spacing w:after="0"/>
        <w:ind w:left="709" w:hanging="357"/>
        <w:contextualSpacing/>
        <w:jc w:val="both"/>
        <w:rPr>
          <w:rFonts w:ascii="Arial" w:eastAsia="Times New Roman" w:hAnsi="Arial" w:cs="Arial"/>
          <w:sz w:val="18"/>
          <w:szCs w:val="18"/>
          <w:lang w:eastAsia="es-ES"/>
        </w:rPr>
      </w:pPr>
    </w:p>
    <w:p w14:paraId="67AC0A9C" w14:textId="3289F3B3" w:rsidR="00AE7DFE" w:rsidRPr="00AE7DFE" w:rsidRDefault="00AE7DFE" w:rsidP="001F023E">
      <w:pPr>
        <w:numPr>
          <w:ilvl w:val="0"/>
          <w:numId w:val="74"/>
        </w:numPr>
        <w:spacing w:after="0"/>
        <w:ind w:left="709" w:hanging="357"/>
        <w:contextualSpacing/>
        <w:jc w:val="both"/>
        <w:rPr>
          <w:rFonts w:ascii="Arial" w:eastAsia="Times New Roman" w:hAnsi="Arial" w:cs="Arial"/>
          <w:sz w:val="18"/>
          <w:szCs w:val="18"/>
          <w:lang w:eastAsia="es-ES"/>
        </w:rPr>
      </w:pPr>
      <w:r w:rsidRPr="00AE7DFE">
        <w:rPr>
          <w:rFonts w:ascii="Arial" w:eastAsia="Times New Roman" w:hAnsi="Arial" w:cs="Arial"/>
          <w:sz w:val="18"/>
          <w:szCs w:val="18"/>
          <w:lang w:eastAsia="es-ES"/>
        </w:rPr>
        <w:t xml:space="preserve">Por servicios de terminación del Servicio Local en usuarios fijos será de </w:t>
      </w:r>
      <w:r w:rsidRPr="00D56764">
        <w:rPr>
          <w:rFonts w:ascii="Arial" w:eastAsia="Times New Roman" w:hAnsi="Arial" w:cs="Arial"/>
          <w:b/>
          <w:sz w:val="18"/>
          <w:szCs w:val="18"/>
          <w:lang w:eastAsia="es-ES"/>
        </w:rPr>
        <w:t>$</w:t>
      </w:r>
      <w:r w:rsidR="003F0693" w:rsidRPr="00D56764">
        <w:rPr>
          <w:rFonts w:ascii="Arial" w:eastAsia="Times New Roman" w:hAnsi="Arial" w:cs="Arial"/>
          <w:b/>
          <w:sz w:val="18"/>
          <w:szCs w:val="18"/>
          <w:lang w:eastAsia="es-ES"/>
        </w:rPr>
        <w:t>0.002874</w:t>
      </w:r>
      <w:r w:rsidRPr="00D56764">
        <w:rPr>
          <w:rFonts w:ascii="Arial" w:eastAsia="Times New Roman" w:hAnsi="Arial" w:cs="Arial"/>
          <w:b/>
          <w:sz w:val="18"/>
          <w:szCs w:val="18"/>
          <w:lang w:eastAsia="es-ES"/>
        </w:rPr>
        <w:t xml:space="preserve"> pesos M.N.</w:t>
      </w:r>
      <w:r w:rsidRPr="00D56764">
        <w:rPr>
          <w:rFonts w:ascii="Arial" w:eastAsia="Times New Roman" w:hAnsi="Arial" w:cs="Arial"/>
          <w:sz w:val="18"/>
          <w:szCs w:val="18"/>
          <w:lang w:eastAsia="es-ES"/>
        </w:rPr>
        <w:t xml:space="preserve"> por</w:t>
      </w:r>
      <w:r w:rsidRPr="00AE7DFE">
        <w:rPr>
          <w:rFonts w:ascii="Arial" w:eastAsia="Times New Roman" w:hAnsi="Arial" w:cs="Arial"/>
          <w:sz w:val="18"/>
          <w:szCs w:val="18"/>
          <w:lang w:eastAsia="es-ES"/>
        </w:rPr>
        <w:t xml:space="preserve"> minuto de interconexión.</w:t>
      </w:r>
    </w:p>
    <w:p w14:paraId="4E1FF529" w14:textId="77777777" w:rsidR="00AE7DFE" w:rsidRPr="00AE7DFE" w:rsidRDefault="00AE7DFE" w:rsidP="00AE7DFE">
      <w:pPr>
        <w:spacing w:after="0"/>
        <w:ind w:left="709" w:hanging="357"/>
        <w:contextualSpacing/>
        <w:jc w:val="both"/>
        <w:rPr>
          <w:rFonts w:ascii="Arial" w:eastAsia="Times New Roman" w:hAnsi="Arial" w:cs="Arial"/>
          <w:sz w:val="18"/>
          <w:szCs w:val="18"/>
          <w:lang w:eastAsia="es-ES"/>
        </w:rPr>
      </w:pPr>
    </w:p>
    <w:p w14:paraId="3B0D14B7" w14:textId="22574C08" w:rsidR="00AE7DFE" w:rsidRPr="00AE7DFE" w:rsidRDefault="00AE7DFE" w:rsidP="001F023E">
      <w:pPr>
        <w:numPr>
          <w:ilvl w:val="0"/>
          <w:numId w:val="74"/>
        </w:numPr>
        <w:spacing w:after="0"/>
        <w:ind w:left="709" w:hanging="357"/>
        <w:contextualSpacing/>
        <w:jc w:val="both"/>
        <w:rPr>
          <w:rFonts w:ascii="Arial" w:hAnsi="Arial" w:cs="Arial"/>
          <w:sz w:val="18"/>
          <w:szCs w:val="18"/>
        </w:rPr>
      </w:pPr>
      <w:r w:rsidRPr="00AE7DFE">
        <w:rPr>
          <w:rFonts w:ascii="Arial" w:eastAsia="Times New Roman" w:hAnsi="Arial" w:cs="Arial"/>
          <w:sz w:val="18"/>
          <w:szCs w:val="18"/>
          <w:lang w:eastAsia="es-ES"/>
        </w:rPr>
        <w:t xml:space="preserve">Por servicios de terminación de mensajes cortos (SMS) en usuarios móviles será de </w:t>
      </w:r>
      <w:r w:rsidRPr="00F65F2D">
        <w:rPr>
          <w:rFonts w:ascii="Arial" w:eastAsia="Times New Roman" w:hAnsi="Arial" w:cs="Arial"/>
          <w:b/>
          <w:sz w:val="18"/>
          <w:szCs w:val="18"/>
          <w:lang w:eastAsia="es-ES"/>
        </w:rPr>
        <w:t>$</w:t>
      </w:r>
      <w:r w:rsidR="003F0693" w:rsidRPr="00F65F2D">
        <w:rPr>
          <w:rFonts w:ascii="Arial" w:eastAsia="Times New Roman" w:hAnsi="Arial" w:cs="Arial"/>
          <w:b/>
          <w:sz w:val="18"/>
          <w:szCs w:val="18"/>
          <w:lang w:eastAsia="es-ES"/>
        </w:rPr>
        <w:t>0.003117</w:t>
      </w:r>
      <w:r w:rsidRPr="00F65F2D">
        <w:rPr>
          <w:rFonts w:ascii="Arial" w:eastAsia="Times New Roman" w:hAnsi="Arial" w:cs="Arial"/>
          <w:b/>
          <w:sz w:val="18"/>
          <w:szCs w:val="18"/>
          <w:lang w:eastAsia="es-ES"/>
        </w:rPr>
        <w:t xml:space="preserve"> pesos M.N.</w:t>
      </w:r>
      <w:r w:rsidRPr="00AE7DFE">
        <w:rPr>
          <w:rFonts w:ascii="Arial" w:eastAsia="Times New Roman" w:hAnsi="Arial" w:cs="Arial"/>
          <w:sz w:val="18"/>
          <w:szCs w:val="18"/>
          <w:lang w:eastAsia="es-ES"/>
        </w:rPr>
        <w:t xml:space="preserve"> por mensaje.</w:t>
      </w:r>
    </w:p>
    <w:p w14:paraId="7FE07CC1" w14:textId="77777777" w:rsidR="00AE7DFE" w:rsidRPr="00AE7DFE" w:rsidRDefault="00AE7DFE" w:rsidP="00AE7DFE">
      <w:pPr>
        <w:pStyle w:val="Prrafodelista"/>
        <w:rPr>
          <w:rFonts w:cs="Arial"/>
          <w:sz w:val="18"/>
          <w:szCs w:val="18"/>
        </w:rPr>
      </w:pPr>
    </w:p>
    <w:p w14:paraId="621EF4DE" w14:textId="77777777" w:rsidR="00AE7DFE" w:rsidRPr="00AE7DFE" w:rsidRDefault="00AE7DFE" w:rsidP="00AE7DFE">
      <w:pPr>
        <w:spacing w:after="0"/>
        <w:jc w:val="both"/>
        <w:rPr>
          <w:rFonts w:ascii="Arial" w:hAnsi="Arial" w:cs="Arial"/>
          <w:sz w:val="18"/>
          <w:szCs w:val="18"/>
        </w:rPr>
      </w:pPr>
      <w:r w:rsidRPr="00AE7DFE">
        <w:rPr>
          <w:rFonts w:ascii="Arial" w:hAnsi="Arial" w:cs="Arial"/>
          <w:sz w:val="18"/>
          <w:szCs w:val="18"/>
        </w:rPr>
        <w:t>Lo anterior, en la inteligencia que, en cumplimiento a lo previsto por el artículo 137 de la LFTR, este Instituto, en el último trimestre del año que corresponda, publicará las tarifas que hayan resultado de las metodologías de costos emitidas por el Instituto, mismas que estarán vigentes en el año calendario inmediato siguiente.</w:t>
      </w:r>
    </w:p>
    <w:p w14:paraId="07E116F0" w14:textId="77777777" w:rsidR="00AE7DFE" w:rsidRPr="001B525F" w:rsidRDefault="00AE7DFE" w:rsidP="00CC0143">
      <w:pPr>
        <w:spacing w:after="0"/>
        <w:jc w:val="both"/>
        <w:rPr>
          <w:rFonts w:ascii="Arial" w:hAnsi="Arial" w:cs="Arial"/>
          <w:sz w:val="18"/>
          <w:szCs w:val="18"/>
        </w:rPr>
      </w:pPr>
    </w:p>
    <w:p w14:paraId="2B8E8A72" w14:textId="5BB4F0B6" w:rsidR="00350F69" w:rsidRPr="001B525F" w:rsidRDefault="00947D7A" w:rsidP="00CC0143">
      <w:pPr>
        <w:spacing w:after="0"/>
        <w:jc w:val="both"/>
        <w:rPr>
          <w:rFonts w:ascii="Arial" w:hAnsi="Arial" w:cs="Arial"/>
          <w:sz w:val="18"/>
          <w:szCs w:val="18"/>
        </w:rPr>
      </w:pPr>
      <w:r w:rsidRPr="00921C26">
        <w:rPr>
          <w:rFonts w:ascii="Arial" w:hAnsi="Arial" w:cs="Arial"/>
          <w:b/>
          <w:sz w:val="18"/>
          <w:szCs w:val="18"/>
        </w:rPr>
        <w:t xml:space="preserve">Décimo </w:t>
      </w:r>
      <w:r w:rsidR="00520723" w:rsidRPr="00921C26">
        <w:rPr>
          <w:rFonts w:ascii="Arial" w:hAnsi="Arial" w:cs="Arial"/>
          <w:b/>
          <w:sz w:val="18"/>
          <w:szCs w:val="18"/>
        </w:rPr>
        <w:t>Segundo</w:t>
      </w:r>
      <w:r w:rsidR="00350F69" w:rsidRPr="00921C26">
        <w:rPr>
          <w:rFonts w:ascii="Arial" w:hAnsi="Arial" w:cs="Arial"/>
          <w:b/>
          <w:sz w:val="18"/>
          <w:szCs w:val="18"/>
        </w:rPr>
        <w:t>.-</w:t>
      </w:r>
      <w:r w:rsidR="00350F69" w:rsidRPr="00921C26">
        <w:rPr>
          <w:rFonts w:ascii="Arial" w:hAnsi="Arial" w:cs="Arial"/>
          <w:sz w:val="18"/>
          <w:szCs w:val="18"/>
        </w:rPr>
        <w:t xml:space="preserve"> Las tarifas por los Servicios no conmutados de Interconexión, calculadas con base en los costos por los Servicios de Interconexión que se obtienen del Modelo Enlaces Dedicados de Interconexión, el Modelo de Coubicación y el Modelo de Enlaces de Transmisión entre coubicaciones para el año </w:t>
      </w:r>
      <w:r w:rsidR="002B4194" w:rsidRPr="00921C26">
        <w:rPr>
          <w:rFonts w:ascii="Arial" w:hAnsi="Arial" w:cs="Arial"/>
          <w:sz w:val="18"/>
          <w:szCs w:val="18"/>
        </w:rPr>
        <w:t>202</w:t>
      </w:r>
      <w:r w:rsidR="00B02034">
        <w:rPr>
          <w:rFonts w:ascii="Arial" w:hAnsi="Arial" w:cs="Arial"/>
          <w:sz w:val="18"/>
          <w:szCs w:val="18"/>
        </w:rPr>
        <w:t>5</w:t>
      </w:r>
      <w:r w:rsidR="002B4194" w:rsidRPr="00921C26">
        <w:rPr>
          <w:rFonts w:ascii="Arial" w:hAnsi="Arial" w:cs="Arial"/>
          <w:sz w:val="18"/>
          <w:szCs w:val="18"/>
        </w:rPr>
        <w:t xml:space="preserve"> </w:t>
      </w:r>
      <w:r w:rsidR="00350F69" w:rsidRPr="00921C26">
        <w:rPr>
          <w:rFonts w:ascii="Arial" w:hAnsi="Arial" w:cs="Arial"/>
          <w:sz w:val="18"/>
          <w:szCs w:val="18"/>
        </w:rPr>
        <w:t>serán las siguientes:</w:t>
      </w:r>
      <w:r w:rsidR="00350F69" w:rsidRPr="001B525F">
        <w:rPr>
          <w:rFonts w:ascii="Arial" w:hAnsi="Arial" w:cs="Arial"/>
          <w:sz w:val="18"/>
          <w:szCs w:val="18"/>
        </w:rPr>
        <w:t xml:space="preserve"> </w:t>
      </w:r>
    </w:p>
    <w:p w14:paraId="1661FC80" w14:textId="77777777" w:rsidR="00350F69" w:rsidRPr="001B525F" w:rsidRDefault="00350F69" w:rsidP="00CC0143">
      <w:pPr>
        <w:spacing w:after="0"/>
        <w:jc w:val="both"/>
        <w:rPr>
          <w:rFonts w:ascii="Arial" w:hAnsi="Arial" w:cs="Arial"/>
          <w:sz w:val="18"/>
          <w:szCs w:val="18"/>
        </w:rPr>
      </w:pPr>
    </w:p>
    <w:p w14:paraId="4820801C" w14:textId="77777777" w:rsidR="00350F69" w:rsidRPr="001B525F" w:rsidRDefault="00350F69" w:rsidP="00CC0143">
      <w:pPr>
        <w:spacing w:after="0"/>
        <w:contextualSpacing/>
        <w:rPr>
          <w:rFonts w:ascii="Arial" w:hAnsi="Arial" w:cs="Arial"/>
          <w:b/>
          <w:sz w:val="18"/>
          <w:szCs w:val="18"/>
          <w:u w:val="single"/>
        </w:rPr>
      </w:pPr>
      <w:r w:rsidRPr="00D92A44">
        <w:rPr>
          <w:rFonts w:ascii="Arial" w:hAnsi="Arial" w:cs="Arial"/>
          <w:b/>
          <w:sz w:val="18"/>
          <w:szCs w:val="18"/>
          <w:u w:val="single"/>
        </w:rPr>
        <w:t>Tarifas por servicios de coubicación</w:t>
      </w:r>
    </w:p>
    <w:p w14:paraId="21DF8233" w14:textId="77777777" w:rsidR="00350F69" w:rsidRPr="001B525F" w:rsidRDefault="00350F69" w:rsidP="00CC0143">
      <w:pPr>
        <w:spacing w:after="0"/>
        <w:jc w:val="both"/>
        <w:rPr>
          <w:rFonts w:ascii="Arial" w:eastAsia="Times New Roman" w:hAnsi="Arial" w:cs="Arial"/>
          <w:sz w:val="18"/>
          <w:szCs w:val="18"/>
        </w:rPr>
      </w:pPr>
    </w:p>
    <w:p w14:paraId="169291B5" w14:textId="47FCAAED" w:rsidR="00350F69" w:rsidRPr="001B525F"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coubicación de Tipo 1: Área de 9m2 (3x3), de Tipo 2: Área de 4m² (2X2), y de </w:t>
      </w:r>
      <w:r w:rsidRPr="001B525F">
        <w:rPr>
          <w:rFonts w:ascii="Arial" w:hAnsi="Arial" w:cs="Arial"/>
          <w:sz w:val="18"/>
          <w:szCs w:val="18"/>
        </w:rPr>
        <w:t>Tipo 3: Gabinete, de un operador fijo,</w:t>
      </w:r>
      <w:r w:rsidRPr="001B525F">
        <w:rPr>
          <w:rFonts w:ascii="Arial" w:eastAsia="Times New Roman" w:hAnsi="Arial" w:cs="Arial"/>
          <w:sz w:val="18"/>
          <w:szCs w:val="18"/>
        </w:rPr>
        <w:t xml:space="preserve"> del 1 de enero al 31 de diciembre de 202</w:t>
      </w:r>
      <w:r w:rsidR="00016C7C">
        <w:rPr>
          <w:rFonts w:ascii="Arial" w:eastAsia="Times New Roman" w:hAnsi="Arial" w:cs="Arial"/>
          <w:sz w:val="18"/>
          <w:szCs w:val="18"/>
        </w:rPr>
        <w:t>5</w:t>
      </w:r>
      <w:r w:rsidRPr="001B525F">
        <w:rPr>
          <w:rFonts w:ascii="Arial" w:eastAsia="Times New Roman" w:hAnsi="Arial" w:cs="Arial"/>
          <w:sz w:val="18"/>
          <w:szCs w:val="18"/>
        </w:rPr>
        <w:t>, serán las siguientes:</w:t>
      </w:r>
    </w:p>
    <w:p w14:paraId="0FEC828E" w14:textId="77777777" w:rsidR="00350F69" w:rsidRPr="001B525F" w:rsidRDefault="00350F69" w:rsidP="00CC0143">
      <w:pPr>
        <w:spacing w:after="0"/>
        <w:jc w:val="both"/>
        <w:rPr>
          <w:rFonts w:ascii="Arial" w:hAnsi="Arial" w:cs="Arial"/>
          <w:spacing w:val="-4"/>
          <w:sz w:val="18"/>
          <w:szCs w:val="18"/>
        </w:rPr>
      </w:pPr>
    </w:p>
    <w:tbl>
      <w:tblPr>
        <w:tblStyle w:val="Tabladecuadrcula4"/>
        <w:tblW w:w="4422" w:type="pct"/>
        <w:jc w:val="center"/>
        <w:tblLayout w:type="fixed"/>
        <w:tblLook w:val="04A0" w:firstRow="1" w:lastRow="0" w:firstColumn="1" w:lastColumn="0" w:noHBand="0" w:noVBand="1"/>
      </w:tblPr>
      <w:tblGrid>
        <w:gridCol w:w="4603"/>
        <w:gridCol w:w="3705"/>
      </w:tblGrid>
      <w:tr w:rsidR="001B525F" w:rsidRPr="00DE350D" w14:paraId="425AD04E" w14:textId="77777777" w:rsidTr="00A22C50">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7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7F594518" w14:textId="77777777" w:rsidR="00350F69" w:rsidRPr="00DE350D" w:rsidRDefault="00350F69" w:rsidP="001B2640">
            <w:pPr>
              <w:spacing w:after="0"/>
              <w:jc w:val="center"/>
              <w:rPr>
                <w:rFonts w:ascii="Arial" w:eastAsia="Times New Roman" w:hAnsi="Arial" w:cs="Arial"/>
                <w:color w:val="auto"/>
                <w:sz w:val="16"/>
                <w:szCs w:val="18"/>
              </w:rPr>
            </w:pPr>
            <w:r w:rsidRPr="00DE350D">
              <w:rPr>
                <w:rFonts w:ascii="Arial" w:eastAsia="Times New Roman" w:hAnsi="Arial" w:cs="Arial"/>
                <w:color w:val="auto"/>
                <w:sz w:val="16"/>
                <w:szCs w:val="18"/>
              </w:rPr>
              <w:t>Concepto</w:t>
            </w:r>
          </w:p>
        </w:tc>
        <w:tc>
          <w:tcPr>
            <w:tcW w:w="223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EBC9CD0"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Gastos de instalación</w:t>
            </w:r>
          </w:p>
          <w:p w14:paraId="44D88B0A"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(Pesos M.N.)</w:t>
            </w:r>
          </w:p>
        </w:tc>
      </w:tr>
      <w:tr w:rsidR="001B525F" w:rsidRPr="00DE350D" w14:paraId="4B4ED7DD" w14:textId="77777777" w:rsidTr="00A22C5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770" w:type="pct"/>
            <w:tcBorders>
              <w:top w:val="single" w:sz="4" w:space="0" w:color="000000"/>
            </w:tcBorders>
            <w:noWrap/>
          </w:tcPr>
          <w:p w14:paraId="30F619BA" w14:textId="77777777" w:rsidR="00350F69" w:rsidRPr="00DE350D" w:rsidRDefault="00350F69" w:rsidP="00CC0143">
            <w:pPr>
              <w:spacing w:after="0"/>
              <w:jc w:val="both"/>
              <w:rPr>
                <w:rFonts w:ascii="Arial" w:eastAsia="Times New Roman" w:hAnsi="Arial" w:cs="Arial"/>
                <w:sz w:val="16"/>
                <w:szCs w:val="18"/>
              </w:rPr>
            </w:pPr>
            <w:r w:rsidRPr="00DE350D">
              <w:rPr>
                <w:rFonts w:ascii="Arial" w:eastAsia="Times New Roman" w:hAnsi="Arial" w:cs="Arial"/>
                <w:sz w:val="16"/>
                <w:szCs w:val="18"/>
              </w:rPr>
              <w:t>Coubicación de Tipo 1 (3x3)</w:t>
            </w:r>
          </w:p>
        </w:tc>
        <w:tc>
          <w:tcPr>
            <w:tcW w:w="2230" w:type="pct"/>
            <w:tcBorders>
              <w:top w:val="single" w:sz="4" w:space="0" w:color="000000"/>
            </w:tcBorders>
            <w:noWrap/>
          </w:tcPr>
          <w:p w14:paraId="6C45C2CB" w14:textId="17F23939" w:rsidR="00350F69" w:rsidRPr="00074509" w:rsidRDefault="00350F69" w:rsidP="00477A01">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w:t>
            </w:r>
            <w:r w:rsidR="00217938" w:rsidRPr="00074509">
              <w:rPr>
                <w:rFonts w:ascii="Arial" w:eastAsia="Times New Roman" w:hAnsi="Arial" w:cs="Arial"/>
                <w:b/>
                <w:sz w:val="16"/>
                <w:szCs w:val="18"/>
              </w:rPr>
              <w:t>11</w:t>
            </w:r>
            <w:r w:rsidR="00230746" w:rsidRPr="00074509">
              <w:rPr>
                <w:rFonts w:ascii="Arial" w:eastAsia="Times New Roman" w:hAnsi="Arial" w:cs="Arial"/>
                <w:b/>
                <w:sz w:val="16"/>
                <w:szCs w:val="18"/>
              </w:rPr>
              <w:t>9</w:t>
            </w:r>
            <w:r w:rsidR="00217938" w:rsidRPr="00074509">
              <w:rPr>
                <w:rFonts w:ascii="Arial" w:eastAsia="Times New Roman" w:hAnsi="Arial" w:cs="Arial"/>
                <w:b/>
                <w:sz w:val="16"/>
                <w:szCs w:val="18"/>
              </w:rPr>
              <w:t>,</w:t>
            </w:r>
            <w:r w:rsidR="00DA29DF" w:rsidRPr="00074509">
              <w:rPr>
                <w:rFonts w:ascii="Arial" w:eastAsia="Times New Roman" w:hAnsi="Arial" w:cs="Arial"/>
                <w:b/>
                <w:sz w:val="16"/>
                <w:szCs w:val="18"/>
              </w:rPr>
              <w:t>483</w:t>
            </w:r>
            <w:r w:rsidR="00C24BFD" w:rsidRPr="00074509">
              <w:rPr>
                <w:rFonts w:ascii="Arial" w:eastAsia="Times New Roman" w:hAnsi="Arial" w:cs="Arial"/>
                <w:b/>
                <w:sz w:val="16"/>
                <w:szCs w:val="18"/>
              </w:rPr>
              <w:t>.</w:t>
            </w:r>
            <w:r w:rsidR="00DA29DF" w:rsidRPr="00074509">
              <w:rPr>
                <w:rFonts w:ascii="Arial" w:eastAsia="Times New Roman" w:hAnsi="Arial" w:cs="Arial"/>
                <w:b/>
                <w:sz w:val="16"/>
                <w:szCs w:val="18"/>
              </w:rPr>
              <w:t>39</w:t>
            </w:r>
          </w:p>
        </w:tc>
      </w:tr>
      <w:tr w:rsidR="001B525F" w:rsidRPr="00DE350D" w14:paraId="5FE2151D" w14:textId="77777777" w:rsidTr="00A22C50">
        <w:trPr>
          <w:trHeight w:val="262"/>
          <w:jc w:val="center"/>
        </w:trPr>
        <w:tc>
          <w:tcPr>
            <w:cnfStyle w:val="001000000000" w:firstRow="0" w:lastRow="0" w:firstColumn="1" w:lastColumn="0" w:oddVBand="0" w:evenVBand="0" w:oddHBand="0" w:evenHBand="0" w:firstRowFirstColumn="0" w:firstRowLastColumn="0" w:lastRowFirstColumn="0" w:lastRowLastColumn="0"/>
            <w:tcW w:w="2770" w:type="pct"/>
            <w:noWrap/>
          </w:tcPr>
          <w:p w14:paraId="2ABC0557" w14:textId="77777777" w:rsidR="00350F69" w:rsidRPr="00DE350D" w:rsidRDefault="00350F69" w:rsidP="00CC0143">
            <w:pPr>
              <w:spacing w:after="0"/>
              <w:jc w:val="both"/>
              <w:rPr>
                <w:rFonts w:ascii="Arial" w:eastAsia="Times New Roman" w:hAnsi="Arial" w:cs="Arial"/>
                <w:sz w:val="16"/>
                <w:szCs w:val="18"/>
              </w:rPr>
            </w:pPr>
            <w:r w:rsidRPr="00DE350D">
              <w:rPr>
                <w:rFonts w:ascii="Arial" w:eastAsia="Times New Roman" w:hAnsi="Arial" w:cs="Arial"/>
                <w:sz w:val="16"/>
                <w:szCs w:val="18"/>
              </w:rPr>
              <w:t>Coubicación de Tipo 2 (2x2)</w:t>
            </w:r>
          </w:p>
        </w:tc>
        <w:tc>
          <w:tcPr>
            <w:tcW w:w="2230" w:type="pct"/>
            <w:noWrap/>
          </w:tcPr>
          <w:p w14:paraId="0A259C19" w14:textId="55AAFDC2" w:rsidR="00350F69" w:rsidRPr="00074509" w:rsidRDefault="007A6FA0"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$6</w:t>
            </w:r>
            <w:r w:rsidR="00DA29DF" w:rsidRPr="00074509">
              <w:rPr>
                <w:rFonts w:ascii="Arial" w:eastAsia="Times New Roman" w:hAnsi="Arial" w:cs="Arial"/>
                <w:b/>
                <w:sz w:val="16"/>
                <w:szCs w:val="18"/>
              </w:rPr>
              <w:t>7</w:t>
            </w:r>
            <w:r w:rsidRPr="00074509">
              <w:rPr>
                <w:rFonts w:ascii="Arial" w:eastAsia="Times New Roman" w:hAnsi="Arial" w:cs="Arial"/>
                <w:b/>
                <w:sz w:val="16"/>
                <w:szCs w:val="18"/>
              </w:rPr>
              <w:t>,</w:t>
            </w:r>
            <w:r w:rsidR="00DA29DF" w:rsidRPr="00074509">
              <w:rPr>
                <w:rFonts w:ascii="Arial" w:eastAsia="Times New Roman" w:hAnsi="Arial" w:cs="Arial"/>
                <w:b/>
                <w:sz w:val="16"/>
                <w:szCs w:val="18"/>
              </w:rPr>
              <w:t>034</w:t>
            </w:r>
            <w:r w:rsidRPr="00074509">
              <w:rPr>
                <w:rFonts w:ascii="Arial" w:eastAsia="Times New Roman" w:hAnsi="Arial" w:cs="Arial"/>
                <w:b/>
                <w:sz w:val="16"/>
                <w:szCs w:val="18"/>
              </w:rPr>
              <w:t>.</w:t>
            </w:r>
            <w:r w:rsidR="00DA29DF" w:rsidRPr="00074509">
              <w:rPr>
                <w:rFonts w:ascii="Arial" w:eastAsia="Times New Roman" w:hAnsi="Arial" w:cs="Arial"/>
                <w:b/>
                <w:sz w:val="16"/>
                <w:szCs w:val="18"/>
              </w:rPr>
              <w:t>03</w:t>
            </w:r>
          </w:p>
        </w:tc>
      </w:tr>
      <w:tr w:rsidR="001B525F" w:rsidRPr="00DE350D" w14:paraId="21C512EC" w14:textId="77777777" w:rsidTr="00A22C5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770" w:type="pct"/>
            <w:noWrap/>
          </w:tcPr>
          <w:p w14:paraId="7F50F5EA" w14:textId="77777777" w:rsidR="00350F69" w:rsidRPr="00DE350D" w:rsidRDefault="00350F69" w:rsidP="00CC0143">
            <w:pPr>
              <w:spacing w:after="0"/>
              <w:jc w:val="both"/>
              <w:rPr>
                <w:rFonts w:ascii="Arial" w:eastAsia="Times New Roman" w:hAnsi="Arial" w:cs="Arial"/>
                <w:sz w:val="16"/>
                <w:szCs w:val="18"/>
              </w:rPr>
            </w:pPr>
            <w:r w:rsidRPr="00DE350D">
              <w:rPr>
                <w:rFonts w:ascii="Arial" w:eastAsia="Times New Roman" w:hAnsi="Arial" w:cs="Arial"/>
                <w:sz w:val="16"/>
                <w:szCs w:val="18"/>
              </w:rPr>
              <w:t>Coubicación de Tipo 3 (Gabinete)</w:t>
            </w:r>
          </w:p>
        </w:tc>
        <w:tc>
          <w:tcPr>
            <w:tcW w:w="2230" w:type="pct"/>
            <w:noWrap/>
          </w:tcPr>
          <w:p w14:paraId="5FF6FFED" w14:textId="59718758" w:rsidR="00350F69" w:rsidRPr="00074509"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w:t>
            </w:r>
            <w:r w:rsidR="00DB02BE" w:rsidRPr="00074509">
              <w:rPr>
                <w:rFonts w:ascii="Arial" w:eastAsia="Times New Roman" w:hAnsi="Arial" w:cs="Arial"/>
                <w:b/>
                <w:sz w:val="16"/>
                <w:szCs w:val="18"/>
              </w:rPr>
              <w:t>2</w:t>
            </w:r>
            <w:r w:rsidR="00DA29DF" w:rsidRPr="00074509">
              <w:rPr>
                <w:rFonts w:ascii="Arial" w:eastAsia="Times New Roman" w:hAnsi="Arial" w:cs="Arial"/>
                <w:b/>
                <w:sz w:val="16"/>
                <w:szCs w:val="18"/>
              </w:rPr>
              <w:t>9</w:t>
            </w:r>
            <w:r w:rsidR="00217938" w:rsidRPr="00074509">
              <w:rPr>
                <w:rFonts w:ascii="Arial" w:eastAsia="Times New Roman" w:hAnsi="Arial" w:cs="Arial"/>
                <w:b/>
                <w:sz w:val="16"/>
                <w:szCs w:val="18"/>
              </w:rPr>
              <w:t>,</w:t>
            </w:r>
            <w:r w:rsidR="00DA29DF" w:rsidRPr="00074509">
              <w:rPr>
                <w:rFonts w:ascii="Arial" w:eastAsia="Times New Roman" w:hAnsi="Arial" w:cs="Arial"/>
                <w:b/>
                <w:sz w:val="16"/>
                <w:szCs w:val="18"/>
              </w:rPr>
              <w:t>542</w:t>
            </w:r>
            <w:r w:rsidR="00C24BFD" w:rsidRPr="00074509">
              <w:rPr>
                <w:rFonts w:ascii="Arial" w:eastAsia="Times New Roman" w:hAnsi="Arial" w:cs="Arial"/>
                <w:b/>
                <w:sz w:val="16"/>
                <w:szCs w:val="18"/>
              </w:rPr>
              <w:t>.</w:t>
            </w:r>
            <w:r w:rsidR="00DA29DF" w:rsidRPr="00074509">
              <w:rPr>
                <w:rFonts w:ascii="Arial" w:eastAsia="Times New Roman" w:hAnsi="Arial" w:cs="Arial"/>
                <w:b/>
                <w:sz w:val="16"/>
                <w:szCs w:val="18"/>
              </w:rPr>
              <w:t>00</w:t>
            </w:r>
          </w:p>
        </w:tc>
      </w:tr>
      <w:tr w:rsidR="001B525F" w:rsidRPr="00DE350D" w14:paraId="051CF0F5" w14:textId="77777777" w:rsidTr="00477A01">
        <w:trPr>
          <w:trHeight w:val="262"/>
          <w:jc w:val="center"/>
        </w:trPr>
        <w:tc>
          <w:tcPr>
            <w:cnfStyle w:val="001000000000" w:firstRow="0" w:lastRow="0" w:firstColumn="1" w:lastColumn="0" w:oddVBand="0" w:evenVBand="0" w:oddHBand="0" w:evenHBand="0" w:firstRowFirstColumn="0" w:firstRowLastColumn="0" w:lastRowFirstColumn="0" w:lastRowLastColumn="0"/>
            <w:tcW w:w="2770" w:type="pct"/>
            <w:noWrap/>
          </w:tcPr>
          <w:p w14:paraId="2073A9D3" w14:textId="77777777" w:rsidR="00350F69" w:rsidRPr="00DE350D" w:rsidRDefault="00350F69" w:rsidP="00CC0143">
            <w:pPr>
              <w:spacing w:after="0"/>
              <w:jc w:val="both"/>
              <w:rPr>
                <w:rFonts w:ascii="Arial" w:eastAsia="Times New Roman" w:hAnsi="Arial" w:cs="Arial"/>
                <w:sz w:val="16"/>
                <w:szCs w:val="18"/>
              </w:rPr>
            </w:pPr>
            <w:r w:rsidRPr="00DE350D">
              <w:rPr>
                <w:rFonts w:ascii="Arial" w:eastAsia="Times New Roman" w:hAnsi="Arial" w:cs="Arial"/>
                <w:sz w:val="16"/>
                <w:szCs w:val="18"/>
              </w:rPr>
              <w:t>Coubicación externa de Tipo 3 (Gabinete)</w:t>
            </w:r>
          </w:p>
        </w:tc>
        <w:tc>
          <w:tcPr>
            <w:tcW w:w="2230" w:type="pct"/>
            <w:shd w:val="clear" w:color="auto" w:fill="auto"/>
            <w:noWrap/>
          </w:tcPr>
          <w:p w14:paraId="1046BF13" w14:textId="641C3FA1" w:rsidR="00350F69" w:rsidRPr="00074509"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$2</w:t>
            </w:r>
            <w:r w:rsidR="00DB02BE" w:rsidRPr="00074509">
              <w:rPr>
                <w:rFonts w:ascii="Arial" w:eastAsia="Times New Roman" w:hAnsi="Arial" w:cs="Arial"/>
                <w:b/>
                <w:sz w:val="16"/>
                <w:szCs w:val="18"/>
              </w:rPr>
              <w:t>1</w:t>
            </w:r>
            <w:r w:rsidR="00B65FAA" w:rsidRPr="00074509">
              <w:rPr>
                <w:rFonts w:ascii="Arial" w:eastAsia="Times New Roman" w:hAnsi="Arial" w:cs="Arial"/>
                <w:b/>
                <w:sz w:val="16"/>
                <w:szCs w:val="18"/>
              </w:rPr>
              <w:t>8</w:t>
            </w:r>
            <w:r w:rsidR="00217938" w:rsidRPr="00074509">
              <w:rPr>
                <w:rFonts w:ascii="Arial" w:eastAsia="Times New Roman" w:hAnsi="Arial" w:cs="Arial"/>
                <w:b/>
                <w:sz w:val="16"/>
                <w:szCs w:val="18"/>
              </w:rPr>
              <w:t>,</w:t>
            </w:r>
            <w:r w:rsidR="00B65FAA" w:rsidRPr="00074509">
              <w:rPr>
                <w:rFonts w:ascii="Arial" w:eastAsia="Times New Roman" w:hAnsi="Arial" w:cs="Arial"/>
                <w:b/>
                <w:sz w:val="16"/>
                <w:szCs w:val="18"/>
              </w:rPr>
              <w:t>426</w:t>
            </w:r>
            <w:r w:rsidR="00C24BFD" w:rsidRPr="00074509">
              <w:rPr>
                <w:rFonts w:ascii="Arial" w:eastAsia="Times New Roman" w:hAnsi="Arial" w:cs="Arial"/>
                <w:b/>
                <w:sz w:val="16"/>
                <w:szCs w:val="18"/>
              </w:rPr>
              <w:t>.</w:t>
            </w:r>
            <w:r w:rsidR="00B65FAA" w:rsidRPr="00074509">
              <w:rPr>
                <w:rFonts w:ascii="Arial" w:eastAsia="Times New Roman" w:hAnsi="Arial" w:cs="Arial"/>
                <w:b/>
                <w:sz w:val="16"/>
                <w:szCs w:val="18"/>
              </w:rPr>
              <w:t>57</w:t>
            </w:r>
            <w:r w:rsidRPr="00074509">
              <w:rPr>
                <w:rFonts w:ascii="Arial" w:eastAsia="Times New Roman" w:hAnsi="Arial" w:cs="Arial"/>
                <w:b/>
                <w:sz w:val="16"/>
                <w:szCs w:val="18"/>
              </w:rPr>
              <w:t xml:space="preserve"> </w:t>
            </w:r>
          </w:p>
        </w:tc>
      </w:tr>
    </w:tbl>
    <w:p w14:paraId="42548B32" w14:textId="77777777" w:rsidR="00350F69" w:rsidRPr="001B525F" w:rsidRDefault="00350F69" w:rsidP="00CC0143">
      <w:pPr>
        <w:spacing w:after="0"/>
        <w:jc w:val="both"/>
        <w:rPr>
          <w:rFonts w:ascii="Arial" w:eastAsia="Times New Roman" w:hAnsi="Arial" w:cs="Arial"/>
          <w:sz w:val="18"/>
          <w:szCs w:val="18"/>
        </w:rPr>
      </w:pPr>
    </w:p>
    <w:p w14:paraId="406CCCBD" w14:textId="40EB3824" w:rsidR="00350F69"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éstas: </w:t>
      </w:r>
    </w:p>
    <w:p w14:paraId="1AD58FE0" w14:textId="0DFD5334" w:rsidR="00EC16B0" w:rsidRDefault="00EC16B0" w:rsidP="00CC0143">
      <w:pPr>
        <w:spacing w:after="0"/>
        <w:jc w:val="both"/>
        <w:rPr>
          <w:rFonts w:ascii="Arial" w:eastAsia="Times New Roman" w:hAnsi="Arial" w:cs="Arial"/>
          <w:sz w:val="18"/>
          <w:szCs w:val="18"/>
        </w:rPr>
      </w:pPr>
    </w:p>
    <w:tbl>
      <w:tblPr>
        <w:tblStyle w:val="Tabladecuadrcula4"/>
        <w:tblW w:w="4443" w:type="pct"/>
        <w:jc w:val="center"/>
        <w:tblLayout w:type="fixed"/>
        <w:tblLook w:val="04A0" w:firstRow="1" w:lastRow="0" w:firstColumn="1" w:lastColumn="0" w:noHBand="0" w:noVBand="1"/>
      </w:tblPr>
      <w:tblGrid>
        <w:gridCol w:w="4609"/>
        <w:gridCol w:w="1246"/>
        <w:gridCol w:w="1246"/>
        <w:gridCol w:w="1247"/>
      </w:tblGrid>
      <w:tr w:rsidR="00204DFD" w:rsidRPr="00A22C50" w14:paraId="703DFBF6" w14:textId="77777777" w:rsidTr="00161CD8">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76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28F744C1" w14:textId="77777777" w:rsidR="00350F69" w:rsidRPr="00A22C50" w:rsidRDefault="00350F69" w:rsidP="00CC0143">
            <w:pPr>
              <w:spacing w:after="0"/>
              <w:jc w:val="center"/>
              <w:rPr>
                <w:rFonts w:ascii="Arial" w:eastAsia="Times New Roman" w:hAnsi="Arial" w:cs="Arial"/>
                <w:color w:val="auto"/>
                <w:sz w:val="16"/>
                <w:szCs w:val="18"/>
              </w:rPr>
            </w:pPr>
          </w:p>
        </w:tc>
        <w:tc>
          <w:tcPr>
            <w:tcW w:w="2239"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1156EA4" w14:textId="2A0DE73B"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Contraprestación Mensual</w:t>
            </w:r>
          </w:p>
          <w:p w14:paraId="1E424AD8"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(Pesos M.N.)</w:t>
            </w:r>
          </w:p>
        </w:tc>
      </w:tr>
      <w:tr w:rsidR="001B525F" w:rsidRPr="00A22C50" w14:paraId="375674E5" w14:textId="77777777" w:rsidTr="00161CD8">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2761" w:type="pct"/>
            <w:tcBorders>
              <w:top w:val="single" w:sz="4" w:space="0" w:color="000000"/>
            </w:tcBorders>
            <w:noWrap/>
          </w:tcPr>
          <w:p w14:paraId="14F7EEC0" w14:textId="77777777" w:rsidR="00350F69" w:rsidRPr="00A22C50" w:rsidRDefault="00350F69" w:rsidP="00CC0143">
            <w:pPr>
              <w:spacing w:after="0"/>
              <w:jc w:val="center"/>
              <w:rPr>
                <w:rFonts w:ascii="Arial" w:eastAsia="Times New Roman" w:hAnsi="Arial" w:cs="Arial"/>
                <w:sz w:val="16"/>
                <w:szCs w:val="18"/>
              </w:rPr>
            </w:pPr>
          </w:p>
        </w:tc>
        <w:tc>
          <w:tcPr>
            <w:tcW w:w="2239" w:type="pct"/>
            <w:gridSpan w:val="3"/>
            <w:tcBorders>
              <w:top w:val="single" w:sz="4" w:space="0" w:color="000000"/>
            </w:tcBorders>
          </w:tcPr>
          <w:p w14:paraId="068F0243" w14:textId="77777777" w:rsidR="00350F69" w:rsidRPr="00074509"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Región de costo</w:t>
            </w:r>
          </w:p>
        </w:tc>
      </w:tr>
      <w:tr w:rsidR="001B525F" w:rsidRPr="00A22C50" w14:paraId="11E02C25" w14:textId="77777777" w:rsidTr="00161CD8">
        <w:trPr>
          <w:trHeight w:val="327"/>
          <w:jc w:val="center"/>
        </w:trPr>
        <w:tc>
          <w:tcPr>
            <w:cnfStyle w:val="001000000000" w:firstRow="0" w:lastRow="0" w:firstColumn="1" w:lastColumn="0" w:oddVBand="0" w:evenVBand="0" w:oddHBand="0" w:evenHBand="0" w:firstRowFirstColumn="0" w:firstRowLastColumn="0" w:lastRowFirstColumn="0" w:lastRowLastColumn="0"/>
            <w:tcW w:w="2761" w:type="pct"/>
            <w:noWrap/>
            <w:hideMark/>
          </w:tcPr>
          <w:p w14:paraId="0ACF43A5" w14:textId="77777777" w:rsidR="00350F69" w:rsidRPr="00A22C50" w:rsidRDefault="00350F69" w:rsidP="00CC0143">
            <w:pPr>
              <w:spacing w:after="0"/>
              <w:jc w:val="center"/>
              <w:rPr>
                <w:rFonts w:ascii="Arial" w:eastAsia="Times New Roman" w:hAnsi="Arial" w:cs="Arial"/>
                <w:sz w:val="16"/>
                <w:szCs w:val="18"/>
              </w:rPr>
            </w:pPr>
            <w:r w:rsidRPr="00A22C50">
              <w:rPr>
                <w:rFonts w:ascii="Arial" w:eastAsia="Times New Roman" w:hAnsi="Arial" w:cs="Arial"/>
                <w:sz w:val="16"/>
                <w:szCs w:val="18"/>
              </w:rPr>
              <w:t>Concepto</w:t>
            </w:r>
          </w:p>
        </w:tc>
        <w:tc>
          <w:tcPr>
            <w:tcW w:w="746" w:type="pct"/>
            <w:hideMark/>
          </w:tcPr>
          <w:p w14:paraId="4C62CB3C" w14:textId="77777777" w:rsidR="00350F69" w:rsidRPr="00074509"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Alto</w:t>
            </w:r>
          </w:p>
        </w:tc>
        <w:tc>
          <w:tcPr>
            <w:tcW w:w="746" w:type="pct"/>
          </w:tcPr>
          <w:p w14:paraId="051BA2C7" w14:textId="77777777" w:rsidR="00350F69" w:rsidRPr="00074509"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Medio</w:t>
            </w:r>
          </w:p>
        </w:tc>
        <w:tc>
          <w:tcPr>
            <w:tcW w:w="746" w:type="pct"/>
          </w:tcPr>
          <w:p w14:paraId="104067F0" w14:textId="77777777" w:rsidR="00350F69" w:rsidRPr="00074509"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Bajo</w:t>
            </w:r>
          </w:p>
        </w:tc>
      </w:tr>
      <w:tr w:rsidR="001B525F" w:rsidRPr="00A22C50" w14:paraId="351B4365" w14:textId="77777777" w:rsidTr="00161CD8">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761" w:type="pct"/>
            <w:noWrap/>
          </w:tcPr>
          <w:p w14:paraId="600A45A1" w14:textId="77777777" w:rsidR="00350F69" w:rsidRPr="00A22C50" w:rsidRDefault="00350F69" w:rsidP="00CC0143">
            <w:pPr>
              <w:spacing w:after="0"/>
              <w:jc w:val="both"/>
              <w:rPr>
                <w:rFonts w:ascii="Arial" w:eastAsia="Times New Roman" w:hAnsi="Arial" w:cs="Arial"/>
                <w:sz w:val="16"/>
                <w:szCs w:val="18"/>
              </w:rPr>
            </w:pPr>
            <w:r w:rsidRPr="00A22C50">
              <w:rPr>
                <w:rFonts w:ascii="Arial" w:eastAsia="Times New Roman" w:hAnsi="Arial" w:cs="Arial"/>
                <w:sz w:val="16"/>
                <w:szCs w:val="18"/>
              </w:rPr>
              <w:t>Coubicación de Tipo 1 (3x3) por metro cuadrado</w:t>
            </w:r>
          </w:p>
        </w:tc>
        <w:tc>
          <w:tcPr>
            <w:tcW w:w="746" w:type="pct"/>
            <w:noWrap/>
          </w:tcPr>
          <w:p w14:paraId="051E288E" w14:textId="48A0F194" w:rsidR="00350F69" w:rsidRPr="00074509" w:rsidRDefault="00161CD8"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w:t>
            </w:r>
            <w:r w:rsidR="00350F69" w:rsidRPr="00074509">
              <w:rPr>
                <w:rFonts w:ascii="Arial" w:eastAsia="Times New Roman" w:hAnsi="Arial" w:cs="Arial"/>
                <w:b/>
                <w:sz w:val="16"/>
                <w:szCs w:val="18"/>
              </w:rPr>
              <w:t>1,</w:t>
            </w:r>
            <w:r w:rsidRPr="00074509">
              <w:rPr>
                <w:rFonts w:ascii="Arial" w:eastAsia="Times New Roman" w:hAnsi="Arial" w:cs="Arial"/>
                <w:b/>
                <w:sz w:val="16"/>
                <w:szCs w:val="18"/>
              </w:rPr>
              <w:t>2</w:t>
            </w:r>
            <w:r w:rsidR="00B65FAA" w:rsidRPr="00074509">
              <w:rPr>
                <w:rFonts w:ascii="Arial" w:eastAsia="Times New Roman" w:hAnsi="Arial" w:cs="Arial"/>
                <w:b/>
                <w:sz w:val="16"/>
                <w:szCs w:val="18"/>
              </w:rPr>
              <w:t>3</w:t>
            </w:r>
            <w:r w:rsidR="00417491" w:rsidRPr="00074509">
              <w:rPr>
                <w:rFonts w:ascii="Arial" w:eastAsia="Times New Roman" w:hAnsi="Arial" w:cs="Arial"/>
                <w:b/>
                <w:sz w:val="16"/>
                <w:szCs w:val="18"/>
              </w:rPr>
              <w:t>1</w:t>
            </w:r>
            <w:r w:rsidRPr="00074509">
              <w:rPr>
                <w:rFonts w:ascii="Arial" w:eastAsia="Times New Roman" w:hAnsi="Arial" w:cs="Arial"/>
                <w:b/>
                <w:sz w:val="16"/>
                <w:szCs w:val="18"/>
              </w:rPr>
              <w:t>.</w:t>
            </w:r>
            <w:r w:rsidR="006460DC" w:rsidRPr="00074509">
              <w:rPr>
                <w:rFonts w:ascii="Arial" w:eastAsia="Times New Roman" w:hAnsi="Arial" w:cs="Arial"/>
                <w:b/>
                <w:sz w:val="16"/>
                <w:szCs w:val="18"/>
              </w:rPr>
              <w:t>93</w:t>
            </w:r>
            <w:r w:rsidR="00350F69" w:rsidRPr="00074509">
              <w:rPr>
                <w:rFonts w:ascii="Arial" w:eastAsia="Times New Roman" w:hAnsi="Arial" w:cs="Arial"/>
                <w:b/>
                <w:sz w:val="16"/>
                <w:szCs w:val="18"/>
              </w:rPr>
              <w:t xml:space="preserve"> </w:t>
            </w:r>
          </w:p>
        </w:tc>
        <w:tc>
          <w:tcPr>
            <w:tcW w:w="746" w:type="pct"/>
          </w:tcPr>
          <w:p w14:paraId="710674BF" w14:textId="307DDEE5" w:rsidR="00350F69" w:rsidRPr="00074509" w:rsidRDefault="00161CD8"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$1,1</w:t>
            </w:r>
            <w:r w:rsidR="00F937BE" w:rsidRPr="00074509">
              <w:rPr>
                <w:rFonts w:ascii="Arial" w:eastAsia="Times New Roman" w:hAnsi="Arial" w:cs="Arial"/>
                <w:b/>
                <w:sz w:val="16"/>
                <w:szCs w:val="18"/>
              </w:rPr>
              <w:t>6</w:t>
            </w:r>
            <w:r w:rsidR="006101BE" w:rsidRPr="00074509">
              <w:rPr>
                <w:rFonts w:ascii="Arial" w:eastAsia="Times New Roman" w:hAnsi="Arial" w:cs="Arial"/>
                <w:b/>
                <w:sz w:val="16"/>
                <w:szCs w:val="18"/>
              </w:rPr>
              <w:t>0</w:t>
            </w:r>
            <w:r w:rsidRPr="00074509">
              <w:rPr>
                <w:rFonts w:ascii="Arial" w:eastAsia="Times New Roman" w:hAnsi="Arial" w:cs="Arial"/>
                <w:b/>
                <w:sz w:val="16"/>
                <w:szCs w:val="18"/>
              </w:rPr>
              <w:t>.</w:t>
            </w:r>
            <w:r w:rsidR="006101BE" w:rsidRPr="00074509">
              <w:rPr>
                <w:rFonts w:ascii="Arial" w:eastAsia="Times New Roman" w:hAnsi="Arial" w:cs="Arial"/>
                <w:b/>
                <w:sz w:val="16"/>
                <w:szCs w:val="18"/>
              </w:rPr>
              <w:t>58</w:t>
            </w:r>
            <w:r w:rsidR="00350F69" w:rsidRPr="00074509">
              <w:rPr>
                <w:rFonts w:ascii="Arial" w:eastAsia="Times New Roman" w:hAnsi="Arial" w:cs="Arial"/>
                <w:b/>
                <w:sz w:val="16"/>
                <w:szCs w:val="18"/>
              </w:rPr>
              <w:t xml:space="preserve"> </w:t>
            </w:r>
          </w:p>
        </w:tc>
        <w:tc>
          <w:tcPr>
            <w:tcW w:w="746" w:type="pct"/>
          </w:tcPr>
          <w:p w14:paraId="1FB9C730" w14:textId="6AFD97EB" w:rsidR="00350F69" w:rsidRPr="00074509" w:rsidRDefault="00161CD8" w:rsidP="000E406C">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$1,1</w:t>
            </w:r>
            <w:r w:rsidR="00F937BE" w:rsidRPr="00074509">
              <w:rPr>
                <w:rFonts w:ascii="Arial" w:eastAsia="Times New Roman" w:hAnsi="Arial" w:cs="Arial"/>
                <w:b/>
                <w:sz w:val="16"/>
                <w:szCs w:val="18"/>
              </w:rPr>
              <w:t>4</w:t>
            </w:r>
            <w:r w:rsidR="00BE72A2" w:rsidRPr="00074509">
              <w:rPr>
                <w:rFonts w:ascii="Arial" w:eastAsia="Times New Roman" w:hAnsi="Arial" w:cs="Arial"/>
                <w:b/>
                <w:sz w:val="16"/>
                <w:szCs w:val="18"/>
              </w:rPr>
              <w:t>2.69</w:t>
            </w:r>
          </w:p>
        </w:tc>
      </w:tr>
      <w:tr w:rsidR="00161CD8" w:rsidRPr="00A22C50" w14:paraId="6FE86625" w14:textId="77777777" w:rsidTr="00161CD8">
        <w:trPr>
          <w:trHeight w:val="243"/>
          <w:jc w:val="center"/>
        </w:trPr>
        <w:tc>
          <w:tcPr>
            <w:cnfStyle w:val="001000000000" w:firstRow="0" w:lastRow="0" w:firstColumn="1" w:lastColumn="0" w:oddVBand="0" w:evenVBand="0" w:oddHBand="0" w:evenHBand="0" w:firstRowFirstColumn="0" w:firstRowLastColumn="0" w:lastRowFirstColumn="0" w:lastRowLastColumn="0"/>
            <w:tcW w:w="2761" w:type="pct"/>
            <w:noWrap/>
          </w:tcPr>
          <w:p w14:paraId="71F5540D" w14:textId="77777777" w:rsidR="00161CD8" w:rsidRPr="00A22C50" w:rsidRDefault="00161CD8" w:rsidP="00161CD8">
            <w:pPr>
              <w:spacing w:after="0"/>
              <w:jc w:val="both"/>
              <w:rPr>
                <w:rFonts w:ascii="Arial" w:eastAsia="Times New Roman" w:hAnsi="Arial" w:cs="Arial"/>
                <w:sz w:val="16"/>
                <w:szCs w:val="18"/>
              </w:rPr>
            </w:pPr>
            <w:r w:rsidRPr="00A22C50">
              <w:rPr>
                <w:rFonts w:ascii="Arial" w:eastAsia="Times New Roman" w:hAnsi="Arial" w:cs="Arial"/>
                <w:sz w:val="16"/>
                <w:szCs w:val="18"/>
              </w:rPr>
              <w:t>Coubicación de Tipo 2 (2x2) por metro cuadrado</w:t>
            </w:r>
          </w:p>
        </w:tc>
        <w:tc>
          <w:tcPr>
            <w:tcW w:w="746" w:type="pct"/>
            <w:noWrap/>
          </w:tcPr>
          <w:p w14:paraId="6BA6792C" w14:textId="27B1F470" w:rsidR="00161CD8" w:rsidRPr="00074509" w:rsidRDefault="00161CD8" w:rsidP="00161CD8">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$1,2</w:t>
            </w:r>
            <w:r w:rsidR="00F937BE" w:rsidRPr="00074509">
              <w:rPr>
                <w:rFonts w:ascii="Arial" w:eastAsia="Times New Roman" w:hAnsi="Arial" w:cs="Arial"/>
                <w:b/>
                <w:sz w:val="16"/>
                <w:szCs w:val="18"/>
              </w:rPr>
              <w:t>3</w:t>
            </w:r>
            <w:r w:rsidR="006460DC" w:rsidRPr="00074509">
              <w:rPr>
                <w:rFonts w:ascii="Arial" w:eastAsia="Times New Roman" w:hAnsi="Arial" w:cs="Arial"/>
                <w:b/>
                <w:sz w:val="16"/>
                <w:szCs w:val="18"/>
              </w:rPr>
              <w:t>1</w:t>
            </w:r>
            <w:r w:rsidRPr="00074509">
              <w:rPr>
                <w:rFonts w:ascii="Arial" w:eastAsia="Times New Roman" w:hAnsi="Arial" w:cs="Arial"/>
                <w:b/>
                <w:sz w:val="16"/>
                <w:szCs w:val="18"/>
              </w:rPr>
              <w:t>.</w:t>
            </w:r>
            <w:r w:rsidR="00F937BE" w:rsidRPr="00074509">
              <w:rPr>
                <w:rFonts w:ascii="Arial" w:eastAsia="Times New Roman" w:hAnsi="Arial" w:cs="Arial"/>
                <w:b/>
                <w:sz w:val="16"/>
                <w:szCs w:val="18"/>
              </w:rPr>
              <w:t>9</w:t>
            </w:r>
            <w:r w:rsidR="006460DC" w:rsidRPr="00074509">
              <w:rPr>
                <w:rFonts w:ascii="Arial" w:eastAsia="Times New Roman" w:hAnsi="Arial" w:cs="Arial"/>
                <w:b/>
                <w:sz w:val="16"/>
                <w:szCs w:val="18"/>
              </w:rPr>
              <w:t>3</w:t>
            </w:r>
            <w:r w:rsidRPr="00074509">
              <w:rPr>
                <w:rFonts w:ascii="Arial" w:eastAsia="Times New Roman" w:hAnsi="Arial" w:cs="Arial"/>
                <w:b/>
                <w:sz w:val="16"/>
                <w:szCs w:val="18"/>
              </w:rPr>
              <w:t xml:space="preserve"> </w:t>
            </w:r>
          </w:p>
        </w:tc>
        <w:tc>
          <w:tcPr>
            <w:tcW w:w="746" w:type="pct"/>
          </w:tcPr>
          <w:p w14:paraId="6C836FF6" w14:textId="0B02B05F" w:rsidR="00161CD8" w:rsidRPr="00074509" w:rsidRDefault="00161CD8" w:rsidP="00161CD8">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$1,1</w:t>
            </w:r>
            <w:r w:rsidR="00F937BE" w:rsidRPr="00074509">
              <w:rPr>
                <w:rFonts w:ascii="Arial" w:eastAsia="Times New Roman" w:hAnsi="Arial" w:cs="Arial"/>
                <w:b/>
                <w:sz w:val="16"/>
                <w:szCs w:val="18"/>
              </w:rPr>
              <w:t>6</w:t>
            </w:r>
            <w:r w:rsidR="006101BE" w:rsidRPr="00074509">
              <w:rPr>
                <w:rFonts w:ascii="Arial" w:eastAsia="Times New Roman" w:hAnsi="Arial" w:cs="Arial"/>
                <w:b/>
                <w:sz w:val="16"/>
                <w:szCs w:val="18"/>
              </w:rPr>
              <w:t>0</w:t>
            </w:r>
            <w:r w:rsidRPr="00074509">
              <w:rPr>
                <w:rFonts w:ascii="Arial" w:eastAsia="Times New Roman" w:hAnsi="Arial" w:cs="Arial"/>
                <w:b/>
                <w:sz w:val="16"/>
                <w:szCs w:val="18"/>
              </w:rPr>
              <w:t>.</w:t>
            </w:r>
            <w:r w:rsidR="006101BE" w:rsidRPr="00074509">
              <w:rPr>
                <w:rFonts w:ascii="Arial" w:eastAsia="Times New Roman" w:hAnsi="Arial" w:cs="Arial"/>
                <w:b/>
                <w:sz w:val="16"/>
                <w:szCs w:val="18"/>
              </w:rPr>
              <w:t>58</w:t>
            </w:r>
            <w:r w:rsidRPr="00074509">
              <w:rPr>
                <w:rFonts w:ascii="Arial" w:eastAsia="Times New Roman" w:hAnsi="Arial" w:cs="Arial"/>
                <w:b/>
                <w:sz w:val="16"/>
                <w:szCs w:val="18"/>
              </w:rPr>
              <w:t xml:space="preserve"> </w:t>
            </w:r>
          </w:p>
        </w:tc>
        <w:tc>
          <w:tcPr>
            <w:tcW w:w="746" w:type="pct"/>
          </w:tcPr>
          <w:p w14:paraId="096B2EA0" w14:textId="0340BDB8" w:rsidR="00161CD8" w:rsidRPr="00074509" w:rsidRDefault="00161CD8" w:rsidP="00161CD8">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$1,1</w:t>
            </w:r>
            <w:r w:rsidR="00F937BE" w:rsidRPr="00074509">
              <w:rPr>
                <w:rFonts w:ascii="Arial" w:eastAsia="Times New Roman" w:hAnsi="Arial" w:cs="Arial"/>
                <w:b/>
                <w:sz w:val="16"/>
                <w:szCs w:val="18"/>
              </w:rPr>
              <w:t>4</w:t>
            </w:r>
            <w:r w:rsidR="00BE72A2" w:rsidRPr="00074509">
              <w:rPr>
                <w:rFonts w:ascii="Arial" w:eastAsia="Times New Roman" w:hAnsi="Arial" w:cs="Arial"/>
                <w:b/>
                <w:sz w:val="16"/>
                <w:szCs w:val="18"/>
              </w:rPr>
              <w:t>2.69</w:t>
            </w:r>
            <w:r w:rsidRPr="00074509">
              <w:rPr>
                <w:rFonts w:ascii="Arial" w:eastAsia="Times New Roman" w:hAnsi="Arial" w:cs="Arial"/>
                <w:b/>
                <w:sz w:val="16"/>
                <w:szCs w:val="18"/>
              </w:rPr>
              <w:t xml:space="preserve"> </w:t>
            </w:r>
          </w:p>
        </w:tc>
      </w:tr>
      <w:tr w:rsidR="001B525F" w:rsidRPr="00A22C50" w14:paraId="0AE62566" w14:textId="77777777" w:rsidTr="00161CD8">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761" w:type="pct"/>
            <w:noWrap/>
          </w:tcPr>
          <w:p w14:paraId="41A39838" w14:textId="77777777" w:rsidR="00350F69" w:rsidRPr="00A22C50" w:rsidRDefault="00350F69" w:rsidP="00CC0143">
            <w:pPr>
              <w:spacing w:after="0"/>
              <w:rPr>
                <w:rFonts w:ascii="Arial" w:eastAsia="Times New Roman" w:hAnsi="Arial" w:cs="Arial"/>
                <w:sz w:val="16"/>
                <w:szCs w:val="18"/>
              </w:rPr>
            </w:pPr>
            <w:r w:rsidRPr="00A22C50">
              <w:rPr>
                <w:rFonts w:ascii="Arial" w:eastAsia="Times New Roman" w:hAnsi="Arial" w:cs="Arial"/>
                <w:sz w:val="16"/>
                <w:szCs w:val="18"/>
              </w:rPr>
              <w:t>Coubicación de Tipo 3 (Gabinete)</w:t>
            </w:r>
          </w:p>
        </w:tc>
        <w:tc>
          <w:tcPr>
            <w:tcW w:w="746" w:type="pct"/>
            <w:noWrap/>
          </w:tcPr>
          <w:p w14:paraId="3C138312" w14:textId="745CC6FF" w:rsidR="00350F69" w:rsidRPr="00074509" w:rsidRDefault="007A6FA0" w:rsidP="000E406C">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$3,</w:t>
            </w:r>
            <w:r w:rsidR="00F937BE" w:rsidRPr="00074509">
              <w:rPr>
                <w:rFonts w:ascii="Arial" w:eastAsia="Times New Roman" w:hAnsi="Arial" w:cs="Arial"/>
                <w:b/>
                <w:sz w:val="16"/>
                <w:szCs w:val="18"/>
              </w:rPr>
              <w:t>1</w:t>
            </w:r>
            <w:r w:rsidR="006460DC" w:rsidRPr="00074509">
              <w:rPr>
                <w:rFonts w:ascii="Arial" w:eastAsia="Times New Roman" w:hAnsi="Arial" w:cs="Arial"/>
                <w:b/>
                <w:sz w:val="16"/>
                <w:szCs w:val="18"/>
              </w:rPr>
              <w:t>18</w:t>
            </w:r>
            <w:r w:rsidRPr="00074509">
              <w:rPr>
                <w:rFonts w:ascii="Arial" w:eastAsia="Times New Roman" w:hAnsi="Arial" w:cs="Arial"/>
                <w:b/>
                <w:sz w:val="16"/>
                <w:szCs w:val="18"/>
              </w:rPr>
              <w:t>.</w:t>
            </w:r>
            <w:r w:rsidR="006460DC" w:rsidRPr="00074509">
              <w:rPr>
                <w:rFonts w:ascii="Arial" w:eastAsia="Times New Roman" w:hAnsi="Arial" w:cs="Arial"/>
                <w:b/>
                <w:sz w:val="16"/>
                <w:szCs w:val="18"/>
              </w:rPr>
              <w:t>87</w:t>
            </w:r>
          </w:p>
        </w:tc>
        <w:tc>
          <w:tcPr>
            <w:tcW w:w="746" w:type="pct"/>
          </w:tcPr>
          <w:p w14:paraId="53982480" w14:textId="35A9834D" w:rsidR="00350F69" w:rsidRPr="00074509" w:rsidRDefault="00161CD8" w:rsidP="000E406C">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$2,</w:t>
            </w:r>
            <w:r w:rsidR="00F937BE" w:rsidRPr="00074509">
              <w:rPr>
                <w:rFonts w:ascii="Arial" w:eastAsia="Times New Roman" w:hAnsi="Arial" w:cs="Arial"/>
                <w:b/>
                <w:sz w:val="16"/>
                <w:szCs w:val="18"/>
              </w:rPr>
              <w:t>91</w:t>
            </w:r>
            <w:r w:rsidR="006101BE" w:rsidRPr="00074509">
              <w:rPr>
                <w:rFonts w:ascii="Arial" w:eastAsia="Times New Roman" w:hAnsi="Arial" w:cs="Arial"/>
                <w:b/>
                <w:sz w:val="16"/>
                <w:szCs w:val="18"/>
              </w:rPr>
              <w:t>1</w:t>
            </w:r>
            <w:r w:rsidRPr="00074509">
              <w:rPr>
                <w:rFonts w:ascii="Arial" w:eastAsia="Times New Roman" w:hAnsi="Arial" w:cs="Arial"/>
                <w:b/>
                <w:sz w:val="16"/>
                <w:szCs w:val="18"/>
              </w:rPr>
              <w:t>.</w:t>
            </w:r>
            <w:r w:rsidR="006101BE" w:rsidRPr="00074509">
              <w:rPr>
                <w:rFonts w:ascii="Arial" w:eastAsia="Times New Roman" w:hAnsi="Arial" w:cs="Arial"/>
                <w:b/>
                <w:sz w:val="16"/>
                <w:szCs w:val="18"/>
              </w:rPr>
              <w:t>54</w:t>
            </w:r>
          </w:p>
        </w:tc>
        <w:tc>
          <w:tcPr>
            <w:tcW w:w="746" w:type="pct"/>
          </w:tcPr>
          <w:p w14:paraId="0EBD2FF9" w14:textId="39113EB4" w:rsidR="00350F69" w:rsidRPr="00074509" w:rsidRDefault="00161CD8" w:rsidP="000E406C">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$2,6</w:t>
            </w:r>
            <w:r w:rsidR="00F937BE" w:rsidRPr="00074509">
              <w:rPr>
                <w:rFonts w:ascii="Arial" w:eastAsia="Times New Roman" w:hAnsi="Arial" w:cs="Arial"/>
                <w:b/>
                <w:sz w:val="16"/>
                <w:szCs w:val="18"/>
              </w:rPr>
              <w:t>8</w:t>
            </w:r>
            <w:r w:rsidR="00BE72A2" w:rsidRPr="00074509">
              <w:rPr>
                <w:rFonts w:ascii="Arial" w:eastAsia="Times New Roman" w:hAnsi="Arial" w:cs="Arial"/>
                <w:b/>
                <w:sz w:val="16"/>
                <w:szCs w:val="18"/>
              </w:rPr>
              <w:t>7.11</w:t>
            </w:r>
          </w:p>
        </w:tc>
      </w:tr>
    </w:tbl>
    <w:p w14:paraId="3A356789" w14:textId="77777777" w:rsidR="00350F69" w:rsidRPr="001B525F" w:rsidRDefault="00350F69" w:rsidP="00CC0143">
      <w:pPr>
        <w:spacing w:after="0"/>
        <w:jc w:val="both"/>
        <w:rPr>
          <w:rFonts w:ascii="Arial" w:eastAsia="Times New Roman" w:hAnsi="Arial" w:cs="Arial"/>
          <w:sz w:val="18"/>
          <w:szCs w:val="18"/>
        </w:rPr>
      </w:pPr>
    </w:p>
    <w:p w14:paraId="2DD1D66D"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correspondiente a los equipos del concesionario. </w:t>
      </w:r>
    </w:p>
    <w:p w14:paraId="661BDD66" w14:textId="77777777" w:rsidR="00350F69" w:rsidRPr="001B525F" w:rsidRDefault="00350F69" w:rsidP="00CC0143">
      <w:pPr>
        <w:spacing w:after="0"/>
        <w:jc w:val="both"/>
        <w:rPr>
          <w:rFonts w:ascii="Arial" w:hAnsi="Arial" w:cs="Arial"/>
          <w:spacing w:val="-4"/>
          <w:sz w:val="18"/>
          <w:szCs w:val="18"/>
        </w:rPr>
      </w:pPr>
    </w:p>
    <w:p w14:paraId="56098F09" w14:textId="228C62E1" w:rsidR="00350F69" w:rsidRPr="001B525F"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coubicación de Tipo 1: Área de 9m2 (3x3), de Tipo 2: Área de 4m² (2X2), y de </w:t>
      </w:r>
      <w:r w:rsidRPr="001B525F">
        <w:rPr>
          <w:rFonts w:ascii="Arial" w:hAnsi="Arial" w:cs="Arial"/>
          <w:sz w:val="18"/>
          <w:szCs w:val="18"/>
        </w:rPr>
        <w:t>Tipo 3: Gabinete, de un operador móvil,</w:t>
      </w:r>
      <w:r w:rsidRPr="001B525F">
        <w:rPr>
          <w:rFonts w:ascii="Arial" w:eastAsia="Times New Roman" w:hAnsi="Arial" w:cs="Arial"/>
          <w:sz w:val="18"/>
          <w:szCs w:val="18"/>
        </w:rPr>
        <w:t xml:space="preserve"> del 1 de enero al 31 de diciembre de 202</w:t>
      </w:r>
      <w:r w:rsidR="00016C7C">
        <w:rPr>
          <w:rFonts w:ascii="Arial" w:eastAsia="Times New Roman" w:hAnsi="Arial" w:cs="Arial"/>
          <w:sz w:val="18"/>
          <w:szCs w:val="18"/>
        </w:rPr>
        <w:t>5</w:t>
      </w:r>
      <w:r w:rsidRPr="001B525F">
        <w:rPr>
          <w:rFonts w:ascii="Arial" w:eastAsia="Times New Roman" w:hAnsi="Arial" w:cs="Arial"/>
          <w:sz w:val="18"/>
          <w:szCs w:val="18"/>
        </w:rPr>
        <w:t xml:space="preserve"> serán las siguientes:</w:t>
      </w:r>
    </w:p>
    <w:p w14:paraId="57BD5365" w14:textId="2B0917A9" w:rsidR="00350F69" w:rsidRDefault="00350F69" w:rsidP="00CC0143">
      <w:pPr>
        <w:spacing w:after="0"/>
        <w:jc w:val="both"/>
        <w:rPr>
          <w:rFonts w:ascii="Arial" w:hAnsi="Arial" w:cs="Arial"/>
          <w:spacing w:val="-4"/>
          <w:sz w:val="18"/>
          <w:szCs w:val="18"/>
        </w:rPr>
      </w:pPr>
      <w:r w:rsidRPr="001B525F">
        <w:rPr>
          <w:rFonts w:ascii="Arial" w:hAnsi="Arial" w:cs="Arial"/>
          <w:spacing w:val="-4"/>
          <w:sz w:val="18"/>
          <w:szCs w:val="18"/>
        </w:rPr>
        <w:t>Por gastos de instalación:</w:t>
      </w:r>
    </w:p>
    <w:p w14:paraId="16DD6E17" w14:textId="77777777" w:rsidR="00BF0205" w:rsidRPr="001B525F" w:rsidRDefault="00BF0205" w:rsidP="00CC0143">
      <w:pPr>
        <w:spacing w:after="0"/>
        <w:jc w:val="both"/>
        <w:rPr>
          <w:rFonts w:ascii="Arial" w:hAnsi="Arial" w:cs="Arial"/>
          <w:spacing w:val="-4"/>
          <w:sz w:val="18"/>
          <w:szCs w:val="18"/>
        </w:rPr>
      </w:pPr>
    </w:p>
    <w:tbl>
      <w:tblPr>
        <w:tblStyle w:val="Tabladecuadrcula4"/>
        <w:tblW w:w="4488" w:type="pct"/>
        <w:jc w:val="center"/>
        <w:tblLayout w:type="fixed"/>
        <w:tblLook w:val="04A0" w:firstRow="1" w:lastRow="0" w:firstColumn="1" w:lastColumn="0" w:noHBand="0" w:noVBand="1"/>
      </w:tblPr>
      <w:tblGrid>
        <w:gridCol w:w="4639"/>
        <w:gridCol w:w="3793"/>
      </w:tblGrid>
      <w:tr w:rsidR="001B525F" w:rsidRPr="00A22C50" w14:paraId="4165AA0D" w14:textId="77777777" w:rsidTr="00A22C50">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75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15352E2C" w14:textId="77777777" w:rsidR="00350F69" w:rsidRPr="00A22C50" w:rsidRDefault="00350F69" w:rsidP="001B2640">
            <w:pPr>
              <w:spacing w:after="0"/>
              <w:jc w:val="center"/>
              <w:rPr>
                <w:rFonts w:ascii="Arial" w:eastAsia="Times New Roman" w:hAnsi="Arial" w:cs="Arial"/>
                <w:color w:val="auto"/>
                <w:sz w:val="16"/>
                <w:szCs w:val="18"/>
              </w:rPr>
            </w:pPr>
            <w:r w:rsidRPr="00A22C50">
              <w:rPr>
                <w:rFonts w:ascii="Arial" w:eastAsia="Times New Roman" w:hAnsi="Arial" w:cs="Arial"/>
                <w:color w:val="auto"/>
                <w:sz w:val="16"/>
                <w:szCs w:val="18"/>
              </w:rPr>
              <w:t>Concepto</w:t>
            </w:r>
          </w:p>
        </w:tc>
        <w:tc>
          <w:tcPr>
            <w:tcW w:w="224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43917B7"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Gastos de instalación</w:t>
            </w:r>
          </w:p>
          <w:p w14:paraId="0D4F9722"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(Pesos M.N.)</w:t>
            </w:r>
          </w:p>
        </w:tc>
      </w:tr>
      <w:tr w:rsidR="00E80676" w:rsidRPr="00A22C50" w14:paraId="060C9677" w14:textId="77777777" w:rsidTr="00A22C5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751" w:type="pct"/>
            <w:tcBorders>
              <w:top w:val="single" w:sz="4" w:space="0" w:color="000000"/>
            </w:tcBorders>
            <w:noWrap/>
          </w:tcPr>
          <w:p w14:paraId="74397F20" w14:textId="77777777" w:rsidR="00E80676" w:rsidRPr="00A22C50" w:rsidRDefault="00E80676" w:rsidP="00E80676">
            <w:pPr>
              <w:spacing w:after="0"/>
              <w:jc w:val="both"/>
              <w:rPr>
                <w:rFonts w:ascii="Arial" w:eastAsia="Times New Roman" w:hAnsi="Arial" w:cs="Arial"/>
                <w:sz w:val="16"/>
                <w:szCs w:val="18"/>
              </w:rPr>
            </w:pPr>
            <w:r w:rsidRPr="00A22C50">
              <w:rPr>
                <w:rFonts w:ascii="Arial" w:eastAsia="Times New Roman" w:hAnsi="Arial" w:cs="Arial"/>
                <w:sz w:val="16"/>
                <w:szCs w:val="18"/>
              </w:rPr>
              <w:lastRenderedPageBreak/>
              <w:t>Coubicación de Tipo 1 (3x3)</w:t>
            </w:r>
          </w:p>
        </w:tc>
        <w:tc>
          <w:tcPr>
            <w:tcW w:w="2249" w:type="pct"/>
            <w:tcBorders>
              <w:top w:val="single" w:sz="4" w:space="0" w:color="000000"/>
            </w:tcBorders>
            <w:noWrap/>
          </w:tcPr>
          <w:p w14:paraId="5CCED6A0" w14:textId="0ABCF803" w:rsidR="00E80676" w:rsidRPr="00074509" w:rsidRDefault="00E80676" w:rsidP="00E80676">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$11</w:t>
            </w:r>
            <w:r w:rsidR="005857BB" w:rsidRPr="00074509">
              <w:rPr>
                <w:rFonts w:ascii="Arial" w:eastAsia="Times New Roman" w:hAnsi="Arial" w:cs="Arial"/>
                <w:b/>
                <w:sz w:val="16"/>
                <w:szCs w:val="18"/>
              </w:rPr>
              <w:t>9</w:t>
            </w:r>
            <w:r w:rsidRPr="00074509">
              <w:rPr>
                <w:rFonts w:ascii="Arial" w:eastAsia="Times New Roman" w:hAnsi="Arial" w:cs="Arial"/>
                <w:b/>
                <w:sz w:val="16"/>
                <w:szCs w:val="18"/>
              </w:rPr>
              <w:t>,</w:t>
            </w:r>
            <w:r w:rsidR="005857BB" w:rsidRPr="00074509">
              <w:rPr>
                <w:rFonts w:ascii="Arial" w:eastAsia="Times New Roman" w:hAnsi="Arial" w:cs="Arial"/>
                <w:b/>
                <w:sz w:val="16"/>
                <w:szCs w:val="18"/>
              </w:rPr>
              <w:t>483</w:t>
            </w:r>
            <w:r w:rsidRPr="00074509">
              <w:rPr>
                <w:rFonts w:ascii="Arial" w:eastAsia="Times New Roman" w:hAnsi="Arial" w:cs="Arial"/>
                <w:b/>
                <w:sz w:val="16"/>
                <w:szCs w:val="18"/>
              </w:rPr>
              <w:t>.</w:t>
            </w:r>
            <w:r w:rsidR="005857BB" w:rsidRPr="00074509">
              <w:rPr>
                <w:rFonts w:ascii="Arial" w:eastAsia="Times New Roman" w:hAnsi="Arial" w:cs="Arial"/>
                <w:b/>
                <w:sz w:val="16"/>
                <w:szCs w:val="18"/>
              </w:rPr>
              <w:t>39</w:t>
            </w:r>
          </w:p>
        </w:tc>
      </w:tr>
      <w:tr w:rsidR="00E80676" w:rsidRPr="00A22C50" w14:paraId="6EECD996" w14:textId="77777777" w:rsidTr="00A22C50">
        <w:trPr>
          <w:trHeight w:val="262"/>
          <w:jc w:val="center"/>
        </w:trPr>
        <w:tc>
          <w:tcPr>
            <w:cnfStyle w:val="001000000000" w:firstRow="0" w:lastRow="0" w:firstColumn="1" w:lastColumn="0" w:oddVBand="0" w:evenVBand="0" w:oddHBand="0" w:evenHBand="0" w:firstRowFirstColumn="0" w:firstRowLastColumn="0" w:lastRowFirstColumn="0" w:lastRowLastColumn="0"/>
            <w:tcW w:w="2751" w:type="pct"/>
            <w:noWrap/>
          </w:tcPr>
          <w:p w14:paraId="2BF4FAA5" w14:textId="77777777" w:rsidR="00E80676" w:rsidRPr="00A22C50" w:rsidRDefault="00E80676" w:rsidP="00E80676">
            <w:pPr>
              <w:spacing w:after="0"/>
              <w:jc w:val="both"/>
              <w:rPr>
                <w:rFonts w:ascii="Arial" w:eastAsia="Times New Roman" w:hAnsi="Arial" w:cs="Arial"/>
                <w:sz w:val="16"/>
                <w:szCs w:val="18"/>
              </w:rPr>
            </w:pPr>
            <w:r w:rsidRPr="00A22C50">
              <w:rPr>
                <w:rFonts w:ascii="Arial" w:eastAsia="Times New Roman" w:hAnsi="Arial" w:cs="Arial"/>
                <w:sz w:val="16"/>
                <w:szCs w:val="18"/>
              </w:rPr>
              <w:t>Coubicación de Tipo 2 (2x2)</w:t>
            </w:r>
          </w:p>
        </w:tc>
        <w:tc>
          <w:tcPr>
            <w:tcW w:w="2249" w:type="pct"/>
            <w:noWrap/>
          </w:tcPr>
          <w:p w14:paraId="7040543F" w14:textId="26EF64BF" w:rsidR="00E80676" w:rsidRPr="00074509" w:rsidRDefault="00E80676" w:rsidP="00E80676">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w:t>
            </w:r>
            <w:r w:rsidR="008421E5" w:rsidRPr="00074509">
              <w:rPr>
                <w:rFonts w:ascii="Arial" w:eastAsia="Times New Roman" w:hAnsi="Arial" w:cs="Arial"/>
                <w:b/>
                <w:sz w:val="16"/>
                <w:szCs w:val="18"/>
              </w:rPr>
              <w:t>67</w:t>
            </w:r>
            <w:r w:rsidRPr="00074509">
              <w:rPr>
                <w:rFonts w:ascii="Arial" w:eastAsia="Times New Roman" w:hAnsi="Arial" w:cs="Arial"/>
                <w:b/>
                <w:sz w:val="16"/>
                <w:szCs w:val="18"/>
              </w:rPr>
              <w:t>,</w:t>
            </w:r>
            <w:r w:rsidR="008421E5" w:rsidRPr="00074509">
              <w:rPr>
                <w:rFonts w:ascii="Arial" w:eastAsia="Times New Roman" w:hAnsi="Arial" w:cs="Arial"/>
                <w:b/>
                <w:sz w:val="16"/>
                <w:szCs w:val="18"/>
              </w:rPr>
              <w:t>034</w:t>
            </w:r>
            <w:r w:rsidRPr="00074509">
              <w:rPr>
                <w:rFonts w:ascii="Arial" w:eastAsia="Times New Roman" w:hAnsi="Arial" w:cs="Arial"/>
                <w:b/>
                <w:sz w:val="16"/>
                <w:szCs w:val="18"/>
              </w:rPr>
              <w:t>.</w:t>
            </w:r>
            <w:r w:rsidR="008421E5" w:rsidRPr="00074509">
              <w:rPr>
                <w:rFonts w:ascii="Arial" w:eastAsia="Times New Roman" w:hAnsi="Arial" w:cs="Arial"/>
                <w:b/>
                <w:sz w:val="16"/>
                <w:szCs w:val="18"/>
              </w:rPr>
              <w:t>03</w:t>
            </w:r>
          </w:p>
        </w:tc>
      </w:tr>
      <w:tr w:rsidR="00E80676" w:rsidRPr="00A22C50" w14:paraId="7BD8E280" w14:textId="77777777" w:rsidTr="00A22C5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751" w:type="pct"/>
            <w:noWrap/>
          </w:tcPr>
          <w:p w14:paraId="0F64547E" w14:textId="77777777" w:rsidR="00E80676" w:rsidRPr="00A22C50" w:rsidRDefault="00E80676" w:rsidP="00E80676">
            <w:pPr>
              <w:spacing w:after="0"/>
              <w:jc w:val="both"/>
              <w:rPr>
                <w:rFonts w:ascii="Arial" w:eastAsia="Times New Roman" w:hAnsi="Arial" w:cs="Arial"/>
                <w:sz w:val="16"/>
                <w:szCs w:val="18"/>
              </w:rPr>
            </w:pPr>
            <w:r w:rsidRPr="00A22C50">
              <w:rPr>
                <w:rFonts w:ascii="Arial" w:eastAsia="Times New Roman" w:hAnsi="Arial" w:cs="Arial"/>
                <w:sz w:val="16"/>
                <w:szCs w:val="18"/>
              </w:rPr>
              <w:t>Coubicación de Tipo 3 (Gabinete)</w:t>
            </w:r>
          </w:p>
        </w:tc>
        <w:tc>
          <w:tcPr>
            <w:tcW w:w="2249" w:type="pct"/>
            <w:noWrap/>
          </w:tcPr>
          <w:p w14:paraId="170A2923" w14:textId="45172B6D" w:rsidR="00E80676" w:rsidRPr="00074509" w:rsidRDefault="00E80676" w:rsidP="00E80676">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$12</w:t>
            </w:r>
            <w:r w:rsidR="003F0AB4" w:rsidRPr="00074509">
              <w:rPr>
                <w:rFonts w:ascii="Arial" w:eastAsia="Times New Roman" w:hAnsi="Arial" w:cs="Arial"/>
                <w:b/>
                <w:sz w:val="16"/>
                <w:szCs w:val="18"/>
              </w:rPr>
              <w:t>9</w:t>
            </w:r>
            <w:r w:rsidRPr="00074509">
              <w:rPr>
                <w:rFonts w:ascii="Arial" w:eastAsia="Times New Roman" w:hAnsi="Arial" w:cs="Arial"/>
                <w:b/>
                <w:sz w:val="16"/>
                <w:szCs w:val="18"/>
              </w:rPr>
              <w:t>,</w:t>
            </w:r>
            <w:r w:rsidR="003F0AB4" w:rsidRPr="00074509">
              <w:rPr>
                <w:rFonts w:ascii="Arial" w:eastAsia="Times New Roman" w:hAnsi="Arial" w:cs="Arial"/>
                <w:b/>
                <w:sz w:val="16"/>
                <w:szCs w:val="18"/>
              </w:rPr>
              <w:t>542</w:t>
            </w:r>
            <w:r w:rsidRPr="00074509">
              <w:rPr>
                <w:rFonts w:ascii="Arial" w:eastAsia="Times New Roman" w:hAnsi="Arial" w:cs="Arial"/>
                <w:b/>
                <w:sz w:val="16"/>
                <w:szCs w:val="18"/>
              </w:rPr>
              <w:t>.</w:t>
            </w:r>
            <w:r w:rsidR="003F0AB4" w:rsidRPr="00074509">
              <w:rPr>
                <w:rFonts w:ascii="Arial" w:eastAsia="Times New Roman" w:hAnsi="Arial" w:cs="Arial"/>
                <w:b/>
                <w:sz w:val="16"/>
                <w:szCs w:val="18"/>
              </w:rPr>
              <w:t>00</w:t>
            </w:r>
          </w:p>
        </w:tc>
      </w:tr>
      <w:tr w:rsidR="00E80676" w:rsidRPr="00A22C50" w14:paraId="44F0E60C" w14:textId="77777777" w:rsidTr="00A22C50">
        <w:trPr>
          <w:trHeight w:val="262"/>
          <w:jc w:val="center"/>
        </w:trPr>
        <w:tc>
          <w:tcPr>
            <w:cnfStyle w:val="001000000000" w:firstRow="0" w:lastRow="0" w:firstColumn="1" w:lastColumn="0" w:oddVBand="0" w:evenVBand="0" w:oddHBand="0" w:evenHBand="0" w:firstRowFirstColumn="0" w:firstRowLastColumn="0" w:lastRowFirstColumn="0" w:lastRowLastColumn="0"/>
            <w:tcW w:w="2751" w:type="pct"/>
            <w:noWrap/>
          </w:tcPr>
          <w:p w14:paraId="4A7650F2" w14:textId="77777777" w:rsidR="00E80676" w:rsidRPr="00A22C50" w:rsidRDefault="00E80676" w:rsidP="00E80676">
            <w:pPr>
              <w:spacing w:after="0"/>
              <w:jc w:val="both"/>
              <w:rPr>
                <w:rFonts w:ascii="Arial" w:eastAsia="Times New Roman" w:hAnsi="Arial" w:cs="Arial"/>
                <w:sz w:val="16"/>
                <w:szCs w:val="18"/>
              </w:rPr>
            </w:pPr>
            <w:r w:rsidRPr="00A22C50">
              <w:rPr>
                <w:rFonts w:ascii="Arial" w:eastAsia="Times New Roman" w:hAnsi="Arial" w:cs="Arial"/>
                <w:sz w:val="16"/>
                <w:szCs w:val="18"/>
              </w:rPr>
              <w:t>Coubicación externa de Tipo 3 (Gabinete)</w:t>
            </w:r>
          </w:p>
        </w:tc>
        <w:tc>
          <w:tcPr>
            <w:tcW w:w="2249" w:type="pct"/>
            <w:noWrap/>
          </w:tcPr>
          <w:p w14:paraId="380C24EA" w14:textId="247F6FEC" w:rsidR="00E80676" w:rsidRPr="00074509" w:rsidRDefault="00E80676" w:rsidP="00E80676">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$21</w:t>
            </w:r>
            <w:r w:rsidR="003F0AB4" w:rsidRPr="00074509">
              <w:rPr>
                <w:rFonts w:ascii="Arial" w:eastAsia="Times New Roman" w:hAnsi="Arial" w:cs="Arial"/>
                <w:b/>
                <w:sz w:val="16"/>
                <w:szCs w:val="18"/>
              </w:rPr>
              <w:t>8</w:t>
            </w:r>
            <w:r w:rsidRPr="00074509">
              <w:rPr>
                <w:rFonts w:ascii="Arial" w:eastAsia="Times New Roman" w:hAnsi="Arial" w:cs="Arial"/>
                <w:b/>
                <w:sz w:val="16"/>
                <w:szCs w:val="18"/>
              </w:rPr>
              <w:t>,</w:t>
            </w:r>
            <w:r w:rsidR="003F0AB4" w:rsidRPr="00074509">
              <w:rPr>
                <w:rFonts w:ascii="Arial" w:eastAsia="Times New Roman" w:hAnsi="Arial" w:cs="Arial"/>
                <w:b/>
                <w:sz w:val="16"/>
                <w:szCs w:val="18"/>
              </w:rPr>
              <w:t>426</w:t>
            </w:r>
            <w:r w:rsidRPr="00074509">
              <w:rPr>
                <w:rFonts w:ascii="Arial" w:eastAsia="Times New Roman" w:hAnsi="Arial" w:cs="Arial"/>
                <w:b/>
                <w:sz w:val="16"/>
                <w:szCs w:val="18"/>
              </w:rPr>
              <w:t>.</w:t>
            </w:r>
            <w:r w:rsidR="003F0AB4" w:rsidRPr="00074509">
              <w:rPr>
                <w:rFonts w:ascii="Arial" w:eastAsia="Times New Roman" w:hAnsi="Arial" w:cs="Arial"/>
                <w:b/>
                <w:sz w:val="16"/>
                <w:szCs w:val="18"/>
              </w:rPr>
              <w:t>57</w:t>
            </w:r>
            <w:r w:rsidRPr="00074509">
              <w:rPr>
                <w:rFonts w:ascii="Arial" w:eastAsia="Times New Roman" w:hAnsi="Arial" w:cs="Arial"/>
                <w:b/>
                <w:sz w:val="16"/>
                <w:szCs w:val="18"/>
              </w:rPr>
              <w:t xml:space="preserve"> </w:t>
            </w:r>
          </w:p>
        </w:tc>
      </w:tr>
    </w:tbl>
    <w:p w14:paraId="68B6274F" w14:textId="77777777" w:rsidR="00350F69" w:rsidRPr="001B525F" w:rsidRDefault="00350F69" w:rsidP="00CC0143">
      <w:pPr>
        <w:spacing w:after="0"/>
        <w:jc w:val="both"/>
        <w:rPr>
          <w:rFonts w:ascii="Arial" w:hAnsi="Arial" w:cs="Arial"/>
          <w:spacing w:val="-4"/>
          <w:sz w:val="18"/>
          <w:szCs w:val="18"/>
        </w:rPr>
      </w:pPr>
    </w:p>
    <w:p w14:paraId="2F0EF072" w14:textId="47D51B9B" w:rsidR="00350F69"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éstas: </w:t>
      </w:r>
    </w:p>
    <w:p w14:paraId="5590EC70" w14:textId="77777777" w:rsidR="00BF0205" w:rsidRPr="001B525F" w:rsidRDefault="00BF0205" w:rsidP="00CC0143">
      <w:pPr>
        <w:spacing w:after="0"/>
        <w:jc w:val="both"/>
        <w:rPr>
          <w:rFonts w:ascii="Arial" w:eastAsia="Times New Roman" w:hAnsi="Arial" w:cs="Arial"/>
          <w:sz w:val="18"/>
          <w:szCs w:val="18"/>
        </w:rPr>
      </w:pPr>
    </w:p>
    <w:tbl>
      <w:tblPr>
        <w:tblStyle w:val="Tabladecuadrcula4"/>
        <w:tblW w:w="4524" w:type="pct"/>
        <w:jc w:val="center"/>
        <w:tblLayout w:type="fixed"/>
        <w:tblLook w:val="04A0" w:firstRow="1" w:lastRow="0" w:firstColumn="1" w:lastColumn="0" w:noHBand="0" w:noVBand="1"/>
      </w:tblPr>
      <w:tblGrid>
        <w:gridCol w:w="4873"/>
        <w:gridCol w:w="1261"/>
        <w:gridCol w:w="1105"/>
        <w:gridCol w:w="1261"/>
      </w:tblGrid>
      <w:tr w:rsidR="001B525F" w:rsidRPr="00A22C50" w14:paraId="6554C862" w14:textId="77777777" w:rsidTr="00A22C50">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8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6B2B0AB8" w14:textId="77777777" w:rsidR="00350F69" w:rsidRPr="00A22C50" w:rsidRDefault="00350F69" w:rsidP="00CC0143">
            <w:pPr>
              <w:spacing w:after="0"/>
              <w:jc w:val="center"/>
              <w:rPr>
                <w:rFonts w:ascii="Arial" w:eastAsia="Times New Roman" w:hAnsi="Arial" w:cs="Arial"/>
                <w:color w:val="auto"/>
                <w:sz w:val="16"/>
                <w:szCs w:val="18"/>
              </w:rPr>
            </w:pPr>
          </w:p>
        </w:tc>
        <w:tc>
          <w:tcPr>
            <w:tcW w:w="2134"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D4735B8" w14:textId="31A3897A"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Contraprestación Mensual</w:t>
            </w:r>
          </w:p>
          <w:p w14:paraId="5FE4BDDE"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(Pesos M.N.)</w:t>
            </w:r>
          </w:p>
        </w:tc>
      </w:tr>
      <w:tr w:rsidR="001B525F" w:rsidRPr="00A22C50" w14:paraId="7C498B79" w14:textId="77777777" w:rsidTr="00A22C5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2866" w:type="pct"/>
            <w:tcBorders>
              <w:top w:val="single" w:sz="4" w:space="0" w:color="000000"/>
            </w:tcBorders>
            <w:noWrap/>
          </w:tcPr>
          <w:p w14:paraId="00985689" w14:textId="77777777" w:rsidR="00350F69" w:rsidRPr="00A22C50" w:rsidRDefault="00350F69" w:rsidP="00CC0143">
            <w:pPr>
              <w:spacing w:after="0"/>
              <w:jc w:val="center"/>
              <w:rPr>
                <w:rFonts w:ascii="Arial" w:eastAsia="Times New Roman" w:hAnsi="Arial" w:cs="Arial"/>
                <w:sz w:val="16"/>
                <w:szCs w:val="18"/>
              </w:rPr>
            </w:pPr>
          </w:p>
        </w:tc>
        <w:tc>
          <w:tcPr>
            <w:tcW w:w="2134" w:type="pct"/>
            <w:gridSpan w:val="3"/>
            <w:tcBorders>
              <w:top w:val="single" w:sz="4" w:space="0" w:color="000000"/>
            </w:tcBorders>
          </w:tcPr>
          <w:p w14:paraId="6F3C6DB4" w14:textId="77777777" w:rsidR="00350F69" w:rsidRPr="00074509"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Región de costo</w:t>
            </w:r>
          </w:p>
        </w:tc>
      </w:tr>
      <w:tr w:rsidR="0081522E" w:rsidRPr="00A22C50" w14:paraId="528B56A4" w14:textId="77777777" w:rsidTr="00161CD8">
        <w:trPr>
          <w:trHeight w:val="327"/>
          <w:jc w:val="center"/>
        </w:trPr>
        <w:tc>
          <w:tcPr>
            <w:cnfStyle w:val="001000000000" w:firstRow="0" w:lastRow="0" w:firstColumn="1" w:lastColumn="0" w:oddVBand="0" w:evenVBand="0" w:oddHBand="0" w:evenHBand="0" w:firstRowFirstColumn="0" w:firstRowLastColumn="0" w:lastRowFirstColumn="0" w:lastRowLastColumn="0"/>
            <w:tcW w:w="2866" w:type="pct"/>
            <w:noWrap/>
            <w:hideMark/>
          </w:tcPr>
          <w:p w14:paraId="2C789AB8" w14:textId="77777777" w:rsidR="00350F69" w:rsidRPr="00A22C50" w:rsidRDefault="00350F69" w:rsidP="00CC0143">
            <w:pPr>
              <w:spacing w:after="0"/>
              <w:jc w:val="center"/>
              <w:rPr>
                <w:rFonts w:ascii="Arial" w:eastAsia="Times New Roman" w:hAnsi="Arial" w:cs="Arial"/>
                <w:sz w:val="16"/>
                <w:szCs w:val="18"/>
              </w:rPr>
            </w:pPr>
            <w:r w:rsidRPr="00A22C50">
              <w:rPr>
                <w:rFonts w:ascii="Arial" w:eastAsia="Times New Roman" w:hAnsi="Arial" w:cs="Arial"/>
                <w:sz w:val="16"/>
                <w:szCs w:val="18"/>
              </w:rPr>
              <w:t>Concepto</w:t>
            </w:r>
          </w:p>
        </w:tc>
        <w:tc>
          <w:tcPr>
            <w:tcW w:w="742" w:type="pct"/>
            <w:hideMark/>
          </w:tcPr>
          <w:p w14:paraId="29D43EC4" w14:textId="77777777" w:rsidR="00350F69" w:rsidRPr="00074509"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Alto</w:t>
            </w:r>
          </w:p>
        </w:tc>
        <w:tc>
          <w:tcPr>
            <w:tcW w:w="650" w:type="pct"/>
          </w:tcPr>
          <w:p w14:paraId="4E78A857" w14:textId="77777777" w:rsidR="00350F69" w:rsidRPr="00074509"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Medio</w:t>
            </w:r>
          </w:p>
        </w:tc>
        <w:tc>
          <w:tcPr>
            <w:tcW w:w="742" w:type="pct"/>
          </w:tcPr>
          <w:p w14:paraId="05DEE1DC" w14:textId="77777777" w:rsidR="00350F69" w:rsidRPr="00074509"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Bajo</w:t>
            </w:r>
          </w:p>
        </w:tc>
      </w:tr>
      <w:tr w:rsidR="00161CD8" w:rsidRPr="00A22C50" w14:paraId="7DBE929B" w14:textId="77777777" w:rsidTr="00161CD8">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866" w:type="pct"/>
            <w:noWrap/>
          </w:tcPr>
          <w:p w14:paraId="4687A160" w14:textId="77777777" w:rsidR="00161CD8" w:rsidRPr="00A22C50" w:rsidRDefault="00161CD8" w:rsidP="00161CD8">
            <w:pPr>
              <w:spacing w:after="0"/>
              <w:jc w:val="both"/>
              <w:rPr>
                <w:rFonts w:ascii="Arial" w:eastAsia="Times New Roman" w:hAnsi="Arial" w:cs="Arial"/>
                <w:sz w:val="16"/>
                <w:szCs w:val="18"/>
              </w:rPr>
            </w:pPr>
            <w:r w:rsidRPr="00A22C50">
              <w:rPr>
                <w:rFonts w:ascii="Arial" w:eastAsia="Times New Roman" w:hAnsi="Arial" w:cs="Arial"/>
                <w:sz w:val="16"/>
                <w:szCs w:val="18"/>
              </w:rPr>
              <w:t>Coubicación de Tipo 1 (3x3) por metro cuadrado</w:t>
            </w:r>
          </w:p>
        </w:tc>
        <w:tc>
          <w:tcPr>
            <w:tcW w:w="742" w:type="pct"/>
            <w:noWrap/>
          </w:tcPr>
          <w:p w14:paraId="5C46CADF" w14:textId="20D7C498" w:rsidR="00161CD8" w:rsidRPr="00074509" w:rsidRDefault="00161CD8" w:rsidP="00161CD8">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$1,2</w:t>
            </w:r>
            <w:r w:rsidR="007F267B" w:rsidRPr="00074509">
              <w:rPr>
                <w:rFonts w:ascii="Arial" w:eastAsia="Times New Roman" w:hAnsi="Arial" w:cs="Arial"/>
                <w:b/>
                <w:sz w:val="16"/>
                <w:szCs w:val="18"/>
              </w:rPr>
              <w:t>37</w:t>
            </w:r>
            <w:r w:rsidRPr="00074509">
              <w:rPr>
                <w:rFonts w:ascii="Arial" w:eastAsia="Times New Roman" w:hAnsi="Arial" w:cs="Arial"/>
                <w:b/>
                <w:sz w:val="16"/>
                <w:szCs w:val="18"/>
              </w:rPr>
              <w:t>.</w:t>
            </w:r>
            <w:r w:rsidR="007F267B" w:rsidRPr="00074509">
              <w:rPr>
                <w:rFonts w:ascii="Arial" w:eastAsia="Times New Roman" w:hAnsi="Arial" w:cs="Arial"/>
                <w:b/>
                <w:sz w:val="16"/>
                <w:szCs w:val="18"/>
              </w:rPr>
              <w:t>59</w:t>
            </w:r>
            <w:r w:rsidRPr="00074509">
              <w:rPr>
                <w:rFonts w:ascii="Arial" w:eastAsia="Times New Roman" w:hAnsi="Arial" w:cs="Arial"/>
                <w:b/>
                <w:sz w:val="16"/>
                <w:szCs w:val="18"/>
              </w:rPr>
              <w:t xml:space="preserve"> </w:t>
            </w:r>
          </w:p>
        </w:tc>
        <w:tc>
          <w:tcPr>
            <w:tcW w:w="650" w:type="pct"/>
          </w:tcPr>
          <w:p w14:paraId="22E1B58A" w14:textId="0C3A1745" w:rsidR="00161CD8" w:rsidRPr="00074509" w:rsidRDefault="00161CD8" w:rsidP="00161CD8">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$1,1</w:t>
            </w:r>
            <w:r w:rsidR="007F267B" w:rsidRPr="00074509">
              <w:rPr>
                <w:rFonts w:ascii="Arial" w:eastAsia="Times New Roman" w:hAnsi="Arial" w:cs="Arial"/>
                <w:b/>
                <w:sz w:val="16"/>
                <w:szCs w:val="18"/>
              </w:rPr>
              <w:t>66.27</w:t>
            </w:r>
            <w:r w:rsidRPr="00074509">
              <w:rPr>
                <w:rFonts w:ascii="Arial" w:eastAsia="Times New Roman" w:hAnsi="Arial" w:cs="Arial"/>
                <w:b/>
                <w:sz w:val="16"/>
                <w:szCs w:val="18"/>
              </w:rPr>
              <w:t xml:space="preserve"> </w:t>
            </w:r>
          </w:p>
        </w:tc>
        <w:tc>
          <w:tcPr>
            <w:tcW w:w="742" w:type="pct"/>
          </w:tcPr>
          <w:p w14:paraId="47FE3185" w14:textId="4AAE1377" w:rsidR="00161CD8" w:rsidRPr="00074509" w:rsidRDefault="00161CD8" w:rsidP="00161CD8">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$1,1</w:t>
            </w:r>
            <w:r w:rsidR="00D6634C" w:rsidRPr="00074509">
              <w:rPr>
                <w:rFonts w:ascii="Arial" w:eastAsia="Times New Roman" w:hAnsi="Arial" w:cs="Arial"/>
                <w:b/>
                <w:sz w:val="16"/>
                <w:szCs w:val="18"/>
              </w:rPr>
              <w:t>47.91</w:t>
            </w:r>
            <w:r w:rsidRPr="00074509">
              <w:rPr>
                <w:rFonts w:ascii="Arial" w:eastAsia="Times New Roman" w:hAnsi="Arial" w:cs="Arial"/>
                <w:b/>
                <w:sz w:val="16"/>
                <w:szCs w:val="18"/>
              </w:rPr>
              <w:t xml:space="preserve"> </w:t>
            </w:r>
          </w:p>
        </w:tc>
      </w:tr>
      <w:tr w:rsidR="00161CD8" w:rsidRPr="00A22C50" w14:paraId="27F08838" w14:textId="77777777" w:rsidTr="00161CD8">
        <w:trPr>
          <w:trHeight w:val="243"/>
          <w:jc w:val="center"/>
        </w:trPr>
        <w:tc>
          <w:tcPr>
            <w:cnfStyle w:val="001000000000" w:firstRow="0" w:lastRow="0" w:firstColumn="1" w:lastColumn="0" w:oddVBand="0" w:evenVBand="0" w:oddHBand="0" w:evenHBand="0" w:firstRowFirstColumn="0" w:firstRowLastColumn="0" w:lastRowFirstColumn="0" w:lastRowLastColumn="0"/>
            <w:tcW w:w="2866" w:type="pct"/>
            <w:noWrap/>
          </w:tcPr>
          <w:p w14:paraId="130B359A" w14:textId="77777777" w:rsidR="00161CD8" w:rsidRPr="00A22C50" w:rsidRDefault="00161CD8" w:rsidP="00161CD8">
            <w:pPr>
              <w:spacing w:after="0"/>
              <w:jc w:val="both"/>
              <w:rPr>
                <w:rFonts w:ascii="Arial" w:eastAsia="Times New Roman" w:hAnsi="Arial" w:cs="Arial"/>
                <w:sz w:val="16"/>
                <w:szCs w:val="18"/>
              </w:rPr>
            </w:pPr>
            <w:r w:rsidRPr="00A22C50">
              <w:rPr>
                <w:rFonts w:ascii="Arial" w:eastAsia="Times New Roman" w:hAnsi="Arial" w:cs="Arial"/>
                <w:sz w:val="16"/>
                <w:szCs w:val="18"/>
              </w:rPr>
              <w:t>Coubicación de Tipo 2 (2x2) por metro cuadrado</w:t>
            </w:r>
          </w:p>
        </w:tc>
        <w:tc>
          <w:tcPr>
            <w:tcW w:w="742" w:type="pct"/>
            <w:noWrap/>
          </w:tcPr>
          <w:p w14:paraId="30142100" w14:textId="7F7B46BA" w:rsidR="00161CD8" w:rsidRPr="00074509" w:rsidRDefault="00161CD8" w:rsidP="00161CD8">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$1,2</w:t>
            </w:r>
            <w:r w:rsidR="007F267B" w:rsidRPr="00074509">
              <w:rPr>
                <w:rFonts w:ascii="Arial" w:eastAsia="Times New Roman" w:hAnsi="Arial" w:cs="Arial"/>
                <w:b/>
                <w:sz w:val="16"/>
                <w:szCs w:val="18"/>
              </w:rPr>
              <w:t>37</w:t>
            </w:r>
            <w:r w:rsidRPr="00074509">
              <w:rPr>
                <w:rFonts w:ascii="Arial" w:eastAsia="Times New Roman" w:hAnsi="Arial" w:cs="Arial"/>
                <w:b/>
                <w:sz w:val="16"/>
                <w:szCs w:val="18"/>
              </w:rPr>
              <w:t>.</w:t>
            </w:r>
            <w:r w:rsidR="007F267B" w:rsidRPr="00074509">
              <w:rPr>
                <w:rFonts w:ascii="Arial" w:eastAsia="Times New Roman" w:hAnsi="Arial" w:cs="Arial"/>
                <w:b/>
                <w:sz w:val="16"/>
                <w:szCs w:val="18"/>
              </w:rPr>
              <w:t>5</w:t>
            </w:r>
            <w:r w:rsidRPr="00074509">
              <w:rPr>
                <w:rFonts w:ascii="Arial" w:eastAsia="Times New Roman" w:hAnsi="Arial" w:cs="Arial"/>
                <w:b/>
                <w:sz w:val="16"/>
                <w:szCs w:val="18"/>
              </w:rPr>
              <w:t xml:space="preserve">9 </w:t>
            </w:r>
          </w:p>
        </w:tc>
        <w:tc>
          <w:tcPr>
            <w:tcW w:w="650" w:type="pct"/>
          </w:tcPr>
          <w:p w14:paraId="0F42BE7E" w14:textId="7B873DF1" w:rsidR="00161CD8" w:rsidRPr="00074509" w:rsidRDefault="00161CD8" w:rsidP="00161CD8">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$1,1</w:t>
            </w:r>
            <w:r w:rsidR="00D6634C" w:rsidRPr="00074509">
              <w:rPr>
                <w:rFonts w:ascii="Arial" w:eastAsia="Times New Roman" w:hAnsi="Arial" w:cs="Arial"/>
                <w:b/>
                <w:sz w:val="16"/>
                <w:szCs w:val="18"/>
              </w:rPr>
              <w:t>66.27</w:t>
            </w:r>
            <w:r w:rsidRPr="00074509">
              <w:rPr>
                <w:rFonts w:ascii="Arial" w:eastAsia="Times New Roman" w:hAnsi="Arial" w:cs="Arial"/>
                <w:b/>
                <w:sz w:val="16"/>
                <w:szCs w:val="18"/>
              </w:rPr>
              <w:t xml:space="preserve"> </w:t>
            </w:r>
          </w:p>
        </w:tc>
        <w:tc>
          <w:tcPr>
            <w:tcW w:w="742" w:type="pct"/>
          </w:tcPr>
          <w:p w14:paraId="0E9291D0" w14:textId="27FE05B6" w:rsidR="00161CD8" w:rsidRPr="00074509" w:rsidRDefault="00161CD8" w:rsidP="00161CD8">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$1,1</w:t>
            </w:r>
            <w:r w:rsidR="00D6634C" w:rsidRPr="00074509">
              <w:rPr>
                <w:rFonts w:ascii="Arial" w:eastAsia="Times New Roman" w:hAnsi="Arial" w:cs="Arial"/>
                <w:b/>
                <w:sz w:val="16"/>
                <w:szCs w:val="18"/>
              </w:rPr>
              <w:t>47.91</w:t>
            </w:r>
            <w:r w:rsidRPr="00074509">
              <w:rPr>
                <w:rFonts w:ascii="Arial" w:eastAsia="Times New Roman" w:hAnsi="Arial" w:cs="Arial"/>
                <w:b/>
                <w:sz w:val="16"/>
                <w:szCs w:val="18"/>
              </w:rPr>
              <w:t xml:space="preserve"> </w:t>
            </w:r>
          </w:p>
        </w:tc>
      </w:tr>
      <w:tr w:rsidR="00161CD8" w:rsidRPr="00A22C50" w14:paraId="4A547DE8" w14:textId="77777777" w:rsidTr="00161CD8">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866" w:type="pct"/>
            <w:noWrap/>
          </w:tcPr>
          <w:p w14:paraId="51A693E6" w14:textId="77777777" w:rsidR="00161CD8" w:rsidRPr="00A22C50" w:rsidRDefault="00161CD8" w:rsidP="00161CD8">
            <w:pPr>
              <w:spacing w:after="0"/>
              <w:rPr>
                <w:rFonts w:ascii="Arial" w:eastAsia="Times New Roman" w:hAnsi="Arial" w:cs="Arial"/>
                <w:sz w:val="16"/>
                <w:szCs w:val="18"/>
              </w:rPr>
            </w:pPr>
            <w:r w:rsidRPr="00A22C50">
              <w:rPr>
                <w:rFonts w:ascii="Arial" w:eastAsia="Times New Roman" w:hAnsi="Arial" w:cs="Arial"/>
                <w:sz w:val="16"/>
                <w:szCs w:val="18"/>
              </w:rPr>
              <w:t>Coubicación de Tipo 3 (Gabinete)</w:t>
            </w:r>
          </w:p>
        </w:tc>
        <w:tc>
          <w:tcPr>
            <w:tcW w:w="742" w:type="pct"/>
            <w:noWrap/>
          </w:tcPr>
          <w:p w14:paraId="7E84CA4C" w14:textId="44B3B168" w:rsidR="00161CD8" w:rsidRPr="00074509" w:rsidRDefault="00161CD8" w:rsidP="00161CD8">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$3,</w:t>
            </w:r>
            <w:r w:rsidR="00B67D60" w:rsidRPr="00074509">
              <w:rPr>
                <w:rFonts w:ascii="Arial" w:eastAsia="Times New Roman" w:hAnsi="Arial" w:cs="Arial"/>
                <w:b/>
                <w:sz w:val="16"/>
                <w:szCs w:val="18"/>
              </w:rPr>
              <w:t>1</w:t>
            </w:r>
            <w:r w:rsidR="007F267B" w:rsidRPr="00074509">
              <w:rPr>
                <w:rFonts w:ascii="Arial" w:eastAsia="Times New Roman" w:hAnsi="Arial" w:cs="Arial"/>
                <w:b/>
                <w:sz w:val="16"/>
                <w:szCs w:val="18"/>
              </w:rPr>
              <w:t>28</w:t>
            </w:r>
            <w:r w:rsidRPr="00074509">
              <w:rPr>
                <w:rFonts w:ascii="Arial" w:eastAsia="Times New Roman" w:hAnsi="Arial" w:cs="Arial"/>
                <w:b/>
                <w:sz w:val="16"/>
                <w:szCs w:val="18"/>
              </w:rPr>
              <w:t>.</w:t>
            </w:r>
            <w:r w:rsidR="007F267B" w:rsidRPr="00074509">
              <w:rPr>
                <w:rFonts w:ascii="Arial" w:eastAsia="Times New Roman" w:hAnsi="Arial" w:cs="Arial"/>
                <w:b/>
                <w:sz w:val="16"/>
                <w:szCs w:val="18"/>
              </w:rPr>
              <w:t>52</w:t>
            </w:r>
            <w:r w:rsidRPr="00074509">
              <w:rPr>
                <w:rFonts w:ascii="Arial" w:eastAsia="Times New Roman" w:hAnsi="Arial" w:cs="Arial"/>
                <w:b/>
                <w:sz w:val="16"/>
                <w:szCs w:val="18"/>
              </w:rPr>
              <w:t xml:space="preserve"> </w:t>
            </w:r>
          </w:p>
        </w:tc>
        <w:tc>
          <w:tcPr>
            <w:tcW w:w="650" w:type="pct"/>
          </w:tcPr>
          <w:p w14:paraId="4751CD74" w14:textId="5AED144E" w:rsidR="00161CD8" w:rsidRPr="00074509" w:rsidRDefault="00161CD8" w:rsidP="00161CD8">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$2,</w:t>
            </w:r>
            <w:r w:rsidR="00B67D60" w:rsidRPr="00074509">
              <w:rPr>
                <w:rFonts w:ascii="Arial" w:eastAsia="Times New Roman" w:hAnsi="Arial" w:cs="Arial"/>
                <w:b/>
                <w:sz w:val="16"/>
                <w:szCs w:val="18"/>
              </w:rPr>
              <w:t>9</w:t>
            </w:r>
            <w:r w:rsidR="00D6634C" w:rsidRPr="00074509">
              <w:rPr>
                <w:rFonts w:ascii="Arial" w:eastAsia="Times New Roman" w:hAnsi="Arial" w:cs="Arial"/>
                <w:b/>
                <w:sz w:val="16"/>
                <w:szCs w:val="18"/>
              </w:rPr>
              <w:t>21.21</w:t>
            </w:r>
          </w:p>
        </w:tc>
        <w:tc>
          <w:tcPr>
            <w:tcW w:w="742" w:type="pct"/>
          </w:tcPr>
          <w:p w14:paraId="2843C11F" w14:textId="01C7EE71" w:rsidR="00161CD8" w:rsidRPr="00074509" w:rsidRDefault="00161CD8" w:rsidP="00161CD8">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$2,</w:t>
            </w:r>
            <w:r w:rsidR="00D6634C" w:rsidRPr="00074509">
              <w:rPr>
                <w:rFonts w:ascii="Arial" w:eastAsia="Times New Roman" w:hAnsi="Arial" w:cs="Arial"/>
                <w:b/>
                <w:sz w:val="16"/>
                <w:szCs w:val="18"/>
              </w:rPr>
              <w:t>695.79</w:t>
            </w:r>
            <w:r w:rsidRPr="00074509">
              <w:rPr>
                <w:rFonts w:ascii="Arial" w:eastAsia="Times New Roman" w:hAnsi="Arial" w:cs="Arial"/>
                <w:b/>
                <w:sz w:val="16"/>
                <w:szCs w:val="18"/>
              </w:rPr>
              <w:t xml:space="preserve"> </w:t>
            </w:r>
          </w:p>
        </w:tc>
      </w:tr>
    </w:tbl>
    <w:p w14:paraId="266EF73D" w14:textId="77777777" w:rsidR="00350F69" w:rsidRPr="001B525F" w:rsidRDefault="00350F69" w:rsidP="00CC0143">
      <w:pPr>
        <w:spacing w:after="0"/>
        <w:jc w:val="both"/>
        <w:rPr>
          <w:rFonts w:ascii="Arial" w:eastAsia="Times New Roman" w:hAnsi="Arial" w:cs="Arial"/>
          <w:sz w:val="18"/>
          <w:szCs w:val="18"/>
        </w:rPr>
      </w:pPr>
    </w:p>
    <w:p w14:paraId="0A0F9D5B"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correspondiente a los equipos del concesionario. </w:t>
      </w:r>
    </w:p>
    <w:p w14:paraId="14145665" w14:textId="77777777" w:rsidR="00350F69" w:rsidRPr="001B525F" w:rsidRDefault="00350F69" w:rsidP="00CC0143">
      <w:pPr>
        <w:spacing w:after="0"/>
        <w:jc w:val="both"/>
        <w:rPr>
          <w:rFonts w:ascii="Arial" w:eastAsia="Times New Roman" w:hAnsi="Arial" w:cs="Arial"/>
          <w:sz w:val="18"/>
          <w:szCs w:val="18"/>
        </w:rPr>
      </w:pPr>
    </w:p>
    <w:p w14:paraId="6B432C38"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Las regiones de costo se clasificarán de conformidad con lo indicado en el Considerando Octavo. </w:t>
      </w:r>
    </w:p>
    <w:p w14:paraId="0B043DC8" w14:textId="77777777" w:rsidR="00350F69" w:rsidRPr="001B525F" w:rsidRDefault="00350F69" w:rsidP="00CC0143">
      <w:pPr>
        <w:spacing w:after="0"/>
        <w:jc w:val="both"/>
        <w:rPr>
          <w:rFonts w:ascii="Arial" w:hAnsi="Arial" w:cs="Arial"/>
          <w:sz w:val="18"/>
          <w:szCs w:val="18"/>
        </w:rPr>
      </w:pPr>
    </w:p>
    <w:p w14:paraId="3CC2E89D" w14:textId="77777777" w:rsidR="00350F69" w:rsidRPr="001B525F" w:rsidRDefault="00350F69" w:rsidP="00CC0143">
      <w:pPr>
        <w:spacing w:after="0"/>
        <w:contextualSpacing/>
        <w:rPr>
          <w:rFonts w:ascii="Arial" w:hAnsi="Arial" w:cs="Arial"/>
          <w:b/>
          <w:sz w:val="18"/>
          <w:szCs w:val="18"/>
          <w:u w:val="single"/>
        </w:rPr>
      </w:pPr>
      <w:r w:rsidRPr="00D92A44">
        <w:rPr>
          <w:rFonts w:ascii="Arial" w:hAnsi="Arial" w:cs="Arial"/>
          <w:b/>
          <w:sz w:val="18"/>
          <w:szCs w:val="18"/>
          <w:u w:val="single"/>
        </w:rPr>
        <w:t>Tarifas por el servicio de enlaces de transmisión de interconexión entre coubicaciones</w:t>
      </w:r>
    </w:p>
    <w:p w14:paraId="1C62A967" w14:textId="77777777" w:rsidR="00350F69" w:rsidRPr="001B525F" w:rsidRDefault="00350F69" w:rsidP="00CC0143">
      <w:pPr>
        <w:spacing w:after="0"/>
        <w:contextualSpacing/>
        <w:rPr>
          <w:rFonts w:ascii="Arial" w:hAnsi="Arial" w:cs="Arial"/>
          <w:b/>
          <w:sz w:val="18"/>
          <w:szCs w:val="18"/>
          <w:u w:val="single"/>
        </w:rPr>
      </w:pPr>
    </w:p>
    <w:p w14:paraId="10098A25" w14:textId="77777777" w:rsidR="00350F69" w:rsidRPr="001B525F" w:rsidRDefault="00350F69" w:rsidP="00CC0143">
      <w:pPr>
        <w:spacing w:after="0"/>
        <w:contextualSpacing/>
        <w:rPr>
          <w:rFonts w:ascii="Arial" w:hAnsi="Arial" w:cs="Arial"/>
          <w:sz w:val="18"/>
          <w:szCs w:val="18"/>
        </w:rPr>
      </w:pPr>
      <w:r w:rsidRPr="001B525F">
        <w:rPr>
          <w:rFonts w:ascii="Arial" w:hAnsi="Arial" w:cs="Arial"/>
          <w:sz w:val="18"/>
          <w:szCs w:val="18"/>
        </w:rPr>
        <w:t>a) No gestionado</w:t>
      </w:r>
    </w:p>
    <w:p w14:paraId="590569FB" w14:textId="77777777" w:rsidR="00350F69" w:rsidRPr="001B525F" w:rsidRDefault="00350F69" w:rsidP="00CC0143">
      <w:pPr>
        <w:spacing w:after="0"/>
        <w:ind w:firstLine="708"/>
        <w:jc w:val="both"/>
        <w:rPr>
          <w:rFonts w:ascii="Arial" w:hAnsi="Arial" w:cs="Arial"/>
          <w:spacing w:val="-4"/>
          <w:sz w:val="18"/>
          <w:szCs w:val="18"/>
        </w:rPr>
      </w:pPr>
    </w:p>
    <w:p w14:paraId="3FBFB965" w14:textId="33CB6A71" w:rsidR="00350F69" w:rsidRDefault="00350F69" w:rsidP="0081522E">
      <w:pPr>
        <w:spacing w:after="0"/>
        <w:jc w:val="both"/>
        <w:rPr>
          <w:rFonts w:ascii="Arial" w:hAnsi="Arial" w:cs="Arial"/>
          <w:spacing w:val="-4"/>
          <w:sz w:val="18"/>
          <w:szCs w:val="18"/>
        </w:rPr>
      </w:pPr>
      <w:r w:rsidRPr="001B525F">
        <w:rPr>
          <w:rFonts w:ascii="Arial" w:hAnsi="Arial" w:cs="Arial"/>
          <w:spacing w:val="-4"/>
          <w:sz w:val="18"/>
          <w:szCs w:val="18"/>
        </w:rPr>
        <w:t>Por costos de instalación de una sola vez:</w:t>
      </w:r>
    </w:p>
    <w:p w14:paraId="1DBF3E28" w14:textId="77777777" w:rsidR="00BF0205" w:rsidRPr="001B525F" w:rsidRDefault="00BF0205" w:rsidP="00CC0143">
      <w:pPr>
        <w:spacing w:after="0"/>
        <w:ind w:firstLine="708"/>
        <w:jc w:val="both"/>
        <w:rPr>
          <w:rFonts w:ascii="Arial" w:hAnsi="Arial" w:cs="Arial"/>
          <w:spacing w:val="-4"/>
          <w:sz w:val="18"/>
          <w:szCs w:val="18"/>
        </w:rPr>
      </w:pPr>
    </w:p>
    <w:tbl>
      <w:tblPr>
        <w:tblStyle w:val="Tabladecuadrcula4"/>
        <w:tblW w:w="3419" w:type="pct"/>
        <w:jc w:val="center"/>
        <w:tblLayout w:type="fixed"/>
        <w:tblLook w:val="04A0" w:firstRow="1" w:lastRow="0" w:firstColumn="1" w:lastColumn="0" w:noHBand="0" w:noVBand="1"/>
      </w:tblPr>
      <w:tblGrid>
        <w:gridCol w:w="3540"/>
        <w:gridCol w:w="2884"/>
      </w:tblGrid>
      <w:tr w:rsidR="001B525F" w:rsidRPr="00A22C50" w14:paraId="7D92E23D" w14:textId="77777777" w:rsidTr="00A22C50">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75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39383128" w14:textId="77777777" w:rsidR="00350F69" w:rsidRPr="00A22C50" w:rsidRDefault="00350F69" w:rsidP="001B2640">
            <w:pPr>
              <w:spacing w:after="0"/>
              <w:jc w:val="center"/>
              <w:rPr>
                <w:rFonts w:ascii="Arial" w:eastAsia="Times New Roman" w:hAnsi="Arial" w:cs="Arial"/>
                <w:color w:val="auto"/>
                <w:sz w:val="16"/>
                <w:szCs w:val="18"/>
              </w:rPr>
            </w:pPr>
            <w:r w:rsidRPr="00A22C50">
              <w:rPr>
                <w:rFonts w:ascii="Arial" w:eastAsia="Times New Roman" w:hAnsi="Arial" w:cs="Arial"/>
                <w:color w:val="auto"/>
                <w:sz w:val="16"/>
                <w:szCs w:val="18"/>
              </w:rPr>
              <w:t>Concepto</w:t>
            </w:r>
          </w:p>
        </w:tc>
        <w:tc>
          <w:tcPr>
            <w:tcW w:w="22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BC2A0BA"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Gastos de instalación</w:t>
            </w:r>
          </w:p>
          <w:p w14:paraId="349CC734"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(Pesos M.N.)</w:t>
            </w:r>
          </w:p>
        </w:tc>
      </w:tr>
      <w:tr w:rsidR="001B525F" w:rsidRPr="00A22C50" w14:paraId="1ED45D80" w14:textId="77777777" w:rsidTr="00A22C50">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755" w:type="pct"/>
            <w:tcBorders>
              <w:top w:val="single" w:sz="4" w:space="0" w:color="000000"/>
            </w:tcBorders>
            <w:noWrap/>
          </w:tcPr>
          <w:p w14:paraId="06FE41E3" w14:textId="77777777" w:rsidR="00350F69" w:rsidRPr="00A22C50" w:rsidRDefault="00350F69" w:rsidP="00CC0143">
            <w:pPr>
              <w:spacing w:after="0"/>
              <w:jc w:val="both"/>
              <w:rPr>
                <w:rFonts w:ascii="Arial" w:hAnsi="Arial" w:cs="Arial"/>
                <w:sz w:val="16"/>
                <w:szCs w:val="18"/>
              </w:rPr>
            </w:pPr>
            <w:r w:rsidRPr="00A22C50">
              <w:rPr>
                <w:rFonts w:ascii="Arial" w:hAnsi="Arial" w:cs="Arial"/>
                <w:sz w:val="16"/>
                <w:szCs w:val="18"/>
              </w:rPr>
              <w:t>Despliegue de fibra por metro lineal</w:t>
            </w:r>
          </w:p>
        </w:tc>
        <w:tc>
          <w:tcPr>
            <w:tcW w:w="2245" w:type="pct"/>
            <w:tcBorders>
              <w:top w:val="single" w:sz="4" w:space="0" w:color="000000"/>
            </w:tcBorders>
            <w:noWrap/>
          </w:tcPr>
          <w:p w14:paraId="63326187" w14:textId="6FE28AB8" w:rsidR="00350F69" w:rsidRPr="00074509" w:rsidRDefault="00350F69" w:rsidP="002741F7">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8"/>
              </w:rPr>
            </w:pPr>
            <w:r w:rsidRPr="00074509">
              <w:rPr>
                <w:rFonts w:ascii="Arial" w:hAnsi="Arial" w:cs="Arial"/>
                <w:b/>
                <w:bCs/>
                <w:sz w:val="16"/>
                <w:szCs w:val="18"/>
              </w:rPr>
              <w:t>$</w:t>
            </w:r>
            <w:r w:rsidR="00757CA5" w:rsidRPr="00074509">
              <w:rPr>
                <w:rFonts w:ascii="Arial" w:hAnsi="Arial" w:cs="Arial"/>
                <w:b/>
                <w:bCs/>
                <w:sz w:val="16"/>
                <w:szCs w:val="18"/>
              </w:rPr>
              <w:t>5</w:t>
            </w:r>
            <w:r w:rsidR="00D07E91" w:rsidRPr="00074509">
              <w:rPr>
                <w:rFonts w:ascii="Arial" w:hAnsi="Arial" w:cs="Arial"/>
                <w:b/>
                <w:bCs/>
                <w:sz w:val="16"/>
                <w:szCs w:val="18"/>
              </w:rPr>
              <w:t>8</w:t>
            </w:r>
            <w:r w:rsidR="00757CA5" w:rsidRPr="00074509">
              <w:rPr>
                <w:rFonts w:ascii="Arial" w:hAnsi="Arial" w:cs="Arial"/>
                <w:b/>
                <w:bCs/>
                <w:sz w:val="16"/>
                <w:szCs w:val="18"/>
              </w:rPr>
              <w:t>.</w:t>
            </w:r>
            <w:r w:rsidR="00D07E91" w:rsidRPr="00074509">
              <w:rPr>
                <w:rFonts w:ascii="Arial" w:hAnsi="Arial" w:cs="Arial"/>
                <w:b/>
                <w:bCs/>
                <w:sz w:val="16"/>
                <w:szCs w:val="18"/>
              </w:rPr>
              <w:t>45</w:t>
            </w:r>
          </w:p>
        </w:tc>
      </w:tr>
      <w:tr w:rsidR="001B525F" w:rsidRPr="00A22C50" w14:paraId="64C5F471" w14:textId="77777777" w:rsidTr="00A22C50">
        <w:trPr>
          <w:trHeight w:val="243"/>
          <w:jc w:val="center"/>
        </w:trPr>
        <w:tc>
          <w:tcPr>
            <w:cnfStyle w:val="001000000000" w:firstRow="0" w:lastRow="0" w:firstColumn="1" w:lastColumn="0" w:oddVBand="0" w:evenVBand="0" w:oddHBand="0" w:evenHBand="0" w:firstRowFirstColumn="0" w:firstRowLastColumn="0" w:lastRowFirstColumn="0" w:lastRowLastColumn="0"/>
            <w:tcW w:w="2755" w:type="pct"/>
            <w:noWrap/>
          </w:tcPr>
          <w:p w14:paraId="5413A8BA" w14:textId="77777777" w:rsidR="00350F69" w:rsidRPr="00A22C50" w:rsidRDefault="00350F69" w:rsidP="00CC0143">
            <w:pPr>
              <w:spacing w:after="0"/>
              <w:jc w:val="both"/>
              <w:rPr>
                <w:rFonts w:ascii="Arial" w:hAnsi="Arial" w:cs="Arial"/>
                <w:sz w:val="16"/>
                <w:szCs w:val="18"/>
              </w:rPr>
            </w:pPr>
            <w:r w:rsidRPr="00A22C50">
              <w:rPr>
                <w:rFonts w:ascii="Arial" w:hAnsi="Arial" w:cs="Arial"/>
                <w:sz w:val="16"/>
                <w:szCs w:val="18"/>
              </w:rPr>
              <w:t>Construcción de escalerilla por metro lineal</w:t>
            </w:r>
          </w:p>
        </w:tc>
        <w:tc>
          <w:tcPr>
            <w:tcW w:w="2245" w:type="pct"/>
            <w:noWrap/>
          </w:tcPr>
          <w:p w14:paraId="113CCE60" w14:textId="78E3EE51" w:rsidR="00350F69" w:rsidRPr="00074509"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w:t>
            </w:r>
            <w:r w:rsidR="00316D09" w:rsidRPr="00074509">
              <w:rPr>
                <w:rFonts w:ascii="Arial" w:eastAsia="Times New Roman" w:hAnsi="Arial" w:cs="Arial"/>
                <w:b/>
                <w:sz w:val="16"/>
                <w:szCs w:val="18"/>
              </w:rPr>
              <w:t>5</w:t>
            </w:r>
            <w:r w:rsidR="00110E64" w:rsidRPr="00074509">
              <w:rPr>
                <w:rFonts w:ascii="Arial" w:eastAsia="Times New Roman" w:hAnsi="Arial" w:cs="Arial"/>
                <w:b/>
                <w:sz w:val="16"/>
                <w:szCs w:val="18"/>
              </w:rPr>
              <w:t>45.</w:t>
            </w:r>
            <w:r w:rsidR="00110E64" w:rsidRPr="00074509">
              <w:rPr>
                <w:rFonts w:ascii="Arial" w:eastAsia="Times New Roman" w:hAnsi="Arial" w:cs="Arial"/>
                <w:b/>
                <w:bCs/>
                <w:sz w:val="16"/>
                <w:szCs w:val="18"/>
              </w:rPr>
              <w:t>52</w:t>
            </w:r>
          </w:p>
        </w:tc>
      </w:tr>
    </w:tbl>
    <w:p w14:paraId="193F7C67" w14:textId="77777777" w:rsidR="00350F69" w:rsidRPr="001B525F" w:rsidRDefault="00350F69" w:rsidP="00CC0143">
      <w:pPr>
        <w:spacing w:after="0"/>
        <w:jc w:val="both"/>
        <w:rPr>
          <w:rFonts w:ascii="Arial" w:hAnsi="Arial" w:cs="Arial"/>
          <w:sz w:val="18"/>
          <w:szCs w:val="18"/>
        </w:rPr>
      </w:pPr>
    </w:p>
    <w:p w14:paraId="5910FF41" w14:textId="4CC0347C" w:rsidR="00350F69" w:rsidRPr="0081522E" w:rsidRDefault="00350F69" w:rsidP="0081522E">
      <w:pPr>
        <w:spacing w:after="0"/>
        <w:jc w:val="both"/>
        <w:rPr>
          <w:rFonts w:ascii="Arial" w:hAnsi="Arial" w:cs="Arial"/>
          <w:spacing w:val="-4"/>
          <w:sz w:val="18"/>
          <w:szCs w:val="18"/>
        </w:rPr>
      </w:pPr>
      <w:r w:rsidRPr="0081522E">
        <w:rPr>
          <w:rFonts w:ascii="Arial" w:hAnsi="Arial" w:cs="Arial"/>
          <w:spacing w:val="-4"/>
          <w:sz w:val="18"/>
          <w:szCs w:val="18"/>
        </w:rPr>
        <w:t xml:space="preserve">Las contraprestaciones por renta mensual serán las siguientes: </w:t>
      </w:r>
    </w:p>
    <w:p w14:paraId="04AA5C7B" w14:textId="77777777" w:rsidR="00BF0205" w:rsidRPr="001B525F" w:rsidRDefault="00BF0205" w:rsidP="00CC0143">
      <w:pPr>
        <w:pStyle w:val="Prrafodelista"/>
        <w:spacing w:line="276" w:lineRule="auto"/>
        <w:ind w:left="720"/>
        <w:rPr>
          <w:rFonts w:cs="Arial"/>
          <w:sz w:val="18"/>
          <w:szCs w:val="18"/>
        </w:rPr>
      </w:pPr>
    </w:p>
    <w:tbl>
      <w:tblPr>
        <w:tblStyle w:val="Tabladecuadrcula4"/>
        <w:tblW w:w="3344" w:type="pct"/>
        <w:jc w:val="center"/>
        <w:tblLayout w:type="fixed"/>
        <w:tblLook w:val="04A0" w:firstRow="1" w:lastRow="0" w:firstColumn="1" w:lastColumn="0" w:noHBand="0" w:noVBand="1"/>
      </w:tblPr>
      <w:tblGrid>
        <w:gridCol w:w="3456"/>
        <w:gridCol w:w="2827"/>
      </w:tblGrid>
      <w:tr w:rsidR="001B525F" w:rsidRPr="00A22C50" w14:paraId="73BF0A39" w14:textId="77777777" w:rsidTr="00A22C50">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75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7C1D5606" w14:textId="77777777" w:rsidR="00350F69" w:rsidRPr="00A22C50" w:rsidRDefault="00350F69" w:rsidP="001B2640">
            <w:pPr>
              <w:spacing w:after="0"/>
              <w:jc w:val="center"/>
              <w:rPr>
                <w:rFonts w:ascii="Arial" w:eastAsia="Times New Roman" w:hAnsi="Arial" w:cs="Arial"/>
                <w:color w:val="auto"/>
                <w:sz w:val="16"/>
                <w:szCs w:val="18"/>
              </w:rPr>
            </w:pPr>
            <w:r w:rsidRPr="00A22C50">
              <w:rPr>
                <w:rFonts w:ascii="Arial" w:eastAsia="Times New Roman" w:hAnsi="Arial" w:cs="Arial"/>
                <w:color w:val="auto"/>
                <w:sz w:val="16"/>
                <w:szCs w:val="18"/>
              </w:rPr>
              <w:t>Concepto</w:t>
            </w:r>
          </w:p>
        </w:tc>
        <w:tc>
          <w:tcPr>
            <w:tcW w:w="225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C7A1639" w14:textId="29A45AC1"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 xml:space="preserve">Contraprestación </w:t>
            </w:r>
            <w:r w:rsidR="009E188B" w:rsidRPr="00074509">
              <w:rPr>
                <w:rFonts w:ascii="Arial" w:eastAsia="Times New Roman" w:hAnsi="Arial" w:cs="Arial"/>
                <w:color w:val="auto"/>
                <w:sz w:val="16"/>
                <w:szCs w:val="18"/>
              </w:rPr>
              <w:t>m</w:t>
            </w:r>
            <w:r w:rsidRPr="00074509">
              <w:rPr>
                <w:rFonts w:ascii="Arial" w:eastAsia="Times New Roman" w:hAnsi="Arial" w:cs="Arial"/>
                <w:color w:val="auto"/>
                <w:sz w:val="16"/>
                <w:szCs w:val="18"/>
              </w:rPr>
              <w:t>ensual</w:t>
            </w:r>
          </w:p>
          <w:p w14:paraId="42B34DDE"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(Pesos M.N.)</w:t>
            </w:r>
          </w:p>
        </w:tc>
      </w:tr>
      <w:tr w:rsidR="001B525F" w:rsidRPr="00A22C50" w14:paraId="5388C506" w14:textId="77777777" w:rsidTr="00A22C50">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750" w:type="pct"/>
            <w:tcBorders>
              <w:top w:val="single" w:sz="4" w:space="0" w:color="000000"/>
            </w:tcBorders>
            <w:shd w:val="clear" w:color="auto" w:fill="D9D9D9" w:themeFill="background1" w:themeFillShade="D9"/>
            <w:noWrap/>
          </w:tcPr>
          <w:p w14:paraId="02F81EFA" w14:textId="77777777" w:rsidR="00350F69" w:rsidRPr="00A22C50" w:rsidRDefault="00350F69" w:rsidP="00CC0143">
            <w:pPr>
              <w:spacing w:after="0"/>
              <w:jc w:val="both"/>
              <w:rPr>
                <w:rFonts w:ascii="Arial" w:eastAsia="Times New Roman" w:hAnsi="Arial" w:cs="Arial"/>
                <w:sz w:val="16"/>
                <w:szCs w:val="18"/>
              </w:rPr>
            </w:pPr>
            <w:r w:rsidRPr="00A22C50">
              <w:rPr>
                <w:rFonts w:ascii="Arial" w:hAnsi="Arial" w:cs="Arial"/>
                <w:sz w:val="16"/>
                <w:szCs w:val="18"/>
              </w:rPr>
              <w:t>Escalerilla y fibra por metro lineal</w:t>
            </w:r>
          </w:p>
        </w:tc>
        <w:tc>
          <w:tcPr>
            <w:tcW w:w="2250" w:type="pct"/>
            <w:tcBorders>
              <w:top w:val="single" w:sz="4" w:space="0" w:color="000000"/>
            </w:tcBorders>
            <w:shd w:val="clear" w:color="auto" w:fill="D9D9D9" w:themeFill="background1" w:themeFillShade="D9"/>
            <w:noWrap/>
          </w:tcPr>
          <w:p w14:paraId="03C91073" w14:textId="5B3A92F5" w:rsidR="00350F69" w:rsidRPr="00074509"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hAnsi="Arial" w:cs="Arial"/>
                <w:b/>
                <w:sz w:val="16"/>
                <w:szCs w:val="18"/>
              </w:rPr>
              <w:t>$</w:t>
            </w:r>
            <w:r w:rsidR="00316D09" w:rsidRPr="00074509">
              <w:rPr>
                <w:rFonts w:ascii="Arial" w:hAnsi="Arial" w:cs="Arial"/>
                <w:b/>
                <w:sz w:val="16"/>
                <w:szCs w:val="18"/>
              </w:rPr>
              <w:t>1</w:t>
            </w:r>
            <w:r w:rsidR="009671F3" w:rsidRPr="00074509">
              <w:rPr>
                <w:rFonts w:ascii="Arial" w:hAnsi="Arial" w:cs="Arial"/>
                <w:b/>
                <w:sz w:val="16"/>
                <w:szCs w:val="18"/>
              </w:rPr>
              <w:t>6</w:t>
            </w:r>
            <w:r w:rsidR="00316D09" w:rsidRPr="00074509">
              <w:rPr>
                <w:rFonts w:ascii="Arial" w:hAnsi="Arial" w:cs="Arial"/>
                <w:b/>
                <w:sz w:val="16"/>
                <w:szCs w:val="18"/>
              </w:rPr>
              <w:t>.</w:t>
            </w:r>
            <w:r w:rsidR="00110E64" w:rsidRPr="00074509">
              <w:rPr>
                <w:rFonts w:ascii="Arial" w:hAnsi="Arial" w:cs="Arial"/>
                <w:b/>
                <w:bCs/>
                <w:sz w:val="16"/>
                <w:szCs w:val="18"/>
              </w:rPr>
              <w:t>98</w:t>
            </w:r>
          </w:p>
        </w:tc>
      </w:tr>
    </w:tbl>
    <w:p w14:paraId="40FB5F52" w14:textId="77777777" w:rsidR="00350F69" w:rsidRPr="001B525F" w:rsidRDefault="00350F69" w:rsidP="00CC0143">
      <w:pPr>
        <w:spacing w:after="0"/>
        <w:jc w:val="both"/>
        <w:rPr>
          <w:rFonts w:ascii="Arial" w:hAnsi="Arial" w:cs="Arial"/>
          <w:sz w:val="18"/>
          <w:szCs w:val="18"/>
        </w:rPr>
      </w:pPr>
    </w:p>
    <w:p w14:paraId="0684A9C7" w14:textId="77777777" w:rsidR="00350F69" w:rsidRPr="001B525F" w:rsidRDefault="00350F69" w:rsidP="00CC0143">
      <w:pPr>
        <w:spacing w:after="0"/>
        <w:contextualSpacing/>
        <w:jc w:val="both"/>
        <w:rPr>
          <w:rFonts w:ascii="Arial" w:hAnsi="Arial" w:cs="Arial"/>
          <w:sz w:val="18"/>
          <w:szCs w:val="18"/>
        </w:rPr>
      </w:pPr>
      <w:r w:rsidRPr="001B525F">
        <w:rPr>
          <w:rFonts w:ascii="Arial" w:hAnsi="Arial" w:cs="Arial"/>
          <w:sz w:val="18"/>
          <w:szCs w:val="18"/>
        </w:rPr>
        <w:t>b) Gestionado.</w:t>
      </w:r>
    </w:p>
    <w:p w14:paraId="1322CA93" w14:textId="77777777" w:rsidR="0081522E" w:rsidRDefault="0081522E" w:rsidP="0081522E">
      <w:pPr>
        <w:spacing w:after="0"/>
        <w:jc w:val="both"/>
        <w:rPr>
          <w:rFonts w:ascii="Arial" w:hAnsi="Arial" w:cs="Arial"/>
          <w:spacing w:val="-4"/>
          <w:sz w:val="18"/>
          <w:szCs w:val="18"/>
        </w:rPr>
      </w:pPr>
    </w:p>
    <w:p w14:paraId="28532A1C" w14:textId="59533E2F" w:rsidR="00BF0205" w:rsidRDefault="00350F69" w:rsidP="0081522E">
      <w:pPr>
        <w:spacing w:after="0"/>
        <w:jc w:val="both"/>
        <w:rPr>
          <w:rFonts w:ascii="Arial" w:hAnsi="Arial" w:cs="Arial"/>
          <w:spacing w:val="-4"/>
          <w:sz w:val="18"/>
          <w:szCs w:val="18"/>
        </w:rPr>
      </w:pPr>
      <w:r w:rsidRPr="0081522E">
        <w:rPr>
          <w:rFonts w:ascii="Arial" w:hAnsi="Arial" w:cs="Arial"/>
          <w:spacing w:val="-4"/>
          <w:sz w:val="18"/>
          <w:szCs w:val="18"/>
        </w:rPr>
        <w:t>Por costos de instalación de una sola vez:</w:t>
      </w:r>
    </w:p>
    <w:p w14:paraId="69857B52" w14:textId="77777777" w:rsidR="00CC2512" w:rsidRPr="0081522E" w:rsidRDefault="00CC2512" w:rsidP="0081522E">
      <w:pPr>
        <w:spacing w:after="0"/>
        <w:jc w:val="both"/>
        <w:rPr>
          <w:rFonts w:ascii="Arial" w:hAnsi="Arial" w:cs="Arial"/>
          <w:spacing w:val="-4"/>
          <w:sz w:val="18"/>
          <w:szCs w:val="18"/>
        </w:rPr>
      </w:pPr>
    </w:p>
    <w:tbl>
      <w:tblPr>
        <w:tblStyle w:val="Tabladecuadrcula4"/>
        <w:tblW w:w="3376" w:type="pct"/>
        <w:jc w:val="center"/>
        <w:tblLayout w:type="fixed"/>
        <w:tblLook w:val="04A0" w:firstRow="1" w:lastRow="0" w:firstColumn="1" w:lastColumn="0" w:noHBand="0" w:noVBand="1"/>
      </w:tblPr>
      <w:tblGrid>
        <w:gridCol w:w="3539"/>
        <w:gridCol w:w="2804"/>
      </w:tblGrid>
      <w:tr w:rsidR="001B525F" w:rsidRPr="00A22C50" w14:paraId="53C32DDE" w14:textId="77777777" w:rsidTr="00A22C50">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279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71AC9DB0" w14:textId="77777777" w:rsidR="00350F69" w:rsidRPr="00A22C50" w:rsidRDefault="00350F69" w:rsidP="001B2640">
            <w:pPr>
              <w:spacing w:after="0"/>
              <w:jc w:val="center"/>
              <w:rPr>
                <w:rFonts w:ascii="Arial" w:eastAsia="Times New Roman" w:hAnsi="Arial" w:cs="Arial"/>
                <w:color w:val="auto"/>
                <w:sz w:val="16"/>
                <w:szCs w:val="18"/>
              </w:rPr>
            </w:pPr>
            <w:r w:rsidRPr="00A22C50">
              <w:rPr>
                <w:rFonts w:ascii="Arial" w:eastAsia="Times New Roman" w:hAnsi="Arial" w:cs="Arial"/>
                <w:color w:val="auto"/>
                <w:sz w:val="16"/>
                <w:szCs w:val="18"/>
              </w:rPr>
              <w:t>Concepto</w:t>
            </w:r>
          </w:p>
        </w:tc>
        <w:tc>
          <w:tcPr>
            <w:tcW w:w="221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62A6D44"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Gastos de instalación</w:t>
            </w:r>
          </w:p>
          <w:p w14:paraId="24AE74CA"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(Pesos M.N.)</w:t>
            </w:r>
          </w:p>
        </w:tc>
      </w:tr>
      <w:tr w:rsidR="001B525F" w:rsidRPr="00A22C50" w14:paraId="6D87C9ED" w14:textId="77777777" w:rsidTr="00A22C5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790" w:type="pct"/>
            <w:tcBorders>
              <w:top w:val="single" w:sz="4" w:space="0" w:color="000000"/>
            </w:tcBorders>
            <w:noWrap/>
          </w:tcPr>
          <w:p w14:paraId="01C3783E" w14:textId="77777777" w:rsidR="00350F69" w:rsidRPr="00A22C50" w:rsidRDefault="00350F69" w:rsidP="00CC0143">
            <w:pPr>
              <w:spacing w:after="0"/>
              <w:jc w:val="both"/>
              <w:rPr>
                <w:rFonts w:ascii="Arial" w:hAnsi="Arial" w:cs="Arial"/>
                <w:sz w:val="16"/>
                <w:szCs w:val="18"/>
              </w:rPr>
            </w:pPr>
            <w:r w:rsidRPr="00A22C50">
              <w:rPr>
                <w:rFonts w:ascii="Arial" w:hAnsi="Arial" w:cs="Arial"/>
                <w:sz w:val="16"/>
                <w:szCs w:val="18"/>
              </w:rPr>
              <w:t>Por cada coubicación por un enlace de 1 Gbps</w:t>
            </w:r>
          </w:p>
        </w:tc>
        <w:tc>
          <w:tcPr>
            <w:tcW w:w="2210" w:type="pct"/>
            <w:tcBorders>
              <w:top w:val="single" w:sz="4" w:space="0" w:color="000000"/>
            </w:tcBorders>
            <w:noWrap/>
          </w:tcPr>
          <w:p w14:paraId="42E886CA" w14:textId="661DAAE6" w:rsidR="00350F69" w:rsidRPr="00074509" w:rsidRDefault="00350F69" w:rsidP="003C07F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hAnsi="Arial" w:cs="Arial"/>
                <w:b/>
                <w:sz w:val="16"/>
                <w:szCs w:val="18"/>
              </w:rPr>
              <w:t>$1</w:t>
            </w:r>
            <w:r w:rsidR="002B0539" w:rsidRPr="00074509">
              <w:rPr>
                <w:rFonts w:ascii="Arial" w:hAnsi="Arial" w:cs="Arial"/>
                <w:b/>
                <w:sz w:val="16"/>
                <w:szCs w:val="18"/>
              </w:rPr>
              <w:t>5</w:t>
            </w:r>
            <w:r w:rsidR="0021066F" w:rsidRPr="00074509">
              <w:rPr>
                <w:rFonts w:ascii="Arial" w:hAnsi="Arial" w:cs="Arial"/>
                <w:b/>
                <w:sz w:val="16"/>
                <w:szCs w:val="18"/>
              </w:rPr>
              <w:t>2,353.</w:t>
            </w:r>
            <w:r w:rsidR="0021066F" w:rsidRPr="00074509">
              <w:rPr>
                <w:rFonts w:ascii="Arial" w:hAnsi="Arial" w:cs="Arial"/>
                <w:b/>
                <w:bCs/>
                <w:sz w:val="16"/>
                <w:szCs w:val="18"/>
              </w:rPr>
              <w:t>54</w:t>
            </w:r>
          </w:p>
        </w:tc>
      </w:tr>
      <w:tr w:rsidR="001B525F" w:rsidRPr="00A22C50" w14:paraId="1179D919" w14:textId="77777777" w:rsidTr="00A22C50">
        <w:trPr>
          <w:trHeight w:val="256"/>
          <w:jc w:val="center"/>
        </w:trPr>
        <w:tc>
          <w:tcPr>
            <w:cnfStyle w:val="001000000000" w:firstRow="0" w:lastRow="0" w:firstColumn="1" w:lastColumn="0" w:oddVBand="0" w:evenVBand="0" w:oddHBand="0" w:evenHBand="0" w:firstRowFirstColumn="0" w:firstRowLastColumn="0" w:lastRowFirstColumn="0" w:lastRowLastColumn="0"/>
            <w:tcW w:w="2790" w:type="pct"/>
            <w:noWrap/>
          </w:tcPr>
          <w:p w14:paraId="0D5A7213" w14:textId="77777777" w:rsidR="00350F69" w:rsidRPr="00A22C50" w:rsidRDefault="00350F69" w:rsidP="00CC0143">
            <w:pPr>
              <w:spacing w:after="0"/>
              <w:jc w:val="both"/>
              <w:rPr>
                <w:rFonts w:ascii="Arial" w:hAnsi="Arial" w:cs="Arial"/>
                <w:sz w:val="16"/>
                <w:szCs w:val="18"/>
              </w:rPr>
            </w:pPr>
            <w:r w:rsidRPr="00A22C50">
              <w:rPr>
                <w:rFonts w:ascii="Arial" w:hAnsi="Arial" w:cs="Arial"/>
                <w:sz w:val="16"/>
                <w:szCs w:val="18"/>
              </w:rPr>
              <w:t>Despliegue de fibra por metro lineal</w:t>
            </w:r>
          </w:p>
        </w:tc>
        <w:tc>
          <w:tcPr>
            <w:tcW w:w="2210" w:type="pct"/>
            <w:noWrap/>
          </w:tcPr>
          <w:p w14:paraId="61D708CF" w14:textId="1B323171" w:rsidR="00350F69" w:rsidRPr="00074509"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w:t>
            </w:r>
            <w:r w:rsidR="00757CA5" w:rsidRPr="00074509">
              <w:rPr>
                <w:rFonts w:ascii="Arial" w:eastAsia="Times New Roman" w:hAnsi="Arial" w:cs="Arial"/>
                <w:b/>
                <w:sz w:val="16"/>
                <w:szCs w:val="18"/>
              </w:rPr>
              <w:t>5</w:t>
            </w:r>
            <w:r w:rsidR="0021066F" w:rsidRPr="00074509">
              <w:rPr>
                <w:rFonts w:ascii="Arial" w:eastAsia="Times New Roman" w:hAnsi="Arial" w:cs="Arial"/>
                <w:b/>
                <w:sz w:val="16"/>
                <w:szCs w:val="18"/>
              </w:rPr>
              <w:t>8.</w:t>
            </w:r>
            <w:r w:rsidR="0021066F" w:rsidRPr="00074509">
              <w:rPr>
                <w:rFonts w:ascii="Arial" w:eastAsia="Times New Roman" w:hAnsi="Arial" w:cs="Arial"/>
                <w:b/>
                <w:bCs/>
                <w:sz w:val="16"/>
                <w:szCs w:val="18"/>
              </w:rPr>
              <w:t>45</w:t>
            </w:r>
          </w:p>
        </w:tc>
      </w:tr>
      <w:tr w:rsidR="001B525F" w:rsidRPr="00A22C50" w14:paraId="71236FA9" w14:textId="77777777" w:rsidTr="00A22C5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790" w:type="pct"/>
            <w:noWrap/>
          </w:tcPr>
          <w:p w14:paraId="0A8A5D24" w14:textId="77777777" w:rsidR="00350F69" w:rsidRPr="00A22C50" w:rsidRDefault="00350F69" w:rsidP="00CC0143">
            <w:pPr>
              <w:spacing w:after="0"/>
              <w:jc w:val="both"/>
              <w:rPr>
                <w:rFonts w:ascii="Arial" w:hAnsi="Arial" w:cs="Arial"/>
                <w:sz w:val="16"/>
                <w:szCs w:val="18"/>
              </w:rPr>
            </w:pPr>
            <w:r w:rsidRPr="00A22C50">
              <w:rPr>
                <w:rFonts w:ascii="Arial" w:hAnsi="Arial" w:cs="Arial"/>
                <w:sz w:val="16"/>
                <w:szCs w:val="18"/>
              </w:rPr>
              <w:t>Construcción de escalerilla por metro lineal</w:t>
            </w:r>
          </w:p>
        </w:tc>
        <w:tc>
          <w:tcPr>
            <w:tcW w:w="2210" w:type="pct"/>
            <w:noWrap/>
          </w:tcPr>
          <w:p w14:paraId="7923E55F" w14:textId="731AE1DC" w:rsidR="00350F69" w:rsidRPr="00074509"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074509">
              <w:rPr>
                <w:rFonts w:ascii="Arial" w:hAnsi="Arial" w:cs="Arial"/>
                <w:b/>
                <w:sz w:val="16"/>
                <w:szCs w:val="18"/>
              </w:rPr>
              <w:t>$</w:t>
            </w:r>
            <w:r w:rsidR="002B0539" w:rsidRPr="00074509">
              <w:rPr>
                <w:rFonts w:ascii="Arial" w:hAnsi="Arial" w:cs="Arial"/>
                <w:b/>
                <w:sz w:val="16"/>
                <w:szCs w:val="18"/>
              </w:rPr>
              <w:t>5</w:t>
            </w:r>
            <w:r w:rsidR="0021066F" w:rsidRPr="00074509">
              <w:rPr>
                <w:rFonts w:ascii="Arial" w:hAnsi="Arial" w:cs="Arial"/>
                <w:b/>
                <w:sz w:val="16"/>
                <w:szCs w:val="18"/>
              </w:rPr>
              <w:t>45.</w:t>
            </w:r>
            <w:r w:rsidR="0021066F" w:rsidRPr="00074509">
              <w:rPr>
                <w:rFonts w:ascii="Arial" w:hAnsi="Arial" w:cs="Arial"/>
                <w:b/>
                <w:bCs/>
                <w:sz w:val="16"/>
                <w:szCs w:val="18"/>
              </w:rPr>
              <w:t>52</w:t>
            </w:r>
          </w:p>
        </w:tc>
      </w:tr>
    </w:tbl>
    <w:p w14:paraId="7A54650C" w14:textId="77777777" w:rsidR="00CC2512" w:rsidRDefault="00CC2512" w:rsidP="0081522E">
      <w:pPr>
        <w:spacing w:after="0"/>
        <w:jc w:val="both"/>
        <w:rPr>
          <w:rFonts w:ascii="Arial" w:hAnsi="Arial" w:cs="Arial"/>
          <w:spacing w:val="-4"/>
          <w:sz w:val="18"/>
          <w:szCs w:val="18"/>
        </w:rPr>
      </w:pPr>
    </w:p>
    <w:p w14:paraId="74586DA8" w14:textId="35FB0750" w:rsidR="00350F69" w:rsidRPr="0081522E" w:rsidRDefault="00350F69" w:rsidP="0081522E">
      <w:pPr>
        <w:spacing w:after="0"/>
        <w:jc w:val="both"/>
        <w:rPr>
          <w:rFonts w:ascii="Arial" w:hAnsi="Arial" w:cs="Arial"/>
          <w:spacing w:val="-4"/>
          <w:sz w:val="18"/>
          <w:szCs w:val="18"/>
        </w:rPr>
      </w:pPr>
      <w:r w:rsidRPr="0081522E">
        <w:rPr>
          <w:rFonts w:ascii="Arial" w:hAnsi="Arial" w:cs="Arial"/>
          <w:spacing w:val="-4"/>
          <w:sz w:val="18"/>
          <w:szCs w:val="18"/>
        </w:rPr>
        <w:t xml:space="preserve">Por gastos de mantenimiento mensuales: </w:t>
      </w:r>
    </w:p>
    <w:p w14:paraId="5D06FE41" w14:textId="77777777" w:rsidR="00BF0205" w:rsidRPr="001B525F" w:rsidRDefault="00BF0205" w:rsidP="00CC0143">
      <w:pPr>
        <w:pStyle w:val="Prrafodelista"/>
        <w:spacing w:line="276" w:lineRule="auto"/>
        <w:ind w:left="720"/>
        <w:rPr>
          <w:rFonts w:cs="Arial"/>
          <w:sz w:val="18"/>
          <w:szCs w:val="18"/>
        </w:rPr>
      </w:pPr>
    </w:p>
    <w:tbl>
      <w:tblPr>
        <w:tblStyle w:val="Tabladecuadrcula4"/>
        <w:tblW w:w="3506" w:type="pct"/>
        <w:tblInd w:w="1271" w:type="dxa"/>
        <w:tblLayout w:type="fixed"/>
        <w:tblLook w:val="04A0" w:firstRow="1" w:lastRow="0" w:firstColumn="1" w:lastColumn="0" w:noHBand="0" w:noVBand="1"/>
      </w:tblPr>
      <w:tblGrid>
        <w:gridCol w:w="3827"/>
        <w:gridCol w:w="2760"/>
      </w:tblGrid>
      <w:tr w:rsidR="001B525F" w:rsidRPr="00A22C50" w14:paraId="1638A760" w14:textId="77777777" w:rsidTr="00F768FE">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7F73C747" w14:textId="77777777" w:rsidR="00350F69" w:rsidRPr="00A22C50" w:rsidRDefault="00350F69" w:rsidP="001B2640">
            <w:pPr>
              <w:spacing w:after="0"/>
              <w:jc w:val="center"/>
              <w:rPr>
                <w:rFonts w:ascii="Arial" w:eastAsia="Times New Roman" w:hAnsi="Arial" w:cs="Arial"/>
                <w:color w:val="auto"/>
                <w:sz w:val="16"/>
                <w:szCs w:val="18"/>
              </w:rPr>
            </w:pPr>
            <w:r w:rsidRPr="00A22C50">
              <w:rPr>
                <w:rFonts w:ascii="Arial" w:eastAsia="Times New Roman" w:hAnsi="Arial" w:cs="Arial"/>
                <w:color w:val="auto"/>
                <w:sz w:val="16"/>
                <w:szCs w:val="18"/>
              </w:rPr>
              <w:t>Concepto</w:t>
            </w:r>
          </w:p>
        </w:tc>
        <w:tc>
          <w:tcPr>
            <w:tcW w:w="209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7B0FBBC"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Contraprestación Mensual</w:t>
            </w:r>
          </w:p>
          <w:p w14:paraId="7BB62865" w14:textId="77777777" w:rsidR="00350F69" w:rsidRPr="00074509"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8"/>
              </w:rPr>
            </w:pPr>
            <w:r w:rsidRPr="00074509">
              <w:rPr>
                <w:rFonts w:ascii="Arial" w:eastAsia="Times New Roman" w:hAnsi="Arial" w:cs="Arial"/>
                <w:color w:val="auto"/>
                <w:sz w:val="16"/>
                <w:szCs w:val="18"/>
              </w:rPr>
              <w:t>(Pesos M.N.)</w:t>
            </w:r>
          </w:p>
        </w:tc>
      </w:tr>
      <w:tr w:rsidR="001B525F" w:rsidRPr="00A22C50" w14:paraId="0687C08C" w14:textId="77777777" w:rsidTr="00F768F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905" w:type="pct"/>
            <w:tcBorders>
              <w:top w:val="single" w:sz="4" w:space="0" w:color="000000"/>
            </w:tcBorders>
            <w:noWrap/>
          </w:tcPr>
          <w:p w14:paraId="1679CAF2" w14:textId="77777777" w:rsidR="00350F69" w:rsidRPr="00A22C50" w:rsidRDefault="00350F69" w:rsidP="00CC0143">
            <w:pPr>
              <w:spacing w:after="0"/>
              <w:jc w:val="both"/>
              <w:rPr>
                <w:rFonts w:ascii="Arial" w:hAnsi="Arial" w:cs="Arial"/>
                <w:sz w:val="16"/>
                <w:szCs w:val="18"/>
              </w:rPr>
            </w:pPr>
            <w:r w:rsidRPr="00A22C50">
              <w:rPr>
                <w:rFonts w:ascii="Arial" w:hAnsi="Arial" w:cs="Arial"/>
                <w:sz w:val="16"/>
                <w:szCs w:val="18"/>
              </w:rPr>
              <w:lastRenderedPageBreak/>
              <w:t>Por cada coubicación y por un enlace de 1 Gbps</w:t>
            </w:r>
          </w:p>
        </w:tc>
        <w:tc>
          <w:tcPr>
            <w:tcW w:w="2095" w:type="pct"/>
            <w:tcBorders>
              <w:top w:val="single" w:sz="4" w:space="0" w:color="000000"/>
            </w:tcBorders>
            <w:noWrap/>
          </w:tcPr>
          <w:p w14:paraId="596B5AD0" w14:textId="6957B6C5" w:rsidR="00350F69" w:rsidRPr="00074509"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8"/>
              </w:rPr>
            </w:pPr>
            <w:r w:rsidRPr="00074509">
              <w:rPr>
                <w:rFonts w:ascii="Arial" w:hAnsi="Arial" w:cs="Arial"/>
                <w:b/>
                <w:sz w:val="16"/>
                <w:szCs w:val="18"/>
              </w:rPr>
              <w:t>$1,</w:t>
            </w:r>
            <w:r w:rsidR="00D326C7" w:rsidRPr="00074509">
              <w:rPr>
                <w:rFonts w:ascii="Arial" w:hAnsi="Arial" w:cs="Arial"/>
                <w:b/>
                <w:sz w:val="16"/>
                <w:szCs w:val="18"/>
              </w:rPr>
              <w:t>5</w:t>
            </w:r>
            <w:r w:rsidR="00F3778F" w:rsidRPr="00074509">
              <w:rPr>
                <w:rFonts w:ascii="Arial" w:hAnsi="Arial" w:cs="Arial"/>
                <w:b/>
                <w:sz w:val="16"/>
                <w:szCs w:val="18"/>
              </w:rPr>
              <w:t>93.</w:t>
            </w:r>
            <w:r w:rsidR="00F3778F" w:rsidRPr="00074509">
              <w:rPr>
                <w:rFonts w:ascii="Arial" w:hAnsi="Arial" w:cs="Arial"/>
                <w:b/>
                <w:bCs/>
                <w:sz w:val="16"/>
                <w:szCs w:val="18"/>
              </w:rPr>
              <w:t>24</w:t>
            </w:r>
          </w:p>
        </w:tc>
      </w:tr>
      <w:tr w:rsidR="001B525F" w:rsidRPr="00A22C50" w14:paraId="0E5F815A" w14:textId="77777777" w:rsidTr="00F768FE">
        <w:trPr>
          <w:trHeight w:val="223"/>
        </w:trPr>
        <w:tc>
          <w:tcPr>
            <w:cnfStyle w:val="001000000000" w:firstRow="0" w:lastRow="0" w:firstColumn="1" w:lastColumn="0" w:oddVBand="0" w:evenVBand="0" w:oddHBand="0" w:evenHBand="0" w:firstRowFirstColumn="0" w:firstRowLastColumn="0" w:lastRowFirstColumn="0" w:lastRowLastColumn="0"/>
            <w:tcW w:w="2905" w:type="pct"/>
            <w:noWrap/>
          </w:tcPr>
          <w:p w14:paraId="20F26C50" w14:textId="77777777" w:rsidR="00350F69" w:rsidRPr="00A22C50" w:rsidRDefault="00350F69" w:rsidP="00CC0143">
            <w:pPr>
              <w:spacing w:after="0"/>
              <w:jc w:val="both"/>
              <w:rPr>
                <w:rFonts w:ascii="Arial" w:eastAsia="Times New Roman" w:hAnsi="Arial" w:cs="Arial"/>
                <w:sz w:val="16"/>
                <w:szCs w:val="18"/>
              </w:rPr>
            </w:pPr>
            <w:r w:rsidRPr="00A22C50">
              <w:rPr>
                <w:rFonts w:ascii="Arial" w:hAnsi="Arial" w:cs="Arial"/>
                <w:sz w:val="16"/>
                <w:szCs w:val="18"/>
              </w:rPr>
              <w:t>Escalerilla y fibra por metro lineal</w:t>
            </w:r>
          </w:p>
        </w:tc>
        <w:tc>
          <w:tcPr>
            <w:tcW w:w="2095" w:type="pct"/>
            <w:noWrap/>
          </w:tcPr>
          <w:p w14:paraId="0F320E69" w14:textId="650B9B86" w:rsidR="00350F69" w:rsidRPr="00074509"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rPr>
            </w:pPr>
            <w:r w:rsidRPr="00074509">
              <w:rPr>
                <w:rFonts w:ascii="Arial" w:eastAsia="Times New Roman" w:hAnsi="Arial" w:cs="Arial"/>
                <w:b/>
                <w:sz w:val="16"/>
                <w:szCs w:val="18"/>
              </w:rPr>
              <w:t>$1</w:t>
            </w:r>
            <w:r w:rsidR="00D326C7" w:rsidRPr="00074509">
              <w:rPr>
                <w:rFonts w:ascii="Arial" w:eastAsia="Times New Roman" w:hAnsi="Arial" w:cs="Arial"/>
                <w:b/>
                <w:sz w:val="16"/>
                <w:szCs w:val="18"/>
              </w:rPr>
              <w:t>6</w:t>
            </w:r>
            <w:r w:rsidR="002B0539" w:rsidRPr="00074509">
              <w:rPr>
                <w:rFonts w:ascii="Arial" w:eastAsia="Times New Roman" w:hAnsi="Arial" w:cs="Arial"/>
                <w:b/>
                <w:sz w:val="16"/>
                <w:szCs w:val="18"/>
              </w:rPr>
              <w:t>.</w:t>
            </w:r>
            <w:r w:rsidR="00F3778F" w:rsidRPr="00074509">
              <w:rPr>
                <w:rFonts w:ascii="Arial" w:eastAsia="Times New Roman" w:hAnsi="Arial" w:cs="Arial"/>
                <w:b/>
                <w:bCs/>
                <w:sz w:val="16"/>
                <w:szCs w:val="18"/>
              </w:rPr>
              <w:t>98</w:t>
            </w:r>
          </w:p>
        </w:tc>
      </w:tr>
    </w:tbl>
    <w:p w14:paraId="00F21DCF" w14:textId="77777777" w:rsidR="00350F69" w:rsidRPr="001B525F" w:rsidRDefault="00350F69" w:rsidP="00CC0143">
      <w:pPr>
        <w:spacing w:after="0"/>
        <w:jc w:val="both"/>
        <w:rPr>
          <w:rFonts w:ascii="Arial" w:hAnsi="Arial" w:cs="Arial"/>
          <w:sz w:val="18"/>
          <w:szCs w:val="18"/>
        </w:rPr>
      </w:pPr>
    </w:p>
    <w:p w14:paraId="636E45F2" w14:textId="38092CEA" w:rsidR="00350F69" w:rsidRPr="001B525F" w:rsidRDefault="00350F69" w:rsidP="00CC0143">
      <w:pPr>
        <w:pStyle w:val="IFTnormal"/>
        <w:spacing w:after="0"/>
        <w:ind w:left="0"/>
        <w:rPr>
          <w:rFonts w:ascii="Arial" w:hAnsi="Arial" w:cs="Arial"/>
          <w:sz w:val="18"/>
          <w:szCs w:val="18"/>
        </w:rPr>
      </w:pPr>
      <w:r w:rsidRPr="001B525F">
        <w:rPr>
          <w:rFonts w:ascii="Arial" w:hAnsi="Arial" w:cs="Arial"/>
          <w:sz w:val="18"/>
          <w:szCs w:val="18"/>
          <w:lang w:val="es-ES_tradnl"/>
        </w:rPr>
        <w:t xml:space="preserve">Las tarifas del servicio de enlaces dedicados de interconexión </w:t>
      </w:r>
      <w:r w:rsidRPr="001B525F">
        <w:rPr>
          <w:rFonts w:ascii="Arial" w:hAnsi="Arial" w:cs="Arial"/>
          <w:sz w:val="18"/>
          <w:szCs w:val="18"/>
        </w:rPr>
        <w:t>serán las que el Instituto determine en la Oferta de Referencia de Arrendamiento de Enlaces Dedicados locales</w:t>
      </w:r>
      <w:r w:rsidR="00F82C8F">
        <w:rPr>
          <w:rFonts w:ascii="Arial" w:hAnsi="Arial" w:cs="Arial"/>
          <w:sz w:val="18"/>
          <w:szCs w:val="18"/>
        </w:rPr>
        <w:t xml:space="preserve"> </w:t>
      </w:r>
      <w:r w:rsidRPr="001B525F">
        <w:rPr>
          <w:rFonts w:ascii="Arial" w:hAnsi="Arial" w:cs="Arial"/>
          <w:sz w:val="18"/>
          <w:szCs w:val="18"/>
        </w:rPr>
        <w:t xml:space="preserve">y de interconexión </w:t>
      </w:r>
      <w:r w:rsidR="009E01CB" w:rsidRPr="001B525F">
        <w:rPr>
          <w:rFonts w:ascii="Arial" w:hAnsi="Arial" w:cs="Arial"/>
          <w:sz w:val="18"/>
          <w:szCs w:val="18"/>
        </w:rPr>
        <w:t>aprobada</w:t>
      </w:r>
      <w:r w:rsidRPr="001B525F">
        <w:rPr>
          <w:rFonts w:ascii="Arial" w:hAnsi="Arial" w:cs="Arial"/>
          <w:sz w:val="18"/>
          <w:szCs w:val="18"/>
        </w:rPr>
        <w:t xml:space="preserve"> </w:t>
      </w:r>
      <w:r w:rsidR="009E01CB" w:rsidRPr="001B525F">
        <w:rPr>
          <w:rFonts w:ascii="Arial" w:hAnsi="Arial" w:cs="Arial"/>
          <w:sz w:val="18"/>
          <w:szCs w:val="18"/>
        </w:rPr>
        <w:t>a</w:t>
      </w:r>
      <w:r w:rsidRPr="001B525F">
        <w:rPr>
          <w:rFonts w:ascii="Arial" w:hAnsi="Arial" w:cs="Arial"/>
          <w:sz w:val="18"/>
          <w:szCs w:val="18"/>
        </w:rPr>
        <w:t xml:space="preserve"> Red Nacional Última Milla S.A.B. de C.V. y Red Última Milla del Noroeste S.A. de C.V. aplicable del 1 de enero al 31 de diciembre de </w:t>
      </w:r>
      <w:r w:rsidR="002B4194" w:rsidRPr="001B525F">
        <w:rPr>
          <w:rFonts w:ascii="Arial" w:hAnsi="Arial" w:cs="Arial"/>
          <w:sz w:val="18"/>
          <w:szCs w:val="18"/>
        </w:rPr>
        <w:t>202</w:t>
      </w:r>
      <w:r w:rsidR="00B02034">
        <w:rPr>
          <w:rFonts w:ascii="Arial" w:hAnsi="Arial" w:cs="Arial"/>
          <w:sz w:val="18"/>
          <w:szCs w:val="18"/>
        </w:rPr>
        <w:t>5</w:t>
      </w:r>
      <w:r w:rsidR="002B4194" w:rsidRPr="001B525F">
        <w:rPr>
          <w:rFonts w:ascii="Arial" w:hAnsi="Arial" w:cs="Arial"/>
          <w:sz w:val="18"/>
          <w:szCs w:val="18"/>
          <w:lang w:val="es-ES_tradnl"/>
        </w:rPr>
        <w:t xml:space="preserve"> </w:t>
      </w:r>
      <w:r w:rsidRPr="001B525F">
        <w:rPr>
          <w:rFonts w:ascii="Arial" w:hAnsi="Arial" w:cs="Arial"/>
          <w:sz w:val="18"/>
          <w:szCs w:val="18"/>
          <w:lang w:val="es-ES_tradnl"/>
        </w:rPr>
        <w:t xml:space="preserve">para los enlaces locales con velocidad de transmisión Ethernet de 1 Gbps. </w:t>
      </w:r>
    </w:p>
    <w:p w14:paraId="187E3427" w14:textId="77777777" w:rsidR="00350F69" w:rsidRPr="001B525F" w:rsidRDefault="00350F69" w:rsidP="00CC0143">
      <w:pPr>
        <w:spacing w:after="0"/>
        <w:ind w:right="20"/>
        <w:jc w:val="both"/>
        <w:rPr>
          <w:rFonts w:ascii="Arial" w:hAnsi="Arial" w:cs="Arial"/>
          <w:sz w:val="18"/>
          <w:szCs w:val="18"/>
          <w:lang w:val="es-ES_tradnl"/>
        </w:rPr>
      </w:pPr>
    </w:p>
    <w:p w14:paraId="3CA375F0" w14:textId="77777777" w:rsidR="00350F69" w:rsidRPr="001B525F" w:rsidRDefault="00350F69" w:rsidP="00CC0143">
      <w:pPr>
        <w:spacing w:after="0"/>
        <w:contextualSpacing/>
        <w:jc w:val="both"/>
        <w:rPr>
          <w:rFonts w:ascii="Arial" w:hAnsi="Arial" w:cs="Arial"/>
          <w:sz w:val="18"/>
          <w:szCs w:val="18"/>
          <w:lang w:val="es-ES_tradnl"/>
        </w:rPr>
      </w:pPr>
      <w:r w:rsidRPr="001B525F">
        <w:rPr>
          <w:rFonts w:ascii="Arial" w:hAnsi="Arial" w:cs="Arial"/>
          <w:sz w:val="18"/>
          <w:szCs w:val="18"/>
          <w:lang w:val="es-ES_tradnl"/>
        </w:rPr>
        <w:t>Lo anterior, otorga certeza jurídica a las partes toda vez que se define la tarifa del servicio mayorista de enlaces dedicados y del servicio de enlaces de interconexión a través de una misma metodología.</w:t>
      </w:r>
    </w:p>
    <w:p w14:paraId="68AE5C65" w14:textId="77777777" w:rsidR="00154C0D" w:rsidRPr="001B525F" w:rsidRDefault="00154C0D" w:rsidP="00CC0143">
      <w:pPr>
        <w:spacing w:after="0"/>
        <w:jc w:val="both"/>
        <w:rPr>
          <w:rFonts w:ascii="Arial" w:hAnsi="Arial" w:cs="Arial"/>
          <w:sz w:val="18"/>
          <w:szCs w:val="18"/>
          <w:lang w:val="es-MX"/>
        </w:rPr>
      </w:pPr>
    </w:p>
    <w:p w14:paraId="42070C55" w14:textId="6E1713C9" w:rsidR="00350F69" w:rsidRPr="001B525F" w:rsidRDefault="00947D7A" w:rsidP="00CC0143">
      <w:pPr>
        <w:spacing w:after="0"/>
        <w:ind w:right="49"/>
        <w:jc w:val="both"/>
        <w:rPr>
          <w:rFonts w:ascii="Arial" w:hAnsi="Arial" w:cs="Arial"/>
          <w:sz w:val="18"/>
          <w:szCs w:val="18"/>
        </w:rPr>
      </w:pPr>
      <w:r w:rsidRPr="5459DB53">
        <w:rPr>
          <w:rFonts w:ascii="Arial" w:hAnsi="Arial" w:cs="Arial"/>
          <w:b/>
          <w:sz w:val="18"/>
          <w:szCs w:val="18"/>
        </w:rPr>
        <w:t xml:space="preserve">Décimo </w:t>
      </w:r>
      <w:r w:rsidR="00520723" w:rsidRPr="5459DB53">
        <w:rPr>
          <w:rFonts w:ascii="Arial" w:hAnsi="Arial" w:cs="Arial"/>
          <w:b/>
          <w:sz w:val="18"/>
          <w:szCs w:val="18"/>
        </w:rPr>
        <w:t>Tercero</w:t>
      </w:r>
      <w:r w:rsidR="00350F69" w:rsidRPr="5459DB53">
        <w:rPr>
          <w:rFonts w:ascii="Arial" w:hAnsi="Arial" w:cs="Arial"/>
          <w:b/>
          <w:sz w:val="18"/>
          <w:szCs w:val="18"/>
        </w:rPr>
        <w:t>.- Consulta pública y Análisis de Impacto Regulatorio.</w:t>
      </w:r>
      <w:r w:rsidR="00350F69" w:rsidRPr="5459DB53">
        <w:rPr>
          <w:rFonts w:ascii="Arial" w:hAnsi="Arial" w:cs="Arial"/>
          <w:sz w:val="18"/>
          <w:szCs w:val="18"/>
        </w:rPr>
        <w:t xml:space="preserve"> El artículo 51 de la LFTR establece que para la emisión y modificación de reglas, lineamientos o disposiciones administrativas de carácter general, así como en cualquier caso que determine el Pleno, el Instituto deberá realizar consultas públicas bajo los principios de transparencia y participación ciudadana; asimismo señala que previamente a la emisión de reglas, lineamientos o disposiciones administrativas de carácter general de que se trate, el Instituto deberá realizar y hacer público un análisis de impacto regulatorio o, en su caso, solicitar el apoyo de la Comisión Federal de Mejora Regulatoria.</w:t>
      </w:r>
    </w:p>
    <w:p w14:paraId="2370FE7C" w14:textId="77777777" w:rsidR="00350F69" w:rsidRPr="001B525F" w:rsidRDefault="00350F69" w:rsidP="00CC0143">
      <w:pPr>
        <w:spacing w:after="0"/>
        <w:ind w:right="49"/>
        <w:jc w:val="both"/>
        <w:rPr>
          <w:rFonts w:ascii="Arial" w:hAnsi="Arial" w:cs="Arial"/>
          <w:bCs/>
          <w:sz w:val="18"/>
          <w:szCs w:val="18"/>
          <w:lang w:val="es-ES_tradnl"/>
        </w:rPr>
      </w:pPr>
    </w:p>
    <w:p w14:paraId="7876E906" w14:textId="5D37234D"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 xml:space="preserve">En este sentido, el Pleno del Instituto estimó conveniente someter a consulta pública el </w:t>
      </w:r>
      <w:r w:rsidRPr="001B525F">
        <w:rPr>
          <w:rFonts w:ascii="Arial" w:hAnsi="Arial" w:cs="Arial"/>
          <w:sz w:val="18"/>
          <w:szCs w:val="18"/>
        </w:rPr>
        <w:t>Anteproyecto de Acuerdo.</w:t>
      </w:r>
      <w:r w:rsidRPr="001B525F">
        <w:rPr>
          <w:rFonts w:ascii="Arial" w:hAnsi="Arial" w:cs="Arial"/>
          <w:bCs/>
          <w:sz w:val="18"/>
          <w:szCs w:val="18"/>
        </w:rPr>
        <w:t xml:space="preserve"> </w:t>
      </w:r>
      <w:r w:rsidRPr="001B525F">
        <w:rPr>
          <w:rFonts w:ascii="Arial" w:hAnsi="Arial" w:cs="Arial"/>
          <w:bCs/>
          <w:sz w:val="18"/>
          <w:szCs w:val="18"/>
          <w:lang w:val="es-ES_tradnl"/>
        </w:rPr>
        <w:t xml:space="preserve">Al efecto, una vez concluido el plazo de consulta respectivo, se publicaron en el portal de Internet del Instituto todos y cada uno de los comentarios, opiniones y propuestas concretas recibidas respecto del Anteproyecto materia de dicha consulta pública. En relación con lo anterior, se menciona que, durante la consulta pública de mérito, se recibieron </w:t>
      </w:r>
      <w:r w:rsidR="005A280E">
        <w:rPr>
          <w:rFonts w:ascii="Arial" w:hAnsi="Arial" w:cs="Arial"/>
          <w:bCs/>
          <w:sz w:val="18"/>
          <w:szCs w:val="18"/>
          <w:lang w:val="es-ES_tradnl"/>
        </w:rPr>
        <w:t>5</w:t>
      </w:r>
      <w:r w:rsidR="005A280E" w:rsidRPr="001B525F">
        <w:rPr>
          <w:rFonts w:ascii="Arial" w:hAnsi="Arial" w:cs="Arial"/>
          <w:bCs/>
          <w:sz w:val="18"/>
          <w:szCs w:val="18"/>
          <w:lang w:val="es-ES_tradnl"/>
        </w:rPr>
        <w:t xml:space="preserve"> </w:t>
      </w:r>
      <w:r w:rsidRPr="001B525F">
        <w:rPr>
          <w:rFonts w:ascii="Arial" w:hAnsi="Arial" w:cs="Arial"/>
          <w:bCs/>
          <w:sz w:val="18"/>
          <w:szCs w:val="18"/>
          <w:lang w:val="es-ES_tradnl"/>
        </w:rPr>
        <w:t>participaciones de concesionarios y del público en general.</w:t>
      </w:r>
    </w:p>
    <w:p w14:paraId="04D693DA" w14:textId="77777777" w:rsidR="00350F69" w:rsidRPr="001B525F" w:rsidRDefault="00350F69" w:rsidP="00CC0143">
      <w:pPr>
        <w:spacing w:after="0"/>
        <w:ind w:right="49"/>
        <w:jc w:val="both"/>
        <w:rPr>
          <w:rFonts w:ascii="Arial" w:hAnsi="Arial" w:cs="Arial"/>
          <w:bCs/>
          <w:sz w:val="18"/>
          <w:szCs w:val="18"/>
          <w:lang w:val="es-ES_tradnl"/>
        </w:rPr>
      </w:pPr>
    </w:p>
    <w:p w14:paraId="36F2D1A9" w14:textId="169249B6" w:rsidR="00350F69" w:rsidRDefault="00350F69" w:rsidP="00CC0143">
      <w:pPr>
        <w:spacing w:after="0"/>
        <w:ind w:right="49"/>
        <w:jc w:val="both"/>
        <w:rPr>
          <w:rFonts w:ascii="Arial" w:hAnsi="Arial" w:cs="Arial"/>
          <w:sz w:val="18"/>
          <w:szCs w:val="18"/>
        </w:rPr>
      </w:pPr>
      <w:r w:rsidRPr="5459DB53">
        <w:rPr>
          <w:rFonts w:ascii="Arial" w:hAnsi="Arial" w:cs="Arial"/>
          <w:sz w:val="18"/>
          <w:szCs w:val="18"/>
        </w:rPr>
        <w:t xml:space="preserve">De las manifestaciones y propuestas realizadas, el Instituto identificó oportunidades de precisión y mejora del instrumento regulatorio de mérito, logrando clarificar y robustecer su contenido. Las respuestas y comentarios a las participaciones recibidas del público durante el periodo de consulta </w:t>
      </w:r>
      <w:r w:rsidR="00A05825" w:rsidRPr="5459DB53">
        <w:rPr>
          <w:rFonts w:ascii="Arial" w:hAnsi="Arial" w:cs="Arial"/>
          <w:sz w:val="18"/>
          <w:szCs w:val="18"/>
        </w:rPr>
        <w:t>pública</w:t>
      </w:r>
      <w:r w:rsidRPr="5459DB53">
        <w:rPr>
          <w:rFonts w:ascii="Arial" w:hAnsi="Arial" w:cs="Arial"/>
          <w:sz w:val="18"/>
          <w:szCs w:val="18"/>
        </w:rPr>
        <w:t xml:space="preserve"> se encuentran disponibles en la página de Internet del Instituto.</w:t>
      </w:r>
    </w:p>
    <w:p w14:paraId="05227A1A" w14:textId="77777777" w:rsidR="002B4194" w:rsidRPr="001B525F" w:rsidRDefault="002B4194" w:rsidP="00CC0143">
      <w:pPr>
        <w:spacing w:after="0"/>
        <w:ind w:right="49"/>
        <w:jc w:val="both"/>
        <w:rPr>
          <w:rFonts w:ascii="Arial" w:hAnsi="Arial" w:cs="Arial"/>
          <w:bCs/>
          <w:sz w:val="18"/>
          <w:szCs w:val="18"/>
          <w:lang w:val="es-ES_tradnl"/>
        </w:rPr>
      </w:pPr>
    </w:p>
    <w:p w14:paraId="79B7EB6C" w14:textId="77777777"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Por otra parte, la Unidad de Política Regulatoria del Instituto realizó el Análisis de Impacto Regulatorio correspondiente, mismo que fue sometido formalmente a opinión no vinculante de la Coordinación General de Mejora Regulatoria del propio Instituto.</w:t>
      </w:r>
    </w:p>
    <w:p w14:paraId="1FCF9868" w14:textId="77777777" w:rsidR="00350F69" w:rsidRPr="001B525F" w:rsidRDefault="00350F69" w:rsidP="006B3C22">
      <w:pPr>
        <w:spacing w:after="0"/>
        <w:ind w:right="49"/>
        <w:jc w:val="center"/>
        <w:rPr>
          <w:rFonts w:ascii="Arial" w:hAnsi="Arial" w:cs="Arial"/>
          <w:bCs/>
          <w:sz w:val="18"/>
          <w:szCs w:val="18"/>
          <w:lang w:val="es-ES_tradnl"/>
        </w:rPr>
      </w:pPr>
    </w:p>
    <w:p w14:paraId="7A167F28" w14:textId="5A11D115"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 xml:space="preserve">Como consecuencia de lo anterior, mediante </w:t>
      </w:r>
      <w:r w:rsidRPr="006B3C22">
        <w:rPr>
          <w:rFonts w:ascii="Arial" w:hAnsi="Arial" w:cs="Arial"/>
          <w:bCs/>
          <w:sz w:val="18"/>
          <w:szCs w:val="18"/>
          <w:lang w:val="es-ES_tradnl"/>
        </w:rPr>
        <w:t>oficio IFT/211/CGMR</w:t>
      </w:r>
      <w:r w:rsidRPr="005517F6">
        <w:rPr>
          <w:rFonts w:ascii="Arial" w:hAnsi="Arial" w:cs="Arial"/>
          <w:bCs/>
          <w:sz w:val="18"/>
          <w:szCs w:val="18"/>
          <w:lang w:val="es-ES_tradnl"/>
        </w:rPr>
        <w:t>/</w:t>
      </w:r>
      <w:r w:rsidR="005517F6">
        <w:rPr>
          <w:rFonts w:ascii="Arial" w:hAnsi="Arial" w:cs="Arial"/>
          <w:bCs/>
          <w:sz w:val="18"/>
          <w:szCs w:val="18"/>
          <w:lang w:val="es-ES_tradnl"/>
        </w:rPr>
        <w:t>157</w:t>
      </w:r>
      <w:r w:rsidRPr="005517F6">
        <w:rPr>
          <w:rFonts w:ascii="Arial" w:hAnsi="Arial" w:cs="Arial"/>
          <w:bCs/>
          <w:sz w:val="18"/>
          <w:szCs w:val="18"/>
          <w:lang w:val="es-ES_tradnl"/>
        </w:rPr>
        <w:t>/20</w:t>
      </w:r>
      <w:r w:rsidR="00D175F2" w:rsidRPr="005517F6">
        <w:rPr>
          <w:rFonts w:ascii="Arial" w:hAnsi="Arial" w:cs="Arial"/>
          <w:bCs/>
          <w:sz w:val="18"/>
          <w:szCs w:val="18"/>
          <w:lang w:val="es-ES_tradnl"/>
        </w:rPr>
        <w:t>2</w:t>
      </w:r>
      <w:r w:rsidR="001F700A" w:rsidRPr="005517F6">
        <w:rPr>
          <w:rFonts w:ascii="Arial" w:hAnsi="Arial" w:cs="Arial"/>
          <w:bCs/>
          <w:sz w:val="18"/>
          <w:szCs w:val="18"/>
          <w:lang w:val="es-ES_tradnl"/>
        </w:rPr>
        <w:t>4</w:t>
      </w:r>
      <w:r w:rsidRPr="005517F6">
        <w:rPr>
          <w:rFonts w:ascii="Arial" w:hAnsi="Arial" w:cs="Arial"/>
          <w:bCs/>
          <w:sz w:val="18"/>
          <w:szCs w:val="18"/>
          <w:lang w:val="es-ES_tradnl"/>
        </w:rPr>
        <w:t xml:space="preserve"> del </w:t>
      </w:r>
      <w:r w:rsidR="00554A1B">
        <w:rPr>
          <w:rFonts w:ascii="Arial" w:hAnsi="Arial" w:cs="Arial"/>
          <w:bCs/>
          <w:sz w:val="18"/>
          <w:szCs w:val="18"/>
          <w:lang w:val="es-ES_tradnl"/>
        </w:rPr>
        <w:t>23</w:t>
      </w:r>
      <w:r w:rsidR="001F700A" w:rsidRPr="005517F6">
        <w:rPr>
          <w:rFonts w:ascii="Arial" w:hAnsi="Arial" w:cs="Arial"/>
          <w:bCs/>
          <w:sz w:val="18"/>
          <w:szCs w:val="18"/>
          <w:lang w:val="es-ES_tradnl"/>
        </w:rPr>
        <w:t xml:space="preserve"> </w:t>
      </w:r>
      <w:r w:rsidRPr="005517F6">
        <w:rPr>
          <w:rFonts w:ascii="Arial" w:hAnsi="Arial" w:cs="Arial"/>
          <w:bCs/>
          <w:sz w:val="18"/>
          <w:szCs w:val="18"/>
          <w:lang w:val="es-ES_tradnl"/>
        </w:rPr>
        <w:t xml:space="preserve">de </w:t>
      </w:r>
      <w:r w:rsidR="00554A1B">
        <w:rPr>
          <w:rFonts w:ascii="Arial" w:hAnsi="Arial" w:cs="Arial"/>
          <w:bCs/>
          <w:sz w:val="18"/>
          <w:szCs w:val="18"/>
          <w:lang w:val="es-ES_tradnl"/>
        </w:rPr>
        <w:t>septiembre</w:t>
      </w:r>
      <w:r w:rsidR="00554A1B" w:rsidRPr="005517F6">
        <w:rPr>
          <w:rFonts w:ascii="Arial" w:hAnsi="Arial" w:cs="Arial"/>
          <w:bCs/>
          <w:sz w:val="18"/>
          <w:szCs w:val="18"/>
          <w:lang w:val="es-ES_tradnl"/>
        </w:rPr>
        <w:t xml:space="preserve"> </w:t>
      </w:r>
      <w:r w:rsidRPr="005517F6">
        <w:rPr>
          <w:rFonts w:ascii="Arial" w:hAnsi="Arial" w:cs="Arial"/>
          <w:bCs/>
          <w:sz w:val="18"/>
          <w:szCs w:val="18"/>
          <w:lang w:val="es-ES_tradnl"/>
        </w:rPr>
        <w:t>de 20</w:t>
      </w:r>
      <w:r w:rsidR="00D175F2" w:rsidRPr="005517F6">
        <w:rPr>
          <w:rFonts w:ascii="Arial" w:hAnsi="Arial" w:cs="Arial"/>
          <w:bCs/>
          <w:sz w:val="18"/>
          <w:szCs w:val="18"/>
          <w:lang w:val="es-ES_tradnl"/>
        </w:rPr>
        <w:t>2</w:t>
      </w:r>
      <w:r w:rsidR="001F700A" w:rsidRPr="005517F6">
        <w:rPr>
          <w:rFonts w:ascii="Arial" w:hAnsi="Arial" w:cs="Arial"/>
          <w:bCs/>
          <w:sz w:val="18"/>
          <w:szCs w:val="18"/>
          <w:lang w:val="es-ES_tradnl"/>
        </w:rPr>
        <w:t>4</w:t>
      </w:r>
      <w:r w:rsidRPr="005517F6">
        <w:rPr>
          <w:rFonts w:ascii="Arial" w:hAnsi="Arial" w:cs="Arial"/>
          <w:bCs/>
          <w:sz w:val="18"/>
          <w:szCs w:val="18"/>
          <w:lang w:val="es-ES_tradnl"/>
        </w:rPr>
        <w:t>, la</w:t>
      </w:r>
      <w:r w:rsidRPr="006B3C22">
        <w:rPr>
          <w:rFonts w:ascii="Arial" w:hAnsi="Arial" w:cs="Arial"/>
          <w:bCs/>
          <w:sz w:val="18"/>
          <w:szCs w:val="18"/>
          <w:lang w:val="es-ES_tradnl"/>
        </w:rPr>
        <w:t xml:space="preserve"> Coordinación General de Mejora Regulatoria emitió la opinión no vinculante respecto del “</w:t>
      </w:r>
      <w:r w:rsidR="00604143">
        <w:rPr>
          <w:rFonts w:ascii="Arial" w:hAnsi="Arial" w:cs="Arial"/>
          <w:bCs/>
          <w:i/>
          <w:sz w:val="18"/>
          <w:szCs w:val="18"/>
          <w:lang w:val="es-ES_tradnl"/>
        </w:rPr>
        <w:t>P</w:t>
      </w:r>
      <w:r w:rsidR="00604143" w:rsidRPr="006B3C22">
        <w:rPr>
          <w:rFonts w:ascii="Arial" w:hAnsi="Arial" w:cs="Arial"/>
          <w:bCs/>
          <w:i/>
          <w:sz w:val="18"/>
          <w:szCs w:val="18"/>
          <w:lang w:val="es-ES_tradnl"/>
        </w:rPr>
        <w:t xml:space="preserve">royecto </w:t>
      </w:r>
      <w:r w:rsidRPr="006B3C22">
        <w:rPr>
          <w:rFonts w:ascii="Arial" w:hAnsi="Arial" w:cs="Arial"/>
          <w:bCs/>
          <w:i/>
          <w:sz w:val="18"/>
          <w:szCs w:val="18"/>
          <w:lang w:val="es-ES_tradnl"/>
        </w:rPr>
        <w:t>de las</w:t>
      </w:r>
      <w:r w:rsidRPr="001B525F">
        <w:rPr>
          <w:rFonts w:ascii="Arial" w:hAnsi="Arial" w:cs="Arial"/>
          <w:bCs/>
          <w:i/>
          <w:sz w:val="18"/>
          <w:szCs w:val="18"/>
          <w:lang w:val="es-ES_tradnl"/>
        </w:rPr>
        <w:t xml:space="preserve"> </w:t>
      </w:r>
      <w:r w:rsidRPr="00612B2D">
        <w:rPr>
          <w:rFonts w:ascii="Arial" w:hAnsi="Arial" w:cs="Arial"/>
          <w:bCs/>
          <w:i/>
          <w:iCs/>
          <w:sz w:val="18"/>
          <w:szCs w:val="18"/>
          <w:lang w:val="es-ES_tradnl"/>
        </w:rPr>
        <w:t>Condiciones</w:t>
      </w:r>
      <w:r w:rsidRPr="001B525F">
        <w:rPr>
          <w:rFonts w:ascii="Arial" w:hAnsi="Arial" w:cs="Arial"/>
          <w:bCs/>
          <w:i/>
          <w:sz w:val="18"/>
          <w:szCs w:val="18"/>
          <w:lang w:val="es-ES_tradnl"/>
        </w:rPr>
        <w:t xml:space="preserve"> Técnicas Mínimas para la interconexión entre concesionarios que operen redes públicas de telecomunicaciones y las tarifas que resulten de las metodologías de costos que estarán vigentes del 1 de enero al 31 de diciembre de 202</w:t>
      </w:r>
      <w:r w:rsidR="00016C7C">
        <w:rPr>
          <w:rFonts w:ascii="Arial" w:hAnsi="Arial" w:cs="Arial"/>
          <w:bCs/>
          <w:i/>
          <w:sz w:val="18"/>
          <w:szCs w:val="18"/>
          <w:lang w:val="es-ES_tradnl"/>
        </w:rPr>
        <w:t>5</w:t>
      </w:r>
      <w:r w:rsidRPr="001B525F">
        <w:rPr>
          <w:rFonts w:ascii="Arial" w:hAnsi="Arial" w:cs="Arial"/>
          <w:bCs/>
          <w:sz w:val="18"/>
          <w:szCs w:val="18"/>
          <w:lang w:val="es-ES_tradnl"/>
        </w:rPr>
        <w:t>”.</w:t>
      </w:r>
    </w:p>
    <w:p w14:paraId="4C191645" w14:textId="77777777" w:rsidR="00350F69" w:rsidRPr="001B525F" w:rsidRDefault="00350F69" w:rsidP="00CC0143">
      <w:pPr>
        <w:spacing w:after="0"/>
        <w:ind w:right="49"/>
        <w:jc w:val="both"/>
        <w:rPr>
          <w:rFonts w:ascii="Arial" w:hAnsi="Arial" w:cs="Arial"/>
          <w:bCs/>
          <w:sz w:val="18"/>
          <w:szCs w:val="18"/>
          <w:lang w:val="es-ES_tradnl"/>
        </w:rPr>
      </w:pPr>
    </w:p>
    <w:p w14:paraId="79782EE7" w14:textId="4B866A3D"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El Análisis de Impacto Regulatorio del “</w:t>
      </w:r>
      <w:r w:rsidR="00076FE8">
        <w:rPr>
          <w:rFonts w:ascii="Arial" w:hAnsi="Arial" w:cs="Arial"/>
          <w:bCs/>
          <w:i/>
          <w:sz w:val="18"/>
          <w:szCs w:val="18"/>
          <w:lang w:val="es-ES_tradnl"/>
        </w:rPr>
        <w:t>P</w:t>
      </w:r>
      <w:r w:rsidR="00076FE8" w:rsidRPr="001B525F">
        <w:rPr>
          <w:rFonts w:ascii="Arial" w:hAnsi="Arial" w:cs="Arial"/>
          <w:bCs/>
          <w:i/>
          <w:sz w:val="18"/>
          <w:szCs w:val="18"/>
          <w:lang w:val="es-ES_tradnl"/>
        </w:rPr>
        <w:t xml:space="preserve">royecto </w:t>
      </w:r>
      <w:r w:rsidRPr="001B525F">
        <w:rPr>
          <w:rFonts w:ascii="Arial" w:hAnsi="Arial" w:cs="Arial"/>
          <w:bCs/>
          <w:i/>
          <w:sz w:val="18"/>
          <w:szCs w:val="18"/>
          <w:lang w:val="es-ES_tradnl"/>
        </w:rPr>
        <w:t xml:space="preserve">de las Condiciones Técnicas Mínimas para la interconexión entre concesionarios que operen redes públicas de telecomunicaciones y las tarifas que resulten de las metodologías de costos que estarán vigentes del 1 de enero al 31 de diciembre de </w:t>
      </w:r>
      <w:r w:rsidR="002B4194" w:rsidRPr="001B525F">
        <w:rPr>
          <w:rFonts w:ascii="Arial" w:hAnsi="Arial" w:cs="Arial"/>
          <w:bCs/>
          <w:i/>
          <w:sz w:val="18"/>
          <w:szCs w:val="18"/>
          <w:lang w:val="es-ES_tradnl"/>
        </w:rPr>
        <w:t>202</w:t>
      </w:r>
      <w:r w:rsidR="00B02034">
        <w:rPr>
          <w:rFonts w:ascii="Arial" w:hAnsi="Arial" w:cs="Arial"/>
          <w:bCs/>
          <w:i/>
          <w:sz w:val="18"/>
          <w:szCs w:val="18"/>
          <w:lang w:val="es-ES_tradnl"/>
        </w:rPr>
        <w:t>5</w:t>
      </w:r>
      <w:r w:rsidRPr="001B525F">
        <w:rPr>
          <w:rFonts w:ascii="Arial" w:hAnsi="Arial" w:cs="Arial"/>
          <w:bCs/>
          <w:sz w:val="18"/>
          <w:szCs w:val="18"/>
          <w:lang w:val="es-ES_tradnl"/>
        </w:rPr>
        <w:t>”, fue debidamente publicado en la página de Internet del Instituto, en el espacio destinado para los procesos de consultas públicas, a efecto de darle debida publicidad.</w:t>
      </w:r>
    </w:p>
    <w:p w14:paraId="12AC4BF5" w14:textId="77777777" w:rsidR="00350F69" w:rsidRPr="001B525F" w:rsidRDefault="00350F69" w:rsidP="00CC0143">
      <w:pPr>
        <w:spacing w:after="0"/>
        <w:ind w:right="49"/>
        <w:jc w:val="both"/>
        <w:rPr>
          <w:rFonts w:ascii="Arial" w:hAnsi="Arial" w:cs="Arial"/>
          <w:bCs/>
          <w:sz w:val="18"/>
          <w:szCs w:val="18"/>
          <w:lang w:val="es-ES_tradnl"/>
        </w:rPr>
      </w:pPr>
    </w:p>
    <w:p w14:paraId="76EAA92D" w14:textId="77777777"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sz w:val="18"/>
          <w:szCs w:val="18"/>
        </w:rPr>
        <w:t>Por las razones antes expuestas, con fundamento en los artículos 6 y 28 de la Constitución Política de los Estados Unidos Mexicanos y artículos 1, 2, 3, 4 fracción I, 7, 15 fracción I, 16, 17 fracción I, 51, 127, 131, 137, 177 fracción XV de la Ley Federal de Telecomunicaciones y Radiodifusión, 1, 4 fracción I y 6 fracción I del Estatuto Orgánico del Instituto Federal de Telecomunicaciones y la “</w:t>
      </w:r>
      <w:r w:rsidRPr="001B525F">
        <w:rPr>
          <w:rFonts w:ascii="Arial" w:hAnsi="Arial" w:cs="Arial"/>
          <w:i/>
          <w:sz w:val="18"/>
          <w:szCs w:val="18"/>
        </w:rPr>
        <w:t>Resolución mediante la cual el Pleno del Instituto Federal de Telecomunicaciones determina al Grupo de Interés Económico del que forman parte América Móvil, S.A.B. de C.V., Teléfonos de México, S.A.B. de C.V., Teléfonos del Noroeste, S.A. de C.V., Radiomóvil Dipsa, S.A.B. de C.V., Grupo Carso, S.A.B. de C.V. y Grupo Financiero lnbursa, S.A.B. de C.V. como Agente Económico Preponderante en el sector de telecomunicaciones y le impone las medidas necesarias para evitar que se afecte la competencia y la libre concurrencia</w:t>
      </w:r>
      <w:r w:rsidRPr="001B525F">
        <w:rPr>
          <w:rFonts w:ascii="Arial" w:hAnsi="Arial" w:cs="Arial"/>
          <w:sz w:val="18"/>
          <w:szCs w:val="18"/>
        </w:rPr>
        <w:t xml:space="preserve">”, </w:t>
      </w:r>
      <w:r w:rsidRPr="001B525F">
        <w:rPr>
          <w:rFonts w:ascii="Arial" w:hAnsi="Arial" w:cs="Arial"/>
          <w:bCs/>
          <w:sz w:val="18"/>
          <w:szCs w:val="18"/>
          <w:lang w:val="es-ES_tradnl"/>
        </w:rPr>
        <w:t>el Pleno del Instituto Federal de Telecomunicaciones emite el siguiente:</w:t>
      </w:r>
    </w:p>
    <w:p w14:paraId="044DEEF2" w14:textId="79AC410B" w:rsidR="002D4839" w:rsidRPr="001B525F" w:rsidRDefault="002D4839" w:rsidP="00CC0143">
      <w:pPr>
        <w:spacing w:after="0"/>
        <w:ind w:right="49"/>
        <w:jc w:val="both"/>
        <w:rPr>
          <w:rFonts w:ascii="Arial" w:hAnsi="Arial" w:cs="Arial"/>
          <w:bCs/>
          <w:sz w:val="18"/>
          <w:szCs w:val="18"/>
          <w:lang w:val="es-ES_tradnl"/>
        </w:rPr>
      </w:pPr>
    </w:p>
    <w:p w14:paraId="13DEC60A" w14:textId="1DFBF289" w:rsidR="00350F69" w:rsidRPr="001B525F" w:rsidRDefault="009E44EA" w:rsidP="00CC0143">
      <w:pPr>
        <w:tabs>
          <w:tab w:val="left" w:pos="4536"/>
        </w:tabs>
        <w:spacing w:after="0"/>
        <w:jc w:val="both"/>
        <w:rPr>
          <w:rFonts w:ascii="Arial" w:eastAsia="Times New Roman" w:hAnsi="Arial" w:cs="Arial"/>
          <w:b/>
          <w:sz w:val="18"/>
          <w:szCs w:val="18"/>
          <w:lang w:eastAsia="es-MX"/>
        </w:rPr>
      </w:pPr>
      <w:bookmarkStart w:id="9" w:name="_Hlk84509944"/>
      <w:r w:rsidRPr="001B525F">
        <w:rPr>
          <w:rFonts w:ascii="Arial" w:eastAsia="Times New Roman" w:hAnsi="Arial" w:cs="Arial"/>
          <w:b/>
          <w:sz w:val="18"/>
          <w:szCs w:val="18"/>
          <w:lang w:eastAsia="es-MX"/>
        </w:rPr>
        <w:t xml:space="preserve">Acuerdo mediante el cual el </w:t>
      </w:r>
      <w:r w:rsidR="0094554E" w:rsidRPr="001B525F">
        <w:rPr>
          <w:rFonts w:ascii="Arial" w:eastAsia="Times New Roman" w:hAnsi="Arial" w:cs="Arial"/>
          <w:b/>
          <w:sz w:val="18"/>
          <w:szCs w:val="18"/>
          <w:lang w:eastAsia="es-MX"/>
        </w:rPr>
        <w:t>P</w:t>
      </w:r>
      <w:r w:rsidRPr="001B525F">
        <w:rPr>
          <w:rFonts w:ascii="Arial" w:eastAsia="Times New Roman" w:hAnsi="Arial" w:cs="Arial"/>
          <w:b/>
          <w:sz w:val="18"/>
          <w:szCs w:val="18"/>
          <w:lang w:eastAsia="es-MX"/>
        </w:rPr>
        <w:t xml:space="preserve">leno del </w:t>
      </w:r>
      <w:r w:rsidR="0094554E" w:rsidRPr="001B525F">
        <w:rPr>
          <w:rFonts w:ascii="Arial" w:eastAsia="Times New Roman" w:hAnsi="Arial" w:cs="Arial"/>
          <w:b/>
          <w:sz w:val="18"/>
          <w:szCs w:val="18"/>
          <w:lang w:eastAsia="es-MX"/>
        </w:rPr>
        <w:t>I</w:t>
      </w:r>
      <w:r w:rsidRPr="001B525F">
        <w:rPr>
          <w:rFonts w:ascii="Arial" w:eastAsia="Times New Roman" w:hAnsi="Arial" w:cs="Arial"/>
          <w:b/>
          <w:sz w:val="18"/>
          <w:szCs w:val="18"/>
          <w:lang w:eastAsia="es-MX"/>
        </w:rPr>
        <w:t xml:space="preserve">nstituto </w:t>
      </w:r>
      <w:r w:rsidR="0094554E" w:rsidRPr="001B525F">
        <w:rPr>
          <w:rFonts w:ascii="Arial" w:eastAsia="Times New Roman" w:hAnsi="Arial" w:cs="Arial"/>
          <w:b/>
          <w:sz w:val="18"/>
          <w:szCs w:val="18"/>
          <w:lang w:eastAsia="es-MX"/>
        </w:rPr>
        <w:t>F</w:t>
      </w:r>
      <w:r w:rsidRPr="001B525F">
        <w:rPr>
          <w:rFonts w:ascii="Arial" w:eastAsia="Times New Roman" w:hAnsi="Arial" w:cs="Arial"/>
          <w:b/>
          <w:sz w:val="18"/>
          <w:szCs w:val="18"/>
          <w:lang w:eastAsia="es-MX"/>
        </w:rPr>
        <w:t xml:space="preserve">ederal de </w:t>
      </w:r>
      <w:r w:rsidR="0094554E" w:rsidRPr="001B525F">
        <w:rPr>
          <w:rFonts w:ascii="Arial" w:eastAsia="Times New Roman" w:hAnsi="Arial" w:cs="Arial"/>
          <w:b/>
          <w:sz w:val="18"/>
          <w:szCs w:val="18"/>
          <w:lang w:eastAsia="es-MX"/>
        </w:rPr>
        <w:t>T</w:t>
      </w:r>
      <w:r w:rsidRPr="001B525F">
        <w:rPr>
          <w:rFonts w:ascii="Arial" w:eastAsia="Times New Roman" w:hAnsi="Arial" w:cs="Arial"/>
          <w:b/>
          <w:sz w:val="18"/>
          <w:szCs w:val="18"/>
          <w:lang w:eastAsia="es-MX"/>
        </w:rPr>
        <w:t xml:space="preserve">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w:t>
      </w:r>
      <w:r w:rsidR="00F6198D" w:rsidRPr="001B525F">
        <w:rPr>
          <w:rFonts w:ascii="Arial" w:eastAsia="Times New Roman" w:hAnsi="Arial" w:cs="Arial"/>
          <w:b/>
          <w:sz w:val="18"/>
          <w:szCs w:val="18"/>
          <w:lang w:eastAsia="es-MX"/>
        </w:rPr>
        <w:t>202</w:t>
      </w:r>
      <w:r w:rsidR="00B02034">
        <w:rPr>
          <w:rFonts w:ascii="Arial" w:eastAsia="Times New Roman" w:hAnsi="Arial" w:cs="Arial"/>
          <w:b/>
          <w:sz w:val="18"/>
          <w:szCs w:val="18"/>
          <w:lang w:eastAsia="es-MX"/>
        </w:rPr>
        <w:t>5</w:t>
      </w:r>
      <w:r w:rsidR="00350F69" w:rsidRPr="001B525F">
        <w:rPr>
          <w:rFonts w:ascii="Arial" w:eastAsia="Times New Roman" w:hAnsi="Arial" w:cs="Arial"/>
          <w:b/>
          <w:sz w:val="18"/>
          <w:szCs w:val="18"/>
          <w:lang w:eastAsia="es-MX"/>
        </w:rPr>
        <w:t>.</w:t>
      </w:r>
    </w:p>
    <w:p w14:paraId="7AC40560" w14:textId="77777777" w:rsidR="00BB484C" w:rsidRPr="001B525F" w:rsidRDefault="00BB484C" w:rsidP="00CC0143">
      <w:pPr>
        <w:spacing w:after="0"/>
        <w:ind w:right="49"/>
        <w:jc w:val="both"/>
        <w:rPr>
          <w:rFonts w:ascii="Arial" w:hAnsi="Arial" w:cs="Arial"/>
          <w:b/>
          <w:sz w:val="18"/>
          <w:szCs w:val="18"/>
        </w:rPr>
      </w:pPr>
    </w:p>
    <w:p w14:paraId="57029F6C" w14:textId="3827C20E" w:rsidR="00350F69" w:rsidRPr="001B525F" w:rsidRDefault="001F01A7" w:rsidP="00CC0143">
      <w:pPr>
        <w:pStyle w:val="ANOTACION"/>
        <w:spacing w:before="0" w:after="0" w:line="276" w:lineRule="auto"/>
        <w:ind w:right="49"/>
        <w:rPr>
          <w:rFonts w:ascii="Arial" w:hAnsi="Arial" w:cs="Arial"/>
          <w:szCs w:val="18"/>
        </w:rPr>
      </w:pPr>
      <w:bookmarkStart w:id="10" w:name="_Hlk115127510"/>
      <w:r w:rsidRPr="001B525F">
        <w:rPr>
          <w:rFonts w:ascii="Arial" w:hAnsi="Arial" w:cs="Arial"/>
          <w:szCs w:val="18"/>
        </w:rPr>
        <w:t>Capítulo I</w:t>
      </w:r>
    </w:p>
    <w:p w14:paraId="1AAAC4A8" w14:textId="77777777" w:rsidR="00350F69" w:rsidRPr="001B525F" w:rsidRDefault="00350F69" w:rsidP="00CC0143">
      <w:pPr>
        <w:pStyle w:val="Texto0"/>
        <w:spacing w:after="0" w:line="276" w:lineRule="auto"/>
        <w:ind w:right="49" w:firstLine="0"/>
        <w:jc w:val="center"/>
        <w:rPr>
          <w:b/>
        </w:rPr>
      </w:pPr>
      <w:r w:rsidRPr="001B525F">
        <w:rPr>
          <w:b/>
        </w:rPr>
        <w:t>Disposiciones Generales</w:t>
      </w:r>
    </w:p>
    <w:p w14:paraId="577F40C7" w14:textId="77777777" w:rsidR="00BB484C" w:rsidRPr="001B525F" w:rsidRDefault="00BB484C" w:rsidP="00CC0143">
      <w:pPr>
        <w:pStyle w:val="Texto0"/>
        <w:spacing w:after="0" w:line="276" w:lineRule="auto"/>
        <w:ind w:right="49" w:firstLine="0"/>
        <w:jc w:val="center"/>
        <w:rPr>
          <w:b/>
        </w:rPr>
      </w:pPr>
    </w:p>
    <w:p w14:paraId="5A8ADB9D" w14:textId="45EE5B08" w:rsidR="00350F69" w:rsidRPr="001B525F" w:rsidRDefault="003478DA" w:rsidP="00CC0143">
      <w:pPr>
        <w:spacing w:after="0"/>
        <w:ind w:right="49"/>
        <w:jc w:val="both"/>
        <w:rPr>
          <w:rFonts w:ascii="Arial" w:hAnsi="Arial" w:cs="Arial"/>
          <w:sz w:val="18"/>
          <w:szCs w:val="18"/>
        </w:rPr>
      </w:pPr>
      <w:r w:rsidRPr="001B525F">
        <w:rPr>
          <w:rFonts w:ascii="Arial" w:hAnsi="Arial" w:cs="Arial"/>
          <w:b/>
          <w:sz w:val="18"/>
          <w:szCs w:val="18"/>
        </w:rPr>
        <w:t>Primera</w:t>
      </w:r>
      <w:r w:rsidR="00350F69" w:rsidRPr="001B525F">
        <w:rPr>
          <w:rFonts w:ascii="Arial" w:hAnsi="Arial" w:cs="Arial"/>
          <w:b/>
          <w:sz w:val="18"/>
          <w:szCs w:val="18"/>
        </w:rPr>
        <w:t xml:space="preserve">.- </w:t>
      </w:r>
      <w:r w:rsidR="00350F69" w:rsidRPr="001B525F">
        <w:rPr>
          <w:rFonts w:ascii="Arial" w:hAnsi="Arial" w:cs="Arial"/>
          <w:sz w:val="18"/>
          <w:szCs w:val="18"/>
        </w:rPr>
        <w:t>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202</w:t>
      </w:r>
      <w:r w:rsidR="00B02034">
        <w:rPr>
          <w:rFonts w:ascii="Arial" w:hAnsi="Arial" w:cs="Arial"/>
          <w:sz w:val="18"/>
          <w:szCs w:val="18"/>
        </w:rPr>
        <w:t>5</w:t>
      </w:r>
      <w:r w:rsidR="00350F69" w:rsidRPr="001B525F">
        <w:rPr>
          <w:rFonts w:ascii="Arial" w:hAnsi="Arial" w:cs="Arial"/>
          <w:sz w:val="18"/>
          <w:szCs w:val="18"/>
        </w:rPr>
        <w:t xml:space="preserve">. </w:t>
      </w:r>
    </w:p>
    <w:p w14:paraId="1C180BE6" w14:textId="77777777" w:rsidR="00350F69" w:rsidRPr="001B525F" w:rsidRDefault="00350F69" w:rsidP="00CC0143">
      <w:pPr>
        <w:spacing w:after="0"/>
        <w:ind w:right="49"/>
        <w:jc w:val="both"/>
        <w:rPr>
          <w:rFonts w:ascii="Arial" w:hAnsi="Arial" w:cs="Arial"/>
          <w:b/>
          <w:sz w:val="18"/>
          <w:szCs w:val="18"/>
        </w:rPr>
      </w:pPr>
    </w:p>
    <w:p w14:paraId="618D45AD" w14:textId="3A2382AD" w:rsidR="00350F69" w:rsidRPr="001B525F" w:rsidRDefault="001F01A7" w:rsidP="00CC0143">
      <w:pPr>
        <w:pStyle w:val="ANOTACION"/>
        <w:spacing w:before="0" w:after="0" w:line="276" w:lineRule="auto"/>
        <w:ind w:right="49"/>
        <w:rPr>
          <w:rFonts w:ascii="Arial" w:hAnsi="Arial" w:cs="Arial"/>
          <w:szCs w:val="18"/>
        </w:rPr>
      </w:pPr>
      <w:r w:rsidRPr="001B525F">
        <w:rPr>
          <w:rFonts w:ascii="Arial" w:hAnsi="Arial" w:cs="Arial"/>
          <w:szCs w:val="18"/>
        </w:rPr>
        <w:t>Capítulo II</w:t>
      </w:r>
    </w:p>
    <w:p w14:paraId="03B6F6DC" w14:textId="393B6A97" w:rsidR="00350F69" w:rsidRPr="001B525F" w:rsidRDefault="001F01A7" w:rsidP="00CC0143">
      <w:pPr>
        <w:spacing w:after="0"/>
        <w:ind w:right="51"/>
        <w:jc w:val="center"/>
        <w:rPr>
          <w:rFonts w:ascii="Arial" w:hAnsi="Arial" w:cs="Arial"/>
          <w:b/>
          <w:sz w:val="18"/>
          <w:szCs w:val="18"/>
        </w:rPr>
      </w:pPr>
      <w:r w:rsidRPr="001B525F">
        <w:rPr>
          <w:rFonts w:ascii="Arial" w:hAnsi="Arial" w:cs="Arial"/>
          <w:b/>
          <w:sz w:val="18"/>
          <w:szCs w:val="18"/>
        </w:rPr>
        <w:t>Definiciones</w:t>
      </w:r>
    </w:p>
    <w:p w14:paraId="1D2916D0" w14:textId="77777777" w:rsidR="00350F69" w:rsidRPr="001B525F" w:rsidRDefault="00350F69" w:rsidP="00CC0143">
      <w:pPr>
        <w:spacing w:after="0"/>
        <w:ind w:right="51"/>
        <w:jc w:val="center"/>
        <w:rPr>
          <w:rFonts w:ascii="Arial" w:hAnsi="Arial" w:cs="Arial"/>
          <w:sz w:val="18"/>
          <w:szCs w:val="18"/>
        </w:rPr>
      </w:pPr>
    </w:p>
    <w:p w14:paraId="4C5CE894" w14:textId="0503F0C9" w:rsidR="00350F69" w:rsidRPr="001B525F" w:rsidRDefault="003478DA" w:rsidP="00CC0143">
      <w:pPr>
        <w:spacing w:after="0"/>
        <w:ind w:right="51"/>
        <w:jc w:val="both"/>
        <w:rPr>
          <w:rFonts w:ascii="Arial" w:hAnsi="Arial" w:cs="Arial"/>
          <w:sz w:val="18"/>
          <w:szCs w:val="18"/>
        </w:rPr>
      </w:pPr>
      <w:r w:rsidRPr="001B525F">
        <w:rPr>
          <w:rFonts w:ascii="Arial" w:hAnsi="Arial" w:cs="Arial"/>
          <w:b/>
          <w:sz w:val="18"/>
          <w:szCs w:val="18"/>
        </w:rPr>
        <w:t>Segunda</w:t>
      </w:r>
      <w:r w:rsidR="00350F69" w:rsidRPr="001B525F">
        <w:rPr>
          <w:rFonts w:ascii="Arial" w:hAnsi="Arial" w:cs="Arial"/>
          <w:b/>
          <w:sz w:val="18"/>
          <w:szCs w:val="18"/>
        </w:rPr>
        <w:t xml:space="preserve">.- </w:t>
      </w:r>
      <w:r w:rsidR="00350F69" w:rsidRPr="001B525F">
        <w:rPr>
          <w:rFonts w:ascii="Arial" w:hAnsi="Arial" w:cs="Arial"/>
          <w:sz w:val="18"/>
          <w:szCs w:val="18"/>
        </w:rPr>
        <w:t>Para efectos del presente Acuerdo, los siguientes términos tendrán el significado que a continuación se indica:</w:t>
      </w:r>
    </w:p>
    <w:p w14:paraId="23534664" w14:textId="77777777" w:rsidR="00350F69" w:rsidRPr="001B525F" w:rsidRDefault="00350F69" w:rsidP="00CC0143">
      <w:pPr>
        <w:spacing w:after="0"/>
        <w:ind w:right="51"/>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2830"/>
        <w:gridCol w:w="5998"/>
      </w:tblGrid>
      <w:tr w:rsidR="001B525F" w:rsidRPr="00F768FE" w14:paraId="681558AF" w14:textId="77777777" w:rsidTr="006B511E">
        <w:trPr>
          <w:trHeight w:val="642"/>
          <w:jc w:val="center"/>
        </w:trPr>
        <w:tc>
          <w:tcPr>
            <w:tcW w:w="2830" w:type="dxa"/>
          </w:tcPr>
          <w:p w14:paraId="4CC02EE3"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Agente Económico Preponderante:</w:t>
            </w:r>
          </w:p>
        </w:tc>
        <w:tc>
          <w:tcPr>
            <w:tcW w:w="5998" w:type="dxa"/>
          </w:tcPr>
          <w:p w14:paraId="03D39C07" w14:textId="77777777" w:rsidR="00350F69" w:rsidRPr="00F768FE" w:rsidRDefault="00350F69" w:rsidP="00CC0143">
            <w:pPr>
              <w:autoSpaceDE w:val="0"/>
              <w:autoSpaceDN w:val="0"/>
              <w:adjustRightInd w:val="0"/>
              <w:spacing w:after="0"/>
              <w:ind w:right="49"/>
              <w:jc w:val="both"/>
              <w:rPr>
                <w:rFonts w:ascii="Arial" w:hAnsi="Arial" w:cs="Arial"/>
                <w:sz w:val="16"/>
                <w:szCs w:val="16"/>
              </w:rPr>
            </w:pPr>
            <w:r w:rsidRPr="00F768FE">
              <w:rPr>
                <w:rFonts w:ascii="Arial" w:hAnsi="Arial" w:cs="Arial"/>
                <w:sz w:val="16"/>
                <w:szCs w:val="16"/>
              </w:rPr>
              <w:t xml:space="preserve">Aquel que fue declarado mediante Acuerdo P/IFT/EXT/060314/76. </w:t>
            </w:r>
          </w:p>
        </w:tc>
      </w:tr>
      <w:tr w:rsidR="001B525F" w:rsidRPr="00F768FE" w14:paraId="0C326B63" w14:textId="77777777" w:rsidTr="006B511E">
        <w:trPr>
          <w:jc w:val="center"/>
        </w:trPr>
        <w:tc>
          <w:tcPr>
            <w:tcW w:w="2830" w:type="dxa"/>
          </w:tcPr>
          <w:p w14:paraId="15F82EDB"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Conducción de tráfico:</w:t>
            </w:r>
          </w:p>
        </w:tc>
        <w:tc>
          <w:tcPr>
            <w:tcW w:w="5998" w:type="dxa"/>
          </w:tcPr>
          <w:p w14:paraId="6D2A5602" w14:textId="77777777" w:rsidR="00350F69" w:rsidRPr="00F768FE" w:rsidRDefault="00350F69" w:rsidP="00CC0143">
            <w:pPr>
              <w:autoSpaceDE w:val="0"/>
              <w:autoSpaceDN w:val="0"/>
              <w:adjustRightInd w:val="0"/>
              <w:spacing w:after="0"/>
              <w:ind w:right="49"/>
              <w:jc w:val="both"/>
              <w:rPr>
                <w:rFonts w:ascii="Arial" w:hAnsi="Arial" w:cs="Arial"/>
                <w:sz w:val="16"/>
                <w:szCs w:val="16"/>
              </w:rPr>
            </w:pPr>
            <w:r w:rsidRPr="00F768FE">
              <w:rPr>
                <w:rFonts w:ascii="Arial" w:hAnsi="Arial" w:cs="Arial"/>
                <w:sz w:val="16"/>
                <w:szCs w:val="16"/>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1B525F" w:rsidRPr="00F768FE" w14:paraId="29EAD0AB" w14:textId="77777777" w:rsidTr="006B511E">
        <w:trPr>
          <w:jc w:val="center"/>
        </w:trPr>
        <w:tc>
          <w:tcPr>
            <w:tcW w:w="2830" w:type="dxa"/>
          </w:tcPr>
          <w:p w14:paraId="054E74BC"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Compartición de Infraestructura para interconexión:</w:t>
            </w:r>
          </w:p>
        </w:tc>
        <w:tc>
          <w:tcPr>
            <w:tcW w:w="5998" w:type="dxa"/>
          </w:tcPr>
          <w:p w14:paraId="2DE0F384" w14:textId="6275C4AE" w:rsidR="00350F69" w:rsidRPr="00F768FE" w:rsidRDefault="00350F69" w:rsidP="00CC0143">
            <w:pPr>
              <w:autoSpaceDE w:val="0"/>
              <w:autoSpaceDN w:val="0"/>
              <w:adjustRightInd w:val="0"/>
              <w:spacing w:after="0"/>
              <w:ind w:right="49"/>
              <w:jc w:val="both"/>
              <w:rPr>
                <w:rFonts w:ascii="Arial" w:hAnsi="Arial" w:cs="Arial"/>
                <w:sz w:val="16"/>
                <w:szCs w:val="16"/>
              </w:rPr>
            </w:pPr>
            <w:r w:rsidRPr="00F768FE">
              <w:rPr>
                <w:rFonts w:ascii="Arial" w:hAnsi="Arial" w:cs="Arial"/>
                <w:sz w:val="16"/>
                <w:szCs w:val="16"/>
              </w:rPr>
              <w:t xml:space="preserve">El uso por dos o más Redes Públicas de Telecomunicaciones de la infraestructura que resulta necesaria para la provisión de Servicios de Interconexión, tales como, equipo, sitios, ductos, canalizaciones, postes, torres, y otros elementos, dentro de las instalaciones del Concesionario, </w:t>
            </w:r>
            <w:r w:rsidR="00CB383A" w:rsidRPr="00F768FE">
              <w:rPr>
                <w:rFonts w:ascii="Arial" w:hAnsi="Arial" w:cs="Arial"/>
                <w:sz w:val="16"/>
                <w:szCs w:val="16"/>
              </w:rPr>
              <w:t>aun</w:t>
            </w:r>
            <w:r w:rsidRPr="00F768FE">
              <w:rPr>
                <w:rFonts w:ascii="Arial" w:hAnsi="Arial" w:cs="Arial"/>
                <w:sz w:val="16"/>
                <w:szCs w:val="16"/>
              </w:rPr>
              <w:t xml:space="preserve"> cuando dicha infraestructura pueda también ser utilizada para otros servicios.</w:t>
            </w:r>
          </w:p>
        </w:tc>
      </w:tr>
      <w:tr w:rsidR="001B525F" w:rsidRPr="00F768FE" w14:paraId="6AF67E46" w14:textId="77777777" w:rsidTr="006B511E">
        <w:trPr>
          <w:jc w:val="center"/>
        </w:trPr>
        <w:tc>
          <w:tcPr>
            <w:tcW w:w="2830" w:type="dxa"/>
          </w:tcPr>
          <w:p w14:paraId="3053EF10"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Concesionario Solicitado:</w:t>
            </w:r>
          </w:p>
        </w:tc>
        <w:tc>
          <w:tcPr>
            <w:tcW w:w="5998" w:type="dxa"/>
          </w:tcPr>
          <w:p w14:paraId="1F070278" w14:textId="77777777"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Concesionario al cual se le solicitan los Servicios de Interconexión.</w:t>
            </w:r>
          </w:p>
        </w:tc>
      </w:tr>
      <w:tr w:rsidR="001B525F" w:rsidRPr="00F768FE" w14:paraId="0648E236" w14:textId="77777777" w:rsidTr="006B511E">
        <w:trPr>
          <w:jc w:val="center"/>
        </w:trPr>
        <w:tc>
          <w:tcPr>
            <w:tcW w:w="2830" w:type="dxa"/>
          </w:tcPr>
          <w:p w14:paraId="0D57249D" w14:textId="447537A2"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Concesionario Solicitante:</w:t>
            </w:r>
          </w:p>
        </w:tc>
        <w:tc>
          <w:tcPr>
            <w:tcW w:w="5998" w:type="dxa"/>
          </w:tcPr>
          <w:p w14:paraId="63246523" w14:textId="77777777"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Concesionario que solicita los Servicios de Interconexión.</w:t>
            </w:r>
          </w:p>
        </w:tc>
      </w:tr>
      <w:tr w:rsidR="001B525F" w:rsidRPr="00F768FE" w14:paraId="582D2E15" w14:textId="77777777" w:rsidTr="006B511E">
        <w:trPr>
          <w:jc w:val="center"/>
        </w:trPr>
        <w:tc>
          <w:tcPr>
            <w:tcW w:w="2830" w:type="dxa"/>
          </w:tcPr>
          <w:p w14:paraId="351AD3B6"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Coubicación:</w:t>
            </w:r>
          </w:p>
        </w:tc>
        <w:tc>
          <w:tcPr>
            <w:tcW w:w="5998" w:type="dxa"/>
          </w:tcPr>
          <w:p w14:paraId="6138B964" w14:textId="7A2CA435" w:rsidR="00350F69" w:rsidRPr="00F768FE" w:rsidRDefault="00350F69" w:rsidP="00CC0143">
            <w:pPr>
              <w:pStyle w:val="Default"/>
              <w:spacing w:line="276" w:lineRule="auto"/>
              <w:ind w:right="49"/>
              <w:jc w:val="both"/>
              <w:rPr>
                <w:rFonts w:ascii="Arial" w:hAnsi="Arial" w:cs="Arial"/>
                <w:color w:val="auto"/>
                <w:sz w:val="16"/>
                <w:szCs w:val="16"/>
              </w:rPr>
            </w:pPr>
            <w:r w:rsidRPr="00F768FE">
              <w:rPr>
                <w:rFonts w:ascii="Arial" w:hAnsi="Arial" w:cs="Arial"/>
                <w:color w:val="auto"/>
                <w:sz w:val="16"/>
                <w:szCs w:val="16"/>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1B525F" w:rsidRPr="00F768FE" w14:paraId="792309ED" w14:textId="77777777" w:rsidTr="006B511E">
        <w:trPr>
          <w:jc w:val="center"/>
        </w:trPr>
        <w:tc>
          <w:tcPr>
            <w:tcW w:w="2830" w:type="dxa"/>
          </w:tcPr>
          <w:p w14:paraId="584DC607"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Enlaces de Transmisión:</w:t>
            </w:r>
          </w:p>
        </w:tc>
        <w:tc>
          <w:tcPr>
            <w:tcW w:w="5998" w:type="dxa"/>
          </w:tcPr>
          <w:p w14:paraId="3AB2D1AF" w14:textId="77777777" w:rsidR="00350F69" w:rsidRPr="00F768FE" w:rsidRDefault="00350F69" w:rsidP="00CC0143">
            <w:pPr>
              <w:pStyle w:val="Default"/>
              <w:spacing w:line="276" w:lineRule="auto"/>
              <w:ind w:right="49"/>
              <w:jc w:val="both"/>
              <w:rPr>
                <w:rFonts w:ascii="Arial" w:hAnsi="Arial" w:cs="Arial"/>
                <w:color w:val="auto"/>
                <w:sz w:val="16"/>
                <w:szCs w:val="16"/>
              </w:rPr>
            </w:pPr>
            <w:r w:rsidRPr="00F768FE">
              <w:rPr>
                <w:rFonts w:ascii="Arial" w:hAnsi="Arial" w:cs="Arial"/>
                <w:color w:val="auto"/>
                <w:sz w:val="16"/>
                <w:szCs w:val="16"/>
              </w:rPr>
              <w:t>Servicio de Interconexión o capacidad que consiste en el establecimiento de enlaces de transmisión físicos o virtuales de cualquier tecnología, a través de los cuales se conduce Tráfico.</w:t>
            </w:r>
          </w:p>
        </w:tc>
      </w:tr>
      <w:tr w:rsidR="001B525F" w:rsidRPr="00F768FE" w14:paraId="7E6BB74A" w14:textId="77777777" w:rsidTr="006B511E">
        <w:trPr>
          <w:jc w:val="center"/>
        </w:trPr>
        <w:tc>
          <w:tcPr>
            <w:tcW w:w="2830" w:type="dxa"/>
          </w:tcPr>
          <w:p w14:paraId="5040C3C1"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Facturación y Cobranza:</w:t>
            </w:r>
          </w:p>
        </w:tc>
        <w:tc>
          <w:tcPr>
            <w:tcW w:w="5998" w:type="dxa"/>
          </w:tcPr>
          <w:p w14:paraId="5FA2AA4A" w14:textId="17E9903D"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1B525F" w:rsidRPr="00F768FE" w14:paraId="35953D74" w14:textId="77777777" w:rsidTr="006B511E">
        <w:trPr>
          <w:jc w:val="center"/>
        </w:trPr>
        <w:tc>
          <w:tcPr>
            <w:tcW w:w="2830" w:type="dxa"/>
          </w:tcPr>
          <w:p w14:paraId="05638CFE"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Interconexión:</w:t>
            </w:r>
          </w:p>
        </w:tc>
        <w:tc>
          <w:tcPr>
            <w:tcW w:w="5998" w:type="dxa"/>
          </w:tcPr>
          <w:p w14:paraId="5724B088" w14:textId="77777777"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 xml:space="preserve">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w:t>
            </w:r>
            <w:r w:rsidRPr="00F768FE">
              <w:rPr>
                <w:rFonts w:ascii="Arial" w:hAnsi="Arial" w:cs="Arial"/>
                <w:sz w:val="16"/>
                <w:szCs w:val="16"/>
              </w:rPr>
              <w:lastRenderedPageBreak/>
              <w:t>telecomunicaciones y viceversa, o bien permite a los usuarios de una red pública de telecomunicaciones la utilización de servicios de telecomunicaciones provistos por o a través de otra red pública de telecomunicaciones.</w:t>
            </w:r>
          </w:p>
        </w:tc>
      </w:tr>
      <w:tr w:rsidR="001B525F" w:rsidRPr="00F768FE" w14:paraId="263D6D1B" w14:textId="77777777" w:rsidTr="006B511E">
        <w:trPr>
          <w:jc w:val="center"/>
        </w:trPr>
        <w:tc>
          <w:tcPr>
            <w:tcW w:w="2830" w:type="dxa"/>
          </w:tcPr>
          <w:p w14:paraId="39636222"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lastRenderedPageBreak/>
              <w:t>Interconexión Cruzada:</w:t>
            </w:r>
          </w:p>
        </w:tc>
        <w:tc>
          <w:tcPr>
            <w:tcW w:w="5998" w:type="dxa"/>
          </w:tcPr>
          <w:p w14:paraId="34B887C5" w14:textId="77777777"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podrá ser gestionado o no gestionado.</w:t>
            </w:r>
          </w:p>
        </w:tc>
      </w:tr>
      <w:tr w:rsidR="001B525F" w:rsidRPr="00F768FE" w14:paraId="1AF4D6EF" w14:textId="77777777" w:rsidTr="006B511E">
        <w:trPr>
          <w:jc w:val="center"/>
        </w:trPr>
        <w:tc>
          <w:tcPr>
            <w:tcW w:w="2830" w:type="dxa"/>
          </w:tcPr>
          <w:p w14:paraId="1D8F64CD"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Puertos de Acceso:</w:t>
            </w:r>
          </w:p>
        </w:tc>
        <w:tc>
          <w:tcPr>
            <w:tcW w:w="5998" w:type="dxa"/>
          </w:tcPr>
          <w:p w14:paraId="211AC499" w14:textId="77777777" w:rsidR="00350F69" w:rsidRPr="00F768FE" w:rsidRDefault="00350F69" w:rsidP="00CC0143">
            <w:pPr>
              <w:pStyle w:val="Default"/>
              <w:spacing w:line="276" w:lineRule="auto"/>
              <w:ind w:right="49"/>
              <w:jc w:val="both"/>
              <w:rPr>
                <w:rFonts w:ascii="Arial" w:hAnsi="Arial" w:cs="Arial"/>
                <w:color w:val="auto"/>
                <w:sz w:val="16"/>
                <w:szCs w:val="16"/>
              </w:rPr>
            </w:pPr>
            <w:r w:rsidRPr="00F768FE">
              <w:rPr>
                <w:rFonts w:ascii="Arial" w:hAnsi="Arial" w:cs="Arial"/>
                <w:color w:val="auto"/>
                <w:sz w:val="16"/>
                <w:szCs w:val="16"/>
              </w:rPr>
              <w:t>Punto de acceso en los equipos de conmutación de una Red Pública de Telecomunicaciones.</w:t>
            </w:r>
          </w:p>
        </w:tc>
      </w:tr>
      <w:tr w:rsidR="001B525F" w:rsidRPr="00F768FE" w14:paraId="4539F1F6" w14:textId="77777777" w:rsidTr="006B511E">
        <w:trPr>
          <w:jc w:val="center"/>
        </w:trPr>
        <w:tc>
          <w:tcPr>
            <w:tcW w:w="2830" w:type="dxa"/>
          </w:tcPr>
          <w:p w14:paraId="3DE64EE3"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Servicios de Señalización:</w:t>
            </w:r>
          </w:p>
        </w:tc>
        <w:tc>
          <w:tcPr>
            <w:tcW w:w="5998" w:type="dxa"/>
          </w:tcPr>
          <w:p w14:paraId="476D3FEB" w14:textId="77777777" w:rsidR="00350F69" w:rsidRPr="00F768FE" w:rsidRDefault="00350F69" w:rsidP="00CC0143">
            <w:pPr>
              <w:pStyle w:val="Default"/>
              <w:spacing w:line="276" w:lineRule="auto"/>
              <w:ind w:right="49"/>
              <w:jc w:val="both"/>
              <w:rPr>
                <w:rFonts w:ascii="Arial" w:hAnsi="Arial" w:cs="Arial"/>
                <w:color w:val="auto"/>
                <w:sz w:val="16"/>
                <w:szCs w:val="16"/>
              </w:rPr>
            </w:pPr>
            <w:r w:rsidRPr="00F768FE">
              <w:rPr>
                <w:rFonts w:ascii="Arial" w:hAnsi="Arial" w:cs="Arial"/>
                <w:color w:val="auto"/>
                <w:sz w:val="16"/>
                <w:szCs w:val="16"/>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1B525F" w:rsidRPr="00F768FE" w14:paraId="64A9CA92" w14:textId="77777777" w:rsidTr="006B511E">
        <w:trPr>
          <w:jc w:val="center"/>
        </w:trPr>
        <w:tc>
          <w:tcPr>
            <w:tcW w:w="2830" w:type="dxa"/>
          </w:tcPr>
          <w:p w14:paraId="5B04512B"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Servicio de Tránsito:</w:t>
            </w:r>
          </w:p>
        </w:tc>
        <w:tc>
          <w:tcPr>
            <w:tcW w:w="5998" w:type="dxa"/>
          </w:tcPr>
          <w:p w14:paraId="4FAAC08D" w14:textId="77777777" w:rsidR="00350F69" w:rsidRPr="00F768FE" w:rsidRDefault="00350F69" w:rsidP="00CC0143">
            <w:pPr>
              <w:pStyle w:val="Default"/>
              <w:spacing w:line="276" w:lineRule="auto"/>
              <w:ind w:right="49"/>
              <w:jc w:val="both"/>
              <w:rPr>
                <w:rFonts w:ascii="Arial" w:hAnsi="Arial" w:cs="Arial"/>
                <w:color w:val="auto"/>
                <w:sz w:val="16"/>
                <w:szCs w:val="16"/>
                <w:lang w:val="es-ES"/>
              </w:rPr>
            </w:pPr>
            <w:r w:rsidRPr="5459DB53">
              <w:rPr>
                <w:rFonts w:ascii="Arial" w:hAnsi="Arial" w:cs="Arial"/>
                <w:color w:val="auto"/>
                <w:sz w:val="16"/>
                <w:szCs w:val="16"/>
                <w:lang w:val="es-ES"/>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1B525F" w:rsidRPr="00F768FE" w14:paraId="00873CE4" w14:textId="77777777" w:rsidTr="006B511E">
        <w:trPr>
          <w:jc w:val="center"/>
        </w:trPr>
        <w:tc>
          <w:tcPr>
            <w:tcW w:w="2830" w:type="dxa"/>
          </w:tcPr>
          <w:p w14:paraId="60CD2BB6"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Servicios Auxiliares y Conexos:</w:t>
            </w:r>
          </w:p>
        </w:tc>
        <w:tc>
          <w:tcPr>
            <w:tcW w:w="5998" w:type="dxa"/>
          </w:tcPr>
          <w:p w14:paraId="3A12DBCE" w14:textId="77777777" w:rsidR="00350F69" w:rsidRPr="00F768FE" w:rsidRDefault="00350F69" w:rsidP="00CC0143">
            <w:pPr>
              <w:pStyle w:val="Default"/>
              <w:spacing w:line="276" w:lineRule="auto"/>
              <w:ind w:right="49"/>
              <w:jc w:val="both"/>
              <w:rPr>
                <w:rFonts w:ascii="Arial" w:hAnsi="Arial" w:cs="Arial"/>
                <w:color w:val="auto"/>
                <w:sz w:val="16"/>
                <w:szCs w:val="16"/>
              </w:rPr>
            </w:pPr>
            <w:r w:rsidRPr="00F768FE">
              <w:rPr>
                <w:rFonts w:ascii="Arial" w:hAnsi="Arial" w:cs="Arial"/>
                <w:color w:val="auto"/>
                <w:sz w:val="16"/>
                <w:szCs w:val="16"/>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350F69" w:rsidRPr="00F768FE" w14:paraId="6665D03C" w14:textId="77777777" w:rsidTr="006B511E">
        <w:trPr>
          <w:jc w:val="center"/>
        </w:trPr>
        <w:tc>
          <w:tcPr>
            <w:tcW w:w="2830" w:type="dxa"/>
          </w:tcPr>
          <w:p w14:paraId="5F379C24" w14:textId="77777777" w:rsidR="00350F69" w:rsidRPr="00F768FE" w:rsidRDefault="00350F69" w:rsidP="00CC0143">
            <w:pPr>
              <w:spacing w:after="0"/>
              <w:ind w:right="49"/>
              <w:rPr>
                <w:rFonts w:ascii="Arial" w:hAnsi="Arial" w:cs="Arial"/>
                <w:sz w:val="16"/>
                <w:szCs w:val="16"/>
              </w:rPr>
            </w:pPr>
            <w:r w:rsidRPr="00F768FE">
              <w:rPr>
                <w:rFonts w:ascii="Arial" w:hAnsi="Arial" w:cs="Arial"/>
                <w:sz w:val="16"/>
                <w:szCs w:val="16"/>
              </w:rPr>
              <w:t>Servicios de Interconexión:</w:t>
            </w:r>
          </w:p>
        </w:tc>
        <w:tc>
          <w:tcPr>
            <w:tcW w:w="5998" w:type="dxa"/>
          </w:tcPr>
          <w:p w14:paraId="736DFC73" w14:textId="77777777"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14:paraId="5D7AB83E" w14:textId="77777777" w:rsidR="00350F69" w:rsidRPr="00F768FE" w:rsidRDefault="00350F69" w:rsidP="00CC0143">
            <w:pPr>
              <w:spacing w:after="0"/>
              <w:ind w:right="49"/>
              <w:jc w:val="both"/>
              <w:rPr>
                <w:rFonts w:ascii="Arial" w:hAnsi="Arial" w:cs="Arial"/>
                <w:sz w:val="16"/>
                <w:szCs w:val="16"/>
              </w:rPr>
            </w:pPr>
          </w:p>
          <w:p w14:paraId="47FB1517" w14:textId="77777777" w:rsidR="00350F69" w:rsidRPr="00F768FE" w:rsidRDefault="00350F69" w:rsidP="00CC0143">
            <w:pPr>
              <w:spacing w:after="0"/>
              <w:ind w:right="49"/>
              <w:jc w:val="both"/>
              <w:rPr>
                <w:rFonts w:ascii="Arial" w:hAnsi="Arial" w:cs="Arial"/>
                <w:sz w:val="16"/>
                <w:szCs w:val="16"/>
              </w:rPr>
            </w:pPr>
            <w:r w:rsidRPr="00F768FE">
              <w:rPr>
                <w:rFonts w:ascii="Arial" w:hAnsi="Arial" w:cs="Arial"/>
                <w:sz w:val="16"/>
                <w:szCs w:val="16"/>
              </w:rPr>
              <w:t>Los servicios de interconexión que deben ser proporcionados por los Concesionarios son los siguientes:</w:t>
            </w:r>
          </w:p>
          <w:p w14:paraId="0664E2C9" w14:textId="77777777" w:rsidR="00350F69" w:rsidRPr="00F768FE" w:rsidRDefault="00350F69" w:rsidP="00CC0143">
            <w:pPr>
              <w:spacing w:after="0"/>
              <w:ind w:right="49"/>
              <w:jc w:val="both"/>
              <w:rPr>
                <w:rFonts w:ascii="Arial" w:hAnsi="Arial" w:cs="Arial"/>
                <w:sz w:val="16"/>
                <w:szCs w:val="16"/>
              </w:rPr>
            </w:pPr>
          </w:p>
          <w:p w14:paraId="675CDACF"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Conducción de tráfico, que incluye su originación y terminación, así como llamadas y servicios de mensajes cortos.</w:t>
            </w:r>
          </w:p>
          <w:p w14:paraId="70433454"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Enlaces de transmisión;</w:t>
            </w:r>
          </w:p>
          <w:p w14:paraId="5D3B6164"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Puertos de acceso;</w:t>
            </w:r>
          </w:p>
          <w:p w14:paraId="4A14224D"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Señalización;</w:t>
            </w:r>
          </w:p>
          <w:p w14:paraId="0174D02C"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Tránsito;</w:t>
            </w:r>
          </w:p>
          <w:p w14:paraId="7962E68C"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Coubicación;</w:t>
            </w:r>
          </w:p>
          <w:p w14:paraId="62337C66"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Compartición de infraestructura;</w:t>
            </w:r>
          </w:p>
          <w:p w14:paraId="6C383DE1"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Auxiliares conexos, y</w:t>
            </w:r>
          </w:p>
          <w:p w14:paraId="44AABF00" w14:textId="77777777" w:rsidR="00350F69" w:rsidRPr="00F768FE" w:rsidRDefault="00350F69" w:rsidP="00226F17">
            <w:pPr>
              <w:pStyle w:val="Prrafodelista"/>
              <w:numPr>
                <w:ilvl w:val="0"/>
                <w:numId w:val="27"/>
              </w:numPr>
              <w:spacing w:line="276" w:lineRule="auto"/>
              <w:ind w:right="49"/>
              <w:contextualSpacing/>
              <w:rPr>
                <w:rFonts w:cs="Arial"/>
                <w:sz w:val="16"/>
                <w:szCs w:val="16"/>
              </w:rPr>
            </w:pPr>
            <w:r w:rsidRPr="00F768FE">
              <w:rPr>
                <w:rFonts w:cs="Arial"/>
                <w:sz w:val="16"/>
                <w:szCs w:val="16"/>
              </w:rPr>
              <w:t>Facturación y Cobranza;</w:t>
            </w:r>
          </w:p>
          <w:p w14:paraId="656E29F5" w14:textId="77777777" w:rsidR="00350F69" w:rsidRPr="00F768FE" w:rsidRDefault="00350F69" w:rsidP="00CC0143">
            <w:pPr>
              <w:spacing w:after="0"/>
              <w:ind w:right="49"/>
              <w:jc w:val="both"/>
              <w:rPr>
                <w:rFonts w:ascii="Arial" w:hAnsi="Arial" w:cs="Arial"/>
                <w:sz w:val="16"/>
                <w:szCs w:val="16"/>
              </w:rPr>
            </w:pPr>
          </w:p>
          <w:p w14:paraId="4E4C765E" w14:textId="77777777" w:rsidR="00350F69" w:rsidRPr="00F768FE" w:rsidRDefault="00350F69" w:rsidP="00CC0143">
            <w:pPr>
              <w:pStyle w:val="Default"/>
              <w:spacing w:line="276" w:lineRule="auto"/>
              <w:ind w:right="49"/>
              <w:jc w:val="both"/>
              <w:rPr>
                <w:rFonts w:ascii="Arial" w:hAnsi="Arial" w:cs="Arial"/>
                <w:color w:val="auto"/>
                <w:sz w:val="16"/>
                <w:szCs w:val="16"/>
                <w:lang w:val="es-ES"/>
              </w:rPr>
            </w:pPr>
            <w:r w:rsidRPr="5459DB53">
              <w:rPr>
                <w:rFonts w:ascii="Arial" w:hAnsi="Arial" w:cs="Arial"/>
                <w:color w:val="auto"/>
                <w:sz w:val="16"/>
                <w:szCs w:val="16"/>
                <w:lang w:val="es-ES"/>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6AF270B3" w14:textId="77777777" w:rsidR="00350F69" w:rsidRPr="001B525F" w:rsidRDefault="00350F69" w:rsidP="00CC0143">
      <w:pPr>
        <w:spacing w:after="0"/>
        <w:ind w:right="49"/>
        <w:jc w:val="both"/>
        <w:rPr>
          <w:rFonts w:ascii="Arial" w:hAnsi="Arial" w:cs="Arial"/>
          <w:sz w:val="18"/>
          <w:szCs w:val="18"/>
        </w:rPr>
      </w:pPr>
    </w:p>
    <w:p w14:paraId="71DA7A3C" w14:textId="288B3CAF" w:rsidR="00350F69" w:rsidRPr="007740FC" w:rsidRDefault="00350F69" w:rsidP="00CC0143">
      <w:pPr>
        <w:spacing w:after="0"/>
        <w:ind w:right="49"/>
        <w:jc w:val="both"/>
        <w:rPr>
          <w:rFonts w:ascii="Arial" w:hAnsi="Arial" w:cs="Arial"/>
          <w:snapToGrid w:val="0"/>
          <w:sz w:val="18"/>
          <w:szCs w:val="18"/>
        </w:rPr>
      </w:pPr>
      <w:r w:rsidRPr="007740FC">
        <w:rPr>
          <w:rFonts w:ascii="Arial" w:hAnsi="Arial" w:cs="Arial"/>
          <w:snapToGrid w:val="0"/>
          <w:sz w:val="18"/>
          <w:szCs w:val="18"/>
        </w:rPr>
        <w:t xml:space="preserve">Aquellos términos no definidos en el presente </w:t>
      </w:r>
      <w:r w:rsidR="00DD7B49" w:rsidRPr="007740FC">
        <w:rPr>
          <w:rFonts w:ascii="Arial" w:hAnsi="Arial" w:cs="Arial"/>
          <w:snapToGrid w:val="0"/>
          <w:sz w:val="18"/>
          <w:szCs w:val="18"/>
        </w:rPr>
        <w:t>Acuerdo</w:t>
      </w:r>
      <w:r w:rsidRPr="007740FC">
        <w:rPr>
          <w:rFonts w:ascii="Arial" w:hAnsi="Arial" w:cs="Arial"/>
          <w:snapToGrid w:val="0"/>
          <w:sz w:val="18"/>
          <w:szCs w:val="18"/>
        </w:rPr>
        <w:t xml:space="preserve"> tendrán el significado que les corresponda conforme a la </w:t>
      </w:r>
      <w:r w:rsidRPr="001B525F">
        <w:rPr>
          <w:rFonts w:ascii="Arial" w:hAnsi="Arial" w:cs="Arial"/>
          <w:sz w:val="18"/>
          <w:szCs w:val="18"/>
        </w:rPr>
        <w:t>LFTR</w:t>
      </w:r>
      <w:r w:rsidRPr="007740FC">
        <w:rPr>
          <w:rFonts w:ascii="Arial" w:hAnsi="Arial" w:cs="Arial"/>
          <w:snapToGrid w:val="0"/>
          <w:sz w:val="18"/>
          <w:szCs w:val="18"/>
        </w:rPr>
        <w:t xml:space="preserve">, al Plan Técnico Fundamental de Interconexión e Interoperabilidad, al Plan Técnico Fundamental de Señalización, al </w:t>
      </w:r>
      <w:r w:rsidRPr="007740FC">
        <w:rPr>
          <w:rFonts w:ascii="Arial" w:hAnsi="Arial" w:cs="Arial"/>
          <w:snapToGrid w:val="0"/>
          <w:sz w:val="18"/>
          <w:szCs w:val="18"/>
        </w:rPr>
        <w:lastRenderedPageBreak/>
        <w:t>Plan Técnico Fundamental de Numeración, así como los demás ordenamientos legales, reglamentarios o administrativos aplicables en la materia, o aquellos que los sustituyan.</w:t>
      </w:r>
    </w:p>
    <w:p w14:paraId="65904FB3" w14:textId="77777777" w:rsidR="00350F69" w:rsidRPr="007740FC" w:rsidRDefault="00350F69" w:rsidP="00CC0143">
      <w:pPr>
        <w:spacing w:after="0"/>
        <w:ind w:right="49"/>
        <w:jc w:val="both"/>
        <w:rPr>
          <w:rFonts w:ascii="Arial" w:hAnsi="Arial" w:cs="Arial"/>
          <w:snapToGrid w:val="0"/>
          <w:sz w:val="18"/>
          <w:szCs w:val="18"/>
        </w:rPr>
      </w:pPr>
    </w:p>
    <w:p w14:paraId="6C4E6243" w14:textId="7F59088D" w:rsidR="00350F69" w:rsidRPr="001B525F" w:rsidRDefault="001F01A7" w:rsidP="00CC0143">
      <w:pPr>
        <w:pStyle w:val="ANOTACION"/>
        <w:spacing w:before="0" w:after="0" w:line="276" w:lineRule="auto"/>
        <w:ind w:right="49"/>
        <w:rPr>
          <w:rFonts w:ascii="Arial" w:hAnsi="Arial" w:cs="Arial"/>
          <w:szCs w:val="18"/>
        </w:rPr>
      </w:pPr>
      <w:r w:rsidRPr="001B525F">
        <w:rPr>
          <w:rFonts w:ascii="Arial" w:hAnsi="Arial" w:cs="Arial"/>
          <w:szCs w:val="18"/>
        </w:rPr>
        <w:t>Capítulo</w:t>
      </w:r>
      <w:r w:rsidR="00350F69" w:rsidRPr="001B525F">
        <w:rPr>
          <w:rFonts w:ascii="Arial" w:hAnsi="Arial" w:cs="Arial"/>
          <w:szCs w:val="18"/>
        </w:rPr>
        <w:t xml:space="preserve"> III</w:t>
      </w:r>
    </w:p>
    <w:p w14:paraId="161C952F" w14:textId="77777777" w:rsidR="00350F69" w:rsidRPr="001B525F" w:rsidRDefault="00350F69" w:rsidP="00CC0143">
      <w:pPr>
        <w:spacing w:after="0"/>
        <w:ind w:right="51"/>
        <w:jc w:val="center"/>
        <w:rPr>
          <w:rFonts w:ascii="Arial" w:hAnsi="Arial" w:cs="Arial"/>
          <w:sz w:val="18"/>
          <w:szCs w:val="18"/>
        </w:rPr>
      </w:pPr>
      <w:r w:rsidRPr="001B525F">
        <w:rPr>
          <w:rFonts w:ascii="Arial" w:hAnsi="Arial" w:cs="Arial"/>
          <w:b/>
          <w:sz w:val="18"/>
          <w:szCs w:val="18"/>
        </w:rPr>
        <w:t>Condiciones Técnicas Mínimas</w:t>
      </w:r>
    </w:p>
    <w:p w14:paraId="6193F4D4" w14:textId="77777777" w:rsidR="00350F69" w:rsidRPr="001B525F" w:rsidRDefault="00350F69" w:rsidP="00CC0143">
      <w:pPr>
        <w:spacing w:after="0"/>
        <w:ind w:right="49"/>
        <w:jc w:val="both"/>
        <w:rPr>
          <w:rFonts w:ascii="Arial" w:hAnsi="Arial" w:cs="Arial"/>
          <w:b/>
          <w:sz w:val="18"/>
          <w:szCs w:val="18"/>
        </w:rPr>
      </w:pPr>
    </w:p>
    <w:p w14:paraId="0424512C" w14:textId="3F8B9801" w:rsidR="00350F69" w:rsidRPr="001B525F" w:rsidRDefault="003478DA" w:rsidP="00CC0143">
      <w:pPr>
        <w:spacing w:after="0"/>
        <w:ind w:right="51"/>
        <w:jc w:val="both"/>
        <w:rPr>
          <w:rFonts w:ascii="Arial" w:hAnsi="Arial" w:cs="Arial"/>
          <w:sz w:val="18"/>
          <w:szCs w:val="18"/>
        </w:rPr>
      </w:pPr>
      <w:r w:rsidRPr="001B525F">
        <w:rPr>
          <w:rFonts w:ascii="Arial" w:hAnsi="Arial" w:cs="Arial"/>
          <w:b/>
          <w:sz w:val="18"/>
          <w:szCs w:val="18"/>
        </w:rPr>
        <w:t>Tercera</w:t>
      </w:r>
      <w:r w:rsidR="00350F69" w:rsidRPr="001B525F">
        <w:rPr>
          <w:rFonts w:ascii="Arial" w:hAnsi="Arial" w:cs="Arial"/>
          <w:b/>
          <w:sz w:val="18"/>
          <w:szCs w:val="18"/>
        </w:rPr>
        <w:t xml:space="preserve">.- </w:t>
      </w:r>
      <w:r w:rsidR="00350F69" w:rsidRPr="001B525F">
        <w:rPr>
          <w:rFonts w:ascii="Arial" w:hAnsi="Arial" w:cs="Arial"/>
          <w:sz w:val="18"/>
          <w:szCs w:val="18"/>
        </w:rPr>
        <w:t>La interconexión entre las redes públicas de telecomunicaciones deberá llevarse a cabo en los puntos de interconexión que cada concesionario haya designado, los cuales deberán establecerse mediante el protocolo de internet (IP).</w:t>
      </w:r>
    </w:p>
    <w:p w14:paraId="004AA489" w14:textId="77777777" w:rsidR="00350F69" w:rsidRPr="001B525F" w:rsidRDefault="00350F69" w:rsidP="00CC0143">
      <w:pPr>
        <w:spacing w:after="0"/>
        <w:ind w:right="51"/>
        <w:jc w:val="both"/>
        <w:rPr>
          <w:rFonts w:ascii="Arial" w:hAnsi="Arial" w:cs="Arial"/>
          <w:sz w:val="18"/>
          <w:szCs w:val="18"/>
        </w:rPr>
      </w:pPr>
    </w:p>
    <w:p w14:paraId="4A96BAF0" w14:textId="67284D2C" w:rsidR="00350F69" w:rsidRPr="001B525F" w:rsidRDefault="00350F69" w:rsidP="00CC0143">
      <w:pPr>
        <w:spacing w:after="0"/>
        <w:ind w:right="51"/>
        <w:jc w:val="both"/>
        <w:rPr>
          <w:rFonts w:ascii="Arial" w:hAnsi="Arial" w:cs="Arial"/>
          <w:sz w:val="18"/>
          <w:szCs w:val="18"/>
        </w:rPr>
      </w:pPr>
      <w:r w:rsidRPr="001B525F">
        <w:rPr>
          <w:rFonts w:ascii="Arial" w:hAnsi="Arial" w:cs="Arial"/>
          <w:sz w:val="18"/>
          <w:szCs w:val="18"/>
        </w:rPr>
        <w:t>El Concesionario Solicitado deberá proporcionar un listado de los puntos de interconexión que tenga disponibles al Concesionario Solicitante para realizar el intercambio de tráfico, dicho listado deberá contener la siguiente información:</w:t>
      </w:r>
    </w:p>
    <w:p w14:paraId="138E789C" w14:textId="77777777" w:rsidR="00350F69" w:rsidRPr="001B525F" w:rsidRDefault="00350F69" w:rsidP="00CC0143">
      <w:pPr>
        <w:spacing w:after="0"/>
        <w:ind w:right="51"/>
        <w:jc w:val="both"/>
        <w:rPr>
          <w:rFonts w:ascii="Arial" w:hAnsi="Arial" w:cs="Arial"/>
          <w:sz w:val="18"/>
          <w:szCs w:val="18"/>
        </w:rPr>
      </w:pPr>
    </w:p>
    <w:p w14:paraId="5BB5BE5B" w14:textId="77777777" w:rsidR="00350F69" w:rsidRPr="001B525F" w:rsidRDefault="00350F69" w:rsidP="00F768FE">
      <w:pPr>
        <w:pStyle w:val="Prrafodelista"/>
        <w:numPr>
          <w:ilvl w:val="0"/>
          <w:numId w:val="28"/>
        </w:numPr>
        <w:spacing w:line="276" w:lineRule="auto"/>
        <w:ind w:left="709" w:hanging="357"/>
        <w:contextualSpacing/>
        <w:jc w:val="both"/>
        <w:rPr>
          <w:rFonts w:cs="Arial"/>
          <w:sz w:val="18"/>
          <w:szCs w:val="18"/>
        </w:rPr>
      </w:pPr>
      <w:r w:rsidRPr="001B525F">
        <w:rPr>
          <w:rFonts w:cs="Arial"/>
          <w:sz w:val="18"/>
          <w:szCs w:val="18"/>
        </w:rPr>
        <w:t>Nombre e identificación de los puntos de interconexión.</w:t>
      </w:r>
    </w:p>
    <w:p w14:paraId="6654800C" w14:textId="77777777" w:rsidR="00350F69" w:rsidRPr="001B525F" w:rsidRDefault="00350F69" w:rsidP="00F768FE">
      <w:pPr>
        <w:pStyle w:val="Prrafodelista"/>
        <w:numPr>
          <w:ilvl w:val="0"/>
          <w:numId w:val="28"/>
        </w:numPr>
        <w:spacing w:line="276" w:lineRule="auto"/>
        <w:ind w:left="709" w:hanging="357"/>
        <w:contextualSpacing/>
        <w:jc w:val="both"/>
        <w:rPr>
          <w:rFonts w:cs="Arial"/>
          <w:sz w:val="18"/>
          <w:szCs w:val="18"/>
        </w:rPr>
      </w:pPr>
      <w:r w:rsidRPr="001B525F">
        <w:rPr>
          <w:rFonts w:cs="Arial"/>
          <w:sz w:val="18"/>
          <w:szCs w:val="18"/>
        </w:rPr>
        <w:t>Dirección y coordenadas geográficas de los puntos de interconexión.</w:t>
      </w:r>
    </w:p>
    <w:p w14:paraId="52C14824" w14:textId="77777777" w:rsidR="00350F69" w:rsidRPr="001B525F" w:rsidRDefault="00350F69" w:rsidP="00F768FE">
      <w:pPr>
        <w:pStyle w:val="Prrafodelista"/>
        <w:numPr>
          <w:ilvl w:val="0"/>
          <w:numId w:val="28"/>
        </w:numPr>
        <w:spacing w:line="276" w:lineRule="auto"/>
        <w:ind w:left="709" w:hanging="357"/>
        <w:contextualSpacing/>
        <w:jc w:val="both"/>
        <w:rPr>
          <w:rFonts w:cs="Arial"/>
          <w:sz w:val="18"/>
          <w:szCs w:val="18"/>
        </w:rPr>
      </w:pPr>
      <w:r w:rsidRPr="001B525F">
        <w:rPr>
          <w:rFonts w:cs="Arial"/>
          <w:sz w:val="18"/>
          <w:szCs w:val="18"/>
        </w:rPr>
        <w:t>Direcciones IP de los Controladores de Frontera de Sesión (SBC del inglés Session Border Controller) y/o de los gateways que permitan la interconexión.</w:t>
      </w:r>
    </w:p>
    <w:p w14:paraId="0FDDBE74" w14:textId="77777777" w:rsidR="00350F69" w:rsidRPr="001B525F" w:rsidRDefault="00350F69" w:rsidP="00CC0143">
      <w:pPr>
        <w:spacing w:after="0"/>
        <w:ind w:right="49"/>
        <w:jc w:val="both"/>
        <w:rPr>
          <w:rFonts w:ascii="Arial" w:hAnsi="Arial" w:cs="Arial"/>
          <w:sz w:val="18"/>
          <w:szCs w:val="18"/>
        </w:rPr>
      </w:pPr>
    </w:p>
    <w:p w14:paraId="48E01D7D" w14:textId="4BBD6E3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Los concesionarios deberán contar con redundancia entre sitios o entre puntos de interconexión para garantizar la continuidad en la prestación del servicio. </w:t>
      </w:r>
    </w:p>
    <w:p w14:paraId="58D82AD6" w14:textId="77777777" w:rsidR="00350F69" w:rsidRPr="001B525F" w:rsidRDefault="00350F69" w:rsidP="00CC0143">
      <w:pPr>
        <w:spacing w:after="0"/>
        <w:ind w:right="49"/>
        <w:jc w:val="both"/>
        <w:rPr>
          <w:rFonts w:ascii="Arial" w:hAnsi="Arial" w:cs="Arial"/>
          <w:sz w:val="18"/>
          <w:szCs w:val="18"/>
        </w:rPr>
      </w:pPr>
    </w:p>
    <w:p w14:paraId="77F03931" w14:textId="004EF7D3"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Los concesionarios cuando así convenga a sus necesidades de </w:t>
      </w:r>
      <w:r w:rsidR="00DD7B49" w:rsidRPr="001B525F">
        <w:rPr>
          <w:rFonts w:ascii="Arial" w:hAnsi="Arial" w:cs="Arial"/>
          <w:sz w:val="18"/>
          <w:szCs w:val="18"/>
        </w:rPr>
        <w:t>tráfico</w:t>
      </w:r>
      <w:r w:rsidRPr="001B525F">
        <w:rPr>
          <w:rFonts w:ascii="Arial" w:hAnsi="Arial" w:cs="Arial"/>
          <w:sz w:val="18"/>
          <w:szCs w:val="18"/>
        </w:rPr>
        <w:t xml:space="preserve"> podrán establecer redundancia física con conexión a dos puntos de interconexión en la misma ciudad con diversidad de trayectoria.</w:t>
      </w:r>
    </w:p>
    <w:p w14:paraId="55CF0AC1" w14:textId="77777777" w:rsidR="00350F69" w:rsidRPr="001B525F" w:rsidRDefault="00350F69" w:rsidP="00CC0143">
      <w:pPr>
        <w:spacing w:after="0"/>
        <w:ind w:right="49"/>
        <w:jc w:val="both"/>
        <w:rPr>
          <w:rFonts w:ascii="Arial" w:hAnsi="Arial" w:cs="Arial"/>
          <w:sz w:val="18"/>
          <w:szCs w:val="18"/>
        </w:rPr>
      </w:pPr>
    </w:p>
    <w:p w14:paraId="02DC74FE" w14:textId="05801698" w:rsidR="00350F69" w:rsidRPr="001B525F" w:rsidRDefault="003478DA" w:rsidP="00CC0143">
      <w:pPr>
        <w:spacing w:after="0"/>
        <w:ind w:right="49"/>
        <w:jc w:val="both"/>
        <w:rPr>
          <w:rFonts w:ascii="Arial" w:hAnsi="Arial" w:cs="Arial"/>
          <w:sz w:val="18"/>
          <w:szCs w:val="18"/>
        </w:rPr>
      </w:pPr>
      <w:r w:rsidRPr="001B525F">
        <w:rPr>
          <w:rFonts w:ascii="Arial" w:hAnsi="Arial" w:cs="Arial"/>
          <w:b/>
          <w:sz w:val="18"/>
          <w:szCs w:val="18"/>
        </w:rPr>
        <w:t>Cuarta</w:t>
      </w:r>
      <w:r w:rsidR="00350F69" w:rsidRPr="001B525F">
        <w:rPr>
          <w:rFonts w:ascii="Arial" w:hAnsi="Arial" w:cs="Arial"/>
          <w:b/>
          <w:sz w:val="18"/>
          <w:szCs w:val="18"/>
        </w:rPr>
        <w:t xml:space="preserve">.- </w:t>
      </w:r>
      <w:r w:rsidR="00350F69" w:rsidRPr="001B525F">
        <w:rPr>
          <w:rFonts w:ascii="Arial" w:hAnsi="Arial" w:cs="Arial"/>
          <w:sz w:val="18"/>
          <w:szCs w:val="18"/>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w:t>
      </w:r>
      <w:r w:rsidR="004E351A">
        <w:rPr>
          <w:rFonts w:ascii="Arial" w:hAnsi="Arial" w:cs="Arial"/>
          <w:sz w:val="18"/>
          <w:szCs w:val="18"/>
        </w:rPr>
        <w:t xml:space="preserve"> y/o</w:t>
      </w:r>
      <w:r w:rsidR="00350F69" w:rsidRPr="001B525F">
        <w:rPr>
          <w:rFonts w:ascii="Arial" w:hAnsi="Arial" w:cs="Arial"/>
          <w:sz w:val="18"/>
          <w:szCs w:val="18"/>
        </w:rPr>
        <w:t xml:space="preserve"> fijo).</w:t>
      </w:r>
    </w:p>
    <w:p w14:paraId="5E80F6CF" w14:textId="77777777" w:rsidR="00350F69" w:rsidRPr="001B525F" w:rsidRDefault="00350F69" w:rsidP="00CC0143">
      <w:pPr>
        <w:spacing w:after="0"/>
        <w:jc w:val="both"/>
        <w:rPr>
          <w:rFonts w:ascii="Arial" w:hAnsi="Arial" w:cs="Arial"/>
          <w:sz w:val="18"/>
          <w:szCs w:val="18"/>
        </w:rPr>
      </w:pPr>
    </w:p>
    <w:p w14:paraId="1489486F"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71AC7DA6" w14:textId="77777777" w:rsidR="00350F69" w:rsidRPr="001B525F" w:rsidRDefault="00350F69" w:rsidP="00CC0143">
      <w:pPr>
        <w:spacing w:after="0"/>
        <w:ind w:right="49"/>
        <w:jc w:val="both"/>
        <w:rPr>
          <w:rFonts w:ascii="Arial" w:hAnsi="Arial" w:cs="Arial"/>
          <w:sz w:val="18"/>
          <w:szCs w:val="18"/>
        </w:rPr>
      </w:pPr>
    </w:p>
    <w:p w14:paraId="015D3368" w14:textId="349DB5E6" w:rsidR="00350F69" w:rsidRPr="001B525F" w:rsidRDefault="003478DA" w:rsidP="00CC0143">
      <w:pPr>
        <w:spacing w:after="0"/>
        <w:ind w:right="49"/>
        <w:jc w:val="both"/>
        <w:rPr>
          <w:rFonts w:ascii="Arial" w:hAnsi="Arial" w:cs="Arial"/>
          <w:sz w:val="18"/>
          <w:szCs w:val="18"/>
        </w:rPr>
      </w:pPr>
      <w:r w:rsidRPr="001B525F">
        <w:rPr>
          <w:rFonts w:ascii="Arial" w:hAnsi="Arial" w:cs="Arial"/>
          <w:b/>
          <w:sz w:val="18"/>
          <w:szCs w:val="18"/>
        </w:rPr>
        <w:t>Quinta</w:t>
      </w:r>
      <w:r w:rsidR="00350F69" w:rsidRPr="001B525F">
        <w:rPr>
          <w:rFonts w:ascii="Arial" w:hAnsi="Arial" w:cs="Arial"/>
          <w:b/>
          <w:sz w:val="18"/>
          <w:szCs w:val="18"/>
        </w:rPr>
        <w:t xml:space="preserve">.- </w:t>
      </w:r>
      <w:r w:rsidR="00350F69" w:rsidRPr="001B525F">
        <w:rPr>
          <w:rFonts w:ascii="Arial" w:hAnsi="Arial" w:cs="Arial"/>
          <w:sz w:val="18"/>
          <w:szCs w:val="18"/>
        </w:rPr>
        <w:t>Los enlaces de transmisión para realizar la interconexión deberán tener las siguientes características:</w:t>
      </w:r>
    </w:p>
    <w:p w14:paraId="6F89D80C" w14:textId="77777777" w:rsidR="00350F69" w:rsidRPr="001B525F" w:rsidRDefault="00350F69" w:rsidP="00CC0143">
      <w:pPr>
        <w:spacing w:after="0"/>
        <w:ind w:right="49"/>
        <w:jc w:val="both"/>
        <w:rPr>
          <w:rFonts w:ascii="Arial" w:hAnsi="Arial" w:cs="Arial"/>
          <w:sz w:val="18"/>
          <w:szCs w:val="18"/>
        </w:rPr>
      </w:pPr>
    </w:p>
    <w:p w14:paraId="16323834" w14:textId="77777777" w:rsidR="00350F69" w:rsidRPr="001B525F" w:rsidRDefault="00350F69" w:rsidP="00FD39D9">
      <w:pPr>
        <w:pStyle w:val="Prrafodelista"/>
        <w:numPr>
          <w:ilvl w:val="0"/>
          <w:numId w:val="28"/>
        </w:numPr>
        <w:spacing w:line="276" w:lineRule="auto"/>
        <w:ind w:left="709" w:hanging="357"/>
        <w:contextualSpacing/>
        <w:jc w:val="both"/>
        <w:rPr>
          <w:rFonts w:cs="Arial"/>
          <w:sz w:val="18"/>
          <w:szCs w:val="18"/>
        </w:rPr>
      </w:pPr>
      <w:r w:rsidRPr="001B525F">
        <w:rPr>
          <w:rFonts w:cs="Arial"/>
          <w:sz w:val="18"/>
          <w:szCs w:val="18"/>
        </w:rPr>
        <w:t>Tecnología Ethernet de 1 Gbps.</w:t>
      </w:r>
    </w:p>
    <w:p w14:paraId="1FA2DADD" w14:textId="08DF69B9" w:rsidR="00350F69" w:rsidRPr="001B525F" w:rsidRDefault="00350F69" w:rsidP="00FD39D9">
      <w:pPr>
        <w:pStyle w:val="Prrafodelista"/>
        <w:numPr>
          <w:ilvl w:val="0"/>
          <w:numId w:val="28"/>
        </w:numPr>
        <w:spacing w:line="276" w:lineRule="auto"/>
        <w:ind w:left="709" w:hanging="357"/>
        <w:contextualSpacing/>
        <w:jc w:val="both"/>
        <w:rPr>
          <w:rFonts w:cs="Arial"/>
          <w:sz w:val="18"/>
          <w:szCs w:val="18"/>
        </w:rPr>
      </w:pPr>
      <w:r w:rsidRPr="001B525F">
        <w:rPr>
          <w:rFonts w:cs="Arial"/>
          <w:sz w:val="18"/>
          <w:szCs w:val="18"/>
        </w:rPr>
        <w:t xml:space="preserve">Fibra óptica monomodo con conector LC de acuerdo </w:t>
      </w:r>
      <w:r w:rsidR="0061157D">
        <w:rPr>
          <w:rFonts w:cs="Arial"/>
          <w:sz w:val="18"/>
          <w:szCs w:val="18"/>
        </w:rPr>
        <w:t>con el</w:t>
      </w:r>
      <w:r w:rsidRPr="001B525F">
        <w:rPr>
          <w:rFonts w:cs="Arial"/>
          <w:sz w:val="18"/>
          <w:szCs w:val="18"/>
        </w:rPr>
        <w:t xml:space="preserve"> estándar 1000 BASE–LX especificado en IEEE 802.3-20</w:t>
      </w:r>
      <w:r w:rsidR="00BE5416">
        <w:rPr>
          <w:rFonts w:cs="Arial"/>
          <w:sz w:val="18"/>
          <w:szCs w:val="18"/>
        </w:rPr>
        <w:t>22</w:t>
      </w:r>
      <w:r w:rsidRPr="001B525F">
        <w:rPr>
          <w:rStyle w:val="Refdenotaalpie"/>
          <w:rFonts w:cs="Arial"/>
          <w:sz w:val="18"/>
          <w:szCs w:val="18"/>
        </w:rPr>
        <w:footnoteReference w:id="36"/>
      </w:r>
      <w:r w:rsidR="00416460">
        <w:rPr>
          <w:rFonts w:cs="Arial"/>
          <w:sz w:val="18"/>
          <w:szCs w:val="18"/>
        </w:rPr>
        <w:t>, o cualquier otro que las partes acuerden previamente</w:t>
      </w:r>
      <w:r w:rsidRPr="001B525F">
        <w:rPr>
          <w:rFonts w:cs="Arial"/>
          <w:sz w:val="18"/>
          <w:szCs w:val="18"/>
        </w:rPr>
        <w:t>.</w:t>
      </w:r>
    </w:p>
    <w:p w14:paraId="45B31E10" w14:textId="77777777" w:rsidR="00350F69" w:rsidRPr="001B525F" w:rsidRDefault="00350F69" w:rsidP="00FD39D9">
      <w:pPr>
        <w:pStyle w:val="Prrafodelista"/>
        <w:numPr>
          <w:ilvl w:val="0"/>
          <w:numId w:val="28"/>
        </w:numPr>
        <w:spacing w:line="276" w:lineRule="auto"/>
        <w:ind w:left="709" w:hanging="357"/>
        <w:contextualSpacing/>
        <w:jc w:val="both"/>
        <w:rPr>
          <w:rFonts w:cs="Arial"/>
          <w:sz w:val="18"/>
          <w:szCs w:val="18"/>
        </w:rPr>
      </w:pPr>
      <w:r w:rsidRPr="001B525F">
        <w:rPr>
          <w:rFonts w:cs="Arial"/>
          <w:sz w:val="18"/>
          <w:szCs w:val="18"/>
        </w:rPr>
        <w:t>Tamaño de trama de 1 536 bytes, la utilización de Jumbo Frames será de común acuerdo entre las partes.</w:t>
      </w:r>
    </w:p>
    <w:p w14:paraId="0395141F" w14:textId="77777777" w:rsidR="00350F69" w:rsidRPr="001B525F" w:rsidRDefault="00350F69" w:rsidP="00CC0143">
      <w:pPr>
        <w:tabs>
          <w:tab w:val="left" w:pos="-142"/>
        </w:tabs>
        <w:spacing w:after="0"/>
        <w:ind w:right="49"/>
        <w:jc w:val="both"/>
        <w:rPr>
          <w:rFonts w:ascii="Arial" w:hAnsi="Arial" w:cs="Arial"/>
          <w:sz w:val="18"/>
          <w:szCs w:val="18"/>
        </w:rPr>
      </w:pPr>
    </w:p>
    <w:p w14:paraId="0931A79B" w14:textId="77777777" w:rsidR="00350F69" w:rsidRPr="001B525F" w:rsidRDefault="00350F69" w:rsidP="00CC0143">
      <w:pPr>
        <w:tabs>
          <w:tab w:val="left" w:pos="-142"/>
        </w:tabs>
        <w:spacing w:after="0"/>
        <w:ind w:right="49"/>
        <w:jc w:val="both"/>
        <w:rPr>
          <w:rFonts w:ascii="Arial" w:hAnsi="Arial" w:cs="Arial"/>
          <w:sz w:val="18"/>
          <w:szCs w:val="18"/>
        </w:rPr>
      </w:pPr>
      <w:r w:rsidRPr="001B525F">
        <w:rPr>
          <w:rFonts w:ascii="Arial" w:hAnsi="Arial" w:cs="Arial"/>
          <w:sz w:val="18"/>
          <w:szCs w:val="18"/>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50F79D94" w14:textId="77777777" w:rsidR="00350F69" w:rsidRPr="001B525F" w:rsidRDefault="00350F69" w:rsidP="00CC0143">
      <w:pPr>
        <w:tabs>
          <w:tab w:val="left" w:pos="-142"/>
        </w:tabs>
        <w:spacing w:after="0"/>
        <w:ind w:right="49"/>
        <w:jc w:val="both"/>
        <w:rPr>
          <w:rFonts w:ascii="Arial" w:hAnsi="Arial" w:cs="Arial"/>
          <w:sz w:val="18"/>
          <w:szCs w:val="18"/>
        </w:rPr>
      </w:pPr>
    </w:p>
    <w:p w14:paraId="4665206A" w14:textId="77DEEB6C" w:rsidR="00350F69" w:rsidRDefault="00C90183">
      <w:pPr>
        <w:spacing w:after="0"/>
        <w:ind w:right="49"/>
        <w:jc w:val="center"/>
        <w:rPr>
          <w:rFonts w:ascii="Arial" w:hAnsi="Arial" w:cs="Arial"/>
          <w:sz w:val="18"/>
          <w:szCs w:val="18"/>
        </w:rPr>
      </w:pPr>
      <w:r>
        <w:rPr>
          <w:noProof/>
        </w:rPr>
        <w:lastRenderedPageBreak/>
        <w:drawing>
          <wp:inline distT="0" distB="0" distL="0" distR="0" wp14:anchorId="297F2590" wp14:editId="3FC4ECB9">
            <wp:extent cx="5612130" cy="1577975"/>
            <wp:effectExtent l="0" t="0" r="762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grayscl/>
                      <a:extLst>
                        <a:ext uri="{BEBA8EAE-BF5A-486C-A8C5-ECC9F3942E4B}">
                          <a14:imgProps xmlns:a14="http://schemas.microsoft.com/office/drawing/2010/main">
                            <a14:imgLayer r:embed="rId46">
                              <a14:imgEffect>
                                <a14:brightnessContrast contrast="-40000"/>
                              </a14:imgEffect>
                            </a14:imgLayer>
                          </a14:imgProps>
                        </a:ext>
                      </a:extLst>
                    </a:blip>
                    <a:stretch>
                      <a:fillRect/>
                    </a:stretch>
                  </pic:blipFill>
                  <pic:spPr>
                    <a:xfrm>
                      <a:off x="0" y="0"/>
                      <a:ext cx="5612130" cy="1577975"/>
                    </a:xfrm>
                    <a:prstGeom prst="rect">
                      <a:avLst/>
                    </a:prstGeom>
                  </pic:spPr>
                </pic:pic>
              </a:graphicData>
            </a:graphic>
          </wp:inline>
        </w:drawing>
      </w:r>
    </w:p>
    <w:p w14:paraId="49E6B927" w14:textId="77777777" w:rsidR="00C90183" w:rsidRPr="001B525F" w:rsidRDefault="00C90183" w:rsidP="00CC0143">
      <w:pPr>
        <w:spacing w:after="0"/>
        <w:ind w:right="49"/>
        <w:jc w:val="both"/>
        <w:rPr>
          <w:rFonts w:ascii="Arial" w:hAnsi="Arial" w:cs="Arial"/>
          <w:sz w:val="18"/>
          <w:szCs w:val="18"/>
        </w:rPr>
      </w:pPr>
    </w:p>
    <w:p w14:paraId="309960B2" w14:textId="77777777" w:rsidR="00350F69" w:rsidRPr="001B525F" w:rsidRDefault="00350F69" w:rsidP="00CC0143">
      <w:pPr>
        <w:pStyle w:val="Prrafodelista"/>
        <w:autoSpaceDE w:val="0"/>
        <w:autoSpaceDN w:val="0"/>
        <w:adjustRightInd w:val="0"/>
        <w:spacing w:line="276" w:lineRule="auto"/>
        <w:ind w:left="0" w:right="49"/>
        <w:jc w:val="center"/>
        <w:rPr>
          <w:rFonts w:cs="Arial"/>
          <w:sz w:val="18"/>
          <w:szCs w:val="18"/>
        </w:rPr>
      </w:pPr>
      <w:r w:rsidRPr="001B525F">
        <w:rPr>
          <w:rFonts w:cs="Arial"/>
          <w:sz w:val="18"/>
          <w:szCs w:val="18"/>
        </w:rPr>
        <w:t>Figura 1. Topología de interconexión SBC-SBC</w:t>
      </w:r>
    </w:p>
    <w:p w14:paraId="071F4C82" w14:textId="77777777" w:rsidR="00350F69" w:rsidRPr="001B525F" w:rsidRDefault="00350F69" w:rsidP="00CC0143">
      <w:pPr>
        <w:spacing w:after="0"/>
        <w:ind w:right="49"/>
        <w:jc w:val="both"/>
        <w:rPr>
          <w:rFonts w:ascii="Arial" w:hAnsi="Arial" w:cs="Arial"/>
          <w:sz w:val="18"/>
          <w:szCs w:val="18"/>
        </w:rPr>
      </w:pPr>
    </w:p>
    <w:p w14:paraId="56C6C169" w14:textId="3BFA6608"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Los SBC deberán contar con la capacidad de procesamiento de tráfico necesaria para soportar la totalidad de tráfico de interconexión que reciban. </w:t>
      </w:r>
    </w:p>
    <w:p w14:paraId="21F6BD1A" w14:textId="77777777" w:rsidR="00350F69" w:rsidRPr="001B525F" w:rsidRDefault="00350F69" w:rsidP="00CC0143">
      <w:pPr>
        <w:spacing w:after="0"/>
        <w:ind w:right="49"/>
        <w:jc w:val="both"/>
        <w:rPr>
          <w:rFonts w:ascii="Arial" w:hAnsi="Arial" w:cs="Arial"/>
          <w:sz w:val="18"/>
          <w:szCs w:val="18"/>
        </w:rPr>
      </w:pPr>
    </w:p>
    <w:p w14:paraId="11C14DC3"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Tratándose del servicio de mensajes cortos, la interconexión se llevará a cabo de manera directa, mediante el establecimiento de enlaces dedicados entre los concesionarios que intercambian tráfico.</w:t>
      </w:r>
    </w:p>
    <w:p w14:paraId="3FD0F7F9" w14:textId="77777777" w:rsidR="00350F69" w:rsidRPr="001B525F" w:rsidRDefault="00350F69" w:rsidP="00CC0143">
      <w:pPr>
        <w:spacing w:after="0"/>
        <w:ind w:right="49"/>
        <w:jc w:val="both"/>
        <w:rPr>
          <w:rFonts w:ascii="Arial" w:hAnsi="Arial" w:cs="Arial"/>
          <w:sz w:val="18"/>
          <w:szCs w:val="18"/>
        </w:rPr>
      </w:pPr>
    </w:p>
    <w:p w14:paraId="4EC5E5E5"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Los concesionarios podrán establecer otros esquemas de interconexión siempre que ello les permita llevar a cabo una efectiva y eficaz interconexión e interoperabilidad de sus redes públicas de telecomunicaciones.</w:t>
      </w:r>
    </w:p>
    <w:p w14:paraId="19116540" w14:textId="77777777" w:rsidR="00350F69" w:rsidRPr="001B525F" w:rsidRDefault="00350F69" w:rsidP="00CC0143">
      <w:pPr>
        <w:spacing w:after="0"/>
        <w:ind w:right="49"/>
        <w:jc w:val="both"/>
        <w:rPr>
          <w:rFonts w:ascii="Arial" w:hAnsi="Arial" w:cs="Arial"/>
          <w:sz w:val="18"/>
          <w:szCs w:val="18"/>
        </w:rPr>
      </w:pPr>
    </w:p>
    <w:p w14:paraId="33ACD0B3" w14:textId="7084C404"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07CF239F" w14:textId="77777777" w:rsidR="00350F69" w:rsidRPr="001B525F" w:rsidRDefault="00350F69" w:rsidP="00561BBC">
      <w:pPr>
        <w:spacing w:after="0"/>
        <w:ind w:right="49"/>
        <w:jc w:val="both"/>
        <w:rPr>
          <w:rFonts w:ascii="Arial" w:hAnsi="Arial" w:cs="Arial"/>
          <w:sz w:val="18"/>
          <w:szCs w:val="18"/>
        </w:rPr>
      </w:pPr>
    </w:p>
    <w:p w14:paraId="30962DE8" w14:textId="23C644FD"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14:paraId="0C6BD807" w14:textId="77777777" w:rsidR="00350F69" w:rsidRPr="001B525F" w:rsidRDefault="00350F69" w:rsidP="00561BBC">
      <w:pPr>
        <w:spacing w:after="0"/>
        <w:ind w:right="49"/>
        <w:jc w:val="both"/>
        <w:rPr>
          <w:rFonts w:ascii="Arial" w:hAnsi="Arial" w:cs="Arial"/>
          <w:sz w:val="18"/>
          <w:szCs w:val="18"/>
        </w:rPr>
      </w:pPr>
    </w:p>
    <w:p w14:paraId="204B479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interconectados deberán tener redundancia en los enlaces de transmisión que favorezca la continuidad en la prestación del servicio.</w:t>
      </w:r>
    </w:p>
    <w:p w14:paraId="0306CE98" w14:textId="77777777" w:rsidR="00350F69" w:rsidRPr="001B525F" w:rsidRDefault="00350F69" w:rsidP="00561BBC">
      <w:pPr>
        <w:spacing w:after="0"/>
        <w:ind w:right="49"/>
        <w:jc w:val="both"/>
        <w:rPr>
          <w:rFonts w:ascii="Arial" w:hAnsi="Arial" w:cs="Arial"/>
          <w:sz w:val="18"/>
          <w:szCs w:val="18"/>
        </w:rPr>
      </w:pPr>
    </w:p>
    <w:p w14:paraId="3730430F" w14:textId="48EF1393" w:rsidR="00350F69" w:rsidRPr="001B525F" w:rsidRDefault="003478DA" w:rsidP="00561BBC">
      <w:pPr>
        <w:spacing w:after="0"/>
        <w:ind w:right="49"/>
        <w:jc w:val="both"/>
        <w:rPr>
          <w:rFonts w:ascii="Arial" w:hAnsi="Arial" w:cs="Arial"/>
          <w:sz w:val="18"/>
          <w:szCs w:val="18"/>
        </w:rPr>
      </w:pPr>
      <w:r w:rsidRPr="001B525F">
        <w:rPr>
          <w:rFonts w:ascii="Arial" w:hAnsi="Arial" w:cs="Arial"/>
          <w:b/>
          <w:sz w:val="18"/>
          <w:szCs w:val="18"/>
        </w:rPr>
        <w:t>Sexta</w:t>
      </w:r>
      <w:r w:rsidR="00350F69" w:rsidRPr="001B525F">
        <w:rPr>
          <w:rFonts w:ascii="Arial" w:hAnsi="Arial" w:cs="Arial"/>
          <w:b/>
          <w:sz w:val="18"/>
          <w:szCs w:val="18"/>
        </w:rPr>
        <w:t xml:space="preserve">.- </w:t>
      </w:r>
      <w:r w:rsidR="00350F69" w:rsidRPr="001B525F">
        <w:rPr>
          <w:rFonts w:ascii="Arial" w:hAnsi="Arial" w:cs="Arial"/>
          <w:sz w:val="18"/>
          <w:szCs w:val="18"/>
        </w:rPr>
        <w:t xml:space="preserve">Los puertos de acceso que proporcione el Concesionario Solicitado serán de capacidades acordes a la capacidad del enlace de transmisión de interconexión. </w:t>
      </w:r>
    </w:p>
    <w:p w14:paraId="518965E0" w14:textId="77777777" w:rsidR="00350F69" w:rsidRPr="001B525F" w:rsidRDefault="00350F69" w:rsidP="00561BBC">
      <w:pPr>
        <w:spacing w:after="0"/>
        <w:ind w:right="49"/>
        <w:jc w:val="both"/>
        <w:rPr>
          <w:rFonts w:ascii="Arial" w:hAnsi="Arial" w:cs="Arial"/>
          <w:sz w:val="18"/>
          <w:szCs w:val="18"/>
        </w:rPr>
      </w:pPr>
    </w:p>
    <w:p w14:paraId="1F162189" w14:textId="16C06F2C"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w:t>
      </w:r>
      <w:r w:rsidR="00B37E3B">
        <w:rPr>
          <w:rFonts w:ascii="Arial" w:hAnsi="Arial" w:cs="Arial"/>
          <w:sz w:val="18"/>
          <w:szCs w:val="18"/>
        </w:rPr>
        <w:t xml:space="preserve"> y/o</w:t>
      </w:r>
      <w:r w:rsidRPr="001B525F">
        <w:rPr>
          <w:rFonts w:ascii="Arial" w:hAnsi="Arial" w:cs="Arial"/>
          <w:sz w:val="18"/>
          <w:szCs w:val="18"/>
        </w:rPr>
        <w:t xml:space="preserve"> fijo).</w:t>
      </w:r>
    </w:p>
    <w:p w14:paraId="2F115279" w14:textId="77777777" w:rsidR="00350F69" w:rsidRPr="001B525F" w:rsidRDefault="00350F69" w:rsidP="00561BBC">
      <w:pPr>
        <w:spacing w:after="0"/>
        <w:ind w:right="49"/>
        <w:jc w:val="both"/>
        <w:rPr>
          <w:rFonts w:ascii="Arial" w:hAnsi="Arial" w:cs="Arial"/>
          <w:sz w:val="18"/>
          <w:szCs w:val="18"/>
        </w:rPr>
      </w:pPr>
    </w:p>
    <w:p w14:paraId="4695AD4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interconectados deberán tener redundancia en los puertos de acceso que favorezca la continuidad en la prestación del servicio.</w:t>
      </w:r>
    </w:p>
    <w:p w14:paraId="7725FF11" w14:textId="77777777" w:rsidR="00350F69" w:rsidRPr="001B525F" w:rsidRDefault="00350F69" w:rsidP="00561BBC">
      <w:pPr>
        <w:spacing w:after="0"/>
        <w:ind w:right="49"/>
        <w:jc w:val="both"/>
        <w:rPr>
          <w:rFonts w:ascii="Arial" w:hAnsi="Arial" w:cs="Arial"/>
          <w:b/>
          <w:sz w:val="18"/>
          <w:szCs w:val="18"/>
        </w:rPr>
      </w:pPr>
    </w:p>
    <w:p w14:paraId="07B733CD" w14:textId="13AA633B"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Los puertos de acceso </w:t>
      </w:r>
      <w:r w:rsidR="00DD7B49" w:rsidRPr="001B525F">
        <w:rPr>
          <w:rFonts w:ascii="Arial" w:hAnsi="Arial" w:cs="Arial"/>
          <w:sz w:val="18"/>
          <w:szCs w:val="18"/>
        </w:rPr>
        <w:t>de acuerdo con</w:t>
      </w:r>
      <w:r w:rsidRPr="001B525F">
        <w:rPr>
          <w:rFonts w:ascii="Arial" w:hAnsi="Arial" w:cs="Arial"/>
          <w:sz w:val="18"/>
          <w:szCs w:val="18"/>
        </w:rPr>
        <w:t xml:space="preserve"> la tecnología utilizada deberán cumplir las siguientes características:</w:t>
      </w:r>
    </w:p>
    <w:p w14:paraId="0F600C3B" w14:textId="77777777" w:rsidR="00BF0205" w:rsidRPr="001B525F" w:rsidRDefault="00BF0205" w:rsidP="00561BBC">
      <w:pPr>
        <w:spacing w:after="0"/>
        <w:ind w:right="49"/>
        <w:jc w:val="both"/>
        <w:rPr>
          <w:rFonts w:ascii="Arial" w:hAnsi="Arial" w:cs="Arial"/>
          <w:sz w:val="18"/>
          <w:szCs w:val="18"/>
        </w:rPr>
      </w:pPr>
    </w:p>
    <w:p w14:paraId="37760BAE" w14:textId="3915D787" w:rsidR="004376B1" w:rsidRPr="001B525F" w:rsidRDefault="00350F69" w:rsidP="00561BBC">
      <w:pPr>
        <w:tabs>
          <w:tab w:val="left" w:pos="0"/>
        </w:tabs>
        <w:spacing w:after="0"/>
        <w:ind w:right="49"/>
        <w:jc w:val="both"/>
        <w:rPr>
          <w:rFonts w:ascii="Arial" w:hAnsi="Arial" w:cs="Arial"/>
          <w:b/>
          <w:sz w:val="18"/>
          <w:szCs w:val="18"/>
        </w:rPr>
      </w:pPr>
      <w:r w:rsidRPr="001B525F">
        <w:rPr>
          <w:rFonts w:ascii="Arial" w:hAnsi="Arial" w:cs="Arial"/>
          <w:b/>
          <w:sz w:val="18"/>
          <w:szCs w:val="18"/>
        </w:rPr>
        <w:t>Interconexión IP</w:t>
      </w:r>
    </w:p>
    <w:p w14:paraId="51DB403D" w14:textId="77777777" w:rsidR="00350F69" w:rsidRPr="001B525F" w:rsidRDefault="00350F69" w:rsidP="00561BBC">
      <w:pPr>
        <w:tabs>
          <w:tab w:val="left" w:pos="0"/>
        </w:tabs>
        <w:spacing w:after="0"/>
        <w:ind w:right="49"/>
        <w:jc w:val="both"/>
        <w:rPr>
          <w:rFonts w:ascii="Arial" w:hAnsi="Arial" w:cs="Arial"/>
          <w:sz w:val="18"/>
          <w:szCs w:val="18"/>
        </w:rPr>
      </w:pPr>
    </w:p>
    <w:p w14:paraId="633C4710" w14:textId="00993729" w:rsidR="00350F69" w:rsidRPr="001B525F" w:rsidRDefault="00350F69" w:rsidP="00561BBC">
      <w:pPr>
        <w:tabs>
          <w:tab w:val="left" w:pos="0"/>
        </w:tabs>
        <w:spacing w:after="0"/>
        <w:ind w:right="49"/>
        <w:jc w:val="both"/>
        <w:rPr>
          <w:rFonts w:ascii="Arial" w:hAnsi="Arial" w:cs="Arial"/>
          <w:sz w:val="18"/>
          <w:szCs w:val="18"/>
        </w:rPr>
      </w:pPr>
      <w:r w:rsidRPr="001B525F">
        <w:rPr>
          <w:rFonts w:ascii="Arial" w:hAnsi="Arial" w:cs="Arial"/>
          <w:sz w:val="18"/>
          <w:szCs w:val="18"/>
        </w:rPr>
        <w:t xml:space="preserve">Los enlaces de transmisión y puertos de acceso deberán proporcionarse con una capacidad inicial de al menos 10 Mbps </w:t>
      </w:r>
      <w:r w:rsidR="00DA3513">
        <w:rPr>
          <w:rFonts w:ascii="Arial" w:hAnsi="Arial" w:cs="Arial"/>
          <w:sz w:val="18"/>
          <w:szCs w:val="18"/>
        </w:rPr>
        <w:t>o</w:t>
      </w:r>
      <w:r w:rsidR="00DA3513" w:rsidRPr="001B525F">
        <w:rPr>
          <w:rFonts w:ascii="Arial" w:hAnsi="Arial" w:cs="Arial"/>
          <w:sz w:val="18"/>
          <w:szCs w:val="18"/>
        </w:rPr>
        <w:t xml:space="preserve"> </w:t>
      </w:r>
      <w:r w:rsidRPr="001B525F">
        <w:rPr>
          <w:rFonts w:ascii="Arial" w:hAnsi="Arial" w:cs="Arial"/>
          <w:sz w:val="18"/>
          <w:szCs w:val="18"/>
        </w:rPr>
        <w:t xml:space="preserve">100 </w:t>
      </w:r>
      <w:r w:rsidR="00DA3513" w:rsidRPr="001B525F">
        <w:rPr>
          <w:rFonts w:ascii="Arial" w:hAnsi="Arial" w:cs="Arial"/>
          <w:sz w:val="18"/>
          <w:szCs w:val="18"/>
        </w:rPr>
        <w:t>Mbps</w:t>
      </w:r>
      <w:r w:rsidR="00DA3513">
        <w:rPr>
          <w:rFonts w:ascii="Arial" w:hAnsi="Arial" w:cs="Arial"/>
          <w:sz w:val="18"/>
          <w:szCs w:val="18"/>
        </w:rPr>
        <w:t xml:space="preserve"> y </w:t>
      </w:r>
      <w:r w:rsidR="00DA3513" w:rsidRPr="001B525F">
        <w:rPr>
          <w:rFonts w:ascii="Arial" w:hAnsi="Arial" w:cs="Arial"/>
          <w:sz w:val="18"/>
          <w:szCs w:val="18"/>
        </w:rPr>
        <w:t xml:space="preserve">deberán </w:t>
      </w:r>
      <w:r w:rsidRPr="001B525F">
        <w:rPr>
          <w:rFonts w:ascii="Arial" w:hAnsi="Arial" w:cs="Arial"/>
          <w:sz w:val="18"/>
          <w:szCs w:val="18"/>
        </w:rPr>
        <w:t>ser modulares en saltos de 10 Mbps o 100 Mbps, todo ello a elección del Concesionario Solicitante, con independencia de que el canal físico soporte las velocidades señaladas en la Condición Quinta.</w:t>
      </w:r>
    </w:p>
    <w:p w14:paraId="1A7F2807" w14:textId="77777777" w:rsidR="00350F69" w:rsidRPr="001B525F" w:rsidRDefault="00350F69" w:rsidP="00561BBC">
      <w:pPr>
        <w:tabs>
          <w:tab w:val="left" w:pos="0"/>
        </w:tabs>
        <w:spacing w:after="0"/>
        <w:ind w:right="49"/>
        <w:jc w:val="both"/>
        <w:rPr>
          <w:rFonts w:ascii="Arial" w:hAnsi="Arial" w:cs="Arial"/>
          <w:sz w:val="18"/>
          <w:szCs w:val="18"/>
        </w:rPr>
      </w:pPr>
    </w:p>
    <w:p w14:paraId="55FEFAAF" w14:textId="77777777" w:rsidR="00350F69" w:rsidRPr="001B525F" w:rsidRDefault="00350F69" w:rsidP="00561BBC">
      <w:pPr>
        <w:tabs>
          <w:tab w:val="left" w:pos="0"/>
        </w:tabs>
        <w:spacing w:after="0"/>
        <w:ind w:left="708" w:right="49"/>
        <w:jc w:val="both"/>
        <w:rPr>
          <w:rFonts w:ascii="Arial" w:hAnsi="Arial" w:cs="Arial"/>
          <w:sz w:val="18"/>
          <w:szCs w:val="18"/>
        </w:rPr>
      </w:pPr>
    </w:p>
    <w:p w14:paraId="31E3E8F0" w14:textId="485067C1" w:rsidR="00350F69" w:rsidRPr="001B525F" w:rsidRDefault="00947D7A" w:rsidP="00561BBC">
      <w:pPr>
        <w:spacing w:after="0"/>
        <w:ind w:right="49"/>
        <w:jc w:val="both"/>
        <w:rPr>
          <w:rFonts w:ascii="Arial" w:hAnsi="Arial" w:cs="Arial"/>
          <w:sz w:val="18"/>
          <w:szCs w:val="18"/>
        </w:rPr>
      </w:pPr>
      <w:r w:rsidRPr="001B525F">
        <w:rPr>
          <w:rFonts w:ascii="Arial" w:hAnsi="Arial" w:cs="Arial"/>
          <w:b/>
          <w:sz w:val="18"/>
          <w:szCs w:val="18"/>
        </w:rPr>
        <w:lastRenderedPageBreak/>
        <w:t>Séptima</w:t>
      </w:r>
      <w:r w:rsidR="00350F69" w:rsidRPr="001B525F">
        <w:rPr>
          <w:rFonts w:ascii="Arial" w:hAnsi="Arial" w:cs="Arial"/>
          <w:b/>
          <w:sz w:val="18"/>
          <w:szCs w:val="18"/>
        </w:rPr>
        <w:t>.-</w:t>
      </w:r>
      <w:r w:rsidR="00350F69" w:rsidRPr="001B525F">
        <w:rPr>
          <w:rFonts w:ascii="Arial" w:hAnsi="Arial" w:cs="Arial"/>
          <w:sz w:val="18"/>
          <w:szCs w:val="18"/>
        </w:rPr>
        <w:t xml:space="preserve"> La interconexión de redes públicas de telecomunicaciones se sujetará a la utilización de los siguientes protocolos de señalización.</w:t>
      </w:r>
    </w:p>
    <w:p w14:paraId="0F6BFF1B" w14:textId="77777777" w:rsidR="00350F69" w:rsidRPr="001B525F" w:rsidRDefault="00350F69" w:rsidP="00561BBC">
      <w:pPr>
        <w:spacing w:after="0"/>
        <w:ind w:right="49"/>
        <w:jc w:val="both"/>
        <w:rPr>
          <w:rFonts w:ascii="Arial" w:hAnsi="Arial" w:cs="Arial"/>
          <w:sz w:val="18"/>
          <w:szCs w:val="18"/>
        </w:rPr>
      </w:pPr>
    </w:p>
    <w:p w14:paraId="3D265FF6"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b/>
          <w:sz w:val="18"/>
          <w:szCs w:val="18"/>
        </w:rPr>
        <w:t>Interconexión IP</w:t>
      </w:r>
    </w:p>
    <w:p w14:paraId="043C4034" w14:textId="77777777" w:rsidR="00350F69" w:rsidRPr="001B525F" w:rsidRDefault="00350F69" w:rsidP="00561BBC">
      <w:pPr>
        <w:spacing w:after="0"/>
        <w:ind w:right="49"/>
        <w:jc w:val="both"/>
        <w:rPr>
          <w:rFonts w:ascii="Arial" w:hAnsi="Arial" w:cs="Arial"/>
          <w:sz w:val="18"/>
          <w:szCs w:val="18"/>
        </w:rPr>
      </w:pPr>
    </w:p>
    <w:p w14:paraId="1677CA95" w14:textId="79BEA2DE"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El protocolo de señalización SIP-IP será obligatorio para la interconexión directa entre concesionarios y de acuerdo </w:t>
      </w:r>
      <w:r w:rsidR="00627FBC" w:rsidRPr="001B525F">
        <w:rPr>
          <w:rFonts w:ascii="Arial" w:hAnsi="Arial" w:cs="Arial"/>
          <w:sz w:val="18"/>
          <w:szCs w:val="18"/>
        </w:rPr>
        <w:t>con</w:t>
      </w:r>
      <w:r w:rsidRPr="001B525F">
        <w:rPr>
          <w:rFonts w:ascii="Arial" w:hAnsi="Arial" w:cs="Arial"/>
          <w:sz w:val="18"/>
          <w:szCs w:val="18"/>
        </w:rPr>
        <w:t xml:space="preserve"> la Recomendación IETF RFC 3261</w:t>
      </w:r>
      <w:r w:rsidRPr="001B525F">
        <w:rPr>
          <w:rStyle w:val="Refdenotaalpie"/>
          <w:rFonts w:ascii="Arial" w:hAnsi="Arial" w:cs="Arial"/>
          <w:sz w:val="18"/>
          <w:szCs w:val="18"/>
        </w:rPr>
        <w:footnoteReference w:id="37"/>
      </w:r>
      <w:r w:rsidRPr="001B525F">
        <w:rPr>
          <w:rFonts w:ascii="Arial" w:hAnsi="Arial" w:cs="Arial"/>
          <w:sz w:val="18"/>
          <w:szCs w:val="18"/>
        </w:rPr>
        <w:t xml:space="preserve"> y recomendaciones complementarias. </w:t>
      </w:r>
    </w:p>
    <w:p w14:paraId="0CA378BE" w14:textId="77777777" w:rsidR="00350F69" w:rsidRPr="001B525F" w:rsidRDefault="00350F69" w:rsidP="00561BBC">
      <w:pPr>
        <w:spacing w:after="0"/>
        <w:ind w:right="51"/>
        <w:jc w:val="both"/>
        <w:rPr>
          <w:rFonts w:ascii="Arial" w:hAnsi="Arial" w:cs="Arial"/>
          <w:sz w:val="18"/>
          <w:szCs w:val="18"/>
        </w:rPr>
      </w:pPr>
    </w:p>
    <w:p w14:paraId="765BD6DB" w14:textId="77777777" w:rsidR="00350F69" w:rsidRPr="001B525F" w:rsidRDefault="00350F69" w:rsidP="00226F17">
      <w:pPr>
        <w:pStyle w:val="Prrafodelista"/>
        <w:numPr>
          <w:ilvl w:val="0"/>
          <w:numId w:val="32"/>
        </w:numPr>
        <w:spacing w:line="276" w:lineRule="auto"/>
        <w:ind w:left="709" w:right="49" w:hanging="720"/>
        <w:contextualSpacing/>
        <w:jc w:val="both"/>
        <w:rPr>
          <w:rFonts w:cs="Arial"/>
          <w:b/>
          <w:sz w:val="18"/>
          <w:szCs w:val="18"/>
        </w:rPr>
      </w:pPr>
      <w:r w:rsidRPr="001B525F">
        <w:rPr>
          <w:rFonts w:cs="Arial"/>
          <w:b/>
          <w:sz w:val="18"/>
          <w:szCs w:val="18"/>
        </w:rPr>
        <w:t>Interconexión plano de control</w:t>
      </w:r>
    </w:p>
    <w:p w14:paraId="3C4E747D" w14:textId="77777777" w:rsidR="00350F69" w:rsidRPr="001B525F" w:rsidRDefault="00350F69" w:rsidP="00561BBC">
      <w:pPr>
        <w:pStyle w:val="Prrafodelista"/>
        <w:spacing w:line="276" w:lineRule="auto"/>
        <w:ind w:left="0" w:right="49"/>
        <w:rPr>
          <w:rFonts w:cs="Arial"/>
          <w:b/>
          <w:sz w:val="18"/>
          <w:szCs w:val="18"/>
        </w:rPr>
      </w:pPr>
    </w:p>
    <w:p w14:paraId="28D7ACAA"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Métodos y Encabezados de Campo SIP</w:t>
      </w:r>
    </w:p>
    <w:p w14:paraId="7507B3A5" w14:textId="77777777" w:rsidR="00350F69" w:rsidRPr="001B525F" w:rsidRDefault="00350F69" w:rsidP="00561BBC">
      <w:pPr>
        <w:pStyle w:val="Prrafodelista"/>
        <w:spacing w:line="276" w:lineRule="auto"/>
        <w:ind w:left="709" w:right="49"/>
        <w:rPr>
          <w:rFonts w:cs="Arial"/>
          <w:b/>
          <w:sz w:val="18"/>
          <w:szCs w:val="18"/>
        </w:rPr>
      </w:pPr>
    </w:p>
    <w:p w14:paraId="4383C27E"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Métodos SIP aplicables para sesiones de VoIP</w:t>
      </w:r>
    </w:p>
    <w:p w14:paraId="30C937DD" w14:textId="77777777" w:rsidR="00350F69" w:rsidRPr="001B525F" w:rsidRDefault="00350F69" w:rsidP="00561BBC">
      <w:pPr>
        <w:spacing w:after="0"/>
        <w:ind w:right="49"/>
        <w:rPr>
          <w:rFonts w:ascii="Arial" w:hAnsi="Arial" w:cs="Arial"/>
          <w:sz w:val="18"/>
          <w:szCs w:val="18"/>
        </w:rPr>
      </w:pPr>
    </w:p>
    <w:p w14:paraId="3270D5D4"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Para el modelo de interconexión VoIP se considerarán los siguientes métodos.</w:t>
      </w:r>
    </w:p>
    <w:p w14:paraId="2DC7F6DD" w14:textId="77777777" w:rsidR="00350F69" w:rsidRPr="001B525F" w:rsidRDefault="00350F69" w:rsidP="00561BBC">
      <w:pPr>
        <w:spacing w:after="0"/>
        <w:ind w:right="49"/>
        <w:rPr>
          <w:rFonts w:ascii="Arial" w:hAnsi="Arial" w:cs="Arial"/>
          <w:b/>
          <w:sz w:val="18"/>
          <w:szCs w:val="18"/>
        </w:rPr>
      </w:pPr>
    </w:p>
    <w:tbl>
      <w:tblPr>
        <w:tblStyle w:val="Sombreadomedio2-nfasis12"/>
        <w:tblW w:w="27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1388"/>
        <w:gridCol w:w="927"/>
        <w:gridCol w:w="2452"/>
      </w:tblGrid>
      <w:tr w:rsidR="00911320" w:rsidRPr="00FD39D9" w14:paraId="1F99B3DF" w14:textId="77777777" w:rsidTr="009F4DC9">
        <w:trPr>
          <w:cnfStyle w:val="000000100000" w:firstRow="0" w:lastRow="0" w:firstColumn="0" w:lastColumn="0" w:oddVBand="0" w:evenVBand="0" w:oddHBand="1" w:evenHBand="0" w:firstRowFirstColumn="0" w:firstRowLastColumn="0" w:lastRowFirstColumn="0" w:lastRowLastColumn="0"/>
          <w:trHeight w:val="449"/>
          <w:jc w:val="center"/>
        </w:trPr>
        <w:tc>
          <w:tcPr>
            <w:tcW w:w="446" w:type="pct"/>
            <w:shd w:val="clear" w:color="auto" w:fill="A6A6A6" w:themeFill="background1" w:themeFillShade="A6"/>
          </w:tcPr>
          <w:p w14:paraId="6B5655BF" w14:textId="77777777" w:rsidR="00350F69" w:rsidRPr="00FD39D9" w:rsidRDefault="00350F69" w:rsidP="001B2640">
            <w:pPr>
              <w:pStyle w:val="TAH"/>
              <w:spacing w:line="276" w:lineRule="auto"/>
              <w:ind w:right="49"/>
              <w:rPr>
                <w:rFonts w:cs="Arial"/>
                <w:bCs/>
                <w:sz w:val="16"/>
                <w:szCs w:val="18"/>
              </w:rPr>
            </w:pPr>
            <w:r w:rsidRPr="00FD39D9">
              <w:rPr>
                <w:rFonts w:cs="Arial"/>
                <w:bCs/>
                <w:sz w:val="16"/>
                <w:szCs w:val="18"/>
              </w:rPr>
              <w:t>#</w:t>
            </w:r>
          </w:p>
        </w:tc>
        <w:tc>
          <w:tcPr>
            <w:tcW w:w="1326" w:type="pct"/>
            <w:shd w:val="clear" w:color="auto" w:fill="A6A6A6" w:themeFill="background1" w:themeFillShade="A6"/>
          </w:tcPr>
          <w:p w14:paraId="6A247BF1" w14:textId="77777777" w:rsidR="00350F69" w:rsidRPr="00FD39D9" w:rsidRDefault="00350F69" w:rsidP="001B2640">
            <w:pPr>
              <w:pStyle w:val="TAH"/>
              <w:spacing w:line="276" w:lineRule="auto"/>
              <w:ind w:right="49"/>
              <w:rPr>
                <w:rFonts w:cs="Arial"/>
                <w:bCs/>
                <w:sz w:val="16"/>
                <w:szCs w:val="18"/>
              </w:rPr>
            </w:pPr>
            <w:r w:rsidRPr="00FD39D9">
              <w:rPr>
                <w:rFonts w:cs="Arial"/>
                <w:bCs/>
                <w:sz w:val="16"/>
                <w:szCs w:val="18"/>
              </w:rPr>
              <w:t>Mensaje SIP</w:t>
            </w:r>
          </w:p>
        </w:tc>
        <w:tc>
          <w:tcPr>
            <w:tcW w:w="886" w:type="pct"/>
            <w:shd w:val="clear" w:color="auto" w:fill="A6A6A6" w:themeFill="background1" w:themeFillShade="A6"/>
          </w:tcPr>
          <w:p w14:paraId="14B3BAA0" w14:textId="77777777" w:rsidR="00350F69" w:rsidRPr="00FD39D9" w:rsidRDefault="00350F69" w:rsidP="001B2640">
            <w:pPr>
              <w:pStyle w:val="TAH"/>
              <w:spacing w:line="276" w:lineRule="auto"/>
              <w:ind w:right="49"/>
              <w:rPr>
                <w:rFonts w:cs="Arial"/>
                <w:bCs/>
                <w:sz w:val="16"/>
                <w:szCs w:val="18"/>
              </w:rPr>
            </w:pPr>
            <w:r w:rsidRPr="00FD39D9">
              <w:rPr>
                <w:rFonts w:cs="Arial"/>
                <w:bCs/>
                <w:sz w:val="16"/>
                <w:szCs w:val="18"/>
              </w:rPr>
              <w:t>Estado</w:t>
            </w:r>
          </w:p>
        </w:tc>
        <w:tc>
          <w:tcPr>
            <w:tcW w:w="2343" w:type="pct"/>
            <w:shd w:val="clear" w:color="auto" w:fill="A6A6A6" w:themeFill="background1" w:themeFillShade="A6"/>
          </w:tcPr>
          <w:p w14:paraId="4E0B3915" w14:textId="77777777" w:rsidR="00350F69" w:rsidRPr="00FD39D9" w:rsidRDefault="00350F69" w:rsidP="001B2640">
            <w:pPr>
              <w:pStyle w:val="TAH"/>
              <w:spacing w:line="276" w:lineRule="auto"/>
              <w:ind w:right="49"/>
              <w:rPr>
                <w:rFonts w:cs="Arial"/>
                <w:bCs/>
                <w:sz w:val="16"/>
                <w:szCs w:val="18"/>
              </w:rPr>
            </w:pPr>
            <w:r w:rsidRPr="00FD39D9">
              <w:rPr>
                <w:rFonts w:cs="Arial"/>
                <w:bCs/>
                <w:sz w:val="16"/>
                <w:szCs w:val="18"/>
              </w:rPr>
              <w:t>Referencia</w:t>
            </w:r>
          </w:p>
        </w:tc>
      </w:tr>
      <w:tr w:rsidR="00911320" w:rsidRPr="00FD39D9" w14:paraId="5D8E10D8" w14:textId="77777777" w:rsidTr="009F4DC9">
        <w:trPr>
          <w:cnfStyle w:val="000000010000" w:firstRow="0" w:lastRow="0" w:firstColumn="0" w:lastColumn="0" w:oddVBand="0" w:evenVBand="0" w:oddHBand="0" w:evenHBand="1" w:firstRowFirstColumn="0" w:firstRowLastColumn="0" w:lastRowFirstColumn="0" w:lastRowLastColumn="0"/>
          <w:trHeight w:val="247"/>
          <w:jc w:val="center"/>
        </w:trPr>
        <w:tc>
          <w:tcPr>
            <w:tcW w:w="446" w:type="pct"/>
          </w:tcPr>
          <w:p w14:paraId="6696324C"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1</w:t>
            </w:r>
          </w:p>
        </w:tc>
        <w:tc>
          <w:tcPr>
            <w:tcW w:w="1326" w:type="pct"/>
          </w:tcPr>
          <w:p w14:paraId="2B1487F8"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ACK</w:t>
            </w:r>
          </w:p>
        </w:tc>
        <w:tc>
          <w:tcPr>
            <w:tcW w:w="886" w:type="pct"/>
          </w:tcPr>
          <w:p w14:paraId="4DB10052"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tcPr>
          <w:p w14:paraId="1A6631B8"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De acuerdo a RFC 3261</w:t>
            </w:r>
          </w:p>
        </w:tc>
      </w:tr>
      <w:tr w:rsidR="00911320" w:rsidRPr="00FD39D9" w14:paraId="6EA44FE0" w14:textId="77777777" w:rsidTr="009F4DC9">
        <w:trPr>
          <w:cnfStyle w:val="000000100000" w:firstRow="0" w:lastRow="0" w:firstColumn="0" w:lastColumn="0" w:oddVBand="0" w:evenVBand="0" w:oddHBand="1" w:evenHBand="0" w:firstRowFirstColumn="0" w:firstRowLastColumn="0" w:lastRowFirstColumn="0" w:lastRowLastColumn="0"/>
          <w:trHeight w:val="251"/>
          <w:jc w:val="center"/>
        </w:trPr>
        <w:tc>
          <w:tcPr>
            <w:tcW w:w="446" w:type="pct"/>
            <w:shd w:val="clear" w:color="auto" w:fill="FFFFFF" w:themeFill="background1"/>
          </w:tcPr>
          <w:p w14:paraId="2E2926BB"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2</w:t>
            </w:r>
          </w:p>
        </w:tc>
        <w:tc>
          <w:tcPr>
            <w:tcW w:w="1326" w:type="pct"/>
            <w:shd w:val="clear" w:color="auto" w:fill="FFFFFF" w:themeFill="background1"/>
          </w:tcPr>
          <w:p w14:paraId="7BBF9BDD"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BYE</w:t>
            </w:r>
          </w:p>
        </w:tc>
        <w:tc>
          <w:tcPr>
            <w:tcW w:w="886" w:type="pct"/>
            <w:shd w:val="clear" w:color="auto" w:fill="FFFFFF" w:themeFill="background1"/>
          </w:tcPr>
          <w:p w14:paraId="00CB5584"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shd w:val="clear" w:color="auto" w:fill="FFFFFF" w:themeFill="background1"/>
          </w:tcPr>
          <w:p w14:paraId="139C4F8B"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De acuerdo a RFC 3261</w:t>
            </w:r>
          </w:p>
        </w:tc>
      </w:tr>
      <w:tr w:rsidR="00911320" w:rsidRPr="00FD39D9" w14:paraId="5AC9FB54" w14:textId="77777777" w:rsidTr="009F4DC9">
        <w:trPr>
          <w:cnfStyle w:val="000000010000" w:firstRow="0" w:lastRow="0" w:firstColumn="0" w:lastColumn="0" w:oddVBand="0" w:evenVBand="0" w:oddHBand="0" w:evenHBand="1" w:firstRowFirstColumn="0" w:firstRowLastColumn="0" w:lastRowFirstColumn="0" w:lastRowLastColumn="0"/>
          <w:trHeight w:val="255"/>
          <w:jc w:val="center"/>
        </w:trPr>
        <w:tc>
          <w:tcPr>
            <w:tcW w:w="446" w:type="pct"/>
          </w:tcPr>
          <w:p w14:paraId="30993B8D"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3</w:t>
            </w:r>
          </w:p>
        </w:tc>
        <w:tc>
          <w:tcPr>
            <w:tcW w:w="1326" w:type="pct"/>
            <w:shd w:val="clear" w:color="auto" w:fill="D9D9D9" w:themeFill="background1" w:themeFillShade="D9"/>
          </w:tcPr>
          <w:p w14:paraId="018E5323"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CANCEL</w:t>
            </w:r>
          </w:p>
        </w:tc>
        <w:tc>
          <w:tcPr>
            <w:tcW w:w="886" w:type="pct"/>
          </w:tcPr>
          <w:p w14:paraId="4C18210F"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tcPr>
          <w:p w14:paraId="54B910E5"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De acuerdo a RFC 3261</w:t>
            </w:r>
          </w:p>
        </w:tc>
      </w:tr>
      <w:tr w:rsidR="00911320" w:rsidRPr="00FD39D9" w14:paraId="07BC470A" w14:textId="77777777" w:rsidTr="009F4DC9">
        <w:trPr>
          <w:cnfStyle w:val="000000100000" w:firstRow="0" w:lastRow="0" w:firstColumn="0" w:lastColumn="0" w:oddVBand="0" w:evenVBand="0" w:oddHBand="1" w:evenHBand="0" w:firstRowFirstColumn="0" w:firstRowLastColumn="0" w:lastRowFirstColumn="0" w:lastRowLastColumn="0"/>
          <w:trHeight w:val="259"/>
          <w:jc w:val="center"/>
        </w:trPr>
        <w:tc>
          <w:tcPr>
            <w:tcW w:w="446" w:type="pct"/>
            <w:shd w:val="clear" w:color="auto" w:fill="FFFFFF" w:themeFill="background1"/>
          </w:tcPr>
          <w:p w14:paraId="11BBB310"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4</w:t>
            </w:r>
          </w:p>
        </w:tc>
        <w:tc>
          <w:tcPr>
            <w:tcW w:w="1326" w:type="pct"/>
            <w:shd w:val="clear" w:color="auto" w:fill="FFFFFF" w:themeFill="background1"/>
          </w:tcPr>
          <w:p w14:paraId="68D135B7"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INVITE</w:t>
            </w:r>
          </w:p>
        </w:tc>
        <w:tc>
          <w:tcPr>
            <w:tcW w:w="886" w:type="pct"/>
            <w:shd w:val="clear" w:color="auto" w:fill="FFFFFF" w:themeFill="background1"/>
          </w:tcPr>
          <w:p w14:paraId="3D06A391"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shd w:val="clear" w:color="auto" w:fill="FFFFFF" w:themeFill="background1"/>
          </w:tcPr>
          <w:p w14:paraId="42BDD5B5"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De acuerdo a RFC 3261</w:t>
            </w:r>
          </w:p>
        </w:tc>
      </w:tr>
      <w:tr w:rsidR="00911320" w:rsidRPr="00FD39D9" w14:paraId="34513D25" w14:textId="77777777" w:rsidTr="009F4DC9">
        <w:trPr>
          <w:cnfStyle w:val="000000010000" w:firstRow="0" w:lastRow="0" w:firstColumn="0" w:lastColumn="0" w:oddVBand="0" w:evenVBand="0" w:oddHBand="0" w:evenHBand="1" w:firstRowFirstColumn="0" w:firstRowLastColumn="0" w:lastRowFirstColumn="0" w:lastRowLastColumn="0"/>
          <w:trHeight w:val="252"/>
          <w:jc w:val="center"/>
        </w:trPr>
        <w:tc>
          <w:tcPr>
            <w:tcW w:w="446" w:type="pct"/>
          </w:tcPr>
          <w:p w14:paraId="5CFE0CA5"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5</w:t>
            </w:r>
          </w:p>
        </w:tc>
        <w:tc>
          <w:tcPr>
            <w:tcW w:w="1326" w:type="pct"/>
          </w:tcPr>
          <w:p w14:paraId="1937F0C2"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UPDATE</w:t>
            </w:r>
          </w:p>
        </w:tc>
        <w:tc>
          <w:tcPr>
            <w:tcW w:w="886" w:type="pct"/>
          </w:tcPr>
          <w:p w14:paraId="121BFBA6"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tcPr>
          <w:p w14:paraId="5691D97C"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De acuerdo a RFC 3311</w:t>
            </w:r>
            <w:r w:rsidRPr="00FD39D9">
              <w:rPr>
                <w:rStyle w:val="Refdenotaalpie"/>
                <w:rFonts w:cs="Arial"/>
                <w:sz w:val="16"/>
                <w:szCs w:val="18"/>
              </w:rPr>
              <w:footnoteReference w:id="38"/>
            </w:r>
          </w:p>
        </w:tc>
      </w:tr>
      <w:tr w:rsidR="00911320" w:rsidRPr="00FD39D9" w14:paraId="4DC8FC94" w14:textId="77777777" w:rsidTr="009F4DC9">
        <w:trPr>
          <w:cnfStyle w:val="000000100000" w:firstRow="0" w:lastRow="0" w:firstColumn="0" w:lastColumn="0" w:oddVBand="0" w:evenVBand="0" w:oddHBand="1" w:evenHBand="0" w:firstRowFirstColumn="0" w:firstRowLastColumn="0" w:lastRowFirstColumn="0" w:lastRowLastColumn="0"/>
          <w:trHeight w:val="256"/>
          <w:jc w:val="center"/>
        </w:trPr>
        <w:tc>
          <w:tcPr>
            <w:tcW w:w="446" w:type="pct"/>
            <w:shd w:val="clear" w:color="auto" w:fill="FFFFFF" w:themeFill="background1"/>
          </w:tcPr>
          <w:p w14:paraId="2BA378C7"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6</w:t>
            </w:r>
          </w:p>
        </w:tc>
        <w:tc>
          <w:tcPr>
            <w:tcW w:w="1326" w:type="pct"/>
            <w:shd w:val="clear" w:color="auto" w:fill="FFFFFF" w:themeFill="background1"/>
          </w:tcPr>
          <w:p w14:paraId="395D36F2"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PRACK</w:t>
            </w:r>
          </w:p>
        </w:tc>
        <w:tc>
          <w:tcPr>
            <w:tcW w:w="886" w:type="pct"/>
            <w:shd w:val="clear" w:color="auto" w:fill="FFFFFF" w:themeFill="background1"/>
          </w:tcPr>
          <w:p w14:paraId="4811B4C9"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shd w:val="clear" w:color="auto" w:fill="FFFFFF" w:themeFill="background1"/>
          </w:tcPr>
          <w:p w14:paraId="6A5158CF"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De acuerdo a RFC 3262</w:t>
            </w:r>
            <w:r w:rsidRPr="00FD39D9">
              <w:rPr>
                <w:rStyle w:val="Refdenotaalpie"/>
                <w:rFonts w:cs="Arial"/>
                <w:sz w:val="16"/>
                <w:szCs w:val="18"/>
              </w:rPr>
              <w:footnoteReference w:id="39"/>
            </w:r>
          </w:p>
        </w:tc>
      </w:tr>
      <w:tr w:rsidR="00911320" w:rsidRPr="00FD39D9" w14:paraId="41235164" w14:textId="77777777" w:rsidTr="009F4DC9">
        <w:trPr>
          <w:cnfStyle w:val="000000010000" w:firstRow="0" w:lastRow="0" w:firstColumn="0" w:lastColumn="0" w:oddVBand="0" w:evenVBand="0" w:oddHBand="0" w:evenHBand="1" w:firstRowFirstColumn="0" w:firstRowLastColumn="0" w:lastRowFirstColumn="0" w:lastRowLastColumn="0"/>
          <w:trHeight w:val="226"/>
          <w:jc w:val="center"/>
        </w:trPr>
        <w:tc>
          <w:tcPr>
            <w:tcW w:w="446" w:type="pct"/>
          </w:tcPr>
          <w:p w14:paraId="328E8B83" w14:textId="77777777" w:rsidR="00350F69" w:rsidRPr="00FD39D9" w:rsidRDefault="00350F69" w:rsidP="00CC0143">
            <w:pPr>
              <w:pStyle w:val="TAH"/>
              <w:spacing w:line="276" w:lineRule="auto"/>
              <w:ind w:right="49"/>
              <w:rPr>
                <w:rFonts w:cs="Arial"/>
                <w:b w:val="0"/>
                <w:sz w:val="16"/>
                <w:szCs w:val="18"/>
              </w:rPr>
            </w:pPr>
            <w:r w:rsidRPr="00FD39D9">
              <w:rPr>
                <w:rFonts w:cs="Arial"/>
                <w:b w:val="0"/>
                <w:sz w:val="16"/>
                <w:szCs w:val="18"/>
              </w:rPr>
              <w:t>7</w:t>
            </w:r>
          </w:p>
        </w:tc>
        <w:tc>
          <w:tcPr>
            <w:tcW w:w="1326" w:type="pct"/>
          </w:tcPr>
          <w:p w14:paraId="218B00F3"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OPTIONS*</w:t>
            </w:r>
          </w:p>
        </w:tc>
        <w:tc>
          <w:tcPr>
            <w:tcW w:w="886" w:type="pct"/>
          </w:tcPr>
          <w:p w14:paraId="6CB03461"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M</w:t>
            </w:r>
          </w:p>
        </w:tc>
        <w:tc>
          <w:tcPr>
            <w:tcW w:w="2343" w:type="pct"/>
          </w:tcPr>
          <w:p w14:paraId="3ED65FBB" w14:textId="77777777" w:rsidR="00350F69" w:rsidRPr="00FD39D9" w:rsidRDefault="00350F69" w:rsidP="00561BBC">
            <w:pPr>
              <w:pStyle w:val="TAH"/>
              <w:spacing w:line="276" w:lineRule="auto"/>
              <w:ind w:right="49"/>
              <w:rPr>
                <w:rFonts w:cs="Arial"/>
                <w:b w:val="0"/>
                <w:sz w:val="16"/>
                <w:szCs w:val="18"/>
              </w:rPr>
            </w:pPr>
            <w:r w:rsidRPr="00FD39D9">
              <w:rPr>
                <w:rFonts w:cs="Arial"/>
                <w:b w:val="0"/>
                <w:sz w:val="16"/>
                <w:szCs w:val="18"/>
              </w:rPr>
              <w:t>De acuerdo a RFC 3261</w:t>
            </w:r>
          </w:p>
        </w:tc>
      </w:tr>
    </w:tbl>
    <w:p w14:paraId="02F6359C"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 xml:space="preserve">*con Max-Forwards = 0, </w:t>
      </w:r>
      <w:r w:rsidRPr="00BF0205">
        <w:rPr>
          <w:rFonts w:ascii="Arial" w:hAnsi="Arial" w:cs="Arial"/>
          <w:sz w:val="18"/>
          <w:szCs w:val="18"/>
        </w:rPr>
        <w:t>para verificar que el objetivo es alcanzable</w:t>
      </w:r>
    </w:p>
    <w:p w14:paraId="3A7351B4" w14:textId="70B7552B"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Tabla 1. Métodos aplicables para una sesión VoIP</w:t>
      </w:r>
    </w:p>
    <w:p w14:paraId="75122A6D" w14:textId="77777777" w:rsidR="00350F69" w:rsidRPr="001B525F" w:rsidRDefault="00350F69" w:rsidP="00561BBC">
      <w:pPr>
        <w:spacing w:after="0"/>
        <w:ind w:right="49"/>
        <w:jc w:val="both"/>
        <w:rPr>
          <w:rFonts w:ascii="Arial" w:hAnsi="Arial" w:cs="Arial"/>
          <w:sz w:val="18"/>
          <w:szCs w:val="18"/>
        </w:rPr>
      </w:pPr>
    </w:p>
    <w:p w14:paraId="54F285B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método OPTIONS será utilizado como método de “keep alive” de la siguiente forma:</w:t>
      </w:r>
    </w:p>
    <w:p w14:paraId="7701A475" w14:textId="77777777" w:rsidR="00350F69" w:rsidRPr="001B525F" w:rsidRDefault="00350F69" w:rsidP="00561BBC">
      <w:pPr>
        <w:spacing w:after="0"/>
        <w:ind w:right="49"/>
        <w:jc w:val="both"/>
        <w:rPr>
          <w:rFonts w:ascii="Arial" w:hAnsi="Arial" w:cs="Arial"/>
          <w:sz w:val="18"/>
          <w:szCs w:val="18"/>
        </w:rPr>
      </w:pPr>
    </w:p>
    <w:p w14:paraId="150F25ED" w14:textId="7F0B463C" w:rsidR="00350F69" w:rsidRDefault="00350F69" w:rsidP="00561BBC">
      <w:pPr>
        <w:spacing w:after="0"/>
        <w:ind w:right="49"/>
        <w:jc w:val="both"/>
        <w:rPr>
          <w:rFonts w:ascii="Arial" w:hAnsi="Arial" w:cs="Arial"/>
          <w:sz w:val="18"/>
          <w:szCs w:val="18"/>
        </w:rPr>
      </w:pPr>
      <w:r w:rsidRPr="001B525F">
        <w:rPr>
          <w:rFonts w:ascii="Arial" w:hAnsi="Arial" w:cs="Arial"/>
          <w:sz w:val="18"/>
          <w:szCs w:val="18"/>
        </w:rPr>
        <w:t>El nodo A envía de manera periódica el método Options al nodo B, y el nodo B responde con un “200 OK”. Si el nodo B deja de responder o envía una respuesta SIP 503 (Servicio no disponible) entonces el nodo A bloquea la ruta pero continúa enviando el mensaje. En el momento en el que el nodo B vuelve a responder se reactiva la ruta.</w:t>
      </w:r>
    </w:p>
    <w:p w14:paraId="6E9272BE" w14:textId="77777777" w:rsidR="00760352" w:rsidRPr="001B525F" w:rsidRDefault="00760352" w:rsidP="00561BBC">
      <w:pPr>
        <w:spacing w:after="0"/>
        <w:ind w:right="49"/>
        <w:jc w:val="both"/>
        <w:rPr>
          <w:rFonts w:ascii="Arial" w:hAnsi="Arial" w:cs="Arial"/>
          <w:sz w:val="18"/>
          <w:szCs w:val="18"/>
        </w:rPr>
      </w:pPr>
    </w:p>
    <w:p w14:paraId="76C95847" w14:textId="1C34F3B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Se cumplirá con los campos de encabezado aplicables para los métodos definidos en la Tabla 1, de acuerdo </w:t>
      </w:r>
      <w:r w:rsidR="00591A8A">
        <w:rPr>
          <w:rFonts w:ascii="Arial" w:hAnsi="Arial" w:cs="Arial"/>
          <w:sz w:val="18"/>
          <w:szCs w:val="18"/>
        </w:rPr>
        <w:t>con</w:t>
      </w:r>
      <w:r w:rsidRPr="001B525F">
        <w:rPr>
          <w:rFonts w:ascii="Arial" w:hAnsi="Arial" w:cs="Arial"/>
          <w:sz w:val="18"/>
          <w:szCs w:val="18"/>
        </w:rPr>
        <w:t xml:space="preserve"> la recomendación correspondiente.</w:t>
      </w:r>
    </w:p>
    <w:p w14:paraId="254C8FDC" w14:textId="77777777" w:rsidR="00350F69" w:rsidRPr="001B525F" w:rsidRDefault="00350F69" w:rsidP="00561BBC">
      <w:pPr>
        <w:spacing w:after="0"/>
        <w:ind w:right="49"/>
        <w:jc w:val="both"/>
        <w:rPr>
          <w:rFonts w:ascii="Arial" w:hAnsi="Arial" w:cs="Arial"/>
          <w:sz w:val="18"/>
          <w:szCs w:val="18"/>
        </w:rPr>
      </w:pPr>
    </w:p>
    <w:p w14:paraId="0537B7E1"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Relaciones confiables</w:t>
      </w:r>
    </w:p>
    <w:p w14:paraId="4595D4C1" w14:textId="77777777" w:rsidR="00350F69" w:rsidRPr="001B525F" w:rsidRDefault="00350F69" w:rsidP="00561BBC">
      <w:pPr>
        <w:spacing w:after="0"/>
        <w:ind w:right="49"/>
        <w:rPr>
          <w:rFonts w:ascii="Arial" w:hAnsi="Arial" w:cs="Arial"/>
          <w:b/>
          <w:sz w:val="18"/>
          <w:szCs w:val="18"/>
        </w:rPr>
      </w:pPr>
    </w:p>
    <w:p w14:paraId="200FDBCA"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 los elementos que conforman una red que tiene un acuerdo de interconexión se les llama dominio confiable.</w:t>
      </w:r>
    </w:p>
    <w:p w14:paraId="1B6F8889" w14:textId="77777777" w:rsidR="00350F69" w:rsidRPr="001B525F" w:rsidRDefault="00350F69" w:rsidP="00561BBC">
      <w:pPr>
        <w:spacing w:after="0"/>
        <w:ind w:right="49"/>
        <w:jc w:val="both"/>
        <w:rPr>
          <w:rFonts w:ascii="Arial" w:hAnsi="Arial" w:cs="Arial"/>
          <w:sz w:val="18"/>
          <w:szCs w:val="18"/>
        </w:rPr>
      </w:pPr>
    </w:p>
    <w:p w14:paraId="20D5B36F" w14:textId="77777777" w:rsidR="00350F69" w:rsidRDefault="00350F69" w:rsidP="00561BBC">
      <w:pPr>
        <w:spacing w:after="0"/>
        <w:ind w:right="49"/>
        <w:jc w:val="both"/>
        <w:rPr>
          <w:rFonts w:ascii="Arial" w:hAnsi="Arial" w:cs="Arial"/>
          <w:sz w:val="18"/>
          <w:szCs w:val="18"/>
        </w:rPr>
      </w:pPr>
      <w:r w:rsidRPr="001B525F">
        <w:rPr>
          <w:rFonts w:ascii="Arial" w:hAnsi="Arial" w:cs="Arial"/>
          <w:sz w:val="18"/>
          <w:szCs w:val="18"/>
        </w:rPr>
        <w:t>Los dominios confiables en este caso determinan el cumplimiento de las configuraciones y especificaciones en este documento.</w:t>
      </w:r>
    </w:p>
    <w:p w14:paraId="1E54A81B" w14:textId="77777777" w:rsidR="00E2165E" w:rsidRPr="001B525F" w:rsidRDefault="00E2165E" w:rsidP="00561BBC">
      <w:pPr>
        <w:spacing w:after="0"/>
        <w:ind w:right="49"/>
        <w:jc w:val="both"/>
        <w:rPr>
          <w:rFonts w:ascii="Arial" w:hAnsi="Arial" w:cs="Arial"/>
          <w:sz w:val="18"/>
          <w:szCs w:val="18"/>
        </w:rPr>
      </w:pPr>
    </w:p>
    <w:p w14:paraId="698194B8"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Peticiones</w:t>
      </w:r>
    </w:p>
    <w:p w14:paraId="2B334FA1" w14:textId="77777777" w:rsidR="00350F69" w:rsidRPr="001B525F" w:rsidRDefault="00350F69" w:rsidP="00561BBC">
      <w:pPr>
        <w:spacing w:after="0"/>
        <w:ind w:right="49"/>
        <w:rPr>
          <w:rFonts w:ascii="Arial" w:hAnsi="Arial" w:cs="Arial"/>
          <w:sz w:val="18"/>
          <w:szCs w:val="18"/>
        </w:rPr>
      </w:pPr>
    </w:p>
    <w:p w14:paraId="6A82A5D5"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lastRenderedPageBreak/>
        <w:t>Las solicitudes SIP se deben componer de un formato básico, la primera línea debe contener información del nombre del método o petición, la URI a la que se está realizando la solicitud y la versión del protocolo separados por un espacio simple:</w:t>
      </w:r>
    </w:p>
    <w:p w14:paraId="56B3B2BE" w14:textId="1BDB11AD" w:rsidR="00E033A1" w:rsidRPr="001B525F" w:rsidRDefault="000C063E" w:rsidP="002815CF">
      <w:pPr>
        <w:pStyle w:val="Prrafodelista"/>
        <w:spacing w:line="276" w:lineRule="auto"/>
        <w:ind w:left="-142" w:right="49"/>
      </w:pPr>
      <w:r>
        <w:rPr>
          <w:noProof/>
        </w:rPr>
        <w:drawing>
          <wp:anchor distT="0" distB="0" distL="114300" distR="114300" simplePos="0" relativeHeight="251658240" behindDoc="0" locked="0" layoutInCell="1" allowOverlap="1" wp14:anchorId="0BB9337F" wp14:editId="058ED3E0">
            <wp:simplePos x="0" y="0"/>
            <wp:positionH relativeFrom="margin">
              <wp:align>center</wp:align>
            </wp:positionH>
            <wp:positionV relativeFrom="paragraph">
              <wp:posOffset>0</wp:posOffset>
            </wp:positionV>
            <wp:extent cx="4257675" cy="4667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257675" cy="466725"/>
                    </a:xfrm>
                    <a:prstGeom prst="rect">
                      <a:avLst/>
                    </a:prstGeom>
                  </pic:spPr>
                </pic:pic>
              </a:graphicData>
            </a:graphic>
          </wp:anchor>
        </w:drawing>
      </w:r>
    </w:p>
    <w:p w14:paraId="27843475" w14:textId="77777777" w:rsidR="00E033A1" w:rsidRPr="001B525F" w:rsidRDefault="00E033A1" w:rsidP="00561BBC">
      <w:pPr>
        <w:spacing w:after="0"/>
        <w:ind w:right="49"/>
        <w:rPr>
          <w:rFonts w:ascii="Arial" w:hAnsi="Arial" w:cs="Arial"/>
          <w:sz w:val="18"/>
          <w:szCs w:val="18"/>
        </w:rPr>
      </w:pPr>
    </w:p>
    <w:p w14:paraId="12303C34" w14:textId="77777777" w:rsidR="000C063E" w:rsidRDefault="000C063E" w:rsidP="00561BBC">
      <w:pPr>
        <w:spacing w:after="0"/>
        <w:ind w:right="49"/>
        <w:rPr>
          <w:rFonts w:ascii="Arial" w:hAnsi="Arial" w:cs="Arial"/>
          <w:sz w:val="18"/>
          <w:szCs w:val="18"/>
        </w:rPr>
      </w:pPr>
    </w:p>
    <w:p w14:paraId="0490E9F8" w14:textId="5362D91E"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Ejemplo:</w:t>
      </w:r>
    </w:p>
    <w:p w14:paraId="466C7B60"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 xml:space="preserve">INVITE </w:t>
      </w:r>
      <w:hyperlink r:id="rId48" w:history="1">
        <w:r w:rsidRPr="007740FC">
          <w:rPr>
            <w:rStyle w:val="Hipervnculo"/>
            <w:rFonts w:ascii="Arial" w:hAnsi="Arial" w:cs="Arial"/>
            <w:color w:val="auto"/>
            <w:sz w:val="18"/>
            <w:szCs w:val="18"/>
          </w:rPr>
          <w:t>sip:&lt;5512345678@operador.mx</w:t>
        </w:r>
      </w:hyperlink>
      <w:r w:rsidRPr="001B525F">
        <w:rPr>
          <w:rFonts w:ascii="Arial" w:hAnsi="Arial" w:cs="Arial"/>
          <w:sz w:val="18"/>
          <w:szCs w:val="18"/>
        </w:rPr>
        <w:t xml:space="preserve"> o dirección ip&gt;;user=phone SIP/2.0</w:t>
      </w:r>
    </w:p>
    <w:p w14:paraId="4AC5F920" w14:textId="77777777" w:rsidR="00350F69" w:rsidRPr="001B525F" w:rsidRDefault="00350F69" w:rsidP="00561BBC">
      <w:pPr>
        <w:spacing w:after="0"/>
        <w:ind w:right="49"/>
        <w:rPr>
          <w:rFonts w:ascii="Arial" w:hAnsi="Arial" w:cs="Arial"/>
          <w:b/>
          <w:sz w:val="18"/>
          <w:szCs w:val="18"/>
        </w:rPr>
      </w:pPr>
    </w:p>
    <w:p w14:paraId="27F32601"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Campos de encabezado método INVITE</w:t>
      </w:r>
    </w:p>
    <w:p w14:paraId="3605C4FD" w14:textId="77777777" w:rsidR="00350F69" w:rsidRPr="001B525F" w:rsidRDefault="00350F69" w:rsidP="00561BBC">
      <w:pPr>
        <w:tabs>
          <w:tab w:val="left" w:pos="1365"/>
        </w:tabs>
        <w:spacing w:after="0"/>
        <w:ind w:right="49"/>
        <w:rPr>
          <w:rFonts w:ascii="Arial" w:hAnsi="Arial" w:cs="Arial"/>
          <w:sz w:val="18"/>
          <w:szCs w:val="18"/>
        </w:rPr>
      </w:pPr>
      <w:r w:rsidRPr="001B525F">
        <w:rPr>
          <w:rFonts w:ascii="Arial" w:hAnsi="Arial" w:cs="Arial"/>
          <w:sz w:val="18"/>
          <w:szCs w:val="18"/>
        </w:rPr>
        <w:tab/>
      </w:r>
    </w:p>
    <w:p w14:paraId="1662E279" w14:textId="675B1625" w:rsidR="00350F69" w:rsidRDefault="00350F69" w:rsidP="00561BBC">
      <w:pPr>
        <w:spacing w:after="0"/>
        <w:ind w:right="49"/>
        <w:jc w:val="both"/>
        <w:rPr>
          <w:rFonts w:ascii="Arial" w:hAnsi="Arial" w:cs="Arial"/>
          <w:sz w:val="18"/>
          <w:szCs w:val="18"/>
        </w:rPr>
      </w:pPr>
      <w:r w:rsidRPr="001B525F">
        <w:rPr>
          <w:rFonts w:ascii="Arial" w:hAnsi="Arial" w:cs="Arial"/>
          <w:sz w:val="18"/>
          <w:szCs w:val="18"/>
        </w:rPr>
        <w:t>Los campos de encabezado que conformarán la petición INVITE inicial son los siguientes:</w:t>
      </w:r>
    </w:p>
    <w:p w14:paraId="2C6D6947" w14:textId="77777777" w:rsidR="00BF0205" w:rsidRPr="001B525F" w:rsidRDefault="00BF0205" w:rsidP="00561BBC">
      <w:pPr>
        <w:spacing w:after="0"/>
        <w:ind w:right="49"/>
        <w:jc w:val="both"/>
        <w:rPr>
          <w:rFonts w:ascii="Arial" w:hAnsi="Arial" w:cs="Arial"/>
          <w:sz w:val="18"/>
          <w:szCs w:val="18"/>
        </w:rPr>
      </w:pPr>
    </w:p>
    <w:tbl>
      <w:tblPr>
        <w:tblStyle w:val="Tabladelista3"/>
        <w:tblW w:w="2236" w:type="pct"/>
        <w:jc w:val="center"/>
        <w:tblLook w:val="00A0" w:firstRow="1" w:lastRow="0" w:firstColumn="1" w:lastColumn="0" w:noHBand="0" w:noVBand="0"/>
      </w:tblPr>
      <w:tblGrid>
        <w:gridCol w:w="566"/>
        <w:gridCol w:w="2316"/>
        <w:gridCol w:w="1319"/>
      </w:tblGrid>
      <w:tr w:rsidR="001B525F" w:rsidRPr="00FD39D9" w14:paraId="365FE5A7" w14:textId="77777777" w:rsidTr="002021E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7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A96F726" w14:textId="77777777" w:rsidR="00350F69" w:rsidRPr="00FD39D9" w:rsidRDefault="00350F69" w:rsidP="001B2640">
            <w:pPr>
              <w:spacing w:after="0"/>
              <w:ind w:right="49"/>
              <w:jc w:val="center"/>
              <w:rPr>
                <w:rFonts w:ascii="Arial" w:hAnsi="Arial" w:cs="Arial"/>
                <w:color w:val="auto"/>
                <w:sz w:val="16"/>
                <w:szCs w:val="18"/>
                <w:lang w:eastAsia="es-MX"/>
              </w:rPr>
            </w:pPr>
            <w:r w:rsidRPr="00FD39D9">
              <w:rPr>
                <w:rFonts w:ascii="Arial" w:hAnsi="Arial" w:cs="Arial"/>
                <w:color w:val="auto"/>
                <w:sz w:val="16"/>
                <w:szCs w:val="18"/>
                <w:lang w:eastAsia="es-MX"/>
              </w:rPr>
              <w:t>#</w:t>
            </w:r>
          </w:p>
        </w:tc>
        <w:tc>
          <w:tcPr>
            <w:cnfStyle w:val="000010000000" w:firstRow="0" w:lastRow="0" w:firstColumn="0" w:lastColumn="0" w:oddVBand="1" w:evenVBand="0" w:oddHBand="0" w:evenHBand="0" w:firstRowFirstColumn="0" w:firstRowLastColumn="0" w:lastRowFirstColumn="0" w:lastRowLastColumn="0"/>
            <w:tcW w:w="275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C9459AD" w14:textId="77777777" w:rsidR="00350F69" w:rsidRPr="00FD39D9" w:rsidRDefault="00350F69" w:rsidP="001B2640">
            <w:pPr>
              <w:spacing w:after="0"/>
              <w:ind w:right="49"/>
              <w:jc w:val="center"/>
              <w:rPr>
                <w:rFonts w:ascii="Arial" w:hAnsi="Arial" w:cs="Arial"/>
                <w:color w:val="auto"/>
                <w:sz w:val="16"/>
                <w:szCs w:val="18"/>
                <w:lang w:eastAsia="es-MX"/>
              </w:rPr>
            </w:pPr>
            <w:r w:rsidRPr="00FD39D9">
              <w:rPr>
                <w:rFonts w:ascii="Arial" w:hAnsi="Arial" w:cs="Arial"/>
                <w:color w:val="auto"/>
                <w:sz w:val="16"/>
                <w:szCs w:val="18"/>
                <w:lang w:eastAsia="es-MX"/>
              </w:rPr>
              <w:t>Campo de encabezado</w:t>
            </w:r>
          </w:p>
        </w:tc>
        <w:tc>
          <w:tcPr>
            <w:tcW w:w="15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24118C4" w14:textId="77777777" w:rsidR="00350F69" w:rsidRPr="00FD39D9" w:rsidRDefault="00350F69" w:rsidP="001B2640">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lang w:eastAsia="es-MX"/>
              </w:rPr>
            </w:pPr>
            <w:r w:rsidRPr="00FD39D9">
              <w:rPr>
                <w:rFonts w:ascii="Arial" w:hAnsi="Arial" w:cs="Arial"/>
                <w:color w:val="auto"/>
                <w:sz w:val="16"/>
                <w:szCs w:val="18"/>
                <w:lang w:eastAsia="es-MX"/>
              </w:rPr>
              <w:t>Referencia</w:t>
            </w:r>
          </w:p>
        </w:tc>
      </w:tr>
      <w:tr w:rsidR="001B525F" w:rsidRPr="00FD39D9" w14:paraId="5E03A597" w14:textId="77777777" w:rsidTr="00202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000000"/>
            </w:tcBorders>
            <w:shd w:val="clear" w:color="auto" w:fill="D9D9D9" w:themeFill="background1" w:themeFillShade="D9"/>
          </w:tcPr>
          <w:p w14:paraId="17FA1854"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1</w:t>
            </w:r>
          </w:p>
        </w:tc>
        <w:tc>
          <w:tcPr>
            <w:cnfStyle w:val="000010000000" w:firstRow="0" w:lastRow="0" w:firstColumn="0" w:lastColumn="0" w:oddVBand="1" w:evenVBand="0" w:oddHBand="0" w:evenHBand="0" w:firstRowFirstColumn="0" w:firstRowLastColumn="0" w:lastRowFirstColumn="0" w:lastRowLastColumn="0"/>
            <w:tcW w:w="2756" w:type="pct"/>
            <w:tcBorders>
              <w:top w:val="single" w:sz="4" w:space="0" w:color="000000"/>
            </w:tcBorders>
            <w:shd w:val="clear" w:color="auto" w:fill="D9D9D9" w:themeFill="background1" w:themeFillShade="D9"/>
          </w:tcPr>
          <w:p w14:paraId="70840E21"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Via</w:t>
            </w:r>
          </w:p>
        </w:tc>
        <w:tc>
          <w:tcPr>
            <w:tcW w:w="1570" w:type="pct"/>
            <w:tcBorders>
              <w:top w:val="single" w:sz="4" w:space="0" w:color="000000"/>
            </w:tcBorders>
            <w:shd w:val="clear" w:color="auto" w:fill="D9D9D9" w:themeFill="background1" w:themeFillShade="D9"/>
          </w:tcPr>
          <w:p w14:paraId="151EE9FF"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3E6D3313"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4CF47669"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2</w:t>
            </w:r>
          </w:p>
        </w:tc>
        <w:tc>
          <w:tcPr>
            <w:cnfStyle w:val="000010000000" w:firstRow="0" w:lastRow="0" w:firstColumn="0" w:lastColumn="0" w:oddVBand="1" w:evenVBand="0" w:oddHBand="0" w:evenHBand="0" w:firstRowFirstColumn="0" w:firstRowLastColumn="0" w:lastRowFirstColumn="0" w:lastRowLastColumn="0"/>
            <w:tcW w:w="2756" w:type="pct"/>
          </w:tcPr>
          <w:p w14:paraId="596F6AD7"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Supported</w:t>
            </w:r>
          </w:p>
        </w:tc>
        <w:tc>
          <w:tcPr>
            <w:tcW w:w="1570" w:type="pct"/>
          </w:tcPr>
          <w:p w14:paraId="2262AC00"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5FFD68F5"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E4D26C8"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70D5C069"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Session-Expires</w:t>
            </w:r>
          </w:p>
        </w:tc>
        <w:tc>
          <w:tcPr>
            <w:tcW w:w="1570" w:type="pct"/>
            <w:shd w:val="clear" w:color="auto" w:fill="D9D9D9" w:themeFill="background1" w:themeFillShade="D9"/>
          </w:tcPr>
          <w:p w14:paraId="534382CA"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4028</w:t>
            </w:r>
            <w:r w:rsidRPr="00FD39D9">
              <w:rPr>
                <w:rStyle w:val="Refdenotaalpie"/>
                <w:rFonts w:ascii="Arial" w:hAnsi="Arial" w:cs="Arial"/>
                <w:sz w:val="16"/>
                <w:szCs w:val="18"/>
              </w:rPr>
              <w:footnoteReference w:id="40"/>
            </w:r>
          </w:p>
        </w:tc>
      </w:tr>
      <w:tr w:rsidR="001B525F" w:rsidRPr="00FD39D9" w14:paraId="78A0C0B8"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17B05639"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4</w:t>
            </w:r>
          </w:p>
        </w:tc>
        <w:tc>
          <w:tcPr>
            <w:cnfStyle w:val="000010000000" w:firstRow="0" w:lastRow="0" w:firstColumn="0" w:lastColumn="0" w:oddVBand="1" w:evenVBand="0" w:oddHBand="0" w:evenHBand="0" w:firstRowFirstColumn="0" w:firstRowLastColumn="0" w:lastRowFirstColumn="0" w:lastRowLastColumn="0"/>
            <w:tcW w:w="2756" w:type="pct"/>
          </w:tcPr>
          <w:p w14:paraId="62E88CAA"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Min-SE</w:t>
            </w:r>
          </w:p>
        </w:tc>
        <w:tc>
          <w:tcPr>
            <w:tcW w:w="1570" w:type="pct"/>
          </w:tcPr>
          <w:p w14:paraId="0E694C4C"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D39D9">
              <w:rPr>
                <w:rFonts w:ascii="Arial" w:hAnsi="Arial" w:cs="Arial"/>
                <w:sz w:val="16"/>
                <w:szCs w:val="18"/>
              </w:rPr>
              <w:t>RFC 4028</w:t>
            </w:r>
          </w:p>
        </w:tc>
      </w:tr>
      <w:tr w:rsidR="001B525F" w:rsidRPr="00FD39D9" w14:paraId="77AD7AD0"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4A0E4D20"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5</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21B1AF40"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Max-Forwards</w:t>
            </w:r>
          </w:p>
        </w:tc>
        <w:tc>
          <w:tcPr>
            <w:tcW w:w="1570" w:type="pct"/>
            <w:shd w:val="clear" w:color="auto" w:fill="D9D9D9" w:themeFill="background1" w:themeFillShade="D9"/>
          </w:tcPr>
          <w:p w14:paraId="389CEFEF"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20E75478"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554D7958"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6</w:t>
            </w:r>
          </w:p>
        </w:tc>
        <w:tc>
          <w:tcPr>
            <w:cnfStyle w:val="000010000000" w:firstRow="0" w:lastRow="0" w:firstColumn="0" w:lastColumn="0" w:oddVBand="1" w:evenVBand="0" w:oddHBand="0" w:evenHBand="0" w:firstRowFirstColumn="0" w:firstRowLastColumn="0" w:lastRowFirstColumn="0" w:lastRowLastColumn="0"/>
            <w:tcW w:w="2756" w:type="pct"/>
          </w:tcPr>
          <w:p w14:paraId="18350182"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To</w:t>
            </w:r>
          </w:p>
        </w:tc>
        <w:tc>
          <w:tcPr>
            <w:tcW w:w="1570" w:type="pct"/>
          </w:tcPr>
          <w:p w14:paraId="44879837"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3C7E2005"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65A034F1"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7</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4E1BE7FA"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From</w:t>
            </w:r>
          </w:p>
        </w:tc>
        <w:tc>
          <w:tcPr>
            <w:tcW w:w="1570" w:type="pct"/>
            <w:shd w:val="clear" w:color="auto" w:fill="D9D9D9" w:themeFill="background1" w:themeFillShade="D9"/>
          </w:tcPr>
          <w:p w14:paraId="1F9F4747"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5F5ECF1C"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4D9F469E"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8</w:t>
            </w:r>
          </w:p>
        </w:tc>
        <w:tc>
          <w:tcPr>
            <w:cnfStyle w:val="000010000000" w:firstRow="0" w:lastRow="0" w:firstColumn="0" w:lastColumn="0" w:oddVBand="1" w:evenVBand="0" w:oddHBand="0" w:evenHBand="0" w:firstRowFirstColumn="0" w:firstRowLastColumn="0" w:lastRowFirstColumn="0" w:lastRowLastColumn="0"/>
            <w:tcW w:w="2756" w:type="pct"/>
          </w:tcPr>
          <w:p w14:paraId="7264FD54"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Call-ID</w:t>
            </w:r>
          </w:p>
        </w:tc>
        <w:tc>
          <w:tcPr>
            <w:tcW w:w="1570" w:type="pct"/>
          </w:tcPr>
          <w:p w14:paraId="275768DE"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5DA44A9F"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533C436E"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9</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49F3C022"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CSeq</w:t>
            </w:r>
          </w:p>
        </w:tc>
        <w:tc>
          <w:tcPr>
            <w:tcW w:w="1570" w:type="pct"/>
            <w:shd w:val="clear" w:color="auto" w:fill="D9D9D9" w:themeFill="background1" w:themeFillShade="D9"/>
          </w:tcPr>
          <w:p w14:paraId="271EA4C8"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0E703732"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02CF97EC"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10</w:t>
            </w:r>
          </w:p>
        </w:tc>
        <w:tc>
          <w:tcPr>
            <w:cnfStyle w:val="000010000000" w:firstRow="0" w:lastRow="0" w:firstColumn="0" w:lastColumn="0" w:oddVBand="1" w:evenVBand="0" w:oddHBand="0" w:evenHBand="0" w:firstRowFirstColumn="0" w:firstRowLastColumn="0" w:lastRowFirstColumn="0" w:lastRowLastColumn="0"/>
            <w:tcW w:w="2756" w:type="pct"/>
          </w:tcPr>
          <w:p w14:paraId="7103EA42"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Contact</w:t>
            </w:r>
          </w:p>
        </w:tc>
        <w:tc>
          <w:tcPr>
            <w:tcW w:w="1570" w:type="pct"/>
          </w:tcPr>
          <w:p w14:paraId="3E3EE8A7"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1E96AA29"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02023B8E"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11</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2AB36784"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Content-Type</w:t>
            </w:r>
          </w:p>
        </w:tc>
        <w:tc>
          <w:tcPr>
            <w:tcW w:w="1570" w:type="pct"/>
            <w:shd w:val="clear" w:color="auto" w:fill="D9D9D9" w:themeFill="background1" w:themeFillShade="D9"/>
          </w:tcPr>
          <w:p w14:paraId="3F96FDE2"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11F624D7"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150A9F52"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12</w:t>
            </w:r>
          </w:p>
        </w:tc>
        <w:tc>
          <w:tcPr>
            <w:cnfStyle w:val="000010000000" w:firstRow="0" w:lastRow="0" w:firstColumn="0" w:lastColumn="0" w:oddVBand="1" w:evenVBand="0" w:oddHBand="0" w:evenHBand="0" w:firstRowFirstColumn="0" w:firstRowLastColumn="0" w:lastRowFirstColumn="0" w:lastRowLastColumn="0"/>
            <w:tcW w:w="2756" w:type="pct"/>
          </w:tcPr>
          <w:p w14:paraId="538EB7A6"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Content-Length</w:t>
            </w:r>
          </w:p>
        </w:tc>
        <w:tc>
          <w:tcPr>
            <w:tcW w:w="1570" w:type="pct"/>
          </w:tcPr>
          <w:p w14:paraId="25283140"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r w:rsidR="001B525F" w:rsidRPr="00FD39D9" w14:paraId="19FCBD20"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2AF0159D" w14:textId="77777777" w:rsidR="00350F69" w:rsidRPr="00FD39D9" w:rsidRDefault="00350F69" w:rsidP="00CC0143">
            <w:pPr>
              <w:spacing w:after="0"/>
              <w:ind w:right="49"/>
              <w:jc w:val="center"/>
              <w:rPr>
                <w:rFonts w:ascii="Arial" w:hAnsi="Arial" w:cs="Arial"/>
                <w:sz w:val="16"/>
                <w:szCs w:val="18"/>
              </w:rPr>
            </w:pPr>
            <w:r w:rsidRPr="00FD39D9">
              <w:rPr>
                <w:rFonts w:ascii="Arial" w:hAnsi="Arial" w:cs="Arial"/>
                <w:sz w:val="16"/>
                <w:szCs w:val="18"/>
              </w:rPr>
              <w:t>13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5779E2C7" w14:textId="77777777" w:rsidR="00350F69" w:rsidRPr="00FD39D9" w:rsidRDefault="00350F69" w:rsidP="00561BBC">
            <w:pPr>
              <w:spacing w:after="0"/>
              <w:ind w:right="49"/>
              <w:rPr>
                <w:rFonts w:ascii="Arial" w:hAnsi="Arial" w:cs="Arial"/>
                <w:sz w:val="16"/>
                <w:szCs w:val="18"/>
              </w:rPr>
            </w:pPr>
            <w:r w:rsidRPr="00FD39D9">
              <w:rPr>
                <w:rFonts w:ascii="Arial" w:hAnsi="Arial" w:cs="Arial"/>
                <w:sz w:val="16"/>
                <w:szCs w:val="18"/>
              </w:rPr>
              <w:t>Allow</w:t>
            </w:r>
          </w:p>
        </w:tc>
        <w:tc>
          <w:tcPr>
            <w:tcW w:w="1570" w:type="pct"/>
            <w:shd w:val="clear" w:color="auto" w:fill="D9D9D9" w:themeFill="background1" w:themeFillShade="D9"/>
          </w:tcPr>
          <w:p w14:paraId="79FDD5B7"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D39D9">
              <w:rPr>
                <w:rFonts w:ascii="Arial" w:hAnsi="Arial" w:cs="Arial"/>
                <w:sz w:val="16"/>
                <w:szCs w:val="18"/>
              </w:rPr>
              <w:t>RFC 3261</w:t>
            </w:r>
          </w:p>
        </w:tc>
      </w:tr>
    </w:tbl>
    <w:p w14:paraId="0FF040FB" w14:textId="3286205D"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2. Campos de encabezado método INVITE.</w:t>
      </w:r>
    </w:p>
    <w:p w14:paraId="0EF9942F" w14:textId="77777777" w:rsidR="00350F69" w:rsidRPr="001B525F" w:rsidRDefault="00350F69" w:rsidP="00561BBC">
      <w:pPr>
        <w:spacing w:after="0"/>
        <w:ind w:right="49"/>
        <w:jc w:val="both"/>
        <w:rPr>
          <w:rFonts w:ascii="Arial" w:hAnsi="Arial" w:cs="Arial"/>
          <w:sz w:val="18"/>
          <w:szCs w:val="18"/>
        </w:rPr>
      </w:pPr>
    </w:p>
    <w:p w14:paraId="17B68EF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 contestación a la petición INVITE será la respuesta SIP 100 “Intentando”, siempre que dicha petición progrese con éxito.</w:t>
      </w:r>
    </w:p>
    <w:p w14:paraId="5198576D" w14:textId="7C6C887B" w:rsidR="00350F69" w:rsidRDefault="00350F69" w:rsidP="00561BBC">
      <w:pPr>
        <w:spacing w:after="0"/>
        <w:ind w:right="49"/>
        <w:rPr>
          <w:rFonts w:ascii="Arial" w:hAnsi="Arial" w:cs="Arial"/>
          <w:sz w:val="18"/>
          <w:szCs w:val="18"/>
        </w:rPr>
      </w:pPr>
    </w:p>
    <w:p w14:paraId="5C5ED06E"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Encabezados adicionales SIP aplicables para sesiones de VoIP</w:t>
      </w:r>
    </w:p>
    <w:p w14:paraId="3C6EF204" w14:textId="77777777" w:rsidR="00350F69" w:rsidRPr="001B525F" w:rsidRDefault="00350F69" w:rsidP="00561BBC">
      <w:pPr>
        <w:spacing w:after="0"/>
        <w:ind w:right="49"/>
        <w:rPr>
          <w:rFonts w:ascii="Arial" w:hAnsi="Arial" w:cs="Arial"/>
          <w:sz w:val="18"/>
          <w:szCs w:val="18"/>
        </w:rPr>
      </w:pPr>
    </w:p>
    <w:p w14:paraId="07474611" w14:textId="2C774C26"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 xml:space="preserve">Adicionalmente, se considerarán los siguientes encabezados:  </w:t>
      </w:r>
    </w:p>
    <w:p w14:paraId="77B10B51" w14:textId="77777777" w:rsidR="0042346D" w:rsidRPr="001B525F" w:rsidRDefault="0042346D" w:rsidP="00561BBC">
      <w:pPr>
        <w:spacing w:after="0"/>
        <w:ind w:right="49"/>
        <w:rPr>
          <w:rFonts w:ascii="Arial" w:hAnsi="Arial" w:cs="Arial"/>
          <w:sz w:val="18"/>
          <w:szCs w:val="18"/>
        </w:rPr>
      </w:pPr>
    </w:p>
    <w:tbl>
      <w:tblPr>
        <w:tblStyle w:val="Tabladelista3"/>
        <w:tblW w:w="3443" w:type="pct"/>
        <w:jc w:val="center"/>
        <w:tblLayout w:type="fixed"/>
        <w:tblLook w:val="00A0" w:firstRow="1" w:lastRow="0" w:firstColumn="1" w:lastColumn="0" w:noHBand="0" w:noVBand="0"/>
      </w:tblPr>
      <w:tblGrid>
        <w:gridCol w:w="467"/>
        <w:gridCol w:w="2547"/>
        <w:gridCol w:w="966"/>
        <w:gridCol w:w="2489"/>
      </w:tblGrid>
      <w:tr w:rsidR="001B525F" w:rsidRPr="00FD39D9" w14:paraId="4B156271" w14:textId="77777777" w:rsidTr="002021E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457C002" w14:textId="77777777" w:rsidR="00350F69" w:rsidRPr="00FD39D9" w:rsidRDefault="00350F69" w:rsidP="001B2640">
            <w:pPr>
              <w:spacing w:after="0"/>
              <w:ind w:right="49"/>
              <w:jc w:val="center"/>
              <w:rPr>
                <w:rFonts w:ascii="Arial" w:hAnsi="Arial" w:cs="Arial"/>
                <w:color w:val="auto"/>
                <w:sz w:val="16"/>
                <w:szCs w:val="18"/>
                <w:lang w:eastAsia="es-MX"/>
              </w:rPr>
            </w:pPr>
            <w:r w:rsidRPr="00FD39D9">
              <w:rPr>
                <w:rFonts w:ascii="Arial" w:hAnsi="Arial" w:cs="Arial"/>
                <w:color w:val="auto"/>
                <w:sz w:val="16"/>
                <w:szCs w:val="18"/>
                <w:lang w:eastAsia="es-MX"/>
              </w:rPr>
              <w:t>#</w:t>
            </w:r>
          </w:p>
        </w:tc>
        <w:tc>
          <w:tcPr>
            <w:cnfStyle w:val="000010000000" w:firstRow="0" w:lastRow="0" w:firstColumn="0" w:lastColumn="0" w:oddVBand="1" w:evenVBand="0" w:oddHBand="0" w:evenHBand="0" w:firstRowFirstColumn="0" w:firstRowLastColumn="0" w:lastRowFirstColumn="0" w:lastRowLastColumn="0"/>
            <w:tcW w:w="196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56DF1A8" w14:textId="77777777" w:rsidR="00350F69" w:rsidRPr="00FD39D9" w:rsidRDefault="00350F69" w:rsidP="001B2640">
            <w:pPr>
              <w:spacing w:after="0"/>
              <w:ind w:right="49"/>
              <w:jc w:val="center"/>
              <w:rPr>
                <w:rFonts w:ascii="Arial" w:hAnsi="Arial" w:cs="Arial"/>
                <w:color w:val="auto"/>
                <w:sz w:val="16"/>
                <w:szCs w:val="18"/>
                <w:lang w:eastAsia="es-MX"/>
              </w:rPr>
            </w:pPr>
            <w:r w:rsidRPr="00FD39D9">
              <w:rPr>
                <w:rFonts w:ascii="Arial" w:hAnsi="Arial" w:cs="Arial"/>
                <w:color w:val="auto"/>
                <w:sz w:val="16"/>
                <w:szCs w:val="18"/>
                <w:lang w:eastAsia="es-MX"/>
              </w:rPr>
              <w:t>Encabezado</w:t>
            </w:r>
          </w:p>
        </w:tc>
        <w:tc>
          <w:tcPr>
            <w:tcW w:w="74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5DC8736" w14:textId="77777777" w:rsidR="00350F69" w:rsidRPr="00FD39D9" w:rsidRDefault="00350F69" w:rsidP="001B2640">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lang w:eastAsia="es-MX"/>
              </w:rPr>
            </w:pPr>
            <w:r w:rsidRPr="00FD39D9">
              <w:rPr>
                <w:rFonts w:ascii="Arial" w:hAnsi="Arial" w:cs="Arial"/>
                <w:color w:val="auto"/>
                <w:sz w:val="16"/>
                <w:szCs w:val="18"/>
                <w:lang w:eastAsia="es-MX"/>
              </w:rPr>
              <w:t>Estado</w:t>
            </w:r>
          </w:p>
        </w:tc>
        <w:tc>
          <w:tcPr>
            <w:cnfStyle w:val="000010000000" w:firstRow="0" w:lastRow="0" w:firstColumn="0" w:lastColumn="0" w:oddVBand="1" w:evenVBand="0" w:oddHBand="0" w:evenHBand="0" w:firstRowFirstColumn="0" w:firstRowLastColumn="0" w:lastRowFirstColumn="0" w:lastRowLastColumn="0"/>
            <w:tcW w:w="192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83BD98B" w14:textId="77777777" w:rsidR="00350F69" w:rsidRPr="00FD39D9" w:rsidRDefault="00350F69" w:rsidP="001B2640">
            <w:pPr>
              <w:spacing w:after="0"/>
              <w:ind w:right="49"/>
              <w:jc w:val="center"/>
              <w:rPr>
                <w:rFonts w:ascii="Arial" w:hAnsi="Arial" w:cs="Arial"/>
                <w:color w:val="auto"/>
                <w:sz w:val="16"/>
                <w:szCs w:val="18"/>
                <w:lang w:eastAsia="es-MX"/>
              </w:rPr>
            </w:pPr>
            <w:r w:rsidRPr="00FD39D9">
              <w:rPr>
                <w:rFonts w:ascii="Arial" w:hAnsi="Arial" w:cs="Arial"/>
                <w:color w:val="auto"/>
                <w:sz w:val="16"/>
                <w:szCs w:val="18"/>
                <w:lang w:eastAsia="es-MX"/>
              </w:rPr>
              <w:t>Referencia</w:t>
            </w:r>
          </w:p>
        </w:tc>
      </w:tr>
      <w:tr w:rsidR="001B525F" w:rsidRPr="00FD39D9" w14:paraId="1FD0F7B2" w14:textId="77777777" w:rsidTr="00202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pct"/>
            <w:tcBorders>
              <w:top w:val="single" w:sz="4" w:space="0" w:color="000000"/>
            </w:tcBorders>
            <w:shd w:val="clear" w:color="auto" w:fill="D9D9D9" w:themeFill="background1" w:themeFillShade="D9"/>
          </w:tcPr>
          <w:p w14:paraId="0E6E64B1"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1</w:t>
            </w:r>
          </w:p>
        </w:tc>
        <w:tc>
          <w:tcPr>
            <w:cnfStyle w:val="000010000000" w:firstRow="0" w:lastRow="0" w:firstColumn="0" w:lastColumn="0" w:oddVBand="1" w:evenVBand="0" w:oddHBand="0" w:evenHBand="0" w:firstRowFirstColumn="0" w:firstRowLastColumn="0" w:lastRowFirstColumn="0" w:lastRowLastColumn="0"/>
            <w:tcW w:w="1969" w:type="pct"/>
            <w:tcBorders>
              <w:top w:val="single" w:sz="4" w:space="0" w:color="000000"/>
            </w:tcBorders>
            <w:shd w:val="clear" w:color="auto" w:fill="D9D9D9" w:themeFill="background1" w:themeFillShade="D9"/>
          </w:tcPr>
          <w:p w14:paraId="3C199366"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Privacy</w:t>
            </w:r>
          </w:p>
        </w:tc>
        <w:tc>
          <w:tcPr>
            <w:tcW w:w="747" w:type="pct"/>
            <w:tcBorders>
              <w:top w:val="single" w:sz="4" w:space="0" w:color="000000"/>
            </w:tcBorders>
            <w:shd w:val="clear" w:color="auto" w:fill="D9D9D9" w:themeFill="background1" w:themeFillShade="D9"/>
          </w:tcPr>
          <w:p w14:paraId="3C387344"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c>
          <w:tcPr>
            <w:cnfStyle w:val="000010000000" w:firstRow="0" w:lastRow="0" w:firstColumn="0" w:lastColumn="0" w:oddVBand="1" w:evenVBand="0" w:oddHBand="0" w:evenHBand="0" w:firstRowFirstColumn="0" w:firstRowLastColumn="0" w:lastRowFirstColumn="0" w:lastRowLastColumn="0"/>
            <w:tcW w:w="1925" w:type="pct"/>
            <w:tcBorders>
              <w:top w:val="single" w:sz="4" w:space="0" w:color="000000"/>
            </w:tcBorders>
            <w:shd w:val="clear" w:color="auto" w:fill="D9D9D9" w:themeFill="background1" w:themeFillShade="D9"/>
          </w:tcPr>
          <w:p w14:paraId="5CAACEEB"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De acuerdo a RFC 3323</w:t>
            </w:r>
            <w:r w:rsidRPr="00FD39D9">
              <w:rPr>
                <w:rStyle w:val="Refdenotaalpie"/>
                <w:rFonts w:ascii="Arial" w:hAnsi="Arial" w:cs="Arial"/>
                <w:sz w:val="16"/>
                <w:szCs w:val="18"/>
                <w:lang w:eastAsia="es-MX"/>
              </w:rPr>
              <w:footnoteReference w:id="41"/>
            </w:r>
          </w:p>
        </w:tc>
      </w:tr>
      <w:tr w:rsidR="001B525F" w:rsidRPr="00FD39D9" w14:paraId="5023296A" w14:textId="77777777" w:rsidTr="00722F12">
        <w:trPr>
          <w:jc w:val="center"/>
        </w:trPr>
        <w:tc>
          <w:tcPr>
            <w:cnfStyle w:val="001000000000" w:firstRow="0" w:lastRow="0" w:firstColumn="1" w:lastColumn="0" w:oddVBand="0" w:evenVBand="0" w:oddHBand="0" w:evenHBand="0" w:firstRowFirstColumn="0" w:firstRowLastColumn="0" w:lastRowFirstColumn="0" w:lastRowLastColumn="0"/>
            <w:tcW w:w="360" w:type="pct"/>
          </w:tcPr>
          <w:p w14:paraId="2EBB37D7"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2</w:t>
            </w:r>
          </w:p>
        </w:tc>
        <w:tc>
          <w:tcPr>
            <w:cnfStyle w:val="000010000000" w:firstRow="0" w:lastRow="0" w:firstColumn="0" w:lastColumn="0" w:oddVBand="1" w:evenVBand="0" w:oddHBand="0" w:evenHBand="0" w:firstRowFirstColumn="0" w:firstRowLastColumn="0" w:lastRowFirstColumn="0" w:lastRowLastColumn="0"/>
            <w:tcW w:w="1969" w:type="pct"/>
          </w:tcPr>
          <w:p w14:paraId="5F59F437"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Reason (en una respuesta)</w:t>
            </w:r>
          </w:p>
        </w:tc>
        <w:tc>
          <w:tcPr>
            <w:tcW w:w="747" w:type="pct"/>
          </w:tcPr>
          <w:p w14:paraId="18FADC44"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c>
          <w:tcPr>
            <w:cnfStyle w:val="000010000000" w:firstRow="0" w:lastRow="0" w:firstColumn="0" w:lastColumn="0" w:oddVBand="1" w:evenVBand="0" w:oddHBand="0" w:evenHBand="0" w:firstRowFirstColumn="0" w:firstRowLastColumn="0" w:lastRowFirstColumn="0" w:lastRowLastColumn="0"/>
            <w:tcW w:w="1925" w:type="pct"/>
          </w:tcPr>
          <w:p w14:paraId="6AE0E0F6"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De acuerdo a RFC 3326</w:t>
            </w:r>
            <w:r w:rsidRPr="00FD39D9">
              <w:rPr>
                <w:rStyle w:val="Refdenotaalpie"/>
                <w:rFonts w:ascii="Arial" w:hAnsi="Arial" w:cs="Arial"/>
                <w:sz w:val="16"/>
                <w:szCs w:val="18"/>
                <w:lang w:eastAsia="es-MX"/>
              </w:rPr>
              <w:footnoteReference w:id="42"/>
            </w:r>
          </w:p>
        </w:tc>
      </w:tr>
      <w:tr w:rsidR="001B525F" w:rsidRPr="00FD39D9" w14:paraId="30C96202" w14:textId="77777777" w:rsidTr="00722F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pct"/>
            <w:shd w:val="clear" w:color="auto" w:fill="D9D9D9" w:themeFill="background1" w:themeFillShade="D9"/>
          </w:tcPr>
          <w:p w14:paraId="6FF89EA6"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3</w:t>
            </w:r>
          </w:p>
        </w:tc>
        <w:tc>
          <w:tcPr>
            <w:cnfStyle w:val="000010000000" w:firstRow="0" w:lastRow="0" w:firstColumn="0" w:lastColumn="0" w:oddVBand="1" w:evenVBand="0" w:oddHBand="0" w:evenHBand="0" w:firstRowFirstColumn="0" w:firstRowLastColumn="0" w:lastRowFirstColumn="0" w:lastRowLastColumn="0"/>
            <w:tcW w:w="1969" w:type="pct"/>
            <w:shd w:val="clear" w:color="auto" w:fill="D9D9D9" w:themeFill="background1" w:themeFillShade="D9"/>
          </w:tcPr>
          <w:p w14:paraId="2FEB29A9"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P-Asserted-Identity</w:t>
            </w:r>
          </w:p>
        </w:tc>
        <w:tc>
          <w:tcPr>
            <w:tcW w:w="747" w:type="pct"/>
            <w:shd w:val="clear" w:color="auto" w:fill="D9D9D9" w:themeFill="background1" w:themeFillShade="D9"/>
          </w:tcPr>
          <w:p w14:paraId="6BAA0CD6"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c>
          <w:tcPr>
            <w:cnfStyle w:val="000010000000" w:firstRow="0" w:lastRow="0" w:firstColumn="0" w:lastColumn="0" w:oddVBand="1" w:evenVBand="0" w:oddHBand="0" w:evenHBand="0" w:firstRowFirstColumn="0" w:firstRowLastColumn="0" w:lastRowFirstColumn="0" w:lastRowLastColumn="0"/>
            <w:tcW w:w="1925" w:type="pct"/>
            <w:shd w:val="clear" w:color="auto" w:fill="D9D9D9" w:themeFill="background1" w:themeFillShade="D9"/>
          </w:tcPr>
          <w:p w14:paraId="75BB62C7"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De acuerdo al RFC 3325</w:t>
            </w:r>
            <w:r w:rsidRPr="00FD39D9">
              <w:rPr>
                <w:rStyle w:val="Refdenotaalpie"/>
                <w:rFonts w:ascii="Arial" w:hAnsi="Arial" w:cs="Arial"/>
                <w:sz w:val="16"/>
                <w:szCs w:val="18"/>
                <w:lang w:eastAsia="es-MX"/>
              </w:rPr>
              <w:footnoteReference w:id="43"/>
            </w:r>
          </w:p>
        </w:tc>
      </w:tr>
      <w:tr w:rsidR="001B525F" w:rsidRPr="00FD39D9" w14:paraId="5F8BCAEA" w14:textId="77777777" w:rsidTr="00722F12">
        <w:trPr>
          <w:jc w:val="center"/>
        </w:trPr>
        <w:tc>
          <w:tcPr>
            <w:cnfStyle w:val="001000000000" w:firstRow="0" w:lastRow="0" w:firstColumn="1" w:lastColumn="0" w:oddVBand="0" w:evenVBand="0" w:oddHBand="0" w:evenHBand="0" w:firstRowFirstColumn="0" w:firstRowLastColumn="0" w:lastRowFirstColumn="0" w:lastRowLastColumn="0"/>
            <w:tcW w:w="360" w:type="pct"/>
          </w:tcPr>
          <w:p w14:paraId="38C1A7FD"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lastRenderedPageBreak/>
              <w:t>4</w:t>
            </w:r>
          </w:p>
        </w:tc>
        <w:tc>
          <w:tcPr>
            <w:cnfStyle w:val="000010000000" w:firstRow="0" w:lastRow="0" w:firstColumn="0" w:lastColumn="0" w:oddVBand="1" w:evenVBand="0" w:oddHBand="0" w:evenHBand="0" w:firstRowFirstColumn="0" w:firstRowLastColumn="0" w:lastRowFirstColumn="0" w:lastRowLastColumn="0"/>
            <w:tcW w:w="1969" w:type="pct"/>
          </w:tcPr>
          <w:p w14:paraId="785676C3"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P-Early-Media</w:t>
            </w:r>
          </w:p>
        </w:tc>
        <w:tc>
          <w:tcPr>
            <w:tcW w:w="747" w:type="pct"/>
          </w:tcPr>
          <w:p w14:paraId="28171F96"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O</w:t>
            </w:r>
          </w:p>
        </w:tc>
        <w:tc>
          <w:tcPr>
            <w:cnfStyle w:val="000010000000" w:firstRow="0" w:lastRow="0" w:firstColumn="0" w:lastColumn="0" w:oddVBand="1" w:evenVBand="0" w:oddHBand="0" w:evenHBand="0" w:firstRowFirstColumn="0" w:firstRowLastColumn="0" w:lastRowFirstColumn="0" w:lastRowLastColumn="0"/>
            <w:tcW w:w="1925" w:type="pct"/>
          </w:tcPr>
          <w:p w14:paraId="1A238401"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De acuerdo al RFC 5009</w:t>
            </w:r>
            <w:r w:rsidRPr="00FD39D9">
              <w:rPr>
                <w:rStyle w:val="Refdenotaalpie"/>
                <w:rFonts w:ascii="Arial" w:hAnsi="Arial" w:cs="Arial"/>
                <w:sz w:val="16"/>
                <w:szCs w:val="18"/>
                <w:lang w:eastAsia="es-MX"/>
              </w:rPr>
              <w:footnoteReference w:id="44"/>
            </w:r>
          </w:p>
        </w:tc>
      </w:tr>
    </w:tbl>
    <w:p w14:paraId="10F467D3" w14:textId="2705240B"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3. Encabezados adicionales SIP para VoIP.</w:t>
      </w:r>
    </w:p>
    <w:p w14:paraId="0B3FC3F3" w14:textId="77777777" w:rsidR="00350F69" w:rsidRPr="001B525F" w:rsidRDefault="00350F69" w:rsidP="00CC0143">
      <w:pPr>
        <w:spacing w:after="0"/>
        <w:ind w:right="49"/>
        <w:rPr>
          <w:rFonts w:ascii="Arial" w:hAnsi="Arial" w:cs="Arial"/>
          <w:sz w:val="18"/>
          <w:szCs w:val="18"/>
        </w:rPr>
      </w:pPr>
    </w:p>
    <w:p w14:paraId="284D00E5"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Protocolo de Descripción de Sesión</w:t>
      </w:r>
    </w:p>
    <w:p w14:paraId="2D280CD6" w14:textId="77777777" w:rsidR="00350F69" w:rsidRPr="001B525F" w:rsidRDefault="00350F69" w:rsidP="00561BBC">
      <w:pPr>
        <w:autoSpaceDE w:val="0"/>
        <w:autoSpaceDN w:val="0"/>
        <w:adjustRightInd w:val="0"/>
        <w:spacing w:after="0"/>
        <w:ind w:right="51"/>
        <w:jc w:val="both"/>
        <w:rPr>
          <w:rFonts w:ascii="Arial" w:hAnsi="Arial" w:cs="Arial"/>
          <w:sz w:val="18"/>
          <w:szCs w:val="18"/>
        </w:rPr>
      </w:pPr>
    </w:p>
    <w:p w14:paraId="748137B2" w14:textId="03AF72E3" w:rsidR="00350F69" w:rsidRPr="001B525F" w:rsidRDefault="00350F69" w:rsidP="00561BBC">
      <w:pPr>
        <w:autoSpaceDE w:val="0"/>
        <w:autoSpaceDN w:val="0"/>
        <w:adjustRightInd w:val="0"/>
        <w:spacing w:after="0"/>
        <w:ind w:right="51"/>
        <w:jc w:val="both"/>
        <w:rPr>
          <w:rFonts w:ascii="Arial" w:hAnsi="Arial" w:cs="Arial"/>
          <w:sz w:val="18"/>
          <w:szCs w:val="18"/>
        </w:rPr>
      </w:pPr>
      <w:r w:rsidRPr="001B525F">
        <w:rPr>
          <w:rFonts w:ascii="Arial" w:hAnsi="Arial" w:cs="Arial"/>
          <w:sz w:val="18"/>
          <w:szCs w:val="18"/>
        </w:rPr>
        <w:t xml:space="preserve">La solicitud INVITE incluirá en el cuerpo, una descripción de la sesión en formato Protocolo de Descripción de Sesión (“SDP”, por sus siglas en inglés) de acuerdo </w:t>
      </w:r>
      <w:r w:rsidR="00591A8A">
        <w:rPr>
          <w:rFonts w:ascii="Arial" w:hAnsi="Arial" w:cs="Arial"/>
          <w:sz w:val="18"/>
          <w:szCs w:val="18"/>
        </w:rPr>
        <w:t>con</w:t>
      </w:r>
      <w:r w:rsidRPr="001B525F">
        <w:rPr>
          <w:rFonts w:ascii="Arial" w:hAnsi="Arial" w:cs="Arial"/>
          <w:sz w:val="18"/>
          <w:szCs w:val="18"/>
        </w:rPr>
        <w:t xml:space="preserve"> la Recomendación IETF RFC 4566</w:t>
      </w:r>
      <w:r w:rsidRPr="001B525F">
        <w:rPr>
          <w:rStyle w:val="Refdenotaalpie"/>
          <w:rFonts w:ascii="Arial" w:hAnsi="Arial" w:cs="Arial"/>
          <w:sz w:val="18"/>
          <w:szCs w:val="18"/>
        </w:rPr>
        <w:footnoteReference w:id="45"/>
      </w:r>
      <w:r w:rsidRPr="001B525F">
        <w:rPr>
          <w:rFonts w:ascii="Arial" w:hAnsi="Arial" w:cs="Arial"/>
          <w:sz w:val="18"/>
          <w:szCs w:val="18"/>
        </w:rPr>
        <w:t>, en la cual se señalan las características del medio.</w:t>
      </w:r>
    </w:p>
    <w:p w14:paraId="1C428C38" w14:textId="77777777" w:rsidR="00350F69" w:rsidRPr="001B525F" w:rsidRDefault="00350F69" w:rsidP="00561BBC">
      <w:pPr>
        <w:pStyle w:val="Prrafodelista"/>
        <w:autoSpaceDE w:val="0"/>
        <w:autoSpaceDN w:val="0"/>
        <w:adjustRightInd w:val="0"/>
        <w:spacing w:line="276" w:lineRule="auto"/>
        <w:ind w:right="51"/>
        <w:rPr>
          <w:rFonts w:cs="Arial"/>
          <w:sz w:val="18"/>
          <w:szCs w:val="18"/>
        </w:rPr>
      </w:pPr>
    </w:p>
    <w:p w14:paraId="400A1131" w14:textId="77777777" w:rsidR="00350F69" w:rsidRPr="001B525F" w:rsidRDefault="00350F69" w:rsidP="00561BBC">
      <w:pPr>
        <w:autoSpaceDE w:val="0"/>
        <w:autoSpaceDN w:val="0"/>
        <w:adjustRightInd w:val="0"/>
        <w:spacing w:after="0"/>
        <w:ind w:right="51"/>
        <w:jc w:val="both"/>
        <w:rPr>
          <w:rFonts w:ascii="Arial" w:hAnsi="Arial" w:cs="Arial"/>
          <w:sz w:val="18"/>
          <w:szCs w:val="18"/>
        </w:rPr>
      </w:pPr>
      <w:r w:rsidRPr="001B525F">
        <w:rPr>
          <w:rFonts w:ascii="Arial" w:hAnsi="Arial" w:cs="Arial"/>
          <w:sz w:val="18"/>
          <w:szCs w:val="18"/>
        </w:rPr>
        <w:t>El mensaje SDP se compondrá de los siguientes campos y se respetará el orden especificado.</w:t>
      </w:r>
    </w:p>
    <w:p w14:paraId="5D425E44" w14:textId="77777777" w:rsidR="00350F69" w:rsidRPr="001B525F" w:rsidRDefault="00350F69" w:rsidP="00561BBC">
      <w:pPr>
        <w:autoSpaceDE w:val="0"/>
        <w:autoSpaceDN w:val="0"/>
        <w:adjustRightInd w:val="0"/>
        <w:spacing w:after="0"/>
        <w:ind w:right="51"/>
        <w:jc w:val="both"/>
        <w:rPr>
          <w:rFonts w:ascii="Arial" w:hAnsi="Arial" w:cs="Arial"/>
          <w:sz w:val="18"/>
          <w:szCs w:val="18"/>
        </w:rPr>
      </w:pPr>
    </w:p>
    <w:tbl>
      <w:tblPr>
        <w:tblStyle w:val="Tabladelista3"/>
        <w:tblW w:w="4365" w:type="pct"/>
        <w:jc w:val="center"/>
        <w:tblLook w:val="00A0" w:firstRow="1" w:lastRow="0" w:firstColumn="1" w:lastColumn="0" w:noHBand="0" w:noVBand="0"/>
      </w:tblPr>
      <w:tblGrid>
        <w:gridCol w:w="717"/>
        <w:gridCol w:w="6559"/>
        <w:gridCol w:w="925"/>
      </w:tblGrid>
      <w:tr w:rsidR="001B525F" w:rsidRPr="00FD39D9" w14:paraId="5CF359BE" w14:textId="77777777" w:rsidTr="002021E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3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6272BE5" w14:textId="77777777" w:rsidR="00350F69" w:rsidRPr="00FD39D9" w:rsidRDefault="00350F69" w:rsidP="001B2640">
            <w:pPr>
              <w:pStyle w:val="TAH"/>
              <w:spacing w:line="276" w:lineRule="auto"/>
              <w:ind w:right="49"/>
              <w:rPr>
                <w:rFonts w:cs="Arial"/>
                <w:b/>
                <w:bCs w:val="0"/>
                <w:color w:val="auto"/>
                <w:sz w:val="16"/>
                <w:szCs w:val="18"/>
              </w:rPr>
            </w:pPr>
            <w:r w:rsidRPr="00FD39D9">
              <w:rPr>
                <w:rFonts w:cs="Arial"/>
                <w:b/>
                <w:bCs w:val="0"/>
                <w:color w:val="auto"/>
                <w:sz w:val="16"/>
                <w:szCs w:val="18"/>
              </w:rPr>
              <w:t>Tipo</w:t>
            </w:r>
          </w:p>
        </w:tc>
        <w:tc>
          <w:tcPr>
            <w:cnfStyle w:val="000010000000" w:firstRow="0" w:lastRow="0" w:firstColumn="0" w:lastColumn="0" w:oddVBand="1" w:evenVBand="0" w:oddHBand="0" w:evenHBand="0" w:firstRowFirstColumn="0" w:firstRowLastColumn="0" w:lastRowFirstColumn="0" w:lastRowLastColumn="0"/>
            <w:tcW w:w="399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7CBDE30" w14:textId="77777777" w:rsidR="00350F69" w:rsidRPr="00FD39D9" w:rsidRDefault="00350F69" w:rsidP="001B2640">
            <w:pPr>
              <w:pStyle w:val="TAH"/>
              <w:spacing w:line="276" w:lineRule="auto"/>
              <w:ind w:right="49"/>
              <w:rPr>
                <w:rFonts w:cs="Arial"/>
                <w:b/>
                <w:bCs w:val="0"/>
                <w:color w:val="auto"/>
                <w:sz w:val="16"/>
                <w:szCs w:val="18"/>
                <w:lang w:val="es-ES"/>
              </w:rPr>
            </w:pPr>
            <w:r w:rsidRPr="00FD39D9">
              <w:rPr>
                <w:rFonts w:cs="Arial"/>
                <w:b/>
                <w:bCs w:val="0"/>
                <w:color w:val="auto"/>
                <w:sz w:val="16"/>
                <w:szCs w:val="18"/>
                <w:lang w:val="es-ES"/>
              </w:rPr>
              <w:t>Descripción</w:t>
            </w:r>
          </w:p>
        </w:tc>
        <w:tc>
          <w:tcPr>
            <w:tcW w:w="56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317A3CB" w14:textId="77777777" w:rsidR="00350F69" w:rsidRPr="00FD39D9" w:rsidRDefault="00350F69" w:rsidP="001B2640">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b/>
                <w:bCs w:val="0"/>
                <w:color w:val="auto"/>
                <w:sz w:val="16"/>
                <w:szCs w:val="18"/>
              </w:rPr>
            </w:pPr>
            <w:r w:rsidRPr="00FD39D9">
              <w:rPr>
                <w:rFonts w:cs="Arial"/>
                <w:b/>
                <w:bCs w:val="0"/>
                <w:color w:val="auto"/>
                <w:sz w:val="16"/>
                <w:szCs w:val="18"/>
              </w:rPr>
              <w:t>Estado</w:t>
            </w:r>
          </w:p>
        </w:tc>
      </w:tr>
      <w:tr w:rsidR="001B525F" w:rsidRPr="00FD39D9" w14:paraId="5DD62C93" w14:textId="77777777" w:rsidTr="002021E3">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000000"/>
            </w:tcBorders>
            <w:shd w:val="clear" w:color="auto" w:fill="D9D9D9" w:themeFill="background1" w:themeFillShade="D9"/>
          </w:tcPr>
          <w:p w14:paraId="7EC6B44C"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v</w:t>
            </w:r>
          </w:p>
        </w:tc>
        <w:tc>
          <w:tcPr>
            <w:cnfStyle w:val="000010000000" w:firstRow="0" w:lastRow="0" w:firstColumn="0" w:lastColumn="0" w:oddVBand="1" w:evenVBand="0" w:oddHBand="0" w:evenHBand="0" w:firstRowFirstColumn="0" w:firstRowLastColumn="0" w:lastRowFirstColumn="0" w:lastRowLastColumn="0"/>
            <w:tcW w:w="3999" w:type="pct"/>
            <w:tcBorders>
              <w:top w:val="single" w:sz="4" w:space="0" w:color="000000"/>
            </w:tcBorders>
            <w:shd w:val="clear" w:color="auto" w:fill="D9D9D9" w:themeFill="background1" w:themeFillShade="D9"/>
          </w:tcPr>
          <w:p w14:paraId="27FFC57E"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Versión del protocolo</w:t>
            </w:r>
          </w:p>
        </w:tc>
        <w:tc>
          <w:tcPr>
            <w:tcW w:w="565" w:type="pct"/>
            <w:tcBorders>
              <w:top w:val="single" w:sz="4" w:space="0" w:color="000000"/>
            </w:tcBorders>
            <w:shd w:val="clear" w:color="auto" w:fill="D9D9D9" w:themeFill="background1" w:themeFillShade="D9"/>
          </w:tcPr>
          <w:p w14:paraId="1A482C3F"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r w:rsidR="001B525F" w:rsidRPr="00FD39D9" w14:paraId="0DB346C6" w14:textId="77777777" w:rsidTr="00630229">
        <w:trPr>
          <w:trHeight w:val="240"/>
          <w:jc w:val="center"/>
        </w:trPr>
        <w:tc>
          <w:tcPr>
            <w:cnfStyle w:val="001000000000" w:firstRow="0" w:lastRow="0" w:firstColumn="1" w:lastColumn="0" w:oddVBand="0" w:evenVBand="0" w:oddHBand="0" w:evenHBand="0" w:firstRowFirstColumn="0" w:firstRowLastColumn="0" w:lastRowFirstColumn="0" w:lastRowLastColumn="0"/>
            <w:tcW w:w="437" w:type="pct"/>
          </w:tcPr>
          <w:p w14:paraId="7C78EC60"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o</w:t>
            </w:r>
          </w:p>
        </w:tc>
        <w:tc>
          <w:tcPr>
            <w:cnfStyle w:val="000010000000" w:firstRow="0" w:lastRow="0" w:firstColumn="0" w:lastColumn="0" w:oddVBand="1" w:evenVBand="0" w:oddHBand="0" w:evenHBand="0" w:firstRowFirstColumn="0" w:firstRowLastColumn="0" w:lastRowFirstColumn="0" w:lastRowLastColumn="0"/>
            <w:tcW w:w="3999" w:type="pct"/>
          </w:tcPr>
          <w:p w14:paraId="46110B12"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Identificador de la sesión</w:t>
            </w:r>
          </w:p>
        </w:tc>
        <w:tc>
          <w:tcPr>
            <w:tcW w:w="565" w:type="pct"/>
          </w:tcPr>
          <w:p w14:paraId="16E29678"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r w:rsidR="001B525F" w:rsidRPr="00FD39D9" w14:paraId="237EE7F6" w14:textId="77777777" w:rsidTr="00630229">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1AED0DA"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s</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1A8F1A82"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Nombre de la sesión</w:t>
            </w:r>
          </w:p>
        </w:tc>
        <w:tc>
          <w:tcPr>
            <w:tcW w:w="565" w:type="pct"/>
            <w:shd w:val="clear" w:color="auto" w:fill="D9D9D9" w:themeFill="background1" w:themeFillShade="D9"/>
          </w:tcPr>
          <w:p w14:paraId="7EF8A27F"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O</w:t>
            </w:r>
          </w:p>
        </w:tc>
      </w:tr>
      <w:tr w:rsidR="001B525F" w:rsidRPr="00FD39D9" w14:paraId="3E13D1CE" w14:textId="77777777" w:rsidTr="00630229">
        <w:trPr>
          <w:trHeight w:val="150"/>
          <w:jc w:val="center"/>
        </w:trPr>
        <w:tc>
          <w:tcPr>
            <w:cnfStyle w:val="001000000000" w:firstRow="0" w:lastRow="0" w:firstColumn="1" w:lastColumn="0" w:oddVBand="0" w:evenVBand="0" w:oddHBand="0" w:evenHBand="0" w:firstRowFirstColumn="0" w:firstRowLastColumn="0" w:lastRowFirstColumn="0" w:lastRowLastColumn="0"/>
            <w:tcW w:w="437" w:type="pct"/>
          </w:tcPr>
          <w:p w14:paraId="56958BBA"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i</w:t>
            </w:r>
          </w:p>
        </w:tc>
        <w:tc>
          <w:tcPr>
            <w:cnfStyle w:val="000010000000" w:firstRow="0" w:lastRow="0" w:firstColumn="0" w:lastColumn="0" w:oddVBand="1" w:evenVBand="0" w:oddHBand="0" w:evenHBand="0" w:firstRowFirstColumn="0" w:firstRowLastColumn="0" w:lastRowFirstColumn="0" w:lastRowLastColumn="0"/>
            <w:tcW w:w="3999" w:type="pct"/>
          </w:tcPr>
          <w:p w14:paraId="421E43B9"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 xml:space="preserve">Información de la sesión </w:t>
            </w:r>
          </w:p>
        </w:tc>
        <w:tc>
          <w:tcPr>
            <w:tcW w:w="565" w:type="pct"/>
          </w:tcPr>
          <w:p w14:paraId="1E18F24A"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O</w:t>
            </w:r>
          </w:p>
        </w:tc>
      </w:tr>
      <w:tr w:rsidR="001B525F" w:rsidRPr="00FD39D9" w14:paraId="426631D3" w14:textId="77777777" w:rsidTr="00630229">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1964AC45"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c</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4631A424"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Información de conexión – no se requiere si está incluida en todos los medios</w:t>
            </w:r>
          </w:p>
        </w:tc>
        <w:tc>
          <w:tcPr>
            <w:tcW w:w="565" w:type="pct"/>
            <w:shd w:val="clear" w:color="auto" w:fill="D9D9D9" w:themeFill="background1" w:themeFillShade="D9"/>
          </w:tcPr>
          <w:p w14:paraId="7972C115"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r w:rsidR="001B525F" w:rsidRPr="00FD39D9" w14:paraId="573598D4" w14:textId="77777777" w:rsidTr="00630229">
        <w:trPr>
          <w:trHeight w:val="202"/>
          <w:jc w:val="center"/>
        </w:trPr>
        <w:tc>
          <w:tcPr>
            <w:cnfStyle w:val="001000000000" w:firstRow="0" w:lastRow="0" w:firstColumn="1" w:lastColumn="0" w:oddVBand="0" w:evenVBand="0" w:oddHBand="0" w:evenHBand="0" w:firstRowFirstColumn="0" w:firstRowLastColumn="0" w:lastRowFirstColumn="0" w:lastRowLastColumn="0"/>
            <w:tcW w:w="437" w:type="pct"/>
          </w:tcPr>
          <w:p w14:paraId="65923468"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a</w:t>
            </w:r>
          </w:p>
        </w:tc>
        <w:tc>
          <w:tcPr>
            <w:cnfStyle w:val="000010000000" w:firstRow="0" w:lastRow="0" w:firstColumn="0" w:lastColumn="0" w:oddVBand="1" w:evenVBand="0" w:oddHBand="0" w:evenHBand="0" w:firstRowFirstColumn="0" w:firstRowLastColumn="0" w:lastRowFirstColumn="0" w:lastRowLastColumn="0"/>
            <w:tcW w:w="3999" w:type="pct"/>
          </w:tcPr>
          <w:p w14:paraId="34F161EF"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Cero o más líneas de atributos de sesión</w:t>
            </w:r>
          </w:p>
        </w:tc>
        <w:tc>
          <w:tcPr>
            <w:tcW w:w="565" w:type="pct"/>
          </w:tcPr>
          <w:p w14:paraId="2B46D3BC"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r w:rsidR="001B525F" w:rsidRPr="00FD39D9" w14:paraId="656BC046" w14:textId="77777777" w:rsidTr="00722F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E34EC6F"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t</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0F5F3BFD"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Tiempo que la sesión se encuentra activa</w:t>
            </w:r>
          </w:p>
        </w:tc>
        <w:tc>
          <w:tcPr>
            <w:tcW w:w="565" w:type="pct"/>
            <w:shd w:val="clear" w:color="auto" w:fill="D9D9D9" w:themeFill="background1" w:themeFillShade="D9"/>
          </w:tcPr>
          <w:p w14:paraId="538D0E55"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r w:rsidR="001B525F" w:rsidRPr="00FD39D9" w14:paraId="34BBABF8" w14:textId="77777777" w:rsidTr="00630229">
        <w:trPr>
          <w:trHeight w:val="210"/>
          <w:jc w:val="center"/>
        </w:trPr>
        <w:tc>
          <w:tcPr>
            <w:cnfStyle w:val="001000000000" w:firstRow="0" w:lastRow="0" w:firstColumn="1" w:lastColumn="0" w:oddVBand="0" w:evenVBand="0" w:oddHBand="0" w:evenHBand="0" w:firstRowFirstColumn="0" w:firstRowLastColumn="0" w:lastRowFirstColumn="0" w:lastRowLastColumn="0"/>
            <w:tcW w:w="437" w:type="pct"/>
          </w:tcPr>
          <w:p w14:paraId="71BC1EC2"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m</w:t>
            </w:r>
          </w:p>
        </w:tc>
        <w:tc>
          <w:tcPr>
            <w:cnfStyle w:val="000010000000" w:firstRow="0" w:lastRow="0" w:firstColumn="0" w:lastColumn="0" w:oddVBand="1" w:evenVBand="0" w:oddHBand="0" w:evenHBand="0" w:firstRowFirstColumn="0" w:firstRowLastColumn="0" w:lastRowFirstColumn="0" w:lastRowLastColumn="0"/>
            <w:tcW w:w="3999" w:type="pct"/>
          </w:tcPr>
          <w:p w14:paraId="58F4F6CE"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Información del protocolo de transporte (media)</w:t>
            </w:r>
          </w:p>
        </w:tc>
        <w:tc>
          <w:tcPr>
            <w:tcW w:w="565" w:type="pct"/>
          </w:tcPr>
          <w:p w14:paraId="48AD2044" w14:textId="77777777" w:rsidR="00350F69" w:rsidRPr="00FD39D9"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r w:rsidR="001B525F" w:rsidRPr="00FD39D9" w14:paraId="4BF87344" w14:textId="77777777" w:rsidTr="00722F12">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1EC105B7"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a</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6E04EEEE"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Cero o más líneas de atributos de los medios</w:t>
            </w:r>
          </w:p>
        </w:tc>
        <w:tc>
          <w:tcPr>
            <w:tcW w:w="565" w:type="pct"/>
            <w:shd w:val="clear" w:color="auto" w:fill="D9D9D9" w:themeFill="background1" w:themeFillShade="D9"/>
          </w:tcPr>
          <w:p w14:paraId="4E4F1C2B" w14:textId="77777777" w:rsidR="00350F69" w:rsidRPr="00FD39D9"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M</w:t>
            </w:r>
          </w:p>
        </w:tc>
      </w:tr>
    </w:tbl>
    <w:p w14:paraId="156AC2C9" w14:textId="5FBA5696"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4. Campos SDP.</w:t>
      </w:r>
    </w:p>
    <w:p w14:paraId="3BBF4CA5" w14:textId="77777777" w:rsidR="00350F69" w:rsidRPr="001B525F" w:rsidRDefault="00350F69" w:rsidP="00561BBC">
      <w:pPr>
        <w:spacing w:after="0"/>
        <w:ind w:right="49"/>
        <w:rPr>
          <w:rFonts w:ascii="Arial" w:hAnsi="Arial" w:cs="Arial"/>
          <w:sz w:val="18"/>
          <w:szCs w:val="18"/>
        </w:rPr>
      </w:pPr>
    </w:p>
    <w:p w14:paraId="34EC358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Nota: Cada sesión debe contener un campo “c” en la descripción de sesión o en la descripción del medio si está presente en ambos la descripción del medio sobreescribe la descripción de sesión.</w:t>
      </w:r>
    </w:p>
    <w:p w14:paraId="64CF335E" w14:textId="77777777" w:rsidR="00350F69" w:rsidRPr="001B525F" w:rsidRDefault="00350F69" w:rsidP="00561BBC">
      <w:pPr>
        <w:spacing w:after="0"/>
        <w:ind w:right="49"/>
        <w:rPr>
          <w:rFonts w:ascii="Arial" w:hAnsi="Arial" w:cs="Arial"/>
          <w:sz w:val="18"/>
          <w:szCs w:val="18"/>
        </w:rPr>
      </w:pPr>
    </w:p>
    <w:p w14:paraId="7BF2927C"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 xml:space="preserve">Notación </w:t>
      </w:r>
    </w:p>
    <w:p w14:paraId="23EA8A1F" w14:textId="77777777" w:rsidR="00350F69" w:rsidRPr="001B525F" w:rsidRDefault="00350F69" w:rsidP="00561BBC">
      <w:pPr>
        <w:spacing w:after="0"/>
        <w:ind w:right="49"/>
        <w:rPr>
          <w:rFonts w:ascii="Arial" w:hAnsi="Arial" w:cs="Arial"/>
          <w:sz w:val="18"/>
          <w:szCs w:val="18"/>
        </w:rPr>
      </w:pPr>
    </w:p>
    <w:p w14:paraId="77C19077" w14:textId="4EFDE732"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En las tablas 1 y 3 el código de estado “M” y “O” significan lo siguiente:</w:t>
      </w:r>
    </w:p>
    <w:p w14:paraId="57D010D4" w14:textId="77777777" w:rsidR="00350F69" w:rsidRPr="001B525F" w:rsidRDefault="00350F69" w:rsidP="00561BBC">
      <w:pPr>
        <w:spacing w:after="0"/>
        <w:ind w:right="49"/>
        <w:rPr>
          <w:rFonts w:ascii="Arial" w:hAnsi="Arial" w:cs="Arial"/>
          <w:sz w:val="18"/>
          <w:szCs w:val="18"/>
        </w:rPr>
      </w:pPr>
    </w:p>
    <w:tbl>
      <w:tblPr>
        <w:tblStyle w:val="Tabladelista3"/>
        <w:tblW w:w="5000" w:type="pct"/>
        <w:tblLayout w:type="fixed"/>
        <w:tblLook w:val="00A0" w:firstRow="1" w:lastRow="0" w:firstColumn="1" w:lastColumn="0" w:noHBand="0" w:noVBand="0"/>
      </w:tblPr>
      <w:tblGrid>
        <w:gridCol w:w="1162"/>
        <w:gridCol w:w="1515"/>
        <w:gridCol w:w="3228"/>
        <w:gridCol w:w="3489"/>
      </w:tblGrid>
      <w:tr w:rsidR="001B525F" w:rsidRPr="00FD39D9" w14:paraId="5F24417E" w14:textId="77777777" w:rsidTr="002021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422688F" w14:textId="77777777" w:rsidR="00350F69" w:rsidRPr="00FD39D9" w:rsidRDefault="00350F69" w:rsidP="001B2640">
            <w:pPr>
              <w:pStyle w:val="TAH"/>
              <w:spacing w:line="276" w:lineRule="auto"/>
              <w:ind w:right="49"/>
              <w:rPr>
                <w:rFonts w:cs="Arial"/>
                <w:b/>
                <w:bCs w:val="0"/>
                <w:color w:val="auto"/>
                <w:sz w:val="16"/>
                <w:szCs w:val="18"/>
              </w:rPr>
            </w:pPr>
            <w:r w:rsidRPr="00FD39D9">
              <w:rPr>
                <w:rFonts w:cs="Arial"/>
                <w:b/>
                <w:bCs w:val="0"/>
                <w:color w:val="auto"/>
                <w:sz w:val="16"/>
                <w:szCs w:val="18"/>
              </w:rPr>
              <w:t>Código</w:t>
            </w:r>
          </w:p>
        </w:tc>
        <w:tc>
          <w:tcPr>
            <w:cnfStyle w:val="000010000000" w:firstRow="0" w:lastRow="0" w:firstColumn="0" w:lastColumn="0" w:oddVBand="1" w:evenVBand="0" w:oddHBand="0" w:evenHBand="0" w:firstRowFirstColumn="0" w:firstRowLastColumn="0" w:lastRowFirstColumn="0" w:lastRowLastColumn="0"/>
            <w:tcW w:w="80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7122419" w14:textId="77777777" w:rsidR="00350F69" w:rsidRPr="00FD39D9" w:rsidRDefault="00350F69" w:rsidP="001B2640">
            <w:pPr>
              <w:pStyle w:val="TAH"/>
              <w:spacing w:line="276" w:lineRule="auto"/>
              <w:ind w:right="49"/>
              <w:rPr>
                <w:rFonts w:cs="Arial"/>
                <w:b/>
                <w:bCs w:val="0"/>
                <w:color w:val="auto"/>
                <w:sz w:val="16"/>
                <w:szCs w:val="18"/>
              </w:rPr>
            </w:pPr>
          </w:p>
        </w:tc>
        <w:tc>
          <w:tcPr>
            <w:tcW w:w="171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DFF8702" w14:textId="51BC939E" w:rsidR="00350F69" w:rsidRPr="00FD39D9" w:rsidRDefault="00350F69" w:rsidP="001B2640">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b/>
                <w:bCs w:val="0"/>
                <w:color w:val="auto"/>
                <w:sz w:val="16"/>
                <w:szCs w:val="18"/>
                <w:lang w:val="es-ES"/>
              </w:rPr>
            </w:pPr>
            <w:r w:rsidRPr="00FD39D9">
              <w:rPr>
                <w:rFonts w:cs="Arial"/>
                <w:b/>
                <w:bCs w:val="0"/>
                <w:color w:val="auto"/>
                <w:sz w:val="16"/>
                <w:szCs w:val="18"/>
                <w:lang w:val="es-ES"/>
              </w:rPr>
              <w:t xml:space="preserve">Tratamiento en el </w:t>
            </w:r>
            <w:r w:rsidR="004D1080" w:rsidRPr="00FD39D9">
              <w:rPr>
                <w:rFonts w:cs="Arial"/>
                <w:b/>
                <w:bCs w:val="0"/>
                <w:color w:val="auto"/>
                <w:sz w:val="16"/>
                <w:szCs w:val="18"/>
                <w:lang w:val="es-ES"/>
              </w:rPr>
              <w:t>envío</w:t>
            </w:r>
          </w:p>
        </w:tc>
        <w:tc>
          <w:tcPr>
            <w:cnfStyle w:val="000010000000" w:firstRow="0" w:lastRow="0" w:firstColumn="0" w:lastColumn="0" w:oddVBand="1" w:evenVBand="0" w:oddHBand="0" w:evenHBand="0" w:firstRowFirstColumn="0" w:firstRowLastColumn="0" w:lastRowFirstColumn="0" w:lastRowLastColumn="0"/>
            <w:tcW w:w="185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EEB2CD8" w14:textId="010840ED" w:rsidR="00350F69" w:rsidRPr="00FD39D9" w:rsidRDefault="00350F69" w:rsidP="001B2640">
            <w:pPr>
              <w:pStyle w:val="TAH"/>
              <w:spacing w:line="276" w:lineRule="auto"/>
              <w:ind w:right="49"/>
              <w:rPr>
                <w:rFonts w:cs="Arial"/>
                <w:b/>
                <w:bCs w:val="0"/>
                <w:color w:val="auto"/>
                <w:sz w:val="16"/>
                <w:szCs w:val="18"/>
                <w:lang w:val="es-ES"/>
              </w:rPr>
            </w:pPr>
            <w:r w:rsidRPr="00FD39D9">
              <w:rPr>
                <w:rFonts w:cs="Arial"/>
                <w:b/>
                <w:bCs w:val="0"/>
                <w:color w:val="auto"/>
                <w:sz w:val="16"/>
                <w:szCs w:val="18"/>
                <w:lang w:val="es-ES"/>
              </w:rPr>
              <w:t>Tratamiento en la recepción</w:t>
            </w:r>
          </w:p>
        </w:tc>
      </w:tr>
      <w:tr w:rsidR="001B525F" w:rsidRPr="00FD39D9" w14:paraId="202B6F26" w14:textId="77777777" w:rsidTr="00202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000000"/>
            </w:tcBorders>
            <w:shd w:val="clear" w:color="auto" w:fill="D9D9D9" w:themeFill="background1" w:themeFillShade="D9"/>
          </w:tcPr>
          <w:p w14:paraId="0CF1759D"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M</w:t>
            </w:r>
          </w:p>
        </w:tc>
        <w:tc>
          <w:tcPr>
            <w:cnfStyle w:val="000010000000" w:firstRow="0" w:lastRow="0" w:firstColumn="0" w:lastColumn="0" w:oddVBand="1" w:evenVBand="0" w:oddHBand="0" w:evenHBand="0" w:firstRowFirstColumn="0" w:firstRowLastColumn="0" w:lastRowFirstColumn="0" w:lastRowLastColumn="0"/>
            <w:tcW w:w="806" w:type="pct"/>
            <w:tcBorders>
              <w:top w:val="single" w:sz="4" w:space="0" w:color="000000"/>
            </w:tcBorders>
            <w:shd w:val="clear" w:color="auto" w:fill="D9D9D9" w:themeFill="background1" w:themeFillShade="D9"/>
          </w:tcPr>
          <w:p w14:paraId="2639BEA9"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Obligatorio</w:t>
            </w:r>
          </w:p>
        </w:tc>
        <w:tc>
          <w:tcPr>
            <w:tcW w:w="1718" w:type="pct"/>
            <w:tcBorders>
              <w:top w:val="single" w:sz="4" w:space="0" w:color="000000"/>
            </w:tcBorders>
            <w:shd w:val="clear" w:color="auto" w:fill="D9D9D9" w:themeFill="background1" w:themeFillShade="D9"/>
          </w:tcPr>
          <w:p w14:paraId="05E2DD24" w14:textId="77777777" w:rsidR="00350F69" w:rsidRPr="00FD39D9" w:rsidRDefault="00350F69" w:rsidP="00561BBC">
            <w:pPr>
              <w:spacing w:after="0"/>
              <w:ind w:right="49"/>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es-MX"/>
              </w:rPr>
            </w:pPr>
            <w:r w:rsidRPr="00FD39D9">
              <w:rPr>
                <w:rFonts w:ascii="Arial" w:hAnsi="Arial" w:cs="Arial"/>
                <w:sz w:val="16"/>
                <w:szCs w:val="18"/>
                <w:lang w:eastAsia="es-MX"/>
              </w:rPr>
              <w:t>Significa que el encabezado de campo debe estar presente en la petición cuando se requiera.</w:t>
            </w:r>
          </w:p>
        </w:tc>
        <w:tc>
          <w:tcPr>
            <w:cnfStyle w:val="000010000000" w:firstRow="0" w:lastRow="0" w:firstColumn="0" w:lastColumn="0" w:oddVBand="1" w:evenVBand="0" w:oddHBand="0" w:evenHBand="0" w:firstRowFirstColumn="0" w:firstRowLastColumn="0" w:lastRowFirstColumn="0" w:lastRowLastColumn="0"/>
            <w:tcW w:w="1857" w:type="pct"/>
            <w:tcBorders>
              <w:top w:val="single" w:sz="4" w:space="0" w:color="000000"/>
            </w:tcBorders>
            <w:shd w:val="clear" w:color="auto" w:fill="D9D9D9" w:themeFill="background1" w:themeFillShade="D9"/>
          </w:tcPr>
          <w:p w14:paraId="6B4A65AC" w14:textId="77777777" w:rsidR="00350F69" w:rsidRPr="00FD39D9" w:rsidRDefault="00350F69" w:rsidP="00561BBC">
            <w:pPr>
              <w:spacing w:after="0"/>
              <w:ind w:right="49"/>
              <w:jc w:val="both"/>
              <w:rPr>
                <w:rFonts w:ascii="Arial" w:hAnsi="Arial" w:cs="Arial"/>
                <w:sz w:val="16"/>
                <w:szCs w:val="18"/>
                <w:lang w:eastAsia="es-MX"/>
              </w:rPr>
            </w:pPr>
            <w:r w:rsidRPr="00FD39D9">
              <w:rPr>
                <w:rFonts w:ascii="Arial" w:hAnsi="Arial" w:cs="Arial"/>
                <w:snapToGrid w:val="0"/>
                <w:sz w:val="16"/>
                <w:szCs w:val="18"/>
              </w:rPr>
              <w:t>Significa que el mensaje debe estar presente en la respuesta, y que el campo de encabezado debe ser comprendido por la red que responde.</w:t>
            </w:r>
          </w:p>
        </w:tc>
      </w:tr>
      <w:tr w:rsidR="001B525F" w:rsidRPr="00FD39D9" w14:paraId="08E969BC" w14:textId="77777777" w:rsidTr="00722F12">
        <w:trPr>
          <w:trHeight w:val="927"/>
        </w:trPr>
        <w:tc>
          <w:tcPr>
            <w:cnfStyle w:val="001000000000" w:firstRow="0" w:lastRow="0" w:firstColumn="1" w:lastColumn="0" w:oddVBand="0" w:evenVBand="0" w:oddHBand="0" w:evenHBand="0" w:firstRowFirstColumn="0" w:firstRowLastColumn="0" w:lastRowFirstColumn="0" w:lastRowLastColumn="0"/>
            <w:tcW w:w="618" w:type="pct"/>
          </w:tcPr>
          <w:p w14:paraId="3D53BB6E" w14:textId="77777777" w:rsidR="00350F69" w:rsidRPr="00FD39D9" w:rsidRDefault="00350F69" w:rsidP="00CC0143">
            <w:pPr>
              <w:spacing w:after="0"/>
              <w:ind w:right="49"/>
              <w:jc w:val="center"/>
              <w:rPr>
                <w:rFonts w:ascii="Arial" w:hAnsi="Arial" w:cs="Arial"/>
                <w:sz w:val="16"/>
                <w:szCs w:val="18"/>
                <w:lang w:eastAsia="es-MX"/>
              </w:rPr>
            </w:pPr>
            <w:r w:rsidRPr="00FD39D9">
              <w:rPr>
                <w:rFonts w:ascii="Arial" w:hAnsi="Arial" w:cs="Arial"/>
                <w:sz w:val="16"/>
                <w:szCs w:val="18"/>
                <w:lang w:eastAsia="es-MX"/>
              </w:rPr>
              <w:t>O</w:t>
            </w:r>
          </w:p>
        </w:tc>
        <w:tc>
          <w:tcPr>
            <w:cnfStyle w:val="000010000000" w:firstRow="0" w:lastRow="0" w:firstColumn="0" w:lastColumn="0" w:oddVBand="1" w:evenVBand="0" w:oddHBand="0" w:evenHBand="0" w:firstRowFirstColumn="0" w:firstRowLastColumn="0" w:lastRowFirstColumn="0" w:lastRowLastColumn="0"/>
            <w:tcW w:w="806" w:type="pct"/>
          </w:tcPr>
          <w:p w14:paraId="504A2E65" w14:textId="77777777" w:rsidR="00350F69" w:rsidRPr="00FD39D9" w:rsidRDefault="00350F69" w:rsidP="00561BBC">
            <w:pPr>
              <w:spacing w:after="0"/>
              <w:ind w:right="49"/>
              <w:jc w:val="center"/>
              <w:rPr>
                <w:rFonts w:ascii="Arial" w:hAnsi="Arial" w:cs="Arial"/>
                <w:sz w:val="16"/>
                <w:szCs w:val="18"/>
                <w:lang w:eastAsia="es-MX"/>
              </w:rPr>
            </w:pPr>
            <w:r w:rsidRPr="00FD39D9">
              <w:rPr>
                <w:rFonts w:ascii="Arial" w:hAnsi="Arial" w:cs="Arial"/>
                <w:sz w:val="16"/>
                <w:szCs w:val="18"/>
                <w:lang w:eastAsia="es-MX"/>
              </w:rPr>
              <w:t xml:space="preserve">Opcional </w:t>
            </w:r>
          </w:p>
        </w:tc>
        <w:tc>
          <w:tcPr>
            <w:tcW w:w="1718" w:type="pct"/>
          </w:tcPr>
          <w:p w14:paraId="48E2C4D0" w14:textId="77777777" w:rsidR="00350F69" w:rsidRPr="00FD39D9" w:rsidRDefault="00350F69" w:rsidP="00561BBC">
            <w:pPr>
              <w:spacing w:after="0"/>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6"/>
                <w:szCs w:val="18"/>
              </w:rPr>
            </w:pPr>
            <w:r w:rsidRPr="00FD39D9">
              <w:rPr>
                <w:rFonts w:ascii="Arial" w:hAnsi="Arial" w:cs="Arial"/>
                <w:snapToGrid w:val="0"/>
                <w:sz w:val="16"/>
                <w:szCs w:val="18"/>
              </w:rPr>
              <w:t>Significa que el uso del encabezado de campo en la petición se realizará de común acuerdo entre los concesionarios.</w:t>
            </w:r>
          </w:p>
        </w:tc>
        <w:tc>
          <w:tcPr>
            <w:cnfStyle w:val="000010000000" w:firstRow="0" w:lastRow="0" w:firstColumn="0" w:lastColumn="0" w:oddVBand="1" w:evenVBand="0" w:oddHBand="0" w:evenHBand="0" w:firstRowFirstColumn="0" w:firstRowLastColumn="0" w:lastRowFirstColumn="0" w:lastRowLastColumn="0"/>
            <w:tcW w:w="1857" w:type="pct"/>
          </w:tcPr>
          <w:p w14:paraId="3EA53D86" w14:textId="77777777" w:rsidR="00350F69" w:rsidRPr="00FD39D9" w:rsidRDefault="00350F69" w:rsidP="00561BBC">
            <w:pPr>
              <w:spacing w:after="0"/>
              <w:ind w:right="49"/>
              <w:jc w:val="both"/>
              <w:rPr>
                <w:rFonts w:ascii="Arial" w:hAnsi="Arial" w:cs="Arial"/>
                <w:snapToGrid w:val="0"/>
                <w:sz w:val="16"/>
                <w:szCs w:val="18"/>
              </w:rPr>
            </w:pPr>
            <w:r w:rsidRPr="00FD39D9">
              <w:rPr>
                <w:rFonts w:ascii="Arial" w:hAnsi="Arial" w:cs="Arial"/>
                <w:snapToGrid w:val="0"/>
                <w:sz w:val="16"/>
                <w:szCs w:val="18"/>
              </w:rPr>
              <w:t>Significa que el tratamiento de la recepción se realizará de común acuerdo entre los concesionarios.</w:t>
            </w:r>
          </w:p>
          <w:p w14:paraId="64360EFA" w14:textId="77777777" w:rsidR="00350F69" w:rsidRPr="00FD39D9" w:rsidRDefault="00350F69" w:rsidP="00561BBC">
            <w:pPr>
              <w:spacing w:after="0"/>
              <w:ind w:right="49"/>
              <w:jc w:val="both"/>
              <w:rPr>
                <w:rFonts w:ascii="Arial" w:hAnsi="Arial" w:cs="Arial"/>
                <w:snapToGrid w:val="0"/>
                <w:sz w:val="16"/>
                <w:szCs w:val="18"/>
              </w:rPr>
            </w:pPr>
          </w:p>
        </w:tc>
      </w:tr>
    </w:tbl>
    <w:p w14:paraId="7D8A0DC3" w14:textId="2E55520C"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5. Códigos de Estado.</w:t>
      </w:r>
    </w:p>
    <w:p w14:paraId="343EE215" w14:textId="77777777" w:rsidR="00350F69" w:rsidRPr="001B525F" w:rsidRDefault="00350F69" w:rsidP="00561BBC">
      <w:pPr>
        <w:spacing w:after="0"/>
        <w:ind w:right="49"/>
        <w:rPr>
          <w:rFonts w:ascii="Arial" w:hAnsi="Arial" w:cs="Arial"/>
          <w:sz w:val="18"/>
          <w:szCs w:val="18"/>
        </w:rPr>
      </w:pPr>
    </w:p>
    <w:p w14:paraId="6B741D5D"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Descripción del medio de transporte</w:t>
      </w:r>
    </w:p>
    <w:p w14:paraId="60975B8A" w14:textId="77777777" w:rsidR="00350F69" w:rsidRPr="001B525F" w:rsidRDefault="00350F69" w:rsidP="00561BBC">
      <w:pPr>
        <w:spacing w:after="0"/>
        <w:ind w:right="49"/>
        <w:rPr>
          <w:rFonts w:ascii="Arial" w:hAnsi="Arial" w:cs="Arial"/>
          <w:b/>
          <w:sz w:val="18"/>
          <w:szCs w:val="18"/>
        </w:rPr>
      </w:pPr>
    </w:p>
    <w:p w14:paraId="299FA68F"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Una descripción de sesión puede contener un número de descripciones de medios. </w:t>
      </w:r>
    </w:p>
    <w:p w14:paraId="6CC5853A" w14:textId="77777777" w:rsidR="00350F69" w:rsidRPr="001B525F" w:rsidRDefault="00350F69" w:rsidP="00561BBC">
      <w:pPr>
        <w:spacing w:after="0"/>
        <w:ind w:right="49"/>
        <w:jc w:val="both"/>
        <w:rPr>
          <w:rFonts w:ascii="Arial" w:hAnsi="Arial" w:cs="Arial"/>
          <w:sz w:val="18"/>
          <w:szCs w:val="18"/>
        </w:rPr>
      </w:pPr>
    </w:p>
    <w:p w14:paraId="7094F4A2"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Cada campo de medios está conformado por los siguientes subcampos:</w:t>
      </w:r>
    </w:p>
    <w:p w14:paraId="1D79E0B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m=&lt;medio&gt; &lt;puerto&gt; &lt;transporte&gt; &lt;lista fmt&gt;</w:t>
      </w:r>
    </w:p>
    <w:p w14:paraId="67AE9BA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lastRenderedPageBreak/>
        <w:t xml:space="preserve">En el subcampo &lt;medio&gt; el cual corresponde al tipo de medio, se deberá enviar “audio” </w:t>
      </w:r>
    </w:p>
    <w:p w14:paraId="30973BD4" w14:textId="77777777" w:rsidR="00350F69" w:rsidRPr="001B525F" w:rsidRDefault="00350F69" w:rsidP="00561BBC">
      <w:pPr>
        <w:spacing w:after="0"/>
        <w:ind w:right="49"/>
        <w:jc w:val="both"/>
        <w:rPr>
          <w:rFonts w:ascii="Arial" w:hAnsi="Arial" w:cs="Arial"/>
          <w:sz w:val="18"/>
          <w:szCs w:val="18"/>
        </w:rPr>
      </w:pPr>
    </w:p>
    <w:p w14:paraId="34DEF0C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314D9999" w14:textId="77777777" w:rsidR="00C22C73" w:rsidRDefault="00C22C73" w:rsidP="00561BBC">
      <w:pPr>
        <w:spacing w:after="0"/>
        <w:ind w:right="49"/>
        <w:jc w:val="both"/>
        <w:rPr>
          <w:rFonts w:ascii="Arial" w:hAnsi="Arial" w:cs="Arial"/>
          <w:sz w:val="18"/>
          <w:szCs w:val="18"/>
        </w:rPr>
      </w:pPr>
    </w:p>
    <w:p w14:paraId="00DD9F40" w14:textId="710393E5"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subcampo &lt;transporte&gt; el cual corresponde al protocolo de transporte se deberá especificar RTP/AVP.</w:t>
      </w:r>
    </w:p>
    <w:p w14:paraId="51330A34" w14:textId="77777777" w:rsidR="00350F69" w:rsidRPr="001B525F" w:rsidRDefault="00350F69" w:rsidP="00561BBC">
      <w:pPr>
        <w:spacing w:after="0"/>
        <w:ind w:right="49"/>
        <w:jc w:val="both"/>
        <w:rPr>
          <w:rFonts w:ascii="Arial" w:hAnsi="Arial" w:cs="Arial"/>
          <w:sz w:val="18"/>
          <w:szCs w:val="18"/>
        </w:rPr>
      </w:pPr>
    </w:p>
    <w:p w14:paraId="2E1B505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subcampo &lt;lista fmt&gt; el cual corresponde al tipo de carga útil del medio correspondiente a los códecs que se podrán utilizar. El primero de éstos es el formato de mayor preferencia en la sesión.</w:t>
      </w:r>
    </w:p>
    <w:p w14:paraId="68E54083" w14:textId="77777777" w:rsidR="00350F69" w:rsidRPr="001B525F" w:rsidRDefault="00350F69" w:rsidP="00561BBC">
      <w:pPr>
        <w:spacing w:after="0"/>
        <w:ind w:right="49"/>
        <w:jc w:val="both"/>
        <w:rPr>
          <w:rFonts w:ascii="Arial" w:hAnsi="Arial" w:cs="Arial"/>
          <w:sz w:val="18"/>
          <w:szCs w:val="18"/>
        </w:rPr>
      </w:pPr>
    </w:p>
    <w:p w14:paraId="3DE8E2EB" w14:textId="2551C61F"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Se definirán los atributos rtpmap para cada formato de medio especificado de acuerdo </w:t>
      </w:r>
      <w:r w:rsidR="00591A8A">
        <w:rPr>
          <w:rFonts w:ascii="Arial" w:hAnsi="Arial" w:cs="Arial"/>
          <w:sz w:val="18"/>
          <w:szCs w:val="18"/>
        </w:rPr>
        <w:t>con</w:t>
      </w:r>
      <w:r w:rsidRPr="001B525F">
        <w:rPr>
          <w:rFonts w:ascii="Arial" w:hAnsi="Arial" w:cs="Arial"/>
          <w:sz w:val="18"/>
          <w:szCs w:val="18"/>
        </w:rPr>
        <w:t xml:space="preserve"> la Recomendación RFC 3551</w:t>
      </w:r>
      <w:r w:rsidRPr="001B525F">
        <w:rPr>
          <w:rStyle w:val="Refdenotaalpie"/>
          <w:rFonts w:ascii="Arial" w:hAnsi="Arial" w:cs="Arial"/>
          <w:sz w:val="18"/>
          <w:szCs w:val="18"/>
        </w:rPr>
        <w:footnoteReference w:id="46"/>
      </w:r>
      <w:r w:rsidRPr="001B525F">
        <w:rPr>
          <w:rFonts w:ascii="Arial" w:hAnsi="Arial" w:cs="Arial"/>
          <w:sz w:val="18"/>
          <w:szCs w:val="18"/>
        </w:rPr>
        <w:t xml:space="preserve"> por ejemplo:</w:t>
      </w:r>
    </w:p>
    <w:p w14:paraId="2A56187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a=rtpmap:18 G729/8000</w:t>
      </w:r>
    </w:p>
    <w:p w14:paraId="43F5E89F" w14:textId="77777777" w:rsidR="00350F69" w:rsidRPr="001B525F" w:rsidRDefault="00350F69" w:rsidP="00561BBC">
      <w:pPr>
        <w:spacing w:after="0"/>
        <w:ind w:right="49"/>
        <w:jc w:val="both"/>
        <w:rPr>
          <w:rFonts w:ascii="Arial" w:hAnsi="Arial" w:cs="Arial"/>
          <w:sz w:val="18"/>
          <w:szCs w:val="18"/>
        </w:rPr>
      </w:pPr>
    </w:p>
    <w:p w14:paraId="4BE9EF9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Para el caso de métodos, encabezados o atributos que no aparecen en este documento, el Concesionario receptor de la señalización es libre de procesarlos o ignorarlos.</w:t>
      </w:r>
    </w:p>
    <w:p w14:paraId="6899F0F6" w14:textId="77777777" w:rsidR="00350F69" w:rsidRPr="001B525F" w:rsidRDefault="00350F69" w:rsidP="00561BBC">
      <w:pPr>
        <w:pStyle w:val="NormalWeb"/>
        <w:spacing w:before="0" w:beforeAutospacing="0" w:after="0" w:afterAutospacing="0" w:line="276" w:lineRule="auto"/>
        <w:ind w:right="49"/>
        <w:rPr>
          <w:rFonts w:ascii="Arial" w:hAnsi="Arial" w:cs="Arial"/>
          <w:b/>
          <w:sz w:val="18"/>
          <w:szCs w:val="18"/>
        </w:rPr>
      </w:pPr>
    </w:p>
    <w:p w14:paraId="74BDFD88"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Número de saltos entre las redes</w:t>
      </w:r>
    </w:p>
    <w:p w14:paraId="37B44763" w14:textId="77777777" w:rsidR="00350F69" w:rsidRPr="001B525F" w:rsidRDefault="00350F69" w:rsidP="00561BBC">
      <w:pPr>
        <w:pStyle w:val="NormalWeb"/>
        <w:spacing w:before="0" w:beforeAutospacing="0" w:after="0" w:afterAutospacing="0" w:line="276" w:lineRule="auto"/>
        <w:ind w:right="49"/>
        <w:rPr>
          <w:rFonts w:ascii="Arial" w:hAnsi="Arial" w:cs="Arial"/>
          <w:b/>
          <w:sz w:val="18"/>
          <w:szCs w:val="18"/>
        </w:rPr>
      </w:pPr>
    </w:p>
    <w:p w14:paraId="1A2379E8"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5E08840F" w14:textId="77777777" w:rsidR="00350F69" w:rsidRPr="001B525F" w:rsidRDefault="00350F69" w:rsidP="00561BBC">
      <w:pPr>
        <w:spacing w:after="0"/>
        <w:ind w:right="49"/>
        <w:rPr>
          <w:rFonts w:ascii="Arial" w:hAnsi="Arial" w:cs="Arial"/>
          <w:sz w:val="18"/>
          <w:szCs w:val="18"/>
        </w:rPr>
      </w:pPr>
    </w:p>
    <w:p w14:paraId="07BF17EF"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Actualización de sesión</w:t>
      </w:r>
    </w:p>
    <w:p w14:paraId="4905CF31" w14:textId="77777777" w:rsidR="00350F69" w:rsidRPr="001B525F" w:rsidRDefault="00350F69" w:rsidP="00561BBC">
      <w:pPr>
        <w:pStyle w:val="NormalWeb"/>
        <w:spacing w:before="0" w:beforeAutospacing="0" w:after="0" w:afterAutospacing="0" w:line="276" w:lineRule="auto"/>
        <w:ind w:left="540" w:right="49"/>
        <w:rPr>
          <w:rFonts w:ascii="Arial" w:hAnsi="Arial" w:cs="Arial"/>
          <w:b/>
          <w:sz w:val="18"/>
          <w:szCs w:val="18"/>
        </w:rPr>
      </w:pPr>
    </w:p>
    <w:p w14:paraId="7EEA5A72"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temporizadores de actualización de sesión deberán ser manejados conforme a la recomendación RFC 4028.</w:t>
      </w:r>
    </w:p>
    <w:p w14:paraId="7F9CCAD6" w14:textId="77777777" w:rsidR="00350F69" w:rsidRPr="001B525F" w:rsidRDefault="00350F69" w:rsidP="00561BBC">
      <w:pPr>
        <w:spacing w:after="0"/>
        <w:ind w:right="49"/>
        <w:jc w:val="both"/>
        <w:rPr>
          <w:rFonts w:ascii="Arial" w:hAnsi="Arial" w:cs="Arial"/>
          <w:sz w:val="18"/>
          <w:szCs w:val="18"/>
        </w:rPr>
      </w:pPr>
    </w:p>
    <w:p w14:paraId="3D1E64A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 petición INVITE inicial debe contener los siguientes campos de encabezado: Supported:timer, Session Expires, Refresher:uac, Min-SE.</w:t>
      </w:r>
    </w:p>
    <w:p w14:paraId="5208770B" w14:textId="77777777" w:rsidR="00350F69" w:rsidRPr="001B525F" w:rsidRDefault="00350F69" w:rsidP="00561BBC">
      <w:pPr>
        <w:spacing w:after="0"/>
        <w:ind w:right="49"/>
        <w:jc w:val="both"/>
        <w:rPr>
          <w:rFonts w:ascii="Arial" w:hAnsi="Arial" w:cs="Arial"/>
          <w:sz w:val="18"/>
          <w:szCs w:val="18"/>
        </w:rPr>
      </w:pPr>
    </w:p>
    <w:p w14:paraId="29CBBE0F"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08470FD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 </w:t>
      </w:r>
    </w:p>
    <w:p w14:paraId="2938063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Por omisión se considerarán los siguientes valores: Supported:timer, Session Expires:1800, Refresher:uac, Min-SE:600</w:t>
      </w:r>
    </w:p>
    <w:p w14:paraId="65528A7F" w14:textId="77777777" w:rsidR="00350F69" w:rsidRPr="001B525F" w:rsidRDefault="00350F69" w:rsidP="00561BBC">
      <w:pPr>
        <w:spacing w:after="0"/>
        <w:ind w:right="49"/>
        <w:jc w:val="both"/>
        <w:rPr>
          <w:rFonts w:ascii="Arial" w:hAnsi="Arial" w:cs="Arial"/>
          <w:sz w:val="18"/>
          <w:szCs w:val="18"/>
        </w:rPr>
      </w:pPr>
    </w:p>
    <w:p w14:paraId="2A981E4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 actualización de la sesión SIP se realizará a través de un UPDATE, el tiempo de envío del método UPDATE será a la mitad del tiempo definido en el campo de encabezado Session-Expires.</w:t>
      </w:r>
    </w:p>
    <w:p w14:paraId="28CE521A" w14:textId="77777777" w:rsidR="00350F69" w:rsidRPr="001B525F" w:rsidRDefault="00350F69" w:rsidP="00561BBC">
      <w:pPr>
        <w:spacing w:after="0"/>
        <w:ind w:right="49"/>
        <w:rPr>
          <w:rFonts w:ascii="Arial" w:hAnsi="Arial" w:cs="Arial"/>
          <w:sz w:val="18"/>
          <w:szCs w:val="18"/>
        </w:rPr>
      </w:pPr>
    </w:p>
    <w:p w14:paraId="0E306DCA"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sz w:val="18"/>
          <w:szCs w:val="18"/>
        </w:rPr>
      </w:pPr>
      <w:r w:rsidRPr="001B525F">
        <w:rPr>
          <w:rFonts w:cs="Arial"/>
          <w:b/>
          <w:sz w:val="18"/>
          <w:szCs w:val="18"/>
        </w:rPr>
        <w:t xml:space="preserve">Modelo de Oferta/Contestación </w:t>
      </w:r>
    </w:p>
    <w:p w14:paraId="72F096A7" w14:textId="77777777" w:rsidR="00350F69" w:rsidRPr="001B525F" w:rsidRDefault="00350F69" w:rsidP="00561BBC">
      <w:pPr>
        <w:pStyle w:val="Prrafodelista"/>
        <w:spacing w:line="276" w:lineRule="auto"/>
        <w:ind w:left="709" w:right="51"/>
        <w:rPr>
          <w:rFonts w:cs="Arial"/>
          <w:sz w:val="18"/>
          <w:szCs w:val="18"/>
        </w:rPr>
      </w:pPr>
    </w:p>
    <w:p w14:paraId="12D06E52" w14:textId="100B2630"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Para el establecimiento de una llamada se enviará en la petición INVITE inicial la oferta SDP con las características del medio y conexión, de acuerdo </w:t>
      </w:r>
      <w:r w:rsidR="00591A8A">
        <w:rPr>
          <w:rFonts w:ascii="Arial" w:hAnsi="Arial" w:cs="Arial"/>
          <w:sz w:val="18"/>
          <w:szCs w:val="18"/>
        </w:rPr>
        <w:t>con</w:t>
      </w:r>
      <w:r w:rsidRPr="001B525F">
        <w:rPr>
          <w:rFonts w:ascii="Arial" w:hAnsi="Arial" w:cs="Arial"/>
          <w:sz w:val="18"/>
          <w:szCs w:val="18"/>
        </w:rPr>
        <w:t xml:space="preserve"> la Recomendación RFC 3264</w:t>
      </w:r>
      <w:r w:rsidRPr="001B525F">
        <w:rPr>
          <w:rStyle w:val="Refdenotaalpie"/>
          <w:rFonts w:ascii="Arial" w:hAnsi="Arial" w:cs="Arial"/>
          <w:sz w:val="18"/>
          <w:szCs w:val="18"/>
        </w:rPr>
        <w:footnoteReference w:id="47"/>
      </w:r>
      <w:r w:rsidRPr="001B525F">
        <w:rPr>
          <w:rFonts w:ascii="Arial" w:hAnsi="Arial" w:cs="Arial"/>
          <w:sz w:val="18"/>
          <w:szCs w:val="18"/>
        </w:rPr>
        <w:t>. La contestación de la oferta debe ser dada en la respuesta provisional SIP 18x ó 200 OK.</w:t>
      </w:r>
    </w:p>
    <w:p w14:paraId="6124F7C2" w14:textId="77777777" w:rsidR="00350F69" w:rsidRPr="001B525F" w:rsidRDefault="00350F69" w:rsidP="00561BBC">
      <w:pPr>
        <w:spacing w:after="0"/>
        <w:ind w:right="49"/>
        <w:rPr>
          <w:rFonts w:ascii="Arial" w:hAnsi="Arial" w:cs="Arial"/>
          <w:sz w:val="18"/>
          <w:szCs w:val="18"/>
        </w:rPr>
      </w:pPr>
    </w:p>
    <w:p w14:paraId="6241C19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lastRenderedPageBreak/>
        <w:t>El tipo de mensaje “application/sdp” debe ser soportado por los métodos INVITE, PRACK y UPDATE y las respuestas a estos métodos.</w:t>
      </w:r>
    </w:p>
    <w:p w14:paraId="0FAD92B5" w14:textId="77777777" w:rsidR="00350F69" w:rsidRPr="001B525F" w:rsidRDefault="00350F69" w:rsidP="00561BBC">
      <w:pPr>
        <w:spacing w:after="0"/>
        <w:ind w:right="49"/>
        <w:rPr>
          <w:rFonts w:ascii="Arial" w:hAnsi="Arial" w:cs="Arial"/>
          <w:sz w:val="18"/>
          <w:szCs w:val="18"/>
        </w:rPr>
      </w:pPr>
    </w:p>
    <w:p w14:paraId="10E1E819"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Notificación del proceso de la llamada</w:t>
      </w:r>
    </w:p>
    <w:p w14:paraId="4591BF5A" w14:textId="77777777" w:rsidR="00350F69" w:rsidRPr="001B525F" w:rsidRDefault="00350F69" w:rsidP="00561BBC">
      <w:pPr>
        <w:autoSpaceDE w:val="0"/>
        <w:autoSpaceDN w:val="0"/>
        <w:adjustRightInd w:val="0"/>
        <w:spacing w:after="0"/>
        <w:ind w:right="49"/>
        <w:rPr>
          <w:rFonts w:ascii="Arial" w:hAnsi="Arial" w:cs="Arial"/>
          <w:sz w:val="18"/>
          <w:szCs w:val="18"/>
        </w:rPr>
      </w:pPr>
    </w:p>
    <w:p w14:paraId="0366C959" w14:textId="77777777" w:rsidR="00350F69" w:rsidRPr="001B525F" w:rsidRDefault="00350F69" w:rsidP="00561BBC">
      <w:pPr>
        <w:autoSpaceDE w:val="0"/>
        <w:autoSpaceDN w:val="0"/>
        <w:adjustRightInd w:val="0"/>
        <w:spacing w:after="0"/>
        <w:ind w:right="49"/>
        <w:jc w:val="both"/>
        <w:rPr>
          <w:rFonts w:ascii="Arial" w:hAnsi="Arial" w:cs="Arial"/>
          <w:sz w:val="18"/>
          <w:szCs w:val="18"/>
        </w:rPr>
      </w:pPr>
      <w:r w:rsidRPr="001B525F">
        <w:rPr>
          <w:rFonts w:ascii="Arial" w:hAnsi="Arial" w:cs="Arial"/>
          <w:sz w:val="18"/>
          <w:szCs w:val="18"/>
        </w:rPr>
        <w:t>Se entenderá como “early media” o medio temprano al tono de timbrado, anuncios y en general, a cualquier medio que es intercambiado antes de que una sesión sea aceptada por el usuario que se llama.</w:t>
      </w:r>
    </w:p>
    <w:p w14:paraId="19471328" w14:textId="77777777" w:rsidR="00350F69" w:rsidRPr="001B525F" w:rsidRDefault="00350F69" w:rsidP="00561BBC">
      <w:pPr>
        <w:spacing w:after="0"/>
        <w:ind w:right="49"/>
        <w:rPr>
          <w:rFonts w:ascii="Arial" w:hAnsi="Arial" w:cs="Arial"/>
          <w:sz w:val="18"/>
          <w:szCs w:val="18"/>
        </w:rPr>
      </w:pPr>
    </w:p>
    <w:p w14:paraId="56B6A55E"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Manejo de respuesta 180</w:t>
      </w:r>
    </w:p>
    <w:p w14:paraId="37F2FE0F" w14:textId="77777777" w:rsidR="00350F69" w:rsidRPr="001B525F" w:rsidRDefault="00350F69" w:rsidP="00561BBC">
      <w:pPr>
        <w:spacing w:after="0"/>
        <w:ind w:right="49"/>
        <w:rPr>
          <w:rFonts w:ascii="Arial" w:hAnsi="Arial" w:cs="Arial"/>
          <w:sz w:val="18"/>
          <w:szCs w:val="18"/>
        </w:rPr>
      </w:pPr>
    </w:p>
    <w:p w14:paraId="00096968" w14:textId="6AF799A2"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La respuesta 180 debe cumplir con las reglas para la reproducción de tono de llamada de acuerdo </w:t>
      </w:r>
      <w:r w:rsidR="00591A8A">
        <w:rPr>
          <w:rFonts w:ascii="Arial" w:hAnsi="Arial" w:cs="Arial"/>
          <w:sz w:val="18"/>
          <w:szCs w:val="18"/>
        </w:rPr>
        <w:t>con</w:t>
      </w:r>
      <w:r w:rsidRPr="001B525F">
        <w:rPr>
          <w:rFonts w:ascii="Arial" w:hAnsi="Arial" w:cs="Arial"/>
          <w:sz w:val="18"/>
          <w:szCs w:val="18"/>
        </w:rPr>
        <w:t xml:space="preserve"> la Recomendación RFC 3960</w:t>
      </w:r>
      <w:r w:rsidRPr="001B525F">
        <w:rPr>
          <w:rStyle w:val="Refdenotaalpie"/>
          <w:rFonts w:ascii="Arial" w:hAnsi="Arial" w:cs="Arial"/>
          <w:sz w:val="18"/>
          <w:szCs w:val="18"/>
        </w:rPr>
        <w:footnoteReference w:id="48"/>
      </w:r>
      <w:r w:rsidRPr="001B525F">
        <w:rPr>
          <w:rFonts w:ascii="Arial" w:hAnsi="Arial" w:cs="Arial"/>
          <w:sz w:val="18"/>
          <w:szCs w:val="18"/>
        </w:rPr>
        <w:t>. Si se recibe la respuesta 180 sin medio temprano entonces se deberá proveer un “Ring back tone” sin exceder de 90 s.</w:t>
      </w:r>
    </w:p>
    <w:p w14:paraId="041D7A1A" w14:textId="77777777" w:rsidR="00350F69" w:rsidRPr="001B525F" w:rsidRDefault="00350F69" w:rsidP="00561BBC">
      <w:pPr>
        <w:spacing w:after="0"/>
        <w:ind w:right="49"/>
        <w:rPr>
          <w:rFonts w:ascii="Arial" w:hAnsi="Arial" w:cs="Arial"/>
          <w:sz w:val="18"/>
          <w:szCs w:val="18"/>
        </w:rPr>
      </w:pPr>
    </w:p>
    <w:p w14:paraId="79E1D737"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Envío de anuncios sobre el RTP</w:t>
      </w:r>
    </w:p>
    <w:p w14:paraId="680A4113" w14:textId="77777777" w:rsidR="00350F69" w:rsidRPr="001B525F" w:rsidRDefault="00350F69" w:rsidP="00561BBC">
      <w:pPr>
        <w:spacing w:after="0"/>
        <w:ind w:right="49"/>
        <w:rPr>
          <w:rFonts w:ascii="Arial" w:hAnsi="Arial" w:cs="Arial"/>
          <w:b/>
          <w:sz w:val="18"/>
          <w:szCs w:val="18"/>
        </w:rPr>
      </w:pPr>
    </w:p>
    <w:p w14:paraId="6C6F537C"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Debe estar permitido el envío de información dentro de banda sobre el RTP unidireccional que se establece con la respuesta 183 con SDP, de tal forma que se abra el canal de audio sin exceder de 90 s. </w:t>
      </w:r>
    </w:p>
    <w:p w14:paraId="05E2B73C" w14:textId="77777777" w:rsidR="00350F69" w:rsidRPr="001B525F" w:rsidRDefault="00350F69" w:rsidP="00561BBC">
      <w:pPr>
        <w:spacing w:after="0"/>
        <w:ind w:right="49"/>
        <w:rPr>
          <w:rFonts w:ascii="Arial" w:hAnsi="Arial" w:cs="Arial"/>
          <w:sz w:val="18"/>
          <w:szCs w:val="18"/>
        </w:rPr>
      </w:pPr>
    </w:p>
    <w:p w14:paraId="659C1D96"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Transmisión de Fax y DTMF</w:t>
      </w:r>
    </w:p>
    <w:p w14:paraId="3127E473" w14:textId="77777777" w:rsidR="00350F69" w:rsidRPr="001B525F" w:rsidRDefault="00350F69" w:rsidP="00561BBC">
      <w:pPr>
        <w:spacing w:after="0"/>
        <w:ind w:right="49"/>
        <w:jc w:val="both"/>
        <w:rPr>
          <w:rFonts w:ascii="Arial" w:hAnsi="Arial" w:cs="Arial"/>
          <w:b/>
          <w:sz w:val="18"/>
          <w:szCs w:val="18"/>
        </w:rPr>
      </w:pPr>
    </w:p>
    <w:p w14:paraId="6273EB4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Con respecto a la marcación por tonos o sistema multifrecuencial (Dual Tone Multi Frequency, DTMF) se utilizarán las Recomendaciones RFC 4734</w:t>
      </w:r>
      <w:r w:rsidRPr="001B525F">
        <w:rPr>
          <w:rStyle w:val="Refdenotaalpie"/>
          <w:rFonts w:ascii="Arial" w:hAnsi="Arial" w:cs="Arial"/>
          <w:sz w:val="18"/>
          <w:szCs w:val="18"/>
        </w:rPr>
        <w:footnoteReference w:id="49"/>
      </w:r>
      <w:r w:rsidRPr="001B525F">
        <w:rPr>
          <w:rFonts w:ascii="Arial" w:hAnsi="Arial" w:cs="Arial"/>
          <w:sz w:val="18"/>
          <w:szCs w:val="18"/>
        </w:rPr>
        <w:t xml:space="preserve"> y RFC 4733</w:t>
      </w:r>
      <w:r w:rsidRPr="001B525F">
        <w:rPr>
          <w:rStyle w:val="Refdenotaalpie"/>
          <w:rFonts w:ascii="Arial" w:hAnsi="Arial" w:cs="Arial"/>
          <w:sz w:val="18"/>
          <w:szCs w:val="18"/>
        </w:rPr>
        <w:footnoteReference w:id="50"/>
      </w:r>
      <w:r w:rsidRPr="001B525F">
        <w:rPr>
          <w:rFonts w:ascii="Arial" w:hAnsi="Arial" w:cs="Arial"/>
          <w:sz w:val="18"/>
          <w:szCs w:val="18"/>
        </w:rPr>
        <w:t xml:space="preserve"> en lo relacionado a los eventos 0-9, *, #, A, B, C, D.</w:t>
      </w:r>
    </w:p>
    <w:p w14:paraId="1415613A" w14:textId="77777777" w:rsidR="00350F69" w:rsidRPr="001B525F" w:rsidRDefault="00350F69" w:rsidP="00561BBC">
      <w:pPr>
        <w:spacing w:after="0"/>
        <w:ind w:right="49"/>
        <w:jc w:val="both"/>
        <w:rPr>
          <w:rFonts w:ascii="Arial" w:hAnsi="Arial" w:cs="Arial"/>
          <w:sz w:val="18"/>
          <w:szCs w:val="18"/>
        </w:rPr>
      </w:pPr>
    </w:p>
    <w:p w14:paraId="133FB987" w14:textId="5D15F68F"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La transmisión de </w:t>
      </w:r>
      <w:r w:rsidR="005D3DC9" w:rsidRPr="001B525F">
        <w:rPr>
          <w:rFonts w:ascii="Arial" w:hAnsi="Arial" w:cs="Arial"/>
          <w:sz w:val="18"/>
          <w:szCs w:val="18"/>
        </w:rPr>
        <w:t>Fax</w:t>
      </w:r>
      <w:r w:rsidRPr="001B525F">
        <w:rPr>
          <w:rFonts w:ascii="Arial" w:hAnsi="Arial" w:cs="Arial"/>
          <w:sz w:val="18"/>
          <w:szCs w:val="18"/>
        </w:rPr>
        <w:t xml:space="preserve"> debe ser en la modalidad de módem/fax en donde una vez establecida una llamada de voz es prioritario establecer primero la sesión de Módem sobre IP (MoIP) y posteriormente conmutar al protocolo T.38, conforme al anexo F de la Recomendación T.38 de la UIT-T.</w:t>
      </w:r>
    </w:p>
    <w:p w14:paraId="0EBD2026" w14:textId="77777777" w:rsidR="00350F69" w:rsidRPr="001B525F" w:rsidRDefault="00350F69" w:rsidP="00561BBC">
      <w:pPr>
        <w:spacing w:after="0"/>
        <w:ind w:right="49"/>
        <w:jc w:val="both"/>
        <w:rPr>
          <w:rFonts w:ascii="Arial" w:hAnsi="Arial" w:cs="Arial"/>
          <w:sz w:val="18"/>
          <w:szCs w:val="18"/>
        </w:rPr>
      </w:pPr>
    </w:p>
    <w:p w14:paraId="08871CD0" w14:textId="20737DAF"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Para las sesiones de MoIP se debe negociar el medio en el modo de datos en banda vocal (VBD) de acuerdo </w:t>
      </w:r>
      <w:r w:rsidR="00591A8A">
        <w:rPr>
          <w:rFonts w:ascii="Arial" w:hAnsi="Arial" w:cs="Arial"/>
          <w:sz w:val="18"/>
          <w:szCs w:val="18"/>
        </w:rPr>
        <w:t>con</w:t>
      </w:r>
      <w:r w:rsidRPr="001B525F">
        <w:rPr>
          <w:rFonts w:ascii="Arial" w:hAnsi="Arial" w:cs="Arial"/>
          <w:sz w:val="18"/>
          <w:szCs w:val="18"/>
        </w:rPr>
        <w:t xml:space="preserve"> lo siguiente:</w:t>
      </w:r>
    </w:p>
    <w:p w14:paraId="42690438" w14:textId="77777777" w:rsidR="00350F69" w:rsidRPr="001B525F" w:rsidRDefault="00350F69" w:rsidP="00561BBC">
      <w:pPr>
        <w:spacing w:after="0"/>
        <w:ind w:right="49"/>
        <w:jc w:val="both"/>
        <w:rPr>
          <w:rFonts w:ascii="Arial" w:hAnsi="Arial" w:cs="Arial"/>
          <w:sz w:val="18"/>
          <w:szCs w:val="18"/>
        </w:rPr>
      </w:pPr>
    </w:p>
    <w:p w14:paraId="51D3BC1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m=audio1024-65535 RTP/AVP 8 0</w:t>
      </w:r>
    </w:p>
    <w:p w14:paraId="42E2F5AD" w14:textId="77777777" w:rsidR="00350F69" w:rsidRPr="001B525F" w:rsidRDefault="00350F69" w:rsidP="00561BBC">
      <w:pPr>
        <w:spacing w:after="0"/>
        <w:ind w:right="49"/>
        <w:jc w:val="both"/>
        <w:rPr>
          <w:rFonts w:ascii="Arial" w:hAnsi="Arial" w:cs="Arial"/>
          <w:sz w:val="18"/>
          <w:szCs w:val="18"/>
        </w:rPr>
      </w:pPr>
    </w:p>
    <w:p w14:paraId="17F7C05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Una vez establecida la sesión MoIP se podrá negociar el medio para FoIP (T.38) conforme al anexo F de la recomendación T.38 de la UIT-T con las siguientes características:</w:t>
      </w:r>
    </w:p>
    <w:p w14:paraId="169AC949" w14:textId="77777777" w:rsidR="00350F69" w:rsidRPr="001B525F" w:rsidRDefault="00350F69" w:rsidP="00561BBC">
      <w:pPr>
        <w:spacing w:after="0"/>
        <w:ind w:right="49"/>
        <w:jc w:val="both"/>
        <w:rPr>
          <w:rFonts w:ascii="Arial" w:hAnsi="Arial" w:cs="Arial"/>
          <w:sz w:val="18"/>
          <w:szCs w:val="18"/>
        </w:rPr>
      </w:pPr>
    </w:p>
    <w:p w14:paraId="4B28BCC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m=image1024-65535 udptl t38</w:t>
      </w:r>
    </w:p>
    <w:p w14:paraId="74DEEE2A" w14:textId="77777777" w:rsidR="00350F69" w:rsidRPr="001B525F" w:rsidRDefault="00350F69" w:rsidP="00561BBC">
      <w:pPr>
        <w:spacing w:after="0"/>
        <w:ind w:right="49"/>
        <w:jc w:val="both"/>
        <w:rPr>
          <w:rFonts w:ascii="Arial" w:hAnsi="Arial" w:cs="Arial"/>
          <w:sz w:val="18"/>
          <w:szCs w:val="18"/>
        </w:rPr>
      </w:pPr>
    </w:p>
    <w:p w14:paraId="2763B33A" w14:textId="77777777" w:rsidR="00350F69" w:rsidRPr="001B525F" w:rsidRDefault="00350F69" w:rsidP="00226F17">
      <w:pPr>
        <w:pStyle w:val="Prrafodelista"/>
        <w:numPr>
          <w:ilvl w:val="1"/>
          <w:numId w:val="32"/>
        </w:numPr>
        <w:spacing w:line="276" w:lineRule="auto"/>
        <w:ind w:left="709" w:right="49" w:hanging="709"/>
        <w:contextualSpacing/>
        <w:jc w:val="both"/>
        <w:rPr>
          <w:rFonts w:cs="Arial"/>
          <w:b/>
          <w:sz w:val="18"/>
          <w:szCs w:val="18"/>
        </w:rPr>
      </w:pPr>
      <w:r w:rsidRPr="001B525F">
        <w:rPr>
          <w:rFonts w:cs="Arial"/>
          <w:b/>
          <w:sz w:val="18"/>
          <w:szCs w:val="18"/>
        </w:rPr>
        <w:t>Temporizadores de SIP</w:t>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p>
    <w:p w14:paraId="36DF7630" w14:textId="77777777" w:rsidR="00350F69" w:rsidRPr="001B525F" w:rsidRDefault="00350F69" w:rsidP="00561BBC">
      <w:pPr>
        <w:pStyle w:val="NormalWeb"/>
        <w:spacing w:before="0" w:beforeAutospacing="0" w:after="0" w:afterAutospacing="0" w:line="276" w:lineRule="auto"/>
        <w:ind w:left="540" w:right="49"/>
        <w:rPr>
          <w:rFonts w:ascii="Arial" w:hAnsi="Arial" w:cs="Arial"/>
          <w:b/>
          <w:sz w:val="18"/>
          <w:szCs w:val="18"/>
        </w:rPr>
      </w:pPr>
    </w:p>
    <w:p w14:paraId="40D83F2D" w14:textId="77777777" w:rsidR="00792DA2" w:rsidRDefault="00350F69" w:rsidP="00561BBC">
      <w:pPr>
        <w:autoSpaceDE w:val="0"/>
        <w:autoSpaceDN w:val="0"/>
        <w:adjustRightInd w:val="0"/>
        <w:spacing w:after="0"/>
        <w:ind w:right="49"/>
        <w:rPr>
          <w:rFonts w:ascii="Arial" w:hAnsi="Arial" w:cs="Arial"/>
          <w:sz w:val="18"/>
          <w:szCs w:val="18"/>
        </w:rPr>
      </w:pPr>
      <w:r w:rsidRPr="001B525F">
        <w:rPr>
          <w:rFonts w:ascii="Arial" w:hAnsi="Arial" w:cs="Arial"/>
          <w:sz w:val="18"/>
          <w:szCs w:val="18"/>
        </w:rPr>
        <w:t>El concesionario al recibir el mensaje INVITE debe cumplir con la Recomendación IETF RFC 3261 sobre temporizadores.</w:t>
      </w:r>
    </w:p>
    <w:p w14:paraId="6C94309F" w14:textId="77777777" w:rsidR="00792DA2" w:rsidRDefault="00792DA2" w:rsidP="00561BBC">
      <w:pPr>
        <w:autoSpaceDE w:val="0"/>
        <w:autoSpaceDN w:val="0"/>
        <w:adjustRightInd w:val="0"/>
        <w:spacing w:after="0"/>
        <w:ind w:right="49"/>
        <w:rPr>
          <w:rFonts w:ascii="Arial" w:hAnsi="Arial" w:cs="Arial"/>
          <w:sz w:val="18"/>
          <w:szCs w:val="18"/>
        </w:rPr>
      </w:pPr>
    </w:p>
    <w:tbl>
      <w:tblPr>
        <w:tblStyle w:val="Sombreadomedio2-nfasis12"/>
        <w:tblW w:w="46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4779"/>
        <w:gridCol w:w="2377"/>
      </w:tblGrid>
      <w:tr w:rsidR="00911320" w:rsidRPr="00FD39D9" w14:paraId="79E87FD6" w14:textId="77777777" w:rsidTr="00AC236E">
        <w:trPr>
          <w:cnfStyle w:val="000000100000" w:firstRow="0" w:lastRow="0" w:firstColumn="0" w:lastColumn="0" w:oddVBand="0" w:evenVBand="0" w:oddHBand="1" w:evenHBand="0" w:firstRowFirstColumn="0" w:firstRowLastColumn="0" w:lastRowFirstColumn="0" w:lastRowLastColumn="0"/>
          <w:trHeight w:val="284"/>
          <w:jc w:val="center"/>
        </w:trPr>
        <w:tc>
          <w:tcPr>
            <w:tcW w:w="866" w:type="pct"/>
            <w:shd w:val="clear" w:color="auto" w:fill="A6A6A6" w:themeFill="background1" w:themeFillShade="A6"/>
          </w:tcPr>
          <w:p w14:paraId="0C1A31AF" w14:textId="77777777" w:rsidR="00792DA2" w:rsidRPr="00FD39D9" w:rsidRDefault="00792DA2" w:rsidP="00792DA2">
            <w:pPr>
              <w:pStyle w:val="TAH"/>
              <w:spacing w:line="276" w:lineRule="auto"/>
              <w:ind w:right="49"/>
              <w:rPr>
                <w:rFonts w:cs="Arial"/>
                <w:bCs/>
                <w:sz w:val="16"/>
                <w:szCs w:val="16"/>
              </w:rPr>
            </w:pPr>
            <w:r w:rsidRPr="00FD39D9">
              <w:rPr>
                <w:rFonts w:cs="Arial"/>
                <w:bCs/>
                <w:sz w:val="16"/>
                <w:szCs w:val="16"/>
              </w:rPr>
              <w:t>Temporizador</w:t>
            </w:r>
          </w:p>
        </w:tc>
        <w:tc>
          <w:tcPr>
            <w:tcW w:w="2761" w:type="pct"/>
            <w:shd w:val="clear" w:color="auto" w:fill="A6A6A6" w:themeFill="background1" w:themeFillShade="A6"/>
          </w:tcPr>
          <w:p w14:paraId="63F0CC08" w14:textId="77777777" w:rsidR="00792DA2" w:rsidRPr="00FD39D9" w:rsidRDefault="00792DA2" w:rsidP="00344FBA">
            <w:pPr>
              <w:spacing w:after="0"/>
              <w:ind w:right="113"/>
              <w:jc w:val="center"/>
              <w:rPr>
                <w:rFonts w:ascii="Arial" w:hAnsi="Arial" w:cs="Arial"/>
                <w:b/>
                <w:bCs/>
                <w:sz w:val="16"/>
                <w:szCs w:val="16"/>
                <w:lang w:val="es-MX"/>
              </w:rPr>
            </w:pPr>
            <w:r w:rsidRPr="00FD39D9">
              <w:rPr>
                <w:rFonts w:ascii="Arial" w:hAnsi="Arial" w:cs="Arial"/>
                <w:b/>
                <w:bCs/>
                <w:sz w:val="16"/>
                <w:szCs w:val="16"/>
                <w:lang w:val="es-MX"/>
              </w:rPr>
              <w:t>Significado</w:t>
            </w:r>
          </w:p>
        </w:tc>
        <w:tc>
          <w:tcPr>
            <w:tcW w:w="1373" w:type="pct"/>
            <w:shd w:val="clear" w:color="auto" w:fill="A6A6A6" w:themeFill="background1" w:themeFillShade="A6"/>
          </w:tcPr>
          <w:p w14:paraId="27D0375C" w14:textId="77777777" w:rsidR="00792DA2" w:rsidRPr="00FD39D9" w:rsidRDefault="00792DA2" w:rsidP="00344FBA">
            <w:pPr>
              <w:spacing w:after="0"/>
              <w:ind w:right="113"/>
              <w:jc w:val="center"/>
              <w:rPr>
                <w:rFonts w:ascii="Arial" w:hAnsi="Arial" w:cs="Arial"/>
                <w:b/>
                <w:bCs/>
                <w:sz w:val="16"/>
                <w:szCs w:val="16"/>
                <w:lang w:val="es-MX"/>
              </w:rPr>
            </w:pPr>
            <w:r w:rsidRPr="00FD39D9">
              <w:rPr>
                <w:rFonts w:ascii="Arial" w:hAnsi="Arial" w:cs="Arial"/>
                <w:b/>
                <w:bCs/>
                <w:sz w:val="16"/>
                <w:szCs w:val="16"/>
                <w:lang w:val="es-MX"/>
              </w:rPr>
              <w:t>Valores recomendados</w:t>
            </w:r>
          </w:p>
        </w:tc>
      </w:tr>
      <w:tr w:rsidR="00BA1265" w:rsidRPr="00FD39D9" w14:paraId="6DB4E895" w14:textId="77777777" w:rsidTr="00AC236E">
        <w:trPr>
          <w:cnfStyle w:val="000000010000" w:firstRow="0" w:lastRow="0" w:firstColumn="0" w:lastColumn="0" w:oddVBand="0" w:evenVBand="0" w:oddHBand="0" w:evenHBand="1" w:firstRowFirstColumn="0" w:firstRowLastColumn="0" w:lastRowFirstColumn="0" w:lastRowLastColumn="0"/>
          <w:jc w:val="center"/>
        </w:trPr>
        <w:tc>
          <w:tcPr>
            <w:tcW w:w="866" w:type="pct"/>
          </w:tcPr>
          <w:p w14:paraId="677D3684"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T1</w:t>
            </w:r>
          </w:p>
        </w:tc>
        <w:tc>
          <w:tcPr>
            <w:tcW w:w="2761" w:type="pct"/>
          </w:tcPr>
          <w:p w14:paraId="49A156DF"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Estimación del RTT</w:t>
            </w:r>
          </w:p>
        </w:tc>
        <w:tc>
          <w:tcPr>
            <w:tcW w:w="1373" w:type="pct"/>
          </w:tcPr>
          <w:p w14:paraId="4D8E7896"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500ms (valor por omisión)</w:t>
            </w:r>
          </w:p>
        </w:tc>
      </w:tr>
      <w:tr w:rsidR="00911320" w:rsidRPr="00FD39D9" w14:paraId="5DD562CA" w14:textId="77777777" w:rsidTr="00AC236E">
        <w:trPr>
          <w:cnfStyle w:val="000000100000" w:firstRow="0" w:lastRow="0" w:firstColumn="0" w:lastColumn="0" w:oddVBand="0" w:evenVBand="0" w:oddHBand="1" w:evenHBand="0" w:firstRowFirstColumn="0" w:firstRowLastColumn="0" w:lastRowFirstColumn="0" w:lastRowLastColumn="0"/>
          <w:jc w:val="center"/>
        </w:trPr>
        <w:tc>
          <w:tcPr>
            <w:tcW w:w="866" w:type="pct"/>
            <w:shd w:val="clear" w:color="auto" w:fill="FFFFFF" w:themeFill="background1"/>
          </w:tcPr>
          <w:p w14:paraId="504B9104"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T2</w:t>
            </w:r>
          </w:p>
        </w:tc>
        <w:tc>
          <w:tcPr>
            <w:tcW w:w="2761" w:type="pct"/>
            <w:shd w:val="clear" w:color="auto" w:fill="FFFFFF" w:themeFill="background1"/>
          </w:tcPr>
          <w:p w14:paraId="7E072E13"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Intervalo de retransmisión máximo para peticiones no INVITE y respuestas INVITE</w:t>
            </w:r>
          </w:p>
        </w:tc>
        <w:tc>
          <w:tcPr>
            <w:tcW w:w="1373" w:type="pct"/>
            <w:shd w:val="clear" w:color="auto" w:fill="FFFFFF" w:themeFill="background1"/>
          </w:tcPr>
          <w:p w14:paraId="747F971E"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4s</w:t>
            </w:r>
          </w:p>
        </w:tc>
      </w:tr>
      <w:tr w:rsidR="00BA1265" w:rsidRPr="00FD39D9" w14:paraId="57313AEE" w14:textId="77777777" w:rsidTr="00AC236E">
        <w:trPr>
          <w:cnfStyle w:val="000000010000" w:firstRow="0" w:lastRow="0" w:firstColumn="0" w:lastColumn="0" w:oddVBand="0" w:evenVBand="0" w:oddHBand="0" w:evenHBand="1" w:firstRowFirstColumn="0" w:firstRowLastColumn="0" w:lastRowFirstColumn="0" w:lastRowLastColumn="0"/>
          <w:jc w:val="center"/>
        </w:trPr>
        <w:tc>
          <w:tcPr>
            <w:tcW w:w="866" w:type="pct"/>
          </w:tcPr>
          <w:p w14:paraId="5E3BDA30"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lastRenderedPageBreak/>
              <w:t>T4</w:t>
            </w:r>
          </w:p>
        </w:tc>
        <w:tc>
          <w:tcPr>
            <w:tcW w:w="2761" w:type="pct"/>
          </w:tcPr>
          <w:p w14:paraId="392E587A"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Duración máxima que un mensaje permanecerá en la red</w:t>
            </w:r>
          </w:p>
        </w:tc>
        <w:tc>
          <w:tcPr>
            <w:tcW w:w="1373" w:type="pct"/>
          </w:tcPr>
          <w:p w14:paraId="42050F85"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5s</w:t>
            </w:r>
          </w:p>
        </w:tc>
      </w:tr>
      <w:tr w:rsidR="00911320" w:rsidRPr="00FD39D9" w14:paraId="43702C3F" w14:textId="77777777" w:rsidTr="00AC236E">
        <w:trPr>
          <w:cnfStyle w:val="000000100000" w:firstRow="0" w:lastRow="0" w:firstColumn="0" w:lastColumn="0" w:oddVBand="0" w:evenVBand="0" w:oddHBand="1" w:evenHBand="0" w:firstRowFirstColumn="0" w:firstRowLastColumn="0" w:lastRowFirstColumn="0" w:lastRowLastColumn="0"/>
          <w:jc w:val="center"/>
        </w:trPr>
        <w:tc>
          <w:tcPr>
            <w:tcW w:w="866" w:type="pct"/>
            <w:shd w:val="clear" w:color="auto" w:fill="FFFFFF" w:themeFill="background1"/>
          </w:tcPr>
          <w:p w14:paraId="16AE9F98"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A</w:t>
            </w:r>
          </w:p>
        </w:tc>
        <w:tc>
          <w:tcPr>
            <w:tcW w:w="2761" w:type="pct"/>
            <w:shd w:val="clear" w:color="auto" w:fill="FFFFFF" w:themeFill="background1"/>
          </w:tcPr>
          <w:p w14:paraId="442D499C"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Intervalo de retransmisión de la petición solamente para UDP</w:t>
            </w:r>
          </w:p>
        </w:tc>
        <w:tc>
          <w:tcPr>
            <w:tcW w:w="1373" w:type="pct"/>
            <w:shd w:val="clear" w:color="auto" w:fill="FFFFFF" w:themeFill="background1"/>
          </w:tcPr>
          <w:p w14:paraId="186DB2C7"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inicialmente T1</w:t>
            </w:r>
          </w:p>
        </w:tc>
      </w:tr>
      <w:tr w:rsidR="00BA1265" w:rsidRPr="00FD39D9" w14:paraId="6DBC072F" w14:textId="77777777" w:rsidTr="00AC236E">
        <w:trPr>
          <w:cnfStyle w:val="000000010000" w:firstRow="0" w:lastRow="0" w:firstColumn="0" w:lastColumn="0" w:oddVBand="0" w:evenVBand="0" w:oddHBand="0" w:evenHBand="1" w:firstRowFirstColumn="0" w:firstRowLastColumn="0" w:lastRowFirstColumn="0" w:lastRowLastColumn="0"/>
          <w:jc w:val="center"/>
        </w:trPr>
        <w:tc>
          <w:tcPr>
            <w:tcW w:w="866" w:type="pct"/>
          </w:tcPr>
          <w:p w14:paraId="415E5051"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B</w:t>
            </w:r>
          </w:p>
        </w:tc>
        <w:tc>
          <w:tcPr>
            <w:tcW w:w="2761" w:type="pct"/>
          </w:tcPr>
          <w:p w14:paraId="5A3C0EB0"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Vencimiento del temporizador de la transacción INVITE</w:t>
            </w:r>
          </w:p>
        </w:tc>
        <w:tc>
          <w:tcPr>
            <w:tcW w:w="1373" w:type="pct"/>
          </w:tcPr>
          <w:p w14:paraId="4D0C58EB"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64*T1</w:t>
            </w:r>
          </w:p>
        </w:tc>
      </w:tr>
      <w:tr w:rsidR="00911320" w:rsidRPr="00FD39D9" w14:paraId="6B9C40B6" w14:textId="77777777" w:rsidTr="00AC236E">
        <w:trPr>
          <w:cnfStyle w:val="000000100000" w:firstRow="0" w:lastRow="0" w:firstColumn="0" w:lastColumn="0" w:oddVBand="0" w:evenVBand="0" w:oddHBand="1" w:evenHBand="0" w:firstRowFirstColumn="0" w:firstRowLastColumn="0" w:lastRowFirstColumn="0" w:lastRowLastColumn="0"/>
          <w:jc w:val="center"/>
        </w:trPr>
        <w:tc>
          <w:tcPr>
            <w:tcW w:w="866" w:type="pct"/>
            <w:shd w:val="clear" w:color="auto" w:fill="FFFFFF" w:themeFill="background1"/>
          </w:tcPr>
          <w:p w14:paraId="616C91C7"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C</w:t>
            </w:r>
          </w:p>
        </w:tc>
        <w:tc>
          <w:tcPr>
            <w:tcW w:w="2761" w:type="pct"/>
            <w:shd w:val="clear" w:color="auto" w:fill="FFFFFF" w:themeFill="background1"/>
          </w:tcPr>
          <w:p w14:paraId="1D217B4D"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Vencimiento de la transacción INVITE en el proxy</w:t>
            </w:r>
          </w:p>
        </w:tc>
        <w:tc>
          <w:tcPr>
            <w:tcW w:w="1373" w:type="pct"/>
            <w:shd w:val="clear" w:color="auto" w:fill="FFFFFF" w:themeFill="background1"/>
          </w:tcPr>
          <w:p w14:paraId="2884040D"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&gt; 3min</w:t>
            </w:r>
          </w:p>
        </w:tc>
      </w:tr>
      <w:tr w:rsidR="00BA1265" w:rsidRPr="00FD39D9" w14:paraId="4020A300" w14:textId="77777777" w:rsidTr="00AC236E">
        <w:trPr>
          <w:cnfStyle w:val="000000010000" w:firstRow="0" w:lastRow="0" w:firstColumn="0" w:lastColumn="0" w:oddVBand="0" w:evenVBand="0" w:oddHBand="0" w:evenHBand="1" w:firstRowFirstColumn="0" w:firstRowLastColumn="0" w:lastRowFirstColumn="0" w:lastRowLastColumn="0"/>
          <w:jc w:val="center"/>
        </w:trPr>
        <w:tc>
          <w:tcPr>
            <w:tcW w:w="866" w:type="pct"/>
            <w:vMerge w:val="restart"/>
          </w:tcPr>
          <w:p w14:paraId="646B65B9"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D</w:t>
            </w:r>
          </w:p>
        </w:tc>
        <w:tc>
          <w:tcPr>
            <w:tcW w:w="2761" w:type="pct"/>
            <w:vMerge w:val="restart"/>
          </w:tcPr>
          <w:p w14:paraId="072A61B9"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Tiempo de espera para retransmisiones de respuestas</w:t>
            </w:r>
          </w:p>
        </w:tc>
        <w:tc>
          <w:tcPr>
            <w:tcW w:w="1373" w:type="pct"/>
          </w:tcPr>
          <w:p w14:paraId="7FF39ED1"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&gt; 32s para UDP</w:t>
            </w:r>
          </w:p>
        </w:tc>
      </w:tr>
      <w:tr w:rsidR="00BA1265" w:rsidRPr="00FD39D9" w14:paraId="07DEFACA" w14:textId="77777777" w:rsidTr="00AC236E">
        <w:trPr>
          <w:cnfStyle w:val="000000100000" w:firstRow="0" w:lastRow="0" w:firstColumn="0" w:lastColumn="0" w:oddVBand="0" w:evenVBand="0" w:oddHBand="1" w:evenHBand="0" w:firstRowFirstColumn="0" w:firstRowLastColumn="0" w:lastRowFirstColumn="0" w:lastRowLastColumn="0"/>
          <w:jc w:val="center"/>
        </w:trPr>
        <w:tc>
          <w:tcPr>
            <w:tcW w:w="866" w:type="pct"/>
            <w:vMerge/>
          </w:tcPr>
          <w:p w14:paraId="3F1A0035" w14:textId="77777777" w:rsidR="00792DA2" w:rsidRPr="00FD39D9" w:rsidRDefault="00792DA2" w:rsidP="00344FBA">
            <w:pPr>
              <w:spacing w:after="0"/>
              <w:ind w:right="113"/>
              <w:jc w:val="center"/>
              <w:rPr>
                <w:rFonts w:ascii="Arial" w:hAnsi="Arial" w:cs="Arial"/>
                <w:sz w:val="16"/>
                <w:szCs w:val="16"/>
                <w:lang w:val="es-MX"/>
              </w:rPr>
            </w:pPr>
          </w:p>
        </w:tc>
        <w:tc>
          <w:tcPr>
            <w:tcW w:w="2761" w:type="pct"/>
            <w:vMerge/>
          </w:tcPr>
          <w:p w14:paraId="6386B67C" w14:textId="77777777" w:rsidR="00792DA2" w:rsidRPr="00FD39D9" w:rsidRDefault="00792DA2" w:rsidP="004A0C1D">
            <w:pPr>
              <w:spacing w:after="0"/>
              <w:ind w:right="113"/>
              <w:rPr>
                <w:rFonts w:ascii="Arial" w:hAnsi="Arial" w:cs="Arial"/>
                <w:sz w:val="16"/>
                <w:szCs w:val="16"/>
                <w:lang w:val="es-MX"/>
              </w:rPr>
            </w:pPr>
          </w:p>
        </w:tc>
        <w:tc>
          <w:tcPr>
            <w:tcW w:w="1373" w:type="pct"/>
          </w:tcPr>
          <w:p w14:paraId="4213ACF5"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0s para TCP/SCTP</w:t>
            </w:r>
          </w:p>
        </w:tc>
      </w:tr>
      <w:tr w:rsidR="00911320" w:rsidRPr="00FD39D9" w14:paraId="552DF31D" w14:textId="77777777" w:rsidTr="00AC236E">
        <w:trPr>
          <w:cnfStyle w:val="000000010000" w:firstRow="0" w:lastRow="0" w:firstColumn="0" w:lastColumn="0" w:oddVBand="0" w:evenVBand="0" w:oddHBand="0" w:evenHBand="1" w:firstRowFirstColumn="0" w:firstRowLastColumn="0" w:lastRowFirstColumn="0" w:lastRowLastColumn="0"/>
          <w:jc w:val="center"/>
        </w:trPr>
        <w:tc>
          <w:tcPr>
            <w:tcW w:w="866" w:type="pct"/>
            <w:shd w:val="clear" w:color="auto" w:fill="FFFFFF" w:themeFill="background1"/>
          </w:tcPr>
          <w:p w14:paraId="1047CB50"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E</w:t>
            </w:r>
          </w:p>
        </w:tc>
        <w:tc>
          <w:tcPr>
            <w:tcW w:w="2761" w:type="pct"/>
            <w:shd w:val="clear" w:color="auto" w:fill="FFFFFF" w:themeFill="background1"/>
          </w:tcPr>
          <w:p w14:paraId="2D4F6AD2"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Intervalo de retransmisión de peticiones distintas al INVITE, solamente para UDP</w:t>
            </w:r>
          </w:p>
        </w:tc>
        <w:tc>
          <w:tcPr>
            <w:tcW w:w="1373" w:type="pct"/>
            <w:shd w:val="clear" w:color="auto" w:fill="FFFFFF" w:themeFill="background1"/>
          </w:tcPr>
          <w:p w14:paraId="5AC1BAF3"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inicialmente T1</w:t>
            </w:r>
          </w:p>
        </w:tc>
      </w:tr>
      <w:tr w:rsidR="00BA1265" w:rsidRPr="00FD39D9" w14:paraId="43CBC2FE" w14:textId="77777777" w:rsidTr="00AC236E">
        <w:trPr>
          <w:cnfStyle w:val="000000100000" w:firstRow="0" w:lastRow="0" w:firstColumn="0" w:lastColumn="0" w:oddVBand="0" w:evenVBand="0" w:oddHBand="1" w:evenHBand="0" w:firstRowFirstColumn="0" w:firstRowLastColumn="0" w:lastRowFirstColumn="0" w:lastRowLastColumn="0"/>
          <w:jc w:val="center"/>
        </w:trPr>
        <w:tc>
          <w:tcPr>
            <w:tcW w:w="866" w:type="pct"/>
          </w:tcPr>
          <w:p w14:paraId="5ED47C85"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F</w:t>
            </w:r>
          </w:p>
        </w:tc>
        <w:tc>
          <w:tcPr>
            <w:tcW w:w="2761" w:type="pct"/>
          </w:tcPr>
          <w:p w14:paraId="18B9E41E"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Vencimiento del temporizador de transacción diferente del INVITE</w:t>
            </w:r>
          </w:p>
        </w:tc>
        <w:tc>
          <w:tcPr>
            <w:tcW w:w="1373" w:type="pct"/>
          </w:tcPr>
          <w:p w14:paraId="2E7118A8"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64*T1</w:t>
            </w:r>
          </w:p>
        </w:tc>
      </w:tr>
      <w:tr w:rsidR="00911320" w:rsidRPr="00FD39D9" w14:paraId="13652121" w14:textId="77777777" w:rsidTr="00AC236E">
        <w:trPr>
          <w:cnfStyle w:val="000000010000" w:firstRow="0" w:lastRow="0" w:firstColumn="0" w:lastColumn="0" w:oddVBand="0" w:evenVBand="0" w:oddHBand="0" w:evenHBand="1" w:firstRowFirstColumn="0" w:firstRowLastColumn="0" w:lastRowFirstColumn="0" w:lastRowLastColumn="0"/>
          <w:jc w:val="center"/>
        </w:trPr>
        <w:tc>
          <w:tcPr>
            <w:tcW w:w="866" w:type="pct"/>
            <w:shd w:val="clear" w:color="auto" w:fill="FFFFFF" w:themeFill="background1"/>
          </w:tcPr>
          <w:p w14:paraId="7B045B91"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G</w:t>
            </w:r>
          </w:p>
        </w:tc>
        <w:tc>
          <w:tcPr>
            <w:tcW w:w="2761" w:type="pct"/>
            <w:shd w:val="clear" w:color="auto" w:fill="FFFFFF" w:themeFill="background1"/>
          </w:tcPr>
          <w:p w14:paraId="7139CCF3"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Intervalo de retransmisión de la respuesta al INVITE</w:t>
            </w:r>
          </w:p>
        </w:tc>
        <w:tc>
          <w:tcPr>
            <w:tcW w:w="1373" w:type="pct"/>
            <w:shd w:val="clear" w:color="auto" w:fill="FFFFFF" w:themeFill="background1"/>
          </w:tcPr>
          <w:p w14:paraId="5178691B"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inicialmente T1</w:t>
            </w:r>
          </w:p>
        </w:tc>
      </w:tr>
      <w:tr w:rsidR="00BA1265" w:rsidRPr="00FD39D9" w14:paraId="19572CEC" w14:textId="77777777" w:rsidTr="00AC236E">
        <w:trPr>
          <w:cnfStyle w:val="000000100000" w:firstRow="0" w:lastRow="0" w:firstColumn="0" w:lastColumn="0" w:oddVBand="0" w:evenVBand="0" w:oddHBand="1" w:evenHBand="0" w:firstRowFirstColumn="0" w:firstRowLastColumn="0" w:lastRowFirstColumn="0" w:lastRowLastColumn="0"/>
          <w:jc w:val="center"/>
        </w:trPr>
        <w:tc>
          <w:tcPr>
            <w:tcW w:w="866" w:type="pct"/>
          </w:tcPr>
          <w:p w14:paraId="29B4AD2E"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H</w:t>
            </w:r>
          </w:p>
        </w:tc>
        <w:tc>
          <w:tcPr>
            <w:tcW w:w="2761" w:type="pct"/>
          </w:tcPr>
          <w:p w14:paraId="13648E69"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Tiempo de espera para recibir un ACK</w:t>
            </w:r>
          </w:p>
        </w:tc>
        <w:tc>
          <w:tcPr>
            <w:tcW w:w="1373" w:type="pct"/>
          </w:tcPr>
          <w:p w14:paraId="13B81DAD"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64*T1</w:t>
            </w:r>
          </w:p>
        </w:tc>
      </w:tr>
      <w:tr w:rsidR="00911320" w:rsidRPr="00FD39D9" w14:paraId="3C25D22C" w14:textId="77777777" w:rsidTr="00AC236E">
        <w:trPr>
          <w:cnfStyle w:val="000000010000" w:firstRow="0" w:lastRow="0" w:firstColumn="0" w:lastColumn="0" w:oddVBand="0" w:evenVBand="0" w:oddHBand="0" w:evenHBand="1" w:firstRowFirstColumn="0" w:firstRowLastColumn="0" w:lastRowFirstColumn="0" w:lastRowLastColumn="0"/>
          <w:jc w:val="center"/>
        </w:trPr>
        <w:tc>
          <w:tcPr>
            <w:tcW w:w="866" w:type="pct"/>
            <w:vMerge w:val="restart"/>
            <w:shd w:val="clear" w:color="auto" w:fill="FFFFFF" w:themeFill="background1"/>
          </w:tcPr>
          <w:p w14:paraId="4063209E"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I</w:t>
            </w:r>
          </w:p>
        </w:tc>
        <w:tc>
          <w:tcPr>
            <w:tcW w:w="2761" w:type="pct"/>
            <w:vMerge w:val="restart"/>
            <w:shd w:val="clear" w:color="auto" w:fill="FFFFFF" w:themeFill="background1"/>
          </w:tcPr>
          <w:p w14:paraId="35E720CB"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Tiempo de espera para retransmitir el ACK</w:t>
            </w:r>
          </w:p>
        </w:tc>
        <w:tc>
          <w:tcPr>
            <w:tcW w:w="1373" w:type="pct"/>
            <w:shd w:val="clear" w:color="auto" w:fill="FFFFFF" w:themeFill="background1"/>
          </w:tcPr>
          <w:p w14:paraId="7EE1EBF3"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T4 para UDP</w:t>
            </w:r>
          </w:p>
        </w:tc>
      </w:tr>
      <w:tr w:rsidR="00911320" w:rsidRPr="00FD39D9" w14:paraId="684C301F" w14:textId="77777777" w:rsidTr="00AC236E">
        <w:trPr>
          <w:cnfStyle w:val="000000100000" w:firstRow="0" w:lastRow="0" w:firstColumn="0" w:lastColumn="0" w:oddVBand="0" w:evenVBand="0" w:oddHBand="1" w:evenHBand="0" w:firstRowFirstColumn="0" w:firstRowLastColumn="0" w:lastRowFirstColumn="0" w:lastRowLastColumn="0"/>
          <w:jc w:val="center"/>
        </w:trPr>
        <w:tc>
          <w:tcPr>
            <w:tcW w:w="866" w:type="pct"/>
            <w:vMerge/>
            <w:shd w:val="clear" w:color="auto" w:fill="FFFFFF" w:themeFill="background1"/>
          </w:tcPr>
          <w:p w14:paraId="11FCB66F" w14:textId="77777777" w:rsidR="00792DA2" w:rsidRPr="00FD39D9" w:rsidRDefault="00792DA2" w:rsidP="00344FBA">
            <w:pPr>
              <w:spacing w:after="0"/>
              <w:ind w:right="113"/>
              <w:jc w:val="center"/>
              <w:rPr>
                <w:rFonts w:ascii="Arial" w:hAnsi="Arial" w:cs="Arial"/>
                <w:sz w:val="16"/>
                <w:szCs w:val="16"/>
                <w:lang w:val="es-MX"/>
              </w:rPr>
            </w:pPr>
          </w:p>
        </w:tc>
        <w:tc>
          <w:tcPr>
            <w:tcW w:w="2761" w:type="pct"/>
            <w:vMerge/>
            <w:shd w:val="clear" w:color="auto" w:fill="FFFFFF" w:themeFill="background1"/>
          </w:tcPr>
          <w:p w14:paraId="26EF68A3" w14:textId="77777777" w:rsidR="00792DA2" w:rsidRPr="00FD39D9" w:rsidRDefault="00792DA2" w:rsidP="004A0C1D">
            <w:pPr>
              <w:spacing w:after="0"/>
              <w:ind w:right="113"/>
              <w:rPr>
                <w:rFonts w:ascii="Arial" w:hAnsi="Arial" w:cs="Arial"/>
                <w:sz w:val="16"/>
                <w:szCs w:val="16"/>
                <w:lang w:val="es-MX"/>
              </w:rPr>
            </w:pPr>
          </w:p>
        </w:tc>
        <w:tc>
          <w:tcPr>
            <w:tcW w:w="1373" w:type="pct"/>
            <w:shd w:val="clear" w:color="auto" w:fill="FFFFFF" w:themeFill="background1"/>
          </w:tcPr>
          <w:p w14:paraId="498E046A"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0s para TCP/SCTP</w:t>
            </w:r>
          </w:p>
        </w:tc>
      </w:tr>
      <w:tr w:rsidR="00BA1265" w:rsidRPr="00FD39D9" w14:paraId="69B91053" w14:textId="77777777" w:rsidTr="00AC236E">
        <w:trPr>
          <w:cnfStyle w:val="000000010000" w:firstRow="0" w:lastRow="0" w:firstColumn="0" w:lastColumn="0" w:oddVBand="0" w:evenVBand="0" w:oddHBand="0" w:evenHBand="1" w:firstRowFirstColumn="0" w:firstRowLastColumn="0" w:lastRowFirstColumn="0" w:lastRowLastColumn="0"/>
          <w:jc w:val="center"/>
        </w:trPr>
        <w:tc>
          <w:tcPr>
            <w:tcW w:w="866" w:type="pct"/>
            <w:vMerge w:val="restart"/>
          </w:tcPr>
          <w:p w14:paraId="4DDEF864"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J</w:t>
            </w:r>
          </w:p>
        </w:tc>
        <w:tc>
          <w:tcPr>
            <w:tcW w:w="2761" w:type="pct"/>
            <w:vMerge w:val="restart"/>
          </w:tcPr>
          <w:p w14:paraId="7DEBFA14"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Tiempo de espera para peticiones distintas al INVITE</w:t>
            </w:r>
          </w:p>
        </w:tc>
        <w:tc>
          <w:tcPr>
            <w:tcW w:w="1373" w:type="pct"/>
          </w:tcPr>
          <w:p w14:paraId="60E5C4BA"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64*T1 para UDP</w:t>
            </w:r>
          </w:p>
        </w:tc>
      </w:tr>
      <w:tr w:rsidR="00BA1265" w:rsidRPr="00FD39D9" w14:paraId="223E4A3F" w14:textId="77777777" w:rsidTr="00AC236E">
        <w:trPr>
          <w:cnfStyle w:val="000000100000" w:firstRow="0" w:lastRow="0" w:firstColumn="0" w:lastColumn="0" w:oddVBand="0" w:evenVBand="0" w:oddHBand="1" w:evenHBand="0" w:firstRowFirstColumn="0" w:firstRowLastColumn="0" w:lastRowFirstColumn="0" w:lastRowLastColumn="0"/>
          <w:jc w:val="center"/>
        </w:trPr>
        <w:tc>
          <w:tcPr>
            <w:tcW w:w="866" w:type="pct"/>
            <w:vMerge/>
          </w:tcPr>
          <w:p w14:paraId="7BB42A8C" w14:textId="77777777" w:rsidR="00792DA2" w:rsidRPr="00FD39D9" w:rsidRDefault="00792DA2" w:rsidP="00344FBA">
            <w:pPr>
              <w:spacing w:after="0"/>
              <w:ind w:right="113"/>
              <w:jc w:val="center"/>
              <w:rPr>
                <w:rFonts w:ascii="Arial" w:hAnsi="Arial" w:cs="Arial"/>
                <w:sz w:val="16"/>
                <w:szCs w:val="16"/>
                <w:lang w:val="es-MX"/>
              </w:rPr>
            </w:pPr>
          </w:p>
        </w:tc>
        <w:tc>
          <w:tcPr>
            <w:tcW w:w="2761" w:type="pct"/>
            <w:vMerge/>
          </w:tcPr>
          <w:p w14:paraId="49D13A5D" w14:textId="77777777" w:rsidR="00792DA2" w:rsidRPr="00FD39D9" w:rsidRDefault="00792DA2" w:rsidP="004A0C1D">
            <w:pPr>
              <w:spacing w:after="0"/>
              <w:ind w:right="113"/>
              <w:rPr>
                <w:rFonts w:ascii="Arial" w:hAnsi="Arial" w:cs="Arial"/>
                <w:sz w:val="16"/>
                <w:szCs w:val="16"/>
                <w:lang w:val="es-MX"/>
              </w:rPr>
            </w:pPr>
          </w:p>
        </w:tc>
        <w:tc>
          <w:tcPr>
            <w:tcW w:w="1373" w:type="pct"/>
          </w:tcPr>
          <w:p w14:paraId="7AB8E536"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0s para TCP/SCTP</w:t>
            </w:r>
          </w:p>
        </w:tc>
      </w:tr>
      <w:tr w:rsidR="00911320" w:rsidRPr="00FD39D9" w14:paraId="5C42DC8F" w14:textId="77777777" w:rsidTr="00AC236E">
        <w:trPr>
          <w:cnfStyle w:val="000000010000" w:firstRow="0" w:lastRow="0" w:firstColumn="0" w:lastColumn="0" w:oddVBand="0" w:evenVBand="0" w:oddHBand="0" w:evenHBand="1" w:firstRowFirstColumn="0" w:firstRowLastColumn="0" w:lastRowFirstColumn="0" w:lastRowLastColumn="0"/>
          <w:jc w:val="center"/>
        </w:trPr>
        <w:tc>
          <w:tcPr>
            <w:tcW w:w="866" w:type="pct"/>
            <w:vMerge w:val="restart"/>
            <w:shd w:val="clear" w:color="auto" w:fill="FFFFFF" w:themeFill="background1"/>
          </w:tcPr>
          <w:p w14:paraId="4AB30FA7"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Timer K</w:t>
            </w:r>
          </w:p>
        </w:tc>
        <w:tc>
          <w:tcPr>
            <w:tcW w:w="2761" w:type="pct"/>
            <w:vMerge w:val="restart"/>
            <w:shd w:val="clear" w:color="auto" w:fill="FFFFFF" w:themeFill="background1"/>
          </w:tcPr>
          <w:p w14:paraId="526C5F6B" w14:textId="77777777" w:rsidR="00792DA2" w:rsidRPr="00FD39D9" w:rsidRDefault="00792DA2" w:rsidP="004A0C1D">
            <w:pPr>
              <w:spacing w:after="0"/>
              <w:ind w:right="113"/>
              <w:rPr>
                <w:rFonts w:ascii="Arial" w:hAnsi="Arial" w:cs="Arial"/>
                <w:sz w:val="16"/>
                <w:szCs w:val="16"/>
                <w:lang w:val="es-MX"/>
              </w:rPr>
            </w:pPr>
            <w:r w:rsidRPr="00FD39D9">
              <w:rPr>
                <w:rFonts w:ascii="Arial" w:hAnsi="Arial" w:cs="Arial"/>
                <w:sz w:val="16"/>
                <w:szCs w:val="16"/>
                <w:lang w:val="es-MX"/>
              </w:rPr>
              <w:t>Tiempo de espera para retransmisiones de respuestas</w:t>
            </w:r>
          </w:p>
        </w:tc>
        <w:tc>
          <w:tcPr>
            <w:tcW w:w="1373" w:type="pct"/>
            <w:shd w:val="clear" w:color="auto" w:fill="FFFFFF" w:themeFill="background1"/>
          </w:tcPr>
          <w:p w14:paraId="22957F56"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T4 para UDP</w:t>
            </w:r>
          </w:p>
        </w:tc>
      </w:tr>
      <w:tr w:rsidR="00911320" w:rsidRPr="00FD39D9" w14:paraId="28AE2894" w14:textId="77777777" w:rsidTr="00AC236E">
        <w:trPr>
          <w:cnfStyle w:val="000000100000" w:firstRow="0" w:lastRow="0" w:firstColumn="0" w:lastColumn="0" w:oddVBand="0" w:evenVBand="0" w:oddHBand="1" w:evenHBand="0" w:firstRowFirstColumn="0" w:firstRowLastColumn="0" w:lastRowFirstColumn="0" w:lastRowLastColumn="0"/>
          <w:jc w:val="center"/>
        </w:trPr>
        <w:tc>
          <w:tcPr>
            <w:tcW w:w="866" w:type="pct"/>
            <w:vMerge/>
            <w:shd w:val="clear" w:color="auto" w:fill="FFFFFF" w:themeFill="background1"/>
          </w:tcPr>
          <w:p w14:paraId="0C143D62" w14:textId="77777777" w:rsidR="00792DA2" w:rsidRPr="00FD39D9" w:rsidRDefault="00792DA2" w:rsidP="00344FBA">
            <w:pPr>
              <w:spacing w:after="0"/>
              <w:ind w:right="113"/>
              <w:jc w:val="center"/>
              <w:rPr>
                <w:rFonts w:ascii="Arial" w:hAnsi="Arial" w:cs="Arial"/>
                <w:sz w:val="16"/>
                <w:szCs w:val="16"/>
                <w:lang w:val="es-MX"/>
              </w:rPr>
            </w:pPr>
          </w:p>
        </w:tc>
        <w:tc>
          <w:tcPr>
            <w:tcW w:w="2761" w:type="pct"/>
            <w:vMerge/>
            <w:shd w:val="clear" w:color="auto" w:fill="FFFFFF" w:themeFill="background1"/>
          </w:tcPr>
          <w:p w14:paraId="7F838D7F" w14:textId="77777777" w:rsidR="00792DA2" w:rsidRPr="00FD39D9" w:rsidRDefault="00792DA2" w:rsidP="00344FBA">
            <w:pPr>
              <w:spacing w:after="0"/>
              <w:ind w:right="113"/>
              <w:jc w:val="center"/>
              <w:rPr>
                <w:rFonts w:ascii="Arial" w:hAnsi="Arial" w:cs="Arial"/>
                <w:sz w:val="16"/>
                <w:szCs w:val="16"/>
                <w:lang w:val="es-MX"/>
              </w:rPr>
            </w:pPr>
          </w:p>
        </w:tc>
        <w:tc>
          <w:tcPr>
            <w:tcW w:w="1373" w:type="pct"/>
            <w:shd w:val="clear" w:color="auto" w:fill="FFFFFF" w:themeFill="background1"/>
          </w:tcPr>
          <w:p w14:paraId="74D84A7A" w14:textId="77777777" w:rsidR="00792DA2" w:rsidRPr="00FD39D9" w:rsidRDefault="00792DA2" w:rsidP="00344FBA">
            <w:pPr>
              <w:spacing w:after="0"/>
              <w:ind w:right="113"/>
              <w:jc w:val="center"/>
              <w:rPr>
                <w:rFonts w:ascii="Arial" w:hAnsi="Arial" w:cs="Arial"/>
                <w:sz w:val="16"/>
                <w:szCs w:val="16"/>
                <w:lang w:val="es-MX"/>
              </w:rPr>
            </w:pPr>
            <w:r w:rsidRPr="00FD39D9">
              <w:rPr>
                <w:rFonts w:ascii="Arial" w:hAnsi="Arial" w:cs="Arial"/>
                <w:sz w:val="16"/>
                <w:szCs w:val="16"/>
                <w:lang w:val="es-MX"/>
              </w:rPr>
              <w:t>0s para TCP/SCTP</w:t>
            </w:r>
          </w:p>
        </w:tc>
      </w:tr>
    </w:tbl>
    <w:p w14:paraId="225C14D6" w14:textId="3C973DA8" w:rsidR="00350F69" w:rsidRPr="001B525F" w:rsidRDefault="00350F69" w:rsidP="00792DA2">
      <w:pPr>
        <w:autoSpaceDE w:val="0"/>
        <w:autoSpaceDN w:val="0"/>
        <w:adjustRightInd w:val="0"/>
        <w:spacing w:after="0"/>
        <w:ind w:right="49"/>
        <w:jc w:val="center"/>
        <w:rPr>
          <w:rFonts w:ascii="Arial" w:hAnsi="Arial" w:cs="Arial"/>
          <w:sz w:val="18"/>
          <w:szCs w:val="18"/>
        </w:rPr>
      </w:pPr>
      <w:r w:rsidRPr="001B525F">
        <w:rPr>
          <w:rFonts w:ascii="Arial" w:hAnsi="Arial" w:cs="Arial"/>
          <w:sz w:val="18"/>
          <w:szCs w:val="18"/>
        </w:rPr>
        <w:t>Tabla 6. Temporizadores SIP.</w:t>
      </w:r>
    </w:p>
    <w:p w14:paraId="419808EB" w14:textId="77777777" w:rsidR="00350F69" w:rsidRPr="001B525F" w:rsidRDefault="00350F69" w:rsidP="00561BBC">
      <w:pPr>
        <w:spacing w:after="0"/>
        <w:ind w:right="49"/>
        <w:rPr>
          <w:rFonts w:ascii="Arial" w:hAnsi="Arial" w:cs="Arial"/>
          <w:sz w:val="18"/>
          <w:szCs w:val="18"/>
        </w:rPr>
      </w:pPr>
    </w:p>
    <w:p w14:paraId="009AFB89" w14:textId="77777777" w:rsidR="00350F69" w:rsidRPr="001B525F" w:rsidRDefault="00350F69" w:rsidP="00226F17">
      <w:pPr>
        <w:pStyle w:val="Prrafodelista"/>
        <w:numPr>
          <w:ilvl w:val="0"/>
          <w:numId w:val="32"/>
        </w:numPr>
        <w:spacing w:line="276" w:lineRule="auto"/>
        <w:ind w:left="709" w:right="49" w:hanging="720"/>
        <w:contextualSpacing/>
        <w:jc w:val="both"/>
        <w:rPr>
          <w:rFonts w:cs="Arial"/>
          <w:b/>
          <w:sz w:val="18"/>
          <w:szCs w:val="18"/>
        </w:rPr>
      </w:pPr>
      <w:r w:rsidRPr="001B525F">
        <w:rPr>
          <w:rFonts w:cs="Arial"/>
          <w:b/>
          <w:sz w:val="18"/>
          <w:szCs w:val="18"/>
        </w:rPr>
        <w:t>Interconexión Plano Usuario</w:t>
      </w:r>
    </w:p>
    <w:p w14:paraId="54B07A47" w14:textId="77777777" w:rsidR="00350F69" w:rsidRPr="001B525F" w:rsidRDefault="00350F69" w:rsidP="00561BBC">
      <w:pPr>
        <w:pStyle w:val="Prrafodelista"/>
        <w:spacing w:line="276" w:lineRule="auto"/>
        <w:ind w:left="709" w:right="49"/>
        <w:rPr>
          <w:rFonts w:cs="Arial"/>
          <w:b/>
          <w:sz w:val="18"/>
          <w:szCs w:val="18"/>
        </w:rPr>
      </w:pPr>
    </w:p>
    <w:p w14:paraId="114FE8E3"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Transporte de voz</w:t>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p>
    <w:p w14:paraId="41A60B68" w14:textId="77777777" w:rsidR="00350F69" w:rsidRPr="001B525F" w:rsidRDefault="00350F69" w:rsidP="00561BBC">
      <w:pPr>
        <w:spacing w:after="0"/>
        <w:ind w:right="49"/>
        <w:rPr>
          <w:rFonts w:ascii="Arial" w:hAnsi="Arial" w:cs="Arial"/>
          <w:sz w:val="18"/>
          <w:szCs w:val="18"/>
        </w:rPr>
      </w:pPr>
    </w:p>
    <w:p w14:paraId="1A105E70"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Para el transporte de los paquetes de voz, los concesionarios harán uso de los protocolos UDP y RTP, por su mejor aprovechamiento del ancho de banda y su mejor adaptación a la naturaleza de tiempo real de las comunicaciones de voz. </w:t>
      </w:r>
    </w:p>
    <w:p w14:paraId="0103B75F" w14:textId="77777777" w:rsidR="00350F69" w:rsidRPr="001B525F" w:rsidRDefault="00350F69" w:rsidP="00561BBC">
      <w:pPr>
        <w:spacing w:after="0"/>
        <w:ind w:right="49"/>
        <w:jc w:val="both"/>
        <w:rPr>
          <w:rFonts w:ascii="Arial" w:hAnsi="Arial" w:cs="Arial"/>
          <w:sz w:val="18"/>
          <w:szCs w:val="18"/>
        </w:rPr>
      </w:pPr>
    </w:p>
    <w:p w14:paraId="069E7256" w14:textId="52DDC83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El protocolo UDP (User Datagram Protocol) se utilizará de acuerdo </w:t>
      </w:r>
      <w:r w:rsidR="00591A8A">
        <w:rPr>
          <w:rFonts w:ascii="Arial" w:hAnsi="Arial" w:cs="Arial"/>
          <w:sz w:val="18"/>
          <w:szCs w:val="18"/>
        </w:rPr>
        <w:t>con</w:t>
      </w:r>
      <w:r w:rsidRPr="001B525F">
        <w:rPr>
          <w:rFonts w:ascii="Arial" w:hAnsi="Arial" w:cs="Arial"/>
          <w:sz w:val="18"/>
          <w:szCs w:val="18"/>
        </w:rPr>
        <w:t xml:space="preserve"> la Recomendación IETF RFC 768</w:t>
      </w:r>
      <w:r w:rsidRPr="001B525F">
        <w:rPr>
          <w:rStyle w:val="Refdenotaalpie"/>
          <w:rFonts w:ascii="Arial" w:hAnsi="Arial" w:cs="Arial"/>
          <w:sz w:val="18"/>
          <w:szCs w:val="18"/>
        </w:rPr>
        <w:footnoteReference w:id="51"/>
      </w:r>
      <w:r w:rsidRPr="001B525F">
        <w:rPr>
          <w:rFonts w:ascii="Arial" w:hAnsi="Arial" w:cs="Arial"/>
          <w:sz w:val="18"/>
          <w:szCs w:val="18"/>
        </w:rPr>
        <w:t xml:space="preserve">. Para la transmisión de información en tiempo real (audio) se usará el protocolo de sesión RTP (Protocolo de Transporte de Tiempo real) </w:t>
      </w:r>
      <w:r w:rsidR="005D3DC9" w:rsidRPr="001B525F">
        <w:rPr>
          <w:rFonts w:ascii="Arial" w:hAnsi="Arial" w:cs="Arial"/>
          <w:sz w:val="18"/>
          <w:szCs w:val="18"/>
        </w:rPr>
        <w:t>de acuerdo con</w:t>
      </w:r>
      <w:r w:rsidRPr="001B525F">
        <w:rPr>
          <w:rFonts w:ascii="Arial" w:hAnsi="Arial" w:cs="Arial"/>
          <w:sz w:val="18"/>
          <w:szCs w:val="18"/>
        </w:rPr>
        <w:t xml:space="preserve"> las recomendaciones IETF RFC 3550</w:t>
      </w:r>
      <w:r w:rsidRPr="001B525F">
        <w:rPr>
          <w:rStyle w:val="Refdenotaalpie"/>
          <w:rFonts w:ascii="Arial" w:hAnsi="Arial" w:cs="Arial"/>
          <w:sz w:val="18"/>
          <w:szCs w:val="18"/>
        </w:rPr>
        <w:footnoteReference w:id="52"/>
      </w:r>
      <w:r w:rsidRPr="001B525F">
        <w:rPr>
          <w:rFonts w:ascii="Arial" w:hAnsi="Arial" w:cs="Arial"/>
          <w:sz w:val="18"/>
          <w:szCs w:val="18"/>
        </w:rPr>
        <w:t xml:space="preserve"> y 3551.</w:t>
      </w:r>
    </w:p>
    <w:p w14:paraId="0794F0EA" w14:textId="77777777" w:rsidR="00350F69" w:rsidRPr="001B525F" w:rsidRDefault="00350F69" w:rsidP="00561BBC">
      <w:pPr>
        <w:spacing w:after="0"/>
        <w:ind w:right="49"/>
        <w:rPr>
          <w:rFonts w:ascii="Arial" w:hAnsi="Arial" w:cs="Arial"/>
          <w:sz w:val="18"/>
          <w:szCs w:val="18"/>
        </w:rPr>
      </w:pPr>
    </w:p>
    <w:p w14:paraId="77EAEB4C"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Control de la Transmisión</w:t>
      </w:r>
    </w:p>
    <w:p w14:paraId="0A51BC94" w14:textId="77777777" w:rsidR="00350F69" w:rsidRPr="001B525F" w:rsidRDefault="00350F69" w:rsidP="00561BBC">
      <w:pPr>
        <w:spacing w:after="0"/>
        <w:ind w:right="49"/>
        <w:rPr>
          <w:rFonts w:ascii="Arial" w:hAnsi="Arial" w:cs="Arial"/>
          <w:sz w:val="18"/>
          <w:szCs w:val="18"/>
        </w:rPr>
      </w:pPr>
    </w:p>
    <w:p w14:paraId="7CBC2A1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podrán utilizar el protocolo RTCP (Protocolo de control de transporte en tiempo real) conforme a la recomendación IETF RFC 3550 para fines de verificar las condiciones de la transmisión.</w:t>
      </w:r>
    </w:p>
    <w:p w14:paraId="515C96D6" w14:textId="77777777" w:rsidR="00BF0205" w:rsidRPr="001B525F" w:rsidRDefault="00BF0205" w:rsidP="00561BBC">
      <w:pPr>
        <w:spacing w:after="0"/>
        <w:ind w:right="49"/>
        <w:rPr>
          <w:rFonts w:ascii="Arial" w:hAnsi="Arial" w:cs="Arial"/>
          <w:b/>
          <w:sz w:val="18"/>
          <w:szCs w:val="18"/>
        </w:rPr>
      </w:pPr>
    </w:p>
    <w:p w14:paraId="12AF7926"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 xml:space="preserve">Códec de voz </w:t>
      </w:r>
    </w:p>
    <w:p w14:paraId="70C7654B" w14:textId="77777777" w:rsidR="00350F69" w:rsidRPr="001B525F" w:rsidRDefault="00350F69" w:rsidP="00561BBC">
      <w:pPr>
        <w:spacing w:after="0"/>
        <w:ind w:right="49"/>
        <w:rPr>
          <w:rFonts w:ascii="Arial" w:hAnsi="Arial" w:cs="Arial"/>
          <w:sz w:val="18"/>
          <w:szCs w:val="18"/>
        </w:rPr>
      </w:pPr>
    </w:p>
    <w:p w14:paraId="26286569" w14:textId="0076BE49" w:rsidR="00350F69"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Dentro de la negociación inicial SDP, </w:t>
      </w:r>
      <w:r w:rsidR="009D68F5" w:rsidRPr="001B525F">
        <w:rPr>
          <w:rFonts w:ascii="Arial" w:hAnsi="Arial" w:cs="Arial"/>
          <w:sz w:val="18"/>
          <w:szCs w:val="18"/>
        </w:rPr>
        <w:t xml:space="preserve">la red origen deberá </w:t>
      </w:r>
      <w:r w:rsidRPr="001B525F">
        <w:rPr>
          <w:rFonts w:ascii="Arial" w:hAnsi="Arial" w:cs="Arial"/>
          <w:sz w:val="18"/>
          <w:szCs w:val="18"/>
        </w:rPr>
        <w:t>enviar los perfiles de codificación y compresión de voz</w:t>
      </w:r>
      <w:r w:rsidR="009D68F5" w:rsidRPr="001B525F">
        <w:rPr>
          <w:rFonts w:ascii="Arial" w:hAnsi="Arial" w:cs="Arial"/>
          <w:sz w:val="18"/>
          <w:szCs w:val="18"/>
        </w:rPr>
        <w:t xml:space="preserve"> siguientes</w:t>
      </w:r>
      <w:r w:rsidRPr="001B525F">
        <w:rPr>
          <w:rFonts w:ascii="Arial" w:hAnsi="Arial" w:cs="Arial"/>
          <w:sz w:val="18"/>
          <w:szCs w:val="18"/>
        </w:rPr>
        <w:t>:</w:t>
      </w:r>
    </w:p>
    <w:p w14:paraId="666E9EE7" w14:textId="77777777" w:rsidR="003A0321" w:rsidRPr="001B525F" w:rsidRDefault="003A0321" w:rsidP="00561BBC">
      <w:pPr>
        <w:spacing w:after="0"/>
        <w:ind w:right="49"/>
        <w:jc w:val="both"/>
        <w:rPr>
          <w:rFonts w:ascii="Arial" w:hAnsi="Arial" w:cs="Arial"/>
          <w:sz w:val="18"/>
          <w:szCs w:val="18"/>
        </w:rPr>
      </w:pPr>
    </w:p>
    <w:p w14:paraId="76C72CAE" w14:textId="77777777" w:rsidR="00350F69" w:rsidRPr="001B525F" w:rsidRDefault="00350F69" w:rsidP="00FD39D9">
      <w:pPr>
        <w:pStyle w:val="Prrafodelista"/>
        <w:numPr>
          <w:ilvl w:val="0"/>
          <w:numId w:val="11"/>
        </w:numPr>
        <w:spacing w:line="276" w:lineRule="auto"/>
        <w:ind w:left="709" w:hanging="357"/>
        <w:contextualSpacing/>
        <w:jc w:val="both"/>
        <w:rPr>
          <w:rFonts w:cs="Arial"/>
          <w:sz w:val="18"/>
          <w:szCs w:val="18"/>
        </w:rPr>
      </w:pPr>
      <w:r w:rsidRPr="001B525F">
        <w:rPr>
          <w:rFonts w:cs="Arial"/>
          <w:sz w:val="18"/>
          <w:szCs w:val="18"/>
        </w:rPr>
        <w:t xml:space="preserve">G.729   </w:t>
      </w:r>
      <w:r w:rsidRPr="001B525F">
        <w:rPr>
          <w:rFonts w:cs="Arial"/>
          <w:sz w:val="18"/>
          <w:szCs w:val="18"/>
        </w:rPr>
        <w:tab/>
        <w:t>Payload Type: 18</w:t>
      </w:r>
    </w:p>
    <w:p w14:paraId="520A109C" w14:textId="77777777" w:rsidR="00350F69" w:rsidRPr="001B525F" w:rsidRDefault="00350F69" w:rsidP="00FD39D9">
      <w:pPr>
        <w:pStyle w:val="Prrafodelista"/>
        <w:numPr>
          <w:ilvl w:val="0"/>
          <w:numId w:val="11"/>
        </w:numPr>
        <w:spacing w:line="276" w:lineRule="auto"/>
        <w:ind w:left="709" w:hanging="357"/>
        <w:contextualSpacing/>
        <w:jc w:val="both"/>
        <w:rPr>
          <w:rFonts w:cs="Arial"/>
          <w:sz w:val="18"/>
          <w:szCs w:val="18"/>
          <w:lang w:val="en-US"/>
        </w:rPr>
      </w:pPr>
      <w:r w:rsidRPr="001B525F">
        <w:rPr>
          <w:rFonts w:cs="Arial"/>
          <w:sz w:val="18"/>
          <w:szCs w:val="18"/>
          <w:lang w:val="en-US"/>
        </w:rPr>
        <w:t>G.729b</w:t>
      </w:r>
      <w:r w:rsidRPr="001B525F">
        <w:rPr>
          <w:rFonts w:cs="Arial"/>
          <w:sz w:val="18"/>
          <w:szCs w:val="18"/>
          <w:lang w:val="en-US"/>
        </w:rPr>
        <w:tab/>
        <w:t>Payload Type: 18</w:t>
      </w:r>
    </w:p>
    <w:p w14:paraId="672C252F" w14:textId="77777777" w:rsidR="00350F69" w:rsidRPr="001B525F" w:rsidRDefault="00350F69" w:rsidP="00FD39D9">
      <w:pPr>
        <w:pStyle w:val="Prrafodelista"/>
        <w:numPr>
          <w:ilvl w:val="0"/>
          <w:numId w:val="11"/>
        </w:numPr>
        <w:spacing w:line="276" w:lineRule="auto"/>
        <w:ind w:left="709" w:hanging="357"/>
        <w:contextualSpacing/>
        <w:jc w:val="both"/>
        <w:rPr>
          <w:rFonts w:cs="Arial"/>
          <w:sz w:val="18"/>
          <w:szCs w:val="18"/>
          <w:lang w:val="en-US"/>
        </w:rPr>
      </w:pPr>
      <w:r w:rsidRPr="001B525F">
        <w:rPr>
          <w:rFonts w:cs="Arial"/>
          <w:sz w:val="18"/>
          <w:szCs w:val="18"/>
          <w:lang w:val="en-US"/>
        </w:rPr>
        <w:t xml:space="preserve">G.711 Ley A </w:t>
      </w:r>
      <w:r w:rsidRPr="001B525F">
        <w:rPr>
          <w:rFonts w:cs="Arial"/>
          <w:sz w:val="18"/>
          <w:szCs w:val="18"/>
          <w:lang w:val="en-US"/>
        </w:rPr>
        <w:tab/>
        <w:t>Payload Type: 8</w:t>
      </w:r>
    </w:p>
    <w:p w14:paraId="239B6739" w14:textId="77777777" w:rsidR="00350F69" w:rsidRPr="001B525F" w:rsidRDefault="00350F69" w:rsidP="00FD39D9">
      <w:pPr>
        <w:pStyle w:val="Prrafodelista"/>
        <w:numPr>
          <w:ilvl w:val="0"/>
          <w:numId w:val="11"/>
        </w:numPr>
        <w:spacing w:line="276" w:lineRule="auto"/>
        <w:ind w:left="709" w:hanging="357"/>
        <w:contextualSpacing/>
        <w:jc w:val="both"/>
        <w:rPr>
          <w:rFonts w:cs="Arial"/>
          <w:sz w:val="18"/>
          <w:szCs w:val="18"/>
        </w:rPr>
      </w:pPr>
      <w:r w:rsidRPr="001B525F">
        <w:rPr>
          <w:rFonts w:cs="Arial"/>
          <w:sz w:val="18"/>
          <w:szCs w:val="18"/>
        </w:rPr>
        <w:t>AMR-NB</w:t>
      </w:r>
      <w:r w:rsidRPr="001B525F">
        <w:rPr>
          <w:rFonts w:cs="Arial"/>
          <w:sz w:val="18"/>
          <w:szCs w:val="18"/>
        </w:rPr>
        <w:tab/>
        <w:t>Payload Type: 96-127</w:t>
      </w:r>
    </w:p>
    <w:p w14:paraId="1BD3C5CF" w14:textId="77777777" w:rsidR="00350F69" w:rsidRPr="001B525F" w:rsidRDefault="00350F69" w:rsidP="00FD39D9">
      <w:pPr>
        <w:pStyle w:val="Prrafodelista"/>
        <w:numPr>
          <w:ilvl w:val="0"/>
          <w:numId w:val="11"/>
        </w:numPr>
        <w:spacing w:line="276" w:lineRule="auto"/>
        <w:ind w:left="709" w:hanging="357"/>
        <w:contextualSpacing/>
        <w:jc w:val="both"/>
        <w:rPr>
          <w:rFonts w:cs="Arial"/>
          <w:sz w:val="18"/>
          <w:szCs w:val="18"/>
        </w:rPr>
      </w:pPr>
      <w:r w:rsidRPr="001B525F">
        <w:rPr>
          <w:rFonts w:cs="Arial"/>
          <w:sz w:val="18"/>
          <w:szCs w:val="18"/>
        </w:rPr>
        <w:t>AMR-WB</w:t>
      </w:r>
      <w:r w:rsidRPr="001B525F">
        <w:rPr>
          <w:rFonts w:cs="Arial"/>
          <w:sz w:val="18"/>
          <w:szCs w:val="18"/>
        </w:rPr>
        <w:tab/>
        <w:t>Payload Type: 98</w:t>
      </w:r>
    </w:p>
    <w:p w14:paraId="26585058" w14:textId="77777777" w:rsidR="00350F69" w:rsidRPr="001B525F" w:rsidRDefault="00350F69" w:rsidP="00561BBC">
      <w:pPr>
        <w:pStyle w:val="Prrafodelista"/>
        <w:spacing w:line="276" w:lineRule="auto"/>
        <w:ind w:right="51"/>
        <w:rPr>
          <w:rFonts w:cs="Arial"/>
          <w:sz w:val="18"/>
          <w:szCs w:val="18"/>
        </w:rPr>
      </w:pPr>
      <w:r w:rsidRPr="001B525F">
        <w:rPr>
          <w:rFonts w:cs="Arial"/>
          <w:sz w:val="18"/>
          <w:szCs w:val="18"/>
        </w:rPr>
        <w:tab/>
      </w:r>
      <w:r w:rsidRPr="001B525F">
        <w:rPr>
          <w:rFonts w:cs="Arial"/>
          <w:sz w:val="18"/>
          <w:szCs w:val="18"/>
        </w:rPr>
        <w:tab/>
      </w:r>
    </w:p>
    <w:p w14:paraId="250F1803"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lastRenderedPageBreak/>
        <w:t>En el modelo de oferta/contestación la red origen propondrá la preferencia en el orden de uso de los códecs y la red destino determinará el códec a utilizar.</w:t>
      </w:r>
    </w:p>
    <w:p w14:paraId="4F18EEF9" w14:textId="77777777" w:rsidR="00350F69" w:rsidRPr="001B525F" w:rsidRDefault="00350F69" w:rsidP="00561BBC">
      <w:pPr>
        <w:spacing w:after="0"/>
        <w:ind w:right="51"/>
        <w:jc w:val="both"/>
        <w:rPr>
          <w:rFonts w:ascii="Arial" w:hAnsi="Arial" w:cs="Arial"/>
          <w:sz w:val="18"/>
          <w:szCs w:val="18"/>
        </w:rPr>
      </w:pPr>
    </w:p>
    <w:p w14:paraId="0A94B607" w14:textId="44CCFB0C" w:rsidR="00350F69" w:rsidRPr="001B525F" w:rsidRDefault="00855DF1" w:rsidP="00561BBC">
      <w:pPr>
        <w:spacing w:after="0"/>
        <w:ind w:right="51"/>
        <w:jc w:val="both"/>
        <w:rPr>
          <w:rFonts w:ascii="Arial" w:hAnsi="Arial" w:cs="Arial"/>
          <w:sz w:val="18"/>
          <w:szCs w:val="18"/>
        </w:rPr>
      </w:pPr>
      <w:r>
        <w:rPr>
          <w:rFonts w:ascii="Arial" w:hAnsi="Arial" w:cs="Arial"/>
          <w:sz w:val="18"/>
          <w:szCs w:val="18"/>
        </w:rPr>
        <w:t>L</w:t>
      </w:r>
      <w:r w:rsidR="00350F69" w:rsidRPr="001B525F">
        <w:rPr>
          <w:rFonts w:ascii="Arial" w:hAnsi="Arial" w:cs="Arial"/>
          <w:sz w:val="18"/>
          <w:szCs w:val="18"/>
        </w:rPr>
        <w:t>a red de tránsito no realizará ningún proceso de transcodificación permitiendo fluir los paquetes de voz, tal como las redes extremas lo hayan negociado, por lo que no se modificarán los descriptores de sesión del protocolo SDP.</w:t>
      </w:r>
    </w:p>
    <w:p w14:paraId="136697E4" w14:textId="77777777" w:rsidR="00350F69" w:rsidRPr="001B525F" w:rsidRDefault="00350F69" w:rsidP="00561BBC">
      <w:pPr>
        <w:spacing w:after="0"/>
        <w:ind w:right="51"/>
        <w:jc w:val="both"/>
        <w:rPr>
          <w:rFonts w:ascii="Arial" w:hAnsi="Arial" w:cs="Arial"/>
          <w:sz w:val="18"/>
          <w:szCs w:val="18"/>
        </w:rPr>
      </w:pPr>
    </w:p>
    <w:p w14:paraId="61DDB9C0"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Numeración e identificación</w:t>
      </w:r>
    </w:p>
    <w:p w14:paraId="122BF63C" w14:textId="77777777" w:rsidR="00350F69" w:rsidRPr="001B525F" w:rsidRDefault="00350F69" w:rsidP="00561BBC">
      <w:pPr>
        <w:pStyle w:val="Prrafodelista"/>
        <w:spacing w:line="276" w:lineRule="auto"/>
        <w:ind w:left="0" w:right="49"/>
        <w:rPr>
          <w:rFonts w:cs="Arial"/>
          <w:b/>
          <w:sz w:val="18"/>
          <w:szCs w:val="18"/>
        </w:rPr>
      </w:pPr>
    </w:p>
    <w:p w14:paraId="3B921C76"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Formato de Numeración E.164</w:t>
      </w:r>
    </w:p>
    <w:p w14:paraId="6F5AAB56" w14:textId="77777777" w:rsidR="00350F69" w:rsidRPr="001B525F" w:rsidRDefault="00350F69" w:rsidP="00561BBC">
      <w:pPr>
        <w:pStyle w:val="Prrafodelista"/>
        <w:spacing w:line="276" w:lineRule="auto"/>
        <w:ind w:right="51"/>
        <w:rPr>
          <w:rFonts w:cs="Arial"/>
          <w:b/>
          <w:sz w:val="18"/>
          <w:szCs w:val="18"/>
        </w:rPr>
      </w:pPr>
    </w:p>
    <w:p w14:paraId="046C0598"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Se utilizará el formato de numeración conforme al estándar E.164</w:t>
      </w:r>
      <w:r w:rsidRPr="001B525F">
        <w:rPr>
          <w:rStyle w:val="Refdenotaalpie"/>
          <w:rFonts w:ascii="Arial" w:hAnsi="Arial" w:cs="Arial"/>
          <w:sz w:val="18"/>
          <w:szCs w:val="18"/>
        </w:rPr>
        <w:footnoteReference w:id="53"/>
      </w:r>
      <w:r w:rsidRPr="001B525F">
        <w:rPr>
          <w:rFonts w:ascii="Arial" w:hAnsi="Arial" w:cs="Arial"/>
          <w:sz w:val="18"/>
          <w:szCs w:val="18"/>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3F1F5BBB" w14:textId="77777777" w:rsidR="00350F69" w:rsidRPr="001B525F" w:rsidRDefault="00350F69" w:rsidP="00561BBC">
      <w:pPr>
        <w:spacing w:after="0"/>
        <w:ind w:right="51"/>
        <w:rPr>
          <w:rFonts w:ascii="Arial" w:hAnsi="Arial" w:cs="Arial"/>
          <w:sz w:val="18"/>
          <w:szCs w:val="18"/>
        </w:rPr>
      </w:pPr>
    </w:p>
    <w:p w14:paraId="310EE1A9" w14:textId="77777777" w:rsidR="00350F69" w:rsidRPr="001B525F" w:rsidRDefault="00350F69" w:rsidP="00561BBC">
      <w:pPr>
        <w:spacing w:after="0"/>
        <w:ind w:right="51"/>
        <w:rPr>
          <w:rFonts w:ascii="Arial" w:hAnsi="Arial" w:cs="Arial"/>
          <w:sz w:val="18"/>
          <w:szCs w:val="18"/>
        </w:rPr>
      </w:pPr>
      <w:r w:rsidRPr="001B525F">
        <w:rPr>
          <w:rFonts w:ascii="Arial" w:hAnsi="Arial" w:cs="Arial"/>
          <w:sz w:val="18"/>
          <w:szCs w:val="18"/>
        </w:rPr>
        <w:t>En donde:</w:t>
      </w:r>
    </w:p>
    <w:p w14:paraId="22F3EA3C" w14:textId="77777777" w:rsidR="00350F69" w:rsidRPr="001B525F" w:rsidRDefault="00350F69" w:rsidP="00561BBC">
      <w:pPr>
        <w:spacing w:after="0"/>
        <w:ind w:right="49" w:firstLine="708"/>
        <w:jc w:val="both"/>
        <w:rPr>
          <w:rFonts w:ascii="Arial" w:hAnsi="Arial" w:cs="Arial"/>
          <w:sz w:val="18"/>
          <w:szCs w:val="18"/>
        </w:rPr>
      </w:pPr>
      <w:r w:rsidRPr="001B525F">
        <w:rPr>
          <w:rFonts w:ascii="Arial" w:hAnsi="Arial" w:cs="Arial"/>
          <w:sz w:val="18"/>
          <w:szCs w:val="18"/>
        </w:rPr>
        <w:t>NN (Número Nacional) = es el número de directorio a 10 dígitos</w:t>
      </w:r>
    </w:p>
    <w:p w14:paraId="026DD179" w14:textId="77777777" w:rsidR="00350F69" w:rsidRPr="001B525F" w:rsidRDefault="00350F69" w:rsidP="00561BBC">
      <w:pPr>
        <w:spacing w:after="0"/>
        <w:ind w:right="49"/>
        <w:jc w:val="both"/>
        <w:rPr>
          <w:rFonts w:ascii="Arial" w:hAnsi="Arial" w:cs="Arial"/>
          <w:sz w:val="18"/>
          <w:szCs w:val="18"/>
        </w:rPr>
      </w:pPr>
    </w:p>
    <w:p w14:paraId="4A09C1FC" w14:textId="52D876CB"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El formato de numeración que se utilizará para el caso de códigos </w:t>
      </w:r>
      <w:r w:rsidR="00DD7B49" w:rsidRPr="001B525F">
        <w:rPr>
          <w:rFonts w:ascii="Arial" w:hAnsi="Arial" w:cs="Arial"/>
          <w:sz w:val="18"/>
          <w:szCs w:val="18"/>
        </w:rPr>
        <w:t>especiales</w:t>
      </w:r>
      <w:r w:rsidRPr="001B525F">
        <w:rPr>
          <w:rFonts w:ascii="Arial" w:hAnsi="Arial" w:cs="Arial"/>
          <w:sz w:val="18"/>
          <w:szCs w:val="18"/>
        </w:rPr>
        <w:t xml:space="preserve"> será el establecido en el Plan Técnico Fundamental de Numeración, así como aquellas disposiciones que lo modifiquen o lo sustituyan.</w:t>
      </w:r>
    </w:p>
    <w:p w14:paraId="7363AEC6" w14:textId="77777777" w:rsidR="00350F69" w:rsidRPr="001B525F" w:rsidRDefault="00350F69" w:rsidP="00561BBC">
      <w:pPr>
        <w:tabs>
          <w:tab w:val="left" w:pos="1002"/>
        </w:tabs>
        <w:spacing w:after="0"/>
        <w:ind w:right="49"/>
        <w:jc w:val="both"/>
        <w:rPr>
          <w:rFonts w:ascii="Arial" w:hAnsi="Arial" w:cs="Arial"/>
          <w:sz w:val="18"/>
          <w:szCs w:val="18"/>
        </w:rPr>
      </w:pPr>
      <w:r w:rsidRPr="001B525F">
        <w:rPr>
          <w:rFonts w:ascii="Arial" w:hAnsi="Arial" w:cs="Arial"/>
          <w:sz w:val="18"/>
          <w:szCs w:val="18"/>
        </w:rPr>
        <w:tab/>
      </w:r>
    </w:p>
    <w:p w14:paraId="5234C4AF"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URI</w:t>
      </w:r>
    </w:p>
    <w:p w14:paraId="4D6A56FF" w14:textId="77777777" w:rsidR="00350F69" w:rsidRPr="001B525F" w:rsidRDefault="00350F69" w:rsidP="00561BBC">
      <w:pPr>
        <w:spacing w:after="0"/>
        <w:ind w:right="49"/>
        <w:rPr>
          <w:rFonts w:ascii="Arial" w:hAnsi="Arial" w:cs="Arial"/>
          <w:sz w:val="18"/>
          <w:szCs w:val="18"/>
        </w:rPr>
      </w:pPr>
    </w:p>
    <w:p w14:paraId="03986449" w14:textId="4021A3CA"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Para la interconexión de voz IP, el formato de URI habrá de adaptarse al formato TEL URI de acuerdo </w:t>
      </w:r>
      <w:r w:rsidR="00591A8A">
        <w:rPr>
          <w:rFonts w:ascii="Arial" w:hAnsi="Arial" w:cs="Arial"/>
          <w:sz w:val="18"/>
          <w:szCs w:val="18"/>
        </w:rPr>
        <w:t>con</w:t>
      </w:r>
      <w:r w:rsidRPr="001B525F">
        <w:rPr>
          <w:rFonts w:ascii="Arial" w:hAnsi="Arial" w:cs="Arial"/>
          <w:sz w:val="18"/>
          <w:szCs w:val="18"/>
        </w:rPr>
        <w:t xml:space="preserve"> lo establecido dentro de la Recomendación IETF RFC 3966</w:t>
      </w:r>
      <w:r w:rsidRPr="001B525F">
        <w:rPr>
          <w:rStyle w:val="Refdenotaalpie"/>
          <w:rFonts w:ascii="Arial" w:hAnsi="Arial" w:cs="Arial"/>
          <w:sz w:val="18"/>
          <w:szCs w:val="18"/>
        </w:rPr>
        <w:footnoteReference w:id="54"/>
      </w:r>
      <w:r w:rsidRPr="001B525F">
        <w:rPr>
          <w:rFonts w:ascii="Arial" w:hAnsi="Arial" w:cs="Arial"/>
          <w:sz w:val="18"/>
          <w:szCs w:val="18"/>
        </w:rPr>
        <w:t xml:space="preserve"> y se conformará de la siguiente forma:</w:t>
      </w:r>
    </w:p>
    <w:p w14:paraId="084BEA5D" w14:textId="77777777" w:rsidR="00350F69" w:rsidRPr="001B525F" w:rsidRDefault="00350F69" w:rsidP="00561BBC">
      <w:pPr>
        <w:spacing w:after="0"/>
        <w:ind w:right="49"/>
        <w:jc w:val="both"/>
        <w:rPr>
          <w:rFonts w:ascii="Arial" w:hAnsi="Arial" w:cs="Arial"/>
          <w:sz w:val="18"/>
          <w:szCs w:val="18"/>
        </w:rPr>
      </w:pPr>
    </w:p>
    <w:p w14:paraId="636A9AD8" w14:textId="77777777" w:rsidR="00350F69" w:rsidRPr="001B525F" w:rsidRDefault="00350F69" w:rsidP="00561BBC">
      <w:pPr>
        <w:spacing w:after="0"/>
        <w:ind w:left="708" w:right="49"/>
        <w:jc w:val="both"/>
        <w:rPr>
          <w:rFonts w:ascii="Arial" w:hAnsi="Arial" w:cs="Arial"/>
          <w:b/>
          <w:sz w:val="18"/>
          <w:szCs w:val="18"/>
        </w:rPr>
      </w:pPr>
      <w:r w:rsidRPr="001B525F">
        <w:rPr>
          <w:rFonts w:ascii="Arial" w:hAnsi="Arial" w:cs="Arial"/>
          <w:b/>
          <w:sz w:val="18"/>
          <w:szCs w:val="18"/>
        </w:rPr>
        <w:t>&lt;sip:Número @ hostportion&gt;; user=phone</w:t>
      </w:r>
    </w:p>
    <w:p w14:paraId="0BC33EFE" w14:textId="77777777" w:rsidR="00350F69" w:rsidRPr="001B525F" w:rsidRDefault="00350F69" w:rsidP="00561BBC">
      <w:pPr>
        <w:spacing w:after="0"/>
        <w:ind w:left="708" w:right="49"/>
        <w:jc w:val="both"/>
        <w:rPr>
          <w:rFonts w:ascii="Arial" w:hAnsi="Arial" w:cs="Arial"/>
          <w:b/>
          <w:sz w:val="18"/>
          <w:szCs w:val="18"/>
        </w:rPr>
      </w:pPr>
    </w:p>
    <w:p w14:paraId="5C5446A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donde:</w:t>
      </w:r>
    </w:p>
    <w:p w14:paraId="282841BA" w14:textId="77777777" w:rsidR="00350F69" w:rsidRPr="001B525F" w:rsidRDefault="00350F69" w:rsidP="00561BBC">
      <w:pPr>
        <w:spacing w:after="0"/>
        <w:ind w:right="49"/>
        <w:jc w:val="both"/>
        <w:rPr>
          <w:rFonts w:ascii="Arial" w:hAnsi="Arial" w:cs="Arial"/>
          <w:sz w:val="18"/>
          <w:szCs w:val="18"/>
        </w:rPr>
      </w:pPr>
    </w:p>
    <w:p w14:paraId="2B6E3F1C"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Número representa la tel URI compuesta por el número de directorio E.164, en formato nacional</w:t>
      </w:r>
    </w:p>
    <w:p w14:paraId="3F77D409" w14:textId="77777777" w:rsidR="00350F69" w:rsidRPr="001B525F" w:rsidRDefault="00350F69" w:rsidP="00561BBC">
      <w:pPr>
        <w:spacing w:after="0"/>
        <w:ind w:right="49"/>
        <w:jc w:val="both"/>
        <w:rPr>
          <w:rFonts w:ascii="Arial" w:hAnsi="Arial" w:cs="Arial"/>
          <w:sz w:val="18"/>
          <w:szCs w:val="18"/>
        </w:rPr>
      </w:pPr>
    </w:p>
    <w:p w14:paraId="730E4651"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hostportion es el identificador asociado al dominio o dirección IP en el que se encuentra el recurso identificado por la tel URI</w:t>
      </w:r>
    </w:p>
    <w:p w14:paraId="05AC8498" w14:textId="77777777" w:rsidR="00350F69" w:rsidRPr="001B525F" w:rsidRDefault="00350F69" w:rsidP="00561BBC">
      <w:pPr>
        <w:spacing w:after="0"/>
        <w:ind w:right="49"/>
        <w:jc w:val="both"/>
        <w:rPr>
          <w:rFonts w:ascii="Arial" w:hAnsi="Arial" w:cs="Arial"/>
          <w:sz w:val="18"/>
          <w:szCs w:val="18"/>
        </w:rPr>
      </w:pPr>
    </w:p>
    <w:p w14:paraId="466775B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user= phone es el parámetro de la URI que indica el tipo de recurso que se está identificando (en este caso un teléfono)</w:t>
      </w:r>
    </w:p>
    <w:p w14:paraId="0A1CA82F" w14:textId="77777777" w:rsidR="00350F69" w:rsidRPr="001B525F" w:rsidRDefault="00350F69" w:rsidP="00561BBC">
      <w:pPr>
        <w:pStyle w:val="Ejemplo"/>
        <w:spacing w:before="0" w:after="0"/>
        <w:ind w:right="49"/>
        <w:jc w:val="both"/>
        <w:rPr>
          <w:rFonts w:ascii="Arial" w:hAnsi="Arial"/>
          <w:bCs/>
          <w:sz w:val="18"/>
          <w:szCs w:val="18"/>
        </w:rPr>
      </w:pPr>
    </w:p>
    <w:p w14:paraId="086CC25C" w14:textId="77777777" w:rsidR="00350F69" w:rsidRPr="001B525F" w:rsidRDefault="00350F69" w:rsidP="00561BBC">
      <w:pPr>
        <w:pStyle w:val="Ejemplo"/>
        <w:spacing w:before="0" w:after="0"/>
        <w:ind w:right="49"/>
        <w:jc w:val="both"/>
        <w:rPr>
          <w:rFonts w:ascii="Arial" w:hAnsi="Arial"/>
          <w:bCs/>
          <w:sz w:val="18"/>
          <w:szCs w:val="18"/>
        </w:rPr>
      </w:pPr>
      <w:r w:rsidRPr="001B525F">
        <w:rPr>
          <w:rFonts w:ascii="Arial" w:hAnsi="Arial"/>
          <w:bCs/>
          <w:sz w:val="18"/>
          <w:szCs w:val="18"/>
        </w:rPr>
        <w:t>Ejemplo:</w:t>
      </w:r>
      <w:r w:rsidRPr="001B525F">
        <w:rPr>
          <w:rFonts w:ascii="Arial" w:hAnsi="Arial"/>
          <w:sz w:val="18"/>
          <w:szCs w:val="18"/>
        </w:rPr>
        <w:t xml:space="preserve"> &lt;</w:t>
      </w:r>
      <w:r w:rsidRPr="001B525F">
        <w:rPr>
          <w:rFonts w:ascii="Arial" w:hAnsi="Arial"/>
          <w:bCs/>
          <w:sz w:val="18"/>
          <w:szCs w:val="18"/>
        </w:rPr>
        <w:t xml:space="preserve">sip: </w:t>
      </w:r>
      <w:hyperlink r:id="rId49" w:history="1">
        <w:r w:rsidRPr="007740FC">
          <w:rPr>
            <w:rStyle w:val="Hipervnculo"/>
            <w:rFonts w:ascii="Arial" w:hAnsi="Arial"/>
            <w:color w:val="auto"/>
            <w:sz w:val="18"/>
            <w:szCs w:val="18"/>
          </w:rPr>
          <w:t>5550154000@operador.mx</w:t>
        </w:r>
      </w:hyperlink>
      <w:r w:rsidRPr="001B525F">
        <w:rPr>
          <w:rFonts w:ascii="Arial" w:hAnsi="Arial"/>
          <w:bCs/>
          <w:sz w:val="18"/>
          <w:szCs w:val="18"/>
        </w:rPr>
        <w:t xml:space="preserve"> </w:t>
      </w:r>
      <w:r w:rsidRPr="007740FC">
        <w:rPr>
          <w:rStyle w:val="Hipervnculo"/>
          <w:rFonts w:ascii="Arial" w:hAnsi="Arial"/>
          <w:color w:val="auto"/>
          <w:sz w:val="18"/>
          <w:szCs w:val="18"/>
        </w:rPr>
        <w:t>o dirección IP&gt;;</w:t>
      </w:r>
      <w:r w:rsidRPr="001B525F">
        <w:rPr>
          <w:rFonts w:ascii="Arial" w:hAnsi="Arial"/>
          <w:bCs/>
          <w:sz w:val="18"/>
          <w:szCs w:val="18"/>
        </w:rPr>
        <w:t>user=phone</w:t>
      </w:r>
    </w:p>
    <w:p w14:paraId="4F68E823" w14:textId="77777777" w:rsidR="00350F69" w:rsidRPr="001B525F" w:rsidRDefault="00350F69" w:rsidP="00561BBC">
      <w:pPr>
        <w:pStyle w:val="Ejemplo"/>
        <w:spacing w:before="0" w:after="0"/>
        <w:ind w:right="49"/>
        <w:jc w:val="both"/>
        <w:rPr>
          <w:rFonts w:ascii="Arial" w:hAnsi="Arial"/>
          <w:bCs/>
          <w:sz w:val="18"/>
          <w:szCs w:val="18"/>
        </w:rPr>
      </w:pPr>
    </w:p>
    <w:p w14:paraId="069E60B5"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Identificación del número llamante</w:t>
      </w:r>
    </w:p>
    <w:p w14:paraId="395AB837" w14:textId="77777777" w:rsidR="00C50B83" w:rsidRDefault="00C50B83" w:rsidP="00561BBC">
      <w:pPr>
        <w:autoSpaceDE w:val="0"/>
        <w:autoSpaceDN w:val="0"/>
        <w:adjustRightInd w:val="0"/>
        <w:spacing w:after="0"/>
        <w:ind w:right="49"/>
        <w:jc w:val="both"/>
        <w:rPr>
          <w:rFonts w:ascii="Arial" w:hAnsi="Arial" w:cs="Arial"/>
          <w:sz w:val="18"/>
          <w:szCs w:val="18"/>
        </w:rPr>
      </w:pPr>
    </w:p>
    <w:p w14:paraId="21F60626" w14:textId="0E38EFF8" w:rsidR="00350F69" w:rsidRPr="001B525F" w:rsidRDefault="00350F69" w:rsidP="00561BBC">
      <w:pPr>
        <w:autoSpaceDE w:val="0"/>
        <w:autoSpaceDN w:val="0"/>
        <w:adjustRightInd w:val="0"/>
        <w:spacing w:after="0"/>
        <w:ind w:right="49"/>
        <w:jc w:val="both"/>
        <w:rPr>
          <w:rFonts w:ascii="Arial" w:hAnsi="Arial" w:cs="Arial"/>
          <w:sz w:val="18"/>
          <w:szCs w:val="18"/>
        </w:rPr>
      </w:pPr>
      <w:r w:rsidRPr="001B525F">
        <w:rPr>
          <w:rFonts w:ascii="Arial" w:hAnsi="Arial" w:cs="Arial"/>
          <w:sz w:val="18"/>
          <w:szCs w:val="18"/>
        </w:rPr>
        <w:t>El número llamante (número A) consistente en la SIP URI del originador de la petición, se enviará en los campos de encabezado From y P-Asserted-Identity del método INVITE con formato de NN.</w:t>
      </w:r>
    </w:p>
    <w:p w14:paraId="7656AEC7" w14:textId="77777777" w:rsidR="00350F69" w:rsidRPr="001B525F" w:rsidRDefault="00350F69" w:rsidP="00561BBC">
      <w:pPr>
        <w:autoSpaceDE w:val="0"/>
        <w:autoSpaceDN w:val="0"/>
        <w:adjustRightInd w:val="0"/>
        <w:spacing w:after="0"/>
        <w:ind w:right="49"/>
        <w:jc w:val="both"/>
        <w:rPr>
          <w:rFonts w:ascii="Arial" w:hAnsi="Arial" w:cs="Arial"/>
          <w:b/>
          <w:sz w:val="18"/>
          <w:szCs w:val="18"/>
        </w:rPr>
      </w:pPr>
    </w:p>
    <w:p w14:paraId="767BF35D" w14:textId="77777777" w:rsidR="00350F69" w:rsidRPr="001B525F" w:rsidRDefault="00350F69" w:rsidP="00561BBC">
      <w:pPr>
        <w:autoSpaceDE w:val="0"/>
        <w:autoSpaceDN w:val="0"/>
        <w:adjustRightInd w:val="0"/>
        <w:spacing w:after="0"/>
        <w:ind w:right="49"/>
        <w:jc w:val="both"/>
        <w:rPr>
          <w:rFonts w:ascii="Arial" w:hAnsi="Arial" w:cs="Arial"/>
          <w:sz w:val="18"/>
          <w:szCs w:val="18"/>
        </w:rPr>
      </w:pPr>
      <w:r w:rsidRPr="001B525F">
        <w:rPr>
          <w:rFonts w:ascii="Arial" w:hAnsi="Arial" w:cs="Arial"/>
          <w:sz w:val="18"/>
          <w:szCs w:val="18"/>
        </w:rPr>
        <w:t xml:space="preserve">Ejemplo: From:&lt;sip: </w:t>
      </w:r>
      <w:hyperlink r:id="rId50" w:history="1">
        <w:r w:rsidRPr="007740FC">
          <w:rPr>
            <w:rStyle w:val="Hipervnculo"/>
            <w:rFonts w:ascii="Arial" w:hAnsi="Arial" w:cs="Arial"/>
            <w:color w:val="auto"/>
            <w:sz w:val="18"/>
            <w:szCs w:val="18"/>
          </w:rPr>
          <w:t>5550154000@operador.mx o dirección IP&gt;;user=phone</w:t>
        </w:r>
      </w:hyperlink>
    </w:p>
    <w:p w14:paraId="0C34265B" w14:textId="77777777" w:rsidR="00350F69" w:rsidRPr="001B525F" w:rsidRDefault="00350F69" w:rsidP="00561BBC">
      <w:pPr>
        <w:autoSpaceDE w:val="0"/>
        <w:autoSpaceDN w:val="0"/>
        <w:adjustRightInd w:val="0"/>
        <w:spacing w:after="0"/>
        <w:ind w:right="49" w:firstLine="708"/>
        <w:jc w:val="both"/>
        <w:rPr>
          <w:rFonts w:ascii="Arial" w:hAnsi="Arial" w:cs="Arial"/>
          <w:sz w:val="18"/>
          <w:szCs w:val="18"/>
        </w:rPr>
      </w:pPr>
    </w:p>
    <w:p w14:paraId="47B0365E" w14:textId="3D4F6A5B"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Si se recibe una petición INVITE con From igual a </w:t>
      </w:r>
      <w:hyperlink r:id="rId51" w:history="1">
        <w:r w:rsidRPr="007740FC">
          <w:rPr>
            <w:rStyle w:val="Hipervnculo"/>
            <w:rFonts w:ascii="Arial" w:hAnsi="Arial" w:cs="Arial"/>
            <w:color w:val="auto"/>
            <w:sz w:val="18"/>
            <w:szCs w:val="18"/>
          </w:rPr>
          <w:t>unknown@unknown.invalid</w:t>
        </w:r>
      </w:hyperlink>
      <w:r w:rsidRPr="001B525F">
        <w:rPr>
          <w:rFonts w:ascii="Arial" w:hAnsi="Arial" w:cs="Arial"/>
          <w:sz w:val="18"/>
          <w:szCs w:val="18"/>
        </w:rPr>
        <w:t xml:space="preserve"> o </w:t>
      </w:r>
      <w:hyperlink r:id="rId52" w:history="1">
        <w:r w:rsidRPr="007740FC">
          <w:rPr>
            <w:rStyle w:val="Hipervnculo"/>
            <w:rFonts w:ascii="Arial" w:hAnsi="Arial" w:cs="Arial"/>
            <w:color w:val="auto"/>
            <w:sz w:val="18"/>
            <w:szCs w:val="18"/>
          </w:rPr>
          <w:t>unavailable@unavailable.invalid</w:t>
        </w:r>
      </w:hyperlink>
      <w:r w:rsidRPr="001B525F">
        <w:rPr>
          <w:rFonts w:ascii="Arial" w:hAnsi="Arial" w:cs="Arial"/>
          <w:sz w:val="18"/>
          <w:szCs w:val="18"/>
        </w:rPr>
        <w:t xml:space="preserve">, se asumirá que se trata de tráfico internacional/mundial y se aceptará la llamada. Los concesionarios deberán limitarse a emplear este valor exclusivamente a casos de llamadas provenientes de interconexión internacional en los que no se </w:t>
      </w:r>
      <w:r w:rsidRPr="001B525F">
        <w:rPr>
          <w:rFonts w:ascii="Arial" w:hAnsi="Arial" w:cs="Arial"/>
          <w:sz w:val="18"/>
          <w:szCs w:val="18"/>
        </w:rPr>
        <w:lastRenderedPageBreak/>
        <w:t>reciba el identificador del número llamante válido</w:t>
      </w:r>
      <w:r w:rsidR="0029298A">
        <w:rPr>
          <w:rFonts w:ascii="Arial" w:hAnsi="Arial" w:cs="Arial"/>
          <w:sz w:val="18"/>
          <w:szCs w:val="18"/>
        </w:rPr>
        <w:t xml:space="preserve">, </w:t>
      </w:r>
      <w:r w:rsidR="0029298A" w:rsidRPr="00754035">
        <w:rPr>
          <w:rFonts w:ascii="Arial" w:hAnsi="Arial" w:cs="Arial"/>
          <w:sz w:val="18"/>
          <w:szCs w:val="18"/>
        </w:rPr>
        <w:t>en tanto no se definan las reglas generales aplicables para este tráfico</w:t>
      </w:r>
      <w:r w:rsidRPr="001B525F">
        <w:rPr>
          <w:rFonts w:ascii="Arial" w:hAnsi="Arial" w:cs="Arial"/>
          <w:sz w:val="18"/>
          <w:szCs w:val="18"/>
        </w:rPr>
        <w:t>.</w:t>
      </w:r>
    </w:p>
    <w:p w14:paraId="4E228EA9" w14:textId="77777777" w:rsidR="00350F69" w:rsidRPr="001B525F" w:rsidRDefault="00350F69" w:rsidP="00561BBC">
      <w:pPr>
        <w:spacing w:after="0"/>
        <w:ind w:right="49"/>
        <w:jc w:val="both"/>
        <w:rPr>
          <w:rFonts w:ascii="Arial" w:hAnsi="Arial" w:cs="Arial"/>
          <w:sz w:val="18"/>
          <w:szCs w:val="18"/>
        </w:rPr>
      </w:pPr>
    </w:p>
    <w:p w14:paraId="1EC7D36C" w14:textId="76ED05C3"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todos los casos deberá enviarse en el encabezado From</w:t>
      </w:r>
      <w:r w:rsidR="00992677" w:rsidRPr="001B525F">
        <w:rPr>
          <w:rFonts w:ascii="Arial" w:hAnsi="Arial" w:cs="Arial"/>
          <w:sz w:val="18"/>
          <w:szCs w:val="18"/>
        </w:rPr>
        <w:t xml:space="preserve"> y P-Asserted-Identity</w:t>
      </w:r>
      <w:r w:rsidRPr="001B525F">
        <w:rPr>
          <w:rFonts w:ascii="Arial" w:hAnsi="Arial" w:cs="Arial"/>
          <w:sz w:val="18"/>
          <w:szCs w:val="18"/>
        </w:rPr>
        <w:t xml:space="preserve"> la categoría de usuario y el encabezado de campo privacidad, cuando se requiera. En ningún caso el encabezado de campo privacidad o cualquier otro, podrán ser utilizados para ocultar el envío del número de A en el intercambio de tráfico entre Concesionarios.</w:t>
      </w:r>
    </w:p>
    <w:p w14:paraId="73068A88" w14:textId="77777777" w:rsidR="00350F69" w:rsidRPr="001B525F" w:rsidRDefault="00350F69" w:rsidP="00561BBC">
      <w:pPr>
        <w:spacing w:after="0"/>
        <w:ind w:right="49"/>
        <w:jc w:val="both"/>
        <w:rPr>
          <w:rFonts w:ascii="Arial" w:hAnsi="Arial" w:cs="Arial"/>
          <w:sz w:val="18"/>
          <w:szCs w:val="18"/>
        </w:rPr>
      </w:pPr>
    </w:p>
    <w:p w14:paraId="5CFD7B5D" w14:textId="1892D241"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Para todos los escenarios de tráfico nacional el envío de número de A se apegará a lo establecido en el Plan Técnico Fundamental de </w:t>
      </w:r>
      <w:r w:rsidR="00353A61" w:rsidRPr="001B525F">
        <w:rPr>
          <w:rFonts w:ascii="Arial" w:hAnsi="Arial" w:cs="Arial"/>
          <w:sz w:val="18"/>
          <w:szCs w:val="18"/>
        </w:rPr>
        <w:t>Señalización,</w:t>
      </w:r>
      <w:r w:rsidRPr="001B525F">
        <w:rPr>
          <w:rFonts w:ascii="Arial" w:hAnsi="Arial" w:cs="Arial"/>
          <w:sz w:val="18"/>
          <w:szCs w:val="18"/>
        </w:rPr>
        <w:t xml:space="preserve"> así como aquellas disposiciones que lo modifiquen o substituyan.</w:t>
      </w:r>
    </w:p>
    <w:p w14:paraId="037297A6" w14:textId="77777777" w:rsidR="00350F69" w:rsidRPr="001B525F" w:rsidRDefault="00350F69" w:rsidP="00561BBC">
      <w:pPr>
        <w:spacing w:after="0"/>
        <w:ind w:right="49"/>
        <w:rPr>
          <w:rFonts w:ascii="Arial" w:hAnsi="Arial" w:cs="Arial"/>
          <w:sz w:val="18"/>
          <w:szCs w:val="18"/>
        </w:rPr>
      </w:pPr>
    </w:p>
    <w:p w14:paraId="5E306E41" w14:textId="77777777" w:rsidR="00350F69" w:rsidRPr="001B525F" w:rsidRDefault="00350F69" w:rsidP="00226F17">
      <w:pPr>
        <w:pStyle w:val="Prrafodelista"/>
        <w:numPr>
          <w:ilvl w:val="2"/>
          <w:numId w:val="32"/>
        </w:numPr>
        <w:spacing w:line="276" w:lineRule="auto"/>
        <w:ind w:left="709" w:right="49" w:hanging="709"/>
        <w:contextualSpacing/>
        <w:jc w:val="both"/>
        <w:rPr>
          <w:rFonts w:cs="Arial"/>
          <w:b/>
          <w:sz w:val="18"/>
          <w:szCs w:val="18"/>
        </w:rPr>
      </w:pPr>
      <w:r w:rsidRPr="001B525F">
        <w:rPr>
          <w:rFonts w:cs="Arial"/>
          <w:b/>
          <w:sz w:val="18"/>
          <w:szCs w:val="18"/>
        </w:rPr>
        <w:t>Códigos de Identificación de Operadores</w:t>
      </w:r>
    </w:p>
    <w:p w14:paraId="0302A13D" w14:textId="77777777" w:rsidR="00350F69" w:rsidRPr="001B525F" w:rsidRDefault="00350F69" w:rsidP="00561BBC">
      <w:pPr>
        <w:spacing w:after="0"/>
        <w:ind w:right="49"/>
        <w:rPr>
          <w:rFonts w:ascii="Arial" w:hAnsi="Arial" w:cs="Arial"/>
          <w:sz w:val="18"/>
          <w:szCs w:val="18"/>
        </w:rPr>
      </w:pPr>
    </w:p>
    <w:p w14:paraId="16F04AAC" w14:textId="2B0DB82A"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Pr="001B525F">
        <w:rPr>
          <w:rStyle w:val="Refdenotaalpie"/>
          <w:rFonts w:ascii="Arial" w:hAnsi="Arial" w:cs="Arial"/>
          <w:sz w:val="18"/>
          <w:szCs w:val="18"/>
        </w:rPr>
        <w:footnoteReference w:id="55"/>
      </w:r>
      <w:r w:rsidRPr="001B525F">
        <w:rPr>
          <w:rFonts w:ascii="Arial" w:hAnsi="Arial" w:cs="Arial"/>
          <w:sz w:val="18"/>
          <w:szCs w:val="18"/>
        </w:rPr>
        <w:t xml:space="preserve"> así como al Plan Técnico Fundamental de Numeración, al Plan Técnico Fundamental de </w:t>
      </w:r>
      <w:r w:rsidR="00674D81" w:rsidRPr="001B525F">
        <w:rPr>
          <w:rFonts w:ascii="Arial" w:hAnsi="Arial" w:cs="Arial"/>
          <w:sz w:val="18"/>
          <w:szCs w:val="18"/>
        </w:rPr>
        <w:t>Señalización,</w:t>
      </w:r>
      <w:r w:rsidRPr="001B525F">
        <w:rPr>
          <w:rFonts w:ascii="Arial" w:hAnsi="Arial" w:cs="Arial"/>
          <w:sz w:val="18"/>
          <w:szCs w:val="18"/>
        </w:rPr>
        <w:t xml:space="preserve"> así como aquellas disposiciones que los modifiquen o sustituyan.</w:t>
      </w:r>
    </w:p>
    <w:p w14:paraId="1B6D7418" w14:textId="77777777" w:rsidR="00350F69" w:rsidRPr="001B525F" w:rsidRDefault="00350F69" w:rsidP="00561BBC">
      <w:pPr>
        <w:spacing w:after="0"/>
        <w:ind w:right="49"/>
        <w:jc w:val="both"/>
        <w:rPr>
          <w:rFonts w:ascii="Arial" w:hAnsi="Arial" w:cs="Arial"/>
          <w:sz w:val="18"/>
          <w:szCs w:val="18"/>
        </w:rPr>
      </w:pPr>
    </w:p>
    <w:p w14:paraId="510B6B6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número de B así como los códigos de identificación de operadores se enviarán en los campos de encabezado Request URI del método INVITE.</w:t>
      </w:r>
    </w:p>
    <w:p w14:paraId="3E24081D" w14:textId="77777777" w:rsidR="00350F69" w:rsidRPr="001B525F" w:rsidRDefault="00350F69" w:rsidP="00561BBC">
      <w:pPr>
        <w:spacing w:after="0"/>
        <w:ind w:right="49"/>
        <w:rPr>
          <w:rFonts w:ascii="Arial" w:hAnsi="Arial" w:cs="Arial"/>
          <w:sz w:val="18"/>
          <w:szCs w:val="18"/>
        </w:rPr>
      </w:pPr>
    </w:p>
    <w:p w14:paraId="07581522"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 xml:space="preserve">Ejemplo: &lt;sip: IDD + IDO </w:t>
      </w:r>
      <w:hyperlink r:id="rId53" w:history="1">
        <w:r w:rsidRPr="007740FC">
          <w:rPr>
            <w:rStyle w:val="Hipervnculo"/>
            <w:rFonts w:ascii="Arial" w:hAnsi="Arial" w:cs="Arial"/>
            <w:color w:val="auto"/>
            <w:sz w:val="18"/>
            <w:szCs w:val="18"/>
          </w:rPr>
          <w:t>+NN@operador.mx</w:t>
        </w:r>
      </w:hyperlink>
      <w:r w:rsidRPr="001B525F">
        <w:rPr>
          <w:rFonts w:ascii="Arial" w:hAnsi="Arial" w:cs="Arial"/>
          <w:sz w:val="18"/>
          <w:szCs w:val="18"/>
        </w:rPr>
        <w:t xml:space="preserve"> o dirección IP&gt;;user=phone</w:t>
      </w:r>
    </w:p>
    <w:p w14:paraId="592F6F99" w14:textId="77777777" w:rsidR="00350F69" w:rsidRPr="001B525F" w:rsidRDefault="00350F69" w:rsidP="00561BBC">
      <w:pPr>
        <w:spacing w:after="0"/>
        <w:ind w:right="49" w:firstLine="708"/>
        <w:rPr>
          <w:rFonts w:ascii="Arial" w:hAnsi="Arial" w:cs="Arial"/>
          <w:sz w:val="18"/>
          <w:szCs w:val="18"/>
        </w:rPr>
      </w:pPr>
      <w:r w:rsidRPr="001B525F">
        <w:rPr>
          <w:rFonts w:ascii="Arial" w:hAnsi="Arial" w:cs="Arial"/>
          <w:sz w:val="18"/>
          <w:szCs w:val="18"/>
        </w:rPr>
        <w:t xml:space="preserve">     </w:t>
      </w:r>
    </w:p>
    <w:p w14:paraId="0BD92DE8"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Versión IP</w:t>
      </w:r>
    </w:p>
    <w:p w14:paraId="25C2D149" w14:textId="77777777" w:rsidR="00350F69" w:rsidRPr="001B525F" w:rsidRDefault="00350F69" w:rsidP="00561BBC">
      <w:pPr>
        <w:spacing w:after="0"/>
        <w:ind w:right="49"/>
        <w:rPr>
          <w:rFonts w:ascii="Arial" w:hAnsi="Arial" w:cs="Arial"/>
          <w:sz w:val="18"/>
          <w:szCs w:val="18"/>
        </w:rPr>
      </w:pPr>
    </w:p>
    <w:p w14:paraId="3DE3933E" w14:textId="12DD2FCD" w:rsidR="00350F69"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Se deberá utilizar el esquema de direccionamiento IPv6, se podrá utilizar direccionamiento IPv4 de común acuerdo entre las partes. </w:t>
      </w:r>
    </w:p>
    <w:p w14:paraId="4A7F8EE8" w14:textId="77777777" w:rsidR="00593AAC" w:rsidRPr="001B525F" w:rsidRDefault="00593AAC" w:rsidP="00561BBC">
      <w:pPr>
        <w:spacing w:after="0"/>
        <w:ind w:right="49"/>
        <w:jc w:val="both"/>
        <w:rPr>
          <w:rFonts w:ascii="Arial" w:hAnsi="Arial" w:cs="Arial"/>
          <w:sz w:val="18"/>
          <w:szCs w:val="18"/>
        </w:rPr>
      </w:pPr>
    </w:p>
    <w:p w14:paraId="050F10D0"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Flujos de Señalización</w:t>
      </w:r>
    </w:p>
    <w:p w14:paraId="2E04AEAA" w14:textId="77777777" w:rsidR="00350F69" w:rsidRPr="001B525F" w:rsidRDefault="00350F69" w:rsidP="00B25DC6">
      <w:pPr>
        <w:spacing w:after="0"/>
        <w:ind w:right="49"/>
        <w:jc w:val="center"/>
        <w:rPr>
          <w:rFonts w:ascii="Arial" w:hAnsi="Arial" w:cs="Arial"/>
          <w:b/>
          <w:sz w:val="18"/>
          <w:szCs w:val="18"/>
        </w:rPr>
      </w:pPr>
      <w:r w:rsidRPr="007740FC">
        <w:rPr>
          <w:rFonts w:ascii="Arial" w:hAnsi="Arial" w:cs="Arial"/>
          <w:b/>
          <w:noProof/>
          <w:sz w:val="18"/>
          <w:szCs w:val="18"/>
          <w:lang w:eastAsia="es-MX"/>
        </w:rPr>
        <w:lastRenderedPageBreak/>
        <w:drawing>
          <wp:inline distT="0" distB="0" distL="0" distR="0" wp14:anchorId="2F83E72F" wp14:editId="337613CA">
            <wp:extent cx="5940425" cy="5026513"/>
            <wp:effectExtent l="0" t="0" r="3175"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04AD84F5"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1. Establecimiento de una llamada básica.</w:t>
      </w:r>
    </w:p>
    <w:p w14:paraId="49B00704" w14:textId="77777777" w:rsidR="00350F69" w:rsidRPr="001B525F" w:rsidRDefault="00350F69" w:rsidP="00561BBC">
      <w:pPr>
        <w:spacing w:after="0"/>
        <w:ind w:right="49"/>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6EDB8FFD" wp14:editId="519CFCE5">
            <wp:extent cx="5939790" cy="5534025"/>
            <wp:effectExtent l="0" t="0" r="381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010A0ABC"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2. Establecimiento de una llamada básica con medio temprano.</w:t>
      </w:r>
    </w:p>
    <w:p w14:paraId="3A083E9D" w14:textId="77777777" w:rsidR="00350F69" w:rsidRPr="001B525F" w:rsidRDefault="00350F69" w:rsidP="00B25DC6">
      <w:pPr>
        <w:spacing w:after="0"/>
        <w:ind w:right="49"/>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5B09A3E8" wp14:editId="0E9EC9B1">
            <wp:extent cx="5939790" cy="5534025"/>
            <wp:effectExtent l="0" t="0" r="381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6956D856"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3. Actualización de sesión.</w:t>
      </w:r>
    </w:p>
    <w:p w14:paraId="4346F3F6" w14:textId="77777777" w:rsidR="00350F69" w:rsidRPr="001B525F" w:rsidRDefault="00350F69" w:rsidP="00B25DC6">
      <w:pPr>
        <w:spacing w:after="0"/>
        <w:ind w:right="49"/>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44F5B2B0" wp14:editId="7CAC3F5F">
            <wp:extent cx="5939790" cy="5398770"/>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1409F6A4"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4. Actualización del medio.</w:t>
      </w:r>
    </w:p>
    <w:p w14:paraId="0E852986" w14:textId="77777777" w:rsidR="00350F69" w:rsidRPr="001B525F" w:rsidRDefault="00350F69" w:rsidP="00B25DC6">
      <w:pPr>
        <w:spacing w:after="0"/>
        <w:ind w:right="49"/>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227DD79B" wp14:editId="03032EEE">
            <wp:extent cx="5939790" cy="5327650"/>
            <wp:effectExtent l="0" t="0" r="381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2596B241"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5. Establecimiento de una llamada de tránsito.</w:t>
      </w:r>
    </w:p>
    <w:p w14:paraId="21412069" w14:textId="77777777" w:rsidR="00350F69" w:rsidRPr="001B525F" w:rsidRDefault="00350F69" w:rsidP="00561BBC">
      <w:pPr>
        <w:spacing w:after="0"/>
        <w:ind w:right="49"/>
        <w:rPr>
          <w:rFonts w:ascii="Arial" w:hAnsi="Arial" w:cs="Arial"/>
          <w:sz w:val="18"/>
          <w:szCs w:val="18"/>
        </w:rPr>
      </w:pPr>
    </w:p>
    <w:p w14:paraId="5A8529D8"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Liberación de las peticiones</w:t>
      </w:r>
    </w:p>
    <w:p w14:paraId="41A32B2B" w14:textId="77777777" w:rsidR="00350F69" w:rsidRPr="001B525F" w:rsidRDefault="00350F69" w:rsidP="00561BBC">
      <w:pPr>
        <w:spacing w:after="0"/>
        <w:ind w:right="49"/>
        <w:rPr>
          <w:rFonts w:ascii="Arial" w:hAnsi="Arial" w:cs="Arial"/>
          <w:sz w:val="18"/>
          <w:szCs w:val="18"/>
        </w:rPr>
      </w:pPr>
    </w:p>
    <w:p w14:paraId="2BBBF973"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Se realizará la liberación de la sesión en los siguientes casos:</w:t>
      </w:r>
    </w:p>
    <w:p w14:paraId="655D68AC" w14:textId="77777777" w:rsidR="00350F69" w:rsidRPr="001B525F" w:rsidRDefault="00350F69" w:rsidP="00561BBC">
      <w:pPr>
        <w:spacing w:after="0"/>
        <w:ind w:right="49"/>
        <w:rPr>
          <w:rFonts w:ascii="Arial" w:hAnsi="Arial" w:cs="Arial"/>
          <w:sz w:val="18"/>
          <w:szCs w:val="18"/>
        </w:rPr>
      </w:pPr>
    </w:p>
    <w:p w14:paraId="4B857BA8" w14:textId="77777777" w:rsidR="00350F69" w:rsidRPr="001B525F" w:rsidRDefault="00350F69" w:rsidP="00FD39D9">
      <w:pPr>
        <w:pStyle w:val="Prrafodelista"/>
        <w:numPr>
          <w:ilvl w:val="0"/>
          <w:numId w:val="31"/>
        </w:numPr>
        <w:spacing w:line="276" w:lineRule="auto"/>
        <w:ind w:left="709" w:hanging="357"/>
        <w:contextualSpacing/>
        <w:jc w:val="both"/>
        <w:rPr>
          <w:rFonts w:cs="Arial"/>
          <w:sz w:val="18"/>
          <w:szCs w:val="18"/>
        </w:rPr>
      </w:pPr>
      <w:r w:rsidRPr="001B525F">
        <w:rPr>
          <w:rFonts w:cs="Arial"/>
          <w:sz w:val="18"/>
          <w:szCs w:val="18"/>
        </w:rPr>
        <w:t>Cancelación de la petición con el método CANCEL. Valor de causa 31 (Normal. Sin especificar)</w:t>
      </w:r>
    </w:p>
    <w:p w14:paraId="5AE5A875" w14:textId="77777777" w:rsidR="00350F69" w:rsidRPr="001B525F" w:rsidRDefault="00350F69" w:rsidP="00FD39D9">
      <w:pPr>
        <w:pStyle w:val="Prrafodelista"/>
        <w:numPr>
          <w:ilvl w:val="0"/>
          <w:numId w:val="31"/>
        </w:numPr>
        <w:spacing w:line="276" w:lineRule="auto"/>
        <w:ind w:left="709" w:hanging="357"/>
        <w:contextualSpacing/>
        <w:jc w:val="both"/>
        <w:rPr>
          <w:rFonts w:cs="Arial"/>
          <w:sz w:val="18"/>
          <w:szCs w:val="18"/>
        </w:rPr>
      </w:pPr>
      <w:r w:rsidRPr="001B525F">
        <w:rPr>
          <w:rFonts w:cs="Arial"/>
          <w:sz w:val="18"/>
          <w:szCs w:val="18"/>
        </w:rPr>
        <w:t>Terminación de la petición con el método BYE. Valor de causa 16 (liberación normal de la llamada)</w:t>
      </w:r>
    </w:p>
    <w:p w14:paraId="377C74D5" w14:textId="77777777" w:rsidR="00350F69" w:rsidRPr="001B525F" w:rsidRDefault="00350F69" w:rsidP="00FD39D9">
      <w:pPr>
        <w:pStyle w:val="Prrafodelista"/>
        <w:numPr>
          <w:ilvl w:val="0"/>
          <w:numId w:val="31"/>
        </w:numPr>
        <w:spacing w:line="276" w:lineRule="auto"/>
        <w:ind w:left="709" w:hanging="357"/>
        <w:contextualSpacing/>
        <w:jc w:val="both"/>
        <w:rPr>
          <w:rFonts w:cs="Arial"/>
          <w:sz w:val="18"/>
          <w:szCs w:val="18"/>
        </w:rPr>
      </w:pPr>
      <w:r w:rsidRPr="001B525F">
        <w:rPr>
          <w:rFonts w:cs="Arial"/>
          <w:sz w:val="18"/>
          <w:szCs w:val="18"/>
        </w:rPr>
        <w:t>Recepción de algún código de estado 4xx, 5xx, o 6xx.</w:t>
      </w:r>
    </w:p>
    <w:p w14:paraId="3C9AF189" w14:textId="77777777" w:rsidR="00350F69" w:rsidRPr="001B525F" w:rsidRDefault="00350F69" w:rsidP="00561BBC">
      <w:pPr>
        <w:spacing w:after="0"/>
        <w:ind w:right="49"/>
        <w:jc w:val="center"/>
        <w:rPr>
          <w:rFonts w:ascii="Arial" w:hAnsi="Arial" w:cs="Arial"/>
          <w:sz w:val="18"/>
          <w:szCs w:val="18"/>
        </w:rPr>
      </w:pPr>
    </w:p>
    <w:tbl>
      <w:tblPr>
        <w:tblStyle w:val="Tablabsica3"/>
        <w:tblW w:w="47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6"/>
        <w:gridCol w:w="8044"/>
      </w:tblGrid>
      <w:tr w:rsidR="001B525F" w:rsidRPr="00FD39D9" w14:paraId="52A65033" w14:textId="77777777" w:rsidTr="00B25DC6">
        <w:trPr>
          <w:cnfStyle w:val="100000000000" w:firstRow="1" w:lastRow="0" w:firstColumn="0" w:lastColumn="0" w:oddVBand="0" w:evenVBand="0" w:oddHBand="0" w:evenHBand="0" w:firstRowFirstColumn="0" w:firstRowLastColumn="0" w:lastRowFirstColumn="0" w:lastRowLastColumn="0"/>
          <w:trHeight w:val="318"/>
          <w:jc w:val="center"/>
        </w:trPr>
        <w:tc>
          <w:tcPr>
            <w:tcW w:w="49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F30ECAA" w14:textId="77777777" w:rsidR="00350F69" w:rsidRPr="00FD39D9" w:rsidRDefault="00350F69" w:rsidP="001B2640">
            <w:pPr>
              <w:keepNext/>
              <w:spacing w:after="0"/>
              <w:ind w:right="49"/>
              <w:jc w:val="center"/>
              <w:rPr>
                <w:rFonts w:ascii="Arial" w:hAnsi="Arial" w:cs="Arial"/>
                <w:color w:val="auto"/>
                <w:sz w:val="16"/>
                <w:szCs w:val="18"/>
              </w:rPr>
            </w:pPr>
            <w:r w:rsidRPr="00FD39D9">
              <w:rPr>
                <w:rFonts w:ascii="Arial" w:hAnsi="Arial" w:cs="Arial"/>
                <w:color w:val="auto"/>
                <w:sz w:val="16"/>
                <w:szCs w:val="18"/>
              </w:rPr>
              <w:lastRenderedPageBreak/>
              <w:t>Código</w:t>
            </w:r>
          </w:p>
        </w:tc>
        <w:tc>
          <w:tcPr>
            <w:tcW w:w="450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2F3EBB5" w14:textId="77777777" w:rsidR="00350F69" w:rsidRPr="00FD39D9" w:rsidRDefault="00350F69" w:rsidP="001B2640">
            <w:pPr>
              <w:keepNext/>
              <w:spacing w:after="0"/>
              <w:ind w:right="49"/>
              <w:jc w:val="center"/>
              <w:rPr>
                <w:rFonts w:ascii="Arial" w:hAnsi="Arial" w:cs="Arial"/>
                <w:color w:val="auto"/>
                <w:sz w:val="16"/>
                <w:szCs w:val="18"/>
              </w:rPr>
            </w:pPr>
            <w:r w:rsidRPr="00FD39D9">
              <w:rPr>
                <w:rFonts w:ascii="Arial" w:hAnsi="Arial" w:cs="Arial"/>
                <w:color w:val="auto"/>
                <w:sz w:val="16"/>
                <w:szCs w:val="18"/>
              </w:rPr>
              <w:t>Descripción</w:t>
            </w:r>
          </w:p>
        </w:tc>
      </w:tr>
      <w:tr w:rsidR="001B525F" w:rsidRPr="00FD39D9" w14:paraId="1C889FDD" w14:textId="77777777" w:rsidTr="00B25DC6">
        <w:trPr>
          <w:jc w:val="center"/>
        </w:trPr>
        <w:tc>
          <w:tcPr>
            <w:tcW w:w="496" w:type="pct"/>
            <w:tcBorders>
              <w:top w:val="single" w:sz="4" w:space="0" w:color="000000"/>
            </w:tcBorders>
            <w:shd w:val="clear" w:color="auto" w:fill="D9D9D9" w:themeFill="background1" w:themeFillShade="D9"/>
          </w:tcPr>
          <w:p w14:paraId="515F9F60" w14:textId="77777777" w:rsidR="00350F69" w:rsidRPr="00FD39D9" w:rsidRDefault="00350F69" w:rsidP="00CC0143">
            <w:pPr>
              <w:keepNext/>
              <w:spacing w:after="0"/>
              <w:ind w:right="49"/>
              <w:jc w:val="center"/>
              <w:rPr>
                <w:rFonts w:ascii="Arial" w:hAnsi="Arial" w:cs="Arial"/>
                <w:sz w:val="16"/>
                <w:szCs w:val="18"/>
              </w:rPr>
            </w:pPr>
            <w:r w:rsidRPr="00FD39D9">
              <w:rPr>
                <w:rFonts w:ascii="Arial" w:hAnsi="Arial" w:cs="Arial"/>
                <w:sz w:val="16"/>
                <w:szCs w:val="18"/>
              </w:rPr>
              <w:t>1xx</w:t>
            </w:r>
          </w:p>
        </w:tc>
        <w:tc>
          <w:tcPr>
            <w:tcW w:w="4504" w:type="pct"/>
            <w:tcBorders>
              <w:top w:val="single" w:sz="4" w:space="0" w:color="000000"/>
            </w:tcBorders>
            <w:shd w:val="clear" w:color="auto" w:fill="D9D9D9" w:themeFill="background1" w:themeFillShade="D9"/>
          </w:tcPr>
          <w:p w14:paraId="5C720076" w14:textId="77777777" w:rsidR="00350F69" w:rsidRPr="00FD39D9" w:rsidRDefault="00350F69" w:rsidP="00561BBC">
            <w:pPr>
              <w:keepNext/>
              <w:spacing w:after="0"/>
              <w:ind w:right="49"/>
              <w:rPr>
                <w:rFonts w:ascii="Arial" w:hAnsi="Arial" w:cs="Arial"/>
                <w:sz w:val="16"/>
                <w:szCs w:val="18"/>
              </w:rPr>
            </w:pPr>
            <w:r w:rsidRPr="00FD39D9">
              <w:rPr>
                <w:rFonts w:ascii="Arial" w:hAnsi="Arial" w:cs="Arial"/>
                <w:sz w:val="16"/>
                <w:szCs w:val="18"/>
              </w:rPr>
              <w:t>Temporales; petición recibida, se procesa la petición</w:t>
            </w:r>
            <w:r w:rsidRPr="00FD39D9">
              <w:rPr>
                <w:rStyle w:val="Refdenotaalpie"/>
                <w:rFonts w:ascii="Arial" w:hAnsi="Arial" w:cs="Arial"/>
                <w:sz w:val="16"/>
                <w:szCs w:val="18"/>
              </w:rPr>
              <w:footnoteReference w:id="56"/>
            </w:r>
          </w:p>
        </w:tc>
      </w:tr>
      <w:tr w:rsidR="001B525F" w:rsidRPr="00FD39D9" w14:paraId="33F11DCB" w14:textId="77777777" w:rsidTr="00B25DC6">
        <w:trPr>
          <w:jc w:val="center"/>
        </w:trPr>
        <w:tc>
          <w:tcPr>
            <w:tcW w:w="496" w:type="pct"/>
          </w:tcPr>
          <w:p w14:paraId="40699177" w14:textId="77777777" w:rsidR="00350F69" w:rsidRPr="00FD39D9" w:rsidRDefault="00350F69" w:rsidP="00CC0143">
            <w:pPr>
              <w:keepNext/>
              <w:spacing w:after="0"/>
              <w:ind w:right="49"/>
              <w:jc w:val="center"/>
              <w:rPr>
                <w:rFonts w:ascii="Arial" w:hAnsi="Arial" w:cs="Arial"/>
                <w:sz w:val="16"/>
                <w:szCs w:val="18"/>
              </w:rPr>
            </w:pPr>
            <w:r w:rsidRPr="00FD39D9">
              <w:rPr>
                <w:rFonts w:ascii="Arial" w:hAnsi="Arial" w:cs="Arial"/>
                <w:sz w:val="16"/>
                <w:szCs w:val="18"/>
              </w:rPr>
              <w:t>2xx</w:t>
            </w:r>
          </w:p>
        </w:tc>
        <w:tc>
          <w:tcPr>
            <w:tcW w:w="4504" w:type="pct"/>
          </w:tcPr>
          <w:p w14:paraId="2CFE5434" w14:textId="77777777" w:rsidR="00350F69" w:rsidRPr="00FD39D9" w:rsidRDefault="00350F69" w:rsidP="00561BBC">
            <w:pPr>
              <w:keepNext/>
              <w:spacing w:after="0"/>
              <w:ind w:right="49"/>
              <w:rPr>
                <w:rFonts w:ascii="Arial" w:hAnsi="Arial" w:cs="Arial"/>
                <w:sz w:val="16"/>
                <w:szCs w:val="18"/>
              </w:rPr>
            </w:pPr>
            <w:r w:rsidRPr="00FD39D9">
              <w:rPr>
                <w:rFonts w:ascii="Arial" w:hAnsi="Arial" w:cs="Arial"/>
                <w:sz w:val="16"/>
                <w:szCs w:val="18"/>
              </w:rPr>
              <w:t>Exitoso; la acción fue recibida, entendida, y aceptada con éxito</w:t>
            </w:r>
          </w:p>
        </w:tc>
      </w:tr>
      <w:tr w:rsidR="001B525F" w:rsidRPr="00FD39D9" w14:paraId="365061A6" w14:textId="77777777" w:rsidTr="00B25DC6">
        <w:trPr>
          <w:jc w:val="center"/>
        </w:trPr>
        <w:tc>
          <w:tcPr>
            <w:tcW w:w="496" w:type="pct"/>
            <w:shd w:val="clear" w:color="auto" w:fill="D9D9D9" w:themeFill="background1" w:themeFillShade="D9"/>
          </w:tcPr>
          <w:p w14:paraId="4410B27D" w14:textId="77777777" w:rsidR="00350F69" w:rsidRPr="00FD39D9" w:rsidRDefault="00350F69" w:rsidP="00CC0143">
            <w:pPr>
              <w:keepNext/>
              <w:spacing w:after="0"/>
              <w:ind w:right="49"/>
              <w:jc w:val="center"/>
              <w:rPr>
                <w:rFonts w:ascii="Arial" w:hAnsi="Arial" w:cs="Arial"/>
                <w:sz w:val="16"/>
                <w:szCs w:val="18"/>
              </w:rPr>
            </w:pPr>
            <w:r w:rsidRPr="00FD39D9">
              <w:rPr>
                <w:rFonts w:ascii="Arial" w:hAnsi="Arial" w:cs="Arial"/>
                <w:sz w:val="16"/>
                <w:szCs w:val="18"/>
              </w:rPr>
              <w:t>3xx</w:t>
            </w:r>
          </w:p>
        </w:tc>
        <w:tc>
          <w:tcPr>
            <w:tcW w:w="4504" w:type="pct"/>
            <w:shd w:val="clear" w:color="auto" w:fill="D9D9D9" w:themeFill="background1" w:themeFillShade="D9"/>
          </w:tcPr>
          <w:p w14:paraId="4F9C32A9" w14:textId="77777777" w:rsidR="00350F69" w:rsidRPr="00FD39D9" w:rsidRDefault="00350F69" w:rsidP="00561BBC">
            <w:pPr>
              <w:keepNext/>
              <w:spacing w:after="0"/>
              <w:ind w:right="49"/>
              <w:rPr>
                <w:rFonts w:ascii="Arial" w:hAnsi="Arial" w:cs="Arial"/>
                <w:sz w:val="16"/>
                <w:szCs w:val="18"/>
              </w:rPr>
            </w:pPr>
            <w:r w:rsidRPr="00FD39D9">
              <w:rPr>
                <w:rFonts w:ascii="Arial" w:hAnsi="Arial" w:cs="Arial"/>
                <w:sz w:val="16"/>
                <w:szCs w:val="18"/>
              </w:rPr>
              <w:t>Redirección; se requieren acciones adicionales para terminar la petición</w:t>
            </w:r>
          </w:p>
        </w:tc>
      </w:tr>
      <w:tr w:rsidR="001B525F" w:rsidRPr="00FD39D9" w14:paraId="2AC95BF5" w14:textId="77777777" w:rsidTr="00B25DC6">
        <w:trPr>
          <w:jc w:val="center"/>
        </w:trPr>
        <w:tc>
          <w:tcPr>
            <w:tcW w:w="496" w:type="pct"/>
          </w:tcPr>
          <w:p w14:paraId="44BEF87E" w14:textId="77777777" w:rsidR="00350F69" w:rsidRPr="00FD39D9" w:rsidRDefault="00350F69" w:rsidP="00CC0143">
            <w:pPr>
              <w:keepNext/>
              <w:spacing w:after="0"/>
              <w:ind w:right="49"/>
              <w:jc w:val="center"/>
              <w:rPr>
                <w:rFonts w:ascii="Arial" w:hAnsi="Arial" w:cs="Arial"/>
                <w:sz w:val="16"/>
                <w:szCs w:val="18"/>
              </w:rPr>
            </w:pPr>
            <w:r w:rsidRPr="00FD39D9">
              <w:rPr>
                <w:rFonts w:ascii="Arial" w:hAnsi="Arial" w:cs="Arial"/>
                <w:sz w:val="16"/>
                <w:szCs w:val="18"/>
              </w:rPr>
              <w:t>4xx</w:t>
            </w:r>
          </w:p>
        </w:tc>
        <w:tc>
          <w:tcPr>
            <w:tcW w:w="4504" w:type="pct"/>
          </w:tcPr>
          <w:p w14:paraId="6D4FD5C8" w14:textId="77777777" w:rsidR="00350F69" w:rsidRPr="00FD39D9" w:rsidRDefault="00350F69" w:rsidP="00561BBC">
            <w:pPr>
              <w:keepNext/>
              <w:spacing w:after="0"/>
              <w:ind w:right="49"/>
              <w:rPr>
                <w:rFonts w:ascii="Arial" w:hAnsi="Arial" w:cs="Arial"/>
                <w:sz w:val="16"/>
                <w:szCs w:val="18"/>
              </w:rPr>
            </w:pPr>
            <w:r w:rsidRPr="00FD39D9">
              <w:rPr>
                <w:rFonts w:ascii="Arial" w:hAnsi="Arial" w:cs="Arial"/>
                <w:sz w:val="16"/>
                <w:szCs w:val="18"/>
              </w:rPr>
              <w:t>Error de cliente; la petición contiene sintaxis errónea o no se puede llevar a cabo en ese servidor</w:t>
            </w:r>
          </w:p>
        </w:tc>
      </w:tr>
      <w:tr w:rsidR="001B525F" w:rsidRPr="00FD39D9" w14:paraId="25430C78" w14:textId="77777777" w:rsidTr="00B25DC6">
        <w:trPr>
          <w:jc w:val="center"/>
        </w:trPr>
        <w:tc>
          <w:tcPr>
            <w:tcW w:w="496" w:type="pct"/>
            <w:shd w:val="clear" w:color="auto" w:fill="D9D9D9" w:themeFill="background1" w:themeFillShade="D9"/>
          </w:tcPr>
          <w:p w14:paraId="09D99B0D" w14:textId="77777777" w:rsidR="00350F69" w:rsidRPr="00FD39D9" w:rsidRDefault="00350F69" w:rsidP="00CC0143">
            <w:pPr>
              <w:keepNext/>
              <w:spacing w:after="0"/>
              <w:ind w:right="49"/>
              <w:jc w:val="center"/>
              <w:rPr>
                <w:rFonts w:ascii="Arial" w:hAnsi="Arial" w:cs="Arial"/>
                <w:sz w:val="16"/>
                <w:szCs w:val="18"/>
              </w:rPr>
            </w:pPr>
            <w:r w:rsidRPr="00FD39D9">
              <w:rPr>
                <w:rFonts w:ascii="Arial" w:hAnsi="Arial" w:cs="Arial"/>
                <w:sz w:val="16"/>
                <w:szCs w:val="18"/>
              </w:rPr>
              <w:t>5xx</w:t>
            </w:r>
          </w:p>
        </w:tc>
        <w:tc>
          <w:tcPr>
            <w:tcW w:w="4504" w:type="pct"/>
            <w:shd w:val="clear" w:color="auto" w:fill="D9D9D9" w:themeFill="background1" w:themeFillShade="D9"/>
          </w:tcPr>
          <w:p w14:paraId="7C1DFB6A" w14:textId="77777777" w:rsidR="00350F69" w:rsidRPr="00FD39D9" w:rsidRDefault="00350F69" w:rsidP="00561BBC">
            <w:pPr>
              <w:keepNext/>
              <w:spacing w:after="0"/>
              <w:ind w:right="49"/>
              <w:rPr>
                <w:rFonts w:ascii="Arial" w:hAnsi="Arial" w:cs="Arial"/>
                <w:sz w:val="16"/>
                <w:szCs w:val="18"/>
              </w:rPr>
            </w:pPr>
            <w:r w:rsidRPr="00FD39D9">
              <w:rPr>
                <w:rFonts w:ascii="Arial" w:hAnsi="Arial" w:cs="Arial"/>
                <w:sz w:val="16"/>
                <w:szCs w:val="18"/>
              </w:rPr>
              <w:t>Error de servidor; el servidor no pudo llevar a cabo una petición al parecer válida</w:t>
            </w:r>
          </w:p>
        </w:tc>
      </w:tr>
      <w:tr w:rsidR="001B525F" w:rsidRPr="00FD39D9" w14:paraId="1EBD3FDB" w14:textId="77777777" w:rsidTr="00B25DC6">
        <w:trPr>
          <w:jc w:val="center"/>
        </w:trPr>
        <w:tc>
          <w:tcPr>
            <w:tcW w:w="496" w:type="pct"/>
          </w:tcPr>
          <w:p w14:paraId="18420DEB" w14:textId="77777777" w:rsidR="00350F69" w:rsidRPr="00FD39D9" w:rsidRDefault="00350F69" w:rsidP="00CC0143">
            <w:pPr>
              <w:keepNext/>
              <w:spacing w:after="0"/>
              <w:ind w:right="49"/>
              <w:jc w:val="center"/>
              <w:rPr>
                <w:rFonts w:ascii="Arial" w:hAnsi="Arial" w:cs="Arial"/>
                <w:sz w:val="16"/>
                <w:szCs w:val="18"/>
              </w:rPr>
            </w:pPr>
            <w:r w:rsidRPr="00FD39D9">
              <w:rPr>
                <w:rFonts w:ascii="Arial" w:hAnsi="Arial" w:cs="Arial"/>
                <w:sz w:val="16"/>
                <w:szCs w:val="18"/>
              </w:rPr>
              <w:t>6xx</w:t>
            </w:r>
          </w:p>
        </w:tc>
        <w:tc>
          <w:tcPr>
            <w:tcW w:w="4504" w:type="pct"/>
          </w:tcPr>
          <w:p w14:paraId="391CBE4C" w14:textId="77777777" w:rsidR="00350F69" w:rsidRPr="00FD39D9" w:rsidRDefault="00350F69" w:rsidP="00561BBC">
            <w:pPr>
              <w:keepNext/>
              <w:spacing w:after="0"/>
              <w:ind w:right="49"/>
              <w:rPr>
                <w:rFonts w:ascii="Arial" w:hAnsi="Arial" w:cs="Arial"/>
                <w:sz w:val="16"/>
                <w:szCs w:val="18"/>
              </w:rPr>
            </w:pPr>
            <w:r w:rsidRPr="00FD39D9">
              <w:rPr>
                <w:rFonts w:ascii="Arial" w:hAnsi="Arial" w:cs="Arial"/>
                <w:sz w:val="16"/>
                <w:szCs w:val="18"/>
              </w:rPr>
              <w:t>Falla global; la petición no se puede satisfacer en ningún servidor</w:t>
            </w:r>
          </w:p>
        </w:tc>
      </w:tr>
    </w:tbl>
    <w:p w14:paraId="5D476AA8" w14:textId="735EBC5C" w:rsidR="00350F69" w:rsidRPr="001B525F" w:rsidRDefault="00350F69" w:rsidP="00CC0143">
      <w:pPr>
        <w:spacing w:after="0"/>
        <w:ind w:right="49"/>
        <w:jc w:val="center"/>
        <w:rPr>
          <w:rFonts w:ascii="Arial" w:hAnsi="Arial" w:cs="Arial"/>
          <w:i/>
          <w:sz w:val="18"/>
          <w:szCs w:val="18"/>
          <w:lang w:eastAsia="es-ES"/>
        </w:rPr>
      </w:pPr>
      <w:r w:rsidRPr="001B525F">
        <w:rPr>
          <w:rFonts w:ascii="Arial" w:hAnsi="Arial" w:cs="Arial"/>
          <w:sz w:val="18"/>
          <w:szCs w:val="18"/>
        </w:rPr>
        <w:t>Tabla 7. Códigos generales de respuesta SIP.</w:t>
      </w:r>
    </w:p>
    <w:p w14:paraId="17D38E6B" w14:textId="77777777" w:rsidR="00350F69" w:rsidRPr="001B525F" w:rsidRDefault="00350F69" w:rsidP="00561BBC">
      <w:pPr>
        <w:spacing w:after="0"/>
        <w:ind w:right="49"/>
        <w:jc w:val="center"/>
        <w:rPr>
          <w:rFonts w:ascii="Arial" w:hAnsi="Arial" w:cs="Arial"/>
          <w:sz w:val="18"/>
          <w:szCs w:val="18"/>
        </w:rPr>
      </w:pPr>
    </w:p>
    <w:p w14:paraId="2A0B5B1D" w14:textId="44546352"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Los servicios de transferencia de llamadas y redireccionamiento de llamadas se prestarán de acuerdo </w:t>
      </w:r>
      <w:r w:rsidR="00591A8A">
        <w:rPr>
          <w:rFonts w:ascii="Arial" w:hAnsi="Arial" w:cs="Arial"/>
          <w:sz w:val="18"/>
          <w:szCs w:val="18"/>
        </w:rPr>
        <w:t>con</w:t>
      </w:r>
      <w:r w:rsidRPr="001B525F">
        <w:rPr>
          <w:rFonts w:ascii="Arial" w:hAnsi="Arial" w:cs="Arial"/>
          <w:sz w:val="18"/>
          <w:szCs w:val="18"/>
        </w:rPr>
        <w:t xml:space="preserve"> la Recomendación RFC 5359</w:t>
      </w:r>
      <w:r w:rsidRPr="001B525F">
        <w:rPr>
          <w:rStyle w:val="Refdenotaalpie"/>
          <w:rFonts w:ascii="Arial" w:hAnsi="Arial" w:cs="Arial"/>
          <w:sz w:val="18"/>
          <w:szCs w:val="18"/>
        </w:rPr>
        <w:footnoteReference w:id="57"/>
      </w:r>
      <w:r w:rsidRPr="001B525F">
        <w:rPr>
          <w:rFonts w:ascii="Arial" w:hAnsi="Arial" w:cs="Arial"/>
          <w:sz w:val="18"/>
          <w:szCs w:val="18"/>
        </w:rPr>
        <w:t xml:space="preserve">. </w:t>
      </w:r>
    </w:p>
    <w:p w14:paraId="10B342E0" w14:textId="77777777" w:rsidR="00350F69" w:rsidRPr="001B525F" w:rsidRDefault="00350F69" w:rsidP="00561BBC">
      <w:pPr>
        <w:spacing w:after="0"/>
        <w:ind w:right="49"/>
        <w:rPr>
          <w:rFonts w:ascii="Arial" w:hAnsi="Arial" w:cs="Arial"/>
          <w:sz w:val="18"/>
          <w:szCs w:val="18"/>
        </w:rPr>
      </w:pPr>
    </w:p>
    <w:p w14:paraId="48194EF6" w14:textId="637DBDB9"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El encabezado REASON debe estar presente en cualquier CANCEL o BYE, de acuerdo </w:t>
      </w:r>
      <w:r w:rsidR="00591A8A">
        <w:rPr>
          <w:rFonts w:ascii="Arial" w:hAnsi="Arial" w:cs="Arial"/>
          <w:sz w:val="18"/>
          <w:szCs w:val="18"/>
        </w:rPr>
        <w:t>con</w:t>
      </w:r>
      <w:r w:rsidRPr="001B525F">
        <w:rPr>
          <w:rFonts w:ascii="Arial" w:hAnsi="Arial" w:cs="Arial"/>
          <w:sz w:val="18"/>
          <w:szCs w:val="18"/>
        </w:rPr>
        <w:t xml:space="preserve"> lo siguiente:</w:t>
      </w:r>
    </w:p>
    <w:p w14:paraId="0DF70711" w14:textId="77777777" w:rsidR="00350F69" w:rsidRPr="001B525F" w:rsidRDefault="00350F69" w:rsidP="00561BBC">
      <w:pPr>
        <w:spacing w:after="0"/>
        <w:ind w:right="49"/>
        <w:rPr>
          <w:rFonts w:ascii="Arial" w:hAnsi="Arial" w:cs="Arial"/>
          <w:sz w:val="18"/>
          <w:szCs w:val="18"/>
        </w:rPr>
      </w:pPr>
    </w:p>
    <w:tbl>
      <w:tblPr>
        <w:tblStyle w:val="Tablaconcuadrcula1"/>
        <w:tblW w:w="4753" w:type="pct"/>
        <w:jc w:val="center"/>
        <w:tblLook w:val="00A0" w:firstRow="1" w:lastRow="0" w:firstColumn="1" w:lastColumn="0" w:noHBand="0" w:noVBand="0"/>
      </w:tblPr>
      <w:tblGrid>
        <w:gridCol w:w="3296"/>
        <w:gridCol w:w="1992"/>
        <w:gridCol w:w="3642"/>
      </w:tblGrid>
      <w:tr w:rsidR="001B525F" w:rsidRPr="0055682C" w14:paraId="06F16DB7" w14:textId="77777777" w:rsidTr="00B25DC6">
        <w:trPr>
          <w:trHeight w:val="318"/>
          <w:jc w:val="center"/>
        </w:trPr>
        <w:tc>
          <w:tcPr>
            <w:tcW w:w="18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8D6C687" w14:textId="77777777" w:rsidR="00350F69" w:rsidRPr="0055682C" w:rsidRDefault="00350F69" w:rsidP="001B2640">
            <w:pPr>
              <w:keepNext/>
              <w:spacing w:after="0"/>
              <w:ind w:right="49"/>
              <w:jc w:val="center"/>
              <w:rPr>
                <w:rFonts w:ascii="Arial" w:hAnsi="Arial" w:cs="Arial"/>
                <w:b/>
                <w:bCs/>
                <w:sz w:val="16"/>
                <w:szCs w:val="18"/>
              </w:rPr>
            </w:pPr>
            <w:r w:rsidRPr="0055682C">
              <w:rPr>
                <w:rFonts w:ascii="Arial" w:hAnsi="Arial" w:cs="Arial"/>
                <w:b/>
                <w:bCs/>
                <w:sz w:val="16"/>
                <w:szCs w:val="18"/>
              </w:rPr>
              <w:t>Componente del campo de encabezado</w:t>
            </w:r>
          </w:p>
        </w:tc>
        <w:tc>
          <w:tcPr>
            <w:tcW w:w="111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28B2174" w14:textId="77777777" w:rsidR="00350F69" w:rsidRPr="0055682C" w:rsidRDefault="00350F69" w:rsidP="001B2640">
            <w:pPr>
              <w:keepNext/>
              <w:spacing w:after="0"/>
              <w:ind w:right="49"/>
              <w:jc w:val="center"/>
              <w:rPr>
                <w:rFonts w:ascii="Arial" w:hAnsi="Arial" w:cs="Arial"/>
                <w:b/>
                <w:bCs/>
                <w:sz w:val="16"/>
                <w:szCs w:val="18"/>
              </w:rPr>
            </w:pPr>
            <w:r w:rsidRPr="0055682C">
              <w:rPr>
                <w:rFonts w:ascii="Arial" w:hAnsi="Arial" w:cs="Arial"/>
                <w:b/>
                <w:bCs/>
                <w:sz w:val="16"/>
                <w:szCs w:val="18"/>
              </w:rPr>
              <w:t>Valor</w:t>
            </w:r>
          </w:p>
        </w:tc>
        <w:tc>
          <w:tcPr>
            <w:tcW w:w="203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E8F3502" w14:textId="77777777" w:rsidR="00350F69" w:rsidRPr="0055682C" w:rsidRDefault="00350F69" w:rsidP="001B2640">
            <w:pPr>
              <w:keepNext/>
              <w:spacing w:after="0"/>
              <w:ind w:right="49"/>
              <w:jc w:val="center"/>
              <w:rPr>
                <w:rFonts w:ascii="Arial" w:hAnsi="Arial" w:cs="Arial"/>
                <w:b/>
                <w:bCs/>
                <w:sz w:val="16"/>
                <w:szCs w:val="18"/>
              </w:rPr>
            </w:pPr>
            <w:r w:rsidRPr="0055682C">
              <w:rPr>
                <w:rFonts w:ascii="Arial" w:hAnsi="Arial" w:cs="Arial"/>
                <w:b/>
                <w:bCs/>
                <w:sz w:val="16"/>
                <w:szCs w:val="18"/>
              </w:rPr>
              <w:t>Descripción de la causa de liberación</w:t>
            </w:r>
          </w:p>
        </w:tc>
      </w:tr>
      <w:tr w:rsidR="001B525F" w:rsidRPr="0055682C" w14:paraId="61867F9C" w14:textId="77777777" w:rsidTr="00B25DC6">
        <w:trPr>
          <w:jc w:val="center"/>
        </w:trPr>
        <w:tc>
          <w:tcPr>
            <w:tcW w:w="1845" w:type="pct"/>
            <w:tcBorders>
              <w:top w:val="single" w:sz="4" w:space="0" w:color="000000"/>
            </w:tcBorders>
            <w:shd w:val="clear" w:color="auto" w:fill="D9D9D9" w:themeFill="background1" w:themeFillShade="D9"/>
          </w:tcPr>
          <w:p w14:paraId="770AACD1" w14:textId="77777777" w:rsidR="00350F69" w:rsidRPr="0055682C" w:rsidRDefault="00350F69" w:rsidP="00CC0143">
            <w:pPr>
              <w:keepNext/>
              <w:spacing w:after="0"/>
              <w:ind w:right="49"/>
              <w:rPr>
                <w:rFonts w:ascii="Arial" w:hAnsi="Arial" w:cs="Arial"/>
                <w:sz w:val="16"/>
                <w:szCs w:val="18"/>
              </w:rPr>
            </w:pPr>
            <w:r w:rsidRPr="0055682C">
              <w:rPr>
                <w:rFonts w:ascii="Arial" w:hAnsi="Arial" w:cs="Arial"/>
                <w:sz w:val="16"/>
                <w:szCs w:val="18"/>
              </w:rPr>
              <w:t>Protocolo</w:t>
            </w:r>
          </w:p>
        </w:tc>
        <w:tc>
          <w:tcPr>
            <w:tcW w:w="1115" w:type="pct"/>
            <w:tcBorders>
              <w:top w:val="single" w:sz="4" w:space="0" w:color="000000"/>
            </w:tcBorders>
            <w:shd w:val="clear" w:color="auto" w:fill="D9D9D9" w:themeFill="background1" w:themeFillShade="D9"/>
          </w:tcPr>
          <w:p w14:paraId="6F94B5A0" w14:textId="77777777" w:rsidR="00350F69" w:rsidRPr="0055682C" w:rsidRDefault="00350F69" w:rsidP="00561BBC">
            <w:pPr>
              <w:keepNext/>
              <w:spacing w:after="0"/>
              <w:ind w:right="49"/>
              <w:jc w:val="center"/>
              <w:rPr>
                <w:rFonts w:ascii="Arial" w:hAnsi="Arial" w:cs="Arial"/>
                <w:sz w:val="16"/>
                <w:szCs w:val="18"/>
              </w:rPr>
            </w:pPr>
            <w:r w:rsidRPr="0055682C">
              <w:rPr>
                <w:rFonts w:ascii="Arial" w:hAnsi="Arial" w:cs="Arial"/>
                <w:sz w:val="16"/>
                <w:szCs w:val="18"/>
              </w:rPr>
              <w:t>SIP</w:t>
            </w:r>
          </w:p>
        </w:tc>
        <w:tc>
          <w:tcPr>
            <w:tcW w:w="2039" w:type="pct"/>
            <w:tcBorders>
              <w:top w:val="single" w:sz="4" w:space="0" w:color="000000"/>
            </w:tcBorders>
            <w:shd w:val="clear" w:color="auto" w:fill="D9D9D9" w:themeFill="background1" w:themeFillShade="D9"/>
          </w:tcPr>
          <w:p w14:paraId="3708A3F3"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Parámetros indicadores de la causa</w:t>
            </w:r>
          </w:p>
        </w:tc>
      </w:tr>
      <w:tr w:rsidR="001B525F" w:rsidRPr="0055682C" w14:paraId="2B1D3E47" w14:textId="77777777" w:rsidTr="00B25DC6">
        <w:trPr>
          <w:jc w:val="center"/>
        </w:trPr>
        <w:tc>
          <w:tcPr>
            <w:tcW w:w="1845" w:type="pct"/>
          </w:tcPr>
          <w:p w14:paraId="7FDA77CF" w14:textId="77777777" w:rsidR="00350F69" w:rsidRPr="0055682C" w:rsidRDefault="00350F69" w:rsidP="00CC0143">
            <w:pPr>
              <w:keepNext/>
              <w:spacing w:after="0"/>
              <w:ind w:right="49"/>
              <w:rPr>
                <w:rFonts w:ascii="Arial" w:hAnsi="Arial" w:cs="Arial"/>
                <w:sz w:val="16"/>
                <w:szCs w:val="18"/>
              </w:rPr>
            </w:pPr>
            <w:r w:rsidRPr="0055682C">
              <w:rPr>
                <w:rFonts w:ascii="Arial" w:hAnsi="Arial" w:cs="Arial"/>
                <w:sz w:val="16"/>
                <w:szCs w:val="18"/>
              </w:rPr>
              <w:t>Causa del protocolo</w:t>
            </w:r>
          </w:p>
        </w:tc>
        <w:tc>
          <w:tcPr>
            <w:tcW w:w="1115" w:type="pct"/>
          </w:tcPr>
          <w:p w14:paraId="7B332EDD" w14:textId="77777777" w:rsidR="00350F69" w:rsidRPr="0055682C" w:rsidRDefault="00350F69" w:rsidP="00561BBC">
            <w:pPr>
              <w:keepNext/>
              <w:spacing w:after="0"/>
              <w:ind w:right="49"/>
              <w:jc w:val="center"/>
              <w:rPr>
                <w:rFonts w:ascii="Arial" w:hAnsi="Arial" w:cs="Arial"/>
                <w:sz w:val="16"/>
                <w:szCs w:val="18"/>
              </w:rPr>
            </w:pPr>
            <w:r w:rsidRPr="0055682C">
              <w:rPr>
                <w:rFonts w:ascii="Arial" w:hAnsi="Arial" w:cs="Arial"/>
                <w:sz w:val="16"/>
                <w:szCs w:val="18"/>
              </w:rPr>
              <w:t>Cause=XX</w:t>
            </w:r>
          </w:p>
        </w:tc>
        <w:tc>
          <w:tcPr>
            <w:tcW w:w="2039" w:type="pct"/>
          </w:tcPr>
          <w:p w14:paraId="7599DF6D"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Valor de causa definido de forma numérica</w:t>
            </w:r>
          </w:p>
        </w:tc>
      </w:tr>
      <w:tr w:rsidR="001B525F" w:rsidRPr="0055682C" w14:paraId="3306C8A4" w14:textId="77777777" w:rsidTr="00B25DC6">
        <w:trPr>
          <w:jc w:val="center"/>
        </w:trPr>
        <w:tc>
          <w:tcPr>
            <w:tcW w:w="1845" w:type="pct"/>
            <w:shd w:val="clear" w:color="auto" w:fill="D9D9D9" w:themeFill="background1" w:themeFillShade="D9"/>
          </w:tcPr>
          <w:p w14:paraId="1BEAF001" w14:textId="77777777" w:rsidR="00350F69" w:rsidRPr="0055682C" w:rsidRDefault="00350F69" w:rsidP="00CC0143">
            <w:pPr>
              <w:keepNext/>
              <w:spacing w:after="0"/>
              <w:ind w:right="49"/>
              <w:rPr>
                <w:rFonts w:ascii="Arial" w:hAnsi="Arial" w:cs="Arial"/>
                <w:sz w:val="16"/>
                <w:szCs w:val="18"/>
              </w:rPr>
            </w:pPr>
            <w:r w:rsidRPr="0055682C">
              <w:rPr>
                <w:rFonts w:ascii="Arial" w:hAnsi="Arial" w:cs="Arial"/>
                <w:sz w:val="16"/>
                <w:szCs w:val="18"/>
              </w:rPr>
              <w:t>Descripción de la causa de liberación</w:t>
            </w:r>
          </w:p>
        </w:tc>
        <w:tc>
          <w:tcPr>
            <w:tcW w:w="1115" w:type="pct"/>
            <w:shd w:val="clear" w:color="auto" w:fill="D9D9D9" w:themeFill="background1" w:themeFillShade="D9"/>
          </w:tcPr>
          <w:p w14:paraId="1F061169" w14:textId="77777777" w:rsidR="00350F69" w:rsidRPr="0055682C" w:rsidRDefault="00350F69" w:rsidP="00561BBC">
            <w:pPr>
              <w:keepNext/>
              <w:spacing w:after="0"/>
              <w:ind w:right="49"/>
              <w:jc w:val="center"/>
              <w:rPr>
                <w:rFonts w:ascii="Arial" w:hAnsi="Arial" w:cs="Arial"/>
                <w:sz w:val="16"/>
                <w:szCs w:val="18"/>
              </w:rPr>
            </w:pPr>
            <w:r w:rsidRPr="0055682C">
              <w:rPr>
                <w:rFonts w:ascii="Arial" w:hAnsi="Arial" w:cs="Arial"/>
                <w:sz w:val="16"/>
                <w:szCs w:val="18"/>
              </w:rPr>
              <w:t>Text=xxxxxxxxxxxxx</w:t>
            </w:r>
          </w:p>
        </w:tc>
        <w:tc>
          <w:tcPr>
            <w:tcW w:w="2039" w:type="pct"/>
            <w:shd w:val="clear" w:color="auto" w:fill="D9D9D9" w:themeFill="background1" w:themeFillShade="D9"/>
          </w:tcPr>
          <w:p w14:paraId="46D6A1B7"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Valor alfanumérico</w:t>
            </w:r>
          </w:p>
        </w:tc>
      </w:tr>
    </w:tbl>
    <w:p w14:paraId="264C0948" w14:textId="53F17D24"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8. Códigos generales de respuesta SIP.</w:t>
      </w:r>
    </w:p>
    <w:p w14:paraId="4E0CD07E" w14:textId="77777777" w:rsidR="00350F69" w:rsidRPr="001B525F" w:rsidRDefault="00350F69" w:rsidP="00C64BA6">
      <w:pPr>
        <w:spacing w:after="0"/>
        <w:ind w:right="49"/>
        <w:rPr>
          <w:rFonts w:ascii="Arial" w:hAnsi="Arial" w:cs="Arial"/>
          <w:sz w:val="18"/>
          <w:szCs w:val="18"/>
        </w:rPr>
      </w:pPr>
    </w:p>
    <w:tbl>
      <w:tblPr>
        <w:tblStyle w:val="Tablaconcuadrcula1"/>
        <w:tblW w:w="4748" w:type="pct"/>
        <w:jc w:val="center"/>
        <w:tblLook w:val="00A0" w:firstRow="1" w:lastRow="0" w:firstColumn="1" w:lastColumn="0" w:noHBand="0" w:noVBand="0"/>
      </w:tblPr>
      <w:tblGrid>
        <w:gridCol w:w="646"/>
        <w:gridCol w:w="5408"/>
        <w:gridCol w:w="2867"/>
      </w:tblGrid>
      <w:tr w:rsidR="00421C7E" w:rsidRPr="0055682C" w14:paraId="1A8A0639" w14:textId="77777777" w:rsidTr="00B25DC6">
        <w:trPr>
          <w:trHeight w:val="318"/>
          <w:jc w:val="center"/>
        </w:trPr>
        <w:tc>
          <w:tcPr>
            <w:tcW w:w="36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A75A99" w14:textId="77777777" w:rsidR="00350F69" w:rsidRPr="0055682C" w:rsidRDefault="00350F69" w:rsidP="001B2640">
            <w:pPr>
              <w:keepNext/>
              <w:spacing w:after="0"/>
              <w:ind w:right="49"/>
              <w:jc w:val="center"/>
              <w:rPr>
                <w:rFonts w:ascii="Arial" w:hAnsi="Arial" w:cs="Arial"/>
                <w:b/>
                <w:bCs/>
                <w:sz w:val="16"/>
                <w:szCs w:val="18"/>
              </w:rPr>
            </w:pPr>
            <w:r w:rsidRPr="0055682C">
              <w:rPr>
                <w:rFonts w:ascii="Arial" w:hAnsi="Arial" w:cs="Arial"/>
                <w:b/>
                <w:bCs/>
                <w:sz w:val="16"/>
                <w:szCs w:val="18"/>
              </w:rPr>
              <w:t>No.</w:t>
            </w:r>
          </w:p>
        </w:tc>
        <w:tc>
          <w:tcPr>
            <w:tcW w:w="303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B4B7DD8" w14:textId="77777777" w:rsidR="00350F69" w:rsidRPr="0055682C" w:rsidRDefault="00350F69" w:rsidP="001B2640">
            <w:pPr>
              <w:keepNext/>
              <w:spacing w:after="0"/>
              <w:ind w:right="49"/>
              <w:jc w:val="center"/>
              <w:rPr>
                <w:rFonts w:ascii="Arial" w:hAnsi="Arial" w:cs="Arial"/>
                <w:b/>
                <w:bCs/>
                <w:sz w:val="16"/>
                <w:szCs w:val="18"/>
              </w:rPr>
            </w:pPr>
            <w:r w:rsidRPr="0055682C">
              <w:rPr>
                <w:rFonts w:ascii="Arial" w:hAnsi="Arial" w:cs="Arial"/>
                <w:b/>
                <w:bCs/>
                <w:sz w:val="16"/>
                <w:szCs w:val="18"/>
              </w:rPr>
              <w:t>Motivo de rechazo</w:t>
            </w:r>
          </w:p>
        </w:tc>
        <w:tc>
          <w:tcPr>
            <w:tcW w:w="160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A278E47" w14:textId="77777777" w:rsidR="00350F69" w:rsidRPr="0055682C" w:rsidRDefault="00350F69" w:rsidP="001B2640">
            <w:pPr>
              <w:keepNext/>
              <w:spacing w:after="0"/>
              <w:ind w:right="49"/>
              <w:jc w:val="center"/>
              <w:rPr>
                <w:rFonts w:ascii="Arial" w:hAnsi="Arial" w:cs="Arial"/>
                <w:b/>
                <w:bCs/>
                <w:sz w:val="16"/>
                <w:szCs w:val="18"/>
              </w:rPr>
            </w:pPr>
            <w:r w:rsidRPr="0055682C">
              <w:rPr>
                <w:rFonts w:ascii="Arial" w:hAnsi="Arial" w:cs="Arial"/>
                <w:b/>
                <w:bCs/>
                <w:sz w:val="16"/>
                <w:szCs w:val="18"/>
              </w:rPr>
              <w:t>Mensaje SIP</w:t>
            </w:r>
          </w:p>
        </w:tc>
      </w:tr>
      <w:tr w:rsidR="001B525F" w:rsidRPr="0055682C" w14:paraId="2BBDECE8" w14:textId="77777777" w:rsidTr="00B25DC6">
        <w:trPr>
          <w:jc w:val="center"/>
        </w:trPr>
        <w:tc>
          <w:tcPr>
            <w:tcW w:w="362" w:type="pct"/>
            <w:tcBorders>
              <w:top w:val="single" w:sz="4" w:space="0" w:color="000000"/>
            </w:tcBorders>
            <w:shd w:val="clear" w:color="auto" w:fill="D9D9D9" w:themeFill="background1" w:themeFillShade="D9"/>
          </w:tcPr>
          <w:p w14:paraId="3C1D76AC" w14:textId="77777777" w:rsidR="00350F69" w:rsidRPr="0055682C" w:rsidRDefault="00350F69" w:rsidP="00CC0143">
            <w:pPr>
              <w:keepNext/>
              <w:spacing w:after="0"/>
              <w:ind w:right="49"/>
              <w:jc w:val="center"/>
              <w:rPr>
                <w:rFonts w:ascii="Arial" w:hAnsi="Arial" w:cs="Arial"/>
                <w:sz w:val="16"/>
                <w:szCs w:val="18"/>
              </w:rPr>
            </w:pPr>
            <w:r w:rsidRPr="0055682C">
              <w:rPr>
                <w:rFonts w:ascii="Arial" w:hAnsi="Arial" w:cs="Arial"/>
                <w:sz w:val="16"/>
                <w:szCs w:val="18"/>
              </w:rPr>
              <w:t>1</w:t>
            </w:r>
          </w:p>
        </w:tc>
        <w:tc>
          <w:tcPr>
            <w:tcW w:w="3031" w:type="pct"/>
            <w:tcBorders>
              <w:top w:val="single" w:sz="4" w:space="0" w:color="000000"/>
            </w:tcBorders>
            <w:shd w:val="clear" w:color="auto" w:fill="D9D9D9" w:themeFill="background1" w:themeFillShade="D9"/>
          </w:tcPr>
          <w:p w14:paraId="515E86A4"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Formato de número inválido o sintaxis incorrecta de la petición.</w:t>
            </w:r>
          </w:p>
        </w:tc>
        <w:tc>
          <w:tcPr>
            <w:tcW w:w="1607" w:type="pct"/>
            <w:tcBorders>
              <w:top w:val="single" w:sz="4" w:space="0" w:color="000000"/>
            </w:tcBorders>
            <w:shd w:val="clear" w:color="auto" w:fill="D9D9D9" w:themeFill="background1" w:themeFillShade="D9"/>
          </w:tcPr>
          <w:p w14:paraId="32601978"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400 Petición incorrecta</w:t>
            </w:r>
          </w:p>
        </w:tc>
      </w:tr>
      <w:tr w:rsidR="001B525F" w:rsidRPr="0055682C" w14:paraId="07CF1F80" w14:textId="77777777" w:rsidTr="00B25DC6">
        <w:trPr>
          <w:jc w:val="center"/>
        </w:trPr>
        <w:tc>
          <w:tcPr>
            <w:tcW w:w="362" w:type="pct"/>
          </w:tcPr>
          <w:p w14:paraId="303651BB" w14:textId="77777777" w:rsidR="00350F69" w:rsidRPr="0055682C" w:rsidRDefault="00350F69" w:rsidP="00CC0143">
            <w:pPr>
              <w:keepNext/>
              <w:spacing w:after="0"/>
              <w:ind w:right="49"/>
              <w:jc w:val="center"/>
              <w:rPr>
                <w:rFonts w:ascii="Arial" w:hAnsi="Arial" w:cs="Arial"/>
                <w:sz w:val="16"/>
                <w:szCs w:val="18"/>
              </w:rPr>
            </w:pPr>
            <w:r w:rsidRPr="0055682C">
              <w:rPr>
                <w:rFonts w:ascii="Arial" w:hAnsi="Arial" w:cs="Arial"/>
                <w:sz w:val="16"/>
                <w:szCs w:val="18"/>
              </w:rPr>
              <w:t>2</w:t>
            </w:r>
          </w:p>
        </w:tc>
        <w:tc>
          <w:tcPr>
            <w:tcW w:w="3031" w:type="pct"/>
          </w:tcPr>
          <w:p w14:paraId="2EEA376B"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Número cambió</w:t>
            </w:r>
          </w:p>
        </w:tc>
        <w:tc>
          <w:tcPr>
            <w:tcW w:w="1607" w:type="pct"/>
          </w:tcPr>
          <w:p w14:paraId="6A5CDE75"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410 Se fue</w:t>
            </w:r>
          </w:p>
        </w:tc>
      </w:tr>
      <w:tr w:rsidR="001B525F" w:rsidRPr="0055682C" w14:paraId="43D97B90" w14:textId="77777777" w:rsidTr="00B25DC6">
        <w:trPr>
          <w:jc w:val="center"/>
        </w:trPr>
        <w:tc>
          <w:tcPr>
            <w:tcW w:w="362" w:type="pct"/>
            <w:shd w:val="clear" w:color="auto" w:fill="D9D9D9" w:themeFill="background1" w:themeFillShade="D9"/>
          </w:tcPr>
          <w:p w14:paraId="2FF821AE" w14:textId="77777777" w:rsidR="00350F69" w:rsidRPr="0055682C" w:rsidRDefault="00350F69" w:rsidP="00CC0143">
            <w:pPr>
              <w:keepNext/>
              <w:spacing w:after="0"/>
              <w:ind w:right="49"/>
              <w:jc w:val="center"/>
              <w:rPr>
                <w:rFonts w:ascii="Arial" w:hAnsi="Arial" w:cs="Arial"/>
                <w:sz w:val="16"/>
                <w:szCs w:val="18"/>
              </w:rPr>
            </w:pPr>
            <w:r w:rsidRPr="0055682C">
              <w:rPr>
                <w:rFonts w:ascii="Arial" w:hAnsi="Arial" w:cs="Arial"/>
                <w:sz w:val="16"/>
                <w:szCs w:val="18"/>
              </w:rPr>
              <w:t>3</w:t>
            </w:r>
          </w:p>
        </w:tc>
        <w:tc>
          <w:tcPr>
            <w:tcW w:w="3031" w:type="pct"/>
            <w:shd w:val="clear" w:color="auto" w:fill="D9D9D9" w:themeFill="background1" w:themeFillShade="D9"/>
          </w:tcPr>
          <w:p w14:paraId="5D30E22E"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Número destino incompleto</w:t>
            </w:r>
          </w:p>
        </w:tc>
        <w:tc>
          <w:tcPr>
            <w:tcW w:w="1607" w:type="pct"/>
            <w:shd w:val="clear" w:color="auto" w:fill="D9D9D9" w:themeFill="background1" w:themeFillShade="D9"/>
          </w:tcPr>
          <w:p w14:paraId="3761F3F9"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484 Dirección incompleta</w:t>
            </w:r>
          </w:p>
        </w:tc>
      </w:tr>
      <w:tr w:rsidR="001B525F" w:rsidRPr="0055682C" w14:paraId="7D02A34B" w14:textId="77777777" w:rsidTr="00B25DC6">
        <w:trPr>
          <w:jc w:val="center"/>
        </w:trPr>
        <w:tc>
          <w:tcPr>
            <w:tcW w:w="362" w:type="pct"/>
          </w:tcPr>
          <w:p w14:paraId="09661091" w14:textId="77777777" w:rsidR="00350F69" w:rsidRPr="0055682C" w:rsidRDefault="00350F69" w:rsidP="00CC0143">
            <w:pPr>
              <w:keepNext/>
              <w:spacing w:after="0"/>
              <w:ind w:right="49"/>
              <w:jc w:val="center"/>
              <w:rPr>
                <w:rFonts w:ascii="Arial" w:hAnsi="Arial" w:cs="Arial"/>
                <w:sz w:val="16"/>
                <w:szCs w:val="18"/>
              </w:rPr>
            </w:pPr>
            <w:r w:rsidRPr="0055682C">
              <w:rPr>
                <w:rFonts w:ascii="Arial" w:hAnsi="Arial" w:cs="Arial"/>
                <w:sz w:val="16"/>
                <w:szCs w:val="18"/>
              </w:rPr>
              <w:t>4</w:t>
            </w:r>
          </w:p>
        </w:tc>
        <w:tc>
          <w:tcPr>
            <w:tcW w:w="3031" w:type="pct"/>
          </w:tcPr>
          <w:p w14:paraId="2B964891"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Destino descolgado</w:t>
            </w:r>
          </w:p>
        </w:tc>
        <w:tc>
          <w:tcPr>
            <w:tcW w:w="1607" w:type="pct"/>
          </w:tcPr>
          <w:p w14:paraId="3F6ABDDD"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502 Compuerta incorrecta</w:t>
            </w:r>
          </w:p>
        </w:tc>
      </w:tr>
      <w:tr w:rsidR="001B525F" w:rsidRPr="0055682C" w14:paraId="20CC896B" w14:textId="77777777" w:rsidTr="00B25DC6">
        <w:trPr>
          <w:jc w:val="center"/>
        </w:trPr>
        <w:tc>
          <w:tcPr>
            <w:tcW w:w="362" w:type="pct"/>
            <w:shd w:val="clear" w:color="auto" w:fill="D9D9D9" w:themeFill="background1" w:themeFillShade="D9"/>
          </w:tcPr>
          <w:p w14:paraId="693F768B" w14:textId="77777777" w:rsidR="00350F69" w:rsidRPr="0055682C" w:rsidRDefault="00350F69" w:rsidP="00CC0143">
            <w:pPr>
              <w:keepNext/>
              <w:spacing w:after="0"/>
              <w:ind w:right="49"/>
              <w:jc w:val="center"/>
              <w:rPr>
                <w:rFonts w:ascii="Arial" w:hAnsi="Arial" w:cs="Arial"/>
                <w:sz w:val="16"/>
                <w:szCs w:val="18"/>
              </w:rPr>
            </w:pPr>
            <w:r w:rsidRPr="0055682C">
              <w:rPr>
                <w:rFonts w:ascii="Arial" w:hAnsi="Arial" w:cs="Arial"/>
                <w:sz w:val="16"/>
                <w:szCs w:val="18"/>
              </w:rPr>
              <w:t>5</w:t>
            </w:r>
          </w:p>
        </w:tc>
        <w:tc>
          <w:tcPr>
            <w:tcW w:w="3031" w:type="pct"/>
            <w:shd w:val="clear" w:color="auto" w:fill="D9D9D9" w:themeFill="background1" w:themeFillShade="D9"/>
          </w:tcPr>
          <w:p w14:paraId="42B3ADE7"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Marcar a un número que no existe en la red destino</w:t>
            </w:r>
          </w:p>
        </w:tc>
        <w:tc>
          <w:tcPr>
            <w:tcW w:w="1607" w:type="pct"/>
            <w:shd w:val="clear" w:color="auto" w:fill="D9D9D9" w:themeFill="background1" w:themeFillShade="D9"/>
          </w:tcPr>
          <w:p w14:paraId="022356FB" w14:textId="77777777" w:rsidR="00350F69" w:rsidRPr="0055682C" w:rsidRDefault="00350F69" w:rsidP="00561BBC">
            <w:pPr>
              <w:keepNext/>
              <w:spacing w:after="0"/>
              <w:ind w:right="49"/>
              <w:rPr>
                <w:rFonts w:ascii="Arial" w:hAnsi="Arial" w:cs="Arial"/>
                <w:sz w:val="16"/>
                <w:szCs w:val="18"/>
              </w:rPr>
            </w:pPr>
            <w:r w:rsidRPr="0055682C">
              <w:rPr>
                <w:rFonts w:ascii="Arial" w:hAnsi="Arial" w:cs="Arial"/>
                <w:sz w:val="16"/>
                <w:szCs w:val="18"/>
              </w:rPr>
              <w:t>604 No existe en ninguna parte</w:t>
            </w:r>
          </w:p>
        </w:tc>
      </w:tr>
    </w:tbl>
    <w:p w14:paraId="61C0841F" w14:textId="6AE9661E"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9. Códigos de respuesta SIP</w:t>
      </w:r>
      <w:r w:rsidRPr="001B525F">
        <w:rPr>
          <w:rStyle w:val="Refdenotaalpie"/>
          <w:rFonts w:ascii="Arial" w:hAnsi="Arial" w:cs="Arial"/>
          <w:sz w:val="18"/>
          <w:szCs w:val="18"/>
        </w:rPr>
        <w:footnoteReference w:id="58"/>
      </w:r>
      <w:r w:rsidRPr="001B525F">
        <w:rPr>
          <w:rFonts w:ascii="Arial" w:hAnsi="Arial" w:cs="Arial"/>
          <w:sz w:val="18"/>
          <w:szCs w:val="18"/>
        </w:rPr>
        <w:t>.</w:t>
      </w:r>
    </w:p>
    <w:p w14:paraId="31997739" w14:textId="77777777" w:rsidR="00350F69" w:rsidRPr="001B525F" w:rsidRDefault="00350F69" w:rsidP="00561BBC">
      <w:pPr>
        <w:spacing w:after="0"/>
        <w:ind w:right="49"/>
        <w:rPr>
          <w:rFonts w:ascii="Arial" w:hAnsi="Arial" w:cs="Arial"/>
          <w:sz w:val="18"/>
          <w:szCs w:val="18"/>
        </w:rPr>
      </w:pPr>
    </w:p>
    <w:p w14:paraId="677F9701"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Calidad de servicio</w:t>
      </w:r>
    </w:p>
    <w:p w14:paraId="24D0DE47" w14:textId="77777777" w:rsidR="00350F69" w:rsidRPr="001B525F" w:rsidRDefault="00350F69" w:rsidP="00561BBC">
      <w:pPr>
        <w:spacing w:after="0"/>
        <w:ind w:right="49"/>
        <w:rPr>
          <w:rFonts w:ascii="Arial" w:hAnsi="Arial" w:cs="Arial"/>
          <w:sz w:val="18"/>
          <w:szCs w:val="18"/>
        </w:rPr>
      </w:pPr>
    </w:p>
    <w:p w14:paraId="5C96FC14"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habrán de respetar las Recomendaciones ITU Y 1540</w:t>
      </w:r>
      <w:r w:rsidRPr="001B525F">
        <w:rPr>
          <w:rStyle w:val="Refdenotaalpie"/>
          <w:rFonts w:ascii="Arial" w:hAnsi="Arial" w:cs="Arial"/>
          <w:sz w:val="18"/>
          <w:szCs w:val="18"/>
        </w:rPr>
        <w:footnoteReference w:id="59"/>
      </w:r>
      <w:r w:rsidRPr="001B525F">
        <w:rPr>
          <w:rFonts w:ascii="Arial" w:hAnsi="Arial" w:cs="Arial"/>
          <w:sz w:val="18"/>
          <w:szCs w:val="18"/>
        </w:rPr>
        <w:t xml:space="preserve"> e ITU Y 1541</w:t>
      </w:r>
      <w:r w:rsidRPr="001B525F">
        <w:rPr>
          <w:rStyle w:val="Refdenotaalpie"/>
          <w:rFonts w:ascii="Arial" w:hAnsi="Arial" w:cs="Arial"/>
          <w:sz w:val="18"/>
          <w:szCs w:val="18"/>
        </w:rPr>
        <w:footnoteReference w:id="60"/>
      </w:r>
      <w:r w:rsidRPr="001B525F">
        <w:rPr>
          <w:rFonts w:ascii="Arial" w:hAnsi="Arial" w:cs="Arial"/>
          <w:sz w:val="18"/>
          <w:szCs w:val="18"/>
        </w:rPr>
        <w:t>, debiéndose alcanzar niveles de calidad correspondientes a la clase de servicio 0 para el tráfico de voz y a la clase de servicio 2 para el tráfico de señalización.</w:t>
      </w:r>
    </w:p>
    <w:p w14:paraId="27516E06" w14:textId="77777777" w:rsidR="00350F69" w:rsidRPr="001B525F" w:rsidRDefault="00350F69" w:rsidP="00561BBC">
      <w:pPr>
        <w:spacing w:after="0"/>
        <w:ind w:right="51"/>
        <w:jc w:val="both"/>
        <w:rPr>
          <w:rFonts w:ascii="Arial" w:hAnsi="Arial" w:cs="Arial"/>
          <w:sz w:val="18"/>
          <w:szCs w:val="18"/>
        </w:rPr>
      </w:pPr>
    </w:p>
    <w:p w14:paraId="79F69F16" w14:textId="63AFA44C"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Los concesionarios podrán identificar el tráfico de acuerdo </w:t>
      </w:r>
      <w:r w:rsidR="00591A8A">
        <w:rPr>
          <w:rFonts w:ascii="Arial" w:hAnsi="Arial" w:cs="Arial"/>
          <w:sz w:val="18"/>
          <w:szCs w:val="18"/>
        </w:rPr>
        <w:t>con</w:t>
      </w:r>
      <w:r w:rsidRPr="001B525F">
        <w:rPr>
          <w:rFonts w:ascii="Arial" w:hAnsi="Arial" w:cs="Arial"/>
          <w:sz w:val="18"/>
          <w:szCs w:val="18"/>
        </w:rPr>
        <w:t xml:space="preserve"> la arquitectura de Diferenciación de Servicio (DiffServ) y de acuerdo </w:t>
      </w:r>
      <w:r w:rsidR="00591A8A">
        <w:rPr>
          <w:rFonts w:ascii="Arial" w:hAnsi="Arial" w:cs="Arial"/>
          <w:sz w:val="18"/>
          <w:szCs w:val="18"/>
        </w:rPr>
        <w:t>con</w:t>
      </w:r>
      <w:r w:rsidRPr="001B525F">
        <w:rPr>
          <w:rFonts w:ascii="Arial" w:hAnsi="Arial" w:cs="Arial"/>
          <w:sz w:val="18"/>
          <w:szCs w:val="18"/>
        </w:rPr>
        <w:t xml:space="preserve"> la Recomendación RFC 4594</w:t>
      </w:r>
      <w:r w:rsidRPr="001B525F">
        <w:rPr>
          <w:rStyle w:val="Refdenotaalpie"/>
          <w:rFonts w:ascii="Arial" w:hAnsi="Arial" w:cs="Arial"/>
          <w:sz w:val="18"/>
          <w:szCs w:val="18"/>
        </w:rPr>
        <w:footnoteReference w:id="61"/>
      </w:r>
      <w:r w:rsidRPr="001B525F">
        <w:rPr>
          <w:rFonts w:ascii="Arial" w:hAnsi="Arial" w:cs="Arial"/>
          <w:sz w:val="18"/>
          <w:szCs w:val="18"/>
        </w:rPr>
        <w:t xml:space="preserve"> con el fin de facilitar la gestión de la calidad de servicio de los tráficos de voz y señalización IP. </w:t>
      </w:r>
    </w:p>
    <w:p w14:paraId="05421711" w14:textId="77777777" w:rsidR="00350F69" w:rsidRPr="001B525F" w:rsidRDefault="00350F69" w:rsidP="00561BBC">
      <w:pPr>
        <w:spacing w:after="0"/>
        <w:ind w:right="51"/>
        <w:jc w:val="both"/>
        <w:rPr>
          <w:rFonts w:ascii="Arial" w:hAnsi="Arial" w:cs="Arial"/>
          <w:sz w:val="18"/>
          <w:szCs w:val="18"/>
          <w:lang w:eastAsia="es-ES"/>
        </w:rPr>
      </w:pPr>
    </w:p>
    <w:p w14:paraId="4719D3A7" w14:textId="30EFA2E8" w:rsidR="00350F69" w:rsidRDefault="00350F69" w:rsidP="00561BBC">
      <w:pPr>
        <w:spacing w:after="0"/>
        <w:ind w:right="51"/>
        <w:jc w:val="both"/>
        <w:rPr>
          <w:rFonts w:ascii="Arial" w:hAnsi="Arial" w:cs="Arial"/>
          <w:sz w:val="18"/>
          <w:szCs w:val="18"/>
          <w:lang w:eastAsia="es-ES"/>
        </w:rPr>
      </w:pPr>
      <w:r w:rsidRPr="001B525F">
        <w:rPr>
          <w:rFonts w:ascii="Arial" w:hAnsi="Arial" w:cs="Arial"/>
          <w:sz w:val="18"/>
          <w:szCs w:val="18"/>
          <w:lang w:eastAsia="es-ES"/>
        </w:rPr>
        <w:t>Lo anterior con independencia de las disposiciones administrativas que para regular la calidad en la prestación del servicio de interconexión emita el Instituto.</w:t>
      </w:r>
    </w:p>
    <w:p w14:paraId="74496396" w14:textId="77777777" w:rsidR="007C4FF9" w:rsidRPr="001B525F" w:rsidRDefault="007C4FF9" w:rsidP="00561BBC">
      <w:pPr>
        <w:spacing w:after="0"/>
        <w:ind w:right="51"/>
        <w:jc w:val="both"/>
        <w:rPr>
          <w:rFonts w:ascii="Arial" w:hAnsi="Arial" w:cs="Arial"/>
          <w:sz w:val="18"/>
          <w:szCs w:val="18"/>
          <w:lang w:eastAsia="es-ES"/>
        </w:rPr>
      </w:pPr>
    </w:p>
    <w:p w14:paraId="44D97CDE"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lastRenderedPageBreak/>
        <w:t>Seguridad</w:t>
      </w:r>
    </w:p>
    <w:p w14:paraId="66982A43" w14:textId="77777777" w:rsidR="00350F69" w:rsidRPr="001B525F" w:rsidRDefault="00350F69" w:rsidP="00561BBC">
      <w:pPr>
        <w:spacing w:after="0"/>
        <w:ind w:right="49"/>
        <w:rPr>
          <w:rFonts w:ascii="Arial" w:hAnsi="Arial" w:cs="Arial"/>
          <w:sz w:val="18"/>
          <w:szCs w:val="18"/>
        </w:rPr>
      </w:pPr>
    </w:p>
    <w:p w14:paraId="769A2F78"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sz w:val="18"/>
          <w:szCs w:val="18"/>
        </w:rPr>
        <w:t xml:space="preserve">La conexión física entre concesionarios corresponderá a un modelo punto a punto. </w:t>
      </w:r>
    </w:p>
    <w:p w14:paraId="141BF459"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sz w:val="18"/>
          <w:szCs w:val="18"/>
        </w:rPr>
        <w:t xml:space="preserve"> </w:t>
      </w:r>
    </w:p>
    <w:p w14:paraId="0F79C79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Los concesionarios podrán acordar otros esquemas de conectividad, en cuyo caso determinarán los mecanismos que garanticen la seguridad de la comunicación. </w:t>
      </w:r>
    </w:p>
    <w:p w14:paraId="4DEA8362" w14:textId="77777777" w:rsidR="00350F69" w:rsidRPr="001B525F" w:rsidRDefault="00350F69" w:rsidP="00561BBC">
      <w:pPr>
        <w:spacing w:after="0"/>
        <w:ind w:right="49"/>
        <w:jc w:val="both"/>
        <w:rPr>
          <w:rFonts w:ascii="Arial" w:hAnsi="Arial" w:cs="Arial"/>
          <w:sz w:val="18"/>
          <w:szCs w:val="18"/>
        </w:rPr>
      </w:pPr>
    </w:p>
    <w:p w14:paraId="38BF21CA" w14:textId="77777777" w:rsidR="00350F69" w:rsidRPr="001B525F" w:rsidRDefault="00350F69" w:rsidP="00226F17">
      <w:pPr>
        <w:pStyle w:val="Prrafodelista"/>
        <w:numPr>
          <w:ilvl w:val="1"/>
          <w:numId w:val="32"/>
        </w:numPr>
        <w:spacing w:line="276" w:lineRule="auto"/>
        <w:ind w:right="49" w:hanging="720"/>
        <w:contextualSpacing/>
        <w:jc w:val="both"/>
        <w:rPr>
          <w:rFonts w:cs="Arial"/>
          <w:b/>
          <w:sz w:val="18"/>
          <w:szCs w:val="18"/>
        </w:rPr>
      </w:pPr>
      <w:r w:rsidRPr="001B525F">
        <w:rPr>
          <w:rFonts w:cs="Arial"/>
          <w:b/>
          <w:sz w:val="18"/>
          <w:szCs w:val="18"/>
        </w:rPr>
        <w:t>Tasación y Facturación</w:t>
      </w:r>
    </w:p>
    <w:p w14:paraId="17801E66" w14:textId="77777777" w:rsidR="00350F69" w:rsidRPr="001B525F" w:rsidRDefault="00350F69" w:rsidP="00561BBC">
      <w:pPr>
        <w:spacing w:after="0"/>
        <w:ind w:right="49"/>
        <w:rPr>
          <w:rFonts w:ascii="Arial" w:hAnsi="Arial" w:cs="Arial"/>
          <w:b/>
          <w:sz w:val="18"/>
          <w:szCs w:val="18"/>
        </w:rPr>
      </w:pPr>
    </w:p>
    <w:p w14:paraId="291AE4A1"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inicio de tasación de la llamada comenzará cuando se reciba el código de respuesta 200 OK del método INVITE, el final de la misma será con el código de respuesta BYE.</w:t>
      </w:r>
    </w:p>
    <w:p w14:paraId="07C1C97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 </w:t>
      </w:r>
    </w:p>
    <w:p w14:paraId="79437A3C" w14:textId="32AA80DC" w:rsidR="00350F69" w:rsidRPr="001B525F" w:rsidRDefault="00947D7A" w:rsidP="00561BBC">
      <w:pPr>
        <w:spacing w:after="0"/>
        <w:ind w:right="51"/>
        <w:jc w:val="both"/>
        <w:rPr>
          <w:rFonts w:ascii="Arial" w:hAnsi="Arial" w:cs="Arial"/>
          <w:sz w:val="18"/>
          <w:szCs w:val="18"/>
        </w:rPr>
      </w:pPr>
      <w:r w:rsidRPr="001B525F">
        <w:rPr>
          <w:rFonts w:ascii="Arial" w:hAnsi="Arial" w:cs="Arial"/>
          <w:b/>
          <w:sz w:val="18"/>
          <w:szCs w:val="18"/>
        </w:rPr>
        <w:t>Octava.-</w:t>
      </w:r>
      <w:r w:rsidR="00350F69" w:rsidRPr="001B525F">
        <w:rPr>
          <w:rFonts w:ascii="Arial" w:hAnsi="Arial" w:cs="Arial"/>
          <w:b/>
          <w:sz w:val="18"/>
          <w:szCs w:val="18"/>
        </w:rPr>
        <w:t xml:space="preserve"> </w:t>
      </w:r>
      <w:r w:rsidR="00350F69" w:rsidRPr="001B525F">
        <w:rPr>
          <w:rFonts w:ascii="Arial" w:hAnsi="Arial" w:cs="Arial"/>
          <w:sz w:val="18"/>
          <w:szCs w:val="18"/>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283461B5" w14:textId="77777777" w:rsidR="00BF0205" w:rsidRPr="001B525F" w:rsidRDefault="00BF0205" w:rsidP="00561BBC">
      <w:pPr>
        <w:spacing w:after="0"/>
        <w:ind w:right="51"/>
        <w:jc w:val="both"/>
        <w:rPr>
          <w:rFonts w:ascii="Arial" w:hAnsi="Arial" w:cs="Arial"/>
          <w:sz w:val="18"/>
          <w:szCs w:val="18"/>
        </w:rPr>
      </w:pPr>
    </w:p>
    <w:p w14:paraId="7C700ED3" w14:textId="57BD6FB2" w:rsidR="00350F69" w:rsidRPr="001B525F" w:rsidRDefault="00947D7A" w:rsidP="00561BBC">
      <w:pPr>
        <w:spacing w:after="0"/>
        <w:ind w:right="51"/>
        <w:jc w:val="both"/>
        <w:rPr>
          <w:rFonts w:ascii="Arial" w:hAnsi="Arial" w:cs="Arial"/>
          <w:sz w:val="18"/>
          <w:szCs w:val="18"/>
        </w:rPr>
      </w:pPr>
      <w:r w:rsidRPr="001B525F">
        <w:rPr>
          <w:rFonts w:ascii="Arial" w:hAnsi="Arial" w:cs="Arial"/>
          <w:b/>
          <w:sz w:val="18"/>
          <w:szCs w:val="18"/>
        </w:rPr>
        <w:t>Novena</w:t>
      </w:r>
      <w:r w:rsidR="00350F69" w:rsidRPr="001B525F">
        <w:rPr>
          <w:rFonts w:ascii="Arial" w:hAnsi="Arial" w:cs="Arial"/>
          <w:b/>
          <w:sz w:val="18"/>
          <w:szCs w:val="18"/>
        </w:rPr>
        <w:t>.-</w:t>
      </w:r>
      <w:r w:rsidR="00350F69" w:rsidRPr="001B525F">
        <w:rPr>
          <w:rFonts w:ascii="Arial" w:hAnsi="Arial" w:cs="Arial"/>
          <w:sz w:val="18"/>
          <w:szCs w:val="18"/>
        </w:rPr>
        <w:t xml:space="preserve"> Las condiciones técnicas para la coubicación serán las siguientes:</w:t>
      </w:r>
    </w:p>
    <w:p w14:paraId="66059408" w14:textId="77777777" w:rsidR="00B06751" w:rsidRPr="001B525F" w:rsidRDefault="00B06751" w:rsidP="00561BBC">
      <w:pPr>
        <w:spacing w:after="0"/>
        <w:ind w:right="51"/>
        <w:jc w:val="both"/>
        <w:rPr>
          <w:rFonts w:ascii="Arial" w:hAnsi="Arial" w:cs="Arial"/>
          <w:sz w:val="18"/>
          <w:szCs w:val="18"/>
        </w:rPr>
      </w:pPr>
    </w:p>
    <w:tbl>
      <w:tblPr>
        <w:tblW w:w="8345"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055"/>
        <w:gridCol w:w="5290"/>
      </w:tblGrid>
      <w:tr w:rsidR="001B525F" w:rsidRPr="001B525F" w14:paraId="7FA70F31" w14:textId="77777777" w:rsidTr="002277A6">
        <w:trPr>
          <w:trHeight w:val="149"/>
          <w:jc w:val="center"/>
        </w:trPr>
        <w:tc>
          <w:tcPr>
            <w:tcW w:w="3055" w:type="dxa"/>
            <w:tcBorders>
              <w:top w:val="single" w:sz="6" w:space="0" w:color="auto"/>
              <w:bottom w:val="nil"/>
            </w:tcBorders>
          </w:tcPr>
          <w:p w14:paraId="76CC8DE5" w14:textId="77777777" w:rsidR="00350F69" w:rsidRPr="00A81027" w:rsidRDefault="00350F69" w:rsidP="00226F17">
            <w:pPr>
              <w:numPr>
                <w:ilvl w:val="0"/>
                <w:numId w:val="29"/>
              </w:numPr>
              <w:spacing w:after="0"/>
              <w:ind w:right="49"/>
              <w:rPr>
                <w:rFonts w:ascii="Arial" w:hAnsi="Arial" w:cs="Arial"/>
                <w:sz w:val="16"/>
                <w:szCs w:val="18"/>
              </w:rPr>
            </w:pPr>
            <w:r w:rsidRPr="00A81027">
              <w:rPr>
                <w:rFonts w:ascii="Arial" w:hAnsi="Arial" w:cs="Arial"/>
                <w:sz w:val="16"/>
                <w:szCs w:val="18"/>
              </w:rPr>
              <w:t>Espacio:</w:t>
            </w:r>
          </w:p>
        </w:tc>
        <w:tc>
          <w:tcPr>
            <w:tcW w:w="5290" w:type="dxa"/>
            <w:tcBorders>
              <w:top w:val="single" w:sz="6" w:space="0" w:color="auto"/>
              <w:bottom w:val="nil"/>
            </w:tcBorders>
          </w:tcPr>
          <w:p w14:paraId="206C8E98" w14:textId="77777777" w:rsidR="00350F69" w:rsidRPr="00A81027" w:rsidRDefault="00350F69" w:rsidP="00B50A38">
            <w:pPr>
              <w:pStyle w:val="Ttulo3"/>
              <w:spacing w:line="276" w:lineRule="auto"/>
              <w:ind w:left="0" w:right="49"/>
              <w:rPr>
                <w:sz w:val="16"/>
                <w:szCs w:val="18"/>
              </w:rPr>
            </w:pPr>
            <w:r w:rsidRPr="00A81027">
              <w:rPr>
                <w:sz w:val="16"/>
                <w:szCs w:val="18"/>
              </w:rPr>
              <w:t>Con delimitación física</w:t>
            </w:r>
          </w:p>
        </w:tc>
      </w:tr>
      <w:tr w:rsidR="001B525F" w:rsidRPr="001B525F" w14:paraId="6F5E7D5B" w14:textId="77777777" w:rsidTr="002277A6">
        <w:trPr>
          <w:trHeight w:val="1423"/>
          <w:jc w:val="center"/>
        </w:trPr>
        <w:tc>
          <w:tcPr>
            <w:tcW w:w="3055" w:type="dxa"/>
            <w:tcBorders>
              <w:top w:val="single" w:sz="6" w:space="0" w:color="auto"/>
              <w:bottom w:val="nil"/>
            </w:tcBorders>
          </w:tcPr>
          <w:p w14:paraId="46FED0EC" w14:textId="77777777" w:rsidR="00350F69" w:rsidRPr="00A81027" w:rsidRDefault="00350F69" w:rsidP="00226F17">
            <w:pPr>
              <w:numPr>
                <w:ilvl w:val="0"/>
                <w:numId w:val="29"/>
              </w:numPr>
              <w:spacing w:after="0"/>
              <w:ind w:right="49"/>
              <w:rPr>
                <w:rFonts w:ascii="Arial" w:hAnsi="Arial" w:cs="Arial"/>
                <w:sz w:val="16"/>
                <w:szCs w:val="18"/>
              </w:rPr>
            </w:pPr>
            <w:r w:rsidRPr="00A81027">
              <w:rPr>
                <w:rFonts w:ascii="Arial" w:hAnsi="Arial" w:cs="Arial"/>
                <w:sz w:val="16"/>
                <w:szCs w:val="18"/>
              </w:rPr>
              <w:t>Tipos de coubicación:</w:t>
            </w:r>
          </w:p>
        </w:tc>
        <w:tc>
          <w:tcPr>
            <w:tcW w:w="5290" w:type="dxa"/>
            <w:tcBorders>
              <w:top w:val="single" w:sz="6" w:space="0" w:color="auto"/>
              <w:bottom w:val="nil"/>
            </w:tcBorders>
          </w:tcPr>
          <w:p w14:paraId="38A1CCF8" w14:textId="77777777" w:rsidR="00350F69" w:rsidRPr="00A81027" w:rsidRDefault="00350F69" w:rsidP="00561BBC">
            <w:pPr>
              <w:spacing w:after="0"/>
              <w:ind w:right="49"/>
              <w:jc w:val="both"/>
              <w:rPr>
                <w:rFonts w:ascii="Arial" w:hAnsi="Arial" w:cs="Arial"/>
                <w:sz w:val="16"/>
                <w:szCs w:val="18"/>
              </w:rPr>
            </w:pPr>
            <w:r w:rsidRPr="00A81027">
              <w:rPr>
                <w:rFonts w:ascii="Arial" w:hAnsi="Arial" w:cs="Arial"/>
                <w:sz w:val="16"/>
                <w:szCs w:val="18"/>
              </w:rPr>
              <w:t>Tipo 1 (Local): Área de 9 m</w:t>
            </w:r>
            <w:r w:rsidRPr="00A81027">
              <w:rPr>
                <w:rFonts w:ascii="Arial" w:hAnsi="Arial" w:cs="Arial"/>
                <w:sz w:val="16"/>
                <w:szCs w:val="18"/>
                <w:vertAlign w:val="superscript"/>
              </w:rPr>
              <w:t>2</w:t>
            </w:r>
            <w:r w:rsidRPr="00A81027">
              <w:rPr>
                <w:rFonts w:ascii="Arial" w:hAnsi="Arial" w:cs="Arial"/>
                <w:sz w:val="16"/>
                <w:szCs w:val="18"/>
              </w:rPr>
              <w:t xml:space="preserve"> (3x3) con delimitación de tabla roca pudiendo utilizar las paredes existentes.</w:t>
            </w:r>
          </w:p>
          <w:p w14:paraId="32411AC4" w14:textId="77777777" w:rsidR="00350F69" w:rsidRPr="00A81027" w:rsidRDefault="00350F69" w:rsidP="00561BBC">
            <w:pPr>
              <w:spacing w:after="0"/>
              <w:ind w:right="49"/>
              <w:jc w:val="both"/>
              <w:rPr>
                <w:rFonts w:ascii="Arial" w:hAnsi="Arial" w:cs="Arial"/>
                <w:sz w:val="16"/>
                <w:szCs w:val="18"/>
              </w:rPr>
            </w:pPr>
            <w:r w:rsidRPr="00A81027">
              <w:rPr>
                <w:rFonts w:ascii="Arial" w:hAnsi="Arial" w:cs="Arial"/>
                <w:sz w:val="16"/>
                <w:szCs w:val="18"/>
              </w:rPr>
              <w:t>Tipo 2 (Local): Área de 4 m</w:t>
            </w:r>
            <w:r w:rsidRPr="00A81027">
              <w:rPr>
                <w:rFonts w:ascii="Arial" w:hAnsi="Arial" w:cs="Arial"/>
                <w:sz w:val="16"/>
                <w:szCs w:val="18"/>
                <w:vertAlign w:val="superscript"/>
                <w:lang w:val="es-ES_tradnl"/>
              </w:rPr>
              <w:t>2</w:t>
            </w:r>
            <w:r w:rsidRPr="00A81027">
              <w:rPr>
                <w:rFonts w:ascii="Arial" w:hAnsi="Arial" w:cs="Arial"/>
                <w:sz w:val="16"/>
                <w:szCs w:val="18"/>
              </w:rPr>
              <w:t xml:space="preserve"> (2x2) con delimitación de tabla roca pudiendo utilizar las paredes existentes.</w:t>
            </w:r>
          </w:p>
          <w:p w14:paraId="06AC8E6C" w14:textId="77777777" w:rsidR="00350F69" w:rsidRPr="00A81027" w:rsidRDefault="00350F69" w:rsidP="00561BBC">
            <w:pPr>
              <w:spacing w:after="0"/>
              <w:ind w:right="51"/>
              <w:jc w:val="both"/>
              <w:rPr>
                <w:rFonts w:ascii="Arial" w:hAnsi="Arial" w:cs="Arial"/>
                <w:sz w:val="16"/>
                <w:szCs w:val="18"/>
              </w:rPr>
            </w:pPr>
            <w:r w:rsidRPr="00A81027">
              <w:rPr>
                <w:rFonts w:ascii="Arial" w:hAnsi="Arial" w:cs="Arial"/>
                <w:sz w:val="16"/>
                <w:szCs w:val="18"/>
              </w:rPr>
              <w:t>Tipo 3 (gabinete): Las dimensiones del gabinete serán las que el Concesionario Solicitado proporcione.</w:t>
            </w:r>
          </w:p>
          <w:p w14:paraId="24E08813" w14:textId="77777777" w:rsidR="00350F69" w:rsidRPr="00A81027" w:rsidRDefault="00350F69" w:rsidP="00561BBC">
            <w:pPr>
              <w:spacing w:after="0"/>
              <w:ind w:right="51"/>
              <w:jc w:val="both"/>
              <w:rPr>
                <w:rFonts w:ascii="Arial" w:hAnsi="Arial" w:cs="Arial"/>
                <w:sz w:val="16"/>
                <w:szCs w:val="18"/>
              </w:rPr>
            </w:pPr>
          </w:p>
          <w:p w14:paraId="54D0F547" w14:textId="21AFA332" w:rsidR="00350F69" w:rsidRPr="00A81027" w:rsidRDefault="00350F69" w:rsidP="00561BBC">
            <w:pPr>
              <w:spacing w:after="0"/>
              <w:ind w:right="51"/>
              <w:jc w:val="both"/>
              <w:rPr>
                <w:rFonts w:ascii="Arial" w:hAnsi="Arial" w:cs="Arial"/>
                <w:sz w:val="16"/>
                <w:szCs w:val="18"/>
              </w:rPr>
            </w:pPr>
            <w:r w:rsidRPr="00A81027">
              <w:rPr>
                <w:rFonts w:ascii="Arial" w:hAnsi="Arial" w:cs="Arial"/>
                <w:sz w:val="16"/>
                <w:szCs w:val="18"/>
              </w:rPr>
              <w:t>El tipo de coubicación será a elección del Concesionario Solicitado siempre y cuando las dimensiones permitan la colocación del equipo del Concesionario Solicitante.</w:t>
            </w:r>
          </w:p>
        </w:tc>
      </w:tr>
      <w:tr w:rsidR="001B525F" w:rsidRPr="001B525F" w14:paraId="156BD131" w14:textId="77777777" w:rsidTr="002277A6">
        <w:trPr>
          <w:trHeight w:val="278"/>
          <w:jc w:val="center"/>
        </w:trPr>
        <w:tc>
          <w:tcPr>
            <w:tcW w:w="3055" w:type="dxa"/>
            <w:tcBorders>
              <w:top w:val="single" w:sz="6" w:space="0" w:color="auto"/>
              <w:bottom w:val="single" w:sz="4" w:space="0" w:color="auto"/>
            </w:tcBorders>
          </w:tcPr>
          <w:p w14:paraId="16FC00BA"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Acceso:</w:t>
            </w:r>
          </w:p>
        </w:tc>
        <w:tc>
          <w:tcPr>
            <w:tcW w:w="5290" w:type="dxa"/>
            <w:tcBorders>
              <w:top w:val="single" w:sz="6" w:space="0" w:color="auto"/>
              <w:bottom w:val="single" w:sz="4" w:space="0" w:color="auto"/>
            </w:tcBorders>
          </w:tcPr>
          <w:p w14:paraId="5CB48C00" w14:textId="77777777" w:rsidR="00350F69" w:rsidRPr="00A81027" w:rsidRDefault="00350F69" w:rsidP="00561BBC">
            <w:pPr>
              <w:spacing w:after="0"/>
              <w:ind w:right="49"/>
              <w:jc w:val="both"/>
              <w:rPr>
                <w:rFonts w:ascii="Arial" w:hAnsi="Arial" w:cs="Arial"/>
                <w:sz w:val="16"/>
                <w:szCs w:val="18"/>
                <w:u w:val="single"/>
                <w:lang w:val="es-ES_tradnl"/>
              </w:rPr>
            </w:pPr>
            <w:r w:rsidRPr="00A81027">
              <w:rPr>
                <w:rFonts w:ascii="Arial" w:hAnsi="Arial" w:cs="Arial"/>
                <w:sz w:val="16"/>
                <w:szCs w:val="18"/>
                <w:lang w:val="es-ES_tradnl"/>
              </w:rPr>
              <w:t>7X24 horas todos los días del año atendiendo los procedimientos que para ello establezcan los concesionarios.</w:t>
            </w:r>
            <w:r w:rsidRPr="00A81027">
              <w:rPr>
                <w:rFonts w:ascii="Arial" w:hAnsi="Arial" w:cs="Arial"/>
                <w:sz w:val="16"/>
                <w:szCs w:val="18"/>
                <w:u w:val="single"/>
                <w:lang w:val="es-ES_tradnl"/>
              </w:rPr>
              <w:t xml:space="preserve"> </w:t>
            </w:r>
          </w:p>
        </w:tc>
      </w:tr>
      <w:tr w:rsidR="001B525F" w:rsidRPr="001B525F" w14:paraId="0F5B1AD0" w14:textId="77777777" w:rsidTr="002277A6">
        <w:trPr>
          <w:trHeight w:val="399"/>
          <w:jc w:val="center"/>
        </w:trPr>
        <w:tc>
          <w:tcPr>
            <w:tcW w:w="3055" w:type="dxa"/>
            <w:tcBorders>
              <w:top w:val="single" w:sz="4" w:space="0" w:color="auto"/>
              <w:left w:val="single" w:sz="4" w:space="0" w:color="auto"/>
              <w:bottom w:val="single" w:sz="4" w:space="0" w:color="auto"/>
            </w:tcBorders>
          </w:tcPr>
          <w:p w14:paraId="6444FB92"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Contactos eléctricos:</w:t>
            </w:r>
          </w:p>
        </w:tc>
        <w:tc>
          <w:tcPr>
            <w:tcW w:w="5290" w:type="dxa"/>
            <w:tcBorders>
              <w:top w:val="single" w:sz="4" w:space="0" w:color="auto"/>
              <w:bottom w:val="single" w:sz="4" w:space="0" w:color="auto"/>
              <w:right w:val="single" w:sz="4" w:space="0" w:color="auto"/>
            </w:tcBorders>
          </w:tcPr>
          <w:p w14:paraId="457407C6"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 xml:space="preserve">2 contactos dobles polarizados de 127 V </w:t>
            </w:r>
            <w:r w:rsidRPr="00A81027">
              <w:rPr>
                <w:rFonts w:ascii="Arial" w:hAnsi="Arial" w:cs="Arial"/>
                <w:sz w:val="16"/>
                <w:szCs w:val="18"/>
                <w:u w:val="single"/>
                <w:lang w:val="es-ES_tradnl"/>
              </w:rPr>
              <w:t>+</w:t>
            </w:r>
            <w:r w:rsidRPr="00A81027">
              <w:rPr>
                <w:rFonts w:ascii="Arial" w:hAnsi="Arial" w:cs="Arial"/>
                <w:sz w:val="16"/>
                <w:szCs w:val="18"/>
                <w:lang w:val="es-ES_tradnl"/>
              </w:rPr>
              <w:t xml:space="preserve"> 10%, los cuales soportan un máximo de 180 VA con energía no regulada y sin respaldo.</w:t>
            </w:r>
          </w:p>
        </w:tc>
      </w:tr>
      <w:tr w:rsidR="001B525F" w:rsidRPr="001B525F" w14:paraId="105F729F" w14:textId="77777777" w:rsidTr="002277A6">
        <w:trPr>
          <w:trHeight w:val="180"/>
          <w:jc w:val="center"/>
        </w:trPr>
        <w:tc>
          <w:tcPr>
            <w:tcW w:w="3055" w:type="dxa"/>
            <w:tcBorders>
              <w:top w:val="single" w:sz="4" w:space="0" w:color="auto"/>
              <w:bottom w:val="nil"/>
            </w:tcBorders>
          </w:tcPr>
          <w:p w14:paraId="352055E9"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Corriente Directa:</w:t>
            </w:r>
          </w:p>
        </w:tc>
        <w:tc>
          <w:tcPr>
            <w:tcW w:w="5290" w:type="dxa"/>
            <w:tcBorders>
              <w:top w:val="single" w:sz="4" w:space="0" w:color="auto"/>
              <w:bottom w:val="nil"/>
            </w:tcBorders>
          </w:tcPr>
          <w:p w14:paraId="348C95E6" w14:textId="77777777" w:rsidR="00350F69" w:rsidRPr="00A81027" w:rsidRDefault="00350F69" w:rsidP="00561BBC">
            <w:pPr>
              <w:spacing w:after="0"/>
              <w:ind w:right="49"/>
              <w:rPr>
                <w:rFonts w:ascii="Arial" w:hAnsi="Arial" w:cs="Arial"/>
                <w:sz w:val="16"/>
                <w:szCs w:val="18"/>
                <w:lang w:val="es-ES_tradnl"/>
              </w:rPr>
            </w:pPr>
            <w:r w:rsidRPr="00A81027">
              <w:rPr>
                <w:rFonts w:ascii="Arial" w:hAnsi="Arial" w:cs="Arial"/>
                <w:sz w:val="16"/>
                <w:szCs w:val="18"/>
                <w:lang w:val="es-ES_tradnl"/>
              </w:rPr>
              <w:t xml:space="preserve"> - 48 VCD, +20%, -15%, 4 horas mínimo de respaldo.</w:t>
            </w:r>
          </w:p>
        </w:tc>
      </w:tr>
      <w:tr w:rsidR="001B525F" w:rsidRPr="001B525F" w14:paraId="488D502E" w14:textId="77777777" w:rsidTr="002277A6">
        <w:trPr>
          <w:trHeight w:val="208"/>
          <w:jc w:val="center"/>
        </w:trPr>
        <w:tc>
          <w:tcPr>
            <w:tcW w:w="3055" w:type="dxa"/>
            <w:tcBorders>
              <w:top w:val="single" w:sz="6" w:space="0" w:color="auto"/>
              <w:bottom w:val="single" w:sz="4" w:space="0" w:color="auto"/>
            </w:tcBorders>
          </w:tcPr>
          <w:p w14:paraId="38BCFDFA"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Planta de Emergencia:</w:t>
            </w:r>
          </w:p>
        </w:tc>
        <w:tc>
          <w:tcPr>
            <w:tcW w:w="5290" w:type="dxa"/>
            <w:tcBorders>
              <w:top w:val="single" w:sz="6" w:space="0" w:color="auto"/>
              <w:bottom w:val="single" w:sz="4" w:space="0" w:color="auto"/>
            </w:tcBorders>
          </w:tcPr>
          <w:p w14:paraId="45682CD9" w14:textId="77777777" w:rsidR="00350F69" w:rsidRPr="00A81027" w:rsidRDefault="00350F69" w:rsidP="00561BBC">
            <w:pPr>
              <w:spacing w:after="0"/>
              <w:ind w:right="49"/>
              <w:rPr>
                <w:rFonts w:ascii="Arial" w:hAnsi="Arial" w:cs="Arial"/>
                <w:sz w:val="16"/>
                <w:szCs w:val="18"/>
                <w:lang w:val="es-ES_tradnl"/>
              </w:rPr>
            </w:pPr>
            <w:r w:rsidRPr="00A81027">
              <w:rPr>
                <w:rFonts w:ascii="Arial" w:hAnsi="Arial" w:cs="Arial"/>
                <w:sz w:val="16"/>
                <w:szCs w:val="18"/>
                <w:lang w:val="es-ES_tradnl"/>
              </w:rPr>
              <w:t>Como respaldo de la instalación.</w:t>
            </w:r>
          </w:p>
        </w:tc>
      </w:tr>
      <w:tr w:rsidR="001B525F" w:rsidRPr="001B525F" w14:paraId="2DCE84A6" w14:textId="77777777" w:rsidTr="002277A6">
        <w:trPr>
          <w:trHeight w:val="321"/>
          <w:jc w:val="center"/>
        </w:trPr>
        <w:tc>
          <w:tcPr>
            <w:tcW w:w="3055" w:type="dxa"/>
            <w:tcBorders>
              <w:top w:val="single" w:sz="4" w:space="0" w:color="auto"/>
              <w:left w:val="single" w:sz="4" w:space="0" w:color="auto"/>
              <w:bottom w:val="single" w:sz="4" w:space="0" w:color="auto"/>
              <w:right w:val="nil"/>
            </w:tcBorders>
          </w:tcPr>
          <w:p w14:paraId="7049DC42"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Acabado del piso:</w:t>
            </w:r>
          </w:p>
        </w:tc>
        <w:tc>
          <w:tcPr>
            <w:tcW w:w="5290" w:type="dxa"/>
            <w:tcBorders>
              <w:top w:val="single" w:sz="4" w:space="0" w:color="auto"/>
              <w:left w:val="nil"/>
              <w:bottom w:val="single" w:sz="4" w:space="0" w:color="auto"/>
              <w:right w:val="single" w:sz="4" w:space="0" w:color="auto"/>
            </w:tcBorders>
          </w:tcPr>
          <w:p w14:paraId="5C93D13A"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Firme de concreto 400 Kg/m</w:t>
            </w:r>
            <w:r w:rsidRPr="00A81027">
              <w:rPr>
                <w:rFonts w:ascii="Arial" w:hAnsi="Arial" w:cs="Arial"/>
                <w:sz w:val="16"/>
                <w:szCs w:val="18"/>
                <w:vertAlign w:val="superscript"/>
                <w:lang w:val="es-ES_tradnl"/>
              </w:rPr>
              <w:t>2</w:t>
            </w:r>
            <w:r w:rsidRPr="00A81027">
              <w:rPr>
                <w:rFonts w:ascii="Arial" w:hAnsi="Arial" w:cs="Arial"/>
                <w:sz w:val="16"/>
                <w:szCs w:val="18"/>
                <w:lang w:val="es-ES_tradnl"/>
              </w:rPr>
              <w:t>, sin ondulaciones, máximo 3 mm de desnivel, cubierto con loseta vinílica.</w:t>
            </w:r>
          </w:p>
        </w:tc>
      </w:tr>
      <w:tr w:rsidR="001B525F" w:rsidRPr="001B525F" w14:paraId="7A9BDD9E" w14:textId="77777777" w:rsidTr="002277A6">
        <w:trPr>
          <w:trHeight w:val="320"/>
          <w:jc w:val="center"/>
        </w:trPr>
        <w:tc>
          <w:tcPr>
            <w:tcW w:w="3055" w:type="dxa"/>
            <w:tcBorders>
              <w:top w:val="single" w:sz="4" w:space="0" w:color="auto"/>
              <w:bottom w:val="single" w:sz="6" w:space="0" w:color="auto"/>
            </w:tcBorders>
          </w:tcPr>
          <w:p w14:paraId="66C3A154"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Altura libre:</w:t>
            </w:r>
          </w:p>
        </w:tc>
        <w:tc>
          <w:tcPr>
            <w:tcW w:w="5290" w:type="dxa"/>
            <w:tcBorders>
              <w:top w:val="single" w:sz="4" w:space="0" w:color="auto"/>
              <w:bottom w:val="single" w:sz="6" w:space="0" w:color="auto"/>
            </w:tcBorders>
          </w:tcPr>
          <w:p w14:paraId="7A11093A"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3.0 m para instalación de equipo. Los ductos y escalerillas estarán dentro de esta altura (2.40 m)</w:t>
            </w:r>
          </w:p>
        </w:tc>
      </w:tr>
      <w:tr w:rsidR="001B525F" w:rsidRPr="001B525F" w14:paraId="76CE5BE8" w14:textId="77777777" w:rsidTr="002277A6">
        <w:trPr>
          <w:trHeight w:val="477"/>
          <w:jc w:val="center"/>
        </w:trPr>
        <w:tc>
          <w:tcPr>
            <w:tcW w:w="3055" w:type="dxa"/>
            <w:tcBorders>
              <w:top w:val="single" w:sz="6" w:space="0" w:color="auto"/>
              <w:bottom w:val="single" w:sz="4" w:space="0" w:color="auto"/>
            </w:tcBorders>
          </w:tcPr>
          <w:p w14:paraId="4891F7CD"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Sistema de tierras:</w:t>
            </w:r>
          </w:p>
        </w:tc>
        <w:tc>
          <w:tcPr>
            <w:tcW w:w="5290" w:type="dxa"/>
            <w:tcBorders>
              <w:top w:val="single" w:sz="6" w:space="0" w:color="auto"/>
              <w:bottom w:val="single" w:sz="4" w:space="0" w:color="auto"/>
            </w:tcBorders>
          </w:tcPr>
          <w:p w14:paraId="22DC41A0" w14:textId="77777777" w:rsidR="00350F69" w:rsidRPr="00074509" w:rsidRDefault="00350F69" w:rsidP="00561BBC">
            <w:pPr>
              <w:spacing w:after="0"/>
              <w:ind w:right="49"/>
              <w:jc w:val="both"/>
              <w:rPr>
                <w:rFonts w:ascii="Arial" w:hAnsi="Arial" w:cs="Arial"/>
                <w:sz w:val="16"/>
                <w:szCs w:val="16"/>
              </w:rPr>
            </w:pPr>
            <w:r w:rsidRPr="6C501E6F">
              <w:rPr>
                <w:rFonts w:ascii="Arial" w:hAnsi="Arial" w:cs="Arial"/>
                <w:sz w:val="16"/>
                <w:szCs w:val="16"/>
              </w:rPr>
              <w:t>Conductor principal de puesta a tierra calibre 1/0 AWG con derivación a cada local con cable calibre 6 AWG con un valor máximo de 5 ohms.</w:t>
            </w:r>
          </w:p>
        </w:tc>
      </w:tr>
      <w:tr w:rsidR="001B525F" w:rsidRPr="001B525F" w14:paraId="014A3F52" w14:textId="77777777" w:rsidTr="002277A6">
        <w:trPr>
          <w:trHeight w:val="224"/>
          <w:jc w:val="center"/>
        </w:trPr>
        <w:tc>
          <w:tcPr>
            <w:tcW w:w="3055" w:type="dxa"/>
            <w:tcBorders>
              <w:top w:val="single" w:sz="4" w:space="0" w:color="auto"/>
              <w:bottom w:val="single" w:sz="4" w:space="0" w:color="auto"/>
            </w:tcBorders>
          </w:tcPr>
          <w:p w14:paraId="65A8C9BE"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Temperatura:</w:t>
            </w:r>
          </w:p>
        </w:tc>
        <w:tc>
          <w:tcPr>
            <w:tcW w:w="5290" w:type="dxa"/>
            <w:tcBorders>
              <w:top w:val="single" w:sz="4" w:space="0" w:color="auto"/>
              <w:bottom w:val="single" w:sz="4" w:space="0" w:color="auto"/>
            </w:tcBorders>
          </w:tcPr>
          <w:p w14:paraId="17505E9C"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Entre 10 y 25 °C y una humedad relativa entre 40% a 60%.</w:t>
            </w:r>
          </w:p>
        </w:tc>
      </w:tr>
      <w:tr w:rsidR="001B525F" w:rsidRPr="001B525F" w14:paraId="72F1B7D5" w14:textId="77777777" w:rsidTr="002277A6">
        <w:trPr>
          <w:trHeight w:val="483"/>
          <w:jc w:val="center"/>
        </w:trPr>
        <w:tc>
          <w:tcPr>
            <w:tcW w:w="3055" w:type="dxa"/>
            <w:tcBorders>
              <w:top w:val="single" w:sz="4" w:space="0" w:color="auto"/>
              <w:bottom w:val="single" w:sz="6" w:space="0" w:color="auto"/>
            </w:tcBorders>
          </w:tcPr>
          <w:p w14:paraId="186BEC8E" w14:textId="77777777" w:rsidR="00350F69" w:rsidRPr="00A81027" w:rsidRDefault="00350F69" w:rsidP="00226F17">
            <w:pPr>
              <w:numPr>
                <w:ilvl w:val="0"/>
                <w:numId w:val="29"/>
              </w:numPr>
              <w:spacing w:after="0"/>
              <w:ind w:right="49"/>
              <w:rPr>
                <w:rFonts w:ascii="Arial" w:hAnsi="Arial" w:cs="Arial"/>
                <w:sz w:val="16"/>
                <w:szCs w:val="18"/>
                <w:lang w:val="es-ES_tradnl"/>
              </w:rPr>
            </w:pPr>
            <w:r w:rsidRPr="00A81027">
              <w:rPr>
                <w:rFonts w:ascii="Arial" w:hAnsi="Arial" w:cs="Arial"/>
                <w:sz w:val="16"/>
                <w:szCs w:val="18"/>
                <w:lang w:val="es-ES_tradnl"/>
              </w:rPr>
              <w:t>Iluminación:</w:t>
            </w:r>
          </w:p>
        </w:tc>
        <w:tc>
          <w:tcPr>
            <w:tcW w:w="5290" w:type="dxa"/>
            <w:tcBorders>
              <w:top w:val="single" w:sz="4" w:space="0" w:color="auto"/>
              <w:bottom w:val="single" w:sz="6" w:space="0" w:color="auto"/>
            </w:tcBorders>
          </w:tcPr>
          <w:p w14:paraId="7F5ECD2A"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Iluminación general de sala de 300 luxes medidos en forma vertical bajo la lámpara en la parte anterior y posterior del equipo instalado.</w:t>
            </w:r>
          </w:p>
        </w:tc>
      </w:tr>
      <w:tr w:rsidR="001B525F" w:rsidRPr="001B525F" w14:paraId="2555F673" w14:textId="77777777" w:rsidTr="002277A6">
        <w:trPr>
          <w:trHeight w:val="493"/>
          <w:jc w:val="center"/>
        </w:trPr>
        <w:tc>
          <w:tcPr>
            <w:tcW w:w="3055" w:type="dxa"/>
            <w:tcBorders>
              <w:top w:val="single" w:sz="6" w:space="0" w:color="auto"/>
              <w:bottom w:val="nil"/>
            </w:tcBorders>
          </w:tcPr>
          <w:p w14:paraId="3E265A71" w14:textId="77777777" w:rsidR="00350F69" w:rsidRPr="00074509" w:rsidRDefault="00350F69" w:rsidP="00226F17">
            <w:pPr>
              <w:keepNext/>
              <w:keepLines/>
              <w:numPr>
                <w:ilvl w:val="0"/>
                <w:numId w:val="30"/>
              </w:numPr>
              <w:spacing w:after="0"/>
              <w:ind w:right="49"/>
              <w:rPr>
                <w:rFonts w:ascii="Arial" w:hAnsi="Arial" w:cs="Arial"/>
                <w:sz w:val="16"/>
                <w:szCs w:val="16"/>
              </w:rPr>
            </w:pPr>
            <w:r w:rsidRPr="6C501E6F">
              <w:rPr>
                <w:rFonts w:ascii="Arial" w:hAnsi="Arial" w:cs="Arial"/>
                <w:sz w:val="16"/>
                <w:szCs w:val="16"/>
              </w:rPr>
              <w:t>Herraje y/o ductería:</w:t>
            </w:r>
          </w:p>
        </w:tc>
        <w:tc>
          <w:tcPr>
            <w:tcW w:w="5290" w:type="dxa"/>
            <w:tcBorders>
              <w:top w:val="single" w:sz="6" w:space="0" w:color="auto"/>
              <w:bottom w:val="nil"/>
            </w:tcBorders>
          </w:tcPr>
          <w:p w14:paraId="606888D3" w14:textId="77777777" w:rsidR="00350F69" w:rsidRPr="00074509" w:rsidRDefault="00350F69" w:rsidP="00561BBC">
            <w:pPr>
              <w:keepNext/>
              <w:keepLines/>
              <w:spacing w:after="0"/>
              <w:ind w:right="49"/>
              <w:jc w:val="both"/>
              <w:rPr>
                <w:rFonts w:ascii="Arial" w:hAnsi="Arial" w:cs="Arial"/>
                <w:sz w:val="16"/>
                <w:szCs w:val="16"/>
              </w:rPr>
            </w:pPr>
            <w:r w:rsidRPr="6C501E6F">
              <w:rPr>
                <w:rFonts w:ascii="Arial" w:hAnsi="Arial" w:cs="Arial"/>
                <w:sz w:val="16"/>
                <w:szCs w:val="16"/>
              </w:rPr>
              <w:t>Provisto por el propietario del edificio, para conectar el punto de llegada al edificio con las áreas asignadas y con otras coubicaciones en caso de requerirse.</w:t>
            </w:r>
          </w:p>
        </w:tc>
      </w:tr>
      <w:tr w:rsidR="001B525F" w:rsidRPr="001B525F" w14:paraId="5E6ED99F" w14:textId="77777777" w:rsidTr="002277A6">
        <w:trPr>
          <w:trHeight w:val="156"/>
          <w:jc w:val="center"/>
        </w:trPr>
        <w:tc>
          <w:tcPr>
            <w:tcW w:w="3055" w:type="dxa"/>
            <w:tcBorders>
              <w:top w:val="single" w:sz="6" w:space="0" w:color="auto"/>
              <w:bottom w:val="nil"/>
            </w:tcBorders>
          </w:tcPr>
          <w:p w14:paraId="6DDC4D8D" w14:textId="77777777" w:rsidR="00350F69" w:rsidRPr="00A81027" w:rsidRDefault="00350F69" w:rsidP="00226F17">
            <w:pPr>
              <w:numPr>
                <w:ilvl w:val="0"/>
                <w:numId w:val="73"/>
              </w:numPr>
              <w:spacing w:after="0"/>
              <w:ind w:right="49"/>
              <w:rPr>
                <w:rFonts w:ascii="Arial" w:hAnsi="Arial" w:cs="Arial"/>
                <w:sz w:val="16"/>
                <w:szCs w:val="18"/>
                <w:lang w:val="es-ES_tradnl"/>
              </w:rPr>
            </w:pPr>
            <w:r w:rsidRPr="00A81027">
              <w:rPr>
                <w:rFonts w:ascii="Arial" w:hAnsi="Arial" w:cs="Arial"/>
                <w:sz w:val="16"/>
                <w:szCs w:val="18"/>
                <w:lang w:val="es-ES_tradnl"/>
              </w:rPr>
              <w:t xml:space="preserve"> Acceso por mantenimiento:</w:t>
            </w:r>
          </w:p>
        </w:tc>
        <w:tc>
          <w:tcPr>
            <w:tcW w:w="5290" w:type="dxa"/>
            <w:tcBorders>
              <w:top w:val="single" w:sz="6" w:space="0" w:color="auto"/>
              <w:bottom w:val="nil"/>
            </w:tcBorders>
          </w:tcPr>
          <w:p w14:paraId="379807C5"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Avisar previamente al centro de control de la Red.</w:t>
            </w:r>
          </w:p>
        </w:tc>
      </w:tr>
      <w:tr w:rsidR="001B525F" w:rsidRPr="001B525F" w14:paraId="066AE237" w14:textId="77777777" w:rsidTr="002277A6">
        <w:trPr>
          <w:trHeight w:val="200"/>
          <w:jc w:val="center"/>
        </w:trPr>
        <w:tc>
          <w:tcPr>
            <w:tcW w:w="3055" w:type="dxa"/>
            <w:tcBorders>
              <w:top w:val="single" w:sz="6" w:space="0" w:color="auto"/>
              <w:bottom w:val="single" w:sz="6" w:space="0" w:color="auto"/>
            </w:tcBorders>
          </w:tcPr>
          <w:p w14:paraId="5D9F866C" w14:textId="77777777" w:rsidR="00350F69" w:rsidRPr="00A81027" w:rsidRDefault="00350F69" w:rsidP="00226F17">
            <w:pPr>
              <w:numPr>
                <w:ilvl w:val="0"/>
                <w:numId w:val="73"/>
              </w:numPr>
              <w:spacing w:after="0"/>
              <w:ind w:right="49"/>
              <w:rPr>
                <w:rFonts w:ascii="Arial" w:hAnsi="Arial" w:cs="Arial"/>
                <w:sz w:val="16"/>
                <w:szCs w:val="18"/>
                <w:lang w:val="es-ES_tradnl"/>
              </w:rPr>
            </w:pPr>
            <w:r w:rsidRPr="00A81027">
              <w:rPr>
                <w:rFonts w:ascii="Arial" w:hAnsi="Arial" w:cs="Arial"/>
                <w:sz w:val="16"/>
                <w:szCs w:val="18"/>
                <w:lang w:val="es-ES_tradnl"/>
              </w:rPr>
              <w:t>Fijación del Equipo:</w:t>
            </w:r>
          </w:p>
        </w:tc>
        <w:tc>
          <w:tcPr>
            <w:tcW w:w="5290" w:type="dxa"/>
            <w:tcBorders>
              <w:top w:val="single" w:sz="6" w:space="0" w:color="auto"/>
              <w:bottom w:val="single" w:sz="6" w:space="0" w:color="auto"/>
            </w:tcBorders>
          </w:tcPr>
          <w:p w14:paraId="4BF4B905" w14:textId="77777777" w:rsidR="00350F69" w:rsidRPr="00A81027" w:rsidRDefault="00350F69" w:rsidP="00561BBC">
            <w:pPr>
              <w:spacing w:after="0"/>
              <w:ind w:right="49"/>
              <w:rPr>
                <w:rFonts w:ascii="Arial" w:hAnsi="Arial" w:cs="Arial"/>
                <w:sz w:val="16"/>
                <w:szCs w:val="18"/>
                <w:lang w:val="es-ES_tradnl"/>
              </w:rPr>
            </w:pPr>
            <w:r w:rsidRPr="00A81027">
              <w:rPr>
                <w:rFonts w:ascii="Arial" w:hAnsi="Arial" w:cs="Arial"/>
                <w:sz w:val="16"/>
                <w:szCs w:val="18"/>
                <w:lang w:val="es-ES_tradnl"/>
              </w:rPr>
              <w:t xml:space="preserve">Anclaje a piso y/o techo de común acuerdo. </w:t>
            </w:r>
          </w:p>
        </w:tc>
      </w:tr>
      <w:tr w:rsidR="00350F69" w:rsidRPr="001B525F" w14:paraId="78FC49CD" w14:textId="77777777" w:rsidTr="002277A6">
        <w:trPr>
          <w:trHeight w:val="276"/>
          <w:jc w:val="center"/>
        </w:trPr>
        <w:tc>
          <w:tcPr>
            <w:tcW w:w="3055" w:type="dxa"/>
            <w:tcBorders>
              <w:top w:val="nil"/>
              <w:bottom w:val="single" w:sz="6" w:space="0" w:color="auto"/>
            </w:tcBorders>
          </w:tcPr>
          <w:p w14:paraId="4D7512F3" w14:textId="77777777" w:rsidR="00350F69" w:rsidRPr="00A81027" w:rsidRDefault="00350F69" w:rsidP="00226F17">
            <w:pPr>
              <w:numPr>
                <w:ilvl w:val="0"/>
                <w:numId w:val="73"/>
              </w:numPr>
              <w:spacing w:after="0"/>
              <w:ind w:right="49"/>
              <w:rPr>
                <w:rFonts w:ascii="Arial" w:hAnsi="Arial" w:cs="Arial"/>
                <w:sz w:val="16"/>
                <w:szCs w:val="18"/>
                <w:lang w:val="es-ES_tradnl"/>
              </w:rPr>
            </w:pPr>
            <w:r w:rsidRPr="00A81027">
              <w:rPr>
                <w:rFonts w:ascii="Arial" w:hAnsi="Arial" w:cs="Arial"/>
                <w:sz w:val="16"/>
                <w:szCs w:val="18"/>
                <w:lang w:val="es-ES_tradnl"/>
              </w:rPr>
              <w:t>Identificación de Alimentación:</w:t>
            </w:r>
          </w:p>
        </w:tc>
        <w:tc>
          <w:tcPr>
            <w:tcW w:w="5290" w:type="dxa"/>
            <w:tcBorders>
              <w:top w:val="nil"/>
              <w:bottom w:val="single" w:sz="6" w:space="0" w:color="auto"/>
            </w:tcBorders>
          </w:tcPr>
          <w:p w14:paraId="1F64CC3F" w14:textId="77777777" w:rsidR="00350F69" w:rsidRPr="00A81027" w:rsidRDefault="00350F69" w:rsidP="00561BBC">
            <w:pPr>
              <w:spacing w:after="0"/>
              <w:ind w:right="49"/>
              <w:jc w:val="both"/>
              <w:rPr>
                <w:rFonts w:ascii="Arial" w:hAnsi="Arial" w:cs="Arial"/>
                <w:sz w:val="16"/>
                <w:szCs w:val="18"/>
                <w:lang w:val="es-ES_tradnl"/>
              </w:rPr>
            </w:pPr>
            <w:r w:rsidRPr="00A81027">
              <w:rPr>
                <w:rFonts w:ascii="Arial" w:hAnsi="Arial" w:cs="Arial"/>
                <w:sz w:val="16"/>
                <w:szCs w:val="18"/>
                <w:lang w:val="es-ES_tradnl"/>
              </w:rPr>
              <w:t>Identificación de los interruptores termomagnéticos asignados a los Concesionarios en el tablero general de CA.</w:t>
            </w:r>
          </w:p>
        </w:tc>
      </w:tr>
    </w:tbl>
    <w:p w14:paraId="01A8312B" w14:textId="77777777" w:rsidR="00350F69" w:rsidRPr="001B525F" w:rsidRDefault="00350F69" w:rsidP="00CC0143">
      <w:pPr>
        <w:spacing w:after="0"/>
        <w:ind w:right="49"/>
        <w:jc w:val="both"/>
        <w:rPr>
          <w:rFonts w:ascii="Arial" w:hAnsi="Arial" w:cs="Arial"/>
          <w:sz w:val="18"/>
          <w:szCs w:val="18"/>
        </w:rPr>
      </w:pPr>
    </w:p>
    <w:p w14:paraId="2C72DD1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En caso de que dos concesionarios tengan presencia en un mismo punto de interconexión y ambos manifiesten su intención en llevar a cabo la interconexión cruzada, es decir la interconexión directa entre sí, ésta se realizará por </w:t>
      </w:r>
      <w:r w:rsidRPr="001B525F">
        <w:rPr>
          <w:rFonts w:ascii="Arial" w:hAnsi="Arial" w:cs="Arial"/>
          <w:sz w:val="18"/>
          <w:szCs w:val="18"/>
        </w:rPr>
        <w:lastRenderedPageBreak/>
        <w:t>medio de las estructuras de soporte y enlaces de transmisión que deberán ser proporcionados por el concesionario propietario de las instalaciones en que se encuentren coubicados los concesionarios interesados.</w:t>
      </w:r>
    </w:p>
    <w:p w14:paraId="1E6C0181" w14:textId="77777777" w:rsidR="00350F69" w:rsidRPr="001B525F" w:rsidRDefault="00350F69" w:rsidP="00561BBC">
      <w:pPr>
        <w:spacing w:after="0"/>
        <w:ind w:right="49"/>
        <w:jc w:val="both"/>
        <w:rPr>
          <w:rFonts w:ascii="Arial" w:hAnsi="Arial" w:cs="Arial"/>
          <w:sz w:val="18"/>
          <w:szCs w:val="18"/>
        </w:rPr>
      </w:pPr>
    </w:p>
    <w:p w14:paraId="151A906B" w14:textId="194569FC"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bookmarkEnd w:id="9"/>
    <w:bookmarkEnd w:id="10"/>
    <w:p w14:paraId="37231CAF" w14:textId="31449F50" w:rsidR="00350F69" w:rsidRPr="001B525F" w:rsidRDefault="001F01A7" w:rsidP="003A266A">
      <w:pPr>
        <w:pStyle w:val="ANOTACION"/>
        <w:spacing w:before="0" w:after="0" w:line="276" w:lineRule="auto"/>
        <w:ind w:right="49"/>
        <w:rPr>
          <w:rFonts w:ascii="Arial" w:hAnsi="Arial" w:cs="Arial"/>
          <w:szCs w:val="18"/>
        </w:rPr>
      </w:pPr>
      <w:r w:rsidRPr="001B525F">
        <w:rPr>
          <w:rFonts w:ascii="Arial" w:hAnsi="Arial" w:cs="Arial"/>
          <w:szCs w:val="18"/>
        </w:rPr>
        <w:t>Capítulo</w:t>
      </w:r>
      <w:r w:rsidR="00350F69" w:rsidRPr="001B525F">
        <w:rPr>
          <w:rFonts w:ascii="Arial" w:hAnsi="Arial" w:cs="Arial"/>
          <w:szCs w:val="18"/>
        </w:rPr>
        <w:t xml:space="preserve"> IV</w:t>
      </w:r>
    </w:p>
    <w:p w14:paraId="591027CF" w14:textId="77777777" w:rsidR="00350F69" w:rsidRPr="001B525F" w:rsidRDefault="00350F69" w:rsidP="003A266A">
      <w:pPr>
        <w:spacing w:after="0"/>
        <w:ind w:right="51"/>
        <w:jc w:val="center"/>
        <w:rPr>
          <w:rFonts w:ascii="Arial" w:hAnsi="Arial" w:cs="Arial"/>
          <w:sz w:val="18"/>
          <w:szCs w:val="18"/>
        </w:rPr>
      </w:pPr>
      <w:r w:rsidRPr="004D521C">
        <w:rPr>
          <w:rFonts w:ascii="Arial" w:hAnsi="Arial" w:cs="Arial"/>
          <w:b/>
          <w:sz w:val="18"/>
          <w:szCs w:val="18"/>
        </w:rPr>
        <w:t>Tarifas de los Servicios de Interconexión Conmutados</w:t>
      </w:r>
    </w:p>
    <w:p w14:paraId="5BD41FEA" w14:textId="77777777" w:rsidR="00350F69" w:rsidRPr="001B525F" w:rsidRDefault="00350F69" w:rsidP="003A266A">
      <w:pPr>
        <w:spacing w:after="0"/>
        <w:ind w:right="49"/>
        <w:jc w:val="both"/>
        <w:rPr>
          <w:rFonts w:ascii="Arial" w:hAnsi="Arial" w:cs="Arial"/>
          <w:b/>
          <w:sz w:val="18"/>
          <w:szCs w:val="18"/>
        </w:rPr>
      </w:pPr>
    </w:p>
    <w:p w14:paraId="73D94D8A" w14:textId="08FC2DA6" w:rsidR="00350F69" w:rsidRPr="001B525F" w:rsidRDefault="00947D7A" w:rsidP="003A266A">
      <w:pPr>
        <w:pStyle w:val="Texto0"/>
        <w:spacing w:after="0" w:line="276" w:lineRule="auto"/>
        <w:ind w:firstLine="0"/>
      </w:pPr>
      <w:r w:rsidRPr="001B525F">
        <w:rPr>
          <w:b/>
        </w:rPr>
        <w:t>Décima</w:t>
      </w:r>
      <w:r w:rsidR="00350F69" w:rsidRPr="001B525F">
        <w:rPr>
          <w:b/>
        </w:rPr>
        <w:t>.-</w:t>
      </w:r>
      <w:r w:rsidR="00350F69" w:rsidRPr="001B525F">
        <w:t xml:space="preserve"> El Instituto Federal de Telecomunicaciones determina las tarifas que serán aplicables a los concesionarios de red pública de telecomunicaciones autorizados para prestar el servicio local fijo o móvil distintos al Agente Económico Preponderante que han resultado de la metodología para el cálculo de los costos de interconexión, y que utilizará para resolver los desacuerdos de interconexión que se presenten y que serán aplicables del 1 de enero al 31 de diciembre de 202</w:t>
      </w:r>
      <w:r w:rsidR="00B02034">
        <w:t>5</w:t>
      </w:r>
      <w:r w:rsidR="00350F69" w:rsidRPr="001B525F">
        <w:t>:</w:t>
      </w:r>
    </w:p>
    <w:p w14:paraId="728098CC" w14:textId="77777777" w:rsidR="00350F69" w:rsidRPr="001B525F" w:rsidRDefault="00350F69" w:rsidP="003A266A">
      <w:pPr>
        <w:pStyle w:val="Texto0"/>
        <w:spacing w:after="0" w:line="276" w:lineRule="auto"/>
        <w:ind w:firstLine="0"/>
      </w:pPr>
    </w:p>
    <w:p w14:paraId="72C9BE0E" w14:textId="23612056" w:rsidR="006F50B5" w:rsidRPr="001B525F" w:rsidRDefault="006F50B5" w:rsidP="00DE69D6">
      <w:pPr>
        <w:pStyle w:val="Prrafodelista"/>
        <w:numPr>
          <w:ilvl w:val="0"/>
          <w:numId w:val="58"/>
        </w:numPr>
        <w:spacing w:line="276" w:lineRule="auto"/>
        <w:ind w:left="709" w:hanging="357"/>
        <w:contextualSpacing/>
        <w:jc w:val="both"/>
        <w:rPr>
          <w:rFonts w:cs="Arial"/>
          <w:sz w:val="18"/>
          <w:szCs w:val="18"/>
        </w:rPr>
      </w:pPr>
      <w:r w:rsidRPr="001B525F">
        <w:rPr>
          <w:rFonts w:cs="Arial"/>
          <w:sz w:val="18"/>
          <w:szCs w:val="18"/>
        </w:rPr>
        <w:t xml:space="preserve">Por servicios de terminación del Servicio Local en usuarios móviles bajo la modalidad “El que llama paga” será de </w:t>
      </w:r>
      <w:r w:rsidR="00604234" w:rsidRPr="00604234">
        <w:rPr>
          <w:rFonts w:cs="Arial"/>
          <w:b/>
          <w:bCs/>
          <w:sz w:val="18"/>
          <w:szCs w:val="18"/>
          <w:lang w:val="es-MX"/>
        </w:rPr>
        <w:t>$0.042221 pesos M.N.</w:t>
      </w:r>
      <w:r w:rsidR="00604234">
        <w:rPr>
          <w:rFonts w:cs="Arial"/>
          <w:b/>
          <w:bCs/>
          <w:sz w:val="18"/>
          <w:szCs w:val="18"/>
          <w:lang w:val="es-MX"/>
        </w:rPr>
        <w:t xml:space="preserve"> </w:t>
      </w:r>
      <w:r w:rsidRPr="00DE69D6">
        <w:rPr>
          <w:rFonts w:cs="Arial"/>
          <w:sz w:val="18"/>
          <w:szCs w:val="18"/>
        </w:rPr>
        <w:t>por</w:t>
      </w:r>
      <w:r w:rsidRPr="001B525F">
        <w:rPr>
          <w:rFonts w:cs="Arial"/>
          <w:sz w:val="18"/>
          <w:szCs w:val="18"/>
        </w:rPr>
        <w:t xml:space="preserve"> minuto de interconexión.</w:t>
      </w:r>
    </w:p>
    <w:p w14:paraId="408D0657" w14:textId="77777777" w:rsidR="006F50B5" w:rsidRPr="001B525F" w:rsidRDefault="006F50B5" w:rsidP="00DE69D6">
      <w:pPr>
        <w:pStyle w:val="Prrafodelista"/>
        <w:spacing w:line="276" w:lineRule="auto"/>
        <w:ind w:left="709" w:hanging="357"/>
        <w:contextualSpacing/>
        <w:rPr>
          <w:rFonts w:cs="Arial"/>
          <w:sz w:val="18"/>
          <w:szCs w:val="18"/>
        </w:rPr>
      </w:pPr>
    </w:p>
    <w:p w14:paraId="7D390228" w14:textId="4F124AB1" w:rsidR="006F50B5" w:rsidRPr="001B525F" w:rsidRDefault="006F50B5" w:rsidP="00DE69D6">
      <w:pPr>
        <w:pStyle w:val="Prrafodelista"/>
        <w:numPr>
          <w:ilvl w:val="0"/>
          <w:numId w:val="58"/>
        </w:numPr>
        <w:spacing w:line="276" w:lineRule="auto"/>
        <w:ind w:left="709" w:hanging="357"/>
        <w:contextualSpacing/>
        <w:jc w:val="both"/>
        <w:rPr>
          <w:rFonts w:cs="Arial"/>
          <w:sz w:val="18"/>
          <w:szCs w:val="18"/>
        </w:rPr>
      </w:pPr>
      <w:r w:rsidRPr="001B525F">
        <w:rPr>
          <w:rFonts w:cs="Arial"/>
          <w:sz w:val="18"/>
          <w:szCs w:val="18"/>
        </w:rPr>
        <w:t xml:space="preserve">Por servicios de terminación de mensajes cortos (SMS) en usuarios móviles será de </w:t>
      </w:r>
      <w:r w:rsidR="00604234" w:rsidRPr="00604234">
        <w:rPr>
          <w:rFonts w:cs="Arial"/>
          <w:b/>
          <w:bCs/>
          <w:sz w:val="18"/>
          <w:szCs w:val="18"/>
          <w:lang w:val="es-MX"/>
        </w:rPr>
        <w:t>$0.009272 pesos M.N.</w:t>
      </w:r>
      <w:r w:rsidRPr="001B525F">
        <w:rPr>
          <w:rFonts w:cs="Arial"/>
          <w:sz w:val="18"/>
          <w:szCs w:val="18"/>
        </w:rPr>
        <w:t xml:space="preserve"> por mensaje.</w:t>
      </w:r>
    </w:p>
    <w:p w14:paraId="0F14AE79" w14:textId="77777777" w:rsidR="006F50B5" w:rsidRPr="001B525F" w:rsidRDefault="006F50B5" w:rsidP="00DE69D6">
      <w:pPr>
        <w:pStyle w:val="Prrafodelista"/>
        <w:spacing w:line="276" w:lineRule="auto"/>
        <w:ind w:left="709" w:hanging="357"/>
        <w:contextualSpacing/>
        <w:rPr>
          <w:rFonts w:cs="Arial"/>
          <w:sz w:val="18"/>
          <w:szCs w:val="18"/>
        </w:rPr>
      </w:pPr>
    </w:p>
    <w:p w14:paraId="277607D7" w14:textId="39D3459C" w:rsidR="006F50B5" w:rsidRPr="00CC5D2C" w:rsidRDefault="006F50B5" w:rsidP="00DE69D6">
      <w:pPr>
        <w:pStyle w:val="Prrafodelista"/>
        <w:numPr>
          <w:ilvl w:val="0"/>
          <w:numId w:val="58"/>
        </w:numPr>
        <w:spacing w:line="276" w:lineRule="auto"/>
        <w:ind w:left="709" w:hanging="357"/>
        <w:contextualSpacing/>
        <w:jc w:val="both"/>
        <w:rPr>
          <w:rFonts w:cs="Arial"/>
          <w:sz w:val="18"/>
          <w:szCs w:val="18"/>
        </w:rPr>
      </w:pPr>
      <w:r w:rsidRPr="001B525F">
        <w:rPr>
          <w:rFonts w:cs="Arial"/>
          <w:sz w:val="18"/>
          <w:szCs w:val="18"/>
        </w:rPr>
        <w:t xml:space="preserve">Por servicios de terminación del Servicio Local en usuarios fijos será </w:t>
      </w:r>
      <w:r w:rsidRPr="00CC5D2C">
        <w:rPr>
          <w:rFonts w:cs="Arial"/>
          <w:sz w:val="18"/>
          <w:szCs w:val="18"/>
        </w:rPr>
        <w:t xml:space="preserve">de </w:t>
      </w:r>
      <w:r w:rsidR="00604234" w:rsidRPr="00604234">
        <w:rPr>
          <w:rFonts w:cs="Arial"/>
          <w:b/>
          <w:bCs/>
          <w:sz w:val="18"/>
          <w:szCs w:val="18"/>
          <w:lang w:val="es-MX"/>
        </w:rPr>
        <w:t>$0.003343 pesos M.N.</w:t>
      </w:r>
      <w:r w:rsidR="00604234" w:rsidRPr="00604234">
        <w:rPr>
          <w:rFonts w:cs="Arial"/>
          <w:sz w:val="18"/>
          <w:szCs w:val="18"/>
          <w:lang w:val="es-MX"/>
        </w:rPr>
        <w:t xml:space="preserve"> </w:t>
      </w:r>
      <w:r w:rsidRPr="00CC5D2C">
        <w:rPr>
          <w:rFonts w:cs="Arial"/>
          <w:sz w:val="18"/>
          <w:szCs w:val="18"/>
        </w:rPr>
        <w:t>por minuto de interconexión.</w:t>
      </w:r>
    </w:p>
    <w:p w14:paraId="76177933" w14:textId="77777777" w:rsidR="006F50B5" w:rsidRPr="001B525F" w:rsidRDefault="006F50B5" w:rsidP="00DE69D6">
      <w:pPr>
        <w:pStyle w:val="Prrafodelista"/>
        <w:spacing w:line="276" w:lineRule="auto"/>
        <w:ind w:left="709" w:hanging="357"/>
        <w:contextualSpacing/>
        <w:rPr>
          <w:rFonts w:cs="Arial"/>
          <w:sz w:val="18"/>
          <w:szCs w:val="18"/>
        </w:rPr>
      </w:pPr>
    </w:p>
    <w:p w14:paraId="7D919F45" w14:textId="063164C8" w:rsidR="006F50B5" w:rsidRPr="001B525F" w:rsidRDefault="006F50B5" w:rsidP="00DE69D6">
      <w:pPr>
        <w:pStyle w:val="Prrafodelista"/>
        <w:numPr>
          <w:ilvl w:val="0"/>
          <w:numId w:val="58"/>
        </w:numPr>
        <w:spacing w:line="276" w:lineRule="auto"/>
        <w:ind w:left="709" w:hanging="357"/>
        <w:contextualSpacing/>
        <w:jc w:val="both"/>
        <w:rPr>
          <w:rFonts w:cs="Arial"/>
          <w:sz w:val="18"/>
          <w:szCs w:val="18"/>
        </w:rPr>
      </w:pPr>
      <w:r w:rsidRPr="001B525F">
        <w:rPr>
          <w:rFonts w:cs="Arial"/>
          <w:sz w:val="18"/>
          <w:szCs w:val="18"/>
        </w:rPr>
        <w:t xml:space="preserve">Por servicios de terminación de mensajes cortos (SMS) en usuarios fijos será </w:t>
      </w:r>
      <w:r w:rsidRPr="002277A6">
        <w:rPr>
          <w:rFonts w:cs="Arial"/>
          <w:sz w:val="18"/>
          <w:szCs w:val="18"/>
        </w:rPr>
        <w:t xml:space="preserve">de </w:t>
      </w:r>
      <w:r w:rsidR="00604234" w:rsidRPr="00604234">
        <w:rPr>
          <w:rFonts w:cs="Arial"/>
          <w:b/>
          <w:bCs/>
          <w:sz w:val="18"/>
          <w:szCs w:val="18"/>
          <w:lang w:val="es-MX"/>
        </w:rPr>
        <w:t>$0.012760 pesos M.N.</w:t>
      </w:r>
      <w:r w:rsidR="00604234" w:rsidRPr="00604234">
        <w:rPr>
          <w:rFonts w:cs="Arial"/>
          <w:sz w:val="18"/>
          <w:szCs w:val="18"/>
          <w:lang w:val="es-MX"/>
        </w:rPr>
        <w:t> </w:t>
      </w:r>
      <w:r w:rsidRPr="002277A6">
        <w:rPr>
          <w:rFonts w:cs="Arial"/>
          <w:sz w:val="18"/>
          <w:szCs w:val="18"/>
        </w:rPr>
        <w:t>p</w:t>
      </w:r>
      <w:r w:rsidRPr="001B525F">
        <w:rPr>
          <w:rFonts w:cs="Arial"/>
          <w:sz w:val="18"/>
          <w:szCs w:val="18"/>
        </w:rPr>
        <w:t>or mensaje.</w:t>
      </w:r>
    </w:p>
    <w:p w14:paraId="565B93E7" w14:textId="77777777" w:rsidR="00350F69" w:rsidRPr="001B525F" w:rsidRDefault="00350F69" w:rsidP="003A266A">
      <w:pPr>
        <w:spacing w:after="0"/>
        <w:rPr>
          <w:rFonts w:ascii="Arial" w:hAnsi="Arial" w:cs="Arial"/>
          <w:sz w:val="18"/>
          <w:szCs w:val="18"/>
        </w:rPr>
      </w:pPr>
    </w:p>
    <w:p w14:paraId="1245DFBC" w14:textId="3C7C7D74" w:rsidR="00350F69" w:rsidRPr="001B525F" w:rsidRDefault="00350F69" w:rsidP="003A266A">
      <w:pPr>
        <w:spacing w:after="0"/>
        <w:jc w:val="both"/>
        <w:rPr>
          <w:rFonts w:ascii="Arial" w:hAnsi="Arial" w:cs="Arial"/>
          <w:sz w:val="18"/>
          <w:szCs w:val="18"/>
        </w:rPr>
      </w:pPr>
      <w:r w:rsidRPr="001B525F">
        <w:rPr>
          <w:rFonts w:ascii="Arial" w:hAnsi="Arial" w:cs="Arial"/>
          <w:sz w:val="18"/>
          <w:szCs w:val="18"/>
        </w:rPr>
        <w:t>Tratándose del Agente Económico Preponderante, las tarifas por los servicios de interconexión para el año 202</w:t>
      </w:r>
      <w:r w:rsidR="00604234">
        <w:rPr>
          <w:rFonts w:ascii="Arial" w:hAnsi="Arial" w:cs="Arial"/>
          <w:sz w:val="18"/>
          <w:szCs w:val="18"/>
        </w:rPr>
        <w:t>5</w:t>
      </w:r>
      <w:r w:rsidRPr="001B525F">
        <w:rPr>
          <w:rFonts w:ascii="Arial" w:hAnsi="Arial" w:cs="Arial"/>
          <w:sz w:val="18"/>
          <w:szCs w:val="18"/>
        </w:rPr>
        <w:t>, que han resultado de la metodología para el cálculo de los costos de interconexión, serán las siguientes:</w:t>
      </w:r>
    </w:p>
    <w:p w14:paraId="1DA4E878" w14:textId="77777777" w:rsidR="00350F69" w:rsidRPr="001B525F" w:rsidRDefault="00350F69" w:rsidP="003A266A">
      <w:pPr>
        <w:pStyle w:val="ROMANOS"/>
        <w:spacing w:after="0" w:line="276" w:lineRule="auto"/>
        <w:ind w:left="709" w:hanging="357"/>
        <w:rPr>
          <w:rFonts w:cs="Arial"/>
          <w:szCs w:val="18"/>
        </w:rPr>
      </w:pPr>
    </w:p>
    <w:p w14:paraId="128693C5" w14:textId="71CEE080" w:rsidR="006F50B5" w:rsidRPr="001B525F" w:rsidRDefault="006F50B5" w:rsidP="00226F17">
      <w:pPr>
        <w:numPr>
          <w:ilvl w:val="0"/>
          <w:numId w:val="58"/>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móvil será de </w:t>
      </w:r>
      <w:r w:rsidR="00604234" w:rsidRPr="00604234">
        <w:rPr>
          <w:rFonts w:ascii="Arial" w:eastAsia="Times New Roman" w:hAnsi="Arial" w:cs="Arial"/>
          <w:b/>
          <w:bCs/>
          <w:sz w:val="18"/>
          <w:szCs w:val="18"/>
          <w:lang w:val="es-MX" w:eastAsia="es-ES"/>
        </w:rPr>
        <w:t>$0.002046 pesos M.N.</w:t>
      </w:r>
      <w:r w:rsidR="00604234" w:rsidRPr="00604234">
        <w:rPr>
          <w:rFonts w:ascii="Arial" w:eastAsia="Times New Roman" w:hAnsi="Arial" w:cs="Arial"/>
          <w:sz w:val="18"/>
          <w:szCs w:val="18"/>
          <w:lang w:val="es-MX" w:eastAsia="es-ES"/>
        </w:rPr>
        <w:t xml:space="preserve"> </w:t>
      </w:r>
      <w:r w:rsidRPr="001B525F">
        <w:rPr>
          <w:rFonts w:ascii="Arial" w:eastAsia="Times New Roman" w:hAnsi="Arial" w:cs="Arial"/>
          <w:sz w:val="18"/>
          <w:szCs w:val="18"/>
          <w:lang w:eastAsia="es-ES"/>
        </w:rPr>
        <w:t>por minuto de interconexión.</w:t>
      </w:r>
    </w:p>
    <w:p w14:paraId="4FDFA536" w14:textId="77777777" w:rsidR="006F50B5" w:rsidRPr="001B525F" w:rsidRDefault="006F50B5" w:rsidP="003A266A">
      <w:pPr>
        <w:spacing w:after="0"/>
        <w:ind w:left="709" w:hanging="357"/>
        <w:contextualSpacing/>
        <w:jc w:val="both"/>
        <w:rPr>
          <w:rFonts w:ascii="Arial" w:eastAsia="Times New Roman" w:hAnsi="Arial" w:cs="Arial"/>
          <w:sz w:val="18"/>
          <w:szCs w:val="18"/>
          <w:lang w:eastAsia="es-ES"/>
        </w:rPr>
      </w:pPr>
    </w:p>
    <w:p w14:paraId="6B3691CE" w14:textId="0BD2E0FB" w:rsidR="006F50B5" w:rsidRPr="001B525F" w:rsidRDefault="006F50B5" w:rsidP="00226F17">
      <w:pPr>
        <w:numPr>
          <w:ilvl w:val="0"/>
          <w:numId w:val="58"/>
        </w:numPr>
        <w:spacing w:after="0"/>
        <w:ind w:left="709"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fija será de </w:t>
      </w:r>
      <w:r w:rsidR="00604234" w:rsidRPr="00604234">
        <w:rPr>
          <w:rFonts w:ascii="Arial" w:eastAsia="Times New Roman" w:hAnsi="Arial" w:cs="Arial"/>
          <w:b/>
          <w:bCs/>
          <w:sz w:val="18"/>
          <w:szCs w:val="18"/>
          <w:lang w:val="es-MX" w:eastAsia="es-ES"/>
        </w:rPr>
        <w:t>$0.002092 pesos M.N.</w:t>
      </w:r>
      <w:r w:rsidR="00604234" w:rsidRPr="00604234">
        <w:rPr>
          <w:rFonts w:ascii="Arial" w:eastAsia="Times New Roman" w:hAnsi="Arial" w:cs="Arial"/>
          <w:sz w:val="18"/>
          <w:szCs w:val="18"/>
          <w:lang w:val="es-MX" w:eastAsia="es-ES"/>
        </w:rPr>
        <w:t xml:space="preserve"> </w:t>
      </w:r>
      <w:r w:rsidRPr="001B525F">
        <w:rPr>
          <w:rFonts w:ascii="Arial" w:eastAsia="Times New Roman" w:hAnsi="Arial" w:cs="Arial"/>
          <w:sz w:val="18"/>
          <w:szCs w:val="18"/>
          <w:lang w:eastAsia="es-ES"/>
        </w:rPr>
        <w:t>por minuto de interconexión.</w:t>
      </w:r>
    </w:p>
    <w:p w14:paraId="2C351979" w14:textId="77777777" w:rsidR="00350F69" w:rsidRPr="001B525F" w:rsidRDefault="00350F69" w:rsidP="003A266A">
      <w:pPr>
        <w:pStyle w:val="ROMANOS"/>
        <w:spacing w:after="0" w:line="276" w:lineRule="auto"/>
        <w:ind w:left="0" w:firstLine="0"/>
        <w:rPr>
          <w:rFonts w:cs="Arial"/>
          <w:szCs w:val="18"/>
        </w:rPr>
      </w:pPr>
    </w:p>
    <w:p w14:paraId="61481B26"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2646698E" w14:textId="77777777" w:rsidR="006F50B5" w:rsidRPr="001B525F" w:rsidRDefault="006F50B5" w:rsidP="003A266A">
      <w:pPr>
        <w:spacing w:after="0"/>
        <w:jc w:val="both"/>
        <w:rPr>
          <w:rFonts w:ascii="Arial" w:hAnsi="Arial" w:cs="Arial"/>
          <w:sz w:val="18"/>
          <w:szCs w:val="18"/>
        </w:rPr>
      </w:pPr>
    </w:p>
    <w:p w14:paraId="764C43E0" w14:textId="52D72383"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 aplicación de las tarifas indicadas en los incisos a), c), e</w:t>
      </w:r>
      <w:r w:rsidR="00EF1E30" w:rsidRPr="00074509">
        <w:rPr>
          <w:rFonts w:ascii="Arial" w:hAnsi="Arial" w:cs="Arial"/>
          <w:sz w:val="18"/>
          <w:szCs w:val="18"/>
        </w:rPr>
        <w:t>)</w:t>
      </w:r>
      <w:r w:rsidR="00EF1E30">
        <w:rPr>
          <w:rFonts w:ascii="Arial" w:hAnsi="Arial" w:cs="Arial"/>
          <w:sz w:val="18"/>
          <w:szCs w:val="18"/>
        </w:rPr>
        <w:t xml:space="preserve"> y</w:t>
      </w:r>
      <w:r w:rsidR="00EF1E30" w:rsidRPr="00074509">
        <w:rPr>
          <w:rFonts w:ascii="Arial" w:hAnsi="Arial" w:cs="Arial"/>
          <w:sz w:val="18"/>
          <w:szCs w:val="18"/>
        </w:rPr>
        <w:t xml:space="preserve"> </w:t>
      </w:r>
      <w:r w:rsidRPr="001B525F">
        <w:rPr>
          <w:rFonts w:ascii="Arial" w:hAnsi="Arial" w:cs="Arial"/>
          <w:sz w:val="18"/>
          <w:szCs w:val="18"/>
        </w:rPr>
        <w:t>f) se calcularán con base en la duración real de las llamadas, sin redondear al minuto, debiendo para tal efecto sumar la duración de todas las llamadas completadas en el periodo de facturación correspondiente, medidas en segundos, sin redondeo y multiplicar los minutos equivalentes a dicha suma, por la tarifa correspondiente.</w:t>
      </w:r>
    </w:p>
    <w:p w14:paraId="68965B40" w14:textId="77777777" w:rsidR="00350F69" w:rsidRPr="001B525F" w:rsidRDefault="00350F69" w:rsidP="003A266A">
      <w:pPr>
        <w:pStyle w:val="ROMANOS"/>
        <w:spacing w:after="0" w:line="276" w:lineRule="auto"/>
        <w:rPr>
          <w:rFonts w:cs="Arial"/>
          <w:szCs w:val="18"/>
        </w:rPr>
      </w:pPr>
    </w:p>
    <w:p w14:paraId="6B3795E4" w14:textId="1384D8E8" w:rsidR="00350F69" w:rsidRPr="001B525F" w:rsidRDefault="00947D7A" w:rsidP="003A266A">
      <w:pPr>
        <w:pStyle w:val="Texto0"/>
        <w:spacing w:after="0" w:line="276" w:lineRule="auto"/>
        <w:ind w:firstLine="0"/>
      </w:pPr>
      <w:r w:rsidRPr="001B525F">
        <w:rPr>
          <w:b/>
        </w:rPr>
        <w:t>Décima Primera.-</w:t>
      </w:r>
      <w:r w:rsidR="00350F69" w:rsidRPr="001B525F">
        <w:t xml:space="preserve"> El Instituto Federal de Telecomunicaciones determina las tarifas que cobrará el Agente Económico Preponderante por el servicio local fijo y móvil que han resultado de la metodología para el cálculo de los costos de interconexión y que serán aplicables del 1 de enero al 31 de diciembre de </w:t>
      </w:r>
      <w:r w:rsidR="00F539F0" w:rsidRPr="001B525F">
        <w:t>202</w:t>
      </w:r>
      <w:r w:rsidR="00604234">
        <w:t>5</w:t>
      </w:r>
      <w:r w:rsidR="00F539F0" w:rsidRPr="001B525F">
        <w:t xml:space="preserve"> </w:t>
      </w:r>
      <w:r w:rsidR="00350F69" w:rsidRPr="001B525F">
        <w:t>en los siguientes términos:</w:t>
      </w:r>
    </w:p>
    <w:p w14:paraId="06FAA6A6" w14:textId="77777777" w:rsidR="006F50B5" w:rsidRPr="001B525F" w:rsidRDefault="006F50B5" w:rsidP="003A266A">
      <w:pPr>
        <w:pStyle w:val="Texto0"/>
        <w:spacing w:after="0" w:line="276" w:lineRule="auto"/>
        <w:ind w:firstLine="0"/>
      </w:pPr>
    </w:p>
    <w:p w14:paraId="1810D748" w14:textId="0E478DA5" w:rsidR="006F50B5" w:rsidRPr="001B525F" w:rsidRDefault="006F50B5" w:rsidP="00226F17">
      <w:pPr>
        <w:numPr>
          <w:ilvl w:val="0"/>
          <w:numId w:val="60"/>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móviles bajo la modalidad “El que llama paga” será de </w:t>
      </w:r>
      <w:r w:rsidR="00604234" w:rsidRPr="00604234">
        <w:rPr>
          <w:rFonts w:ascii="Arial" w:eastAsia="Times New Roman" w:hAnsi="Arial" w:cs="Arial"/>
          <w:b/>
          <w:bCs/>
          <w:sz w:val="18"/>
          <w:szCs w:val="18"/>
          <w:lang w:val="es-MX" w:eastAsia="es-ES"/>
        </w:rPr>
        <w:t>$0.012255 pesos M.N.</w:t>
      </w:r>
      <w:r w:rsidR="00604234" w:rsidRPr="00604234">
        <w:rPr>
          <w:rFonts w:ascii="Arial" w:eastAsia="Times New Roman" w:hAnsi="Arial" w:cs="Arial"/>
          <w:sz w:val="18"/>
          <w:szCs w:val="18"/>
          <w:lang w:val="es-MX" w:eastAsia="es-ES"/>
        </w:rPr>
        <w:t xml:space="preserve"> </w:t>
      </w:r>
      <w:r w:rsidRPr="001B525F">
        <w:rPr>
          <w:rFonts w:ascii="Arial" w:eastAsia="Times New Roman" w:hAnsi="Arial" w:cs="Arial"/>
          <w:sz w:val="18"/>
          <w:szCs w:val="18"/>
          <w:lang w:eastAsia="es-ES"/>
        </w:rPr>
        <w:t>por minuto de interconexión.</w:t>
      </w:r>
    </w:p>
    <w:p w14:paraId="591F96AF" w14:textId="77777777" w:rsidR="006F50B5" w:rsidRPr="001B525F" w:rsidRDefault="006F50B5" w:rsidP="003A266A">
      <w:pPr>
        <w:spacing w:after="0"/>
        <w:ind w:left="720"/>
        <w:contextualSpacing/>
        <w:jc w:val="both"/>
        <w:rPr>
          <w:rFonts w:ascii="Arial" w:eastAsia="Times New Roman" w:hAnsi="Arial" w:cs="Arial"/>
          <w:sz w:val="18"/>
          <w:szCs w:val="18"/>
          <w:lang w:eastAsia="es-ES"/>
        </w:rPr>
      </w:pPr>
    </w:p>
    <w:p w14:paraId="2BE493E3" w14:textId="3DC2D4DD" w:rsidR="006F50B5" w:rsidRPr="001B525F" w:rsidRDefault="006F50B5" w:rsidP="00226F17">
      <w:pPr>
        <w:numPr>
          <w:ilvl w:val="0"/>
          <w:numId w:val="60"/>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fijos será de </w:t>
      </w:r>
      <w:r w:rsidR="00604234" w:rsidRPr="00604234">
        <w:rPr>
          <w:rFonts w:ascii="Arial" w:eastAsia="Times New Roman" w:hAnsi="Arial" w:cs="Arial"/>
          <w:b/>
          <w:bCs/>
          <w:sz w:val="18"/>
          <w:szCs w:val="18"/>
          <w:lang w:val="es-MX" w:eastAsia="es-ES"/>
        </w:rPr>
        <w:t xml:space="preserve">$0.002858 pesos </w:t>
      </w:r>
      <w:r w:rsidRPr="001B525F">
        <w:rPr>
          <w:rFonts w:ascii="Arial" w:eastAsia="Times New Roman" w:hAnsi="Arial" w:cs="Arial"/>
          <w:sz w:val="18"/>
          <w:szCs w:val="18"/>
          <w:lang w:eastAsia="es-ES"/>
        </w:rPr>
        <w:t>por minuto de interconexión.</w:t>
      </w:r>
    </w:p>
    <w:p w14:paraId="7B0A3CE9" w14:textId="77777777" w:rsidR="006F50B5" w:rsidRPr="001B525F" w:rsidRDefault="006F50B5" w:rsidP="003A266A">
      <w:pPr>
        <w:spacing w:after="0"/>
        <w:ind w:left="720"/>
        <w:contextualSpacing/>
        <w:jc w:val="both"/>
        <w:rPr>
          <w:rFonts w:ascii="Arial" w:eastAsia="Times New Roman" w:hAnsi="Arial" w:cs="Arial"/>
          <w:sz w:val="18"/>
          <w:szCs w:val="18"/>
          <w:lang w:eastAsia="es-ES"/>
        </w:rPr>
      </w:pPr>
    </w:p>
    <w:p w14:paraId="52CFA17E" w14:textId="27601831" w:rsidR="006F50B5" w:rsidRPr="001B525F" w:rsidRDefault="006F50B5" w:rsidP="00226F17">
      <w:pPr>
        <w:numPr>
          <w:ilvl w:val="0"/>
          <w:numId w:val="60"/>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 mensajes cortos (SMS) en usuarios móviles será de </w:t>
      </w:r>
      <w:r w:rsidR="00604234" w:rsidRPr="00604234">
        <w:rPr>
          <w:rFonts w:ascii="Arial" w:eastAsia="Times New Roman" w:hAnsi="Arial" w:cs="Arial"/>
          <w:b/>
          <w:bCs/>
          <w:sz w:val="18"/>
          <w:szCs w:val="18"/>
          <w:lang w:val="es-MX" w:eastAsia="es-ES"/>
        </w:rPr>
        <w:t>$0.004083 pesos M.N.</w:t>
      </w:r>
      <w:r w:rsidR="00604234" w:rsidRPr="00604234">
        <w:rPr>
          <w:rFonts w:ascii="Arial" w:eastAsia="Times New Roman" w:hAnsi="Arial" w:cs="Arial"/>
          <w:sz w:val="18"/>
          <w:szCs w:val="18"/>
          <w:lang w:val="es-MX" w:eastAsia="es-ES"/>
        </w:rPr>
        <w:t> </w:t>
      </w:r>
      <w:r w:rsidRPr="001B525F">
        <w:rPr>
          <w:rFonts w:ascii="Arial" w:eastAsia="Times New Roman" w:hAnsi="Arial" w:cs="Arial"/>
          <w:sz w:val="18"/>
          <w:szCs w:val="18"/>
          <w:lang w:eastAsia="es-ES"/>
        </w:rPr>
        <w:t>por mensaje</w:t>
      </w:r>
    </w:p>
    <w:p w14:paraId="1BBC9BD3" w14:textId="77777777" w:rsidR="00350F69" w:rsidRPr="001B525F" w:rsidRDefault="00350F69" w:rsidP="003A266A">
      <w:pPr>
        <w:pStyle w:val="Prrafodelista"/>
        <w:spacing w:line="276" w:lineRule="auto"/>
        <w:rPr>
          <w:rFonts w:cs="Arial"/>
          <w:sz w:val="18"/>
          <w:szCs w:val="18"/>
        </w:rPr>
      </w:pPr>
    </w:p>
    <w:p w14:paraId="3420229E"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4FDCD04E" w14:textId="77777777" w:rsidR="006F50B5" w:rsidRPr="001B525F" w:rsidRDefault="006F50B5" w:rsidP="003A266A">
      <w:pPr>
        <w:spacing w:after="0"/>
        <w:jc w:val="both"/>
        <w:rPr>
          <w:rFonts w:ascii="Arial" w:hAnsi="Arial" w:cs="Arial"/>
          <w:sz w:val="18"/>
          <w:szCs w:val="18"/>
        </w:rPr>
      </w:pPr>
    </w:p>
    <w:p w14:paraId="6530100F"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12B6977A" w14:textId="77777777" w:rsidR="00350F69" w:rsidRPr="001B525F" w:rsidRDefault="00350F69" w:rsidP="003A266A">
      <w:pPr>
        <w:pStyle w:val="Texto0"/>
        <w:spacing w:after="0" w:line="276" w:lineRule="auto"/>
        <w:ind w:firstLine="0"/>
      </w:pPr>
    </w:p>
    <w:p w14:paraId="01DDF1C6" w14:textId="19D5E045" w:rsidR="00350F69" w:rsidRPr="001B525F" w:rsidRDefault="001F01A7" w:rsidP="00561BBC">
      <w:pPr>
        <w:pStyle w:val="ANOTACION"/>
        <w:spacing w:before="0" w:after="0" w:line="276" w:lineRule="auto"/>
        <w:ind w:right="49"/>
        <w:rPr>
          <w:rFonts w:ascii="Arial" w:hAnsi="Arial" w:cs="Arial"/>
          <w:szCs w:val="18"/>
        </w:rPr>
      </w:pPr>
      <w:r w:rsidRPr="001B525F">
        <w:rPr>
          <w:rFonts w:ascii="Arial" w:hAnsi="Arial" w:cs="Arial"/>
          <w:szCs w:val="18"/>
        </w:rPr>
        <w:t>Capítulo</w:t>
      </w:r>
      <w:r w:rsidR="00350F69" w:rsidRPr="001B525F">
        <w:rPr>
          <w:rFonts w:ascii="Arial" w:hAnsi="Arial" w:cs="Arial"/>
          <w:szCs w:val="18"/>
        </w:rPr>
        <w:t xml:space="preserve"> V</w:t>
      </w:r>
    </w:p>
    <w:p w14:paraId="3A90F339" w14:textId="77777777" w:rsidR="00350F69" w:rsidRPr="001B525F" w:rsidRDefault="00350F69" w:rsidP="00561BBC">
      <w:pPr>
        <w:spacing w:after="0"/>
        <w:ind w:right="51"/>
        <w:jc w:val="center"/>
        <w:rPr>
          <w:rFonts w:ascii="Arial" w:hAnsi="Arial" w:cs="Arial"/>
          <w:sz w:val="18"/>
          <w:szCs w:val="18"/>
        </w:rPr>
      </w:pPr>
      <w:r w:rsidRPr="001B525F">
        <w:rPr>
          <w:rFonts w:ascii="Arial" w:hAnsi="Arial" w:cs="Arial"/>
          <w:b/>
          <w:sz w:val="18"/>
          <w:szCs w:val="18"/>
        </w:rPr>
        <w:t>Tarifas de los Servicios de Interconexión no Conmutados</w:t>
      </w:r>
    </w:p>
    <w:p w14:paraId="65CFB7AF" w14:textId="77777777" w:rsidR="00350F69" w:rsidRPr="001B525F" w:rsidRDefault="00350F69" w:rsidP="00561BBC">
      <w:pPr>
        <w:pStyle w:val="Texto0"/>
        <w:spacing w:after="0" w:line="276" w:lineRule="auto"/>
        <w:ind w:firstLine="0"/>
        <w:rPr>
          <w:b/>
        </w:rPr>
      </w:pPr>
    </w:p>
    <w:p w14:paraId="6CC6AD95" w14:textId="3896D3C1" w:rsidR="00350F69" w:rsidRPr="001B525F" w:rsidRDefault="00947D7A" w:rsidP="00561BBC">
      <w:pPr>
        <w:pStyle w:val="Texto0"/>
        <w:spacing w:after="0" w:line="276" w:lineRule="auto"/>
        <w:ind w:firstLine="0"/>
      </w:pPr>
      <w:r w:rsidRPr="001B525F">
        <w:rPr>
          <w:b/>
        </w:rPr>
        <w:t>Décima Segunda</w:t>
      </w:r>
      <w:r w:rsidR="00350F69" w:rsidRPr="001B525F">
        <w:rPr>
          <w:b/>
        </w:rPr>
        <w:t>.-</w:t>
      </w:r>
      <w:r w:rsidR="00350F69" w:rsidRPr="001B525F">
        <w:t xml:space="preserve"> El Instituto Federal de Telecomunicaciones determina las tarifas por los Servicios de Interconexión no conmutados que han resultado de la metodología para el cálculo de costos de interconexión de conformidad con la Ley Federal de Telecomunicaciones y Radiodifusión, y que utilizará para resolver los desacuerdos de interconexión que se presenten, en los siguientes términos:</w:t>
      </w:r>
    </w:p>
    <w:p w14:paraId="1CFE1462" w14:textId="77777777" w:rsidR="00350F69" w:rsidRPr="001B525F" w:rsidRDefault="00350F69" w:rsidP="00561BBC">
      <w:pPr>
        <w:pStyle w:val="Texto0"/>
        <w:spacing w:after="0" w:line="276" w:lineRule="auto"/>
        <w:ind w:firstLine="0"/>
      </w:pPr>
    </w:p>
    <w:p w14:paraId="5A60B2C4" w14:textId="2C8CD82F"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coubicación de Tipo 1: Área de 9m2 (3x3), de Tipo 2: Área de 4m² (2X2), y de </w:t>
      </w:r>
      <w:r w:rsidRPr="001B525F">
        <w:rPr>
          <w:rFonts w:ascii="Arial" w:hAnsi="Arial" w:cs="Arial"/>
          <w:sz w:val="18"/>
          <w:szCs w:val="18"/>
        </w:rPr>
        <w:t>Tipo 3: Gabinete, de un operador fijo,</w:t>
      </w:r>
      <w:r w:rsidRPr="001B525F">
        <w:rPr>
          <w:rFonts w:ascii="Arial" w:eastAsia="Times New Roman" w:hAnsi="Arial" w:cs="Arial"/>
          <w:sz w:val="18"/>
          <w:szCs w:val="18"/>
        </w:rPr>
        <w:t xml:space="preserve"> del 1 de enero al 31 de diciembre de 202</w:t>
      </w:r>
      <w:r w:rsidR="00604234">
        <w:rPr>
          <w:rFonts w:ascii="Arial" w:eastAsia="Times New Roman" w:hAnsi="Arial" w:cs="Arial"/>
          <w:sz w:val="18"/>
          <w:szCs w:val="18"/>
        </w:rPr>
        <w:t>5</w:t>
      </w:r>
      <w:r w:rsidRPr="001B525F">
        <w:rPr>
          <w:rFonts w:ascii="Arial" w:eastAsia="Times New Roman" w:hAnsi="Arial" w:cs="Arial"/>
          <w:sz w:val="18"/>
          <w:szCs w:val="18"/>
        </w:rPr>
        <w:t xml:space="preserve"> serán las siguientes:</w:t>
      </w:r>
    </w:p>
    <w:p w14:paraId="4AB6E7C3" w14:textId="77777777" w:rsidR="00350F69" w:rsidRPr="007740FC" w:rsidRDefault="00350F69" w:rsidP="00561BBC">
      <w:pPr>
        <w:spacing w:after="0"/>
        <w:jc w:val="both"/>
        <w:rPr>
          <w:rFonts w:ascii="Arial" w:hAnsi="Arial" w:cs="Arial"/>
          <w:sz w:val="18"/>
          <w:szCs w:val="18"/>
        </w:rPr>
      </w:pPr>
    </w:p>
    <w:p w14:paraId="65E60685"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instalación:</w:t>
      </w:r>
    </w:p>
    <w:p w14:paraId="4494FE9F" w14:textId="77777777" w:rsidR="00350F69" w:rsidRPr="001B525F" w:rsidRDefault="00350F69" w:rsidP="00561BBC">
      <w:pPr>
        <w:spacing w:after="0"/>
        <w:jc w:val="both"/>
        <w:rPr>
          <w:rFonts w:ascii="Arial" w:hAnsi="Arial" w:cs="Arial"/>
          <w:spacing w:val="-4"/>
          <w:sz w:val="18"/>
          <w:szCs w:val="18"/>
        </w:rPr>
      </w:pPr>
    </w:p>
    <w:p w14:paraId="22F8FF97" w14:textId="33EDE025" w:rsidR="00350F69" w:rsidRPr="00074509" w:rsidRDefault="00350F69" w:rsidP="00226F17">
      <w:pPr>
        <w:pStyle w:val="Prrafodelista"/>
        <w:numPr>
          <w:ilvl w:val="0"/>
          <w:numId w:val="47"/>
        </w:numPr>
        <w:spacing w:line="276" w:lineRule="auto"/>
        <w:jc w:val="both"/>
        <w:rPr>
          <w:rFonts w:cs="Arial"/>
          <w:sz w:val="18"/>
          <w:szCs w:val="18"/>
        </w:rPr>
      </w:pPr>
      <w:r w:rsidRPr="00074509">
        <w:rPr>
          <w:rFonts w:cs="Arial"/>
          <w:b/>
          <w:sz w:val="18"/>
          <w:szCs w:val="18"/>
        </w:rPr>
        <w:t>$11</w:t>
      </w:r>
      <w:r w:rsidR="00767149" w:rsidRPr="00074509">
        <w:rPr>
          <w:rFonts w:cs="Arial"/>
          <w:b/>
          <w:sz w:val="18"/>
          <w:szCs w:val="18"/>
        </w:rPr>
        <w:t>9</w:t>
      </w:r>
      <w:r w:rsidR="009B15CA" w:rsidRPr="00074509">
        <w:rPr>
          <w:rFonts w:cs="Arial"/>
          <w:b/>
          <w:sz w:val="18"/>
          <w:szCs w:val="18"/>
        </w:rPr>
        <w:t>,</w:t>
      </w:r>
      <w:r w:rsidR="00767149" w:rsidRPr="00074509">
        <w:rPr>
          <w:rFonts w:cs="Arial"/>
          <w:b/>
          <w:sz w:val="18"/>
          <w:szCs w:val="18"/>
        </w:rPr>
        <w:t>483</w:t>
      </w:r>
      <w:r w:rsidR="009B15CA" w:rsidRPr="00074509">
        <w:rPr>
          <w:rFonts w:cs="Arial"/>
          <w:b/>
          <w:sz w:val="18"/>
          <w:szCs w:val="18"/>
        </w:rPr>
        <w:t>.</w:t>
      </w:r>
      <w:r w:rsidR="005A78DE" w:rsidRPr="00074509">
        <w:rPr>
          <w:rFonts w:cs="Arial"/>
          <w:b/>
          <w:sz w:val="18"/>
          <w:szCs w:val="18"/>
        </w:rPr>
        <w:t>39</w:t>
      </w:r>
      <w:r w:rsidRPr="00074509">
        <w:rPr>
          <w:rFonts w:cs="Arial"/>
          <w:b/>
          <w:sz w:val="18"/>
          <w:szCs w:val="18"/>
        </w:rPr>
        <w:t xml:space="preserve"> pesos M.N. </w:t>
      </w:r>
      <w:r w:rsidRPr="00074509">
        <w:rPr>
          <w:rFonts w:cs="Arial"/>
          <w:sz w:val="18"/>
          <w:szCs w:val="18"/>
        </w:rPr>
        <w:t>por coubicación de Tipo 1</w:t>
      </w:r>
    </w:p>
    <w:p w14:paraId="457217ED" w14:textId="2D74857F" w:rsidR="00350F69" w:rsidRPr="00074509" w:rsidRDefault="00350F69" w:rsidP="00226F17">
      <w:pPr>
        <w:pStyle w:val="Prrafodelista"/>
        <w:numPr>
          <w:ilvl w:val="0"/>
          <w:numId w:val="47"/>
        </w:numPr>
        <w:spacing w:line="276" w:lineRule="auto"/>
        <w:jc w:val="both"/>
        <w:rPr>
          <w:rFonts w:cs="Arial"/>
          <w:sz w:val="18"/>
          <w:szCs w:val="18"/>
        </w:rPr>
      </w:pPr>
      <w:r w:rsidRPr="00074509">
        <w:rPr>
          <w:rFonts w:cs="Arial"/>
          <w:b/>
          <w:sz w:val="18"/>
          <w:szCs w:val="18"/>
        </w:rPr>
        <w:t>$6</w:t>
      </w:r>
      <w:r w:rsidR="005A78DE" w:rsidRPr="00074509">
        <w:rPr>
          <w:rFonts w:cs="Arial"/>
          <w:b/>
          <w:sz w:val="18"/>
          <w:szCs w:val="18"/>
        </w:rPr>
        <w:t>7</w:t>
      </w:r>
      <w:r w:rsidR="00A36979" w:rsidRPr="00074509">
        <w:rPr>
          <w:rFonts w:cs="Arial"/>
          <w:b/>
          <w:sz w:val="18"/>
          <w:szCs w:val="18"/>
        </w:rPr>
        <w:t>,</w:t>
      </w:r>
      <w:r w:rsidR="005A78DE" w:rsidRPr="00074509">
        <w:rPr>
          <w:rFonts w:cs="Arial"/>
          <w:b/>
          <w:sz w:val="18"/>
          <w:szCs w:val="18"/>
        </w:rPr>
        <w:t>034</w:t>
      </w:r>
      <w:r w:rsidR="006767FE" w:rsidRPr="00074509">
        <w:rPr>
          <w:rFonts w:cs="Arial"/>
          <w:b/>
          <w:sz w:val="18"/>
          <w:szCs w:val="18"/>
        </w:rPr>
        <w:t>.</w:t>
      </w:r>
      <w:r w:rsidR="005A78DE" w:rsidRPr="00074509">
        <w:rPr>
          <w:rFonts w:cs="Arial"/>
          <w:b/>
          <w:sz w:val="18"/>
          <w:szCs w:val="18"/>
        </w:rPr>
        <w:t>03</w:t>
      </w:r>
      <w:r w:rsidRPr="00074509">
        <w:rPr>
          <w:rFonts w:cs="Arial"/>
          <w:b/>
          <w:sz w:val="18"/>
          <w:szCs w:val="18"/>
        </w:rPr>
        <w:t xml:space="preserve"> pesos M.N.</w:t>
      </w:r>
      <w:r w:rsidRPr="00074509">
        <w:rPr>
          <w:rFonts w:cs="Arial"/>
          <w:sz w:val="18"/>
          <w:szCs w:val="18"/>
        </w:rPr>
        <w:t xml:space="preserve"> por coubicación de Tipo 2.</w:t>
      </w:r>
    </w:p>
    <w:p w14:paraId="450CB14B" w14:textId="3FCF6793" w:rsidR="00350F69" w:rsidRPr="00074509" w:rsidRDefault="00350F69" w:rsidP="00226F17">
      <w:pPr>
        <w:pStyle w:val="Prrafodelista"/>
        <w:numPr>
          <w:ilvl w:val="0"/>
          <w:numId w:val="47"/>
        </w:numPr>
        <w:spacing w:line="276" w:lineRule="auto"/>
        <w:jc w:val="both"/>
        <w:rPr>
          <w:rFonts w:cs="Arial"/>
          <w:sz w:val="18"/>
          <w:szCs w:val="18"/>
        </w:rPr>
      </w:pPr>
      <w:r w:rsidRPr="00074509">
        <w:rPr>
          <w:rFonts w:cs="Arial"/>
          <w:b/>
          <w:sz w:val="18"/>
          <w:szCs w:val="18"/>
        </w:rPr>
        <w:t>$1</w:t>
      </w:r>
      <w:r w:rsidR="009B15CA" w:rsidRPr="00074509">
        <w:rPr>
          <w:rFonts w:cs="Arial"/>
          <w:b/>
          <w:sz w:val="18"/>
          <w:szCs w:val="18"/>
        </w:rPr>
        <w:t>2</w:t>
      </w:r>
      <w:r w:rsidR="005A78DE" w:rsidRPr="00074509">
        <w:rPr>
          <w:rFonts w:cs="Arial"/>
          <w:b/>
          <w:sz w:val="18"/>
          <w:szCs w:val="18"/>
        </w:rPr>
        <w:t>9</w:t>
      </w:r>
      <w:r w:rsidR="009B15CA" w:rsidRPr="00074509">
        <w:rPr>
          <w:rFonts w:cs="Arial"/>
          <w:b/>
          <w:sz w:val="18"/>
          <w:szCs w:val="18"/>
        </w:rPr>
        <w:t>,</w:t>
      </w:r>
      <w:r w:rsidR="005A78DE" w:rsidRPr="00074509">
        <w:rPr>
          <w:rFonts w:cs="Arial"/>
          <w:b/>
          <w:sz w:val="18"/>
          <w:szCs w:val="18"/>
        </w:rPr>
        <w:t>542</w:t>
      </w:r>
      <w:r w:rsidR="009B15CA" w:rsidRPr="00074509">
        <w:rPr>
          <w:rFonts w:cs="Arial"/>
          <w:b/>
          <w:sz w:val="18"/>
          <w:szCs w:val="18"/>
        </w:rPr>
        <w:t>.</w:t>
      </w:r>
      <w:r w:rsidR="005A78DE" w:rsidRPr="00074509">
        <w:rPr>
          <w:rFonts w:cs="Arial"/>
          <w:b/>
          <w:sz w:val="18"/>
          <w:szCs w:val="18"/>
        </w:rPr>
        <w:t>00</w:t>
      </w:r>
      <w:r w:rsidRPr="00074509">
        <w:rPr>
          <w:rFonts w:cs="Arial"/>
          <w:b/>
          <w:sz w:val="18"/>
          <w:szCs w:val="18"/>
        </w:rPr>
        <w:t xml:space="preserve"> pesos M.N.</w:t>
      </w:r>
      <w:r w:rsidRPr="00074509">
        <w:rPr>
          <w:rFonts w:cs="Arial"/>
          <w:sz w:val="18"/>
          <w:szCs w:val="18"/>
        </w:rPr>
        <w:t xml:space="preserve"> por coubicación de Tipo 3 (Gabinete)</w:t>
      </w:r>
    </w:p>
    <w:p w14:paraId="12FA6E0E" w14:textId="6E092F39" w:rsidR="00350F69" w:rsidRPr="00074509" w:rsidRDefault="00350F69" w:rsidP="00226F17">
      <w:pPr>
        <w:pStyle w:val="Prrafodelista"/>
        <w:numPr>
          <w:ilvl w:val="0"/>
          <w:numId w:val="47"/>
        </w:numPr>
        <w:spacing w:line="276" w:lineRule="auto"/>
        <w:jc w:val="both"/>
        <w:rPr>
          <w:rFonts w:cs="Arial"/>
          <w:sz w:val="18"/>
          <w:szCs w:val="18"/>
        </w:rPr>
      </w:pPr>
      <w:r w:rsidRPr="00074509">
        <w:rPr>
          <w:rFonts w:cs="Arial"/>
          <w:b/>
          <w:sz w:val="18"/>
          <w:szCs w:val="18"/>
        </w:rPr>
        <w:t>$2</w:t>
      </w:r>
      <w:r w:rsidR="009B15CA" w:rsidRPr="00074509">
        <w:rPr>
          <w:rFonts w:cs="Arial"/>
          <w:b/>
          <w:sz w:val="18"/>
          <w:szCs w:val="18"/>
        </w:rPr>
        <w:t>1</w:t>
      </w:r>
      <w:r w:rsidR="005A78DE" w:rsidRPr="00074509">
        <w:rPr>
          <w:rFonts w:cs="Arial"/>
          <w:b/>
          <w:sz w:val="18"/>
          <w:szCs w:val="18"/>
        </w:rPr>
        <w:t>8</w:t>
      </w:r>
      <w:r w:rsidR="009B15CA" w:rsidRPr="00074509">
        <w:rPr>
          <w:rFonts w:cs="Arial"/>
          <w:b/>
          <w:sz w:val="18"/>
          <w:szCs w:val="18"/>
        </w:rPr>
        <w:t>,</w:t>
      </w:r>
      <w:r w:rsidR="005A78DE" w:rsidRPr="00074509">
        <w:rPr>
          <w:rFonts w:cs="Arial"/>
          <w:b/>
          <w:sz w:val="18"/>
          <w:szCs w:val="18"/>
        </w:rPr>
        <w:t>426</w:t>
      </w:r>
      <w:r w:rsidR="009B15CA" w:rsidRPr="00074509">
        <w:rPr>
          <w:rFonts w:cs="Arial"/>
          <w:b/>
          <w:sz w:val="18"/>
          <w:szCs w:val="18"/>
        </w:rPr>
        <w:t>.</w:t>
      </w:r>
      <w:r w:rsidR="005A78DE" w:rsidRPr="00074509">
        <w:rPr>
          <w:rFonts w:cs="Arial"/>
          <w:b/>
          <w:sz w:val="18"/>
          <w:szCs w:val="18"/>
        </w:rPr>
        <w:t>5</w:t>
      </w:r>
      <w:r w:rsidR="009B15CA" w:rsidRPr="00074509">
        <w:rPr>
          <w:rFonts w:cs="Arial"/>
          <w:b/>
          <w:sz w:val="18"/>
          <w:szCs w:val="18"/>
        </w:rPr>
        <w:t>7</w:t>
      </w:r>
      <w:r w:rsidRPr="00074509">
        <w:rPr>
          <w:rFonts w:cs="Arial"/>
          <w:b/>
          <w:sz w:val="18"/>
          <w:szCs w:val="18"/>
        </w:rPr>
        <w:t xml:space="preserve"> pesos M.N.</w:t>
      </w:r>
      <w:r w:rsidRPr="00074509">
        <w:rPr>
          <w:rFonts w:cs="Arial"/>
          <w:sz w:val="18"/>
          <w:szCs w:val="18"/>
        </w:rPr>
        <w:t xml:space="preserve"> por coubicación externa de Tipo 3 (Gabinete).</w:t>
      </w:r>
    </w:p>
    <w:p w14:paraId="2C5CC077" w14:textId="77777777" w:rsidR="00350F69" w:rsidRPr="001B525F" w:rsidRDefault="00350F69" w:rsidP="00561BBC">
      <w:pPr>
        <w:spacing w:after="0"/>
        <w:jc w:val="both"/>
        <w:rPr>
          <w:rFonts w:ascii="Arial" w:eastAsia="Times New Roman" w:hAnsi="Arial" w:cs="Arial"/>
          <w:sz w:val="18"/>
          <w:szCs w:val="18"/>
        </w:rPr>
      </w:pPr>
    </w:p>
    <w:p w14:paraId="7D50639A" w14:textId="77777777"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éstas: </w:t>
      </w:r>
    </w:p>
    <w:p w14:paraId="100A0B00" w14:textId="77777777" w:rsidR="00350F69" w:rsidRPr="001B525F" w:rsidRDefault="00350F69" w:rsidP="00561BBC">
      <w:pPr>
        <w:spacing w:after="0"/>
        <w:jc w:val="both"/>
        <w:rPr>
          <w:rFonts w:ascii="Arial" w:eastAsia="Times New Roman" w:hAnsi="Arial" w:cs="Arial"/>
          <w:sz w:val="18"/>
          <w:szCs w:val="18"/>
        </w:rPr>
      </w:pPr>
    </w:p>
    <w:p w14:paraId="6C54C2CF"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alto: </w:t>
      </w:r>
    </w:p>
    <w:p w14:paraId="0AC267CD" w14:textId="77777777" w:rsidR="00350F69" w:rsidRPr="001B525F" w:rsidRDefault="00350F69" w:rsidP="004C0CE3">
      <w:pPr>
        <w:spacing w:after="0"/>
        <w:ind w:left="709" w:hanging="357"/>
        <w:jc w:val="both"/>
        <w:rPr>
          <w:rFonts w:ascii="Arial" w:eastAsia="Times New Roman" w:hAnsi="Arial" w:cs="Arial"/>
          <w:sz w:val="18"/>
          <w:szCs w:val="18"/>
        </w:rPr>
      </w:pPr>
    </w:p>
    <w:p w14:paraId="5F14ECD3" w14:textId="60B2D90C" w:rsidR="00350F69" w:rsidRPr="00074509" w:rsidRDefault="00350F69" w:rsidP="004C0CE3">
      <w:pPr>
        <w:pStyle w:val="Prrafodelista"/>
        <w:numPr>
          <w:ilvl w:val="0"/>
          <w:numId w:val="47"/>
        </w:numPr>
        <w:spacing w:line="276" w:lineRule="auto"/>
        <w:ind w:left="709" w:hanging="357"/>
        <w:jc w:val="both"/>
        <w:rPr>
          <w:rFonts w:cs="Arial"/>
          <w:sz w:val="18"/>
          <w:szCs w:val="18"/>
        </w:rPr>
      </w:pPr>
      <w:r w:rsidRPr="00074509">
        <w:rPr>
          <w:rFonts w:cs="Arial"/>
          <w:b/>
          <w:sz w:val="18"/>
          <w:szCs w:val="18"/>
        </w:rPr>
        <w:t>$1,</w:t>
      </w:r>
      <w:r w:rsidR="00BF4C02" w:rsidRPr="00074509">
        <w:rPr>
          <w:rFonts w:cs="Arial"/>
          <w:b/>
          <w:sz w:val="18"/>
          <w:szCs w:val="18"/>
        </w:rPr>
        <w:t>2</w:t>
      </w:r>
      <w:r w:rsidR="005A78DE" w:rsidRPr="00074509">
        <w:rPr>
          <w:rFonts w:cs="Arial"/>
          <w:b/>
          <w:sz w:val="18"/>
          <w:szCs w:val="18"/>
        </w:rPr>
        <w:t>3</w:t>
      </w:r>
      <w:r w:rsidR="00160F46" w:rsidRPr="00074509">
        <w:rPr>
          <w:rFonts w:cs="Arial"/>
          <w:b/>
          <w:sz w:val="18"/>
          <w:szCs w:val="18"/>
        </w:rPr>
        <w:t>1</w:t>
      </w:r>
      <w:r w:rsidR="00BF4C02" w:rsidRPr="00074509">
        <w:rPr>
          <w:rFonts w:cs="Arial"/>
          <w:b/>
          <w:sz w:val="18"/>
          <w:szCs w:val="18"/>
        </w:rPr>
        <w:t>.</w:t>
      </w:r>
      <w:r w:rsidR="00160F46" w:rsidRPr="00074509">
        <w:rPr>
          <w:rFonts w:cs="Arial"/>
          <w:b/>
          <w:sz w:val="18"/>
          <w:szCs w:val="18"/>
        </w:rPr>
        <w:t>93</w:t>
      </w:r>
      <w:r w:rsidRPr="00074509">
        <w:rPr>
          <w:rFonts w:cs="Arial"/>
          <w:b/>
          <w:sz w:val="18"/>
          <w:szCs w:val="18"/>
        </w:rPr>
        <w:t xml:space="preserve"> pesos M.N. </w:t>
      </w:r>
      <w:r w:rsidRPr="00074509">
        <w:rPr>
          <w:rFonts w:cs="Arial"/>
          <w:sz w:val="18"/>
          <w:szCs w:val="18"/>
        </w:rPr>
        <w:t xml:space="preserve">por metro cuadrado por coubicación de Tipo 1 y Tipo 2. </w:t>
      </w:r>
    </w:p>
    <w:p w14:paraId="40CE5430" w14:textId="2285D2EE" w:rsidR="00350F69" w:rsidRPr="00074509" w:rsidRDefault="00350F69" w:rsidP="004C0CE3">
      <w:pPr>
        <w:pStyle w:val="Prrafodelista"/>
        <w:numPr>
          <w:ilvl w:val="0"/>
          <w:numId w:val="47"/>
        </w:numPr>
        <w:spacing w:line="276" w:lineRule="auto"/>
        <w:ind w:left="709" w:hanging="357"/>
        <w:jc w:val="both"/>
        <w:rPr>
          <w:rFonts w:cs="Arial"/>
          <w:sz w:val="18"/>
          <w:szCs w:val="18"/>
        </w:rPr>
      </w:pPr>
      <w:r w:rsidRPr="00074509">
        <w:rPr>
          <w:rFonts w:cs="Arial"/>
          <w:b/>
          <w:sz w:val="18"/>
          <w:szCs w:val="18"/>
        </w:rPr>
        <w:t>$</w:t>
      </w:r>
      <w:r w:rsidR="00BF4C02" w:rsidRPr="00074509">
        <w:rPr>
          <w:rFonts w:cs="Arial"/>
          <w:b/>
          <w:sz w:val="18"/>
          <w:szCs w:val="18"/>
        </w:rPr>
        <w:t>3</w:t>
      </w:r>
      <w:r w:rsidRPr="00074509">
        <w:rPr>
          <w:rFonts w:cs="Arial"/>
          <w:b/>
          <w:sz w:val="18"/>
          <w:szCs w:val="18"/>
        </w:rPr>
        <w:t>,</w:t>
      </w:r>
      <w:r w:rsidR="00D033E2" w:rsidRPr="00074509">
        <w:rPr>
          <w:rFonts w:cs="Arial"/>
          <w:b/>
          <w:sz w:val="18"/>
          <w:szCs w:val="18"/>
        </w:rPr>
        <w:t>1</w:t>
      </w:r>
      <w:r w:rsidR="00160F46" w:rsidRPr="00074509">
        <w:rPr>
          <w:rFonts w:cs="Arial"/>
          <w:b/>
          <w:sz w:val="18"/>
          <w:szCs w:val="18"/>
        </w:rPr>
        <w:t>1</w:t>
      </w:r>
      <w:r w:rsidR="00D033E2" w:rsidRPr="00074509">
        <w:rPr>
          <w:rFonts w:cs="Arial"/>
          <w:b/>
          <w:sz w:val="18"/>
          <w:szCs w:val="18"/>
        </w:rPr>
        <w:t>8</w:t>
      </w:r>
      <w:r w:rsidR="00A36979" w:rsidRPr="00074509">
        <w:rPr>
          <w:rFonts w:cs="Arial"/>
          <w:b/>
          <w:sz w:val="18"/>
          <w:szCs w:val="18"/>
        </w:rPr>
        <w:t>.</w:t>
      </w:r>
      <w:r w:rsidR="00B8617D" w:rsidRPr="00074509">
        <w:rPr>
          <w:rFonts w:cs="Arial"/>
          <w:b/>
          <w:sz w:val="18"/>
          <w:szCs w:val="18"/>
        </w:rPr>
        <w:t>87</w:t>
      </w:r>
      <w:r w:rsidRPr="00074509">
        <w:rPr>
          <w:rFonts w:cs="Arial"/>
          <w:b/>
          <w:sz w:val="18"/>
          <w:szCs w:val="18"/>
        </w:rPr>
        <w:t xml:space="preserve"> pesos M.N.</w:t>
      </w:r>
      <w:r w:rsidRPr="00074509">
        <w:rPr>
          <w:rFonts w:cs="Arial"/>
          <w:sz w:val="18"/>
          <w:szCs w:val="18"/>
        </w:rPr>
        <w:t xml:space="preserve"> por coubicación de Tipo 3.</w:t>
      </w:r>
    </w:p>
    <w:p w14:paraId="468080BE" w14:textId="77777777" w:rsidR="00350F69" w:rsidRPr="001B525F" w:rsidRDefault="00350F69" w:rsidP="00561BBC">
      <w:pPr>
        <w:spacing w:after="0"/>
        <w:jc w:val="both"/>
        <w:rPr>
          <w:rFonts w:ascii="Arial" w:eastAsia="Times New Roman" w:hAnsi="Arial" w:cs="Arial"/>
          <w:sz w:val="18"/>
          <w:szCs w:val="18"/>
        </w:rPr>
      </w:pPr>
    </w:p>
    <w:p w14:paraId="4AD7C18E"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medio: </w:t>
      </w:r>
    </w:p>
    <w:p w14:paraId="522937D5" w14:textId="77777777" w:rsidR="00350F69" w:rsidRPr="001B525F" w:rsidRDefault="00350F69" w:rsidP="00561BBC">
      <w:pPr>
        <w:spacing w:after="0"/>
        <w:jc w:val="both"/>
        <w:rPr>
          <w:rFonts w:ascii="Arial" w:eastAsia="Times New Roman" w:hAnsi="Arial" w:cs="Arial"/>
          <w:sz w:val="18"/>
          <w:szCs w:val="18"/>
        </w:rPr>
      </w:pPr>
    </w:p>
    <w:p w14:paraId="124FB8A7" w14:textId="02F9AF95" w:rsidR="00350F69" w:rsidRPr="00074509" w:rsidRDefault="00350F69" w:rsidP="00D60868">
      <w:pPr>
        <w:pStyle w:val="Prrafodelista"/>
        <w:numPr>
          <w:ilvl w:val="0"/>
          <w:numId w:val="47"/>
        </w:numPr>
        <w:spacing w:line="276" w:lineRule="auto"/>
        <w:ind w:left="709" w:hanging="357"/>
        <w:jc w:val="both"/>
        <w:rPr>
          <w:rFonts w:cs="Arial"/>
          <w:sz w:val="18"/>
          <w:szCs w:val="18"/>
        </w:rPr>
      </w:pPr>
      <w:r w:rsidRPr="00074509">
        <w:rPr>
          <w:rFonts w:cs="Arial"/>
          <w:b/>
          <w:sz w:val="18"/>
          <w:szCs w:val="18"/>
        </w:rPr>
        <w:t>$</w:t>
      </w:r>
      <w:r w:rsidR="00BF4C02" w:rsidRPr="00074509">
        <w:rPr>
          <w:rFonts w:cs="Arial"/>
          <w:b/>
          <w:sz w:val="18"/>
          <w:szCs w:val="18"/>
        </w:rPr>
        <w:t>1,1</w:t>
      </w:r>
      <w:r w:rsidR="00B8617D" w:rsidRPr="00074509">
        <w:rPr>
          <w:rFonts w:cs="Arial"/>
          <w:b/>
          <w:sz w:val="18"/>
          <w:szCs w:val="18"/>
        </w:rPr>
        <w:t>60.58</w:t>
      </w:r>
      <w:r w:rsidRPr="00074509">
        <w:rPr>
          <w:rFonts w:cs="Arial"/>
          <w:b/>
          <w:sz w:val="18"/>
          <w:szCs w:val="18"/>
        </w:rPr>
        <w:t xml:space="preserve"> pesos M.N. </w:t>
      </w:r>
      <w:r w:rsidRPr="00074509">
        <w:rPr>
          <w:rFonts w:cs="Arial"/>
          <w:sz w:val="18"/>
          <w:szCs w:val="18"/>
        </w:rPr>
        <w:t>por metro cuadrado por coubicación de Tipo 1 y Tipo 2.</w:t>
      </w:r>
    </w:p>
    <w:p w14:paraId="176BA315" w14:textId="6B790EF8" w:rsidR="00350F69" w:rsidRPr="00074509" w:rsidRDefault="00350F69" w:rsidP="00D60868">
      <w:pPr>
        <w:pStyle w:val="Prrafodelista"/>
        <w:numPr>
          <w:ilvl w:val="0"/>
          <w:numId w:val="47"/>
        </w:numPr>
        <w:spacing w:line="276" w:lineRule="auto"/>
        <w:ind w:left="709" w:hanging="357"/>
        <w:jc w:val="both"/>
        <w:rPr>
          <w:rFonts w:cs="Arial"/>
          <w:sz w:val="18"/>
          <w:szCs w:val="18"/>
        </w:rPr>
      </w:pPr>
      <w:r w:rsidRPr="00074509">
        <w:rPr>
          <w:rFonts w:cs="Arial"/>
          <w:b/>
          <w:sz w:val="18"/>
          <w:szCs w:val="18"/>
        </w:rPr>
        <w:t>$2,</w:t>
      </w:r>
      <w:r w:rsidR="00B8617D" w:rsidRPr="00074509">
        <w:rPr>
          <w:rFonts w:cs="Arial"/>
          <w:b/>
          <w:sz w:val="18"/>
          <w:szCs w:val="18"/>
        </w:rPr>
        <w:t>911</w:t>
      </w:r>
      <w:r w:rsidR="00A36979" w:rsidRPr="00074509">
        <w:rPr>
          <w:rFonts w:cs="Arial"/>
          <w:b/>
          <w:sz w:val="18"/>
          <w:szCs w:val="18"/>
        </w:rPr>
        <w:t>.</w:t>
      </w:r>
      <w:r w:rsidR="00B8617D" w:rsidRPr="00074509">
        <w:rPr>
          <w:rFonts w:cs="Arial"/>
          <w:b/>
          <w:sz w:val="18"/>
          <w:szCs w:val="18"/>
        </w:rPr>
        <w:t>54</w:t>
      </w:r>
      <w:r w:rsidRPr="00074509">
        <w:rPr>
          <w:rFonts w:cs="Arial"/>
          <w:b/>
          <w:sz w:val="18"/>
          <w:szCs w:val="18"/>
        </w:rPr>
        <w:t xml:space="preserve"> pesos M.N.</w:t>
      </w:r>
      <w:r w:rsidRPr="00074509">
        <w:rPr>
          <w:rFonts w:cs="Arial"/>
          <w:sz w:val="18"/>
          <w:szCs w:val="18"/>
        </w:rPr>
        <w:t xml:space="preserve"> por coubicación de Tipo 3.</w:t>
      </w:r>
    </w:p>
    <w:p w14:paraId="175C09E3" w14:textId="77777777" w:rsidR="00350F69" w:rsidRPr="001B525F" w:rsidRDefault="00350F69" w:rsidP="00561BBC">
      <w:pPr>
        <w:spacing w:after="0"/>
        <w:jc w:val="both"/>
        <w:rPr>
          <w:rFonts w:ascii="Arial" w:eastAsia="Times New Roman" w:hAnsi="Arial" w:cs="Arial"/>
          <w:sz w:val="18"/>
          <w:szCs w:val="18"/>
        </w:rPr>
      </w:pPr>
    </w:p>
    <w:p w14:paraId="40F41837"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bajo: </w:t>
      </w:r>
    </w:p>
    <w:p w14:paraId="6F51CC25" w14:textId="77777777" w:rsidR="00350F69" w:rsidRPr="001B525F" w:rsidRDefault="00350F69" w:rsidP="00D60868">
      <w:pPr>
        <w:spacing w:after="0"/>
        <w:ind w:left="709" w:hanging="357"/>
        <w:jc w:val="both"/>
        <w:rPr>
          <w:rFonts w:ascii="Arial" w:eastAsia="Times New Roman" w:hAnsi="Arial" w:cs="Arial"/>
          <w:sz w:val="18"/>
          <w:szCs w:val="18"/>
        </w:rPr>
      </w:pPr>
    </w:p>
    <w:p w14:paraId="3011A34D" w14:textId="1E404192" w:rsidR="00350F69" w:rsidRPr="00074509" w:rsidRDefault="00350F69" w:rsidP="00D60868">
      <w:pPr>
        <w:pStyle w:val="Prrafodelista"/>
        <w:numPr>
          <w:ilvl w:val="0"/>
          <w:numId w:val="47"/>
        </w:numPr>
        <w:spacing w:line="276" w:lineRule="auto"/>
        <w:ind w:left="709" w:hanging="357"/>
        <w:jc w:val="both"/>
        <w:rPr>
          <w:rFonts w:cs="Arial"/>
          <w:sz w:val="18"/>
          <w:szCs w:val="18"/>
        </w:rPr>
      </w:pPr>
      <w:r w:rsidRPr="00074509">
        <w:rPr>
          <w:rFonts w:cs="Arial"/>
          <w:b/>
          <w:sz w:val="18"/>
          <w:szCs w:val="18"/>
        </w:rPr>
        <w:t>$</w:t>
      </w:r>
      <w:r w:rsidR="00BF4C02" w:rsidRPr="00074509">
        <w:rPr>
          <w:rFonts w:cs="Arial"/>
          <w:b/>
          <w:sz w:val="18"/>
          <w:szCs w:val="18"/>
        </w:rPr>
        <w:t>1,1</w:t>
      </w:r>
      <w:r w:rsidR="00B8617D" w:rsidRPr="00074509">
        <w:rPr>
          <w:rFonts w:cs="Arial"/>
          <w:b/>
          <w:sz w:val="18"/>
          <w:szCs w:val="18"/>
        </w:rPr>
        <w:t>42.69</w:t>
      </w:r>
      <w:r w:rsidRPr="00074509">
        <w:rPr>
          <w:rFonts w:cs="Arial"/>
          <w:b/>
          <w:sz w:val="18"/>
          <w:szCs w:val="18"/>
        </w:rPr>
        <w:t xml:space="preserve"> pesos M.N. </w:t>
      </w:r>
      <w:r w:rsidRPr="00074509">
        <w:rPr>
          <w:rFonts w:cs="Arial"/>
          <w:sz w:val="18"/>
          <w:szCs w:val="18"/>
        </w:rPr>
        <w:t>por metro cuadrado por coubicación de Tipo 1 y Tipo 2.</w:t>
      </w:r>
    </w:p>
    <w:p w14:paraId="2FB27E31" w14:textId="665F3088" w:rsidR="00350F69" w:rsidRPr="00074509" w:rsidRDefault="00350F69" w:rsidP="00D60868">
      <w:pPr>
        <w:pStyle w:val="Prrafodelista"/>
        <w:numPr>
          <w:ilvl w:val="0"/>
          <w:numId w:val="47"/>
        </w:numPr>
        <w:spacing w:line="276" w:lineRule="auto"/>
        <w:ind w:left="709" w:hanging="357"/>
        <w:jc w:val="both"/>
        <w:rPr>
          <w:rFonts w:cs="Arial"/>
          <w:sz w:val="18"/>
          <w:szCs w:val="18"/>
        </w:rPr>
      </w:pPr>
      <w:r w:rsidRPr="00074509">
        <w:rPr>
          <w:rFonts w:cs="Arial"/>
          <w:b/>
          <w:sz w:val="18"/>
          <w:szCs w:val="18"/>
        </w:rPr>
        <w:t>$2,</w:t>
      </w:r>
      <w:r w:rsidR="00BF4C02" w:rsidRPr="00074509">
        <w:rPr>
          <w:rFonts w:cs="Arial"/>
          <w:b/>
          <w:sz w:val="18"/>
          <w:szCs w:val="18"/>
        </w:rPr>
        <w:t>6</w:t>
      </w:r>
      <w:r w:rsidR="00B8617D" w:rsidRPr="00074509">
        <w:rPr>
          <w:rFonts w:cs="Arial"/>
          <w:b/>
          <w:sz w:val="18"/>
          <w:szCs w:val="18"/>
        </w:rPr>
        <w:t>87.11</w:t>
      </w:r>
      <w:r w:rsidRPr="00074509">
        <w:rPr>
          <w:rFonts w:cs="Arial"/>
          <w:b/>
          <w:sz w:val="18"/>
          <w:szCs w:val="18"/>
        </w:rPr>
        <w:t xml:space="preserve"> pesos M.N.</w:t>
      </w:r>
      <w:r w:rsidRPr="00074509">
        <w:rPr>
          <w:rFonts w:cs="Arial"/>
          <w:sz w:val="18"/>
          <w:szCs w:val="18"/>
        </w:rPr>
        <w:t xml:space="preserve"> por coubicación de Tipo 3.</w:t>
      </w:r>
    </w:p>
    <w:p w14:paraId="6D9FE0A2" w14:textId="77777777" w:rsidR="00350F69" w:rsidRPr="001B525F" w:rsidRDefault="00350F69" w:rsidP="00561BBC">
      <w:pPr>
        <w:spacing w:after="0"/>
        <w:jc w:val="both"/>
        <w:rPr>
          <w:rFonts w:ascii="Arial" w:hAnsi="Arial" w:cs="Arial"/>
          <w:sz w:val="18"/>
          <w:szCs w:val="18"/>
        </w:rPr>
      </w:pPr>
    </w:p>
    <w:p w14:paraId="2979A7F4" w14:textId="77777777" w:rsidR="00350F69" w:rsidRPr="001B525F" w:rsidRDefault="00350F69" w:rsidP="00561BBC">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w:t>
      </w:r>
    </w:p>
    <w:p w14:paraId="3B2D1448" w14:textId="77777777" w:rsidR="00350F69" w:rsidRPr="007740FC" w:rsidRDefault="00350F69" w:rsidP="00561BBC">
      <w:pPr>
        <w:spacing w:after="0"/>
        <w:jc w:val="both"/>
        <w:rPr>
          <w:rFonts w:ascii="Arial" w:hAnsi="Arial" w:cs="Arial"/>
          <w:sz w:val="18"/>
          <w:szCs w:val="18"/>
        </w:rPr>
      </w:pPr>
    </w:p>
    <w:p w14:paraId="4B6FE36D" w14:textId="51C7EC33"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coubicación de Tipo 1: Área de 9m2 (3x3), de Tipo 2: Área de 4m² (2X2), y de </w:t>
      </w:r>
      <w:r w:rsidRPr="001B525F">
        <w:rPr>
          <w:rFonts w:ascii="Arial" w:hAnsi="Arial" w:cs="Arial"/>
          <w:sz w:val="18"/>
          <w:szCs w:val="18"/>
        </w:rPr>
        <w:t>Tipo 3: Gabinete, de un operador móvil,</w:t>
      </w:r>
      <w:r w:rsidRPr="001B525F">
        <w:rPr>
          <w:rFonts w:ascii="Arial" w:eastAsia="Times New Roman" w:hAnsi="Arial" w:cs="Arial"/>
          <w:sz w:val="18"/>
          <w:szCs w:val="18"/>
        </w:rPr>
        <w:t xml:space="preserve"> del 1 de enero al 31 de diciembre de 202</w:t>
      </w:r>
      <w:r w:rsidR="00604234">
        <w:rPr>
          <w:rFonts w:ascii="Arial" w:eastAsia="Times New Roman" w:hAnsi="Arial" w:cs="Arial"/>
          <w:sz w:val="18"/>
          <w:szCs w:val="18"/>
        </w:rPr>
        <w:t>5</w:t>
      </w:r>
      <w:r w:rsidRPr="001B525F">
        <w:rPr>
          <w:rFonts w:ascii="Arial" w:eastAsia="Times New Roman" w:hAnsi="Arial" w:cs="Arial"/>
          <w:sz w:val="18"/>
          <w:szCs w:val="18"/>
        </w:rPr>
        <w:t xml:space="preserve"> serán las siguientes:</w:t>
      </w:r>
    </w:p>
    <w:p w14:paraId="1E749B33" w14:textId="77777777" w:rsidR="00350F69" w:rsidRPr="007740FC" w:rsidRDefault="00350F69" w:rsidP="00561BBC">
      <w:pPr>
        <w:spacing w:after="0"/>
        <w:jc w:val="both"/>
        <w:rPr>
          <w:rFonts w:ascii="Arial" w:hAnsi="Arial" w:cs="Arial"/>
          <w:sz w:val="18"/>
          <w:szCs w:val="18"/>
        </w:rPr>
      </w:pPr>
    </w:p>
    <w:p w14:paraId="7A72BBC1"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instalación:</w:t>
      </w:r>
    </w:p>
    <w:p w14:paraId="1E99DF37" w14:textId="77777777" w:rsidR="00350F69" w:rsidRPr="001B525F" w:rsidRDefault="00350F69" w:rsidP="00561BBC">
      <w:pPr>
        <w:spacing w:after="0"/>
        <w:jc w:val="both"/>
        <w:rPr>
          <w:rFonts w:ascii="Arial" w:hAnsi="Arial" w:cs="Arial"/>
          <w:spacing w:val="-4"/>
          <w:sz w:val="18"/>
          <w:szCs w:val="18"/>
        </w:rPr>
      </w:pPr>
    </w:p>
    <w:p w14:paraId="5EE6AA0E" w14:textId="77777777" w:rsidR="00B8617D" w:rsidRPr="00074509" w:rsidRDefault="00B8617D" w:rsidP="00B8617D">
      <w:pPr>
        <w:pStyle w:val="Prrafodelista"/>
        <w:numPr>
          <w:ilvl w:val="0"/>
          <w:numId w:val="77"/>
        </w:numPr>
        <w:spacing w:line="276" w:lineRule="auto"/>
        <w:jc w:val="both"/>
        <w:rPr>
          <w:rFonts w:cs="Arial"/>
          <w:sz w:val="18"/>
          <w:szCs w:val="18"/>
        </w:rPr>
      </w:pPr>
      <w:r w:rsidRPr="00074509">
        <w:rPr>
          <w:rFonts w:cs="Arial"/>
          <w:b/>
          <w:sz w:val="18"/>
          <w:szCs w:val="18"/>
        </w:rPr>
        <w:t xml:space="preserve">$119,483.39 pesos M.N. </w:t>
      </w:r>
      <w:r w:rsidRPr="00074509">
        <w:rPr>
          <w:rFonts w:cs="Arial"/>
          <w:sz w:val="18"/>
          <w:szCs w:val="18"/>
        </w:rPr>
        <w:t>por coubicación de Tipo 1</w:t>
      </w:r>
    </w:p>
    <w:p w14:paraId="5216C782" w14:textId="77777777" w:rsidR="00B8617D" w:rsidRPr="00074509" w:rsidRDefault="00B8617D" w:rsidP="00B8617D">
      <w:pPr>
        <w:pStyle w:val="Prrafodelista"/>
        <w:numPr>
          <w:ilvl w:val="0"/>
          <w:numId w:val="77"/>
        </w:numPr>
        <w:spacing w:line="276" w:lineRule="auto"/>
        <w:jc w:val="both"/>
        <w:rPr>
          <w:rFonts w:cs="Arial"/>
          <w:sz w:val="18"/>
          <w:szCs w:val="18"/>
        </w:rPr>
      </w:pPr>
      <w:r w:rsidRPr="00074509">
        <w:rPr>
          <w:rFonts w:cs="Arial"/>
          <w:b/>
          <w:sz w:val="18"/>
          <w:szCs w:val="18"/>
        </w:rPr>
        <w:t>$67,034.03 pesos M.N.</w:t>
      </w:r>
      <w:r w:rsidRPr="00074509">
        <w:rPr>
          <w:rFonts w:cs="Arial"/>
          <w:sz w:val="18"/>
          <w:szCs w:val="18"/>
        </w:rPr>
        <w:t xml:space="preserve"> por coubicación de Tipo 2.</w:t>
      </w:r>
    </w:p>
    <w:p w14:paraId="4EF099B2" w14:textId="77777777" w:rsidR="00B8617D" w:rsidRPr="00074509" w:rsidRDefault="00B8617D" w:rsidP="00B8617D">
      <w:pPr>
        <w:pStyle w:val="Prrafodelista"/>
        <w:numPr>
          <w:ilvl w:val="0"/>
          <w:numId w:val="77"/>
        </w:numPr>
        <w:spacing w:line="276" w:lineRule="auto"/>
        <w:jc w:val="both"/>
        <w:rPr>
          <w:rFonts w:cs="Arial"/>
          <w:sz w:val="18"/>
          <w:szCs w:val="18"/>
        </w:rPr>
      </w:pPr>
      <w:r w:rsidRPr="00074509">
        <w:rPr>
          <w:rFonts w:cs="Arial"/>
          <w:b/>
          <w:sz w:val="18"/>
          <w:szCs w:val="18"/>
        </w:rPr>
        <w:t>$129,542.00 pesos M.N.</w:t>
      </w:r>
      <w:r w:rsidRPr="00074509">
        <w:rPr>
          <w:rFonts w:cs="Arial"/>
          <w:sz w:val="18"/>
          <w:szCs w:val="18"/>
        </w:rPr>
        <w:t xml:space="preserve"> por coubicación de Tipo 3 (Gabinete)</w:t>
      </w:r>
    </w:p>
    <w:p w14:paraId="7F4528D6" w14:textId="77777777" w:rsidR="00B8617D" w:rsidRPr="00074509" w:rsidRDefault="00B8617D" w:rsidP="00B8617D">
      <w:pPr>
        <w:pStyle w:val="Prrafodelista"/>
        <w:numPr>
          <w:ilvl w:val="0"/>
          <w:numId w:val="77"/>
        </w:numPr>
        <w:spacing w:line="276" w:lineRule="auto"/>
        <w:jc w:val="both"/>
        <w:rPr>
          <w:rFonts w:cs="Arial"/>
          <w:sz w:val="18"/>
          <w:szCs w:val="18"/>
        </w:rPr>
      </w:pPr>
      <w:r w:rsidRPr="00074509">
        <w:rPr>
          <w:rFonts w:cs="Arial"/>
          <w:b/>
          <w:sz w:val="18"/>
          <w:szCs w:val="18"/>
        </w:rPr>
        <w:t>$218,426.57 pesos M.N.</w:t>
      </w:r>
      <w:r w:rsidRPr="00074509">
        <w:rPr>
          <w:rFonts w:cs="Arial"/>
          <w:sz w:val="18"/>
          <w:szCs w:val="18"/>
        </w:rPr>
        <w:t xml:space="preserve"> por coubicación externa de Tipo 3 (Gabinete).</w:t>
      </w:r>
    </w:p>
    <w:p w14:paraId="0C4FE980" w14:textId="77777777" w:rsidR="00350F69" w:rsidRPr="001B525F" w:rsidRDefault="00350F69" w:rsidP="00561BBC">
      <w:pPr>
        <w:spacing w:after="0"/>
        <w:jc w:val="both"/>
        <w:rPr>
          <w:rFonts w:ascii="Arial" w:eastAsia="Times New Roman" w:hAnsi="Arial" w:cs="Arial"/>
          <w:sz w:val="18"/>
          <w:szCs w:val="18"/>
        </w:rPr>
      </w:pPr>
    </w:p>
    <w:p w14:paraId="70BD8E17" w14:textId="77777777"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estas: </w:t>
      </w:r>
    </w:p>
    <w:p w14:paraId="33010A35" w14:textId="77777777" w:rsidR="00350F69" w:rsidRPr="001B525F" w:rsidRDefault="00350F69" w:rsidP="00561BBC">
      <w:pPr>
        <w:spacing w:after="0"/>
        <w:jc w:val="both"/>
        <w:rPr>
          <w:rFonts w:ascii="Arial" w:eastAsia="Times New Roman" w:hAnsi="Arial" w:cs="Arial"/>
          <w:sz w:val="18"/>
          <w:szCs w:val="18"/>
        </w:rPr>
      </w:pPr>
    </w:p>
    <w:p w14:paraId="49F164DA"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alto: </w:t>
      </w:r>
    </w:p>
    <w:p w14:paraId="4CB6D19E" w14:textId="77777777" w:rsidR="00350F69" w:rsidRPr="001B525F" w:rsidRDefault="00350F69" w:rsidP="00561BBC">
      <w:pPr>
        <w:spacing w:after="0"/>
        <w:jc w:val="both"/>
        <w:rPr>
          <w:rFonts w:ascii="Arial" w:eastAsia="Times New Roman" w:hAnsi="Arial" w:cs="Arial"/>
          <w:sz w:val="18"/>
          <w:szCs w:val="18"/>
        </w:rPr>
      </w:pPr>
    </w:p>
    <w:p w14:paraId="1C946CBF" w14:textId="3CC630F0" w:rsidR="00350F69" w:rsidRPr="00074509" w:rsidRDefault="00350F69" w:rsidP="00D60868">
      <w:pPr>
        <w:pStyle w:val="Prrafodelista"/>
        <w:numPr>
          <w:ilvl w:val="0"/>
          <w:numId w:val="56"/>
        </w:numPr>
        <w:spacing w:line="276" w:lineRule="auto"/>
        <w:ind w:left="709" w:hanging="357"/>
        <w:jc w:val="both"/>
        <w:rPr>
          <w:rFonts w:cs="Arial"/>
          <w:sz w:val="18"/>
          <w:szCs w:val="18"/>
        </w:rPr>
      </w:pPr>
      <w:r w:rsidRPr="00074509">
        <w:rPr>
          <w:rFonts w:cs="Arial"/>
          <w:b/>
          <w:sz w:val="18"/>
          <w:szCs w:val="18"/>
        </w:rPr>
        <w:t>$1</w:t>
      </w:r>
      <w:r w:rsidR="00A36979" w:rsidRPr="00074509">
        <w:rPr>
          <w:rFonts w:cs="Arial"/>
          <w:b/>
          <w:sz w:val="18"/>
          <w:szCs w:val="18"/>
        </w:rPr>
        <w:t>,</w:t>
      </w:r>
      <w:r w:rsidR="00BF4C02" w:rsidRPr="00074509">
        <w:rPr>
          <w:rFonts w:cs="Arial"/>
          <w:b/>
          <w:sz w:val="18"/>
          <w:szCs w:val="18"/>
        </w:rPr>
        <w:t>2</w:t>
      </w:r>
      <w:r w:rsidR="006670EB" w:rsidRPr="00074509">
        <w:rPr>
          <w:rFonts w:cs="Arial"/>
          <w:b/>
          <w:sz w:val="18"/>
          <w:szCs w:val="18"/>
        </w:rPr>
        <w:t>37</w:t>
      </w:r>
      <w:r w:rsidR="00A36979" w:rsidRPr="00074509">
        <w:rPr>
          <w:rFonts w:cs="Arial"/>
          <w:b/>
          <w:sz w:val="18"/>
          <w:szCs w:val="18"/>
        </w:rPr>
        <w:t>.</w:t>
      </w:r>
      <w:r w:rsidR="006670EB" w:rsidRPr="00074509">
        <w:rPr>
          <w:rFonts w:cs="Arial"/>
          <w:b/>
          <w:sz w:val="18"/>
          <w:szCs w:val="18"/>
        </w:rPr>
        <w:t>59</w:t>
      </w:r>
      <w:r w:rsidRPr="00074509">
        <w:rPr>
          <w:rFonts w:cs="Arial"/>
          <w:b/>
          <w:sz w:val="18"/>
          <w:szCs w:val="18"/>
        </w:rPr>
        <w:t xml:space="preserve"> pesos M.N. </w:t>
      </w:r>
      <w:r w:rsidRPr="00074509">
        <w:rPr>
          <w:rFonts w:cs="Arial"/>
          <w:sz w:val="18"/>
          <w:szCs w:val="18"/>
        </w:rPr>
        <w:t xml:space="preserve">por metro cuadrado por coubicación de Tipo 1 y Tipo 2. </w:t>
      </w:r>
    </w:p>
    <w:p w14:paraId="051CA6C5" w14:textId="7277A717" w:rsidR="00350F69" w:rsidRPr="00074509" w:rsidRDefault="00350F69" w:rsidP="00D60868">
      <w:pPr>
        <w:pStyle w:val="Prrafodelista"/>
        <w:numPr>
          <w:ilvl w:val="0"/>
          <w:numId w:val="56"/>
        </w:numPr>
        <w:spacing w:line="276" w:lineRule="auto"/>
        <w:ind w:left="709" w:hanging="357"/>
        <w:jc w:val="both"/>
        <w:rPr>
          <w:rFonts w:cs="Arial"/>
          <w:sz w:val="18"/>
          <w:szCs w:val="18"/>
        </w:rPr>
      </w:pPr>
      <w:r w:rsidRPr="00074509">
        <w:rPr>
          <w:rFonts w:cs="Arial"/>
          <w:b/>
          <w:sz w:val="18"/>
          <w:szCs w:val="18"/>
        </w:rPr>
        <w:t>$</w:t>
      </w:r>
      <w:r w:rsidR="00BF4C02" w:rsidRPr="00074509">
        <w:rPr>
          <w:rFonts w:cs="Arial"/>
          <w:b/>
          <w:sz w:val="18"/>
          <w:szCs w:val="18"/>
        </w:rPr>
        <w:t>3</w:t>
      </w:r>
      <w:r w:rsidRPr="00074509">
        <w:rPr>
          <w:rFonts w:cs="Arial"/>
          <w:b/>
          <w:sz w:val="18"/>
          <w:szCs w:val="18"/>
        </w:rPr>
        <w:t>,</w:t>
      </w:r>
      <w:r w:rsidR="006670EB" w:rsidRPr="00074509">
        <w:rPr>
          <w:rFonts w:cs="Arial"/>
          <w:b/>
          <w:sz w:val="18"/>
          <w:szCs w:val="18"/>
        </w:rPr>
        <w:t>128.52</w:t>
      </w:r>
      <w:r w:rsidRPr="00074509">
        <w:rPr>
          <w:rFonts w:cs="Arial"/>
          <w:b/>
          <w:sz w:val="18"/>
          <w:szCs w:val="18"/>
        </w:rPr>
        <w:t xml:space="preserve"> pesos M.N.</w:t>
      </w:r>
      <w:r w:rsidRPr="00074509">
        <w:rPr>
          <w:rFonts w:cs="Arial"/>
          <w:sz w:val="18"/>
          <w:szCs w:val="18"/>
        </w:rPr>
        <w:t xml:space="preserve"> por coubicación de Tipo 3.</w:t>
      </w:r>
    </w:p>
    <w:p w14:paraId="37367CB4" w14:textId="77777777" w:rsidR="00350F69" w:rsidRPr="00A97630" w:rsidRDefault="00350F69" w:rsidP="00561BBC">
      <w:pPr>
        <w:spacing w:after="0"/>
        <w:jc w:val="both"/>
        <w:rPr>
          <w:rFonts w:ascii="Arial" w:hAnsi="Arial" w:cs="Arial"/>
          <w:spacing w:val="-4"/>
          <w:sz w:val="18"/>
          <w:szCs w:val="18"/>
        </w:rPr>
      </w:pPr>
    </w:p>
    <w:p w14:paraId="405AD484" w14:textId="77777777" w:rsidR="00350F69" w:rsidRPr="00A97630" w:rsidRDefault="00350F69" w:rsidP="00561BBC">
      <w:pPr>
        <w:spacing w:after="0"/>
        <w:jc w:val="both"/>
        <w:rPr>
          <w:rFonts w:ascii="Arial" w:eastAsia="Times New Roman" w:hAnsi="Arial" w:cs="Arial"/>
          <w:sz w:val="18"/>
          <w:szCs w:val="18"/>
        </w:rPr>
      </w:pPr>
      <w:r w:rsidRPr="00A97630">
        <w:rPr>
          <w:rFonts w:ascii="Arial" w:eastAsia="Times New Roman" w:hAnsi="Arial" w:cs="Arial"/>
          <w:sz w:val="18"/>
          <w:szCs w:val="18"/>
        </w:rPr>
        <w:t xml:space="preserve">Región de costo medio: </w:t>
      </w:r>
    </w:p>
    <w:p w14:paraId="77979E99" w14:textId="77777777" w:rsidR="00350F69" w:rsidRPr="00A97630" w:rsidRDefault="00350F69" w:rsidP="00561BBC">
      <w:pPr>
        <w:spacing w:after="0"/>
        <w:jc w:val="both"/>
        <w:rPr>
          <w:rFonts w:ascii="Arial" w:eastAsia="Times New Roman" w:hAnsi="Arial" w:cs="Arial"/>
          <w:sz w:val="18"/>
          <w:szCs w:val="18"/>
        </w:rPr>
      </w:pPr>
    </w:p>
    <w:p w14:paraId="0EAC3AD6" w14:textId="5CC4EE16" w:rsidR="00350F69" w:rsidRPr="00074509" w:rsidRDefault="00350F69" w:rsidP="00D60868">
      <w:pPr>
        <w:pStyle w:val="Prrafodelista"/>
        <w:numPr>
          <w:ilvl w:val="0"/>
          <w:numId w:val="56"/>
        </w:numPr>
        <w:spacing w:line="276" w:lineRule="auto"/>
        <w:ind w:left="709" w:hanging="357"/>
        <w:jc w:val="both"/>
        <w:rPr>
          <w:rFonts w:cs="Arial"/>
          <w:sz w:val="18"/>
          <w:szCs w:val="18"/>
        </w:rPr>
      </w:pPr>
      <w:r w:rsidRPr="00074509">
        <w:rPr>
          <w:rFonts w:cs="Arial"/>
          <w:b/>
          <w:sz w:val="18"/>
          <w:szCs w:val="18"/>
        </w:rPr>
        <w:t>$</w:t>
      </w:r>
      <w:r w:rsidR="00A36979" w:rsidRPr="00074509">
        <w:rPr>
          <w:rFonts w:cs="Arial"/>
          <w:b/>
          <w:sz w:val="18"/>
          <w:szCs w:val="18"/>
        </w:rPr>
        <w:t>1,</w:t>
      </w:r>
      <w:r w:rsidR="00BF4C02" w:rsidRPr="00074509">
        <w:rPr>
          <w:rFonts w:cs="Arial"/>
          <w:b/>
          <w:sz w:val="18"/>
          <w:szCs w:val="18"/>
        </w:rPr>
        <w:t>1</w:t>
      </w:r>
      <w:r w:rsidR="006670EB" w:rsidRPr="00074509">
        <w:rPr>
          <w:rFonts w:cs="Arial"/>
          <w:b/>
          <w:sz w:val="18"/>
          <w:szCs w:val="18"/>
        </w:rPr>
        <w:t>66.27</w:t>
      </w:r>
      <w:r w:rsidRPr="00074509">
        <w:rPr>
          <w:rFonts w:cs="Arial"/>
          <w:b/>
          <w:sz w:val="18"/>
          <w:szCs w:val="18"/>
        </w:rPr>
        <w:t xml:space="preserve"> pesos M.N. </w:t>
      </w:r>
      <w:r w:rsidRPr="00074509">
        <w:rPr>
          <w:rFonts w:cs="Arial"/>
          <w:sz w:val="18"/>
          <w:szCs w:val="18"/>
        </w:rPr>
        <w:t>por metro cuadrado por coubicación de Tipo 1 y Tipo 2.</w:t>
      </w:r>
    </w:p>
    <w:p w14:paraId="0059E2E9" w14:textId="53FC9453" w:rsidR="00350F69" w:rsidRPr="00074509" w:rsidRDefault="00350F69" w:rsidP="00D60868">
      <w:pPr>
        <w:pStyle w:val="Prrafodelista"/>
        <w:numPr>
          <w:ilvl w:val="0"/>
          <w:numId w:val="56"/>
        </w:numPr>
        <w:spacing w:line="276" w:lineRule="auto"/>
        <w:ind w:left="709" w:hanging="357"/>
        <w:jc w:val="both"/>
        <w:rPr>
          <w:rFonts w:cs="Arial"/>
          <w:sz w:val="18"/>
          <w:szCs w:val="18"/>
        </w:rPr>
      </w:pPr>
      <w:r w:rsidRPr="00074509">
        <w:rPr>
          <w:rFonts w:cs="Arial"/>
          <w:b/>
          <w:sz w:val="18"/>
          <w:szCs w:val="18"/>
        </w:rPr>
        <w:t>$2,</w:t>
      </w:r>
      <w:r w:rsidR="00C92C75" w:rsidRPr="00074509">
        <w:rPr>
          <w:rFonts w:cs="Arial"/>
          <w:b/>
          <w:sz w:val="18"/>
          <w:szCs w:val="18"/>
        </w:rPr>
        <w:t>921.21</w:t>
      </w:r>
      <w:r w:rsidRPr="00074509">
        <w:rPr>
          <w:rFonts w:cs="Arial"/>
          <w:b/>
          <w:sz w:val="18"/>
          <w:szCs w:val="18"/>
        </w:rPr>
        <w:t xml:space="preserve"> pesos M.N.</w:t>
      </w:r>
      <w:r w:rsidRPr="00074509">
        <w:rPr>
          <w:rFonts w:cs="Arial"/>
          <w:sz w:val="18"/>
          <w:szCs w:val="18"/>
        </w:rPr>
        <w:t xml:space="preserve"> por coubicación de Tipo 3.</w:t>
      </w:r>
    </w:p>
    <w:p w14:paraId="1362BCD8" w14:textId="77777777" w:rsidR="00350F69" w:rsidRPr="00A97630" w:rsidRDefault="00350F69" w:rsidP="00561BBC">
      <w:pPr>
        <w:spacing w:after="0"/>
        <w:jc w:val="both"/>
        <w:rPr>
          <w:rFonts w:ascii="Arial" w:hAnsi="Arial" w:cs="Arial"/>
          <w:spacing w:val="-4"/>
          <w:sz w:val="18"/>
          <w:szCs w:val="18"/>
        </w:rPr>
      </w:pPr>
    </w:p>
    <w:p w14:paraId="4DF366C9" w14:textId="77777777" w:rsidR="00350F69" w:rsidRPr="00A97630" w:rsidRDefault="00350F69" w:rsidP="00561BBC">
      <w:pPr>
        <w:spacing w:after="0"/>
        <w:jc w:val="both"/>
        <w:rPr>
          <w:rFonts w:ascii="Arial" w:eastAsia="Times New Roman" w:hAnsi="Arial" w:cs="Arial"/>
          <w:sz w:val="18"/>
          <w:szCs w:val="18"/>
        </w:rPr>
      </w:pPr>
      <w:r w:rsidRPr="00A97630">
        <w:rPr>
          <w:rFonts w:ascii="Arial" w:eastAsia="Times New Roman" w:hAnsi="Arial" w:cs="Arial"/>
          <w:sz w:val="18"/>
          <w:szCs w:val="18"/>
        </w:rPr>
        <w:t xml:space="preserve">Región de costo bajo: </w:t>
      </w:r>
    </w:p>
    <w:p w14:paraId="0DBB1DB2" w14:textId="77777777" w:rsidR="00350F69" w:rsidRPr="00A97630" w:rsidRDefault="00350F69" w:rsidP="00561BBC">
      <w:pPr>
        <w:spacing w:after="0"/>
        <w:jc w:val="both"/>
        <w:rPr>
          <w:rFonts w:ascii="Arial" w:eastAsia="Times New Roman" w:hAnsi="Arial" w:cs="Arial"/>
          <w:sz w:val="18"/>
          <w:szCs w:val="18"/>
        </w:rPr>
      </w:pPr>
    </w:p>
    <w:p w14:paraId="5E6EF833" w14:textId="79A43227" w:rsidR="00350F69" w:rsidRPr="00074509" w:rsidRDefault="00350F69" w:rsidP="00D60868">
      <w:pPr>
        <w:pStyle w:val="Prrafodelista"/>
        <w:numPr>
          <w:ilvl w:val="0"/>
          <w:numId w:val="56"/>
        </w:numPr>
        <w:spacing w:line="276" w:lineRule="auto"/>
        <w:ind w:left="709" w:hanging="357"/>
        <w:jc w:val="both"/>
        <w:rPr>
          <w:rFonts w:cs="Arial"/>
          <w:sz w:val="18"/>
          <w:szCs w:val="18"/>
        </w:rPr>
      </w:pPr>
      <w:r w:rsidRPr="00074509">
        <w:rPr>
          <w:rFonts w:cs="Arial"/>
          <w:b/>
          <w:sz w:val="18"/>
          <w:szCs w:val="18"/>
        </w:rPr>
        <w:t>$</w:t>
      </w:r>
      <w:r w:rsidR="00E75DCA" w:rsidRPr="00074509">
        <w:rPr>
          <w:rFonts w:cs="Arial"/>
          <w:b/>
          <w:sz w:val="18"/>
          <w:szCs w:val="18"/>
        </w:rPr>
        <w:t>1,</w:t>
      </w:r>
      <w:r w:rsidR="00BF4C02" w:rsidRPr="00074509">
        <w:rPr>
          <w:rFonts w:cs="Arial"/>
          <w:b/>
          <w:sz w:val="18"/>
          <w:szCs w:val="18"/>
        </w:rPr>
        <w:t>1</w:t>
      </w:r>
      <w:r w:rsidR="00C92C75" w:rsidRPr="00074509">
        <w:rPr>
          <w:rFonts w:cs="Arial"/>
          <w:b/>
          <w:sz w:val="18"/>
          <w:szCs w:val="18"/>
        </w:rPr>
        <w:t>47.91</w:t>
      </w:r>
      <w:r w:rsidRPr="00074509">
        <w:rPr>
          <w:rFonts w:cs="Arial"/>
          <w:b/>
          <w:sz w:val="18"/>
          <w:szCs w:val="18"/>
        </w:rPr>
        <w:t xml:space="preserve"> pesos M.N. </w:t>
      </w:r>
      <w:r w:rsidRPr="00074509">
        <w:rPr>
          <w:rFonts w:cs="Arial"/>
          <w:sz w:val="18"/>
          <w:szCs w:val="18"/>
        </w:rPr>
        <w:t>por metro cuadrado por coubicación de Tipo 1 y Tipo 2.</w:t>
      </w:r>
    </w:p>
    <w:p w14:paraId="6234A1C1" w14:textId="2A904D61" w:rsidR="00350F69" w:rsidRPr="00074509" w:rsidRDefault="00350F69" w:rsidP="00D60868">
      <w:pPr>
        <w:pStyle w:val="Prrafodelista"/>
        <w:numPr>
          <w:ilvl w:val="0"/>
          <w:numId w:val="56"/>
        </w:numPr>
        <w:spacing w:line="276" w:lineRule="auto"/>
        <w:ind w:left="709" w:hanging="357"/>
        <w:jc w:val="both"/>
        <w:rPr>
          <w:rFonts w:cs="Arial"/>
          <w:sz w:val="18"/>
          <w:szCs w:val="18"/>
        </w:rPr>
      </w:pPr>
      <w:r w:rsidRPr="00074509">
        <w:rPr>
          <w:rFonts w:cs="Arial"/>
          <w:b/>
          <w:sz w:val="18"/>
          <w:szCs w:val="18"/>
        </w:rPr>
        <w:t>$2,</w:t>
      </w:r>
      <w:r w:rsidR="00BF4C02" w:rsidRPr="00074509">
        <w:rPr>
          <w:rFonts w:cs="Arial"/>
          <w:b/>
          <w:sz w:val="18"/>
          <w:szCs w:val="18"/>
        </w:rPr>
        <w:t>6</w:t>
      </w:r>
      <w:r w:rsidR="00C92C75" w:rsidRPr="00074509">
        <w:rPr>
          <w:rFonts w:cs="Arial"/>
          <w:b/>
          <w:sz w:val="18"/>
          <w:szCs w:val="18"/>
        </w:rPr>
        <w:t>95.79</w:t>
      </w:r>
      <w:r w:rsidRPr="00074509">
        <w:rPr>
          <w:rFonts w:cs="Arial"/>
          <w:b/>
          <w:sz w:val="18"/>
          <w:szCs w:val="18"/>
        </w:rPr>
        <w:t xml:space="preserve"> pesos M.N.</w:t>
      </w:r>
      <w:r w:rsidRPr="00074509">
        <w:rPr>
          <w:rFonts w:cs="Arial"/>
          <w:sz w:val="18"/>
          <w:szCs w:val="18"/>
        </w:rPr>
        <w:t xml:space="preserve"> por coubicación de Tipo 3.</w:t>
      </w:r>
    </w:p>
    <w:p w14:paraId="182E522A" w14:textId="77777777" w:rsidR="00350F69" w:rsidRPr="001B525F" w:rsidRDefault="00350F69" w:rsidP="00561BBC">
      <w:pPr>
        <w:spacing w:after="0"/>
        <w:jc w:val="both"/>
        <w:rPr>
          <w:rFonts w:ascii="Arial" w:hAnsi="Arial" w:cs="Arial"/>
          <w:sz w:val="18"/>
          <w:szCs w:val="18"/>
        </w:rPr>
      </w:pPr>
    </w:p>
    <w:p w14:paraId="4412E20F" w14:textId="77777777" w:rsidR="00350F69" w:rsidRPr="001B525F" w:rsidRDefault="00350F69" w:rsidP="00561BBC">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w:t>
      </w:r>
    </w:p>
    <w:p w14:paraId="23773A42" w14:textId="77777777" w:rsidR="00350F69" w:rsidRPr="007740FC" w:rsidRDefault="00350F69" w:rsidP="00561BBC">
      <w:pPr>
        <w:spacing w:after="0"/>
        <w:jc w:val="both"/>
        <w:rPr>
          <w:rFonts w:ascii="Arial" w:hAnsi="Arial" w:cs="Arial"/>
          <w:sz w:val="18"/>
          <w:szCs w:val="18"/>
        </w:rPr>
      </w:pPr>
    </w:p>
    <w:p w14:paraId="3002C387" w14:textId="26D6EA7A" w:rsidR="00350F69" w:rsidRPr="001B525F" w:rsidRDefault="00350F69" w:rsidP="00561BBC">
      <w:pPr>
        <w:spacing w:after="0"/>
        <w:jc w:val="both"/>
        <w:rPr>
          <w:rFonts w:ascii="Arial" w:eastAsia="Times New Roman" w:hAnsi="Arial" w:cs="Arial"/>
          <w:sz w:val="18"/>
          <w:szCs w:val="18"/>
          <w:lang w:eastAsia="es-ES"/>
        </w:rPr>
      </w:pPr>
      <w:r w:rsidRPr="001B525F">
        <w:rPr>
          <w:rFonts w:ascii="Arial" w:hAnsi="Arial" w:cs="Arial"/>
          <w:sz w:val="18"/>
          <w:szCs w:val="18"/>
        </w:rPr>
        <w:t>Las tarifas</w:t>
      </w:r>
      <w:r w:rsidRPr="001B525F">
        <w:rPr>
          <w:rFonts w:ascii="Arial" w:eastAsia="Times New Roman" w:hAnsi="Arial" w:cs="Arial"/>
          <w:bCs/>
          <w:iCs/>
          <w:sz w:val="18"/>
          <w:szCs w:val="18"/>
          <w:lang w:eastAsia="es-ES"/>
        </w:rPr>
        <w:t xml:space="preserve"> por el servicio de </w:t>
      </w:r>
      <w:r w:rsidRPr="001B525F">
        <w:rPr>
          <w:rFonts w:ascii="Arial" w:eastAsia="Times New Roman" w:hAnsi="Arial" w:cs="Arial"/>
          <w:sz w:val="18"/>
          <w:szCs w:val="18"/>
          <w:lang w:eastAsia="es-ES"/>
        </w:rPr>
        <w:t>enlace de transmisión de interconexión entre coubicaciones gestionado del 1 de enero al 31 de diciembre de 202</w:t>
      </w:r>
      <w:r w:rsidR="00604234">
        <w:rPr>
          <w:rFonts w:ascii="Arial" w:eastAsia="Times New Roman" w:hAnsi="Arial" w:cs="Arial"/>
          <w:sz w:val="18"/>
          <w:szCs w:val="18"/>
          <w:lang w:eastAsia="es-ES"/>
        </w:rPr>
        <w:t>5</w:t>
      </w:r>
      <w:r w:rsidRPr="001B525F">
        <w:rPr>
          <w:rFonts w:ascii="Arial" w:eastAsia="Times New Roman" w:hAnsi="Arial" w:cs="Arial"/>
          <w:sz w:val="18"/>
          <w:szCs w:val="18"/>
          <w:lang w:eastAsia="es-ES"/>
        </w:rPr>
        <w:t xml:space="preserve">, serán las siguientes: </w:t>
      </w:r>
    </w:p>
    <w:p w14:paraId="7513EBCE" w14:textId="77777777" w:rsidR="00350F69" w:rsidRPr="001B525F" w:rsidRDefault="00350F69" w:rsidP="00561BBC">
      <w:pPr>
        <w:spacing w:after="0"/>
        <w:jc w:val="both"/>
        <w:rPr>
          <w:rFonts w:ascii="Arial" w:eastAsia="Times New Roman" w:hAnsi="Arial" w:cs="Arial"/>
          <w:sz w:val="18"/>
          <w:szCs w:val="18"/>
          <w:lang w:eastAsia="es-ES"/>
        </w:rPr>
      </w:pPr>
    </w:p>
    <w:p w14:paraId="184A2EE8"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costos de instalación de una sola vez y dependiendo de la velocidad del enlace contratado:</w:t>
      </w:r>
    </w:p>
    <w:p w14:paraId="70F63180" w14:textId="77777777" w:rsidR="00350F69" w:rsidRPr="001B525F" w:rsidRDefault="00350F69" w:rsidP="00561BBC">
      <w:pPr>
        <w:spacing w:after="0"/>
        <w:jc w:val="both"/>
        <w:rPr>
          <w:rFonts w:ascii="Arial" w:hAnsi="Arial" w:cs="Arial"/>
          <w:spacing w:val="-4"/>
          <w:sz w:val="18"/>
          <w:szCs w:val="18"/>
        </w:rPr>
      </w:pPr>
    </w:p>
    <w:p w14:paraId="2FD5F6AF" w14:textId="119B0569" w:rsidR="00350F69" w:rsidRPr="00074509" w:rsidRDefault="00350F69" w:rsidP="00D60868">
      <w:pPr>
        <w:pStyle w:val="Prrafodelista"/>
        <w:numPr>
          <w:ilvl w:val="0"/>
          <w:numId w:val="48"/>
        </w:numPr>
        <w:spacing w:line="276" w:lineRule="auto"/>
        <w:ind w:left="709" w:hanging="357"/>
        <w:jc w:val="both"/>
        <w:rPr>
          <w:rFonts w:cs="Arial"/>
          <w:sz w:val="18"/>
          <w:szCs w:val="18"/>
        </w:rPr>
      </w:pPr>
      <w:r w:rsidRPr="00074509">
        <w:rPr>
          <w:rFonts w:cs="Arial"/>
          <w:sz w:val="18"/>
          <w:szCs w:val="18"/>
        </w:rPr>
        <w:t xml:space="preserve">Por cada coubicación y tratándose de un enlace de 1 Gbps: </w:t>
      </w:r>
      <w:r w:rsidRPr="00074509">
        <w:rPr>
          <w:rFonts w:cs="Arial"/>
          <w:b/>
          <w:sz w:val="18"/>
          <w:szCs w:val="18"/>
        </w:rPr>
        <w:t>$1</w:t>
      </w:r>
      <w:r w:rsidR="00A36979" w:rsidRPr="00074509">
        <w:rPr>
          <w:rFonts w:cs="Arial"/>
          <w:b/>
          <w:sz w:val="18"/>
          <w:szCs w:val="18"/>
        </w:rPr>
        <w:t>5</w:t>
      </w:r>
      <w:r w:rsidR="00E540CB" w:rsidRPr="00074509">
        <w:rPr>
          <w:rFonts w:cs="Arial"/>
          <w:b/>
          <w:sz w:val="18"/>
          <w:szCs w:val="18"/>
        </w:rPr>
        <w:t>2</w:t>
      </w:r>
      <w:r w:rsidR="001632AE" w:rsidRPr="00074509">
        <w:rPr>
          <w:rFonts w:cs="Arial"/>
          <w:b/>
          <w:sz w:val="18"/>
          <w:szCs w:val="18"/>
        </w:rPr>
        <w:t>,</w:t>
      </w:r>
      <w:r w:rsidR="00E540CB" w:rsidRPr="00074509">
        <w:rPr>
          <w:rFonts w:cs="Arial"/>
          <w:b/>
          <w:sz w:val="18"/>
          <w:szCs w:val="18"/>
        </w:rPr>
        <w:t>353</w:t>
      </w:r>
      <w:r w:rsidR="00A36979" w:rsidRPr="00074509">
        <w:rPr>
          <w:rFonts w:cs="Arial"/>
          <w:b/>
          <w:sz w:val="18"/>
          <w:szCs w:val="18"/>
        </w:rPr>
        <w:t>.</w:t>
      </w:r>
      <w:r w:rsidR="00E540CB" w:rsidRPr="00074509">
        <w:rPr>
          <w:rFonts w:cs="Arial"/>
          <w:b/>
          <w:sz w:val="18"/>
          <w:szCs w:val="18"/>
        </w:rPr>
        <w:t>54</w:t>
      </w:r>
      <w:r w:rsidRPr="00074509">
        <w:rPr>
          <w:rFonts w:cs="Arial"/>
          <w:b/>
          <w:sz w:val="18"/>
          <w:szCs w:val="18"/>
        </w:rPr>
        <w:t xml:space="preserve"> M.N.</w:t>
      </w:r>
    </w:p>
    <w:p w14:paraId="3E6562BA" w14:textId="2B9799BD" w:rsidR="00350F69" w:rsidRPr="00074509" w:rsidRDefault="00350F69" w:rsidP="00D60868">
      <w:pPr>
        <w:pStyle w:val="Prrafodelista"/>
        <w:numPr>
          <w:ilvl w:val="0"/>
          <w:numId w:val="48"/>
        </w:numPr>
        <w:spacing w:line="276" w:lineRule="auto"/>
        <w:ind w:left="709" w:hanging="357"/>
        <w:jc w:val="both"/>
        <w:rPr>
          <w:rFonts w:cs="Arial"/>
          <w:sz w:val="18"/>
          <w:szCs w:val="18"/>
        </w:rPr>
      </w:pPr>
      <w:r w:rsidRPr="00074509">
        <w:rPr>
          <w:rFonts w:cs="Arial"/>
          <w:sz w:val="18"/>
          <w:szCs w:val="18"/>
        </w:rPr>
        <w:t xml:space="preserve">Despliegue de fibra por metro lineal: </w:t>
      </w:r>
      <w:r w:rsidRPr="00074509">
        <w:rPr>
          <w:rFonts w:cs="Arial"/>
          <w:b/>
          <w:sz w:val="18"/>
          <w:szCs w:val="18"/>
        </w:rPr>
        <w:t>$</w:t>
      </w:r>
      <w:r w:rsidR="001632AE" w:rsidRPr="00074509">
        <w:rPr>
          <w:rFonts w:cs="Arial"/>
          <w:b/>
          <w:sz w:val="18"/>
          <w:szCs w:val="18"/>
        </w:rPr>
        <w:t>5</w:t>
      </w:r>
      <w:r w:rsidR="00E540CB" w:rsidRPr="00074509">
        <w:rPr>
          <w:rFonts w:cs="Arial"/>
          <w:b/>
          <w:sz w:val="18"/>
          <w:szCs w:val="18"/>
        </w:rPr>
        <w:t>8</w:t>
      </w:r>
      <w:r w:rsidR="001632AE" w:rsidRPr="00074509">
        <w:rPr>
          <w:rFonts w:cs="Arial"/>
          <w:b/>
          <w:sz w:val="18"/>
          <w:szCs w:val="18"/>
        </w:rPr>
        <w:t>.</w:t>
      </w:r>
      <w:r w:rsidR="00E540CB" w:rsidRPr="00074509">
        <w:rPr>
          <w:rFonts w:cs="Arial"/>
          <w:b/>
          <w:sz w:val="18"/>
          <w:szCs w:val="18"/>
        </w:rPr>
        <w:t>45</w:t>
      </w:r>
      <w:r w:rsidRPr="00074509">
        <w:rPr>
          <w:rFonts w:cs="Arial"/>
          <w:b/>
          <w:sz w:val="18"/>
          <w:szCs w:val="18"/>
        </w:rPr>
        <w:t xml:space="preserve"> M.N</w:t>
      </w:r>
      <w:r w:rsidRPr="00074509">
        <w:rPr>
          <w:rFonts w:cs="Arial"/>
          <w:sz w:val="18"/>
          <w:szCs w:val="18"/>
        </w:rPr>
        <w:t>.</w:t>
      </w:r>
    </w:p>
    <w:p w14:paraId="52895A87" w14:textId="5BD26D05" w:rsidR="00350F69" w:rsidRPr="00074509" w:rsidRDefault="00350F69" w:rsidP="00D60868">
      <w:pPr>
        <w:pStyle w:val="Prrafodelista"/>
        <w:numPr>
          <w:ilvl w:val="0"/>
          <w:numId w:val="48"/>
        </w:numPr>
        <w:spacing w:line="276" w:lineRule="auto"/>
        <w:ind w:left="709" w:hanging="357"/>
        <w:jc w:val="both"/>
        <w:rPr>
          <w:rFonts w:cs="Arial"/>
          <w:sz w:val="18"/>
          <w:szCs w:val="18"/>
        </w:rPr>
      </w:pPr>
      <w:r w:rsidRPr="00074509">
        <w:rPr>
          <w:rFonts w:cs="Arial"/>
          <w:sz w:val="18"/>
          <w:szCs w:val="18"/>
        </w:rPr>
        <w:t xml:space="preserve">Construcción de escalerilla por metro lineal: </w:t>
      </w:r>
      <w:r w:rsidRPr="00074509">
        <w:rPr>
          <w:rFonts w:cs="Arial"/>
          <w:b/>
          <w:sz w:val="18"/>
          <w:szCs w:val="18"/>
        </w:rPr>
        <w:t>$</w:t>
      </w:r>
      <w:r w:rsidR="00A36979" w:rsidRPr="00074509">
        <w:rPr>
          <w:rFonts w:cs="Arial"/>
          <w:b/>
          <w:sz w:val="18"/>
          <w:szCs w:val="18"/>
        </w:rPr>
        <w:t>5</w:t>
      </w:r>
      <w:r w:rsidR="00902A07" w:rsidRPr="00074509">
        <w:rPr>
          <w:rFonts w:cs="Arial"/>
          <w:b/>
          <w:sz w:val="18"/>
          <w:szCs w:val="18"/>
        </w:rPr>
        <w:t>45</w:t>
      </w:r>
      <w:r w:rsidR="00A36979" w:rsidRPr="00074509">
        <w:rPr>
          <w:rFonts w:cs="Arial"/>
          <w:b/>
          <w:sz w:val="18"/>
          <w:szCs w:val="18"/>
        </w:rPr>
        <w:t>.</w:t>
      </w:r>
      <w:r w:rsidR="00902A07" w:rsidRPr="00074509">
        <w:rPr>
          <w:rFonts w:cs="Arial"/>
          <w:b/>
          <w:sz w:val="18"/>
          <w:szCs w:val="18"/>
        </w:rPr>
        <w:t>5</w:t>
      </w:r>
      <w:r w:rsidR="001632AE" w:rsidRPr="00074509">
        <w:rPr>
          <w:rFonts w:cs="Arial"/>
          <w:b/>
          <w:sz w:val="18"/>
          <w:szCs w:val="18"/>
        </w:rPr>
        <w:t>2</w:t>
      </w:r>
      <w:r w:rsidR="00D4147D" w:rsidRPr="00074509">
        <w:rPr>
          <w:rFonts w:cs="Arial"/>
          <w:b/>
          <w:sz w:val="18"/>
          <w:szCs w:val="18"/>
        </w:rPr>
        <w:t xml:space="preserve"> </w:t>
      </w:r>
      <w:r w:rsidRPr="00074509">
        <w:rPr>
          <w:rFonts w:cs="Arial"/>
          <w:b/>
          <w:sz w:val="18"/>
          <w:szCs w:val="18"/>
        </w:rPr>
        <w:t>M.N.</w:t>
      </w:r>
    </w:p>
    <w:p w14:paraId="7A62C887" w14:textId="77777777" w:rsidR="00350F69" w:rsidRPr="001B525F" w:rsidRDefault="00350F69" w:rsidP="00561BBC">
      <w:pPr>
        <w:spacing w:after="0"/>
        <w:jc w:val="both"/>
        <w:rPr>
          <w:rFonts w:ascii="Arial" w:hAnsi="Arial" w:cs="Arial"/>
          <w:spacing w:val="-4"/>
          <w:sz w:val="18"/>
          <w:szCs w:val="18"/>
        </w:rPr>
      </w:pPr>
    </w:p>
    <w:p w14:paraId="3AB3DAEE"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mantenimiento mensuales:</w:t>
      </w:r>
    </w:p>
    <w:p w14:paraId="20E2A7EA" w14:textId="77777777" w:rsidR="00350F69" w:rsidRPr="001B525F" w:rsidRDefault="00350F69" w:rsidP="00561BBC">
      <w:pPr>
        <w:spacing w:after="0"/>
        <w:ind w:right="49"/>
        <w:jc w:val="both"/>
        <w:rPr>
          <w:rFonts w:ascii="Arial" w:hAnsi="Arial" w:cs="Arial"/>
          <w:bCs/>
          <w:sz w:val="18"/>
          <w:szCs w:val="18"/>
        </w:rPr>
      </w:pPr>
    </w:p>
    <w:p w14:paraId="3250927A" w14:textId="3B7FB18E" w:rsidR="00350F69" w:rsidRPr="00074509" w:rsidRDefault="00350F69" w:rsidP="00DC0DD6">
      <w:pPr>
        <w:pStyle w:val="Prrafodelista"/>
        <w:numPr>
          <w:ilvl w:val="0"/>
          <w:numId w:val="48"/>
        </w:numPr>
        <w:spacing w:line="276" w:lineRule="auto"/>
        <w:ind w:left="709" w:hanging="357"/>
        <w:jc w:val="both"/>
        <w:rPr>
          <w:rFonts w:cs="Arial"/>
          <w:b/>
          <w:sz w:val="18"/>
          <w:szCs w:val="18"/>
        </w:rPr>
      </w:pPr>
      <w:r w:rsidRPr="00074509">
        <w:rPr>
          <w:rFonts w:cs="Arial"/>
          <w:sz w:val="18"/>
          <w:szCs w:val="18"/>
        </w:rPr>
        <w:t xml:space="preserve">Por cada coubicación y tratándose de un enlace de 1 Gbps: </w:t>
      </w:r>
      <w:r w:rsidRPr="00074509">
        <w:rPr>
          <w:rFonts w:cs="Arial"/>
          <w:b/>
          <w:sz w:val="18"/>
          <w:szCs w:val="18"/>
        </w:rPr>
        <w:t>$1,</w:t>
      </w:r>
      <w:r w:rsidR="00E75DCA" w:rsidRPr="00074509">
        <w:rPr>
          <w:rFonts w:cs="Arial"/>
          <w:b/>
          <w:sz w:val="18"/>
          <w:szCs w:val="18"/>
        </w:rPr>
        <w:t>5</w:t>
      </w:r>
      <w:r w:rsidR="00902A07" w:rsidRPr="00074509">
        <w:rPr>
          <w:rFonts w:cs="Arial"/>
          <w:b/>
          <w:sz w:val="18"/>
          <w:szCs w:val="18"/>
        </w:rPr>
        <w:t>93</w:t>
      </w:r>
      <w:r w:rsidR="00C10926" w:rsidRPr="00074509">
        <w:rPr>
          <w:rFonts w:cs="Arial"/>
          <w:b/>
          <w:sz w:val="18"/>
          <w:szCs w:val="18"/>
        </w:rPr>
        <w:t>.</w:t>
      </w:r>
      <w:r w:rsidR="00902A07" w:rsidRPr="00074509">
        <w:rPr>
          <w:rFonts w:cs="Arial"/>
          <w:b/>
          <w:sz w:val="18"/>
          <w:szCs w:val="18"/>
        </w:rPr>
        <w:t>24</w:t>
      </w:r>
      <w:r w:rsidRPr="00074509">
        <w:rPr>
          <w:rFonts w:cs="Arial"/>
          <w:b/>
          <w:sz w:val="18"/>
          <w:szCs w:val="18"/>
        </w:rPr>
        <w:t xml:space="preserve"> M.N.</w:t>
      </w:r>
    </w:p>
    <w:p w14:paraId="58101D53" w14:textId="2CCB6536" w:rsidR="00350F69" w:rsidRPr="00074509" w:rsidRDefault="00350F69" w:rsidP="00DC0DD6">
      <w:pPr>
        <w:pStyle w:val="Prrafodelista"/>
        <w:numPr>
          <w:ilvl w:val="0"/>
          <w:numId w:val="48"/>
        </w:numPr>
        <w:spacing w:line="276" w:lineRule="auto"/>
        <w:ind w:left="709" w:hanging="357"/>
        <w:jc w:val="both"/>
        <w:rPr>
          <w:rFonts w:cs="Arial"/>
          <w:sz w:val="18"/>
          <w:szCs w:val="18"/>
        </w:rPr>
      </w:pPr>
      <w:r w:rsidRPr="00074509">
        <w:rPr>
          <w:rFonts w:cs="Arial"/>
          <w:sz w:val="18"/>
          <w:szCs w:val="18"/>
        </w:rPr>
        <w:t xml:space="preserve">Escalerilla y fibra por metro lineal: </w:t>
      </w:r>
      <w:r w:rsidRPr="00074509">
        <w:rPr>
          <w:rFonts w:cs="Arial"/>
          <w:b/>
          <w:sz w:val="18"/>
          <w:szCs w:val="18"/>
        </w:rPr>
        <w:t>$1</w:t>
      </w:r>
      <w:r w:rsidR="00D52C55" w:rsidRPr="00074509">
        <w:rPr>
          <w:rFonts w:cs="Arial"/>
          <w:b/>
          <w:sz w:val="18"/>
          <w:szCs w:val="18"/>
        </w:rPr>
        <w:t>6</w:t>
      </w:r>
      <w:r w:rsidR="00C10926" w:rsidRPr="00074509">
        <w:rPr>
          <w:rFonts w:cs="Arial"/>
          <w:b/>
          <w:sz w:val="18"/>
          <w:szCs w:val="18"/>
        </w:rPr>
        <w:t>.</w:t>
      </w:r>
      <w:r w:rsidR="00902A07" w:rsidRPr="00074509">
        <w:rPr>
          <w:rFonts w:cs="Arial"/>
          <w:b/>
          <w:sz w:val="18"/>
          <w:szCs w:val="18"/>
        </w:rPr>
        <w:t>98</w:t>
      </w:r>
      <w:r w:rsidRPr="00074509">
        <w:rPr>
          <w:rFonts w:cs="Arial"/>
          <w:b/>
          <w:sz w:val="18"/>
          <w:szCs w:val="18"/>
        </w:rPr>
        <w:t xml:space="preserve"> M.N.</w:t>
      </w:r>
    </w:p>
    <w:p w14:paraId="7D41CC2B" w14:textId="77777777" w:rsidR="00350F69" w:rsidRPr="001B525F" w:rsidRDefault="00350F69" w:rsidP="00561BBC">
      <w:pPr>
        <w:spacing w:after="0"/>
        <w:jc w:val="both"/>
        <w:rPr>
          <w:rFonts w:ascii="Arial" w:hAnsi="Arial" w:cs="Arial"/>
          <w:sz w:val="18"/>
          <w:szCs w:val="18"/>
        </w:rPr>
      </w:pPr>
    </w:p>
    <w:p w14:paraId="604297B6" w14:textId="02E1F7CC" w:rsidR="00350F69" w:rsidRPr="001B525F" w:rsidRDefault="00350F69" w:rsidP="00561BBC">
      <w:pPr>
        <w:spacing w:after="0"/>
        <w:jc w:val="both"/>
        <w:rPr>
          <w:rFonts w:ascii="Arial" w:eastAsia="Times New Roman" w:hAnsi="Arial" w:cs="Arial"/>
          <w:sz w:val="18"/>
          <w:szCs w:val="18"/>
          <w:lang w:eastAsia="es-ES"/>
        </w:rPr>
      </w:pPr>
      <w:r w:rsidRPr="001B525F">
        <w:rPr>
          <w:rFonts w:ascii="Arial" w:hAnsi="Arial" w:cs="Arial"/>
          <w:sz w:val="18"/>
          <w:szCs w:val="18"/>
        </w:rPr>
        <w:t>Las tarifas</w:t>
      </w:r>
      <w:r w:rsidRPr="001B525F">
        <w:rPr>
          <w:rFonts w:ascii="Arial" w:eastAsia="Times New Roman" w:hAnsi="Arial" w:cs="Arial"/>
          <w:bCs/>
          <w:iCs/>
          <w:sz w:val="18"/>
          <w:szCs w:val="18"/>
          <w:lang w:eastAsia="es-ES"/>
        </w:rPr>
        <w:t xml:space="preserve">, por el servicio de </w:t>
      </w:r>
      <w:r w:rsidRPr="001B525F">
        <w:rPr>
          <w:rFonts w:ascii="Arial" w:eastAsia="Times New Roman" w:hAnsi="Arial" w:cs="Arial"/>
          <w:sz w:val="18"/>
          <w:szCs w:val="18"/>
          <w:lang w:eastAsia="es-ES"/>
        </w:rPr>
        <w:t xml:space="preserve">enlace de transmisión de interconexión entre coubicaciones no gestionado del 1 de enero al 31 de diciembre de </w:t>
      </w:r>
      <w:r w:rsidR="00CA58D0" w:rsidRPr="001B525F">
        <w:rPr>
          <w:rFonts w:ascii="Arial" w:eastAsia="Times New Roman" w:hAnsi="Arial" w:cs="Arial"/>
          <w:sz w:val="18"/>
          <w:szCs w:val="18"/>
          <w:lang w:eastAsia="es-ES"/>
        </w:rPr>
        <w:t>202</w:t>
      </w:r>
      <w:r w:rsidR="00604234">
        <w:rPr>
          <w:rFonts w:ascii="Arial" w:eastAsia="Times New Roman" w:hAnsi="Arial" w:cs="Arial"/>
          <w:sz w:val="18"/>
          <w:szCs w:val="18"/>
          <w:lang w:eastAsia="es-ES"/>
        </w:rPr>
        <w:t>5</w:t>
      </w:r>
      <w:r w:rsidRPr="001B525F">
        <w:rPr>
          <w:rFonts w:ascii="Arial" w:eastAsia="Times New Roman" w:hAnsi="Arial" w:cs="Arial"/>
          <w:sz w:val="18"/>
          <w:szCs w:val="18"/>
          <w:lang w:eastAsia="es-ES"/>
        </w:rPr>
        <w:t xml:space="preserve">, serán las siguientes: </w:t>
      </w:r>
    </w:p>
    <w:p w14:paraId="75C31853" w14:textId="77777777" w:rsidR="00350F69" w:rsidRPr="001B525F" w:rsidRDefault="00350F69" w:rsidP="00561BBC">
      <w:pPr>
        <w:spacing w:after="0"/>
        <w:jc w:val="both"/>
        <w:rPr>
          <w:rFonts w:ascii="Arial" w:hAnsi="Arial" w:cs="Arial"/>
          <w:b/>
          <w:spacing w:val="-4"/>
          <w:sz w:val="18"/>
          <w:szCs w:val="18"/>
        </w:rPr>
      </w:pPr>
    </w:p>
    <w:p w14:paraId="588927FB"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costos de instalación de una sola vez:</w:t>
      </w:r>
    </w:p>
    <w:p w14:paraId="20CF9D87" w14:textId="77777777" w:rsidR="00350F69" w:rsidRPr="001B525F" w:rsidRDefault="00350F69" w:rsidP="005B7568">
      <w:pPr>
        <w:spacing w:after="0"/>
        <w:ind w:left="709" w:hanging="357"/>
        <w:jc w:val="both"/>
        <w:rPr>
          <w:rFonts w:ascii="Arial" w:hAnsi="Arial" w:cs="Arial"/>
          <w:spacing w:val="-4"/>
          <w:sz w:val="18"/>
          <w:szCs w:val="18"/>
        </w:rPr>
      </w:pPr>
    </w:p>
    <w:p w14:paraId="57DB199C" w14:textId="2E9802CA" w:rsidR="00350F69" w:rsidRPr="00074509" w:rsidRDefault="00350F69" w:rsidP="005B7568">
      <w:pPr>
        <w:pStyle w:val="Prrafodelista"/>
        <w:numPr>
          <w:ilvl w:val="0"/>
          <w:numId w:val="49"/>
        </w:numPr>
        <w:spacing w:line="276" w:lineRule="auto"/>
        <w:ind w:left="709" w:hanging="357"/>
        <w:jc w:val="both"/>
        <w:rPr>
          <w:rFonts w:cs="Arial"/>
          <w:sz w:val="18"/>
          <w:szCs w:val="18"/>
        </w:rPr>
      </w:pPr>
      <w:r w:rsidRPr="00074509">
        <w:rPr>
          <w:rFonts w:cs="Arial"/>
          <w:sz w:val="18"/>
          <w:szCs w:val="18"/>
        </w:rPr>
        <w:t xml:space="preserve">Despliegue de fibra por metro lineal: </w:t>
      </w:r>
      <w:r w:rsidR="00902A07" w:rsidRPr="00074509">
        <w:rPr>
          <w:rFonts w:cs="Arial"/>
          <w:b/>
          <w:sz w:val="18"/>
          <w:szCs w:val="18"/>
        </w:rPr>
        <w:t>$58.45 M.N</w:t>
      </w:r>
      <w:r w:rsidRPr="00074509" w:rsidDel="00902A07">
        <w:rPr>
          <w:rFonts w:cs="Arial"/>
          <w:sz w:val="18"/>
          <w:szCs w:val="18"/>
        </w:rPr>
        <w:t>.</w:t>
      </w:r>
    </w:p>
    <w:p w14:paraId="3A158575" w14:textId="10382E66" w:rsidR="00350F69" w:rsidRPr="00902A07" w:rsidRDefault="00350F69" w:rsidP="0051028B">
      <w:pPr>
        <w:pStyle w:val="Prrafodelista"/>
        <w:numPr>
          <w:ilvl w:val="0"/>
          <w:numId w:val="49"/>
        </w:numPr>
        <w:spacing w:line="276" w:lineRule="auto"/>
        <w:ind w:left="709" w:hanging="357"/>
        <w:jc w:val="both"/>
        <w:rPr>
          <w:rFonts w:cs="Arial"/>
          <w:spacing w:val="-4"/>
          <w:sz w:val="18"/>
          <w:szCs w:val="18"/>
        </w:rPr>
      </w:pPr>
      <w:r w:rsidRPr="00074509">
        <w:rPr>
          <w:rFonts w:cs="Arial"/>
          <w:sz w:val="18"/>
          <w:szCs w:val="18"/>
        </w:rPr>
        <w:t xml:space="preserve">Construcción de escalerilla por metro lineal: </w:t>
      </w:r>
      <w:r w:rsidR="00902A07" w:rsidRPr="00074509">
        <w:rPr>
          <w:rFonts w:cs="Arial"/>
          <w:b/>
          <w:sz w:val="18"/>
          <w:szCs w:val="18"/>
        </w:rPr>
        <w:t>$545.52 M.N.</w:t>
      </w:r>
    </w:p>
    <w:p w14:paraId="0898AFC1" w14:textId="77777777" w:rsidR="00902A07" w:rsidRDefault="00902A07" w:rsidP="00561BBC">
      <w:pPr>
        <w:spacing w:after="0"/>
        <w:jc w:val="both"/>
        <w:rPr>
          <w:rFonts w:ascii="Arial" w:hAnsi="Arial" w:cs="Arial"/>
          <w:spacing w:val="-4"/>
          <w:sz w:val="18"/>
          <w:szCs w:val="18"/>
        </w:rPr>
      </w:pPr>
    </w:p>
    <w:p w14:paraId="32328E0B" w14:textId="77777777" w:rsidR="00902A07" w:rsidRDefault="00902A07" w:rsidP="00561BBC">
      <w:pPr>
        <w:spacing w:after="0"/>
        <w:jc w:val="both"/>
        <w:rPr>
          <w:rFonts w:ascii="Arial" w:hAnsi="Arial" w:cs="Arial"/>
          <w:spacing w:val="-4"/>
          <w:sz w:val="18"/>
          <w:szCs w:val="18"/>
        </w:rPr>
      </w:pPr>
    </w:p>
    <w:p w14:paraId="66ADAE2C"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mantenimiento mensuales:</w:t>
      </w:r>
    </w:p>
    <w:p w14:paraId="2FFFB191" w14:textId="77777777" w:rsidR="00350F69" w:rsidRPr="001B525F" w:rsidRDefault="00350F69" w:rsidP="00561BBC">
      <w:pPr>
        <w:spacing w:after="0"/>
        <w:ind w:right="49"/>
        <w:jc w:val="both"/>
        <w:rPr>
          <w:rFonts w:ascii="Arial" w:hAnsi="Arial" w:cs="Arial"/>
          <w:bCs/>
          <w:sz w:val="18"/>
          <w:szCs w:val="18"/>
        </w:rPr>
      </w:pPr>
    </w:p>
    <w:p w14:paraId="7F4BCA82" w14:textId="2555F557" w:rsidR="00350F69" w:rsidRPr="00074509" w:rsidRDefault="00350F69" w:rsidP="00CA75A8">
      <w:pPr>
        <w:pStyle w:val="Prrafodelista"/>
        <w:numPr>
          <w:ilvl w:val="0"/>
          <w:numId w:val="49"/>
        </w:numPr>
        <w:spacing w:line="276" w:lineRule="auto"/>
        <w:ind w:left="709" w:hanging="357"/>
        <w:jc w:val="both"/>
        <w:rPr>
          <w:rFonts w:cs="Arial"/>
          <w:sz w:val="18"/>
          <w:szCs w:val="18"/>
        </w:rPr>
      </w:pPr>
      <w:r w:rsidRPr="00074509">
        <w:rPr>
          <w:rFonts w:cs="Arial"/>
          <w:sz w:val="18"/>
          <w:szCs w:val="18"/>
        </w:rPr>
        <w:t xml:space="preserve">Escalerilla y fibra por metro lineal: </w:t>
      </w:r>
      <w:r w:rsidR="00902A07" w:rsidRPr="00074509">
        <w:rPr>
          <w:rFonts w:cs="Arial"/>
          <w:b/>
          <w:sz w:val="18"/>
          <w:szCs w:val="18"/>
        </w:rPr>
        <w:t>$16.98 M.N</w:t>
      </w:r>
      <w:r w:rsidRPr="00074509" w:rsidDel="00902A07">
        <w:rPr>
          <w:rFonts w:cs="Arial"/>
          <w:b/>
          <w:sz w:val="18"/>
          <w:szCs w:val="18"/>
        </w:rPr>
        <w:t>.</w:t>
      </w:r>
    </w:p>
    <w:p w14:paraId="19A4DE55" w14:textId="77777777" w:rsidR="00350F69" w:rsidRPr="001B525F" w:rsidRDefault="00350F69" w:rsidP="00561BBC">
      <w:pPr>
        <w:pStyle w:val="Texto0"/>
        <w:spacing w:after="0" w:line="276" w:lineRule="auto"/>
        <w:ind w:firstLine="0"/>
      </w:pPr>
    </w:p>
    <w:p w14:paraId="64F21527" w14:textId="51D88081" w:rsidR="00350F69" w:rsidRPr="001B525F" w:rsidRDefault="00350F69" w:rsidP="00561BBC">
      <w:pPr>
        <w:pStyle w:val="IFTnormal"/>
        <w:spacing w:after="0"/>
        <w:ind w:left="0"/>
        <w:rPr>
          <w:rFonts w:ascii="Arial" w:hAnsi="Arial" w:cs="Arial"/>
          <w:sz w:val="18"/>
          <w:szCs w:val="18"/>
        </w:rPr>
      </w:pPr>
      <w:r w:rsidRPr="001B525F">
        <w:rPr>
          <w:rFonts w:ascii="Arial" w:hAnsi="Arial" w:cs="Arial"/>
          <w:sz w:val="18"/>
          <w:szCs w:val="18"/>
        </w:rPr>
        <w:lastRenderedPageBreak/>
        <w:t xml:space="preserve">Las tarifas por el servicio de Enlaces Dedicados de Interconexión serán las que el Instituto determine en la Oferta de Referencia de Arrendamiento de Enlaces Dedicados locales y de interconexión presentada por Red Nacional Última Milla S.A.B. de C.V. </w:t>
      </w:r>
      <w:r w:rsidR="00A75B97">
        <w:rPr>
          <w:rFonts w:ascii="Arial" w:hAnsi="Arial" w:cs="Arial"/>
          <w:sz w:val="18"/>
          <w:szCs w:val="18"/>
        </w:rPr>
        <w:t>y</w:t>
      </w:r>
      <w:r w:rsidR="00A75B97" w:rsidRPr="001B525F">
        <w:rPr>
          <w:rFonts w:ascii="Arial" w:hAnsi="Arial" w:cs="Arial"/>
          <w:sz w:val="18"/>
          <w:szCs w:val="18"/>
        </w:rPr>
        <w:t xml:space="preserve"> Red Última Milla del Noroeste S.A. de C.V. </w:t>
      </w:r>
      <w:r w:rsidRPr="001B525F">
        <w:rPr>
          <w:rFonts w:ascii="Arial" w:hAnsi="Arial" w:cs="Arial"/>
          <w:sz w:val="18"/>
          <w:szCs w:val="18"/>
        </w:rPr>
        <w:t>aplicable del 1 de enero al 31 de diciembre de 202</w:t>
      </w:r>
      <w:r w:rsidR="00782B13">
        <w:rPr>
          <w:rFonts w:ascii="Arial" w:hAnsi="Arial" w:cs="Arial"/>
          <w:sz w:val="18"/>
          <w:szCs w:val="18"/>
        </w:rPr>
        <w:t>5</w:t>
      </w:r>
      <w:r w:rsidR="0020297E">
        <w:rPr>
          <w:rFonts w:ascii="Arial" w:hAnsi="Arial" w:cs="Arial"/>
          <w:sz w:val="18"/>
          <w:szCs w:val="18"/>
        </w:rPr>
        <w:t xml:space="preserve"> </w:t>
      </w:r>
      <w:r w:rsidRPr="001B525F">
        <w:rPr>
          <w:rFonts w:ascii="Arial" w:hAnsi="Arial" w:cs="Arial"/>
          <w:sz w:val="18"/>
          <w:szCs w:val="18"/>
        </w:rPr>
        <w:t>para los enlaces locales con velocidad de transmisión Ethernet de 1 Gbps.</w:t>
      </w:r>
    </w:p>
    <w:p w14:paraId="07144857" w14:textId="77777777" w:rsidR="00512CFA" w:rsidRPr="001B525F" w:rsidRDefault="00512CFA" w:rsidP="00561BBC">
      <w:pPr>
        <w:pStyle w:val="IFTnormal"/>
        <w:spacing w:after="0"/>
        <w:ind w:left="0"/>
        <w:rPr>
          <w:rFonts w:ascii="Arial" w:hAnsi="Arial" w:cs="Arial"/>
          <w:sz w:val="18"/>
          <w:szCs w:val="18"/>
          <w:lang w:val="es-ES_tradnl"/>
        </w:rPr>
      </w:pPr>
      <w:bookmarkStart w:id="11" w:name="_Toc329109189"/>
      <w:bookmarkStart w:id="12" w:name="_Toc329109227"/>
      <w:bookmarkEnd w:id="11"/>
      <w:bookmarkEnd w:id="12"/>
    </w:p>
    <w:p w14:paraId="62E7AB12" w14:textId="2D26A9B9" w:rsidR="00350F69" w:rsidRPr="001B525F" w:rsidRDefault="001F01A7" w:rsidP="00561BBC">
      <w:pPr>
        <w:spacing w:after="0"/>
        <w:jc w:val="center"/>
        <w:rPr>
          <w:rFonts w:ascii="Arial" w:eastAsia="Times New Roman" w:hAnsi="Arial" w:cs="Arial"/>
          <w:b/>
          <w:bCs/>
          <w:sz w:val="18"/>
          <w:szCs w:val="18"/>
          <w:lang w:eastAsia="es-MX"/>
        </w:rPr>
      </w:pPr>
      <w:r w:rsidRPr="001B525F">
        <w:rPr>
          <w:rFonts w:ascii="Arial" w:eastAsia="Times New Roman" w:hAnsi="Arial" w:cs="Arial"/>
          <w:b/>
          <w:bCs/>
          <w:sz w:val="18"/>
          <w:szCs w:val="18"/>
          <w:lang w:eastAsia="es-MX"/>
        </w:rPr>
        <w:t>Transitorios</w:t>
      </w:r>
    </w:p>
    <w:p w14:paraId="032503FB" w14:textId="77777777" w:rsidR="00512CFA" w:rsidRPr="001B525F" w:rsidRDefault="00512CFA" w:rsidP="00210CFA">
      <w:pPr>
        <w:spacing w:after="0"/>
        <w:rPr>
          <w:rFonts w:ascii="Arial" w:eastAsia="Times New Roman" w:hAnsi="Arial" w:cs="Arial"/>
          <w:b/>
          <w:bCs/>
          <w:sz w:val="18"/>
          <w:szCs w:val="18"/>
          <w:lang w:eastAsia="es-MX"/>
        </w:rPr>
      </w:pPr>
    </w:p>
    <w:p w14:paraId="07C9B617" w14:textId="289BFE8E" w:rsidR="00350F69" w:rsidRPr="00500C52" w:rsidRDefault="00947D7A" w:rsidP="00561BBC">
      <w:pPr>
        <w:pStyle w:val="Texto0"/>
        <w:spacing w:after="0" w:line="276" w:lineRule="auto"/>
        <w:ind w:right="49" w:firstLine="0"/>
        <w:rPr>
          <w:b/>
        </w:rPr>
      </w:pPr>
      <w:r w:rsidRPr="00500C52">
        <w:rPr>
          <w:b/>
        </w:rPr>
        <w:t>Primero</w:t>
      </w:r>
      <w:r w:rsidR="00350F69" w:rsidRPr="00500C52">
        <w:rPr>
          <w:b/>
        </w:rPr>
        <w:t>.-</w:t>
      </w:r>
      <w:r w:rsidR="004C7274" w:rsidRPr="00500C52">
        <w:rPr>
          <w:b/>
        </w:rPr>
        <w:t xml:space="preserve"> </w:t>
      </w:r>
      <w:r w:rsidR="00350F69" w:rsidRPr="00500C52">
        <w:rPr>
          <w:lang w:val="es-MX" w:eastAsia="es-MX"/>
        </w:rPr>
        <w:t>Publíquese en el Diario Oficial de la Federación, en el último trimestre del año, de conformidad con el artículo 137 de la Ley Federal de Telecomunicaciones y Radiodifusión.</w:t>
      </w:r>
    </w:p>
    <w:p w14:paraId="605B4CD2" w14:textId="77777777" w:rsidR="00350F69" w:rsidRPr="00500C52" w:rsidRDefault="00350F69" w:rsidP="00561BBC">
      <w:pPr>
        <w:pStyle w:val="Texto0"/>
        <w:spacing w:after="0" w:line="276" w:lineRule="auto"/>
        <w:ind w:right="49" w:firstLine="0"/>
        <w:rPr>
          <w:b/>
        </w:rPr>
      </w:pPr>
    </w:p>
    <w:p w14:paraId="299F0489" w14:textId="2CE8D1B7" w:rsidR="00350F69" w:rsidRPr="00500C52" w:rsidRDefault="00947D7A" w:rsidP="00561BBC">
      <w:pPr>
        <w:pStyle w:val="Texto0"/>
        <w:spacing w:after="0" w:line="276" w:lineRule="auto"/>
        <w:ind w:right="49" w:firstLine="0"/>
      </w:pPr>
      <w:r w:rsidRPr="00500C52">
        <w:rPr>
          <w:b/>
        </w:rPr>
        <w:t>Segundo</w:t>
      </w:r>
      <w:r w:rsidR="00350F69" w:rsidRPr="00500C52">
        <w:rPr>
          <w:b/>
        </w:rPr>
        <w:t>.-</w:t>
      </w:r>
      <w:r w:rsidR="00350F69" w:rsidRPr="00500C52">
        <w:t xml:space="preserve"> El presente Acuerdo entrará en vigor al día siguiente de su publicación.</w:t>
      </w:r>
    </w:p>
    <w:sectPr w:rsidR="00350F69" w:rsidRPr="00500C52" w:rsidSect="00210CFA">
      <w:headerReference w:type="even" r:id="rId59"/>
      <w:headerReference w:type="default" r:id="rId60"/>
      <w:footerReference w:type="default" r:id="rId61"/>
      <w:headerReference w:type="first" r:id="rId62"/>
      <w:pgSz w:w="12240" w:h="15840"/>
      <w:pgMar w:top="2098" w:right="1418" w:bottom="992" w:left="1418"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A72B5" w14:textId="77777777" w:rsidR="001F6656" w:rsidRDefault="001F6656" w:rsidP="000F1667">
      <w:pPr>
        <w:spacing w:after="0" w:line="240" w:lineRule="auto"/>
      </w:pPr>
      <w:r>
        <w:separator/>
      </w:r>
    </w:p>
    <w:p w14:paraId="49EF4F10" w14:textId="77777777" w:rsidR="001F6656" w:rsidRDefault="001F6656"/>
  </w:endnote>
  <w:endnote w:type="continuationSeparator" w:id="0">
    <w:p w14:paraId="5E5BA12D" w14:textId="77777777" w:rsidR="001F6656" w:rsidRDefault="001F6656" w:rsidP="000F1667">
      <w:pPr>
        <w:spacing w:after="0" w:line="240" w:lineRule="auto"/>
      </w:pPr>
      <w:r>
        <w:continuationSeparator/>
      </w:r>
    </w:p>
    <w:p w14:paraId="7C431615" w14:textId="77777777" w:rsidR="001F6656" w:rsidRDefault="001F6656"/>
  </w:endnote>
  <w:endnote w:type="continuationNotice" w:id="1">
    <w:p w14:paraId="57419666" w14:textId="77777777" w:rsidR="001F6656" w:rsidRDefault="001F6656">
      <w:pPr>
        <w:spacing w:after="0" w:line="240" w:lineRule="auto"/>
      </w:pPr>
    </w:p>
    <w:p w14:paraId="0A33A7B7" w14:textId="77777777" w:rsidR="001F6656" w:rsidRDefault="001F66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Bold">
    <w:altName w:val="Times New Roman"/>
    <w:charset w:val="00"/>
    <w:family w:val="auto"/>
    <w:pitch w:val="variable"/>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155F76B5" w14:textId="231181D7" w:rsidR="00ED4669" w:rsidRPr="00BB6A0B" w:rsidRDefault="00ED4669" w:rsidP="00BB6A0B">
            <w:pPr>
              <w:pStyle w:val="Piedepgina"/>
              <w:jc w:val="right"/>
              <w:rPr>
                <w:rFonts w:ascii="Arial" w:hAnsi="Arial" w:cs="Arial"/>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Pr>
                <w:rFonts w:ascii="Arial" w:hAnsi="Arial" w:cs="Arial"/>
                <w:bCs/>
                <w:noProof/>
                <w:sz w:val="18"/>
                <w:szCs w:val="18"/>
              </w:rPr>
              <w:t>1</w:t>
            </w:r>
            <w:r w:rsidRPr="00BB6A0B">
              <w:rPr>
                <w:rFonts w:ascii="Arial" w:hAnsi="Arial" w:cs="Arial"/>
                <w:bCs/>
                <w:sz w:val="18"/>
                <w:szCs w:val="18"/>
              </w:rPr>
              <w:fldChar w:fldCharType="end"/>
            </w:r>
            <w:r w:rsidRPr="00BB6A0B">
              <w:rPr>
                <w:rFonts w:ascii="Arial" w:hAnsi="Arial" w:cs="Arial"/>
                <w:sz w:val="18"/>
                <w:szCs w:val="18"/>
              </w:rPr>
              <w:t xml:space="preserve"> de </w:t>
            </w:r>
            <w:r w:rsidRPr="00BB6A0B">
              <w:rPr>
                <w:rFonts w:ascii="Arial" w:hAnsi="Arial" w:cs="Arial"/>
                <w:bCs/>
                <w:sz w:val="18"/>
                <w:szCs w:val="18"/>
              </w:rPr>
              <w:fldChar w:fldCharType="begin"/>
            </w:r>
            <w:r w:rsidRPr="00BB6A0B">
              <w:rPr>
                <w:rFonts w:ascii="Arial" w:hAnsi="Arial" w:cs="Arial"/>
                <w:bCs/>
                <w:sz w:val="18"/>
                <w:szCs w:val="18"/>
              </w:rPr>
              <w:instrText>NUMPAGES</w:instrText>
            </w:r>
            <w:r w:rsidRPr="00BB6A0B">
              <w:rPr>
                <w:rFonts w:ascii="Arial" w:hAnsi="Arial" w:cs="Arial"/>
                <w:bCs/>
                <w:sz w:val="18"/>
                <w:szCs w:val="18"/>
              </w:rPr>
              <w:fldChar w:fldCharType="separate"/>
            </w:r>
            <w:r>
              <w:rPr>
                <w:rFonts w:ascii="Arial" w:hAnsi="Arial" w:cs="Arial"/>
                <w:bCs/>
                <w:noProof/>
                <w:sz w:val="18"/>
                <w:szCs w:val="18"/>
              </w:rPr>
              <w:t>1</w:t>
            </w:r>
            <w:r w:rsidRPr="00BB6A0B">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F4DF5" w14:textId="77777777" w:rsidR="001F6656" w:rsidRDefault="001F6656" w:rsidP="000F1667">
      <w:pPr>
        <w:spacing w:after="0" w:line="240" w:lineRule="auto"/>
      </w:pPr>
      <w:r>
        <w:separator/>
      </w:r>
    </w:p>
    <w:p w14:paraId="2DFE8892" w14:textId="77777777" w:rsidR="001F6656" w:rsidRDefault="001F6656"/>
  </w:footnote>
  <w:footnote w:type="continuationSeparator" w:id="0">
    <w:p w14:paraId="1BEE3754" w14:textId="77777777" w:rsidR="001F6656" w:rsidRDefault="001F6656" w:rsidP="000F1667">
      <w:pPr>
        <w:spacing w:after="0" w:line="240" w:lineRule="auto"/>
      </w:pPr>
      <w:r>
        <w:continuationSeparator/>
      </w:r>
    </w:p>
    <w:p w14:paraId="1CCD5960" w14:textId="77777777" w:rsidR="001F6656" w:rsidRDefault="001F6656"/>
  </w:footnote>
  <w:footnote w:type="continuationNotice" w:id="1">
    <w:p w14:paraId="1941C091" w14:textId="77777777" w:rsidR="001F6656" w:rsidRDefault="001F6656">
      <w:pPr>
        <w:spacing w:after="0" w:line="240" w:lineRule="auto"/>
      </w:pPr>
    </w:p>
    <w:p w14:paraId="0A853BB8" w14:textId="77777777" w:rsidR="001F6656" w:rsidRDefault="001F6656"/>
  </w:footnote>
  <w:footnote w:id="2">
    <w:p w14:paraId="45ECF825" w14:textId="014D0F7E" w:rsidR="00ED4669" w:rsidRPr="0020685A" w:rsidRDefault="00ED4669" w:rsidP="00F9614B">
      <w:pPr>
        <w:pStyle w:val="Textonotapie"/>
        <w:spacing w:line="276" w:lineRule="auto"/>
        <w:jc w:val="both"/>
        <w:rPr>
          <w:rFonts w:ascii="Arial" w:hAnsi="Arial" w:cs="Arial"/>
          <w:sz w:val="18"/>
          <w:szCs w:val="18"/>
        </w:rPr>
      </w:pPr>
      <w:r w:rsidRPr="0020685A">
        <w:rPr>
          <w:rStyle w:val="Refdenotaalpie"/>
          <w:rFonts w:ascii="Arial" w:hAnsi="Arial" w:cs="Arial"/>
          <w:sz w:val="18"/>
          <w:szCs w:val="18"/>
        </w:rPr>
        <w:footnoteRef/>
      </w:r>
      <w:r w:rsidRPr="00F9614B">
        <w:rPr>
          <w:rFonts w:ascii="Arial" w:hAnsi="Arial" w:cs="Arial"/>
          <w:sz w:val="18"/>
          <w:szCs w:val="18"/>
        </w:rPr>
        <w:t xml:space="preserve"> </w:t>
      </w:r>
      <w:r w:rsidRPr="0020685A">
        <w:rPr>
          <w:rFonts w:ascii="Arial" w:hAnsi="Arial" w:cs="Arial"/>
          <w:color w:val="2F2F2F"/>
          <w:sz w:val="18"/>
          <w:szCs w:val="18"/>
        </w:rPr>
        <w:t>Resolución por la que el Pleno de la Comisión Federal de Telecomunicaciones expide el Plan Técnico Fundamental de Interconexión e Interoperabilidad, aprobado mediante acuerdo P/EXT/030209/13.</w:t>
      </w:r>
    </w:p>
  </w:footnote>
  <w:footnote w:id="3">
    <w:p w14:paraId="067BF531" w14:textId="47AD3D54" w:rsidR="00ED4669" w:rsidRPr="005C1057" w:rsidRDefault="00ED4669" w:rsidP="00F9614B">
      <w:pPr>
        <w:pStyle w:val="Textonotapie"/>
        <w:spacing w:line="276" w:lineRule="auto"/>
        <w:rPr>
          <w:rFonts w:ascii="Arial" w:hAnsi="Arial" w:cs="Arial"/>
          <w:sz w:val="18"/>
          <w:szCs w:val="18"/>
          <w:lang w:val="en-US"/>
        </w:rPr>
      </w:pPr>
      <w:r w:rsidRPr="0020685A">
        <w:rPr>
          <w:rStyle w:val="Refdenotaalpie"/>
          <w:rFonts w:ascii="Arial" w:hAnsi="Arial" w:cs="Arial"/>
          <w:sz w:val="18"/>
          <w:szCs w:val="18"/>
        </w:rPr>
        <w:footnoteRef/>
      </w:r>
      <w:r w:rsidRPr="005C1057">
        <w:rPr>
          <w:rFonts w:ascii="Arial" w:hAnsi="Arial" w:cs="Arial"/>
          <w:sz w:val="22"/>
          <w:szCs w:val="22"/>
          <w:lang w:val="en-US"/>
        </w:rPr>
        <w:t xml:space="preserve"> </w:t>
      </w:r>
      <w:r w:rsidRPr="005C1057">
        <w:rPr>
          <w:rFonts w:ascii="Arial" w:hAnsi="Arial" w:cs="Arial"/>
          <w:sz w:val="18"/>
          <w:szCs w:val="22"/>
          <w:lang w:val="en-US"/>
        </w:rPr>
        <w:t>Acuerdo P/IFT/EXT/161214/277</w:t>
      </w:r>
    </w:p>
  </w:footnote>
  <w:footnote w:id="4">
    <w:p w14:paraId="479B2332" w14:textId="053520DF" w:rsidR="00ED4669" w:rsidRPr="0020685A" w:rsidRDefault="00ED4669" w:rsidP="00F9614B">
      <w:pPr>
        <w:pStyle w:val="Textonotapie"/>
        <w:spacing w:line="276" w:lineRule="auto"/>
        <w:jc w:val="both"/>
        <w:rPr>
          <w:rFonts w:ascii="Arial" w:hAnsi="Arial" w:cs="Arial"/>
          <w:sz w:val="22"/>
          <w:szCs w:val="22"/>
          <w:lang w:val="en-US"/>
        </w:rPr>
      </w:pPr>
      <w:r w:rsidRPr="0020685A">
        <w:rPr>
          <w:rStyle w:val="Refdenotaalpie"/>
          <w:rFonts w:ascii="Arial" w:hAnsi="Arial" w:cs="Arial"/>
          <w:sz w:val="18"/>
          <w:szCs w:val="18"/>
        </w:rPr>
        <w:footnoteRef/>
      </w:r>
      <w:r w:rsidRPr="0020685A">
        <w:rPr>
          <w:rFonts w:ascii="Arial" w:hAnsi="Arial" w:cs="Arial"/>
          <w:sz w:val="22"/>
          <w:szCs w:val="22"/>
          <w:lang w:val="en-US"/>
        </w:rPr>
        <w:t xml:space="preserve"> </w:t>
      </w:r>
      <w:r w:rsidRPr="0020685A">
        <w:rPr>
          <w:rFonts w:ascii="Arial" w:hAnsi="Arial" w:cs="Arial"/>
          <w:sz w:val="18"/>
          <w:szCs w:val="22"/>
          <w:lang w:val="en-US"/>
        </w:rPr>
        <w:t>Armstrong, M. (1998). Network interconnection in telecommunications. The Economic Journal (108), 545-564.</w:t>
      </w:r>
    </w:p>
  </w:footnote>
  <w:footnote w:id="5">
    <w:p w14:paraId="1FC8D5BC" w14:textId="77777777" w:rsidR="00ED4669" w:rsidRPr="0020685A" w:rsidRDefault="00ED4669" w:rsidP="0020685A">
      <w:pPr>
        <w:pStyle w:val="Textonotapie"/>
        <w:spacing w:line="276" w:lineRule="auto"/>
        <w:jc w:val="both"/>
        <w:rPr>
          <w:rFonts w:ascii="Arial" w:hAnsi="Arial" w:cs="Arial"/>
          <w:iCs/>
          <w:color w:val="000000"/>
          <w:sz w:val="18"/>
          <w:szCs w:val="22"/>
          <w:lang w:val="en-US" w:eastAsia="es-MX"/>
        </w:rPr>
      </w:pPr>
      <w:r w:rsidRPr="0020685A">
        <w:rPr>
          <w:rFonts w:ascii="Arial" w:hAnsi="Arial" w:cs="Arial"/>
          <w:iCs/>
          <w:color w:val="000000"/>
          <w:sz w:val="18"/>
          <w:szCs w:val="18"/>
          <w:vertAlign w:val="superscript"/>
          <w:lang w:eastAsia="es-MX"/>
        </w:rPr>
        <w:footnoteRef/>
      </w:r>
      <w:r w:rsidRPr="0020685A">
        <w:rPr>
          <w:rFonts w:ascii="Arial" w:hAnsi="Arial" w:cs="Arial"/>
          <w:iCs/>
          <w:color w:val="000000"/>
          <w:sz w:val="22"/>
          <w:szCs w:val="22"/>
          <w:lang w:val="en-US" w:eastAsia="es-MX"/>
        </w:rPr>
        <w:t xml:space="preserve"> </w:t>
      </w:r>
      <w:r w:rsidRPr="0020685A">
        <w:rPr>
          <w:rFonts w:ascii="Arial" w:hAnsi="Arial" w:cs="Arial"/>
          <w:iCs/>
          <w:color w:val="000000"/>
          <w:sz w:val="18"/>
          <w:szCs w:val="22"/>
          <w:lang w:val="en-US" w:eastAsia="es-MX"/>
        </w:rPr>
        <w:t>Armstrong, M. (2002). ‘The theory of access pricing and interconnection’, en Cave, Majumdar y I. Vogelsang eds., Handbook of Telecommunications Economics, Amsterdam: North-Holland.</w:t>
      </w:r>
    </w:p>
  </w:footnote>
  <w:footnote w:id="6">
    <w:p w14:paraId="76BC4351" w14:textId="77777777" w:rsidR="00ED4669" w:rsidRPr="0020685A" w:rsidRDefault="00ED4669" w:rsidP="0020685A">
      <w:pPr>
        <w:pStyle w:val="Textonotapie"/>
        <w:spacing w:line="276" w:lineRule="auto"/>
        <w:jc w:val="both"/>
        <w:rPr>
          <w:rFonts w:ascii="Arial" w:hAnsi="Arial" w:cs="Arial"/>
          <w:iCs/>
          <w:color w:val="000000"/>
          <w:sz w:val="18"/>
          <w:szCs w:val="22"/>
          <w:lang w:val="en-US" w:eastAsia="es-MX"/>
        </w:rPr>
      </w:pPr>
      <w:r w:rsidRPr="0020685A">
        <w:rPr>
          <w:rFonts w:ascii="Arial" w:hAnsi="Arial" w:cs="Arial"/>
          <w:iCs/>
          <w:color w:val="000000"/>
          <w:sz w:val="18"/>
          <w:szCs w:val="22"/>
          <w:vertAlign w:val="superscript"/>
          <w:lang w:eastAsia="es-MX"/>
        </w:rPr>
        <w:footnoteRef/>
      </w:r>
      <w:r w:rsidRPr="0020685A">
        <w:rPr>
          <w:rFonts w:ascii="Arial" w:hAnsi="Arial" w:cs="Arial"/>
          <w:iCs/>
          <w:color w:val="000000"/>
          <w:sz w:val="18"/>
          <w:szCs w:val="22"/>
          <w:lang w:val="fr-FR" w:eastAsia="es-MX"/>
        </w:rPr>
        <w:t xml:space="preserve"> Laffont, J.-J., &amp; Tirole, J. (2000). </w:t>
      </w:r>
      <w:r w:rsidRPr="0020685A">
        <w:rPr>
          <w:rFonts w:ascii="Arial" w:hAnsi="Arial" w:cs="Arial"/>
          <w:iCs/>
          <w:color w:val="000000"/>
          <w:sz w:val="18"/>
          <w:szCs w:val="22"/>
          <w:lang w:val="en-US" w:eastAsia="es-MX"/>
        </w:rPr>
        <w:t>Competition in Telecommunications. Cambridge: MIT Press.</w:t>
      </w:r>
    </w:p>
  </w:footnote>
  <w:footnote w:id="7">
    <w:p w14:paraId="2F6F7935" w14:textId="77777777" w:rsidR="00ED4669" w:rsidRPr="0020685A" w:rsidRDefault="00ED4669" w:rsidP="0020685A">
      <w:pPr>
        <w:pStyle w:val="Textonotapie"/>
        <w:spacing w:line="276" w:lineRule="auto"/>
        <w:jc w:val="both"/>
        <w:rPr>
          <w:rFonts w:ascii="Arial" w:hAnsi="Arial" w:cs="Arial"/>
          <w:iCs/>
          <w:color w:val="000000"/>
          <w:sz w:val="18"/>
          <w:szCs w:val="22"/>
          <w:vertAlign w:val="superscript"/>
          <w:lang w:eastAsia="es-MX"/>
        </w:rPr>
      </w:pPr>
      <w:r w:rsidRPr="0020685A">
        <w:rPr>
          <w:rStyle w:val="Refdenotaalpie"/>
          <w:rFonts w:ascii="Arial" w:hAnsi="Arial" w:cs="Arial"/>
          <w:sz w:val="18"/>
          <w:szCs w:val="22"/>
        </w:rPr>
        <w:footnoteRef/>
      </w:r>
      <w:r w:rsidRPr="0020685A">
        <w:rPr>
          <w:rFonts w:ascii="Arial" w:hAnsi="Arial" w:cs="Arial"/>
          <w:sz w:val="18"/>
          <w:szCs w:val="22"/>
        </w:rPr>
        <w:t xml:space="preserve"> Cuando tanto la empresa que vende el insumo y la que vende el servicio final cuentan con poder de mercado por lo tanto cada una establece un precio por encima del costo de producción.</w:t>
      </w:r>
      <w:r w:rsidRPr="0020685A">
        <w:rPr>
          <w:rFonts w:ascii="Arial" w:hAnsi="Arial" w:cs="Arial"/>
          <w:iCs/>
          <w:color w:val="000000"/>
          <w:sz w:val="18"/>
          <w:szCs w:val="22"/>
          <w:vertAlign w:val="superscript"/>
          <w:lang w:eastAsia="es-MX"/>
        </w:rPr>
        <w:t xml:space="preserve"> </w:t>
      </w:r>
    </w:p>
  </w:footnote>
  <w:footnote w:id="8">
    <w:p w14:paraId="6289A69E" w14:textId="3E78FBAE" w:rsidR="00ED4669" w:rsidRPr="0020685A" w:rsidRDefault="00ED4669" w:rsidP="0020685A">
      <w:pPr>
        <w:pStyle w:val="Textonotapie"/>
        <w:spacing w:line="276" w:lineRule="auto"/>
        <w:jc w:val="both"/>
        <w:rPr>
          <w:rFonts w:ascii="Arial" w:hAnsi="Arial" w:cs="Arial"/>
          <w:iCs/>
          <w:color w:val="000000"/>
          <w:sz w:val="18"/>
          <w:szCs w:val="22"/>
          <w:lang w:val="en-US" w:eastAsia="es-MX"/>
        </w:rPr>
      </w:pPr>
      <w:r w:rsidRPr="0020685A">
        <w:rPr>
          <w:rFonts w:ascii="Arial" w:hAnsi="Arial" w:cs="Arial"/>
          <w:iCs/>
          <w:color w:val="000000"/>
          <w:sz w:val="18"/>
          <w:szCs w:val="22"/>
          <w:vertAlign w:val="superscript"/>
          <w:lang w:eastAsia="es-MX"/>
        </w:rPr>
        <w:footnoteRef/>
      </w:r>
      <w:r w:rsidRPr="0020685A">
        <w:rPr>
          <w:rFonts w:ascii="Arial" w:hAnsi="Arial" w:cs="Arial"/>
          <w:iCs/>
          <w:color w:val="000000"/>
          <w:sz w:val="18"/>
          <w:szCs w:val="22"/>
          <w:vertAlign w:val="superscript"/>
          <w:lang w:val="en-US" w:eastAsia="es-MX"/>
        </w:rPr>
        <w:t xml:space="preserve"> </w:t>
      </w:r>
      <w:r w:rsidRPr="0020685A">
        <w:rPr>
          <w:rFonts w:ascii="Arial" w:hAnsi="Arial" w:cs="Arial"/>
          <w:iCs/>
          <w:color w:val="000000"/>
          <w:sz w:val="18"/>
          <w:szCs w:val="22"/>
          <w:lang w:val="en-US" w:eastAsia="es-MX"/>
        </w:rPr>
        <w:t>Gans, J., &amp; King, S. (2001). Using bill and keep´ Interconnection Arrangements to Soften Network Competition. Economic Letters 413-420.</w:t>
      </w:r>
    </w:p>
  </w:footnote>
  <w:footnote w:id="9">
    <w:p w14:paraId="55C9D65C" w14:textId="77777777" w:rsidR="00ED4669" w:rsidRPr="0020685A" w:rsidRDefault="00ED4669" w:rsidP="0020685A">
      <w:pPr>
        <w:pStyle w:val="Textonotapie"/>
        <w:spacing w:line="276" w:lineRule="auto"/>
        <w:jc w:val="both"/>
        <w:rPr>
          <w:rFonts w:ascii="Arial" w:hAnsi="Arial" w:cs="Arial"/>
          <w:sz w:val="16"/>
          <w:szCs w:val="16"/>
          <w:lang w:val="en-US"/>
        </w:rPr>
      </w:pPr>
      <w:r w:rsidRPr="0020685A">
        <w:rPr>
          <w:rFonts w:ascii="Arial" w:hAnsi="Arial" w:cs="Arial"/>
          <w:iCs/>
          <w:color w:val="000000"/>
          <w:sz w:val="18"/>
          <w:szCs w:val="22"/>
          <w:vertAlign w:val="superscript"/>
          <w:lang w:eastAsia="es-MX"/>
        </w:rPr>
        <w:footnoteRef/>
      </w:r>
      <w:r w:rsidRPr="0020685A">
        <w:rPr>
          <w:rFonts w:ascii="Arial" w:hAnsi="Arial" w:cs="Arial"/>
          <w:iCs/>
          <w:color w:val="000000"/>
          <w:sz w:val="18"/>
          <w:szCs w:val="22"/>
          <w:vertAlign w:val="superscript"/>
          <w:lang w:val="en-US" w:eastAsia="es-MX"/>
        </w:rPr>
        <w:t xml:space="preserve"> </w:t>
      </w:r>
      <w:r w:rsidRPr="0020685A">
        <w:rPr>
          <w:rFonts w:ascii="Arial" w:hAnsi="Arial" w:cs="Arial"/>
          <w:iCs/>
          <w:color w:val="000000"/>
          <w:sz w:val="18"/>
          <w:szCs w:val="22"/>
          <w:lang w:val="en-US" w:eastAsia="es-MX"/>
        </w:rPr>
        <w:t>Carter, M., &amp; Wright, J. (2003). Asymmetric Network Interconnection. Review of Industrial Organization, 27-46.</w:t>
      </w:r>
    </w:p>
  </w:footnote>
  <w:footnote w:id="10">
    <w:p w14:paraId="27B67439" w14:textId="77777777" w:rsidR="00ED4669" w:rsidRPr="0020685A" w:rsidRDefault="00ED4669" w:rsidP="0020685A">
      <w:pPr>
        <w:pStyle w:val="Textonotapie"/>
        <w:spacing w:line="276" w:lineRule="auto"/>
        <w:jc w:val="both"/>
        <w:rPr>
          <w:rFonts w:ascii="Arial" w:hAnsi="Arial" w:cs="Arial"/>
          <w:sz w:val="16"/>
          <w:szCs w:val="16"/>
        </w:rPr>
      </w:pPr>
      <w:r w:rsidRPr="0020685A">
        <w:rPr>
          <w:rFonts w:ascii="Arial" w:hAnsi="Arial" w:cs="Arial"/>
          <w:sz w:val="18"/>
          <w:szCs w:val="18"/>
          <w:vertAlign w:val="superscript"/>
          <w:lang w:val="es-MX"/>
        </w:rPr>
        <w:footnoteRef/>
      </w:r>
      <w:r w:rsidRPr="0020685A">
        <w:rPr>
          <w:rFonts w:ascii="Arial" w:hAnsi="Arial" w:cs="Arial"/>
          <w:sz w:val="18"/>
          <w:szCs w:val="18"/>
          <w:lang w:val="es-MX"/>
        </w:rPr>
        <w:t xml:space="preserve"> El proceso de calibración permite acercar los resultados del modelo con los valores realmente observados a efecto de alcanzar una mayor exactitud.</w:t>
      </w:r>
    </w:p>
  </w:footnote>
  <w:footnote w:id="11">
    <w:p w14:paraId="26456F69" w14:textId="77777777" w:rsidR="00ED4669" w:rsidRPr="0020685A" w:rsidRDefault="00ED4669" w:rsidP="00F9614B">
      <w:pPr>
        <w:pStyle w:val="Textonotapie"/>
        <w:spacing w:line="276" w:lineRule="auto"/>
        <w:jc w:val="both"/>
        <w:rPr>
          <w:rFonts w:ascii="Arial" w:hAnsi="Arial" w:cs="Arial"/>
          <w:spacing w:val="-4"/>
          <w:sz w:val="14"/>
          <w:szCs w:val="14"/>
          <w:lang w:val="es-MX"/>
        </w:rPr>
      </w:pPr>
      <w:r w:rsidRPr="00F9614B">
        <w:rPr>
          <w:rStyle w:val="Refdenotaalpie"/>
          <w:rFonts w:ascii="Arial" w:hAnsi="Arial" w:cs="Arial"/>
          <w:spacing w:val="-4"/>
          <w:sz w:val="18"/>
          <w:szCs w:val="18"/>
        </w:rPr>
        <w:footnoteRef/>
      </w:r>
      <w:r w:rsidRPr="0020685A">
        <w:rPr>
          <w:rFonts w:ascii="Arial" w:hAnsi="Arial" w:cs="Arial"/>
          <w:spacing w:val="-4"/>
          <w:sz w:val="18"/>
          <w:szCs w:val="18"/>
          <w:lang w:val="es-MX"/>
        </w:rPr>
        <w:t xml:space="preserve"> P.ej. el valor presente neto de la demanda – refleja el descuento de la combinación de la cuota de mercado eventual y la velocidad de adquisición de esta.</w:t>
      </w:r>
    </w:p>
  </w:footnote>
  <w:footnote w:id="12">
    <w:p w14:paraId="7D881C3B" w14:textId="77777777" w:rsidR="00ED4669" w:rsidRPr="0020685A" w:rsidRDefault="00ED4669" w:rsidP="00F9614B">
      <w:pPr>
        <w:pStyle w:val="Textonotapie"/>
        <w:spacing w:line="276" w:lineRule="auto"/>
        <w:rPr>
          <w:rFonts w:ascii="Arial" w:hAnsi="Arial" w:cs="Arial"/>
          <w:sz w:val="18"/>
          <w:szCs w:val="18"/>
        </w:rPr>
      </w:pPr>
      <w:r w:rsidRPr="0020685A">
        <w:rPr>
          <w:rStyle w:val="Refdenotaalpie"/>
          <w:rFonts w:ascii="Arial" w:hAnsi="Arial" w:cs="Arial"/>
          <w:sz w:val="18"/>
          <w:szCs w:val="18"/>
        </w:rPr>
        <w:footnoteRef/>
      </w:r>
      <w:r w:rsidRPr="0020685A">
        <w:rPr>
          <w:rFonts w:ascii="Arial" w:hAnsi="Arial" w:cs="Arial"/>
          <w:sz w:val="18"/>
          <w:szCs w:val="18"/>
        </w:rPr>
        <w:t xml:space="preserve"> Según GSMA, en 2022 el número de conexiones 2G suponían todavía un 6.6% del total de conexiones móviles.</w:t>
      </w:r>
    </w:p>
  </w:footnote>
  <w:footnote w:id="13">
    <w:p w14:paraId="69B008E1" w14:textId="77777777" w:rsidR="00ED4669" w:rsidRPr="0020685A" w:rsidRDefault="00ED4669" w:rsidP="00F9614B">
      <w:pPr>
        <w:pStyle w:val="Textonotapie"/>
        <w:spacing w:line="276" w:lineRule="auto"/>
        <w:rPr>
          <w:rFonts w:ascii="Arial" w:hAnsi="Arial" w:cs="Arial"/>
          <w:sz w:val="18"/>
          <w:szCs w:val="18"/>
        </w:rPr>
      </w:pPr>
      <w:r w:rsidRPr="0020685A">
        <w:rPr>
          <w:rStyle w:val="Refdenotaalpie"/>
          <w:rFonts w:ascii="Arial" w:hAnsi="Arial" w:cs="Arial"/>
          <w:sz w:val="18"/>
          <w:szCs w:val="18"/>
        </w:rPr>
        <w:footnoteRef/>
      </w:r>
      <w:r w:rsidRPr="0020685A">
        <w:rPr>
          <w:rFonts w:ascii="Arial" w:hAnsi="Arial" w:cs="Arial"/>
          <w:sz w:val="18"/>
          <w:szCs w:val="18"/>
        </w:rPr>
        <w:t xml:space="preserve"> Estrictamente hablando, en el caso del operador AT&amp;T, no se trata de VoLTE sino de una aplicación </w:t>
      </w:r>
      <w:r w:rsidRPr="0020685A">
        <w:rPr>
          <w:rFonts w:ascii="Arial" w:hAnsi="Arial" w:cs="Arial"/>
          <w:i/>
          <w:iCs/>
          <w:sz w:val="18"/>
          <w:szCs w:val="18"/>
        </w:rPr>
        <w:t>over-the-top</w:t>
      </w:r>
      <w:r w:rsidRPr="0020685A">
        <w:rPr>
          <w:rFonts w:ascii="Arial" w:hAnsi="Arial" w:cs="Arial"/>
          <w:sz w:val="18"/>
          <w:szCs w:val="18"/>
        </w:rPr>
        <w:t xml:space="preserve"> (OTT) que proporciona servicios de voz sobre la red 4G a sus usuarios.</w:t>
      </w:r>
    </w:p>
  </w:footnote>
  <w:footnote w:id="14">
    <w:p w14:paraId="4BBFDF46" w14:textId="77777777" w:rsidR="00ED4669" w:rsidRPr="0020685A" w:rsidRDefault="00ED4669" w:rsidP="00F9614B">
      <w:pPr>
        <w:pStyle w:val="Textonotapie"/>
        <w:spacing w:line="276" w:lineRule="auto"/>
        <w:rPr>
          <w:rFonts w:ascii="Arial" w:hAnsi="Arial" w:cs="Arial"/>
          <w:sz w:val="14"/>
          <w:szCs w:val="14"/>
        </w:rPr>
      </w:pPr>
      <w:r w:rsidRPr="0020685A">
        <w:rPr>
          <w:rStyle w:val="Refdenotaalpie"/>
          <w:rFonts w:ascii="Arial" w:hAnsi="Arial" w:cs="Arial"/>
          <w:sz w:val="18"/>
          <w:szCs w:val="18"/>
        </w:rPr>
        <w:footnoteRef/>
      </w:r>
      <w:r w:rsidRPr="0020685A">
        <w:rPr>
          <w:rFonts w:ascii="Arial" w:hAnsi="Arial" w:cs="Arial"/>
          <w:sz w:val="18"/>
          <w:szCs w:val="18"/>
        </w:rPr>
        <w:t xml:space="preserve"> Altán, en su calidad de red mayorista, hace uso de la banda de 700 MHz, la cual, si bien se incluye en el modelo, no es parte del espectro del AEP o del CS modelado.</w:t>
      </w:r>
    </w:p>
  </w:footnote>
  <w:footnote w:id="15">
    <w:p w14:paraId="562BF516" w14:textId="77777777" w:rsidR="00ED4669" w:rsidRPr="0020685A" w:rsidRDefault="00ED4669" w:rsidP="0020685A">
      <w:pPr>
        <w:pStyle w:val="Textonotapie"/>
        <w:spacing w:line="276" w:lineRule="auto"/>
        <w:rPr>
          <w:rFonts w:ascii="Arial" w:hAnsi="Arial" w:cs="Arial"/>
          <w:sz w:val="16"/>
          <w:szCs w:val="16"/>
        </w:rPr>
      </w:pPr>
      <w:r w:rsidRPr="0020685A">
        <w:rPr>
          <w:rFonts w:ascii="Arial" w:hAnsi="Arial" w:cs="Arial"/>
          <w:sz w:val="18"/>
          <w:szCs w:val="18"/>
          <w:vertAlign w:val="superscript"/>
        </w:rPr>
        <w:footnoteRef/>
      </w:r>
      <w:r w:rsidRPr="0020685A">
        <w:rPr>
          <w:rFonts w:ascii="Arial" w:hAnsi="Arial" w:cs="Arial"/>
          <w:sz w:val="18"/>
          <w:szCs w:val="18"/>
          <w:lang w:val="es-MX"/>
        </w:rPr>
        <w:t xml:space="preserve"> IRU: </w:t>
      </w:r>
      <w:r w:rsidRPr="0020685A">
        <w:rPr>
          <w:rFonts w:ascii="Arial" w:hAnsi="Arial" w:cs="Arial"/>
          <w:i/>
          <w:sz w:val="18"/>
          <w:szCs w:val="18"/>
          <w:lang w:val="es-MX"/>
        </w:rPr>
        <w:t>Indefeasible right of use</w:t>
      </w:r>
      <w:r w:rsidRPr="0020685A">
        <w:rPr>
          <w:rFonts w:ascii="Arial" w:hAnsi="Arial" w:cs="Arial"/>
          <w:sz w:val="18"/>
          <w:szCs w:val="18"/>
          <w:lang w:val="es-MX"/>
        </w:rPr>
        <w:t xml:space="preserve">, derecho de uso irrevocable. </w:t>
      </w:r>
      <w:r w:rsidRPr="0020685A">
        <w:rPr>
          <w:rFonts w:ascii="Arial" w:hAnsi="Arial" w:cs="Arial"/>
          <w:sz w:val="18"/>
          <w:szCs w:val="18"/>
        </w:rPr>
        <w:t>Se trata de un derecho de uso a largo plazo (o propiedad temporal) de una porción de la capacidad de un enlace de transmisión.</w:t>
      </w:r>
    </w:p>
  </w:footnote>
  <w:footnote w:id="16">
    <w:p w14:paraId="7D2AD747" w14:textId="77777777" w:rsidR="00ED4669" w:rsidRPr="0020685A" w:rsidRDefault="00ED4669" w:rsidP="0020685A">
      <w:pPr>
        <w:pStyle w:val="Textonotapie"/>
        <w:spacing w:line="276" w:lineRule="auto"/>
        <w:jc w:val="both"/>
        <w:rPr>
          <w:rFonts w:ascii="Arial" w:hAnsi="Arial" w:cs="Arial"/>
          <w:sz w:val="16"/>
          <w:szCs w:val="16"/>
        </w:rPr>
      </w:pPr>
      <w:r w:rsidRPr="0020685A">
        <w:rPr>
          <w:rStyle w:val="Refdenotaalpie"/>
          <w:rFonts w:ascii="Arial" w:hAnsi="Arial" w:cs="Arial"/>
          <w:sz w:val="18"/>
          <w:szCs w:val="18"/>
        </w:rPr>
        <w:footnoteRef/>
      </w:r>
      <w:r w:rsidRPr="0020685A">
        <w:rPr>
          <w:rFonts w:ascii="Arial" w:hAnsi="Arial" w:cs="Arial"/>
          <w:sz w:val="18"/>
          <w:szCs w:val="18"/>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17">
    <w:p w14:paraId="584F29E1" w14:textId="4BA637DC" w:rsidR="00ED4669" w:rsidRPr="0020685A" w:rsidRDefault="00ED4669" w:rsidP="0020685A">
      <w:pPr>
        <w:pStyle w:val="Textonotapie"/>
        <w:spacing w:line="276" w:lineRule="auto"/>
        <w:jc w:val="both"/>
        <w:rPr>
          <w:rFonts w:ascii="Arial" w:hAnsi="Arial" w:cs="Arial"/>
          <w:spacing w:val="-4"/>
          <w:sz w:val="16"/>
          <w:szCs w:val="16"/>
        </w:rPr>
      </w:pPr>
      <w:r w:rsidRPr="0020685A">
        <w:rPr>
          <w:rStyle w:val="Refdenotaalpie"/>
          <w:rFonts w:ascii="Arial" w:hAnsi="Arial" w:cs="Arial"/>
          <w:sz w:val="18"/>
        </w:rPr>
        <w:footnoteRef/>
      </w:r>
      <w:r w:rsidRPr="0020685A">
        <w:rPr>
          <w:rFonts w:ascii="Arial" w:hAnsi="Arial" w:cs="Arial"/>
          <w:spacing w:val="-4"/>
          <w:sz w:val="18"/>
        </w:rPr>
        <w:t xml:space="preserve"> </w:t>
      </w:r>
      <w:r w:rsidRPr="0020685A">
        <w:rPr>
          <w:rFonts w:ascii="Arial" w:hAnsi="Arial" w:cs="Arial"/>
          <w:spacing w:val="-4"/>
          <w:sz w:val="18"/>
          <w:szCs w:val="18"/>
        </w:rPr>
        <w:t xml:space="preserve">Por ejemplo, los costos actuales </w:t>
      </w:r>
      <w:r w:rsidRPr="0020685A">
        <w:rPr>
          <w:rFonts w:ascii="Arial" w:hAnsi="Arial" w:cs="Arial"/>
          <w:i/>
          <w:spacing w:val="-4"/>
          <w:sz w:val="18"/>
          <w:szCs w:val="18"/>
        </w:rPr>
        <w:t>top-down</w:t>
      </w:r>
      <w:r w:rsidRPr="0020685A">
        <w:rPr>
          <w:rFonts w:ascii="Arial" w:hAnsi="Arial" w:cs="Arial"/>
          <w:spacing w:val="-4"/>
          <w:sz w:val="18"/>
          <w:szCs w:val="18"/>
        </w:rPr>
        <w:t xml:space="preserve"> que representan operaciones de voz y datos necesitan ser divididos en costos independientes de voz relevantes y costos adicionales de datos. Las redes únicamente de voz no existen comúnmente en la realidad, lo que implica que la red modelada no puede ser comparada con ningún operador real.</w:t>
      </w:r>
    </w:p>
  </w:footnote>
  <w:footnote w:id="18">
    <w:p w14:paraId="0DDB41A3" w14:textId="77777777" w:rsidR="00ED4669" w:rsidRPr="0020685A" w:rsidRDefault="00ED4669" w:rsidP="0020685A">
      <w:pPr>
        <w:pStyle w:val="Textonotapie"/>
        <w:spacing w:line="276" w:lineRule="auto"/>
        <w:jc w:val="both"/>
        <w:rPr>
          <w:rFonts w:ascii="Arial" w:hAnsi="Arial" w:cs="Arial"/>
          <w:sz w:val="14"/>
          <w:szCs w:val="14"/>
        </w:rPr>
      </w:pPr>
      <w:r w:rsidRPr="0020685A">
        <w:rPr>
          <w:rStyle w:val="Refdenotaalpie"/>
          <w:rFonts w:ascii="Arial" w:hAnsi="Arial" w:cs="Arial"/>
          <w:sz w:val="18"/>
          <w:szCs w:val="18"/>
        </w:rPr>
        <w:footnoteRef/>
      </w:r>
      <w:r w:rsidRPr="0020685A">
        <w:rPr>
          <w:rFonts w:ascii="Arial" w:hAnsi="Arial" w:cs="Arial"/>
          <w:sz w:val="18"/>
          <w:szCs w:val="18"/>
        </w:rPr>
        <w:t xml:space="preserve"> Se entiende por ‘perfil’ las proporciones de llamadas desde/a varios destinos fijos y móviles, por hora del día y usos de otros servicios.</w:t>
      </w:r>
    </w:p>
  </w:footnote>
  <w:footnote w:id="19">
    <w:p w14:paraId="2F71BA05" w14:textId="5D40A60A" w:rsidR="00ED4669" w:rsidRPr="0020685A" w:rsidRDefault="00ED4669" w:rsidP="0020685A">
      <w:pPr>
        <w:pStyle w:val="Textonotapie"/>
        <w:spacing w:line="276" w:lineRule="auto"/>
        <w:jc w:val="both"/>
        <w:rPr>
          <w:rFonts w:ascii="Arial" w:hAnsi="Arial" w:cs="Arial"/>
          <w:sz w:val="16"/>
          <w:szCs w:val="16"/>
          <w:lang w:val="es-MX"/>
        </w:rPr>
      </w:pPr>
      <w:r w:rsidRPr="0020685A">
        <w:rPr>
          <w:rStyle w:val="Refdenotaalpie"/>
          <w:rFonts w:ascii="Arial" w:hAnsi="Arial" w:cs="Arial"/>
          <w:sz w:val="18"/>
          <w:szCs w:val="18"/>
        </w:rPr>
        <w:t>19</w:t>
      </w:r>
      <w:r w:rsidRPr="0020685A">
        <w:rPr>
          <w:rFonts w:ascii="Arial" w:hAnsi="Arial" w:cs="Arial"/>
          <w:sz w:val="18"/>
          <w:szCs w:val="18"/>
        </w:rPr>
        <w:t xml:space="preserve"> </w:t>
      </w:r>
      <w:r w:rsidRPr="0020685A">
        <w:rPr>
          <w:rFonts w:ascii="Arial" w:hAnsi="Arial" w:cs="Arial"/>
          <w:sz w:val="18"/>
          <w:szCs w:val="18"/>
          <w:lang w:val="es-MX"/>
        </w:rPr>
        <w:t>Por ejemplo, se puede esperar que la proporción de llamadas originadas que son on-net, manteniendo todos los otros factores constantes, estén relacionadas con el tamaño de la base de suscriptores del operador. Claramente, a medida que cambie con el tiempo el tamaño del operador modelado, una proporción cambiante dinámicamente de tráfico tendría que ser estimada como on-net.</w:t>
      </w:r>
    </w:p>
  </w:footnote>
  <w:footnote w:id="20">
    <w:p w14:paraId="73EA9BF8" w14:textId="77777777" w:rsidR="00ED4669" w:rsidRPr="0020685A" w:rsidRDefault="00ED4669" w:rsidP="0020685A">
      <w:pPr>
        <w:pStyle w:val="Textonotapie"/>
        <w:spacing w:line="276" w:lineRule="auto"/>
        <w:jc w:val="both"/>
        <w:rPr>
          <w:rFonts w:ascii="Arial" w:hAnsi="Arial" w:cs="Arial"/>
          <w:sz w:val="18"/>
          <w:szCs w:val="18"/>
        </w:rPr>
      </w:pPr>
      <w:r w:rsidRPr="0020685A">
        <w:rPr>
          <w:rStyle w:val="Refdenotaalpie"/>
          <w:rFonts w:ascii="Arial" w:hAnsi="Arial" w:cs="Arial"/>
          <w:sz w:val="18"/>
          <w:szCs w:val="18"/>
        </w:rPr>
        <w:footnoteRef/>
      </w:r>
      <w:r w:rsidRPr="0020685A">
        <w:rPr>
          <w:rFonts w:ascii="Arial" w:hAnsi="Arial" w:cs="Arial"/>
          <w:sz w:val="18"/>
          <w:szCs w:val="18"/>
          <w:lang w:val="es-MX"/>
        </w:rPr>
        <w:t xml:space="preserve"> Entre más incrementos, más cálculos se necesitan en el modelo y más costos comunes (o agregado de costos comunes) tienen que ser distribuidos como </w:t>
      </w:r>
      <w:r w:rsidRPr="0020685A">
        <w:rPr>
          <w:rFonts w:ascii="Arial" w:hAnsi="Arial" w:cs="Arial"/>
          <w:i/>
          <w:sz w:val="18"/>
          <w:szCs w:val="18"/>
          <w:lang w:val="es-MX"/>
        </w:rPr>
        <w:t>mark-up.</w:t>
      </w:r>
    </w:p>
  </w:footnote>
  <w:footnote w:id="21">
    <w:p w14:paraId="0A6E618C" w14:textId="77777777" w:rsidR="00ED4669" w:rsidRPr="0020685A" w:rsidRDefault="00ED4669" w:rsidP="0020685A">
      <w:pPr>
        <w:pStyle w:val="Textonotapie"/>
        <w:spacing w:line="276" w:lineRule="auto"/>
        <w:jc w:val="both"/>
        <w:rPr>
          <w:rFonts w:ascii="Arial" w:hAnsi="Arial" w:cs="Arial"/>
          <w:sz w:val="18"/>
          <w:szCs w:val="18"/>
          <w:lang w:val="es-MX"/>
        </w:rPr>
      </w:pPr>
      <w:r w:rsidRPr="0020685A">
        <w:rPr>
          <w:rStyle w:val="Refdenotaalpie"/>
          <w:rFonts w:ascii="Arial" w:hAnsi="Arial" w:cs="Arial"/>
          <w:sz w:val="18"/>
          <w:szCs w:val="18"/>
        </w:rPr>
        <w:footnoteRef/>
      </w:r>
      <w:r w:rsidRPr="0020685A">
        <w:rPr>
          <w:rFonts w:ascii="Arial" w:hAnsi="Arial" w:cs="Arial"/>
          <w:sz w:val="18"/>
          <w:szCs w:val="18"/>
          <w:lang w:val="es-MX"/>
        </w:rPr>
        <w:t xml:space="preserve"> Por las economías de escala y el mecanismo de márgenes adicionales. </w:t>
      </w:r>
    </w:p>
  </w:footnote>
  <w:footnote w:id="22">
    <w:p w14:paraId="79959B2C" w14:textId="77777777" w:rsidR="00ED4669" w:rsidRPr="0020685A" w:rsidRDefault="00ED4669" w:rsidP="0020685A">
      <w:pPr>
        <w:pStyle w:val="Textonotapie"/>
        <w:spacing w:line="276" w:lineRule="auto"/>
        <w:jc w:val="both"/>
        <w:rPr>
          <w:rFonts w:ascii="Arial" w:hAnsi="Arial" w:cs="Arial"/>
          <w:sz w:val="16"/>
          <w:szCs w:val="16"/>
        </w:rPr>
      </w:pPr>
      <w:r w:rsidRPr="0020685A">
        <w:rPr>
          <w:rStyle w:val="Refdenotaalpie"/>
          <w:rFonts w:ascii="Arial" w:hAnsi="Arial" w:cs="Arial"/>
          <w:sz w:val="18"/>
          <w:szCs w:val="18"/>
        </w:rPr>
        <w:footnoteRef/>
      </w:r>
      <w:r w:rsidRPr="0020685A">
        <w:rPr>
          <w:rFonts w:ascii="Arial" w:hAnsi="Arial" w:cs="Arial"/>
          <w:sz w:val="18"/>
          <w:szCs w:val="18"/>
        </w:rPr>
        <w:t xml:space="preserve"> </w:t>
      </w:r>
      <w:r w:rsidRPr="0020685A">
        <w:rPr>
          <w:rFonts w:ascii="Arial" w:hAnsi="Arial" w:cs="Arial"/>
          <w:sz w:val="18"/>
          <w:szCs w:val="18"/>
          <w:lang w:val="es-MX"/>
        </w:rPr>
        <w:t>Se refiere a una vertiente de la metodología de costos incrementales promedio de largo plazo. Específicamente se refiere a los costos incrementales promedio</w:t>
      </w:r>
      <w:r w:rsidRPr="0020685A">
        <w:rPr>
          <w:rFonts w:ascii="Arial" w:hAnsi="Arial" w:cs="Arial"/>
          <w:sz w:val="18"/>
          <w:szCs w:val="22"/>
          <w:lang w:val="es-MX"/>
        </w:rPr>
        <w:t xml:space="preserve"> de largo plazo que incorporan costos comunes y compartidos</w:t>
      </w:r>
      <w:r w:rsidRPr="0020685A">
        <w:rPr>
          <w:rFonts w:ascii="Arial" w:hAnsi="Arial" w:cs="Arial"/>
          <w:sz w:val="18"/>
          <w:szCs w:val="18"/>
          <w:lang w:val="es-MX"/>
        </w:rPr>
        <w:t>.</w:t>
      </w:r>
    </w:p>
  </w:footnote>
  <w:footnote w:id="23">
    <w:p w14:paraId="1CC90EF4" w14:textId="60C41F55" w:rsidR="00ED4669" w:rsidRPr="0020685A" w:rsidRDefault="00ED4669" w:rsidP="0020685A">
      <w:pPr>
        <w:pStyle w:val="Textonotapie"/>
        <w:spacing w:line="276" w:lineRule="auto"/>
        <w:rPr>
          <w:rFonts w:ascii="Arial" w:hAnsi="Arial" w:cs="Arial"/>
          <w:sz w:val="18"/>
          <w:szCs w:val="18"/>
          <w:lang w:val="es-MX"/>
        </w:rPr>
      </w:pPr>
      <w:r w:rsidRPr="0020685A">
        <w:rPr>
          <w:rStyle w:val="Refdenotaalpie"/>
          <w:rFonts w:ascii="Arial" w:hAnsi="Arial" w:cs="Arial"/>
          <w:sz w:val="18"/>
          <w:szCs w:val="18"/>
        </w:rPr>
        <w:footnoteRef/>
      </w:r>
      <w:r w:rsidRPr="0020685A">
        <w:rPr>
          <w:rStyle w:val="Refdenotaalpie"/>
          <w:rFonts w:ascii="Arial" w:hAnsi="Arial" w:cs="Arial"/>
          <w:sz w:val="18"/>
          <w:szCs w:val="18"/>
        </w:rPr>
        <w:t xml:space="preserve"> </w:t>
      </w:r>
      <w:r w:rsidRPr="0020685A">
        <w:rPr>
          <w:rFonts w:ascii="Arial" w:hAnsi="Arial" w:cs="Arial"/>
          <w:sz w:val="18"/>
          <w:szCs w:val="18"/>
          <w:lang w:val="es-MX"/>
        </w:rPr>
        <w:t>CNMC (2023). Verificación contabilidad analítica y WACC. Disponible en: https://www.cnmc.es/sites/default/files/4525505.pdf</w:t>
      </w:r>
    </w:p>
  </w:footnote>
  <w:footnote w:id="24">
    <w:p w14:paraId="684F5851" w14:textId="0B497520" w:rsidR="00ED4669" w:rsidRPr="0020685A" w:rsidRDefault="00ED4669" w:rsidP="0020685A">
      <w:pPr>
        <w:pStyle w:val="Textonotapie"/>
        <w:spacing w:line="276" w:lineRule="auto"/>
        <w:rPr>
          <w:rFonts w:ascii="Arial" w:hAnsi="Arial" w:cs="Arial"/>
          <w:sz w:val="18"/>
          <w:szCs w:val="18"/>
          <w:lang w:val="es-MX"/>
        </w:rPr>
      </w:pPr>
      <w:r w:rsidRPr="0020685A">
        <w:rPr>
          <w:rStyle w:val="Refdenotaalpie"/>
          <w:rFonts w:ascii="Arial" w:hAnsi="Arial" w:cs="Arial"/>
          <w:sz w:val="18"/>
          <w:szCs w:val="18"/>
        </w:rPr>
        <w:footnoteRef/>
      </w:r>
      <w:r w:rsidRPr="0020685A">
        <w:rPr>
          <w:rFonts w:ascii="Arial" w:hAnsi="Arial" w:cs="Arial"/>
          <w:sz w:val="18"/>
          <w:szCs w:val="18"/>
          <w:lang w:val="en-US"/>
        </w:rPr>
        <w:t xml:space="preserve"> Bnetza (2016). Setting the Telecom WACC. </w:t>
      </w:r>
      <w:r w:rsidRPr="0020685A">
        <w:rPr>
          <w:rFonts w:ascii="Arial" w:hAnsi="Arial" w:cs="Arial"/>
          <w:sz w:val="18"/>
          <w:szCs w:val="18"/>
          <w:lang w:val="es-MX"/>
        </w:rPr>
        <w:t>Disponible en: https://www.bundesnetzagentur.de/SharedDocs/Downloads/EN/Areas/Telecommunications/Companies/MarketRegulation/CostOfCapital/study2016.pdf?__blob=publicationFile&amp;v=2</w:t>
      </w:r>
    </w:p>
  </w:footnote>
  <w:footnote w:id="25">
    <w:p w14:paraId="46FC05AD" w14:textId="60B26274" w:rsidR="00ED4669" w:rsidRPr="0020685A" w:rsidRDefault="00ED4669" w:rsidP="0020685A">
      <w:pPr>
        <w:pStyle w:val="Textonotapie"/>
        <w:spacing w:line="276" w:lineRule="auto"/>
        <w:rPr>
          <w:rFonts w:ascii="Arial" w:hAnsi="Arial" w:cs="Arial"/>
          <w:sz w:val="18"/>
          <w:szCs w:val="18"/>
          <w:lang w:val="es-MX"/>
        </w:rPr>
      </w:pPr>
      <w:r w:rsidRPr="0020685A">
        <w:rPr>
          <w:rStyle w:val="Refdenotaalpie"/>
          <w:rFonts w:ascii="Arial" w:hAnsi="Arial" w:cs="Arial"/>
          <w:sz w:val="18"/>
          <w:szCs w:val="18"/>
        </w:rPr>
        <w:footnoteRef/>
      </w:r>
      <w:r w:rsidRPr="0020685A">
        <w:rPr>
          <w:rFonts w:ascii="Arial" w:hAnsi="Arial" w:cs="Arial"/>
          <w:sz w:val="18"/>
          <w:szCs w:val="18"/>
          <w:lang w:val="es-MX"/>
        </w:rPr>
        <w:t xml:space="preserve"> AGCOM (2019). Il calcolo del costo medio ponderato del capitale (WACC). Disponible en: https://www.agcom.it/documents/10179/15564025/Allegato+8-8-2019+1565257778860/c95af003-2ac2-48aa-ab9c-1734c32585a7?version=1.0</w:t>
      </w:r>
    </w:p>
  </w:footnote>
  <w:footnote w:id="26">
    <w:p w14:paraId="7EE8FD37" w14:textId="28EB2807" w:rsidR="00ED4669" w:rsidRPr="0020685A" w:rsidRDefault="00ED4669" w:rsidP="0020685A">
      <w:pPr>
        <w:pStyle w:val="Textonotapie"/>
        <w:spacing w:line="276" w:lineRule="auto"/>
        <w:rPr>
          <w:rFonts w:ascii="Arial" w:hAnsi="Arial" w:cs="Arial"/>
          <w:sz w:val="18"/>
          <w:szCs w:val="18"/>
          <w:lang w:val="es-MX"/>
        </w:rPr>
      </w:pPr>
      <w:r w:rsidRPr="0020685A">
        <w:rPr>
          <w:rStyle w:val="Refdenotaalpie"/>
          <w:rFonts w:ascii="Arial" w:hAnsi="Arial" w:cs="Arial"/>
          <w:sz w:val="18"/>
          <w:szCs w:val="18"/>
        </w:rPr>
        <w:footnoteRef/>
      </w:r>
      <w:r w:rsidRPr="0020685A">
        <w:rPr>
          <w:rFonts w:ascii="Arial" w:hAnsi="Arial" w:cs="Arial"/>
          <w:sz w:val="18"/>
          <w:szCs w:val="18"/>
          <w:lang w:val="es-MX"/>
        </w:rPr>
        <w:t xml:space="preserve"> BEREC (2022). WACC parameters Report 2022. Disponible en: https://www.berec.europa.eu/sites/default/files/files/document_register_store/2022/6/BoR%20%2822%29%2070%20BEREC%20Report%20on%20WACC%20parameters%202022.pdf</w:t>
      </w:r>
    </w:p>
  </w:footnote>
  <w:footnote w:id="27">
    <w:p w14:paraId="4B47260F" w14:textId="6AFBD3EE" w:rsidR="00ED4669" w:rsidRPr="0020685A" w:rsidRDefault="00ED4669" w:rsidP="0020685A">
      <w:pPr>
        <w:pStyle w:val="Textonotapie"/>
        <w:spacing w:line="276" w:lineRule="auto"/>
        <w:rPr>
          <w:rFonts w:ascii="Arial" w:hAnsi="Arial" w:cs="Arial"/>
          <w:sz w:val="14"/>
          <w:szCs w:val="14"/>
          <w:lang w:val="es-MX"/>
        </w:rPr>
      </w:pPr>
      <w:r w:rsidRPr="0020685A">
        <w:rPr>
          <w:rStyle w:val="Refdenotaalpie"/>
          <w:rFonts w:ascii="Arial" w:hAnsi="Arial" w:cs="Arial"/>
          <w:sz w:val="18"/>
          <w:szCs w:val="18"/>
        </w:rPr>
        <w:footnoteRef/>
      </w:r>
      <w:r w:rsidRPr="0020685A">
        <w:rPr>
          <w:rFonts w:ascii="Arial" w:hAnsi="Arial" w:cs="Arial"/>
          <w:sz w:val="18"/>
          <w:szCs w:val="18"/>
          <w:lang w:val="es-MX"/>
        </w:rPr>
        <w:t xml:space="preserve"> Idealmente BBB/Baa3 o superior.</w:t>
      </w:r>
    </w:p>
  </w:footnote>
  <w:footnote w:id="28">
    <w:p w14:paraId="1E4E495E" w14:textId="4AD3842E" w:rsidR="00ED4669" w:rsidRPr="0020685A" w:rsidRDefault="00ED4669" w:rsidP="00F9614B">
      <w:pPr>
        <w:pStyle w:val="Textonotapie"/>
        <w:spacing w:line="276" w:lineRule="auto"/>
        <w:rPr>
          <w:rFonts w:ascii="Arial" w:hAnsi="Arial" w:cs="Arial"/>
        </w:rPr>
      </w:pPr>
      <w:r w:rsidRPr="0020685A">
        <w:rPr>
          <w:rStyle w:val="Refdenotaalpie"/>
          <w:rFonts w:ascii="Arial" w:hAnsi="Arial" w:cs="Arial"/>
          <w:sz w:val="18"/>
          <w:szCs w:val="18"/>
        </w:rPr>
        <w:footnoteRef/>
      </w:r>
      <w:r w:rsidRPr="0020685A">
        <w:rPr>
          <w:rStyle w:val="Refdenotaalpie"/>
          <w:rFonts w:ascii="Arial" w:hAnsi="Arial" w:cs="Arial"/>
          <w:sz w:val="18"/>
          <w:szCs w:val="18"/>
        </w:rPr>
        <w:t xml:space="preserve"> </w:t>
      </w:r>
      <w:r w:rsidRPr="0020685A">
        <w:rPr>
          <w:rFonts w:ascii="Arial" w:hAnsi="Arial" w:cs="Arial"/>
          <w:sz w:val="18"/>
          <w:szCs w:val="22"/>
          <w:lang w:val="es-MX"/>
        </w:rPr>
        <w:t>Estimada con datos de Damoradan para el caso específico de México.</w:t>
      </w:r>
    </w:p>
  </w:footnote>
  <w:footnote w:id="29">
    <w:p w14:paraId="3ACD24E6" w14:textId="7ADF7A2C" w:rsidR="00ED4669" w:rsidRPr="0020685A" w:rsidRDefault="00ED4669" w:rsidP="00F9614B">
      <w:pPr>
        <w:pStyle w:val="Textonotapie"/>
        <w:spacing w:line="276" w:lineRule="auto"/>
        <w:rPr>
          <w:rFonts w:ascii="Arial" w:hAnsi="Arial" w:cs="Arial"/>
        </w:rPr>
      </w:pPr>
      <w:r w:rsidRPr="0020685A">
        <w:rPr>
          <w:rStyle w:val="Refdenotaalpie"/>
          <w:rFonts w:ascii="Arial" w:hAnsi="Arial" w:cs="Arial"/>
          <w:sz w:val="18"/>
          <w:szCs w:val="18"/>
        </w:rPr>
        <w:footnoteRef/>
      </w:r>
      <w:r w:rsidRPr="0020685A">
        <w:rPr>
          <w:rFonts w:ascii="Arial" w:hAnsi="Arial" w:cs="Arial"/>
          <w:sz w:val="24"/>
          <w:szCs w:val="24"/>
        </w:rPr>
        <w:t xml:space="preserve"> </w:t>
      </w:r>
      <w:r w:rsidRPr="0020685A">
        <w:rPr>
          <w:rFonts w:ascii="Arial" w:hAnsi="Arial" w:cs="Arial"/>
          <w:spacing w:val="-4"/>
          <w:sz w:val="18"/>
          <w:szCs w:val="18"/>
        </w:rPr>
        <w:t>Para ello se usará información financiera que está públicamente disponible en el portal Tradingview.</w:t>
      </w:r>
    </w:p>
  </w:footnote>
  <w:footnote w:id="30">
    <w:p w14:paraId="6CB7212C" w14:textId="60D605B2" w:rsidR="00ED4669" w:rsidRPr="0020685A" w:rsidRDefault="00ED4669" w:rsidP="00F9614B">
      <w:pPr>
        <w:pStyle w:val="Textonotapie"/>
        <w:spacing w:line="276" w:lineRule="auto"/>
        <w:jc w:val="both"/>
        <w:rPr>
          <w:rFonts w:ascii="Arial" w:hAnsi="Arial" w:cs="Arial"/>
          <w:sz w:val="18"/>
          <w:szCs w:val="18"/>
          <w:lang w:val="es-MX"/>
        </w:rPr>
      </w:pPr>
      <w:r w:rsidRPr="0020685A">
        <w:rPr>
          <w:rFonts w:ascii="Arial" w:hAnsi="Arial" w:cs="Arial"/>
          <w:sz w:val="18"/>
          <w:szCs w:val="18"/>
          <w:vertAlign w:val="superscript"/>
          <w:lang w:val="es-MX"/>
        </w:rPr>
        <w:footnoteRef/>
      </w:r>
      <w:r w:rsidRPr="0020685A">
        <w:rPr>
          <w:rFonts w:ascii="Arial" w:hAnsi="Arial" w:cs="Arial"/>
          <w:sz w:val="18"/>
          <w:szCs w:val="18"/>
          <w:lang w:val="es-MX"/>
        </w:rPr>
        <w:t xml:space="preserve"> La experiencia ha demostrado que el uso del CCPP real es más transparente para construir modelos ascendentes de costos. Cualquier método utilizado necesitará un factor de inflación ya sea en la tendencia de los precios o en el CCPP.</w:t>
      </w:r>
    </w:p>
  </w:footnote>
  <w:footnote w:id="31">
    <w:p w14:paraId="48808334" w14:textId="1B2C00C3" w:rsidR="00ED4669" w:rsidRPr="0020685A" w:rsidRDefault="00ED4669" w:rsidP="00F9614B">
      <w:pPr>
        <w:pStyle w:val="Textonotapie"/>
        <w:spacing w:line="276" w:lineRule="auto"/>
        <w:jc w:val="both"/>
        <w:rPr>
          <w:rFonts w:ascii="Arial" w:hAnsi="Arial" w:cs="Arial"/>
          <w:sz w:val="18"/>
          <w:szCs w:val="18"/>
          <w:lang w:val="es-MX"/>
        </w:rPr>
      </w:pPr>
      <w:r w:rsidRPr="0020685A">
        <w:rPr>
          <w:rFonts w:ascii="Arial" w:hAnsi="Arial" w:cs="Arial"/>
          <w:sz w:val="18"/>
          <w:szCs w:val="18"/>
          <w:vertAlign w:val="superscript"/>
          <w:lang w:val="es-MX"/>
        </w:rPr>
        <w:footnoteRef/>
      </w:r>
      <w:r w:rsidRPr="0020685A">
        <w:rPr>
          <w:rFonts w:ascii="Arial" w:hAnsi="Arial" w:cs="Arial"/>
          <w:sz w:val="18"/>
          <w:szCs w:val="18"/>
          <w:lang w:val="es-MX"/>
        </w:rPr>
        <w:t xml:space="preserve"> La ecuación de Fisher expresa la relación entre el la tasa de interés real y la tasa de interés nominal.</w:t>
      </w:r>
    </w:p>
  </w:footnote>
  <w:footnote w:id="32">
    <w:p w14:paraId="6EE9251D" w14:textId="6C1098FE" w:rsidR="00ED4669" w:rsidRPr="0020685A" w:rsidRDefault="00ED4669" w:rsidP="00F9614B">
      <w:pPr>
        <w:pStyle w:val="Textonotapie"/>
        <w:spacing w:line="276" w:lineRule="auto"/>
        <w:jc w:val="both"/>
        <w:rPr>
          <w:rFonts w:ascii="Arial" w:hAnsi="Arial" w:cs="Arial"/>
          <w:sz w:val="14"/>
          <w:szCs w:val="14"/>
        </w:rPr>
      </w:pPr>
      <w:r w:rsidRPr="0020685A">
        <w:rPr>
          <w:rFonts w:ascii="Arial" w:hAnsi="Arial" w:cs="Arial"/>
          <w:sz w:val="18"/>
          <w:szCs w:val="18"/>
          <w:vertAlign w:val="superscript"/>
          <w:lang w:val="es-MX"/>
        </w:rPr>
        <w:footnoteRef/>
      </w:r>
      <w:r w:rsidRPr="0020685A">
        <w:rPr>
          <w:rFonts w:ascii="Arial" w:hAnsi="Arial" w:cs="Arial"/>
          <w:sz w:val="18"/>
          <w:szCs w:val="18"/>
          <w:lang w:val="es-MX"/>
        </w:rPr>
        <w:t xml:space="preserve"> Para mayor referencia sobre el desarrollo metodológico usado en los modelos de costos y cálculo del CCPP consultar</w:t>
      </w:r>
      <w:r>
        <w:rPr>
          <w:rFonts w:ascii="Arial" w:hAnsi="Arial" w:cs="Arial"/>
          <w:sz w:val="18"/>
          <w:szCs w:val="18"/>
          <w:lang w:val="es-MX"/>
        </w:rPr>
        <w:t xml:space="preserve"> </w:t>
      </w:r>
      <w:r w:rsidRPr="00222F92">
        <w:rPr>
          <w:rFonts w:ascii="Arial" w:hAnsi="Arial" w:cs="Arial"/>
          <w:sz w:val="18"/>
          <w:szCs w:val="18"/>
          <w:lang w:val="es-MX"/>
        </w:rPr>
        <w:t>http://www.ift.org.mx/politica-regulatoria/modelos-de-costos</w:t>
      </w:r>
    </w:p>
  </w:footnote>
  <w:footnote w:id="33">
    <w:p w14:paraId="7FEC2E72" w14:textId="77777777" w:rsidR="00413341" w:rsidRPr="007464DE" w:rsidRDefault="00413341" w:rsidP="00413341">
      <w:pPr>
        <w:pStyle w:val="Textonotapie"/>
        <w:jc w:val="both"/>
        <w:rPr>
          <w:rFonts w:ascii="Arial" w:hAnsi="Arial" w:cs="Arial"/>
          <w:lang w:val="es-MX"/>
        </w:rPr>
      </w:pPr>
      <w:r w:rsidRPr="007464DE">
        <w:rPr>
          <w:rStyle w:val="Refdenotaalpie"/>
          <w:rFonts w:ascii="Arial" w:hAnsi="Arial" w:cs="Arial"/>
          <w:sz w:val="18"/>
          <w:szCs w:val="18"/>
        </w:rPr>
        <w:footnoteRef/>
      </w:r>
      <w:r w:rsidRPr="007464DE">
        <w:rPr>
          <w:rFonts w:ascii="Arial" w:hAnsi="Arial" w:cs="Arial"/>
          <w:sz w:val="18"/>
          <w:szCs w:val="18"/>
        </w:rPr>
        <w:t xml:space="preserve"> </w:t>
      </w:r>
      <w:r w:rsidRPr="007464DE">
        <w:rPr>
          <w:rFonts w:ascii="Arial" w:hAnsi="Arial" w:cs="Arial"/>
          <w:sz w:val="18"/>
          <w:szCs w:val="18"/>
          <w:lang w:val="es-MX"/>
        </w:rPr>
        <w:t>ACUERDO 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sus usuarios por las llamadas que realicen a cualquier destino nacional a partir del 1 de enero de 2015, publicado el 24 de diciembre de 2014 en el DOF.</w:t>
      </w:r>
    </w:p>
  </w:footnote>
  <w:footnote w:id="34">
    <w:p w14:paraId="48B5322C" w14:textId="77777777" w:rsidR="00ED4669" w:rsidRPr="0020685A" w:rsidRDefault="00ED4669" w:rsidP="0020685A">
      <w:pPr>
        <w:pStyle w:val="Textonotapie"/>
        <w:spacing w:line="276" w:lineRule="auto"/>
        <w:jc w:val="both"/>
        <w:rPr>
          <w:rFonts w:ascii="Arial" w:hAnsi="Arial" w:cs="Arial"/>
          <w:sz w:val="18"/>
          <w:szCs w:val="18"/>
          <w:lang w:val="es-MX"/>
        </w:rPr>
      </w:pPr>
      <w:r w:rsidRPr="0020685A">
        <w:rPr>
          <w:rStyle w:val="Refdenotaalpie"/>
          <w:rFonts w:ascii="Arial" w:hAnsi="Arial" w:cs="Arial"/>
          <w:sz w:val="18"/>
          <w:szCs w:val="18"/>
        </w:rPr>
        <w:footnoteRef/>
      </w:r>
      <w:r w:rsidRPr="0020685A">
        <w:rPr>
          <w:rFonts w:ascii="Arial" w:hAnsi="Arial" w:cs="Arial"/>
          <w:sz w:val="18"/>
          <w:szCs w:val="18"/>
        </w:rPr>
        <w:t xml:space="preserve"> </w:t>
      </w:r>
      <w:r w:rsidRPr="0020685A">
        <w:rPr>
          <w:rFonts w:ascii="Arial" w:hAnsi="Arial" w:cs="Arial"/>
          <w:sz w:val="18"/>
          <w:szCs w:val="22"/>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35">
    <w:p w14:paraId="6A529E38" w14:textId="77777777" w:rsidR="00ED4669" w:rsidRPr="0020685A" w:rsidRDefault="00ED4669" w:rsidP="0020685A">
      <w:pPr>
        <w:pStyle w:val="Textonotapie"/>
        <w:spacing w:line="276" w:lineRule="auto"/>
        <w:jc w:val="both"/>
        <w:rPr>
          <w:rFonts w:ascii="Arial" w:hAnsi="Arial" w:cs="Arial"/>
          <w:sz w:val="18"/>
          <w:szCs w:val="18"/>
          <w:lang w:val="es-MX"/>
        </w:rPr>
      </w:pPr>
      <w:r w:rsidRPr="0020685A">
        <w:rPr>
          <w:rStyle w:val="Refdenotaalpie"/>
          <w:rFonts w:ascii="Arial" w:hAnsi="Arial" w:cs="Arial"/>
          <w:sz w:val="18"/>
          <w:szCs w:val="18"/>
        </w:rPr>
        <w:footnoteRef/>
      </w:r>
      <w:r w:rsidRPr="0020685A">
        <w:rPr>
          <w:rFonts w:ascii="Arial" w:hAnsi="Arial" w:cs="Arial"/>
          <w:sz w:val="18"/>
          <w:szCs w:val="18"/>
        </w:rPr>
        <w:t xml:space="preserve"> </w:t>
      </w:r>
      <w:r w:rsidRPr="0020685A">
        <w:rPr>
          <w:rFonts w:ascii="Arial" w:hAnsi="Arial" w:cs="Arial"/>
          <w:sz w:val="18"/>
          <w:szCs w:val="22"/>
          <w:lang w:val="es-MX"/>
        </w:rPr>
        <w:t>El suministro de aire acondicionado necesario para mantener las condiciones ambientales para la correcta operación de los equipos.</w:t>
      </w:r>
    </w:p>
  </w:footnote>
  <w:footnote w:id="36">
    <w:p w14:paraId="17BD38C9" w14:textId="52BDEA2A" w:rsidR="00ED4669" w:rsidRPr="0020685A" w:rsidRDefault="00ED4669" w:rsidP="0020685A">
      <w:pPr>
        <w:pStyle w:val="Textonotapie"/>
        <w:spacing w:line="276" w:lineRule="auto"/>
        <w:rPr>
          <w:rFonts w:ascii="Arial" w:hAnsi="Arial" w:cs="Arial"/>
          <w:sz w:val="18"/>
          <w:szCs w:val="18"/>
          <w:lang w:val="en-US"/>
        </w:rPr>
      </w:pPr>
      <w:r w:rsidRPr="0020685A">
        <w:rPr>
          <w:rStyle w:val="Refdenotaalpie"/>
          <w:rFonts w:ascii="Arial" w:hAnsi="Arial" w:cs="Arial"/>
          <w:sz w:val="18"/>
          <w:szCs w:val="22"/>
        </w:rPr>
        <w:footnoteRef/>
      </w:r>
      <w:r w:rsidRPr="0020685A">
        <w:rPr>
          <w:rFonts w:ascii="Arial" w:hAnsi="Arial" w:cs="Arial"/>
          <w:sz w:val="18"/>
          <w:szCs w:val="22"/>
          <w:lang w:val="en-US"/>
        </w:rPr>
        <w:t> IEEE Standard for Ethernet, 802.3-2022. </w:t>
      </w:r>
    </w:p>
  </w:footnote>
  <w:footnote w:id="37">
    <w:p w14:paraId="577521A3" w14:textId="77777777" w:rsidR="00ED4669" w:rsidRPr="0020685A" w:rsidRDefault="00ED4669" w:rsidP="0020685A">
      <w:pPr>
        <w:pStyle w:val="Textonotapie"/>
        <w:spacing w:line="276" w:lineRule="auto"/>
        <w:jc w:val="both"/>
        <w:rPr>
          <w:rFonts w:ascii="Arial" w:hAnsi="Arial" w:cs="Arial"/>
          <w:sz w:val="14"/>
          <w:szCs w:val="18"/>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3261, SIP: Session Initiation Protocol.</w:t>
      </w:r>
    </w:p>
  </w:footnote>
  <w:footnote w:id="38">
    <w:p w14:paraId="43984075" w14:textId="77777777" w:rsidR="00ED4669" w:rsidRPr="0020685A" w:rsidRDefault="00ED4669" w:rsidP="0020685A">
      <w:pPr>
        <w:pStyle w:val="Textonotapie"/>
        <w:spacing w:line="276" w:lineRule="auto"/>
        <w:jc w:val="both"/>
        <w:rPr>
          <w:rFonts w:ascii="Arial" w:hAnsi="Arial" w:cs="Arial"/>
          <w:sz w:val="18"/>
          <w:szCs w:val="22"/>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3311, The Session Initiation Protocol (SIP) UPDATE Method.</w:t>
      </w:r>
    </w:p>
  </w:footnote>
  <w:footnote w:id="39">
    <w:p w14:paraId="42EDA4F7" w14:textId="77777777" w:rsidR="00ED4669" w:rsidRPr="0020685A" w:rsidRDefault="00ED4669" w:rsidP="0020685A">
      <w:pPr>
        <w:pStyle w:val="Textonotapie"/>
        <w:spacing w:line="276" w:lineRule="auto"/>
        <w:jc w:val="both"/>
        <w:rPr>
          <w:rFonts w:ascii="Arial" w:hAnsi="Arial" w:cs="Arial"/>
          <w:sz w:val="14"/>
          <w:szCs w:val="14"/>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3262, Reliability of Provisional Responses in the Session Initiation Protocol (SIP).</w:t>
      </w:r>
    </w:p>
  </w:footnote>
  <w:footnote w:id="40">
    <w:p w14:paraId="31DE771E" w14:textId="77777777" w:rsidR="00ED4669" w:rsidRPr="0020685A" w:rsidRDefault="00ED4669" w:rsidP="0020685A">
      <w:pPr>
        <w:pStyle w:val="Textonotapie"/>
        <w:spacing w:line="276" w:lineRule="auto"/>
        <w:jc w:val="both"/>
        <w:rPr>
          <w:rFonts w:ascii="Arial" w:hAnsi="Arial" w:cs="Arial"/>
          <w:sz w:val="18"/>
          <w:szCs w:val="18"/>
          <w:lang w:val="en-GB"/>
        </w:rPr>
      </w:pPr>
      <w:r w:rsidRPr="0020685A">
        <w:rPr>
          <w:rStyle w:val="Refdenotaalpie"/>
          <w:rFonts w:ascii="Arial" w:hAnsi="Arial" w:cs="Arial"/>
          <w:sz w:val="18"/>
          <w:szCs w:val="18"/>
        </w:rPr>
        <w:footnoteRef/>
      </w:r>
      <w:r w:rsidRPr="0020685A">
        <w:rPr>
          <w:rFonts w:ascii="Arial" w:hAnsi="Arial" w:cs="Arial"/>
          <w:sz w:val="18"/>
          <w:szCs w:val="18"/>
          <w:lang w:val="en-GB"/>
        </w:rPr>
        <w:t xml:space="preserve"> IETF RFC 4028, Session Timers in the Session Initiation Protocol (SIP).</w:t>
      </w:r>
    </w:p>
  </w:footnote>
  <w:footnote w:id="41">
    <w:p w14:paraId="3E8C7624" w14:textId="77777777" w:rsidR="00ED4669" w:rsidRPr="0020685A" w:rsidRDefault="00ED4669" w:rsidP="0020685A">
      <w:pPr>
        <w:spacing w:after="0"/>
        <w:jc w:val="both"/>
        <w:rPr>
          <w:rFonts w:ascii="Arial" w:hAnsi="Arial" w:cs="Arial"/>
          <w:sz w:val="18"/>
          <w:szCs w:val="18"/>
          <w:lang w:val="en-GB"/>
        </w:rPr>
      </w:pPr>
      <w:r w:rsidRPr="0020685A">
        <w:rPr>
          <w:rStyle w:val="Refdenotaalpie"/>
          <w:rFonts w:ascii="Arial" w:hAnsi="Arial" w:cs="Arial"/>
          <w:sz w:val="18"/>
          <w:szCs w:val="18"/>
        </w:rPr>
        <w:footnoteRef/>
      </w:r>
      <w:r w:rsidRPr="0020685A">
        <w:rPr>
          <w:rFonts w:ascii="Arial" w:hAnsi="Arial" w:cs="Arial"/>
          <w:sz w:val="18"/>
          <w:szCs w:val="18"/>
          <w:lang w:val="en-GB"/>
        </w:rPr>
        <w:t xml:space="preserve"> </w:t>
      </w:r>
      <w:r w:rsidRPr="0020685A">
        <w:rPr>
          <w:rFonts w:ascii="Arial" w:eastAsia="Times New Roman" w:hAnsi="Arial" w:cs="Arial"/>
          <w:sz w:val="18"/>
          <w:szCs w:val="18"/>
          <w:lang w:val="en-GB" w:eastAsia="es-ES"/>
        </w:rPr>
        <w:t>IETF RFC 3323, A Privacy Mechanism for the Session Initiation Protocol (SIP).</w:t>
      </w:r>
    </w:p>
  </w:footnote>
  <w:footnote w:id="42">
    <w:p w14:paraId="2D9D1E6B" w14:textId="77777777" w:rsidR="00ED4669" w:rsidRPr="0020685A" w:rsidRDefault="00ED4669" w:rsidP="0020685A">
      <w:pPr>
        <w:pStyle w:val="Textonotapie"/>
        <w:spacing w:line="276" w:lineRule="auto"/>
        <w:jc w:val="both"/>
        <w:rPr>
          <w:rFonts w:ascii="Arial" w:hAnsi="Arial" w:cs="Arial"/>
          <w:sz w:val="18"/>
          <w:szCs w:val="18"/>
          <w:lang w:val="en-GB"/>
        </w:rPr>
      </w:pPr>
      <w:r w:rsidRPr="0020685A">
        <w:rPr>
          <w:rStyle w:val="Refdenotaalpie"/>
          <w:rFonts w:ascii="Arial" w:hAnsi="Arial" w:cs="Arial"/>
          <w:sz w:val="18"/>
          <w:szCs w:val="18"/>
        </w:rPr>
        <w:footnoteRef/>
      </w:r>
      <w:r w:rsidRPr="0020685A">
        <w:rPr>
          <w:rFonts w:ascii="Arial" w:hAnsi="Arial" w:cs="Arial"/>
          <w:sz w:val="18"/>
          <w:szCs w:val="18"/>
          <w:lang w:val="en-GB"/>
        </w:rPr>
        <w:t xml:space="preserve"> IETF RFC 3326, The Reason Header Fiel for the Session Initiation Protocol (SIP).</w:t>
      </w:r>
    </w:p>
  </w:footnote>
  <w:footnote w:id="43">
    <w:p w14:paraId="7FA4B274" w14:textId="77777777" w:rsidR="00ED4669" w:rsidRPr="0020685A" w:rsidRDefault="00ED4669" w:rsidP="0020685A">
      <w:pPr>
        <w:pStyle w:val="Textonotapie"/>
        <w:spacing w:line="276" w:lineRule="auto"/>
        <w:jc w:val="both"/>
        <w:rPr>
          <w:rFonts w:ascii="Arial" w:hAnsi="Arial" w:cs="Arial"/>
          <w:sz w:val="18"/>
          <w:szCs w:val="18"/>
          <w:lang w:val="en-GB"/>
        </w:rPr>
      </w:pPr>
      <w:r w:rsidRPr="0020685A">
        <w:rPr>
          <w:rStyle w:val="Refdenotaalpie"/>
          <w:rFonts w:ascii="Arial" w:hAnsi="Arial" w:cs="Arial"/>
          <w:sz w:val="18"/>
          <w:szCs w:val="18"/>
        </w:rPr>
        <w:footnoteRef/>
      </w:r>
      <w:r w:rsidRPr="0020685A">
        <w:rPr>
          <w:rFonts w:ascii="Arial" w:hAnsi="Arial" w:cs="Arial"/>
          <w:sz w:val="18"/>
          <w:szCs w:val="18"/>
          <w:lang w:val="en-GB"/>
        </w:rPr>
        <w:t xml:space="preserve"> IETF RFC 3325, Private Extensions to the Session Initiaton Protocol (SIP) for Asserted Identity within Trusted Networks.</w:t>
      </w:r>
    </w:p>
  </w:footnote>
  <w:footnote w:id="44">
    <w:p w14:paraId="6C5F0632" w14:textId="77777777" w:rsidR="00ED4669" w:rsidRPr="0020685A" w:rsidRDefault="00ED4669" w:rsidP="0020685A">
      <w:pPr>
        <w:pStyle w:val="Textonotapie"/>
        <w:spacing w:line="276" w:lineRule="auto"/>
        <w:jc w:val="both"/>
        <w:rPr>
          <w:rFonts w:ascii="Arial" w:hAnsi="Arial" w:cs="Arial"/>
          <w:b/>
          <w:sz w:val="14"/>
          <w:szCs w:val="18"/>
          <w:lang w:val="en-GB"/>
        </w:rPr>
      </w:pPr>
      <w:r w:rsidRPr="0020685A">
        <w:rPr>
          <w:rStyle w:val="Refdenotaalpie"/>
          <w:rFonts w:ascii="Arial" w:hAnsi="Arial" w:cs="Arial"/>
          <w:sz w:val="18"/>
          <w:szCs w:val="18"/>
        </w:rPr>
        <w:footnoteRef/>
      </w:r>
      <w:r w:rsidRPr="0020685A">
        <w:rPr>
          <w:rStyle w:val="Refdenotaalpie"/>
          <w:rFonts w:ascii="Arial" w:hAnsi="Arial" w:cs="Arial"/>
          <w:sz w:val="18"/>
          <w:szCs w:val="18"/>
        </w:rPr>
        <w:t xml:space="preserve"> </w:t>
      </w:r>
      <w:r w:rsidRPr="0020685A">
        <w:rPr>
          <w:rStyle w:val="Refdenotaalpie"/>
          <w:rFonts w:ascii="Arial" w:hAnsi="Arial" w:cs="Arial"/>
          <w:sz w:val="18"/>
          <w:szCs w:val="18"/>
          <w:vertAlign w:val="baseline"/>
        </w:rPr>
        <w:t>IETF RFC 5009, Private Header (P-Header) Extension to the Session Initiation Protocol (SIP) for Authorization of Early Media.</w:t>
      </w:r>
    </w:p>
  </w:footnote>
  <w:footnote w:id="45">
    <w:p w14:paraId="147DA853" w14:textId="77777777" w:rsidR="00ED4669" w:rsidRPr="0020685A" w:rsidRDefault="00ED4669" w:rsidP="0020685A">
      <w:pPr>
        <w:pStyle w:val="Textonotapie"/>
        <w:spacing w:line="276" w:lineRule="auto"/>
        <w:jc w:val="both"/>
        <w:rPr>
          <w:rFonts w:ascii="Arial" w:hAnsi="Arial" w:cs="Arial"/>
          <w:sz w:val="18"/>
          <w:szCs w:val="18"/>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4566, SDP: Session Description Protocol.</w:t>
      </w:r>
    </w:p>
  </w:footnote>
  <w:footnote w:id="46">
    <w:p w14:paraId="33AF2AE1" w14:textId="77777777" w:rsidR="00ED4669" w:rsidRPr="0020685A" w:rsidRDefault="00ED4669" w:rsidP="0020685A">
      <w:pPr>
        <w:pStyle w:val="Textonotapie"/>
        <w:spacing w:line="276" w:lineRule="auto"/>
        <w:jc w:val="both"/>
        <w:rPr>
          <w:rFonts w:ascii="Arial" w:hAnsi="Arial" w:cs="Arial"/>
          <w:sz w:val="14"/>
          <w:szCs w:val="18"/>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3551, RTP Profile for Audio and Video Conferences with Minimal Control.</w:t>
      </w:r>
    </w:p>
  </w:footnote>
  <w:footnote w:id="47">
    <w:p w14:paraId="620CD274" w14:textId="77777777" w:rsidR="00ED4669" w:rsidRPr="0020685A" w:rsidRDefault="00ED4669" w:rsidP="0020685A">
      <w:pPr>
        <w:pStyle w:val="Textonotapie"/>
        <w:spacing w:line="276" w:lineRule="auto"/>
        <w:jc w:val="both"/>
        <w:rPr>
          <w:rFonts w:ascii="Arial" w:hAnsi="Arial" w:cs="Arial"/>
          <w:sz w:val="18"/>
          <w:szCs w:val="18"/>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3264, An Offer/Answer Model with the Session Description Protocol (SDP).</w:t>
      </w:r>
    </w:p>
  </w:footnote>
  <w:footnote w:id="48">
    <w:p w14:paraId="20F28861" w14:textId="77777777" w:rsidR="00ED4669" w:rsidRPr="0020685A" w:rsidRDefault="00ED4669" w:rsidP="0020685A">
      <w:pPr>
        <w:pStyle w:val="Textonotapie"/>
        <w:spacing w:line="276" w:lineRule="auto"/>
        <w:jc w:val="both"/>
        <w:rPr>
          <w:rFonts w:ascii="Arial" w:hAnsi="Arial" w:cs="Arial"/>
          <w:sz w:val="14"/>
          <w:szCs w:val="18"/>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3960, Early Media and Ringing Tone Generation in the Session Initiation Protocol (SIP</w:t>
      </w:r>
      <w:r w:rsidRPr="0020685A">
        <w:rPr>
          <w:rFonts w:ascii="Arial" w:hAnsi="Arial" w:cs="Arial"/>
          <w:i/>
          <w:sz w:val="18"/>
          <w:szCs w:val="22"/>
          <w:lang w:val="en-GB"/>
        </w:rPr>
        <w:t>).</w:t>
      </w:r>
    </w:p>
  </w:footnote>
  <w:footnote w:id="49">
    <w:p w14:paraId="1366BBB8" w14:textId="77777777" w:rsidR="00ED4669" w:rsidRPr="0020685A" w:rsidRDefault="00ED4669" w:rsidP="0020685A">
      <w:pPr>
        <w:pStyle w:val="Textonotapie"/>
        <w:spacing w:line="276" w:lineRule="auto"/>
        <w:jc w:val="both"/>
        <w:rPr>
          <w:rFonts w:ascii="Arial" w:hAnsi="Arial" w:cs="Arial"/>
          <w:sz w:val="18"/>
          <w:szCs w:val="22"/>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4734, Definition of Events for Modem, Fax, and Text Telephony Signals.</w:t>
      </w:r>
    </w:p>
  </w:footnote>
  <w:footnote w:id="50">
    <w:p w14:paraId="673C4A72" w14:textId="77777777" w:rsidR="00ED4669" w:rsidRPr="0020685A" w:rsidRDefault="00ED4669" w:rsidP="0020685A">
      <w:pPr>
        <w:pStyle w:val="Textonotapie"/>
        <w:spacing w:line="276" w:lineRule="auto"/>
        <w:jc w:val="both"/>
        <w:rPr>
          <w:rFonts w:ascii="Arial" w:hAnsi="Arial" w:cs="Arial"/>
          <w:sz w:val="16"/>
          <w:szCs w:val="16"/>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4733, RTP Payload for DTMF Digits, Telephony Tones, and Telephony Signals.</w:t>
      </w:r>
    </w:p>
  </w:footnote>
  <w:footnote w:id="51">
    <w:p w14:paraId="0F00F7FF" w14:textId="77777777" w:rsidR="00ED4669" w:rsidRPr="0020685A" w:rsidRDefault="00ED4669" w:rsidP="0020685A">
      <w:pPr>
        <w:pStyle w:val="Textonotapie"/>
        <w:spacing w:line="276" w:lineRule="auto"/>
        <w:jc w:val="both"/>
        <w:rPr>
          <w:rFonts w:ascii="Arial" w:hAnsi="Arial" w:cs="Arial"/>
          <w:sz w:val="18"/>
          <w:szCs w:val="22"/>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ETF RFC 768, User Datagram Protocol.</w:t>
      </w:r>
    </w:p>
  </w:footnote>
  <w:footnote w:id="52">
    <w:p w14:paraId="3336996D" w14:textId="77777777" w:rsidR="00ED4669" w:rsidRPr="0020685A" w:rsidRDefault="00ED4669" w:rsidP="0020685A">
      <w:pPr>
        <w:pStyle w:val="Textonotapie"/>
        <w:spacing w:line="276" w:lineRule="auto"/>
        <w:jc w:val="both"/>
        <w:rPr>
          <w:rFonts w:ascii="Arial" w:hAnsi="Arial" w:cs="Arial"/>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3550, RTP: A Transport Protocol for Real-Time Applications.</w:t>
      </w:r>
    </w:p>
  </w:footnote>
  <w:footnote w:id="53">
    <w:p w14:paraId="50A8AF62" w14:textId="77777777" w:rsidR="00ED4669" w:rsidRPr="0020685A" w:rsidRDefault="00ED4669" w:rsidP="0020685A">
      <w:pPr>
        <w:pStyle w:val="Textonotapie"/>
        <w:spacing w:line="276" w:lineRule="auto"/>
        <w:jc w:val="both"/>
        <w:rPr>
          <w:rFonts w:ascii="Arial" w:hAnsi="Arial" w:cs="Arial"/>
          <w:sz w:val="14"/>
          <w:szCs w:val="18"/>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ITU E.164, The international public telecommunication numbering plan.</w:t>
      </w:r>
    </w:p>
  </w:footnote>
  <w:footnote w:id="54">
    <w:p w14:paraId="725D12B2" w14:textId="77777777" w:rsidR="00ED4669" w:rsidRPr="0020685A" w:rsidRDefault="00ED4669" w:rsidP="0020685A">
      <w:pPr>
        <w:pStyle w:val="Textonotapie"/>
        <w:spacing w:line="276" w:lineRule="auto"/>
        <w:jc w:val="both"/>
        <w:rPr>
          <w:rFonts w:ascii="Arial" w:hAnsi="Arial" w:cs="Arial"/>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3966, The tel URI for Telephone Numbers.</w:t>
      </w:r>
    </w:p>
  </w:footnote>
  <w:footnote w:id="55">
    <w:p w14:paraId="77A33D88" w14:textId="77777777" w:rsidR="00ED4669" w:rsidRPr="0020685A" w:rsidRDefault="00ED4669" w:rsidP="0020685A">
      <w:pPr>
        <w:pStyle w:val="Textonotapie"/>
        <w:spacing w:line="276" w:lineRule="auto"/>
        <w:jc w:val="both"/>
        <w:rPr>
          <w:rFonts w:ascii="Arial" w:hAnsi="Arial" w:cs="Arial"/>
          <w:sz w:val="18"/>
          <w:szCs w:val="18"/>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4694, Number Portability Parameters for the tel URI.</w:t>
      </w:r>
    </w:p>
  </w:footnote>
  <w:footnote w:id="56">
    <w:p w14:paraId="4C7C88CF" w14:textId="77777777" w:rsidR="00ED4669" w:rsidRPr="0020685A" w:rsidRDefault="00ED4669" w:rsidP="0020685A">
      <w:pPr>
        <w:pStyle w:val="Textonotapie"/>
        <w:spacing w:line="276" w:lineRule="auto"/>
        <w:jc w:val="both"/>
        <w:rPr>
          <w:rFonts w:ascii="Arial" w:hAnsi="Arial" w:cs="Arial"/>
          <w:sz w:val="18"/>
          <w:szCs w:val="22"/>
        </w:rPr>
      </w:pPr>
      <w:r w:rsidRPr="0020685A">
        <w:rPr>
          <w:rStyle w:val="Refdenotaalpie"/>
          <w:rFonts w:ascii="Arial" w:hAnsi="Arial" w:cs="Arial"/>
          <w:sz w:val="18"/>
          <w:szCs w:val="22"/>
        </w:rPr>
        <w:footnoteRef/>
      </w:r>
      <w:r w:rsidRPr="0020685A">
        <w:rPr>
          <w:rFonts w:ascii="Arial" w:hAnsi="Arial" w:cs="Arial"/>
          <w:sz w:val="18"/>
          <w:szCs w:val="22"/>
        </w:rPr>
        <w:t xml:space="preserve"> Las respuestas temporales, indican que el servidor contactado está realizando una cierta acción y todavía no tiene una respuesta definitiva. </w:t>
      </w:r>
    </w:p>
  </w:footnote>
  <w:footnote w:id="57">
    <w:p w14:paraId="60995785" w14:textId="77777777" w:rsidR="00ED4669" w:rsidRPr="0020685A" w:rsidRDefault="00ED4669" w:rsidP="0020685A">
      <w:pPr>
        <w:pStyle w:val="Textonotapie"/>
        <w:spacing w:line="276" w:lineRule="auto"/>
        <w:jc w:val="both"/>
        <w:rPr>
          <w:rFonts w:ascii="Arial" w:hAnsi="Arial" w:cs="Arial"/>
          <w:sz w:val="18"/>
          <w:szCs w:val="22"/>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IETF RFC 5359, Session Initiation Protocol Service Examples.</w:t>
      </w:r>
    </w:p>
  </w:footnote>
  <w:footnote w:id="58">
    <w:p w14:paraId="75BF7FDA" w14:textId="77777777" w:rsidR="00ED4669" w:rsidRPr="0020685A" w:rsidRDefault="00ED4669" w:rsidP="0020685A">
      <w:pPr>
        <w:pStyle w:val="Textonotapie"/>
        <w:spacing w:line="276" w:lineRule="auto"/>
        <w:jc w:val="both"/>
        <w:rPr>
          <w:rFonts w:ascii="Arial" w:hAnsi="Arial" w:cs="Arial"/>
          <w:sz w:val="18"/>
          <w:szCs w:val="22"/>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Conforme a la recomendación 3261.  </w:t>
      </w:r>
    </w:p>
  </w:footnote>
  <w:footnote w:id="59">
    <w:p w14:paraId="4E98B5AC" w14:textId="77777777" w:rsidR="00ED4669" w:rsidRPr="0020685A" w:rsidRDefault="00ED4669" w:rsidP="0020685A">
      <w:pPr>
        <w:pStyle w:val="Textonotapie"/>
        <w:spacing w:line="276" w:lineRule="auto"/>
        <w:jc w:val="both"/>
        <w:rPr>
          <w:rFonts w:ascii="Arial" w:hAnsi="Arial" w:cs="Arial"/>
          <w:sz w:val="18"/>
          <w:szCs w:val="22"/>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ITU Y.1540, Internet protocol data communication service – IP packet transfer and availability performance parameters.</w:t>
      </w:r>
    </w:p>
  </w:footnote>
  <w:footnote w:id="60">
    <w:p w14:paraId="537E5B7A" w14:textId="77777777" w:rsidR="00ED4669" w:rsidRPr="0020685A" w:rsidRDefault="00ED4669" w:rsidP="0020685A">
      <w:pPr>
        <w:pStyle w:val="Textonotapie"/>
        <w:spacing w:line="276" w:lineRule="auto"/>
        <w:jc w:val="both"/>
        <w:rPr>
          <w:rFonts w:ascii="Arial" w:hAnsi="Arial" w:cs="Arial"/>
          <w:sz w:val="18"/>
          <w:szCs w:val="22"/>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ITU Y.1541, Network performance objectives for IP-based services.</w:t>
      </w:r>
    </w:p>
  </w:footnote>
  <w:footnote w:id="61">
    <w:p w14:paraId="318848EA" w14:textId="77777777" w:rsidR="00ED4669" w:rsidRPr="0020685A" w:rsidRDefault="00ED4669" w:rsidP="0020685A">
      <w:pPr>
        <w:pStyle w:val="Textonotapie"/>
        <w:spacing w:line="276" w:lineRule="auto"/>
        <w:jc w:val="both"/>
        <w:rPr>
          <w:rFonts w:ascii="Arial" w:hAnsi="Arial" w:cs="Arial"/>
          <w:sz w:val="16"/>
          <w:szCs w:val="16"/>
          <w:lang w:val="en-GB"/>
        </w:rPr>
      </w:pPr>
      <w:r w:rsidRPr="0020685A">
        <w:rPr>
          <w:rStyle w:val="Refdenotaalpie"/>
          <w:rFonts w:ascii="Arial" w:hAnsi="Arial" w:cs="Arial"/>
          <w:sz w:val="18"/>
          <w:szCs w:val="22"/>
        </w:rPr>
        <w:footnoteRef/>
      </w:r>
      <w:r w:rsidRPr="0020685A">
        <w:rPr>
          <w:rFonts w:ascii="Arial" w:hAnsi="Arial" w:cs="Arial"/>
          <w:sz w:val="18"/>
          <w:szCs w:val="22"/>
          <w:lang w:val="en-GB"/>
        </w:rPr>
        <w:t xml:space="preserve"> RFC 4594, Configuration Guidelines for DiffServ Service Classes.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2E3A4" w14:textId="626FD470" w:rsidR="005C1057" w:rsidRDefault="005C1057">
    <w:pPr>
      <w:pStyle w:val="Encabezado"/>
    </w:pPr>
    <w:r>
      <w:rPr>
        <w:noProof/>
      </w:rPr>
      <w:pict w14:anchorId="0E72BA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949969" o:spid="_x0000_s2051" type="#_x0000_t136" style="position:absolute;margin-left:0;margin-top:0;width:482.15pt;height:180.8pt;rotation:315;z-index:-251655168;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F5DC" w14:textId="33EA4BDA" w:rsidR="00ED4669" w:rsidRDefault="005C1057">
    <w:pPr>
      <w:pStyle w:val="Encabezado"/>
    </w:pPr>
    <w:r>
      <w:rPr>
        <w:noProof/>
      </w:rPr>
      <w:pict w14:anchorId="44502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53" type="#_x0000_t75" alt="hoja membretada s dir-01" style="position:absolute;margin-left:-74pt;margin-top:-116.05pt;width:612pt;height:808pt;z-index:-251652096;visibility:visible;mso-wrap-edited:f;mso-position-horizontal-relative:margin;mso-position-vertical-relative:margin" o:allowincell="f">
          <v:imagedata r:id="rId1" o:title="hoja membretada s dir-01"/>
          <w10:wrap anchorx="margin" anchory="margin"/>
        </v:shape>
      </w:pict>
    </w:r>
    <w:r>
      <w:rPr>
        <w:noProof/>
      </w:rPr>
      <w:pict w14:anchorId="1D756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949970" o:spid="_x0000_s2052" type="#_x0000_t136" style="position:absolute;margin-left:0;margin-top:0;width:482.15pt;height:180.8pt;rotation:315;z-index:-251653120;mso-position-horizontal:center;mso-position-horizontal-relative:margin;mso-position-vertical:center;mso-position-vertical-relative:margin" o:allowincell="f" fillcolor="silver" stroked="f">
          <v:fill opacity=".5"/>
          <v:textpath style="font-family:&quot;Calibri Light&quot;;font-size:1pt" string="Proyecto"/>
        </v:shape>
      </w:pict>
    </w:r>
  </w:p>
  <w:p w14:paraId="604F84BF" w14:textId="77777777" w:rsidR="00ED4669" w:rsidRDefault="00ED46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B59D7" w14:textId="4028BDB1" w:rsidR="005C1057" w:rsidRDefault="005C1057">
    <w:pPr>
      <w:pStyle w:val="Encabezado"/>
    </w:pPr>
    <w:r>
      <w:rPr>
        <w:noProof/>
      </w:rPr>
      <w:pict w14:anchorId="5D988B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949968" o:spid="_x0000_s2050" type="#_x0000_t136" style="position:absolute;margin-left:0;margin-top:0;width:482.15pt;height:180.8pt;rotation:315;z-index:-251657216;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B3648B"/>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3CE2BFF"/>
    <w:multiLevelType w:val="hybridMultilevel"/>
    <w:tmpl w:val="2AAC8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7" w15:restartNumberingAfterBreak="0">
    <w:nsid w:val="054E1FF2"/>
    <w:multiLevelType w:val="hybridMultilevel"/>
    <w:tmpl w:val="5B064814"/>
    <w:lvl w:ilvl="0" w:tplc="080A0017">
      <w:start w:val="1"/>
      <w:numFmt w:val="lowerLetter"/>
      <w:lvlText w:val="%1)"/>
      <w:lvlJc w:val="left"/>
      <w:pPr>
        <w:ind w:left="1069" w:hanging="360"/>
      </w:pPr>
      <w:rPr>
        <w:rFonts w:eastAsia="Times New Roman"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09024F66"/>
    <w:multiLevelType w:val="hybridMultilevel"/>
    <w:tmpl w:val="7E76E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3A172E"/>
    <w:multiLevelType w:val="hybridMultilevel"/>
    <w:tmpl w:val="05C81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D802BC"/>
    <w:multiLevelType w:val="hybridMultilevel"/>
    <w:tmpl w:val="72B8566E"/>
    <w:lvl w:ilvl="0" w:tplc="2C82E956">
      <w:start w:val="1"/>
      <w:numFmt w:val="lowerLetter"/>
      <w:lvlText w:val="%1)"/>
      <w:lvlJc w:val="left"/>
      <w:pPr>
        <w:ind w:left="1069" w:hanging="360"/>
      </w:pPr>
      <w:rPr>
        <w:rFonts w:eastAsia="Times New Roman"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14D31ECF"/>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B57810"/>
    <w:multiLevelType w:val="hybridMultilevel"/>
    <w:tmpl w:val="DEAABA0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6"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3C7F99"/>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897134"/>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21" w15:restartNumberingAfterBreak="0">
    <w:nsid w:val="1D993CEE"/>
    <w:multiLevelType w:val="hybridMultilevel"/>
    <w:tmpl w:val="8A72D21A"/>
    <w:lvl w:ilvl="0" w:tplc="7AB85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3" w15:restartNumberingAfterBreak="0">
    <w:nsid w:val="2417345B"/>
    <w:multiLevelType w:val="hybridMultilevel"/>
    <w:tmpl w:val="9B9AD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5" w15:restartNumberingAfterBreak="0">
    <w:nsid w:val="25625CBD"/>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7"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D24052A"/>
    <w:multiLevelType w:val="hybridMultilevel"/>
    <w:tmpl w:val="B93CA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4" w15:restartNumberingAfterBreak="0">
    <w:nsid w:val="31B234BC"/>
    <w:multiLevelType w:val="hybridMultilevel"/>
    <w:tmpl w:val="95D465B0"/>
    <w:lvl w:ilvl="0" w:tplc="549AF3CC">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36" w15:restartNumberingAfterBreak="0">
    <w:nsid w:val="353E4DEE"/>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3B0F7CBD"/>
    <w:multiLevelType w:val="hybridMultilevel"/>
    <w:tmpl w:val="582E4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B97447F"/>
    <w:multiLevelType w:val="multilevel"/>
    <w:tmpl w:val="F3C0D79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18"/>
        <w:szCs w:val="18"/>
      </w:rPr>
    </w:lvl>
    <w:lvl w:ilvl="2">
      <w:start w:val="1"/>
      <w:numFmt w:val="decimal"/>
      <w:isLgl/>
      <w:lvlText w:val="%1.%2.%3"/>
      <w:lvlJc w:val="left"/>
      <w:pPr>
        <w:ind w:left="1080" w:hanging="720"/>
      </w:pPr>
      <w:rPr>
        <w:rFonts w:cs="Times New Roman" w:hint="default"/>
        <w:sz w:val="18"/>
        <w:szCs w:val="18"/>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40" w15:restartNumberingAfterBreak="0">
    <w:nsid w:val="3D634D34"/>
    <w:multiLevelType w:val="hybridMultilevel"/>
    <w:tmpl w:val="FA0C5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E237D8C"/>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44"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5C724C5"/>
    <w:multiLevelType w:val="hybridMultilevel"/>
    <w:tmpl w:val="06BCD954"/>
    <w:lvl w:ilvl="0" w:tplc="B492CDA0">
      <w:start w:val="1"/>
      <w:numFmt w:val="bullet"/>
      <w:lvlText w:val=""/>
      <w:lvlJc w:val="left"/>
      <w:pPr>
        <w:ind w:left="927" w:hanging="927"/>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6"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FAB224E"/>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9"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54E64B1D"/>
    <w:multiLevelType w:val="multilevel"/>
    <w:tmpl w:val="36E0A524"/>
    <w:lvl w:ilvl="0">
      <w:start w:val="1"/>
      <w:numFmt w:val="lowerLetter"/>
      <w:lvlText w:val="%1)"/>
      <w:lvlJc w:val="left"/>
      <w:pPr>
        <w:tabs>
          <w:tab w:val="num" w:pos="1287"/>
        </w:tabs>
        <w:ind w:left="1287"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2"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B1204A3"/>
    <w:multiLevelType w:val="hybridMultilevel"/>
    <w:tmpl w:val="08448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57"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1E7F77"/>
    <w:multiLevelType w:val="hybridMultilevel"/>
    <w:tmpl w:val="AAA03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751627C"/>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9483A8C"/>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C7B7626"/>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66"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3A263BC"/>
    <w:multiLevelType w:val="hybridMultilevel"/>
    <w:tmpl w:val="36E8D8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71" w15:restartNumberingAfterBreak="0">
    <w:nsid w:val="77BE0127"/>
    <w:multiLevelType w:val="hybridMultilevel"/>
    <w:tmpl w:val="A2508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3"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4"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6"/>
  </w:num>
  <w:num w:numId="2">
    <w:abstractNumId w:val="33"/>
  </w:num>
  <w:num w:numId="3">
    <w:abstractNumId w:val="56"/>
  </w:num>
  <w:num w:numId="4">
    <w:abstractNumId w:val="0"/>
  </w:num>
  <w:num w:numId="5">
    <w:abstractNumId w:val="1"/>
  </w:num>
  <w:num w:numId="6">
    <w:abstractNumId w:val="44"/>
  </w:num>
  <w:num w:numId="7">
    <w:abstractNumId w:val="68"/>
  </w:num>
  <w:num w:numId="8">
    <w:abstractNumId w:val="37"/>
  </w:num>
  <w:num w:numId="9">
    <w:abstractNumId w:val="51"/>
  </w:num>
  <w:num w:numId="10">
    <w:abstractNumId w:val="20"/>
  </w:num>
  <w:num w:numId="11">
    <w:abstractNumId w:val="42"/>
  </w:num>
  <w:num w:numId="12">
    <w:abstractNumId w:val="16"/>
  </w:num>
  <w:num w:numId="13">
    <w:abstractNumId w:val="58"/>
  </w:num>
  <w:num w:numId="14">
    <w:abstractNumId w:val="22"/>
  </w:num>
  <w:num w:numId="15">
    <w:abstractNumId w:val="54"/>
  </w:num>
  <w:num w:numId="16">
    <w:abstractNumId w:val="74"/>
  </w:num>
  <w:num w:numId="17">
    <w:abstractNumId w:val="60"/>
  </w:num>
  <w:num w:numId="18">
    <w:abstractNumId w:val="28"/>
  </w:num>
  <w:num w:numId="19">
    <w:abstractNumId w:val="52"/>
  </w:num>
  <w:num w:numId="20">
    <w:abstractNumId w:val="45"/>
  </w:num>
  <w:num w:numId="21">
    <w:abstractNumId w:val="26"/>
  </w:num>
  <w:num w:numId="22">
    <w:abstractNumId w:val="62"/>
  </w:num>
  <w:num w:numId="23">
    <w:abstractNumId w:val="6"/>
  </w:num>
  <w:num w:numId="24">
    <w:abstractNumId w:val="32"/>
  </w:num>
  <w:num w:numId="25">
    <w:abstractNumId w:val="49"/>
  </w:num>
  <w:num w:numId="26">
    <w:abstractNumId w:val="21"/>
  </w:num>
  <w:num w:numId="27">
    <w:abstractNumId w:val="48"/>
  </w:num>
  <w:num w:numId="28">
    <w:abstractNumId w:val="3"/>
  </w:num>
  <w:num w:numId="29">
    <w:abstractNumId w:val="35"/>
  </w:num>
  <w:num w:numId="30">
    <w:abstractNumId w:val="15"/>
  </w:num>
  <w:num w:numId="31">
    <w:abstractNumId w:val="46"/>
  </w:num>
  <w:num w:numId="32">
    <w:abstractNumId w:val="39"/>
  </w:num>
  <w:num w:numId="33">
    <w:abstractNumId w:val="27"/>
  </w:num>
  <w:num w:numId="34">
    <w:abstractNumId w:val="9"/>
  </w:num>
  <w:num w:numId="35">
    <w:abstractNumId w:val="29"/>
  </w:num>
  <w:num w:numId="36">
    <w:abstractNumId w:val="53"/>
  </w:num>
  <w:num w:numId="37">
    <w:abstractNumId w:val="14"/>
  </w:num>
  <w:num w:numId="38">
    <w:abstractNumId w:val="50"/>
  </w:num>
  <w:num w:numId="39">
    <w:abstractNumId w:val="24"/>
  </w:num>
  <w:num w:numId="40">
    <w:abstractNumId w:val="70"/>
  </w:num>
  <w:num w:numId="41">
    <w:abstractNumId w:val="57"/>
  </w:num>
  <w:num w:numId="42">
    <w:abstractNumId w:val="31"/>
  </w:num>
  <w:num w:numId="43">
    <w:abstractNumId w:val="72"/>
  </w:num>
  <w:num w:numId="44">
    <w:abstractNumId w:val="43"/>
  </w:num>
  <w:num w:numId="45">
    <w:abstractNumId w:val="13"/>
  </w:num>
  <w:num w:numId="46">
    <w:abstractNumId w:val="34"/>
  </w:num>
  <w:num w:numId="47">
    <w:abstractNumId w:val="2"/>
  </w:num>
  <w:num w:numId="48">
    <w:abstractNumId w:val="11"/>
  </w:num>
  <w:num w:numId="49">
    <w:abstractNumId w:val="7"/>
  </w:num>
  <w:num w:numId="50">
    <w:abstractNumId w:val="73"/>
  </w:num>
  <w:num w:numId="51">
    <w:abstractNumId w:val="75"/>
  </w:num>
  <w:num w:numId="52">
    <w:abstractNumId w:val="67"/>
  </w:num>
  <w:num w:numId="53">
    <w:abstractNumId w:val="65"/>
  </w:num>
  <w:num w:numId="54">
    <w:abstractNumId w:val="4"/>
  </w:num>
  <w:num w:numId="55">
    <w:abstractNumId w:val="18"/>
  </w:num>
  <w:num w:numId="56">
    <w:abstractNumId w:val="25"/>
  </w:num>
  <w:num w:numId="57">
    <w:abstractNumId w:val="19"/>
  </w:num>
  <w:num w:numId="58">
    <w:abstractNumId w:val="47"/>
  </w:num>
  <w:num w:numId="59">
    <w:abstractNumId w:val="61"/>
  </w:num>
  <w:num w:numId="60">
    <w:abstractNumId w:val="63"/>
  </w:num>
  <w:num w:numId="61">
    <w:abstractNumId w:val="71"/>
  </w:num>
  <w:num w:numId="62">
    <w:abstractNumId w:val="36"/>
  </w:num>
  <w:num w:numId="63">
    <w:abstractNumId w:val="23"/>
  </w:num>
  <w:num w:numId="64">
    <w:abstractNumId w:val="38"/>
  </w:num>
  <w:num w:numId="65">
    <w:abstractNumId w:val="10"/>
  </w:num>
  <w:num w:numId="66">
    <w:abstractNumId w:val="30"/>
  </w:num>
  <w:num w:numId="67">
    <w:abstractNumId w:val="55"/>
  </w:num>
  <w:num w:numId="68">
    <w:abstractNumId w:val="8"/>
  </w:num>
  <w:num w:numId="69">
    <w:abstractNumId w:val="5"/>
  </w:num>
  <w:num w:numId="70">
    <w:abstractNumId w:val="59"/>
  </w:num>
  <w:num w:numId="71">
    <w:abstractNumId w:val="40"/>
  </w:num>
  <w:num w:numId="7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lvl w:ilvl="0">
        <w:start w:val="1"/>
        <w:numFmt w:val="lowerLetter"/>
        <w:lvlText w:val="%1)"/>
        <w:legacy w:legacy="1" w:legacySpace="0" w:legacyIndent="283"/>
        <w:lvlJc w:val="left"/>
        <w:pPr>
          <w:ind w:left="283" w:hanging="283"/>
        </w:pPr>
        <w:rPr>
          <w:rFonts w:cs="Times New Roman"/>
        </w:rPr>
      </w:lvl>
    </w:lvlOverride>
  </w:num>
  <w:num w:numId="74">
    <w:abstractNumId w:val="64"/>
  </w:num>
  <w:num w:numId="75">
    <w:abstractNumId w:val="41"/>
  </w:num>
  <w:num w:numId="76">
    <w:abstractNumId w:val="12"/>
  </w:num>
  <w:num w:numId="77">
    <w:abstractNumId w:val="17"/>
  </w:num>
  <w:num w:numId="78">
    <w:abstractNumId w:val="15"/>
    <w:lvlOverride w:ilvl="0">
      <w:lvl w:ilvl="0">
        <w:start w:val="1"/>
        <w:numFmt w:val="lowerLetter"/>
        <w:lvlText w:val="%1)"/>
        <w:legacy w:legacy="1" w:legacySpace="0" w:legacyIndent="283"/>
        <w:lvlJc w:val="left"/>
        <w:pPr>
          <w:ind w:left="283" w:hanging="283"/>
        </w:pPr>
        <w:rPr>
          <w:rFonts w:cs="Times New Roman"/>
        </w:rPr>
      </w:lvl>
    </w:lvlOverride>
  </w:num>
  <w:num w:numId="79">
    <w:abstractNumId w:val="15"/>
    <w:lvlOverride w:ilvl="0">
      <w:lvl w:ilvl="0">
        <w:start w:val="1"/>
        <w:numFmt w:val="lowerLetter"/>
        <w:lvlText w:val="%1)"/>
        <w:legacy w:legacy="1" w:legacySpace="0" w:legacyIndent="283"/>
        <w:lvlJc w:val="left"/>
        <w:pPr>
          <w:ind w:left="283" w:hanging="283"/>
        </w:pPr>
        <w:rPr>
          <w:rFonts w:cs="Times New Roman"/>
        </w:rPr>
      </w:lvl>
    </w:lvlOverride>
  </w:num>
  <w:num w:numId="80">
    <w:abstractNumId w:val="15"/>
    <w:lvlOverride w:ilvl="0">
      <w:lvl w:ilvl="0">
        <w:start w:val="1"/>
        <w:numFmt w:val="lowerLetter"/>
        <w:lvlText w:val="%1)"/>
        <w:legacy w:legacy="1" w:legacySpace="0" w:legacyIndent="283"/>
        <w:lvlJc w:val="left"/>
        <w:pPr>
          <w:ind w:left="283" w:hanging="283"/>
        </w:pPr>
        <w:rPr>
          <w:rFonts w:cs="Times New Roman"/>
        </w:rPr>
      </w:lvl>
    </w:lvlOverride>
  </w:num>
  <w:num w:numId="81">
    <w:abstractNumId w:val="15"/>
    <w:lvlOverride w:ilvl="0">
      <w:lvl w:ilvl="0">
        <w:start w:val="1"/>
        <w:numFmt w:val="lowerLetter"/>
        <w:lvlText w:val="%1)"/>
        <w:legacy w:legacy="1" w:legacySpace="0" w:legacyIndent="283"/>
        <w:lvlJc w:val="left"/>
        <w:pPr>
          <w:ind w:left="283" w:hanging="283"/>
        </w:pPr>
        <w:rPr>
          <w:rFonts w:cs="Times New Roman"/>
        </w:rPr>
      </w:lvl>
    </w:lvlOverride>
  </w:num>
  <w:num w:numId="82">
    <w:abstractNumId w:val="15"/>
    <w:lvlOverride w:ilvl="0">
      <w:lvl w:ilvl="0">
        <w:start w:val="1"/>
        <w:numFmt w:val="lowerLetter"/>
        <w:lvlText w:val="%1)"/>
        <w:legacy w:legacy="1" w:legacySpace="0" w:legacyIndent="283"/>
        <w:lvlJc w:val="left"/>
        <w:pPr>
          <w:ind w:left="283" w:hanging="283"/>
        </w:pPr>
        <w:rPr>
          <w:rFonts w:cs="Times New Roman"/>
        </w:rPr>
      </w:lvl>
    </w:lvlOverride>
  </w:num>
  <w:num w:numId="83">
    <w:abstractNumId w:val="15"/>
    <w:lvlOverride w:ilvl="0">
      <w:lvl w:ilvl="0">
        <w:start w:val="1"/>
        <w:numFmt w:val="lowerLetter"/>
        <w:lvlText w:val="%1)"/>
        <w:legacy w:legacy="1" w:legacySpace="0" w:legacyIndent="283"/>
        <w:lvlJc w:val="left"/>
        <w:pPr>
          <w:ind w:left="283" w:hanging="283"/>
        </w:pPr>
        <w:rPr>
          <w:rFonts w:cs="Times New Roman"/>
        </w:rPr>
      </w:lvl>
    </w:lvlOverride>
  </w:num>
  <w:num w:numId="84">
    <w:abstractNumId w:val="15"/>
    <w:lvlOverride w:ilvl="0">
      <w:lvl w:ilvl="0">
        <w:start w:val="1"/>
        <w:numFmt w:val="lowerLetter"/>
        <w:lvlText w:val="%1)"/>
        <w:legacy w:legacy="1" w:legacySpace="0" w:legacyIndent="283"/>
        <w:lvlJc w:val="left"/>
        <w:pPr>
          <w:ind w:left="283" w:hanging="283"/>
        </w:pPr>
        <w:rPr>
          <w:rFonts w:cs="Times New Roman"/>
        </w:rPr>
      </w:lvl>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DD"/>
    <w:rsid w:val="00000F04"/>
    <w:rsid w:val="000013B2"/>
    <w:rsid w:val="00004590"/>
    <w:rsid w:val="000054A6"/>
    <w:rsid w:val="0000604C"/>
    <w:rsid w:val="0000661E"/>
    <w:rsid w:val="00010BED"/>
    <w:rsid w:val="00010FE4"/>
    <w:rsid w:val="00011227"/>
    <w:rsid w:val="00012DB2"/>
    <w:rsid w:val="00013E15"/>
    <w:rsid w:val="00014E5E"/>
    <w:rsid w:val="00014F55"/>
    <w:rsid w:val="00015C2E"/>
    <w:rsid w:val="00016480"/>
    <w:rsid w:val="00016C7C"/>
    <w:rsid w:val="00016D3B"/>
    <w:rsid w:val="000222D8"/>
    <w:rsid w:val="000225DA"/>
    <w:rsid w:val="00024EF0"/>
    <w:rsid w:val="000263DC"/>
    <w:rsid w:val="000265EB"/>
    <w:rsid w:val="0002679D"/>
    <w:rsid w:val="000305F1"/>
    <w:rsid w:val="000306BE"/>
    <w:rsid w:val="00030917"/>
    <w:rsid w:val="000319CA"/>
    <w:rsid w:val="00032E4B"/>
    <w:rsid w:val="000340CF"/>
    <w:rsid w:val="00036160"/>
    <w:rsid w:val="0003683F"/>
    <w:rsid w:val="0003718C"/>
    <w:rsid w:val="000409A8"/>
    <w:rsid w:val="00040D96"/>
    <w:rsid w:val="000414BC"/>
    <w:rsid w:val="00041DB0"/>
    <w:rsid w:val="0004340B"/>
    <w:rsid w:val="0004374D"/>
    <w:rsid w:val="00043B5D"/>
    <w:rsid w:val="00043E95"/>
    <w:rsid w:val="000459F0"/>
    <w:rsid w:val="00046D07"/>
    <w:rsid w:val="0004749E"/>
    <w:rsid w:val="000507CB"/>
    <w:rsid w:val="00050A90"/>
    <w:rsid w:val="0005130B"/>
    <w:rsid w:val="000520E4"/>
    <w:rsid w:val="000526F9"/>
    <w:rsid w:val="00052BC6"/>
    <w:rsid w:val="00052C4A"/>
    <w:rsid w:val="00053027"/>
    <w:rsid w:val="000535E7"/>
    <w:rsid w:val="00054632"/>
    <w:rsid w:val="00054ECB"/>
    <w:rsid w:val="0005655C"/>
    <w:rsid w:val="000577B5"/>
    <w:rsid w:val="000608FA"/>
    <w:rsid w:val="00060B97"/>
    <w:rsid w:val="000625E5"/>
    <w:rsid w:val="0006398F"/>
    <w:rsid w:val="000645CC"/>
    <w:rsid w:val="00064993"/>
    <w:rsid w:val="00064EA6"/>
    <w:rsid w:val="000654A0"/>
    <w:rsid w:val="00066441"/>
    <w:rsid w:val="0006762F"/>
    <w:rsid w:val="00070506"/>
    <w:rsid w:val="00071396"/>
    <w:rsid w:val="00072EB8"/>
    <w:rsid w:val="00074509"/>
    <w:rsid w:val="00074DCB"/>
    <w:rsid w:val="00074F5C"/>
    <w:rsid w:val="00076FE8"/>
    <w:rsid w:val="00081414"/>
    <w:rsid w:val="000818A7"/>
    <w:rsid w:val="000820E9"/>
    <w:rsid w:val="00083A5D"/>
    <w:rsid w:val="0008552F"/>
    <w:rsid w:val="000866FF"/>
    <w:rsid w:val="00086926"/>
    <w:rsid w:val="00086955"/>
    <w:rsid w:val="00086F4B"/>
    <w:rsid w:val="0008798B"/>
    <w:rsid w:val="00090350"/>
    <w:rsid w:val="00092052"/>
    <w:rsid w:val="00092A8B"/>
    <w:rsid w:val="0009349B"/>
    <w:rsid w:val="00095912"/>
    <w:rsid w:val="000973E0"/>
    <w:rsid w:val="00097DBE"/>
    <w:rsid w:val="000A021A"/>
    <w:rsid w:val="000A2C96"/>
    <w:rsid w:val="000A2FFA"/>
    <w:rsid w:val="000A3C21"/>
    <w:rsid w:val="000B0060"/>
    <w:rsid w:val="000B13D1"/>
    <w:rsid w:val="000B1E34"/>
    <w:rsid w:val="000B2F1E"/>
    <w:rsid w:val="000B33AD"/>
    <w:rsid w:val="000B4DC2"/>
    <w:rsid w:val="000B58EC"/>
    <w:rsid w:val="000B599A"/>
    <w:rsid w:val="000B5DDE"/>
    <w:rsid w:val="000B772B"/>
    <w:rsid w:val="000C063E"/>
    <w:rsid w:val="000C141A"/>
    <w:rsid w:val="000C2CD9"/>
    <w:rsid w:val="000C4CA5"/>
    <w:rsid w:val="000C501E"/>
    <w:rsid w:val="000C520F"/>
    <w:rsid w:val="000C5E36"/>
    <w:rsid w:val="000C63C9"/>
    <w:rsid w:val="000C7547"/>
    <w:rsid w:val="000C7FD3"/>
    <w:rsid w:val="000D1A22"/>
    <w:rsid w:val="000D1D29"/>
    <w:rsid w:val="000D2497"/>
    <w:rsid w:val="000E0194"/>
    <w:rsid w:val="000E0E81"/>
    <w:rsid w:val="000E268D"/>
    <w:rsid w:val="000E3085"/>
    <w:rsid w:val="000E3975"/>
    <w:rsid w:val="000E3E3C"/>
    <w:rsid w:val="000E3FB2"/>
    <w:rsid w:val="000E406C"/>
    <w:rsid w:val="000E417F"/>
    <w:rsid w:val="000E4D34"/>
    <w:rsid w:val="000F0532"/>
    <w:rsid w:val="000F1667"/>
    <w:rsid w:val="000F3CCA"/>
    <w:rsid w:val="000F40CA"/>
    <w:rsid w:val="000F482C"/>
    <w:rsid w:val="000F4B94"/>
    <w:rsid w:val="000F4B9A"/>
    <w:rsid w:val="000F68A0"/>
    <w:rsid w:val="000F6EC8"/>
    <w:rsid w:val="001001F2"/>
    <w:rsid w:val="00102397"/>
    <w:rsid w:val="0010314F"/>
    <w:rsid w:val="00103C86"/>
    <w:rsid w:val="0010422F"/>
    <w:rsid w:val="0010495D"/>
    <w:rsid w:val="00104B9A"/>
    <w:rsid w:val="00105E94"/>
    <w:rsid w:val="00110E64"/>
    <w:rsid w:val="00112EAE"/>
    <w:rsid w:val="0011347F"/>
    <w:rsid w:val="001135F9"/>
    <w:rsid w:val="00113C13"/>
    <w:rsid w:val="0011422D"/>
    <w:rsid w:val="0011424D"/>
    <w:rsid w:val="0011499D"/>
    <w:rsid w:val="00114F1F"/>
    <w:rsid w:val="00115B00"/>
    <w:rsid w:val="00115E91"/>
    <w:rsid w:val="00116FC9"/>
    <w:rsid w:val="00120029"/>
    <w:rsid w:val="00120BC2"/>
    <w:rsid w:val="00120EF1"/>
    <w:rsid w:val="0012148C"/>
    <w:rsid w:val="001225C0"/>
    <w:rsid w:val="00122D16"/>
    <w:rsid w:val="001236D8"/>
    <w:rsid w:val="001254C6"/>
    <w:rsid w:val="001260FF"/>
    <w:rsid w:val="00127AF2"/>
    <w:rsid w:val="001304B4"/>
    <w:rsid w:val="001311E2"/>
    <w:rsid w:val="00135708"/>
    <w:rsid w:val="00140288"/>
    <w:rsid w:val="00140892"/>
    <w:rsid w:val="00142C05"/>
    <w:rsid w:val="00143BBA"/>
    <w:rsid w:val="00144D0E"/>
    <w:rsid w:val="00145D6F"/>
    <w:rsid w:val="001461F4"/>
    <w:rsid w:val="00146CE2"/>
    <w:rsid w:val="00151C12"/>
    <w:rsid w:val="00152263"/>
    <w:rsid w:val="001525C1"/>
    <w:rsid w:val="00153594"/>
    <w:rsid w:val="0015405E"/>
    <w:rsid w:val="001545E8"/>
    <w:rsid w:val="00154C0D"/>
    <w:rsid w:val="00154DAB"/>
    <w:rsid w:val="001556D5"/>
    <w:rsid w:val="0015778C"/>
    <w:rsid w:val="001605DF"/>
    <w:rsid w:val="00160F46"/>
    <w:rsid w:val="00161CD8"/>
    <w:rsid w:val="001632AE"/>
    <w:rsid w:val="0016614D"/>
    <w:rsid w:val="00167467"/>
    <w:rsid w:val="00170F21"/>
    <w:rsid w:val="0017273E"/>
    <w:rsid w:val="00173F38"/>
    <w:rsid w:val="001747AE"/>
    <w:rsid w:val="00175620"/>
    <w:rsid w:val="001773B5"/>
    <w:rsid w:val="00177747"/>
    <w:rsid w:val="00177EB7"/>
    <w:rsid w:val="00180B5D"/>
    <w:rsid w:val="00181429"/>
    <w:rsid w:val="00182EFE"/>
    <w:rsid w:val="001832D4"/>
    <w:rsid w:val="00184920"/>
    <w:rsid w:val="001876B9"/>
    <w:rsid w:val="00187E11"/>
    <w:rsid w:val="001901F1"/>
    <w:rsid w:val="00192B1B"/>
    <w:rsid w:val="00192EFD"/>
    <w:rsid w:val="00193989"/>
    <w:rsid w:val="00194AE2"/>
    <w:rsid w:val="00194B11"/>
    <w:rsid w:val="00196921"/>
    <w:rsid w:val="001969AF"/>
    <w:rsid w:val="00196F72"/>
    <w:rsid w:val="001A0D83"/>
    <w:rsid w:val="001A178B"/>
    <w:rsid w:val="001A32E6"/>
    <w:rsid w:val="001A35A0"/>
    <w:rsid w:val="001A4F1D"/>
    <w:rsid w:val="001A665C"/>
    <w:rsid w:val="001A7BF1"/>
    <w:rsid w:val="001B00FB"/>
    <w:rsid w:val="001B083F"/>
    <w:rsid w:val="001B085B"/>
    <w:rsid w:val="001B0E17"/>
    <w:rsid w:val="001B163B"/>
    <w:rsid w:val="001B1A0A"/>
    <w:rsid w:val="001B2217"/>
    <w:rsid w:val="001B2495"/>
    <w:rsid w:val="001B2640"/>
    <w:rsid w:val="001B2CA8"/>
    <w:rsid w:val="001B3916"/>
    <w:rsid w:val="001B3C0F"/>
    <w:rsid w:val="001B4186"/>
    <w:rsid w:val="001B525F"/>
    <w:rsid w:val="001B5787"/>
    <w:rsid w:val="001B7B81"/>
    <w:rsid w:val="001C02E6"/>
    <w:rsid w:val="001C3DBB"/>
    <w:rsid w:val="001C432E"/>
    <w:rsid w:val="001C4E1A"/>
    <w:rsid w:val="001C4F1E"/>
    <w:rsid w:val="001C528D"/>
    <w:rsid w:val="001C62C1"/>
    <w:rsid w:val="001C788A"/>
    <w:rsid w:val="001C7A1B"/>
    <w:rsid w:val="001D04E8"/>
    <w:rsid w:val="001D0BC7"/>
    <w:rsid w:val="001D4F03"/>
    <w:rsid w:val="001D739A"/>
    <w:rsid w:val="001D74C5"/>
    <w:rsid w:val="001E0F9C"/>
    <w:rsid w:val="001E1EA1"/>
    <w:rsid w:val="001E3B50"/>
    <w:rsid w:val="001E4524"/>
    <w:rsid w:val="001E58C4"/>
    <w:rsid w:val="001E6378"/>
    <w:rsid w:val="001E65C5"/>
    <w:rsid w:val="001E6740"/>
    <w:rsid w:val="001E74C3"/>
    <w:rsid w:val="001F01A7"/>
    <w:rsid w:val="001F023E"/>
    <w:rsid w:val="001F0E0D"/>
    <w:rsid w:val="001F1135"/>
    <w:rsid w:val="001F1ADC"/>
    <w:rsid w:val="001F266A"/>
    <w:rsid w:val="001F29DD"/>
    <w:rsid w:val="001F31EE"/>
    <w:rsid w:val="001F3A30"/>
    <w:rsid w:val="001F4F57"/>
    <w:rsid w:val="001F5458"/>
    <w:rsid w:val="001F5EE1"/>
    <w:rsid w:val="001F60A7"/>
    <w:rsid w:val="001F6656"/>
    <w:rsid w:val="001F700A"/>
    <w:rsid w:val="001F7AA6"/>
    <w:rsid w:val="00200D47"/>
    <w:rsid w:val="002021E3"/>
    <w:rsid w:val="0020297E"/>
    <w:rsid w:val="00204DFD"/>
    <w:rsid w:val="0020685A"/>
    <w:rsid w:val="00206CB0"/>
    <w:rsid w:val="0021066F"/>
    <w:rsid w:val="00210CFA"/>
    <w:rsid w:val="00211D90"/>
    <w:rsid w:val="00212D33"/>
    <w:rsid w:val="00213DCE"/>
    <w:rsid w:val="0021565E"/>
    <w:rsid w:val="00217938"/>
    <w:rsid w:val="00217A0D"/>
    <w:rsid w:val="0022151D"/>
    <w:rsid w:val="00221523"/>
    <w:rsid w:val="00222F92"/>
    <w:rsid w:val="0022404C"/>
    <w:rsid w:val="00224C8A"/>
    <w:rsid w:val="0022541E"/>
    <w:rsid w:val="00226F17"/>
    <w:rsid w:val="00226FEF"/>
    <w:rsid w:val="002277A6"/>
    <w:rsid w:val="00227C25"/>
    <w:rsid w:val="00230041"/>
    <w:rsid w:val="00230746"/>
    <w:rsid w:val="00230DA0"/>
    <w:rsid w:val="002322A9"/>
    <w:rsid w:val="0023238C"/>
    <w:rsid w:val="00232700"/>
    <w:rsid w:val="00234BB3"/>
    <w:rsid w:val="002356FE"/>
    <w:rsid w:val="002363EA"/>
    <w:rsid w:val="00236620"/>
    <w:rsid w:val="00236B65"/>
    <w:rsid w:val="00237BE9"/>
    <w:rsid w:val="00237CFF"/>
    <w:rsid w:val="002414E6"/>
    <w:rsid w:val="00243304"/>
    <w:rsid w:val="002441B0"/>
    <w:rsid w:val="002444FB"/>
    <w:rsid w:val="00245EFC"/>
    <w:rsid w:val="0024667A"/>
    <w:rsid w:val="00247F45"/>
    <w:rsid w:val="002505E2"/>
    <w:rsid w:val="002512F8"/>
    <w:rsid w:val="00252086"/>
    <w:rsid w:val="002526FA"/>
    <w:rsid w:val="00254DB6"/>
    <w:rsid w:val="002553AD"/>
    <w:rsid w:val="0025580E"/>
    <w:rsid w:val="00257950"/>
    <w:rsid w:val="002602FA"/>
    <w:rsid w:val="00262B87"/>
    <w:rsid w:val="002644C9"/>
    <w:rsid w:val="002646D6"/>
    <w:rsid w:val="002646E3"/>
    <w:rsid w:val="002649E3"/>
    <w:rsid w:val="00265383"/>
    <w:rsid w:val="002661F9"/>
    <w:rsid w:val="00266AC0"/>
    <w:rsid w:val="00267014"/>
    <w:rsid w:val="0026731D"/>
    <w:rsid w:val="00271DCB"/>
    <w:rsid w:val="002741F7"/>
    <w:rsid w:val="00274963"/>
    <w:rsid w:val="00275465"/>
    <w:rsid w:val="00275F95"/>
    <w:rsid w:val="00277815"/>
    <w:rsid w:val="002815CF"/>
    <w:rsid w:val="0028173B"/>
    <w:rsid w:val="00282815"/>
    <w:rsid w:val="00282A68"/>
    <w:rsid w:val="00282FEB"/>
    <w:rsid w:val="002836BB"/>
    <w:rsid w:val="00284329"/>
    <w:rsid w:val="00284BD5"/>
    <w:rsid w:val="00285136"/>
    <w:rsid w:val="002853B7"/>
    <w:rsid w:val="002865E0"/>
    <w:rsid w:val="0028705D"/>
    <w:rsid w:val="002903E9"/>
    <w:rsid w:val="00290591"/>
    <w:rsid w:val="00290BDC"/>
    <w:rsid w:val="00292603"/>
    <w:rsid w:val="0029298A"/>
    <w:rsid w:val="00292D23"/>
    <w:rsid w:val="00293A2A"/>
    <w:rsid w:val="00294927"/>
    <w:rsid w:val="00295873"/>
    <w:rsid w:val="00297A60"/>
    <w:rsid w:val="00297EBE"/>
    <w:rsid w:val="002A069A"/>
    <w:rsid w:val="002A11FA"/>
    <w:rsid w:val="002A15B1"/>
    <w:rsid w:val="002A1F05"/>
    <w:rsid w:val="002A3C3A"/>
    <w:rsid w:val="002B0004"/>
    <w:rsid w:val="002B0539"/>
    <w:rsid w:val="002B0B97"/>
    <w:rsid w:val="002B14B3"/>
    <w:rsid w:val="002B30DA"/>
    <w:rsid w:val="002B3212"/>
    <w:rsid w:val="002B4194"/>
    <w:rsid w:val="002B63DA"/>
    <w:rsid w:val="002B6A95"/>
    <w:rsid w:val="002B7B51"/>
    <w:rsid w:val="002C01BA"/>
    <w:rsid w:val="002C07B4"/>
    <w:rsid w:val="002C0F36"/>
    <w:rsid w:val="002C1907"/>
    <w:rsid w:val="002C3261"/>
    <w:rsid w:val="002C4454"/>
    <w:rsid w:val="002C596E"/>
    <w:rsid w:val="002C79E9"/>
    <w:rsid w:val="002D264E"/>
    <w:rsid w:val="002D39C5"/>
    <w:rsid w:val="002D4839"/>
    <w:rsid w:val="002D4855"/>
    <w:rsid w:val="002D4A36"/>
    <w:rsid w:val="002D5104"/>
    <w:rsid w:val="002D5C38"/>
    <w:rsid w:val="002D6CE0"/>
    <w:rsid w:val="002D7AD6"/>
    <w:rsid w:val="002E101E"/>
    <w:rsid w:val="002E10F2"/>
    <w:rsid w:val="002E2410"/>
    <w:rsid w:val="002E36D1"/>
    <w:rsid w:val="002E437E"/>
    <w:rsid w:val="002E6829"/>
    <w:rsid w:val="002E73CB"/>
    <w:rsid w:val="002E7513"/>
    <w:rsid w:val="002F0BF6"/>
    <w:rsid w:val="002F1010"/>
    <w:rsid w:val="002F2F93"/>
    <w:rsid w:val="002F4A62"/>
    <w:rsid w:val="002F60B2"/>
    <w:rsid w:val="002F62AE"/>
    <w:rsid w:val="002F68EC"/>
    <w:rsid w:val="002F6E09"/>
    <w:rsid w:val="002F7860"/>
    <w:rsid w:val="00301288"/>
    <w:rsid w:val="003017FC"/>
    <w:rsid w:val="00301A3C"/>
    <w:rsid w:val="00305746"/>
    <w:rsid w:val="00305CB3"/>
    <w:rsid w:val="00307A40"/>
    <w:rsid w:val="00311069"/>
    <w:rsid w:val="0031221E"/>
    <w:rsid w:val="00313849"/>
    <w:rsid w:val="003138EF"/>
    <w:rsid w:val="00314AF2"/>
    <w:rsid w:val="00315469"/>
    <w:rsid w:val="00315C29"/>
    <w:rsid w:val="00315F40"/>
    <w:rsid w:val="0031638B"/>
    <w:rsid w:val="00316476"/>
    <w:rsid w:val="003167C9"/>
    <w:rsid w:val="00316862"/>
    <w:rsid w:val="00316D09"/>
    <w:rsid w:val="00317527"/>
    <w:rsid w:val="00320418"/>
    <w:rsid w:val="00320AD5"/>
    <w:rsid w:val="00321B81"/>
    <w:rsid w:val="00322BC7"/>
    <w:rsid w:val="00323001"/>
    <w:rsid w:val="00326C6C"/>
    <w:rsid w:val="003305C9"/>
    <w:rsid w:val="0033062C"/>
    <w:rsid w:val="00331208"/>
    <w:rsid w:val="00333BC5"/>
    <w:rsid w:val="0033402E"/>
    <w:rsid w:val="00334544"/>
    <w:rsid w:val="0033466A"/>
    <w:rsid w:val="003352AD"/>
    <w:rsid w:val="003357CF"/>
    <w:rsid w:val="003369E6"/>
    <w:rsid w:val="00336A0A"/>
    <w:rsid w:val="00340F7D"/>
    <w:rsid w:val="00343198"/>
    <w:rsid w:val="00343DB8"/>
    <w:rsid w:val="00344984"/>
    <w:rsid w:val="00344FBA"/>
    <w:rsid w:val="003453AD"/>
    <w:rsid w:val="00347624"/>
    <w:rsid w:val="0034763E"/>
    <w:rsid w:val="003478DA"/>
    <w:rsid w:val="00350F69"/>
    <w:rsid w:val="00353A61"/>
    <w:rsid w:val="00355651"/>
    <w:rsid w:val="0035579C"/>
    <w:rsid w:val="00356D3B"/>
    <w:rsid w:val="00360A14"/>
    <w:rsid w:val="0036319D"/>
    <w:rsid w:val="00366B26"/>
    <w:rsid w:val="00367125"/>
    <w:rsid w:val="0036760B"/>
    <w:rsid w:val="00371467"/>
    <w:rsid w:val="00372D77"/>
    <w:rsid w:val="003735FD"/>
    <w:rsid w:val="00373790"/>
    <w:rsid w:val="00374D74"/>
    <w:rsid w:val="00376391"/>
    <w:rsid w:val="00377CBA"/>
    <w:rsid w:val="003801F6"/>
    <w:rsid w:val="00381892"/>
    <w:rsid w:val="003819CA"/>
    <w:rsid w:val="00381BD8"/>
    <w:rsid w:val="00381DF4"/>
    <w:rsid w:val="00382CCF"/>
    <w:rsid w:val="003843F9"/>
    <w:rsid w:val="00385221"/>
    <w:rsid w:val="003856EB"/>
    <w:rsid w:val="00385FDD"/>
    <w:rsid w:val="003864F0"/>
    <w:rsid w:val="00386EA0"/>
    <w:rsid w:val="0038723E"/>
    <w:rsid w:val="0038743C"/>
    <w:rsid w:val="0039114E"/>
    <w:rsid w:val="00392A9F"/>
    <w:rsid w:val="00393ED7"/>
    <w:rsid w:val="00394804"/>
    <w:rsid w:val="003953DA"/>
    <w:rsid w:val="003964FB"/>
    <w:rsid w:val="00396CF6"/>
    <w:rsid w:val="003A0321"/>
    <w:rsid w:val="003A266A"/>
    <w:rsid w:val="003A35DA"/>
    <w:rsid w:val="003A3AF9"/>
    <w:rsid w:val="003A50DE"/>
    <w:rsid w:val="003A54E7"/>
    <w:rsid w:val="003A7AAC"/>
    <w:rsid w:val="003B1AA8"/>
    <w:rsid w:val="003B2BCA"/>
    <w:rsid w:val="003B3BBF"/>
    <w:rsid w:val="003B469F"/>
    <w:rsid w:val="003B4756"/>
    <w:rsid w:val="003B54BF"/>
    <w:rsid w:val="003B5587"/>
    <w:rsid w:val="003B5FE0"/>
    <w:rsid w:val="003B758B"/>
    <w:rsid w:val="003C07FE"/>
    <w:rsid w:val="003C0880"/>
    <w:rsid w:val="003C1E32"/>
    <w:rsid w:val="003C343F"/>
    <w:rsid w:val="003C376A"/>
    <w:rsid w:val="003C3E6B"/>
    <w:rsid w:val="003C406E"/>
    <w:rsid w:val="003C41AF"/>
    <w:rsid w:val="003C5834"/>
    <w:rsid w:val="003C5A43"/>
    <w:rsid w:val="003C66D5"/>
    <w:rsid w:val="003C7F25"/>
    <w:rsid w:val="003D00EC"/>
    <w:rsid w:val="003D0FAA"/>
    <w:rsid w:val="003D14F8"/>
    <w:rsid w:val="003D4081"/>
    <w:rsid w:val="003D408D"/>
    <w:rsid w:val="003D76DE"/>
    <w:rsid w:val="003D7B42"/>
    <w:rsid w:val="003E0138"/>
    <w:rsid w:val="003E0A7F"/>
    <w:rsid w:val="003E0F78"/>
    <w:rsid w:val="003E11B8"/>
    <w:rsid w:val="003E18B5"/>
    <w:rsid w:val="003E2285"/>
    <w:rsid w:val="003E32FD"/>
    <w:rsid w:val="003E34C3"/>
    <w:rsid w:val="003E4958"/>
    <w:rsid w:val="003E51D0"/>
    <w:rsid w:val="003E529F"/>
    <w:rsid w:val="003E6265"/>
    <w:rsid w:val="003E686B"/>
    <w:rsid w:val="003F0693"/>
    <w:rsid w:val="003F0AB4"/>
    <w:rsid w:val="003F1F15"/>
    <w:rsid w:val="003F2B17"/>
    <w:rsid w:val="003F3006"/>
    <w:rsid w:val="003F3F86"/>
    <w:rsid w:val="003F418C"/>
    <w:rsid w:val="003F5473"/>
    <w:rsid w:val="003F798F"/>
    <w:rsid w:val="00401260"/>
    <w:rsid w:val="00402523"/>
    <w:rsid w:val="00402BF7"/>
    <w:rsid w:val="00403AB2"/>
    <w:rsid w:val="00403F75"/>
    <w:rsid w:val="0040481C"/>
    <w:rsid w:val="00404C0B"/>
    <w:rsid w:val="00405980"/>
    <w:rsid w:val="004059E2"/>
    <w:rsid w:val="0040628E"/>
    <w:rsid w:val="004066B4"/>
    <w:rsid w:val="00407492"/>
    <w:rsid w:val="004078F2"/>
    <w:rsid w:val="004100FC"/>
    <w:rsid w:val="004107EB"/>
    <w:rsid w:val="00410B86"/>
    <w:rsid w:val="00411690"/>
    <w:rsid w:val="00412604"/>
    <w:rsid w:val="00412CD9"/>
    <w:rsid w:val="00413341"/>
    <w:rsid w:val="00414460"/>
    <w:rsid w:val="004144A3"/>
    <w:rsid w:val="00414565"/>
    <w:rsid w:val="00416460"/>
    <w:rsid w:val="00416700"/>
    <w:rsid w:val="00416CE5"/>
    <w:rsid w:val="00416F16"/>
    <w:rsid w:val="00417491"/>
    <w:rsid w:val="00421615"/>
    <w:rsid w:val="00421973"/>
    <w:rsid w:val="00421C7E"/>
    <w:rsid w:val="00422D7F"/>
    <w:rsid w:val="0042346D"/>
    <w:rsid w:val="004270BE"/>
    <w:rsid w:val="004271ED"/>
    <w:rsid w:val="0043007A"/>
    <w:rsid w:val="00431E10"/>
    <w:rsid w:val="004326F3"/>
    <w:rsid w:val="00433CC4"/>
    <w:rsid w:val="00433DE4"/>
    <w:rsid w:val="00435497"/>
    <w:rsid w:val="00435A29"/>
    <w:rsid w:val="00436472"/>
    <w:rsid w:val="004376B1"/>
    <w:rsid w:val="00444AF4"/>
    <w:rsid w:val="00445B9B"/>
    <w:rsid w:val="004465C8"/>
    <w:rsid w:val="00446E36"/>
    <w:rsid w:val="0045027F"/>
    <w:rsid w:val="004526A4"/>
    <w:rsid w:val="004529BE"/>
    <w:rsid w:val="00452D59"/>
    <w:rsid w:val="0045370D"/>
    <w:rsid w:val="004556EB"/>
    <w:rsid w:val="00455BEE"/>
    <w:rsid w:val="0045675A"/>
    <w:rsid w:val="00456BD8"/>
    <w:rsid w:val="00457A8B"/>
    <w:rsid w:val="00461244"/>
    <w:rsid w:val="00463934"/>
    <w:rsid w:val="00464D1C"/>
    <w:rsid w:val="00472214"/>
    <w:rsid w:val="0047426A"/>
    <w:rsid w:val="00475327"/>
    <w:rsid w:val="00475DF1"/>
    <w:rsid w:val="00477A01"/>
    <w:rsid w:val="004824B3"/>
    <w:rsid w:val="00482733"/>
    <w:rsid w:val="00482B29"/>
    <w:rsid w:val="004835FE"/>
    <w:rsid w:val="004841D0"/>
    <w:rsid w:val="004842A7"/>
    <w:rsid w:val="00485756"/>
    <w:rsid w:val="0048650C"/>
    <w:rsid w:val="00486D97"/>
    <w:rsid w:val="004900D4"/>
    <w:rsid w:val="00490B69"/>
    <w:rsid w:val="00491913"/>
    <w:rsid w:val="00491AEF"/>
    <w:rsid w:val="004920F7"/>
    <w:rsid w:val="0049276B"/>
    <w:rsid w:val="004927B1"/>
    <w:rsid w:val="004927BF"/>
    <w:rsid w:val="00492E5A"/>
    <w:rsid w:val="00493009"/>
    <w:rsid w:val="00493105"/>
    <w:rsid w:val="00493158"/>
    <w:rsid w:val="0049414E"/>
    <w:rsid w:val="00495826"/>
    <w:rsid w:val="004964A2"/>
    <w:rsid w:val="004A04D6"/>
    <w:rsid w:val="004A0A71"/>
    <w:rsid w:val="004A0C1D"/>
    <w:rsid w:val="004A270C"/>
    <w:rsid w:val="004A2BFE"/>
    <w:rsid w:val="004A45B2"/>
    <w:rsid w:val="004A6A66"/>
    <w:rsid w:val="004B09A4"/>
    <w:rsid w:val="004B0A65"/>
    <w:rsid w:val="004B2038"/>
    <w:rsid w:val="004B3CC8"/>
    <w:rsid w:val="004B5E2E"/>
    <w:rsid w:val="004B6D9D"/>
    <w:rsid w:val="004C092E"/>
    <w:rsid w:val="004C0CE3"/>
    <w:rsid w:val="004C16CC"/>
    <w:rsid w:val="004C2127"/>
    <w:rsid w:val="004C4069"/>
    <w:rsid w:val="004C4841"/>
    <w:rsid w:val="004C4DA0"/>
    <w:rsid w:val="004C5610"/>
    <w:rsid w:val="004C7274"/>
    <w:rsid w:val="004C7E34"/>
    <w:rsid w:val="004C7FBE"/>
    <w:rsid w:val="004D1080"/>
    <w:rsid w:val="004D1407"/>
    <w:rsid w:val="004D2FCA"/>
    <w:rsid w:val="004D378A"/>
    <w:rsid w:val="004D3BA7"/>
    <w:rsid w:val="004D4965"/>
    <w:rsid w:val="004D521C"/>
    <w:rsid w:val="004D5D4D"/>
    <w:rsid w:val="004E060E"/>
    <w:rsid w:val="004E12D2"/>
    <w:rsid w:val="004E15A0"/>
    <w:rsid w:val="004E1E6B"/>
    <w:rsid w:val="004E2287"/>
    <w:rsid w:val="004E22F9"/>
    <w:rsid w:val="004E254E"/>
    <w:rsid w:val="004E2A0A"/>
    <w:rsid w:val="004E2E41"/>
    <w:rsid w:val="004E343B"/>
    <w:rsid w:val="004E351A"/>
    <w:rsid w:val="004E5407"/>
    <w:rsid w:val="004E6067"/>
    <w:rsid w:val="004E665F"/>
    <w:rsid w:val="004E6736"/>
    <w:rsid w:val="004F60DD"/>
    <w:rsid w:val="004F69B0"/>
    <w:rsid w:val="004F6ADB"/>
    <w:rsid w:val="004F6D4E"/>
    <w:rsid w:val="004F73F0"/>
    <w:rsid w:val="005002AA"/>
    <w:rsid w:val="0050094E"/>
    <w:rsid w:val="00500C52"/>
    <w:rsid w:val="005026B9"/>
    <w:rsid w:val="00502EDB"/>
    <w:rsid w:val="0050307D"/>
    <w:rsid w:val="005045A4"/>
    <w:rsid w:val="005059E9"/>
    <w:rsid w:val="00505F08"/>
    <w:rsid w:val="00510088"/>
    <w:rsid w:val="0051028B"/>
    <w:rsid w:val="005105C3"/>
    <w:rsid w:val="005110DF"/>
    <w:rsid w:val="00511DA9"/>
    <w:rsid w:val="0051285F"/>
    <w:rsid w:val="00512CFA"/>
    <w:rsid w:val="005130D3"/>
    <w:rsid w:val="00513E93"/>
    <w:rsid w:val="00516A06"/>
    <w:rsid w:val="00517BAA"/>
    <w:rsid w:val="00517EB8"/>
    <w:rsid w:val="00520677"/>
    <w:rsid w:val="00520723"/>
    <w:rsid w:val="0052083D"/>
    <w:rsid w:val="00520BD6"/>
    <w:rsid w:val="00521C03"/>
    <w:rsid w:val="00522956"/>
    <w:rsid w:val="00522D16"/>
    <w:rsid w:val="00526526"/>
    <w:rsid w:val="00526C24"/>
    <w:rsid w:val="00527601"/>
    <w:rsid w:val="0052784A"/>
    <w:rsid w:val="005310F9"/>
    <w:rsid w:val="00534080"/>
    <w:rsid w:val="005358A8"/>
    <w:rsid w:val="00535D25"/>
    <w:rsid w:val="005362B8"/>
    <w:rsid w:val="005406BD"/>
    <w:rsid w:val="005407F9"/>
    <w:rsid w:val="00540F14"/>
    <w:rsid w:val="0054134D"/>
    <w:rsid w:val="00542C18"/>
    <w:rsid w:val="00543766"/>
    <w:rsid w:val="0054506E"/>
    <w:rsid w:val="00545EF7"/>
    <w:rsid w:val="00546F01"/>
    <w:rsid w:val="005474B5"/>
    <w:rsid w:val="00550BAD"/>
    <w:rsid w:val="00550FDA"/>
    <w:rsid w:val="005517F6"/>
    <w:rsid w:val="00553013"/>
    <w:rsid w:val="00554A1B"/>
    <w:rsid w:val="0055523E"/>
    <w:rsid w:val="0055682C"/>
    <w:rsid w:val="0056072E"/>
    <w:rsid w:val="00561BBC"/>
    <w:rsid w:val="00561C63"/>
    <w:rsid w:val="0056208F"/>
    <w:rsid w:val="005620CD"/>
    <w:rsid w:val="005642DD"/>
    <w:rsid w:val="00564865"/>
    <w:rsid w:val="00564893"/>
    <w:rsid w:val="0056665F"/>
    <w:rsid w:val="00567F75"/>
    <w:rsid w:val="0057076B"/>
    <w:rsid w:val="00571B3D"/>
    <w:rsid w:val="0057329B"/>
    <w:rsid w:val="00574DBE"/>
    <w:rsid w:val="00574F7E"/>
    <w:rsid w:val="0057638C"/>
    <w:rsid w:val="005809F7"/>
    <w:rsid w:val="005814D0"/>
    <w:rsid w:val="00581F20"/>
    <w:rsid w:val="005833F0"/>
    <w:rsid w:val="00583542"/>
    <w:rsid w:val="00584D49"/>
    <w:rsid w:val="00585708"/>
    <w:rsid w:val="005857BB"/>
    <w:rsid w:val="00585FCF"/>
    <w:rsid w:val="005878DB"/>
    <w:rsid w:val="00587A7B"/>
    <w:rsid w:val="00587B9E"/>
    <w:rsid w:val="00591A8A"/>
    <w:rsid w:val="00592A33"/>
    <w:rsid w:val="005937CC"/>
    <w:rsid w:val="00593AAC"/>
    <w:rsid w:val="0059448C"/>
    <w:rsid w:val="00594976"/>
    <w:rsid w:val="00594F1F"/>
    <w:rsid w:val="00595151"/>
    <w:rsid w:val="0059681A"/>
    <w:rsid w:val="00596BB6"/>
    <w:rsid w:val="005972B7"/>
    <w:rsid w:val="005A280E"/>
    <w:rsid w:val="005A2B0B"/>
    <w:rsid w:val="005A375C"/>
    <w:rsid w:val="005A39D3"/>
    <w:rsid w:val="005A3CC3"/>
    <w:rsid w:val="005A50E0"/>
    <w:rsid w:val="005A5A12"/>
    <w:rsid w:val="005A6F89"/>
    <w:rsid w:val="005A78DE"/>
    <w:rsid w:val="005B03CA"/>
    <w:rsid w:val="005B2E03"/>
    <w:rsid w:val="005B358C"/>
    <w:rsid w:val="005B432B"/>
    <w:rsid w:val="005B5F47"/>
    <w:rsid w:val="005B7568"/>
    <w:rsid w:val="005B75BE"/>
    <w:rsid w:val="005B7A06"/>
    <w:rsid w:val="005B7B35"/>
    <w:rsid w:val="005B7FC9"/>
    <w:rsid w:val="005C006F"/>
    <w:rsid w:val="005C0334"/>
    <w:rsid w:val="005C081D"/>
    <w:rsid w:val="005C0E83"/>
    <w:rsid w:val="005C1057"/>
    <w:rsid w:val="005C2986"/>
    <w:rsid w:val="005C3A08"/>
    <w:rsid w:val="005C4E57"/>
    <w:rsid w:val="005C5A3C"/>
    <w:rsid w:val="005C5C86"/>
    <w:rsid w:val="005C6339"/>
    <w:rsid w:val="005C765A"/>
    <w:rsid w:val="005D0998"/>
    <w:rsid w:val="005D1571"/>
    <w:rsid w:val="005D1983"/>
    <w:rsid w:val="005D2057"/>
    <w:rsid w:val="005D3DC9"/>
    <w:rsid w:val="005D4CDD"/>
    <w:rsid w:val="005D613E"/>
    <w:rsid w:val="005E1E55"/>
    <w:rsid w:val="005E2B26"/>
    <w:rsid w:val="005E3300"/>
    <w:rsid w:val="005E50C8"/>
    <w:rsid w:val="005E5EEC"/>
    <w:rsid w:val="005E6278"/>
    <w:rsid w:val="005E6DD0"/>
    <w:rsid w:val="005E7753"/>
    <w:rsid w:val="005E7BBE"/>
    <w:rsid w:val="005E7CF3"/>
    <w:rsid w:val="005E7D0A"/>
    <w:rsid w:val="005E7D8E"/>
    <w:rsid w:val="005F05A4"/>
    <w:rsid w:val="005F1503"/>
    <w:rsid w:val="005F26D9"/>
    <w:rsid w:val="005F2BB2"/>
    <w:rsid w:val="005F5514"/>
    <w:rsid w:val="005F5B47"/>
    <w:rsid w:val="005F5E13"/>
    <w:rsid w:val="005F75EE"/>
    <w:rsid w:val="006004A4"/>
    <w:rsid w:val="006006BB"/>
    <w:rsid w:val="0060160F"/>
    <w:rsid w:val="00602257"/>
    <w:rsid w:val="00602A38"/>
    <w:rsid w:val="00602CAB"/>
    <w:rsid w:val="00602CC2"/>
    <w:rsid w:val="00604143"/>
    <w:rsid w:val="00604234"/>
    <w:rsid w:val="00604B14"/>
    <w:rsid w:val="006051DD"/>
    <w:rsid w:val="006059C4"/>
    <w:rsid w:val="006066D9"/>
    <w:rsid w:val="00607308"/>
    <w:rsid w:val="00607944"/>
    <w:rsid w:val="00607E61"/>
    <w:rsid w:val="006101BE"/>
    <w:rsid w:val="00610E81"/>
    <w:rsid w:val="0061157D"/>
    <w:rsid w:val="00612B2D"/>
    <w:rsid w:val="00613059"/>
    <w:rsid w:val="0061383B"/>
    <w:rsid w:val="00613C33"/>
    <w:rsid w:val="006142FA"/>
    <w:rsid w:val="00614A84"/>
    <w:rsid w:val="00615B39"/>
    <w:rsid w:val="00616E84"/>
    <w:rsid w:val="006172B4"/>
    <w:rsid w:val="0062173C"/>
    <w:rsid w:val="006225E0"/>
    <w:rsid w:val="006238DF"/>
    <w:rsid w:val="00623FBA"/>
    <w:rsid w:val="006252D6"/>
    <w:rsid w:val="0062635B"/>
    <w:rsid w:val="00626847"/>
    <w:rsid w:val="00626B37"/>
    <w:rsid w:val="00626BDE"/>
    <w:rsid w:val="00626BE4"/>
    <w:rsid w:val="00627EF9"/>
    <w:rsid w:val="00627FBC"/>
    <w:rsid w:val="00630229"/>
    <w:rsid w:val="00630C60"/>
    <w:rsid w:val="00630DFD"/>
    <w:rsid w:val="006314C5"/>
    <w:rsid w:val="0063160E"/>
    <w:rsid w:val="00632937"/>
    <w:rsid w:val="0063343A"/>
    <w:rsid w:val="00634263"/>
    <w:rsid w:val="0063527F"/>
    <w:rsid w:val="00635391"/>
    <w:rsid w:val="00635534"/>
    <w:rsid w:val="00635781"/>
    <w:rsid w:val="00635B9F"/>
    <w:rsid w:val="00640D4E"/>
    <w:rsid w:val="00641786"/>
    <w:rsid w:val="00641F6F"/>
    <w:rsid w:val="00643638"/>
    <w:rsid w:val="00644101"/>
    <w:rsid w:val="00644551"/>
    <w:rsid w:val="006447D9"/>
    <w:rsid w:val="00644D50"/>
    <w:rsid w:val="00646089"/>
    <w:rsid w:val="006460DC"/>
    <w:rsid w:val="006507AA"/>
    <w:rsid w:val="00650AD3"/>
    <w:rsid w:val="00651128"/>
    <w:rsid w:val="00651869"/>
    <w:rsid w:val="0065219D"/>
    <w:rsid w:val="006523BF"/>
    <w:rsid w:val="00654797"/>
    <w:rsid w:val="00656678"/>
    <w:rsid w:val="0066067F"/>
    <w:rsid w:val="00661FC0"/>
    <w:rsid w:val="00663B54"/>
    <w:rsid w:val="006670EB"/>
    <w:rsid w:val="00672CE0"/>
    <w:rsid w:val="00672D0A"/>
    <w:rsid w:val="00673CFA"/>
    <w:rsid w:val="00673E8B"/>
    <w:rsid w:val="00674D81"/>
    <w:rsid w:val="00674E77"/>
    <w:rsid w:val="006758E7"/>
    <w:rsid w:val="00675C43"/>
    <w:rsid w:val="006767FE"/>
    <w:rsid w:val="0067713B"/>
    <w:rsid w:val="00681455"/>
    <w:rsid w:val="00681C66"/>
    <w:rsid w:val="006827F9"/>
    <w:rsid w:val="006828D8"/>
    <w:rsid w:val="00682AA0"/>
    <w:rsid w:val="0068318E"/>
    <w:rsid w:val="006842FF"/>
    <w:rsid w:val="006857D1"/>
    <w:rsid w:val="00686181"/>
    <w:rsid w:val="00687E9F"/>
    <w:rsid w:val="0069113C"/>
    <w:rsid w:val="00691C3E"/>
    <w:rsid w:val="00692D02"/>
    <w:rsid w:val="00693872"/>
    <w:rsid w:val="00693FE0"/>
    <w:rsid w:val="006945E8"/>
    <w:rsid w:val="00694A7B"/>
    <w:rsid w:val="00695F14"/>
    <w:rsid w:val="00696628"/>
    <w:rsid w:val="006A01AE"/>
    <w:rsid w:val="006A39B0"/>
    <w:rsid w:val="006A6AFE"/>
    <w:rsid w:val="006A6B6F"/>
    <w:rsid w:val="006A6ECF"/>
    <w:rsid w:val="006A7318"/>
    <w:rsid w:val="006B0324"/>
    <w:rsid w:val="006B1BE1"/>
    <w:rsid w:val="006B3359"/>
    <w:rsid w:val="006B3857"/>
    <w:rsid w:val="006B3C22"/>
    <w:rsid w:val="006B511E"/>
    <w:rsid w:val="006B6C43"/>
    <w:rsid w:val="006B73B6"/>
    <w:rsid w:val="006B7BF9"/>
    <w:rsid w:val="006C0583"/>
    <w:rsid w:val="006C0C77"/>
    <w:rsid w:val="006C2126"/>
    <w:rsid w:val="006C2A14"/>
    <w:rsid w:val="006C3FB5"/>
    <w:rsid w:val="006C415A"/>
    <w:rsid w:val="006C4DD2"/>
    <w:rsid w:val="006C5702"/>
    <w:rsid w:val="006C60FA"/>
    <w:rsid w:val="006C7476"/>
    <w:rsid w:val="006D081C"/>
    <w:rsid w:val="006D2616"/>
    <w:rsid w:val="006D2B96"/>
    <w:rsid w:val="006D2E09"/>
    <w:rsid w:val="006D33D6"/>
    <w:rsid w:val="006D35AD"/>
    <w:rsid w:val="006D4BAE"/>
    <w:rsid w:val="006D6DFC"/>
    <w:rsid w:val="006D75A6"/>
    <w:rsid w:val="006D7AA4"/>
    <w:rsid w:val="006D7C91"/>
    <w:rsid w:val="006E010F"/>
    <w:rsid w:val="006E0BEA"/>
    <w:rsid w:val="006E2278"/>
    <w:rsid w:val="006E3762"/>
    <w:rsid w:val="006E4A3F"/>
    <w:rsid w:val="006E4C13"/>
    <w:rsid w:val="006F18BB"/>
    <w:rsid w:val="006F1FB7"/>
    <w:rsid w:val="006F1FC5"/>
    <w:rsid w:val="006F2EE4"/>
    <w:rsid w:val="006F3E6E"/>
    <w:rsid w:val="006F44DA"/>
    <w:rsid w:val="006F50B5"/>
    <w:rsid w:val="006F5A3C"/>
    <w:rsid w:val="006F6499"/>
    <w:rsid w:val="007002C0"/>
    <w:rsid w:val="00700346"/>
    <w:rsid w:val="007006BD"/>
    <w:rsid w:val="00702106"/>
    <w:rsid w:val="00702408"/>
    <w:rsid w:val="0070380D"/>
    <w:rsid w:val="007045C6"/>
    <w:rsid w:val="00704C01"/>
    <w:rsid w:val="00704CD9"/>
    <w:rsid w:val="00704F51"/>
    <w:rsid w:val="007063E7"/>
    <w:rsid w:val="00706D99"/>
    <w:rsid w:val="007075B1"/>
    <w:rsid w:val="0071198F"/>
    <w:rsid w:val="00711A58"/>
    <w:rsid w:val="00712199"/>
    <w:rsid w:val="0071273F"/>
    <w:rsid w:val="007139BF"/>
    <w:rsid w:val="00716039"/>
    <w:rsid w:val="0072121F"/>
    <w:rsid w:val="00721257"/>
    <w:rsid w:val="00722647"/>
    <w:rsid w:val="00722F12"/>
    <w:rsid w:val="00723B44"/>
    <w:rsid w:val="00723BD1"/>
    <w:rsid w:val="007243B7"/>
    <w:rsid w:val="00724707"/>
    <w:rsid w:val="007249F1"/>
    <w:rsid w:val="0072521C"/>
    <w:rsid w:val="00725C7A"/>
    <w:rsid w:val="00727268"/>
    <w:rsid w:val="00727865"/>
    <w:rsid w:val="00727A1A"/>
    <w:rsid w:val="00732195"/>
    <w:rsid w:val="00732AD9"/>
    <w:rsid w:val="00732B8C"/>
    <w:rsid w:val="00736A6F"/>
    <w:rsid w:val="007413E2"/>
    <w:rsid w:val="00741823"/>
    <w:rsid w:val="00741B95"/>
    <w:rsid w:val="00741D71"/>
    <w:rsid w:val="007420AD"/>
    <w:rsid w:val="007430AE"/>
    <w:rsid w:val="007434D7"/>
    <w:rsid w:val="007448D0"/>
    <w:rsid w:val="007464DE"/>
    <w:rsid w:val="00750230"/>
    <w:rsid w:val="0075336C"/>
    <w:rsid w:val="00753935"/>
    <w:rsid w:val="00754035"/>
    <w:rsid w:val="00754229"/>
    <w:rsid w:val="00754B90"/>
    <w:rsid w:val="00754E8E"/>
    <w:rsid w:val="007558E0"/>
    <w:rsid w:val="007574C1"/>
    <w:rsid w:val="00757B6D"/>
    <w:rsid w:val="00757CA5"/>
    <w:rsid w:val="00760352"/>
    <w:rsid w:val="00761C21"/>
    <w:rsid w:val="007622CD"/>
    <w:rsid w:val="00763E55"/>
    <w:rsid w:val="00765051"/>
    <w:rsid w:val="00767149"/>
    <w:rsid w:val="007740FC"/>
    <w:rsid w:val="007742A1"/>
    <w:rsid w:val="00774874"/>
    <w:rsid w:val="00774FF1"/>
    <w:rsid w:val="00777644"/>
    <w:rsid w:val="00777775"/>
    <w:rsid w:val="00780F46"/>
    <w:rsid w:val="00780F73"/>
    <w:rsid w:val="00782B13"/>
    <w:rsid w:val="00783425"/>
    <w:rsid w:val="007835D8"/>
    <w:rsid w:val="00784655"/>
    <w:rsid w:val="007870C3"/>
    <w:rsid w:val="007872AA"/>
    <w:rsid w:val="0078795B"/>
    <w:rsid w:val="00791129"/>
    <w:rsid w:val="00792DA2"/>
    <w:rsid w:val="0079363F"/>
    <w:rsid w:val="00793D50"/>
    <w:rsid w:val="00795279"/>
    <w:rsid w:val="00796535"/>
    <w:rsid w:val="007966D9"/>
    <w:rsid w:val="007A08A6"/>
    <w:rsid w:val="007A1035"/>
    <w:rsid w:val="007A64A5"/>
    <w:rsid w:val="007A6FA0"/>
    <w:rsid w:val="007B1276"/>
    <w:rsid w:val="007B28B3"/>
    <w:rsid w:val="007B3D25"/>
    <w:rsid w:val="007B42AA"/>
    <w:rsid w:val="007B56E9"/>
    <w:rsid w:val="007B5AE8"/>
    <w:rsid w:val="007B7606"/>
    <w:rsid w:val="007B76D9"/>
    <w:rsid w:val="007C3109"/>
    <w:rsid w:val="007C356F"/>
    <w:rsid w:val="007C453E"/>
    <w:rsid w:val="007C4FF9"/>
    <w:rsid w:val="007C5D33"/>
    <w:rsid w:val="007C6242"/>
    <w:rsid w:val="007C7D08"/>
    <w:rsid w:val="007C7FD3"/>
    <w:rsid w:val="007D2758"/>
    <w:rsid w:val="007D31FF"/>
    <w:rsid w:val="007D3DCD"/>
    <w:rsid w:val="007D4DB8"/>
    <w:rsid w:val="007D735A"/>
    <w:rsid w:val="007D7BAE"/>
    <w:rsid w:val="007E059D"/>
    <w:rsid w:val="007E0A21"/>
    <w:rsid w:val="007E25F5"/>
    <w:rsid w:val="007E2899"/>
    <w:rsid w:val="007E354E"/>
    <w:rsid w:val="007E3EA7"/>
    <w:rsid w:val="007F0254"/>
    <w:rsid w:val="007F1B7D"/>
    <w:rsid w:val="007F267B"/>
    <w:rsid w:val="007F2CDE"/>
    <w:rsid w:val="007F3846"/>
    <w:rsid w:val="007F4059"/>
    <w:rsid w:val="007F70E1"/>
    <w:rsid w:val="007F7CF1"/>
    <w:rsid w:val="00800752"/>
    <w:rsid w:val="00801B16"/>
    <w:rsid w:val="0080340D"/>
    <w:rsid w:val="00803FF7"/>
    <w:rsid w:val="0080405F"/>
    <w:rsid w:val="00804229"/>
    <w:rsid w:val="00805234"/>
    <w:rsid w:val="00807A2D"/>
    <w:rsid w:val="00810682"/>
    <w:rsid w:val="0081081A"/>
    <w:rsid w:val="00810AD4"/>
    <w:rsid w:val="00810B02"/>
    <w:rsid w:val="0081117A"/>
    <w:rsid w:val="00811DA2"/>
    <w:rsid w:val="00812D26"/>
    <w:rsid w:val="00813FCE"/>
    <w:rsid w:val="00814FE3"/>
    <w:rsid w:val="0081522E"/>
    <w:rsid w:val="00815491"/>
    <w:rsid w:val="00815669"/>
    <w:rsid w:val="00816829"/>
    <w:rsid w:val="00817E3A"/>
    <w:rsid w:val="00817EE9"/>
    <w:rsid w:val="00820BF7"/>
    <w:rsid w:val="008216DB"/>
    <w:rsid w:val="0082175E"/>
    <w:rsid w:val="008220E9"/>
    <w:rsid w:val="008232B6"/>
    <w:rsid w:val="00823AA2"/>
    <w:rsid w:val="00823F9E"/>
    <w:rsid w:val="00824A3E"/>
    <w:rsid w:val="00824AFF"/>
    <w:rsid w:val="00824C25"/>
    <w:rsid w:val="008253F1"/>
    <w:rsid w:val="008271D4"/>
    <w:rsid w:val="0082755C"/>
    <w:rsid w:val="008278F7"/>
    <w:rsid w:val="00827C54"/>
    <w:rsid w:val="008313BC"/>
    <w:rsid w:val="0083232B"/>
    <w:rsid w:val="00832A9C"/>
    <w:rsid w:val="00832ECD"/>
    <w:rsid w:val="00834C47"/>
    <w:rsid w:val="00836BCE"/>
    <w:rsid w:val="00841A20"/>
    <w:rsid w:val="008420C6"/>
    <w:rsid w:val="008421E5"/>
    <w:rsid w:val="00842318"/>
    <w:rsid w:val="008433C9"/>
    <w:rsid w:val="00844228"/>
    <w:rsid w:val="00844725"/>
    <w:rsid w:val="00845CD2"/>
    <w:rsid w:val="00845D21"/>
    <w:rsid w:val="0084624E"/>
    <w:rsid w:val="008463B0"/>
    <w:rsid w:val="00846D98"/>
    <w:rsid w:val="0084724E"/>
    <w:rsid w:val="00847289"/>
    <w:rsid w:val="008472FF"/>
    <w:rsid w:val="008474D3"/>
    <w:rsid w:val="00850FEE"/>
    <w:rsid w:val="0085257A"/>
    <w:rsid w:val="00852DE6"/>
    <w:rsid w:val="00855DF1"/>
    <w:rsid w:val="00855F41"/>
    <w:rsid w:val="00860E1A"/>
    <w:rsid w:val="008616D1"/>
    <w:rsid w:val="0086171D"/>
    <w:rsid w:val="00861FFD"/>
    <w:rsid w:val="00863574"/>
    <w:rsid w:val="00864625"/>
    <w:rsid w:val="00864B48"/>
    <w:rsid w:val="0086774D"/>
    <w:rsid w:val="00871371"/>
    <w:rsid w:val="0087147C"/>
    <w:rsid w:val="00871C78"/>
    <w:rsid w:val="00872FB9"/>
    <w:rsid w:val="00873310"/>
    <w:rsid w:val="00873B9B"/>
    <w:rsid w:val="00881F0E"/>
    <w:rsid w:val="008821C9"/>
    <w:rsid w:val="00882731"/>
    <w:rsid w:val="008827E4"/>
    <w:rsid w:val="00884DDC"/>
    <w:rsid w:val="00887392"/>
    <w:rsid w:val="00887EB5"/>
    <w:rsid w:val="00891319"/>
    <w:rsid w:val="00891FEF"/>
    <w:rsid w:val="0089203B"/>
    <w:rsid w:val="00893044"/>
    <w:rsid w:val="00893C97"/>
    <w:rsid w:val="00895ADD"/>
    <w:rsid w:val="00896CDD"/>
    <w:rsid w:val="00897854"/>
    <w:rsid w:val="008A1342"/>
    <w:rsid w:val="008A1D39"/>
    <w:rsid w:val="008A2473"/>
    <w:rsid w:val="008A3261"/>
    <w:rsid w:val="008A4355"/>
    <w:rsid w:val="008A57A5"/>
    <w:rsid w:val="008A59E0"/>
    <w:rsid w:val="008A5C7D"/>
    <w:rsid w:val="008A6336"/>
    <w:rsid w:val="008B040B"/>
    <w:rsid w:val="008B15F7"/>
    <w:rsid w:val="008B1C7C"/>
    <w:rsid w:val="008B60CC"/>
    <w:rsid w:val="008B63D7"/>
    <w:rsid w:val="008B6957"/>
    <w:rsid w:val="008B699B"/>
    <w:rsid w:val="008B6DE5"/>
    <w:rsid w:val="008B70BD"/>
    <w:rsid w:val="008B7367"/>
    <w:rsid w:val="008B7523"/>
    <w:rsid w:val="008C0308"/>
    <w:rsid w:val="008C0582"/>
    <w:rsid w:val="008C0B3D"/>
    <w:rsid w:val="008C25D4"/>
    <w:rsid w:val="008C460D"/>
    <w:rsid w:val="008C4694"/>
    <w:rsid w:val="008C5ADF"/>
    <w:rsid w:val="008C5D54"/>
    <w:rsid w:val="008C6676"/>
    <w:rsid w:val="008D03DE"/>
    <w:rsid w:val="008D0412"/>
    <w:rsid w:val="008D06FA"/>
    <w:rsid w:val="008D32BE"/>
    <w:rsid w:val="008D37E1"/>
    <w:rsid w:val="008D3A1A"/>
    <w:rsid w:val="008D60C0"/>
    <w:rsid w:val="008D616E"/>
    <w:rsid w:val="008E0344"/>
    <w:rsid w:val="008E04CE"/>
    <w:rsid w:val="008E1E06"/>
    <w:rsid w:val="008E2060"/>
    <w:rsid w:val="008E26CD"/>
    <w:rsid w:val="008E2A77"/>
    <w:rsid w:val="008E2C00"/>
    <w:rsid w:val="008E2DAE"/>
    <w:rsid w:val="008E349D"/>
    <w:rsid w:val="008E438B"/>
    <w:rsid w:val="008E45D8"/>
    <w:rsid w:val="008E59F9"/>
    <w:rsid w:val="008E66E3"/>
    <w:rsid w:val="008F0444"/>
    <w:rsid w:val="008F057B"/>
    <w:rsid w:val="008F1BC5"/>
    <w:rsid w:val="008F6593"/>
    <w:rsid w:val="008F73B9"/>
    <w:rsid w:val="008F771C"/>
    <w:rsid w:val="009007AC"/>
    <w:rsid w:val="0090143F"/>
    <w:rsid w:val="0090180B"/>
    <w:rsid w:val="00901A3C"/>
    <w:rsid w:val="00901C21"/>
    <w:rsid w:val="009022DD"/>
    <w:rsid w:val="00902A07"/>
    <w:rsid w:val="00902EAD"/>
    <w:rsid w:val="00903576"/>
    <w:rsid w:val="00903CCE"/>
    <w:rsid w:val="009049D5"/>
    <w:rsid w:val="00904BD3"/>
    <w:rsid w:val="00905A0D"/>
    <w:rsid w:val="00906064"/>
    <w:rsid w:val="009063DB"/>
    <w:rsid w:val="009066F1"/>
    <w:rsid w:val="0090685F"/>
    <w:rsid w:val="00911320"/>
    <w:rsid w:val="00911BED"/>
    <w:rsid w:val="00911E05"/>
    <w:rsid w:val="00914DA9"/>
    <w:rsid w:val="0091565E"/>
    <w:rsid w:val="0091569A"/>
    <w:rsid w:val="00916597"/>
    <w:rsid w:val="00920678"/>
    <w:rsid w:val="00920F77"/>
    <w:rsid w:val="00921209"/>
    <w:rsid w:val="00921C26"/>
    <w:rsid w:val="00921C36"/>
    <w:rsid w:val="00922BBD"/>
    <w:rsid w:val="00922FA6"/>
    <w:rsid w:val="00923609"/>
    <w:rsid w:val="0092471A"/>
    <w:rsid w:val="009268EF"/>
    <w:rsid w:val="00931D6A"/>
    <w:rsid w:val="00931E0E"/>
    <w:rsid w:val="00933528"/>
    <w:rsid w:val="00933F5A"/>
    <w:rsid w:val="00934B7A"/>
    <w:rsid w:val="0093544D"/>
    <w:rsid w:val="009366B7"/>
    <w:rsid w:val="00936A9B"/>
    <w:rsid w:val="00940FB3"/>
    <w:rsid w:val="00941226"/>
    <w:rsid w:val="00941B8E"/>
    <w:rsid w:val="00941C1C"/>
    <w:rsid w:val="00941C94"/>
    <w:rsid w:val="0094266C"/>
    <w:rsid w:val="00943919"/>
    <w:rsid w:val="0094398E"/>
    <w:rsid w:val="00944DAF"/>
    <w:rsid w:val="0094554E"/>
    <w:rsid w:val="009461C5"/>
    <w:rsid w:val="00947290"/>
    <w:rsid w:val="00947AE8"/>
    <w:rsid w:val="00947D7A"/>
    <w:rsid w:val="00950820"/>
    <w:rsid w:val="00950DCC"/>
    <w:rsid w:val="0095226E"/>
    <w:rsid w:val="009524CE"/>
    <w:rsid w:val="009537D2"/>
    <w:rsid w:val="0095430E"/>
    <w:rsid w:val="00954A1D"/>
    <w:rsid w:val="0095520C"/>
    <w:rsid w:val="00956BB7"/>
    <w:rsid w:val="00956C73"/>
    <w:rsid w:val="00956F53"/>
    <w:rsid w:val="00957C6A"/>
    <w:rsid w:val="00960D32"/>
    <w:rsid w:val="00961E4E"/>
    <w:rsid w:val="00962515"/>
    <w:rsid w:val="009632CC"/>
    <w:rsid w:val="00963A97"/>
    <w:rsid w:val="00963E7C"/>
    <w:rsid w:val="009643A9"/>
    <w:rsid w:val="009648F9"/>
    <w:rsid w:val="00965BE7"/>
    <w:rsid w:val="00965D4F"/>
    <w:rsid w:val="009671F3"/>
    <w:rsid w:val="00967F7D"/>
    <w:rsid w:val="00970BD8"/>
    <w:rsid w:val="00973663"/>
    <w:rsid w:val="00973DC2"/>
    <w:rsid w:val="0097529C"/>
    <w:rsid w:val="00976209"/>
    <w:rsid w:val="00980D4D"/>
    <w:rsid w:val="009828F9"/>
    <w:rsid w:val="00983C1B"/>
    <w:rsid w:val="00984B81"/>
    <w:rsid w:val="00984FE4"/>
    <w:rsid w:val="009851FA"/>
    <w:rsid w:val="009906B8"/>
    <w:rsid w:val="00992677"/>
    <w:rsid w:val="009933AE"/>
    <w:rsid w:val="00994986"/>
    <w:rsid w:val="009956E3"/>
    <w:rsid w:val="0099613D"/>
    <w:rsid w:val="00996329"/>
    <w:rsid w:val="00996332"/>
    <w:rsid w:val="009964A2"/>
    <w:rsid w:val="009976FE"/>
    <w:rsid w:val="009A020E"/>
    <w:rsid w:val="009A0864"/>
    <w:rsid w:val="009A14DB"/>
    <w:rsid w:val="009A2994"/>
    <w:rsid w:val="009A2B6C"/>
    <w:rsid w:val="009A3660"/>
    <w:rsid w:val="009A4962"/>
    <w:rsid w:val="009A580A"/>
    <w:rsid w:val="009A6287"/>
    <w:rsid w:val="009A71C9"/>
    <w:rsid w:val="009A7604"/>
    <w:rsid w:val="009B10C8"/>
    <w:rsid w:val="009B15CA"/>
    <w:rsid w:val="009B23C6"/>
    <w:rsid w:val="009B3C15"/>
    <w:rsid w:val="009B4473"/>
    <w:rsid w:val="009B4649"/>
    <w:rsid w:val="009B7D99"/>
    <w:rsid w:val="009C096A"/>
    <w:rsid w:val="009C10EA"/>
    <w:rsid w:val="009C129C"/>
    <w:rsid w:val="009C17F3"/>
    <w:rsid w:val="009C231A"/>
    <w:rsid w:val="009C2E7C"/>
    <w:rsid w:val="009C40B9"/>
    <w:rsid w:val="009C4D6F"/>
    <w:rsid w:val="009C4F81"/>
    <w:rsid w:val="009C5E7F"/>
    <w:rsid w:val="009C6082"/>
    <w:rsid w:val="009C777D"/>
    <w:rsid w:val="009C7C04"/>
    <w:rsid w:val="009D0D42"/>
    <w:rsid w:val="009D1A59"/>
    <w:rsid w:val="009D41CA"/>
    <w:rsid w:val="009D5953"/>
    <w:rsid w:val="009D5B1D"/>
    <w:rsid w:val="009D68F5"/>
    <w:rsid w:val="009D69E1"/>
    <w:rsid w:val="009D6FC8"/>
    <w:rsid w:val="009E01CB"/>
    <w:rsid w:val="009E05E0"/>
    <w:rsid w:val="009E0B02"/>
    <w:rsid w:val="009E0B34"/>
    <w:rsid w:val="009E188B"/>
    <w:rsid w:val="009E44EA"/>
    <w:rsid w:val="009E5B86"/>
    <w:rsid w:val="009E7839"/>
    <w:rsid w:val="009F041F"/>
    <w:rsid w:val="009F0B7A"/>
    <w:rsid w:val="009F272A"/>
    <w:rsid w:val="009F2C48"/>
    <w:rsid w:val="009F4DC9"/>
    <w:rsid w:val="009F7AF8"/>
    <w:rsid w:val="00A003B0"/>
    <w:rsid w:val="00A007C0"/>
    <w:rsid w:val="00A03B4D"/>
    <w:rsid w:val="00A04217"/>
    <w:rsid w:val="00A04CF2"/>
    <w:rsid w:val="00A05412"/>
    <w:rsid w:val="00A0555B"/>
    <w:rsid w:val="00A05825"/>
    <w:rsid w:val="00A06208"/>
    <w:rsid w:val="00A108BE"/>
    <w:rsid w:val="00A10B3A"/>
    <w:rsid w:val="00A11D98"/>
    <w:rsid w:val="00A12DF5"/>
    <w:rsid w:val="00A132F0"/>
    <w:rsid w:val="00A134A1"/>
    <w:rsid w:val="00A13A15"/>
    <w:rsid w:val="00A1421C"/>
    <w:rsid w:val="00A1525C"/>
    <w:rsid w:val="00A154D2"/>
    <w:rsid w:val="00A15560"/>
    <w:rsid w:val="00A15AC0"/>
    <w:rsid w:val="00A22C50"/>
    <w:rsid w:val="00A22F0D"/>
    <w:rsid w:val="00A23A4E"/>
    <w:rsid w:val="00A24CD0"/>
    <w:rsid w:val="00A267CB"/>
    <w:rsid w:val="00A26E07"/>
    <w:rsid w:val="00A30291"/>
    <w:rsid w:val="00A30419"/>
    <w:rsid w:val="00A30423"/>
    <w:rsid w:val="00A309EB"/>
    <w:rsid w:val="00A30EBD"/>
    <w:rsid w:val="00A320A6"/>
    <w:rsid w:val="00A3245F"/>
    <w:rsid w:val="00A32BC5"/>
    <w:rsid w:val="00A33276"/>
    <w:rsid w:val="00A33A26"/>
    <w:rsid w:val="00A352C0"/>
    <w:rsid w:val="00A360D0"/>
    <w:rsid w:val="00A36979"/>
    <w:rsid w:val="00A36B12"/>
    <w:rsid w:val="00A36DE8"/>
    <w:rsid w:val="00A3730D"/>
    <w:rsid w:val="00A40457"/>
    <w:rsid w:val="00A404F4"/>
    <w:rsid w:val="00A41DAD"/>
    <w:rsid w:val="00A4460B"/>
    <w:rsid w:val="00A44DBA"/>
    <w:rsid w:val="00A479DB"/>
    <w:rsid w:val="00A50325"/>
    <w:rsid w:val="00A517C5"/>
    <w:rsid w:val="00A51D5D"/>
    <w:rsid w:val="00A51FBF"/>
    <w:rsid w:val="00A523AD"/>
    <w:rsid w:val="00A54135"/>
    <w:rsid w:val="00A569C9"/>
    <w:rsid w:val="00A56DC7"/>
    <w:rsid w:val="00A579B7"/>
    <w:rsid w:val="00A57EDE"/>
    <w:rsid w:val="00A57EEB"/>
    <w:rsid w:val="00A61DC0"/>
    <w:rsid w:val="00A61E6F"/>
    <w:rsid w:val="00A642BA"/>
    <w:rsid w:val="00A648C9"/>
    <w:rsid w:val="00A64B1B"/>
    <w:rsid w:val="00A64F5E"/>
    <w:rsid w:val="00A654C1"/>
    <w:rsid w:val="00A660BA"/>
    <w:rsid w:val="00A670C2"/>
    <w:rsid w:val="00A71209"/>
    <w:rsid w:val="00A72604"/>
    <w:rsid w:val="00A7368E"/>
    <w:rsid w:val="00A73900"/>
    <w:rsid w:val="00A73B74"/>
    <w:rsid w:val="00A7416F"/>
    <w:rsid w:val="00A7551A"/>
    <w:rsid w:val="00A75B97"/>
    <w:rsid w:val="00A778D5"/>
    <w:rsid w:val="00A77CAF"/>
    <w:rsid w:val="00A81027"/>
    <w:rsid w:val="00A81590"/>
    <w:rsid w:val="00A81A5F"/>
    <w:rsid w:val="00A82EBD"/>
    <w:rsid w:val="00A841AA"/>
    <w:rsid w:val="00A84849"/>
    <w:rsid w:val="00A86287"/>
    <w:rsid w:val="00A92D44"/>
    <w:rsid w:val="00A9346B"/>
    <w:rsid w:val="00A93AEE"/>
    <w:rsid w:val="00A94497"/>
    <w:rsid w:val="00A94778"/>
    <w:rsid w:val="00A94D5C"/>
    <w:rsid w:val="00A9529D"/>
    <w:rsid w:val="00A97630"/>
    <w:rsid w:val="00AA0353"/>
    <w:rsid w:val="00AA0A9D"/>
    <w:rsid w:val="00AA1053"/>
    <w:rsid w:val="00AA4B32"/>
    <w:rsid w:val="00AA6333"/>
    <w:rsid w:val="00AA65E2"/>
    <w:rsid w:val="00AA6BBF"/>
    <w:rsid w:val="00AA71D8"/>
    <w:rsid w:val="00AB0A1E"/>
    <w:rsid w:val="00AB1F40"/>
    <w:rsid w:val="00AB33E6"/>
    <w:rsid w:val="00AB61AC"/>
    <w:rsid w:val="00AC19BD"/>
    <w:rsid w:val="00AC236E"/>
    <w:rsid w:val="00AC3735"/>
    <w:rsid w:val="00AC4D9B"/>
    <w:rsid w:val="00AC5494"/>
    <w:rsid w:val="00AC587C"/>
    <w:rsid w:val="00AC5AC4"/>
    <w:rsid w:val="00AC6D88"/>
    <w:rsid w:val="00AD42C5"/>
    <w:rsid w:val="00AD65A2"/>
    <w:rsid w:val="00AD696F"/>
    <w:rsid w:val="00AD6F5B"/>
    <w:rsid w:val="00AE090F"/>
    <w:rsid w:val="00AE0A9C"/>
    <w:rsid w:val="00AE0DEA"/>
    <w:rsid w:val="00AE11D4"/>
    <w:rsid w:val="00AE1E5C"/>
    <w:rsid w:val="00AE4F27"/>
    <w:rsid w:val="00AE7579"/>
    <w:rsid w:val="00AE7DFE"/>
    <w:rsid w:val="00AF1257"/>
    <w:rsid w:val="00AF1AF2"/>
    <w:rsid w:val="00AF1E22"/>
    <w:rsid w:val="00AF3E27"/>
    <w:rsid w:val="00AF42A4"/>
    <w:rsid w:val="00AF42EA"/>
    <w:rsid w:val="00AF548F"/>
    <w:rsid w:val="00AF54CD"/>
    <w:rsid w:val="00AF747D"/>
    <w:rsid w:val="00B015E1"/>
    <w:rsid w:val="00B02034"/>
    <w:rsid w:val="00B025D1"/>
    <w:rsid w:val="00B029D1"/>
    <w:rsid w:val="00B02A6F"/>
    <w:rsid w:val="00B032F3"/>
    <w:rsid w:val="00B03DFE"/>
    <w:rsid w:val="00B03E10"/>
    <w:rsid w:val="00B06751"/>
    <w:rsid w:val="00B06DCF"/>
    <w:rsid w:val="00B117B1"/>
    <w:rsid w:val="00B1180B"/>
    <w:rsid w:val="00B11923"/>
    <w:rsid w:val="00B13E0C"/>
    <w:rsid w:val="00B142E7"/>
    <w:rsid w:val="00B16E39"/>
    <w:rsid w:val="00B17360"/>
    <w:rsid w:val="00B17964"/>
    <w:rsid w:val="00B2232E"/>
    <w:rsid w:val="00B231CE"/>
    <w:rsid w:val="00B231FF"/>
    <w:rsid w:val="00B23492"/>
    <w:rsid w:val="00B23DC4"/>
    <w:rsid w:val="00B24078"/>
    <w:rsid w:val="00B25979"/>
    <w:rsid w:val="00B25DC6"/>
    <w:rsid w:val="00B26385"/>
    <w:rsid w:val="00B313BB"/>
    <w:rsid w:val="00B3193A"/>
    <w:rsid w:val="00B32295"/>
    <w:rsid w:val="00B32B93"/>
    <w:rsid w:val="00B332D4"/>
    <w:rsid w:val="00B33AA9"/>
    <w:rsid w:val="00B34187"/>
    <w:rsid w:val="00B343DA"/>
    <w:rsid w:val="00B34EDE"/>
    <w:rsid w:val="00B37581"/>
    <w:rsid w:val="00B37627"/>
    <w:rsid w:val="00B3778C"/>
    <w:rsid w:val="00B37902"/>
    <w:rsid w:val="00B37E3B"/>
    <w:rsid w:val="00B4060C"/>
    <w:rsid w:val="00B40C3D"/>
    <w:rsid w:val="00B42E36"/>
    <w:rsid w:val="00B43C86"/>
    <w:rsid w:val="00B44A54"/>
    <w:rsid w:val="00B44C73"/>
    <w:rsid w:val="00B44CA3"/>
    <w:rsid w:val="00B45B93"/>
    <w:rsid w:val="00B46604"/>
    <w:rsid w:val="00B4708D"/>
    <w:rsid w:val="00B50A38"/>
    <w:rsid w:val="00B51451"/>
    <w:rsid w:val="00B51A01"/>
    <w:rsid w:val="00B52248"/>
    <w:rsid w:val="00B53A5E"/>
    <w:rsid w:val="00B5493F"/>
    <w:rsid w:val="00B54DC7"/>
    <w:rsid w:val="00B550DB"/>
    <w:rsid w:val="00B553A8"/>
    <w:rsid w:val="00B55C80"/>
    <w:rsid w:val="00B560F5"/>
    <w:rsid w:val="00B56C20"/>
    <w:rsid w:val="00B60675"/>
    <w:rsid w:val="00B60C45"/>
    <w:rsid w:val="00B60EF8"/>
    <w:rsid w:val="00B61124"/>
    <w:rsid w:val="00B62877"/>
    <w:rsid w:val="00B63B0E"/>
    <w:rsid w:val="00B64EDE"/>
    <w:rsid w:val="00B64F99"/>
    <w:rsid w:val="00B65FAA"/>
    <w:rsid w:val="00B662E4"/>
    <w:rsid w:val="00B67466"/>
    <w:rsid w:val="00B67D60"/>
    <w:rsid w:val="00B706D7"/>
    <w:rsid w:val="00B70BD3"/>
    <w:rsid w:val="00B7118E"/>
    <w:rsid w:val="00B723D6"/>
    <w:rsid w:val="00B7257C"/>
    <w:rsid w:val="00B73E78"/>
    <w:rsid w:val="00B7567C"/>
    <w:rsid w:val="00B769DA"/>
    <w:rsid w:val="00B80286"/>
    <w:rsid w:val="00B80724"/>
    <w:rsid w:val="00B80AFD"/>
    <w:rsid w:val="00B81A62"/>
    <w:rsid w:val="00B81B2C"/>
    <w:rsid w:val="00B82714"/>
    <w:rsid w:val="00B82C5C"/>
    <w:rsid w:val="00B82D9F"/>
    <w:rsid w:val="00B83FDE"/>
    <w:rsid w:val="00B84934"/>
    <w:rsid w:val="00B84BDF"/>
    <w:rsid w:val="00B8617D"/>
    <w:rsid w:val="00B86559"/>
    <w:rsid w:val="00B8702F"/>
    <w:rsid w:val="00B87061"/>
    <w:rsid w:val="00B877C6"/>
    <w:rsid w:val="00B90029"/>
    <w:rsid w:val="00B90987"/>
    <w:rsid w:val="00B9429F"/>
    <w:rsid w:val="00B94B84"/>
    <w:rsid w:val="00B96624"/>
    <w:rsid w:val="00B97309"/>
    <w:rsid w:val="00BA0B0B"/>
    <w:rsid w:val="00BA1265"/>
    <w:rsid w:val="00BA190D"/>
    <w:rsid w:val="00BA2B99"/>
    <w:rsid w:val="00BA450E"/>
    <w:rsid w:val="00BA47B8"/>
    <w:rsid w:val="00BA650A"/>
    <w:rsid w:val="00BA76DD"/>
    <w:rsid w:val="00BB1460"/>
    <w:rsid w:val="00BB34B0"/>
    <w:rsid w:val="00BB3D7C"/>
    <w:rsid w:val="00BB484C"/>
    <w:rsid w:val="00BB5EF3"/>
    <w:rsid w:val="00BB6A0B"/>
    <w:rsid w:val="00BB7E1B"/>
    <w:rsid w:val="00BC04FB"/>
    <w:rsid w:val="00BC0A8C"/>
    <w:rsid w:val="00BC1839"/>
    <w:rsid w:val="00BC2262"/>
    <w:rsid w:val="00BC3046"/>
    <w:rsid w:val="00BC5F4C"/>
    <w:rsid w:val="00BC69DE"/>
    <w:rsid w:val="00BC7178"/>
    <w:rsid w:val="00BD19CB"/>
    <w:rsid w:val="00BD1F2E"/>
    <w:rsid w:val="00BD2B98"/>
    <w:rsid w:val="00BD3B8A"/>
    <w:rsid w:val="00BD3C30"/>
    <w:rsid w:val="00BD4981"/>
    <w:rsid w:val="00BD4B2D"/>
    <w:rsid w:val="00BD58DD"/>
    <w:rsid w:val="00BD6ED0"/>
    <w:rsid w:val="00BE1558"/>
    <w:rsid w:val="00BE1DB4"/>
    <w:rsid w:val="00BE31A8"/>
    <w:rsid w:val="00BE3D7B"/>
    <w:rsid w:val="00BE3EAA"/>
    <w:rsid w:val="00BE4695"/>
    <w:rsid w:val="00BE522D"/>
    <w:rsid w:val="00BE5416"/>
    <w:rsid w:val="00BE5644"/>
    <w:rsid w:val="00BE5802"/>
    <w:rsid w:val="00BE5C81"/>
    <w:rsid w:val="00BE72A2"/>
    <w:rsid w:val="00BE7DA8"/>
    <w:rsid w:val="00BF0205"/>
    <w:rsid w:val="00BF05B1"/>
    <w:rsid w:val="00BF2717"/>
    <w:rsid w:val="00BF3C4E"/>
    <w:rsid w:val="00BF3F7C"/>
    <w:rsid w:val="00BF4377"/>
    <w:rsid w:val="00BF4AB6"/>
    <w:rsid w:val="00BF4C02"/>
    <w:rsid w:val="00BF6058"/>
    <w:rsid w:val="00C015F9"/>
    <w:rsid w:val="00C02010"/>
    <w:rsid w:val="00C022E1"/>
    <w:rsid w:val="00C0276F"/>
    <w:rsid w:val="00C0424B"/>
    <w:rsid w:val="00C049B5"/>
    <w:rsid w:val="00C04F5B"/>
    <w:rsid w:val="00C05919"/>
    <w:rsid w:val="00C06F09"/>
    <w:rsid w:val="00C077D4"/>
    <w:rsid w:val="00C07E78"/>
    <w:rsid w:val="00C10626"/>
    <w:rsid w:val="00C10926"/>
    <w:rsid w:val="00C137DE"/>
    <w:rsid w:val="00C14848"/>
    <w:rsid w:val="00C152F3"/>
    <w:rsid w:val="00C16290"/>
    <w:rsid w:val="00C17D34"/>
    <w:rsid w:val="00C208B9"/>
    <w:rsid w:val="00C22406"/>
    <w:rsid w:val="00C2259A"/>
    <w:rsid w:val="00C226B0"/>
    <w:rsid w:val="00C2281A"/>
    <w:rsid w:val="00C22C73"/>
    <w:rsid w:val="00C235C1"/>
    <w:rsid w:val="00C23CBD"/>
    <w:rsid w:val="00C23D50"/>
    <w:rsid w:val="00C24BFD"/>
    <w:rsid w:val="00C271EE"/>
    <w:rsid w:val="00C307F0"/>
    <w:rsid w:val="00C30CF4"/>
    <w:rsid w:val="00C324ED"/>
    <w:rsid w:val="00C325B8"/>
    <w:rsid w:val="00C328E7"/>
    <w:rsid w:val="00C32E95"/>
    <w:rsid w:val="00C33D77"/>
    <w:rsid w:val="00C3440F"/>
    <w:rsid w:val="00C34B2D"/>
    <w:rsid w:val="00C35D51"/>
    <w:rsid w:val="00C35F0C"/>
    <w:rsid w:val="00C37B08"/>
    <w:rsid w:val="00C409A7"/>
    <w:rsid w:val="00C41B3A"/>
    <w:rsid w:val="00C41C95"/>
    <w:rsid w:val="00C4247A"/>
    <w:rsid w:val="00C426D8"/>
    <w:rsid w:val="00C42CA5"/>
    <w:rsid w:val="00C44951"/>
    <w:rsid w:val="00C44B25"/>
    <w:rsid w:val="00C4776A"/>
    <w:rsid w:val="00C50B4A"/>
    <w:rsid w:val="00C50B83"/>
    <w:rsid w:val="00C54AB8"/>
    <w:rsid w:val="00C57408"/>
    <w:rsid w:val="00C5764D"/>
    <w:rsid w:val="00C57E6D"/>
    <w:rsid w:val="00C60D62"/>
    <w:rsid w:val="00C62321"/>
    <w:rsid w:val="00C62564"/>
    <w:rsid w:val="00C626C5"/>
    <w:rsid w:val="00C631B7"/>
    <w:rsid w:val="00C639F5"/>
    <w:rsid w:val="00C648F8"/>
    <w:rsid w:val="00C64BA6"/>
    <w:rsid w:val="00C651B6"/>
    <w:rsid w:val="00C65FCA"/>
    <w:rsid w:val="00C66B5A"/>
    <w:rsid w:val="00C677F5"/>
    <w:rsid w:val="00C7164C"/>
    <w:rsid w:val="00C73249"/>
    <w:rsid w:val="00C73676"/>
    <w:rsid w:val="00C74188"/>
    <w:rsid w:val="00C7581E"/>
    <w:rsid w:val="00C759D0"/>
    <w:rsid w:val="00C760FB"/>
    <w:rsid w:val="00C82EF4"/>
    <w:rsid w:val="00C83804"/>
    <w:rsid w:val="00C83F19"/>
    <w:rsid w:val="00C8402E"/>
    <w:rsid w:val="00C84F5B"/>
    <w:rsid w:val="00C854CF"/>
    <w:rsid w:val="00C86565"/>
    <w:rsid w:val="00C8657F"/>
    <w:rsid w:val="00C8796E"/>
    <w:rsid w:val="00C87EC7"/>
    <w:rsid w:val="00C900A1"/>
    <w:rsid w:val="00C90183"/>
    <w:rsid w:val="00C9108B"/>
    <w:rsid w:val="00C91576"/>
    <w:rsid w:val="00C922F9"/>
    <w:rsid w:val="00C92C75"/>
    <w:rsid w:val="00C93436"/>
    <w:rsid w:val="00C94C16"/>
    <w:rsid w:val="00C95D23"/>
    <w:rsid w:val="00C9617B"/>
    <w:rsid w:val="00C9799C"/>
    <w:rsid w:val="00CA0528"/>
    <w:rsid w:val="00CA11B4"/>
    <w:rsid w:val="00CA19CF"/>
    <w:rsid w:val="00CA359F"/>
    <w:rsid w:val="00CA3C29"/>
    <w:rsid w:val="00CA4045"/>
    <w:rsid w:val="00CA48C0"/>
    <w:rsid w:val="00CA50E8"/>
    <w:rsid w:val="00CA58D0"/>
    <w:rsid w:val="00CA6484"/>
    <w:rsid w:val="00CA6575"/>
    <w:rsid w:val="00CA741E"/>
    <w:rsid w:val="00CA7426"/>
    <w:rsid w:val="00CA75A8"/>
    <w:rsid w:val="00CA7750"/>
    <w:rsid w:val="00CB04CA"/>
    <w:rsid w:val="00CB09A5"/>
    <w:rsid w:val="00CB1844"/>
    <w:rsid w:val="00CB1B12"/>
    <w:rsid w:val="00CB1BAF"/>
    <w:rsid w:val="00CB1F92"/>
    <w:rsid w:val="00CB383A"/>
    <w:rsid w:val="00CB440D"/>
    <w:rsid w:val="00CB67CC"/>
    <w:rsid w:val="00CC0143"/>
    <w:rsid w:val="00CC16F2"/>
    <w:rsid w:val="00CC2512"/>
    <w:rsid w:val="00CC3C24"/>
    <w:rsid w:val="00CC5360"/>
    <w:rsid w:val="00CC5D2C"/>
    <w:rsid w:val="00CC6492"/>
    <w:rsid w:val="00CC7085"/>
    <w:rsid w:val="00CC708F"/>
    <w:rsid w:val="00CD3648"/>
    <w:rsid w:val="00CD3B41"/>
    <w:rsid w:val="00CD3EC7"/>
    <w:rsid w:val="00CD567C"/>
    <w:rsid w:val="00CD5F9E"/>
    <w:rsid w:val="00CD6C17"/>
    <w:rsid w:val="00CE1141"/>
    <w:rsid w:val="00CE11DD"/>
    <w:rsid w:val="00CE2543"/>
    <w:rsid w:val="00CE3CAE"/>
    <w:rsid w:val="00CE7A10"/>
    <w:rsid w:val="00CF0973"/>
    <w:rsid w:val="00CF0C7E"/>
    <w:rsid w:val="00CF1F3F"/>
    <w:rsid w:val="00CF2F03"/>
    <w:rsid w:val="00CF416D"/>
    <w:rsid w:val="00CF43BC"/>
    <w:rsid w:val="00CF43E4"/>
    <w:rsid w:val="00CF49F5"/>
    <w:rsid w:val="00CF4BED"/>
    <w:rsid w:val="00CF5B13"/>
    <w:rsid w:val="00CF6C69"/>
    <w:rsid w:val="00CF72B4"/>
    <w:rsid w:val="00D0241B"/>
    <w:rsid w:val="00D024A4"/>
    <w:rsid w:val="00D02E29"/>
    <w:rsid w:val="00D033E2"/>
    <w:rsid w:val="00D03CAD"/>
    <w:rsid w:val="00D03FAF"/>
    <w:rsid w:val="00D04AAA"/>
    <w:rsid w:val="00D0663A"/>
    <w:rsid w:val="00D0711C"/>
    <w:rsid w:val="00D07E91"/>
    <w:rsid w:val="00D11D70"/>
    <w:rsid w:val="00D136BF"/>
    <w:rsid w:val="00D1435E"/>
    <w:rsid w:val="00D1464A"/>
    <w:rsid w:val="00D169A3"/>
    <w:rsid w:val="00D16CF9"/>
    <w:rsid w:val="00D16D4C"/>
    <w:rsid w:val="00D1721C"/>
    <w:rsid w:val="00D175F2"/>
    <w:rsid w:val="00D21AEF"/>
    <w:rsid w:val="00D22436"/>
    <w:rsid w:val="00D2471F"/>
    <w:rsid w:val="00D24C4B"/>
    <w:rsid w:val="00D2581F"/>
    <w:rsid w:val="00D2631D"/>
    <w:rsid w:val="00D269EB"/>
    <w:rsid w:val="00D27B5C"/>
    <w:rsid w:val="00D31338"/>
    <w:rsid w:val="00D32112"/>
    <w:rsid w:val="00D326C7"/>
    <w:rsid w:val="00D32C3F"/>
    <w:rsid w:val="00D33B12"/>
    <w:rsid w:val="00D35791"/>
    <w:rsid w:val="00D37289"/>
    <w:rsid w:val="00D403CE"/>
    <w:rsid w:val="00D4147D"/>
    <w:rsid w:val="00D4226C"/>
    <w:rsid w:val="00D4256A"/>
    <w:rsid w:val="00D44C6D"/>
    <w:rsid w:val="00D4693A"/>
    <w:rsid w:val="00D46AFF"/>
    <w:rsid w:val="00D47410"/>
    <w:rsid w:val="00D5002F"/>
    <w:rsid w:val="00D5167B"/>
    <w:rsid w:val="00D51C16"/>
    <w:rsid w:val="00D51E23"/>
    <w:rsid w:val="00D524A3"/>
    <w:rsid w:val="00D52C55"/>
    <w:rsid w:val="00D53603"/>
    <w:rsid w:val="00D55422"/>
    <w:rsid w:val="00D55B3E"/>
    <w:rsid w:val="00D56764"/>
    <w:rsid w:val="00D6069D"/>
    <w:rsid w:val="00D60753"/>
    <w:rsid w:val="00D60868"/>
    <w:rsid w:val="00D60CCE"/>
    <w:rsid w:val="00D60FA0"/>
    <w:rsid w:val="00D6105B"/>
    <w:rsid w:val="00D612ED"/>
    <w:rsid w:val="00D62C94"/>
    <w:rsid w:val="00D6460E"/>
    <w:rsid w:val="00D6634C"/>
    <w:rsid w:val="00D66A35"/>
    <w:rsid w:val="00D66D3F"/>
    <w:rsid w:val="00D67D87"/>
    <w:rsid w:val="00D70564"/>
    <w:rsid w:val="00D7321A"/>
    <w:rsid w:val="00D7332C"/>
    <w:rsid w:val="00D75112"/>
    <w:rsid w:val="00D7562B"/>
    <w:rsid w:val="00D776D5"/>
    <w:rsid w:val="00D80415"/>
    <w:rsid w:val="00D80985"/>
    <w:rsid w:val="00D8226A"/>
    <w:rsid w:val="00D82649"/>
    <w:rsid w:val="00D82951"/>
    <w:rsid w:val="00D82B1D"/>
    <w:rsid w:val="00D8381D"/>
    <w:rsid w:val="00D8754E"/>
    <w:rsid w:val="00D90B47"/>
    <w:rsid w:val="00D91FCA"/>
    <w:rsid w:val="00D92A44"/>
    <w:rsid w:val="00D934A8"/>
    <w:rsid w:val="00D937E6"/>
    <w:rsid w:val="00D9523D"/>
    <w:rsid w:val="00D95DED"/>
    <w:rsid w:val="00DA1107"/>
    <w:rsid w:val="00DA1C82"/>
    <w:rsid w:val="00DA1F69"/>
    <w:rsid w:val="00DA29DF"/>
    <w:rsid w:val="00DA3513"/>
    <w:rsid w:val="00DA3A30"/>
    <w:rsid w:val="00DA45D7"/>
    <w:rsid w:val="00DA4E62"/>
    <w:rsid w:val="00DA535A"/>
    <w:rsid w:val="00DA5D8C"/>
    <w:rsid w:val="00DA74FB"/>
    <w:rsid w:val="00DA7ABF"/>
    <w:rsid w:val="00DB02BE"/>
    <w:rsid w:val="00DB12D5"/>
    <w:rsid w:val="00DB18C0"/>
    <w:rsid w:val="00DB1FC9"/>
    <w:rsid w:val="00DB2813"/>
    <w:rsid w:val="00DB3474"/>
    <w:rsid w:val="00DB3544"/>
    <w:rsid w:val="00DB601B"/>
    <w:rsid w:val="00DB73C2"/>
    <w:rsid w:val="00DB77D0"/>
    <w:rsid w:val="00DC004B"/>
    <w:rsid w:val="00DC08FA"/>
    <w:rsid w:val="00DC0B1A"/>
    <w:rsid w:val="00DC0DD6"/>
    <w:rsid w:val="00DC1253"/>
    <w:rsid w:val="00DC1C81"/>
    <w:rsid w:val="00DC2AB3"/>
    <w:rsid w:val="00DC4BD3"/>
    <w:rsid w:val="00DC62FF"/>
    <w:rsid w:val="00DC674B"/>
    <w:rsid w:val="00DD0AB4"/>
    <w:rsid w:val="00DD2966"/>
    <w:rsid w:val="00DD4303"/>
    <w:rsid w:val="00DD4632"/>
    <w:rsid w:val="00DD4D2E"/>
    <w:rsid w:val="00DD5A0B"/>
    <w:rsid w:val="00DD5E68"/>
    <w:rsid w:val="00DD7168"/>
    <w:rsid w:val="00DD7713"/>
    <w:rsid w:val="00DD7922"/>
    <w:rsid w:val="00DD7B36"/>
    <w:rsid w:val="00DD7B49"/>
    <w:rsid w:val="00DE085E"/>
    <w:rsid w:val="00DE1BD9"/>
    <w:rsid w:val="00DE2331"/>
    <w:rsid w:val="00DE257F"/>
    <w:rsid w:val="00DE2706"/>
    <w:rsid w:val="00DE29FF"/>
    <w:rsid w:val="00DE34C8"/>
    <w:rsid w:val="00DE350D"/>
    <w:rsid w:val="00DE3942"/>
    <w:rsid w:val="00DE6602"/>
    <w:rsid w:val="00DE69D6"/>
    <w:rsid w:val="00DE6B55"/>
    <w:rsid w:val="00DE7AD0"/>
    <w:rsid w:val="00DF01B3"/>
    <w:rsid w:val="00DF0529"/>
    <w:rsid w:val="00DF1D57"/>
    <w:rsid w:val="00DF3074"/>
    <w:rsid w:val="00DF3AED"/>
    <w:rsid w:val="00DF4221"/>
    <w:rsid w:val="00DF45E2"/>
    <w:rsid w:val="00DF520F"/>
    <w:rsid w:val="00DF5C7E"/>
    <w:rsid w:val="00DF61D9"/>
    <w:rsid w:val="00DF6FD9"/>
    <w:rsid w:val="00DF77D9"/>
    <w:rsid w:val="00DF7D39"/>
    <w:rsid w:val="00E01417"/>
    <w:rsid w:val="00E014AC"/>
    <w:rsid w:val="00E024DA"/>
    <w:rsid w:val="00E02D1A"/>
    <w:rsid w:val="00E033A1"/>
    <w:rsid w:val="00E0401B"/>
    <w:rsid w:val="00E0479F"/>
    <w:rsid w:val="00E06464"/>
    <w:rsid w:val="00E06649"/>
    <w:rsid w:val="00E06FD0"/>
    <w:rsid w:val="00E10BB1"/>
    <w:rsid w:val="00E10C65"/>
    <w:rsid w:val="00E11369"/>
    <w:rsid w:val="00E11449"/>
    <w:rsid w:val="00E11D50"/>
    <w:rsid w:val="00E1275B"/>
    <w:rsid w:val="00E130D3"/>
    <w:rsid w:val="00E1327D"/>
    <w:rsid w:val="00E1444E"/>
    <w:rsid w:val="00E14A14"/>
    <w:rsid w:val="00E153D3"/>
    <w:rsid w:val="00E15FB1"/>
    <w:rsid w:val="00E16669"/>
    <w:rsid w:val="00E20C0D"/>
    <w:rsid w:val="00E2165E"/>
    <w:rsid w:val="00E21BF3"/>
    <w:rsid w:val="00E22086"/>
    <w:rsid w:val="00E22A76"/>
    <w:rsid w:val="00E22B3D"/>
    <w:rsid w:val="00E23017"/>
    <w:rsid w:val="00E23BFF"/>
    <w:rsid w:val="00E24A17"/>
    <w:rsid w:val="00E2538F"/>
    <w:rsid w:val="00E25AB7"/>
    <w:rsid w:val="00E2711F"/>
    <w:rsid w:val="00E30395"/>
    <w:rsid w:val="00E3096E"/>
    <w:rsid w:val="00E31201"/>
    <w:rsid w:val="00E316D8"/>
    <w:rsid w:val="00E33A9A"/>
    <w:rsid w:val="00E3512E"/>
    <w:rsid w:val="00E3668D"/>
    <w:rsid w:val="00E4053B"/>
    <w:rsid w:val="00E408BC"/>
    <w:rsid w:val="00E410C9"/>
    <w:rsid w:val="00E41E15"/>
    <w:rsid w:val="00E43AE4"/>
    <w:rsid w:val="00E43C0E"/>
    <w:rsid w:val="00E44A4D"/>
    <w:rsid w:val="00E45134"/>
    <w:rsid w:val="00E45ABF"/>
    <w:rsid w:val="00E47B82"/>
    <w:rsid w:val="00E521F5"/>
    <w:rsid w:val="00E540CB"/>
    <w:rsid w:val="00E55EFB"/>
    <w:rsid w:val="00E5679B"/>
    <w:rsid w:val="00E575A5"/>
    <w:rsid w:val="00E5768B"/>
    <w:rsid w:val="00E57FD6"/>
    <w:rsid w:val="00E60603"/>
    <w:rsid w:val="00E612D5"/>
    <w:rsid w:val="00E617A7"/>
    <w:rsid w:val="00E621CB"/>
    <w:rsid w:val="00E623F1"/>
    <w:rsid w:val="00E6376F"/>
    <w:rsid w:val="00E64094"/>
    <w:rsid w:val="00E65957"/>
    <w:rsid w:val="00E666BC"/>
    <w:rsid w:val="00E6699C"/>
    <w:rsid w:val="00E67A5F"/>
    <w:rsid w:val="00E70D30"/>
    <w:rsid w:val="00E71DCB"/>
    <w:rsid w:val="00E7207B"/>
    <w:rsid w:val="00E721C2"/>
    <w:rsid w:val="00E74374"/>
    <w:rsid w:val="00E748A6"/>
    <w:rsid w:val="00E75466"/>
    <w:rsid w:val="00E75749"/>
    <w:rsid w:val="00E75A68"/>
    <w:rsid w:val="00E75DCA"/>
    <w:rsid w:val="00E7792C"/>
    <w:rsid w:val="00E80676"/>
    <w:rsid w:val="00E84219"/>
    <w:rsid w:val="00E84ACA"/>
    <w:rsid w:val="00E84D4C"/>
    <w:rsid w:val="00E84DAE"/>
    <w:rsid w:val="00E85453"/>
    <w:rsid w:val="00E85C4F"/>
    <w:rsid w:val="00E879C3"/>
    <w:rsid w:val="00E90131"/>
    <w:rsid w:val="00E90702"/>
    <w:rsid w:val="00E9191B"/>
    <w:rsid w:val="00E93633"/>
    <w:rsid w:val="00E93F12"/>
    <w:rsid w:val="00E94B2D"/>
    <w:rsid w:val="00EA0C77"/>
    <w:rsid w:val="00EA2021"/>
    <w:rsid w:val="00EA4888"/>
    <w:rsid w:val="00EA4EFF"/>
    <w:rsid w:val="00EA5BE6"/>
    <w:rsid w:val="00EA5E7B"/>
    <w:rsid w:val="00EA749B"/>
    <w:rsid w:val="00EA7545"/>
    <w:rsid w:val="00EA7A07"/>
    <w:rsid w:val="00EB2AD9"/>
    <w:rsid w:val="00EB2BA2"/>
    <w:rsid w:val="00EB2BEF"/>
    <w:rsid w:val="00EB35B6"/>
    <w:rsid w:val="00EB5397"/>
    <w:rsid w:val="00EB773D"/>
    <w:rsid w:val="00EB7A55"/>
    <w:rsid w:val="00EC0A70"/>
    <w:rsid w:val="00EC16B0"/>
    <w:rsid w:val="00EC2FC7"/>
    <w:rsid w:val="00EC35D8"/>
    <w:rsid w:val="00EC5095"/>
    <w:rsid w:val="00EC6075"/>
    <w:rsid w:val="00EC615C"/>
    <w:rsid w:val="00EC68B0"/>
    <w:rsid w:val="00EC74E2"/>
    <w:rsid w:val="00ED0BE3"/>
    <w:rsid w:val="00ED136A"/>
    <w:rsid w:val="00ED2ED6"/>
    <w:rsid w:val="00ED3038"/>
    <w:rsid w:val="00ED3903"/>
    <w:rsid w:val="00ED4669"/>
    <w:rsid w:val="00ED7806"/>
    <w:rsid w:val="00EE09A7"/>
    <w:rsid w:val="00EE0CB1"/>
    <w:rsid w:val="00EE2CC9"/>
    <w:rsid w:val="00EE33AB"/>
    <w:rsid w:val="00EE3732"/>
    <w:rsid w:val="00EE3B7C"/>
    <w:rsid w:val="00EE5016"/>
    <w:rsid w:val="00EE5479"/>
    <w:rsid w:val="00EE5BA3"/>
    <w:rsid w:val="00EE7D72"/>
    <w:rsid w:val="00EE7F36"/>
    <w:rsid w:val="00EF1E30"/>
    <w:rsid w:val="00EF1FE0"/>
    <w:rsid w:val="00EF2117"/>
    <w:rsid w:val="00EF5F4A"/>
    <w:rsid w:val="00EF639A"/>
    <w:rsid w:val="00EF66B5"/>
    <w:rsid w:val="00EF6DC8"/>
    <w:rsid w:val="00F007A5"/>
    <w:rsid w:val="00F04375"/>
    <w:rsid w:val="00F05AB5"/>
    <w:rsid w:val="00F061A9"/>
    <w:rsid w:val="00F0722B"/>
    <w:rsid w:val="00F07F2A"/>
    <w:rsid w:val="00F108A2"/>
    <w:rsid w:val="00F109D8"/>
    <w:rsid w:val="00F118D6"/>
    <w:rsid w:val="00F11C0B"/>
    <w:rsid w:val="00F1218E"/>
    <w:rsid w:val="00F12725"/>
    <w:rsid w:val="00F2052D"/>
    <w:rsid w:val="00F20A3A"/>
    <w:rsid w:val="00F21479"/>
    <w:rsid w:val="00F219AA"/>
    <w:rsid w:val="00F23ECA"/>
    <w:rsid w:val="00F24C18"/>
    <w:rsid w:val="00F25421"/>
    <w:rsid w:val="00F26A0E"/>
    <w:rsid w:val="00F30012"/>
    <w:rsid w:val="00F30EFD"/>
    <w:rsid w:val="00F326AA"/>
    <w:rsid w:val="00F3314D"/>
    <w:rsid w:val="00F33CBE"/>
    <w:rsid w:val="00F346E5"/>
    <w:rsid w:val="00F34CF6"/>
    <w:rsid w:val="00F35FA2"/>
    <w:rsid w:val="00F36432"/>
    <w:rsid w:val="00F3653A"/>
    <w:rsid w:val="00F36A25"/>
    <w:rsid w:val="00F3778F"/>
    <w:rsid w:val="00F4359E"/>
    <w:rsid w:val="00F43FF9"/>
    <w:rsid w:val="00F44D40"/>
    <w:rsid w:val="00F451E6"/>
    <w:rsid w:val="00F4521A"/>
    <w:rsid w:val="00F46B03"/>
    <w:rsid w:val="00F50E36"/>
    <w:rsid w:val="00F5177E"/>
    <w:rsid w:val="00F539F0"/>
    <w:rsid w:val="00F53C11"/>
    <w:rsid w:val="00F554F1"/>
    <w:rsid w:val="00F5555D"/>
    <w:rsid w:val="00F55C92"/>
    <w:rsid w:val="00F57C93"/>
    <w:rsid w:val="00F60E70"/>
    <w:rsid w:val="00F6198D"/>
    <w:rsid w:val="00F61B36"/>
    <w:rsid w:val="00F633AA"/>
    <w:rsid w:val="00F63947"/>
    <w:rsid w:val="00F63DF0"/>
    <w:rsid w:val="00F63ED3"/>
    <w:rsid w:val="00F64881"/>
    <w:rsid w:val="00F65F2D"/>
    <w:rsid w:val="00F662ED"/>
    <w:rsid w:val="00F665B6"/>
    <w:rsid w:val="00F6770E"/>
    <w:rsid w:val="00F715AF"/>
    <w:rsid w:val="00F72F58"/>
    <w:rsid w:val="00F73233"/>
    <w:rsid w:val="00F73329"/>
    <w:rsid w:val="00F741F0"/>
    <w:rsid w:val="00F75C87"/>
    <w:rsid w:val="00F768FE"/>
    <w:rsid w:val="00F76D2C"/>
    <w:rsid w:val="00F77F25"/>
    <w:rsid w:val="00F82C8F"/>
    <w:rsid w:val="00F83681"/>
    <w:rsid w:val="00F83742"/>
    <w:rsid w:val="00F838E4"/>
    <w:rsid w:val="00F8510B"/>
    <w:rsid w:val="00F912DF"/>
    <w:rsid w:val="00F92CCC"/>
    <w:rsid w:val="00F937BE"/>
    <w:rsid w:val="00F93AF6"/>
    <w:rsid w:val="00F93E49"/>
    <w:rsid w:val="00F945FF"/>
    <w:rsid w:val="00F94FA3"/>
    <w:rsid w:val="00F94FBA"/>
    <w:rsid w:val="00F955BF"/>
    <w:rsid w:val="00F9614B"/>
    <w:rsid w:val="00F97CDD"/>
    <w:rsid w:val="00FA00CE"/>
    <w:rsid w:val="00FA09E1"/>
    <w:rsid w:val="00FA25FC"/>
    <w:rsid w:val="00FA44E2"/>
    <w:rsid w:val="00FA5568"/>
    <w:rsid w:val="00FA57EF"/>
    <w:rsid w:val="00FA601A"/>
    <w:rsid w:val="00FA716D"/>
    <w:rsid w:val="00FB2D70"/>
    <w:rsid w:val="00FB3DD6"/>
    <w:rsid w:val="00FB67C6"/>
    <w:rsid w:val="00FB736E"/>
    <w:rsid w:val="00FB7518"/>
    <w:rsid w:val="00FC1E60"/>
    <w:rsid w:val="00FC1FF6"/>
    <w:rsid w:val="00FC2707"/>
    <w:rsid w:val="00FC4148"/>
    <w:rsid w:val="00FC4C54"/>
    <w:rsid w:val="00FC5204"/>
    <w:rsid w:val="00FC672E"/>
    <w:rsid w:val="00FC6C5D"/>
    <w:rsid w:val="00FC6FFA"/>
    <w:rsid w:val="00FC7872"/>
    <w:rsid w:val="00FD076D"/>
    <w:rsid w:val="00FD0EBB"/>
    <w:rsid w:val="00FD1825"/>
    <w:rsid w:val="00FD2E84"/>
    <w:rsid w:val="00FD37F8"/>
    <w:rsid w:val="00FD39D9"/>
    <w:rsid w:val="00FD4A9A"/>
    <w:rsid w:val="00FE0661"/>
    <w:rsid w:val="00FE1A37"/>
    <w:rsid w:val="00FE3029"/>
    <w:rsid w:val="00FE353A"/>
    <w:rsid w:val="00FE62A7"/>
    <w:rsid w:val="00FE63FD"/>
    <w:rsid w:val="00FE792B"/>
    <w:rsid w:val="00FE7D64"/>
    <w:rsid w:val="00FF15A6"/>
    <w:rsid w:val="00FF1893"/>
    <w:rsid w:val="00FF2C73"/>
    <w:rsid w:val="00FF4162"/>
    <w:rsid w:val="00FF41E8"/>
    <w:rsid w:val="00FF5C07"/>
    <w:rsid w:val="5459DB53"/>
    <w:rsid w:val="6C501E6F"/>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E588ABE"/>
  <w15:chartTrackingRefBased/>
  <w15:docId w15:val="{A26BABAC-2CBB-4AF7-86B5-F55E456A6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67C"/>
    <w:pPr>
      <w:spacing w:after="200" w:line="276" w:lineRule="auto"/>
    </w:pPr>
    <w:rPr>
      <w:rFonts w:ascii="Calibri" w:eastAsia="Calibri" w:hAnsi="Calibri" w:cs="Times New Roman"/>
      <w:lang w:val="es-ES"/>
    </w:rPr>
  </w:style>
  <w:style w:type="paragraph" w:styleId="Ttulo1">
    <w:name w:val="heading 1"/>
    <w:aliases w:val="h1,Heading I"/>
    <w:basedOn w:val="Normal"/>
    <w:next w:val="Normal"/>
    <w:link w:val="Ttulo1Car"/>
    <w:uiPriority w:val="9"/>
    <w:qFormat/>
    <w:rsid w:val="000F16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2TitSec,Heading II"/>
    <w:basedOn w:val="Normal"/>
    <w:next w:val="Normal"/>
    <w:link w:val="Ttulo2Car"/>
    <w:uiPriority w:val="9"/>
    <w:unhideWhenUsed/>
    <w:qFormat/>
    <w:rsid w:val="00626B37"/>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aliases w:val="h3"/>
    <w:basedOn w:val="Normal"/>
    <w:next w:val="Normal"/>
    <w:link w:val="Ttulo3Car"/>
    <w:uiPriority w:val="9"/>
    <w:qFormat/>
    <w:rsid w:val="00350F69"/>
    <w:pPr>
      <w:keepNext/>
      <w:spacing w:after="0" w:line="240" w:lineRule="auto"/>
      <w:ind w:left="2630"/>
      <w:jc w:val="both"/>
      <w:outlineLvl w:val="2"/>
    </w:pPr>
    <w:rPr>
      <w:rFonts w:ascii="Arial" w:eastAsia="Times New Roman" w:hAnsi="Arial" w:cs="Arial"/>
      <w:b/>
      <w:bCs/>
      <w:szCs w:val="20"/>
      <w:lang w:val="es-MX"/>
    </w:rPr>
  </w:style>
  <w:style w:type="paragraph" w:styleId="Ttulo4">
    <w:name w:val="heading 4"/>
    <w:basedOn w:val="Normal"/>
    <w:next w:val="Normal"/>
    <w:link w:val="Ttulo4Car"/>
    <w:uiPriority w:val="9"/>
    <w:qFormat/>
    <w:rsid w:val="00350F69"/>
    <w:pPr>
      <w:keepNext/>
      <w:spacing w:before="240" w:after="60" w:line="240" w:lineRule="auto"/>
      <w:jc w:val="both"/>
      <w:outlineLvl w:val="3"/>
    </w:pPr>
    <w:rPr>
      <w:rFonts w:ascii="Times New Roman" w:eastAsia="Times New Roman" w:hAnsi="Times New Roman"/>
      <w:b/>
      <w:bCs/>
      <w:sz w:val="28"/>
      <w:szCs w:val="28"/>
      <w:lang w:val="es-MX" w:eastAsia="es-ES"/>
    </w:rPr>
  </w:style>
  <w:style w:type="paragraph" w:styleId="Ttulo5">
    <w:name w:val="heading 5"/>
    <w:aliases w:val="Considerando,Apartado_sub"/>
    <w:basedOn w:val="Normal"/>
    <w:next w:val="Normal"/>
    <w:link w:val="Ttulo5Car"/>
    <w:qFormat/>
    <w:rsid w:val="00350F69"/>
    <w:pPr>
      <w:keepNext/>
      <w:spacing w:after="0" w:line="240" w:lineRule="auto"/>
      <w:jc w:val="both"/>
      <w:outlineLvl w:val="4"/>
    </w:pPr>
    <w:rPr>
      <w:rFonts w:ascii="Arial" w:eastAsia="Times New Roman" w:hAnsi="Arial"/>
      <w:b/>
      <w:sz w:val="20"/>
      <w:szCs w:val="20"/>
      <w:lang w:val="es-MX"/>
    </w:rPr>
  </w:style>
  <w:style w:type="paragraph" w:styleId="Ttulo6">
    <w:name w:val="heading 6"/>
    <w:basedOn w:val="Normal"/>
    <w:next w:val="Normal"/>
    <w:link w:val="Ttulo6Car"/>
    <w:qFormat/>
    <w:rsid w:val="00350F69"/>
    <w:pPr>
      <w:spacing w:before="240" w:after="60" w:line="240" w:lineRule="auto"/>
      <w:jc w:val="both"/>
      <w:outlineLvl w:val="5"/>
    </w:pPr>
    <w:rPr>
      <w:rFonts w:ascii="Times New Roman" w:eastAsia="Times New Roman" w:hAnsi="Times New Roman"/>
      <w:b/>
      <w:bCs/>
      <w:lang w:val="es-MX" w:eastAsia="es-ES"/>
    </w:rPr>
  </w:style>
  <w:style w:type="paragraph" w:styleId="Ttulo7">
    <w:name w:val="heading 7"/>
    <w:basedOn w:val="Normal"/>
    <w:next w:val="Normal"/>
    <w:link w:val="Ttulo7Car"/>
    <w:qFormat/>
    <w:rsid w:val="00350F69"/>
    <w:pPr>
      <w:spacing w:before="240" w:after="60" w:line="240" w:lineRule="auto"/>
      <w:jc w:val="both"/>
      <w:outlineLvl w:val="6"/>
    </w:pPr>
    <w:rPr>
      <w:rFonts w:ascii="Times New Roman" w:eastAsia="Times New Roman" w:hAnsi="Times New Roman"/>
      <w:sz w:val="24"/>
      <w:szCs w:val="24"/>
      <w:lang w:val="es-MX" w:eastAsia="es-ES"/>
    </w:rPr>
  </w:style>
  <w:style w:type="paragraph" w:styleId="Ttulo8">
    <w:name w:val="heading 8"/>
    <w:basedOn w:val="Normal"/>
    <w:next w:val="Normal"/>
    <w:link w:val="Ttulo8Car"/>
    <w:qFormat/>
    <w:rsid w:val="00350F69"/>
    <w:pPr>
      <w:keepNext/>
      <w:spacing w:after="0" w:line="240" w:lineRule="auto"/>
      <w:jc w:val="center"/>
      <w:outlineLvl w:val="7"/>
    </w:pPr>
    <w:rPr>
      <w:rFonts w:ascii="Arial" w:eastAsia="Times New Roman" w:hAnsi="Arial"/>
      <w:b/>
      <w:szCs w:val="20"/>
      <w:lang w:val="es-MX" w:eastAsia="es-ES"/>
    </w:rPr>
  </w:style>
  <w:style w:type="paragraph" w:styleId="Ttulo9">
    <w:name w:val="heading 9"/>
    <w:aliases w:val="Citaciones"/>
    <w:basedOn w:val="Normal"/>
    <w:next w:val="Normal"/>
    <w:link w:val="Ttulo9Car"/>
    <w:qFormat/>
    <w:rsid w:val="00350F69"/>
    <w:pPr>
      <w:spacing w:before="240" w:after="60" w:line="240" w:lineRule="auto"/>
      <w:jc w:val="both"/>
      <w:outlineLvl w:val="8"/>
    </w:pPr>
    <w:rPr>
      <w:rFonts w:ascii="Arial" w:eastAsia="Times New Roman" w:hAnsi="Arial" w:cs="Arial"/>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0">
    <w:name w:val="estilo30"/>
    <w:basedOn w:val="Normal"/>
    <w:rsid w:val="00CE11DD"/>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Footnote"/>
    <w:basedOn w:val="Normal"/>
    <w:link w:val="PrrafodelistaCar"/>
    <w:uiPriority w:val="34"/>
    <w:qFormat/>
    <w:rsid w:val="00CE11DD"/>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CE11DD"/>
  </w:style>
  <w:style w:type="paragraph" w:styleId="Textoindependiente">
    <w:name w:val="Body Text"/>
    <w:basedOn w:val="Normal"/>
    <w:link w:val="TextoindependienteCar"/>
    <w:unhideWhenUsed/>
    <w:rsid w:val="00CE11DD"/>
    <w:pPr>
      <w:spacing w:after="120"/>
    </w:pPr>
  </w:style>
  <w:style w:type="character" w:customStyle="1" w:styleId="TextoindependienteCar">
    <w:name w:val="Texto independiente Car"/>
    <w:basedOn w:val="Fuentedeprrafopredeter"/>
    <w:link w:val="Textoindependiente"/>
    <w:rsid w:val="00CE11DD"/>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Footnote Car"/>
    <w:link w:val="Prrafodelista"/>
    <w:uiPriority w:val="34"/>
    <w:rsid w:val="00CE11DD"/>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626B37"/>
    <w:pPr>
      <w:spacing w:after="120" w:line="480" w:lineRule="auto"/>
    </w:pPr>
  </w:style>
  <w:style w:type="character" w:customStyle="1" w:styleId="Textoindependiente2Car">
    <w:name w:val="Texto independiente 2 Car"/>
    <w:basedOn w:val="Fuentedeprrafopredeter"/>
    <w:link w:val="Textoindependiente2"/>
    <w:rsid w:val="00626B37"/>
    <w:rPr>
      <w:rFonts w:ascii="Calibri" w:eastAsia="Calibri" w:hAnsi="Calibri" w:cs="Times New Roman"/>
    </w:rPr>
  </w:style>
  <w:style w:type="character" w:customStyle="1" w:styleId="Ttulo2Car">
    <w:name w:val="Título 2 Car"/>
    <w:aliases w:val="h2 Car,2TitSec Car,Heading II Car"/>
    <w:basedOn w:val="Fuentedeprrafopredeter"/>
    <w:link w:val="Ttulo2"/>
    <w:uiPriority w:val="9"/>
    <w:rsid w:val="00626B37"/>
    <w:rPr>
      <w:rFonts w:ascii="ITC Avant Garde" w:eastAsia="Times New Roman" w:hAnsi="ITC Avant Garde" w:cs="Times New Roman"/>
      <w:b/>
      <w:color w:val="000000"/>
      <w:lang w:val="es-ES" w:eastAsia="es-MX"/>
    </w:rPr>
  </w:style>
  <w:style w:type="table" w:styleId="Tablaconcuadrcula">
    <w:name w:val="Table Grid"/>
    <w:basedOn w:val="Tablanormal"/>
    <w:uiPriority w:val="59"/>
    <w:rsid w:val="00626B37"/>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626B37"/>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626B37"/>
    <w:rPr>
      <w:rFonts w:eastAsiaTheme="minorEastAsia"/>
      <w:sz w:val="16"/>
      <w:szCs w:val="16"/>
      <w:lang w:bidi="en-US"/>
    </w:rPr>
  </w:style>
  <w:style w:type="character" w:customStyle="1" w:styleId="Ttulo1Car">
    <w:name w:val="Título 1 Car"/>
    <w:aliases w:val="h1 Car,Heading I Car"/>
    <w:basedOn w:val="Fuentedeprrafopredeter"/>
    <w:link w:val="Ttulo1"/>
    <w:uiPriority w:val="9"/>
    <w:rsid w:val="000F1667"/>
    <w:rPr>
      <w:rFonts w:asciiTheme="majorHAnsi" w:eastAsiaTheme="majorEastAsia" w:hAnsiTheme="majorHAnsi" w:cstheme="majorBidi"/>
      <w:color w:val="2E74B5" w:themeColor="accent1" w:themeShade="BF"/>
      <w:sz w:val="32"/>
      <w:szCs w:val="32"/>
    </w:rPr>
  </w:style>
  <w:style w:type="paragraph" w:styleId="Lista">
    <w:name w:val="List"/>
    <w:basedOn w:val="Normal"/>
    <w:unhideWhenUsed/>
    <w:rsid w:val="000F1667"/>
    <w:pPr>
      <w:ind w:left="283" w:hanging="283"/>
      <w:contextualSpacing/>
    </w:pPr>
  </w:style>
  <w:style w:type="paragraph" w:styleId="Lista2">
    <w:name w:val="List 2"/>
    <w:basedOn w:val="Normal"/>
    <w:unhideWhenUsed/>
    <w:rsid w:val="000F1667"/>
    <w:pPr>
      <w:ind w:left="566" w:hanging="283"/>
      <w:contextualSpacing/>
    </w:pPr>
  </w:style>
  <w:style w:type="paragraph" w:styleId="Sangradetextonormal">
    <w:name w:val="Body Text Indent"/>
    <w:basedOn w:val="Normal"/>
    <w:link w:val="SangradetextonormalCar"/>
    <w:unhideWhenUsed/>
    <w:rsid w:val="000F1667"/>
    <w:pPr>
      <w:spacing w:after="120"/>
      <w:ind w:left="283"/>
    </w:pPr>
  </w:style>
  <w:style w:type="character" w:customStyle="1" w:styleId="SangradetextonormalCar">
    <w:name w:val="Sangría de texto normal Car"/>
    <w:basedOn w:val="Fuentedeprrafopredeter"/>
    <w:link w:val="Sangradetextonormal"/>
    <w:rsid w:val="000F1667"/>
    <w:rPr>
      <w:rFonts w:ascii="Calibri" w:eastAsia="Calibri" w:hAnsi="Calibri" w:cs="Times New Roman"/>
    </w:rPr>
  </w:style>
  <w:style w:type="paragraph" w:styleId="Textoindependienteprimerasangra2">
    <w:name w:val="Body Text First Indent 2"/>
    <w:basedOn w:val="Sangradetextonormal"/>
    <w:link w:val="Textoindependienteprimerasangra2Car"/>
    <w:unhideWhenUsed/>
    <w:rsid w:val="000F1667"/>
    <w:pPr>
      <w:spacing w:after="200"/>
      <w:ind w:left="360" w:firstLine="360"/>
    </w:pPr>
  </w:style>
  <w:style w:type="character" w:customStyle="1" w:styleId="Textoindependienteprimerasangra2Car">
    <w:name w:val="Texto independiente primera sangría 2 Car"/>
    <w:basedOn w:val="SangradetextonormalCar"/>
    <w:link w:val="Textoindependienteprimerasangra2"/>
    <w:rsid w:val="000F1667"/>
    <w:rPr>
      <w:rFonts w:ascii="Calibri" w:eastAsia="Calibri" w:hAnsi="Calibri" w:cs="Times New Roman"/>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unhideWhenUsed/>
    <w:qFormat/>
    <w:rsid w:val="000F1667"/>
    <w:pPr>
      <w:spacing w:after="0" w:line="240" w:lineRule="auto"/>
    </w:pPr>
    <w:rPr>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uiPriority w:val="99"/>
    <w:rsid w:val="000F1667"/>
    <w:rPr>
      <w:rFonts w:ascii="Calibri" w:eastAsia="Calibri" w:hAnsi="Calibri" w:cs="Times New Roman"/>
      <w:sz w:val="20"/>
      <w:szCs w:val="20"/>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basedOn w:val="Fuentedeprrafopredeter"/>
    <w:uiPriority w:val="99"/>
    <w:unhideWhenUsed/>
    <w:qFormat/>
    <w:rsid w:val="000F1667"/>
    <w:rPr>
      <w:vertAlign w:val="superscript"/>
    </w:rPr>
  </w:style>
  <w:style w:type="character" w:styleId="Hipervnculo">
    <w:name w:val="Hyperlink"/>
    <w:basedOn w:val="Fuentedeprrafopredeter"/>
    <w:unhideWhenUsed/>
    <w:rsid w:val="00BD4B2D"/>
    <w:rPr>
      <w:color w:val="0563C1" w:themeColor="hyperlink"/>
      <w:u w:val="single"/>
    </w:rPr>
  </w:style>
  <w:style w:type="paragraph" w:styleId="Sinespaciado">
    <w:name w:val="No Spacing"/>
    <w:uiPriority w:val="1"/>
    <w:qFormat/>
    <w:rsid w:val="00B25979"/>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EE37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E3732"/>
    <w:rPr>
      <w:rFonts w:ascii="Segoe UI" w:eastAsia="Calibri" w:hAnsi="Segoe UI" w:cs="Segoe UI"/>
      <w:sz w:val="18"/>
      <w:szCs w:val="18"/>
    </w:rPr>
  </w:style>
  <w:style w:type="paragraph" w:styleId="Encabezado">
    <w:name w:val="header"/>
    <w:basedOn w:val="Normal"/>
    <w:link w:val="EncabezadoCar"/>
    <w:uiPriority w:val="99"/>
    <w:unhideWhenUsed/>
    <w:rsid w:val="00BB6A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6A0B"/>
    <w:rPr>
      <w:rFonts w:ascii="Calibri" w:eastAsia="Calibri" w:hAnsi="Calibri" w:cs="Times New Roman"/>
    </w:rPr>
  </w:style>
  <w:style w:type="paragraph" w:styleId="Piedepgina">
    <w:name w:val="footer"/>
    <w:basedOn w:val="Normal"/>
    <w:link w:val="PiedepginaCar"/>
    <w:uiPriority w:val="99"/>
    <w:unhideWhenUsed/>
    <w:rsid w:val="00BB6A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A0B"/>
    <w:rPr>
      <w:rFonts w:ascii="Calibri" w:eastAsia="Calibri" w:hAnsi="Calibri" w:cs="Times New Roman"/>
    </w:rPr>
  </w:style>
  <w:style w:type="character" w:customStyle="1" w:styleId="N1IFTCar">
    <w:name w:val="N1 IFT Car"/>
    <w:basedOn w:val="Fuentedeprrafopredeter"/>
    <w:link w:val="N1IFT"/>
    <w:locked/>
    <w:rsid w:val="00EB7A55"/>
    <w:rPr>
      <w:rFonts w:ascii="ITC Avant Garde" w:hAnsi="ITC Avant Garde"/>
      <w:b/>
      <w:bCs/>
      <w:color w:val="000000"/>
      <w:lang w:eastAsia="es-ES"/>
    </w:rPr>
  </w:style>
  <w:style w:type="paragraph" w:customStyle="1" w:styleId="N1IFT">
    <w:name w:val="N1 IFT"/>
    <w:basedOn w:val="Normal"/>
    <w:link w:val="N1IFTCar"/>
    <w:qFormat/>
    <w:rsid w:val="00EB7A55"/>
    <w:pPr>
      <w:jc w:val="both"/>
    </w:pPr>
    <w:rPr>
      <w:rFonts w:ascii="ITC Avant Garde" w:eastAsiaTheme="minorHAnsi" w:hAnsi="ITC Avant Garde" w:cstheme="minorBidi"/>
      <w:b/>
      <w:bCs/>
      <w:color w:val="000000"/>
      <w:lang w:eastAsia="es-ES"/>
    </w:rPr>
  </w:style>
  <w:style w:type="character" w:customStyle="1" w:styleId="Ttulo3Car">
    <w:name w:val="Título 3 Car"/>
    <w:aliases w:val="h3 Car"/>
    <w:basedOn w:val="Fuentedeprrafopredeter"/>
    <w:link w:val="Ttulo3"/>
    <w:uiPriority w:val="9"/>
    <w:rsid w:val="00350F69"/>
    <w:rPr>
      <w:rFonts w:ascii="Arial" w:eastAsia="Times New Roman" w:hAnsi="Arial" w:cs="Arial"/>
      <w:b/>
      <w:bCs/>
      <w:szCs w:val="20"/>
    </w:rPr>
  </w:style>
  <w:style w:type="character" w:customStyle="1" w:styleId="Ttulo4Car">
    <w:name w:val="Título 4 Car"/>
    <w:basedOn w:val="Fuentedeprrafopredeter"/>
    <w:link w:val="Ttulo4"/>
    <w:uiPriority w:val="9"/>
    <w:rsid w:val="00350F69"/>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350F69"/>
    <w:rPr>
      <w:rFonts w:ascii="Arial" w:eastAsia="Times New Roman" w:hAnsi="Arial" w:cs="Times New Roman"/>
      <w:b/>
      <w:sz w:val="20"/>
      <w:szCs w:val="20"/>
    </w:rPr>
  </w:style>
  <w:style w:type="character" w:customStyle="1" w:styleId="Ttulo6Car">
    <w:name w:val="Título 6 Car"/>
    <w:basedOn w:val="Fuentedeprrafopredeter"/>
    <w:link w:val="Ttulo6"/>
    <w:rsid w:val="00350F69"/>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350F69"/>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350F69"/>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350F69"/>
    <w:rPr>
      <w:rFonts w:ascii="Arial" w:eastAsia="Times New Roman" w:hAnsi="Arial" w:cs="Arial"/>
      <w:lang w:eastAsia="es-ES"/>
    </w:rPr>
  </w:style>
  <w:style w:type="paragraph" w:styleId="NormalWeb">
    <w:name w:val="Normal (Web)"/>
    <w:basedOn w:val="Normal"/>
    <w:uiPriority w:val="99"/>
    <w:unhideWhenUsed/>
    <w:rsid w:val="00350F69"/>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Default">
    <w:name w:val="Default"/>
    <w:rsid w:val="00350F69"/>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uiPriority w:val="99"/>
    <w:semiHidden/>
    <w:unhideWhenUsed/>
    <w:rsid w:val="00350F69"/>
  </w:style>
  <w:style w:type="character" w:styleId="Nmerodepgina">
    <w:name w:val="page number"/>
    <w:basedOn w:val="Fuentedeprrafopredeter"/>
    <w:rsid w:val="00350F69"/>
  </w:style>
  <w:style w:type="paragraph" w:styleId="Ttulo">
    <w:name w:val="Title"/>
    <w:basedOn w:val="Normal"/>
    <w:link w:val="TtuloCar"/>
    <w:qFormat/>
    <w:rsid w:val="00350F69"/>
    <w:pPr>
      <w:spacing w:after="0" w:line="240" w:lineRule="auto"/>
      <w:jc w:val="center"/>
    </w:pPr>
    <w:rPr>
      <w:rFonts w:ascii="Arial" w:eastAsia="Times New Roman" w:hAnsi="Arial"/>
      <w:b/>
      <w:szCs w:val="20"/>
      <w:lang w:val="es-MX"/>
    </w:rPr>
  </w:style>
  <w:style w:type="character" w:customStyle="1" w:styleId="TtuloCar">
    <w:name w:val="Título Car"/>
    <w:basedOn w:val="Fuentedeprrafopredeter"/>
    <w:link w:val="Ttulo"/>
    <w:rsid w:val="00350F69"/>
    <w:rPr>
      <w:rFonts w:ascii="Arial" w:eastAsia="Times New Roman" w:hAnsi="Arial" w:cs="Times New Roman"/>
      <w:b/>
      <w:szCs w:val="20"/>
    </w:rPr>
  </w:style>
  <w:style w:type="paragraph" w:styleId="Sangra2detindependiente">
    <w:name w:val="Body Text Indent 2"/>
    <w:basedOn w:val="Normal"/>
    <w:link w:val="Sangra2detindependienteCar"/>
    <w:rsid w:val="00350F69"/>
    <w:pPr>
      <w:spacing w:after="0" w:line="240" w:lineRule="auto"/>
      <w:ind w:left="708"/>
      <w:jc w:val="both"/>
    </w:pPr>
    <w:rPr>
      <w:rFonts w:ascii="Arial" w:eastAsia="Times New Roman" w:hAnsi="Arial"/>
      <w:szCs w:val="20"/>
      <w:lang w:val="es-MX"/>
    </w:rPr>
  </w:style>
  <w:style w:type="character" w:customStyle="1" w:styleId="Sangra2detindependienteCar">
    <w:name w:val="Sangría 2 de t. independiente Car"/>
    <w:basedOn w:val="Fuentedeprrafopredeter"/>
    <w:link w:val="Sangra2detindependiente"/>
    <w:rsid w:val="00350F69"/>
    <w:rPr>
      <w:rFonts w:ascii="Arial" w:eastAsia="Times New Roman" w:hAnsi="Arial" w:cs="Times New Roman"/>
      <w:szCs w:val="20"/>
    </w:rPr>
  </w:style>
  <w:style w:type="paragraph" w:styleId="Subttulo">
    <w:name w:val="Subtitle"/>
    <w:basedOn w:val="Normal"/>
    <w:link w:val="SubttuloCar"/>
    <w:qFormat/>
    <w:rsid w:val="00350F69"/>
    <w:pPr>
      <w:spacing w:after="0" w:line="230" w:lineRule="auto"/>
      <w:ind w:left="4253"/>
      <w:jc w:val="both"/>
    </w:pPr>
    <w:rPr>
      <w:rFonts w:ascii="Arial" w:eastAsia="Times New Roman" w:hAnsi="Arial" w:cs="Arial"/>
      <w:b/>
      <w:szCs w:val="24"/>
      <w:lang w:val="es-MX" w:eastAsia="es-ES"/>
    </w:rPr>
  </w:style>
  <w:style w:type="character" w:customStyle="1" w:styleId="SubttuloCar">
    <w:name w:val="Subtítulo Car"/>
    <w:basedOn w:val="Fuentedeprrafopredeter"/>
    <w:link w:val="Subttulo"/>
    <w:rsid w:val="00350F69"/>
    <w:rPr>
      <w:rFonts w:ascii="Arial" w:eastAsia="Times New Roman" w:hAnsi="Arial" w:cs="Arial"/>
      <w:b/>
      <w:szCs w:val="24"/>
      <w:lang w:eastAsia="es-ES"/>
    </w:rPr>
  </w:style>
  <w:style w:type="paragraph" w:styleId="Textoindependiente3">
    <w:name w:val="Body Text 3"/>
    <w:basedOn w:val="Normal"/>
    <w:link w:val="Textoindependiente3Car"/>
    <w:rsid w:val="00350F69"/>
    <w:pPr>
      <w:spacing w:after="0" w:line="240" w:lineRule="auto"/>
      <w:ind w:right="138"/>
      <w:jc w:val="both"/>
    </w:pPr>
    <w:rPr>
      <w:rFonts w:ascii="Arial" w:eastAsia="Times New Roman" w:hAnsi="Arial" w:cs="Arial"/>
      <w:szCs w:val="24"/>
      <w:lang w:val="es-MX" w:eastAsia="es-ES"/>
    </w:rPr>
  </w:style>
  <w:style w:type="character" w:customStyle="1" w:styleId="Textoindependiente3Car">
    <w:name w:val="Texto independiente 3 Car"/>
    <w:basedOn w:val="Fuentedeprrafopredeter"/>
    <w:link w:val="Textoindependiente3"/>
    <w:rsid w:val="00350F69"/>
    <w:rPr>
      <w:rFonts w:ascii="Arial" w:eastAsia="Times New Roman" w:hAnsi="Arial" w:cs="Arial"/>
      <w:szCs w:val="24"/>
      <w:lang w:eastAsia="es-ES"/>
    </w:rPr>
  </w:style>
  <w:style w:type="paragraph" w:styleId="Sangra3detindependiente">
    <w:name w:val="Body Text Indent 3"/>
    <w:basedOn w:val="Normal"/>
    <w:link w:val="Sangra3detindependienteCar"/>
    <w:rsid w:val="00350F69"/>
    <w:pPr>
      <w:spacing w:before="120" w:after="120" w:line="240" w:lineRule="auto"/>
      <w:ind w:left="708"/>
      <w:jc w:val="both"/>
    </w:pPr>
    <w:rPr>
      <w:rFonts w:ascii="Arial" w:eastAsia="Times New Roman" w:hAnsi="Arial"/>
      <w:i/>
      <w:sz w:val="20"/>
      <w:szCs w:val="20"/>
      <w:lang w:val="es-MX" w:eastAsia="es-ES"/>
    </w:rPr>
  </w:style>
  <w:style w:type="character" w:customStyle="1" w:styleId="Sangra3detindependienteCar">
    <w:name w:val="Sangría 3 de t. independiente Car"/>
    <w:basedOn w:val="Fuentedeprrafopredeter"/>
    <w:link w:val="Sangra3detindependiente"/>
    <w:rsid w:val="00350F69"/>
    <w:rPr>
      <w:rFonts w:ascii="Arial" w:eastAsia="Times New Roman" w:hAnsi="Arial" w:cs="Times New Roman"/>
      <w:i/>
      <w:sz w:val="20"/>
      <w:szCs w:val="20"/>
      <w:lang w:eastAsia="es-ES"/>
    </w:rPr>
  </w:style>
  <w:style w:type="paragraph" w:customStyle="1" w:styleId="TEXT">
    <w:name w:val="TEXT"/>
    <w:basedOn w:val="Normal"/>
    <w:rsid w:val="00350F69"/>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Normal"/>
    <w:next w:val="Normal"/>
    <w:rsid w:val="00350F69"/>
    <w:pPr>
      <w:widowControl w:val="0"/>
      <w:autoSpaceDE w:val="0"/>
      <w:autoSpaceDN w:val="0"/>
      <w:adjustRightInd w:val="0"/>
      <w:spacing w:after="225" w:line="240" w:lineRule="auto"/>
    </w:pPr>
    <w:rPr>
      <w:rFonts w:ascii="Garamond" w:eastAsia="Times New Roman" w:hAnsi="Garamond" w:cs="Garamond"/>
      <w:sz w:val="24"/>
      <w:szCs w:val="24"/>
      <w:lang w:eastAsia="es-ES"/>
    </w:rPr>
  </w:style>
  <w:style w:type="paragraph" w:customStyle="1" w:styleId="ROMANOS">
    <w:name w:val="ROMANOS"/>
    <w:basedOn w:val="Normal"/>
    <w:link w:val="ROMANOSCar"/>
    <w:rsid w:val="00350F69"/>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350F69"/>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350F69"/>
  </w:style>
  <w:style w:type="paragraph" w:customStyle="1" w:styleId="call">
    <w:name w:val="call"/>
    <w:basedOn w:val="Normal"/>
    <w:next w:val="Normal"/>
    <w:rsid w:val="00350F69"/>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350F69"/>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rsid w:val="00350F69"/>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350F69"/>
    <w:pPr>
      <w:spacing w:after="0" w:line="240" w:lineRule="auto"/>
    </w:pPr>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350F69"/>
    <w:rPr>
      <w:rFonts w:ascii="Courier New" w:eastAsia="Times New Roman" w:hAnsi="Courier New" w:cs="Courier New"/>
      <w:sz w:val="20"/>
      <w:szCs w:val="20"/>
      <w:lang w:eastAsia="es-ES"/>
    </w:rPr>
  </w:style>
  <w:style w:type="character" w:styleId="Refdecomentario">
    <w:name w:val="annotation reference"/>
    <w:uiPriority w:val="99"/>
    <w:rsid w:val="00350F69"/>
    <w:rPr>
      <w:sz w:val="16"/>
      <w:szCs w:val="16"/>
    </w:rPr>
  </w:style>
  <w:style w:type="paragraph" w:customStyle="1" w:styleId="TextoCar">
    <w:name w:val="Texto Car"/>
    <w:basedOn w:val="Normal"/>
    <w:rsid w:val="00350F69"/>
    <w:pPr>
      <w:spacing w:after="101" w:line="216" w:lineRule="exact"/>
      <w:ind w:firstLine="288"/>
      <w:jc w:val="both"/>
    </w:pPr>
    <w:rPr>
      <w:rFonts w:ascii="Arial" w:eastAsia="Times New Roman" w:hAnsi="Arial" w:cs="Arial"/>
      <w:sz w:val="18"/>
      <w:szCs w:val="20"/>
      <w:lang w:eastAsia="es-MX"/>
    </w:rPr>
  </w:style>
  <w:style w:type="paragraph" w:styleId="Textocomentario">
    <w:name w:val="annotation text"/>
    <w:basedOn w:val="Normal"/>
    <w:link w:val="TextocomentarioCar"/>
    <w:uiPriority w:val="99"/>
    <w:qFormat/>
    <w:rsid w:val="00350F69"/>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350F69"/>
    <w:rPr>
      <w:rFonts w:ascii="Times New Roman" w:eastAsia="Times New Roman" w:hAnsi="Times New Roman" w:cs="Times New Roman"/>
      <w:sz w:val="20"/>
      <w:szCs w:val="20"/>
      <w:lang w:val="es-ES" w:eastAsia="es-ES"/>
    </w:rPr>
  </w:style>
  <w:style w:type="character" w:customStyle="1" w:styleId="estilo71">
    <w:name w:val="estilo71"/>
    <w:rsid w:val="00350F69"/>
    <w:rPr>
      <w:rFonts w:ascii="Arial" w:hAnsi="Arial" w:cs="Arial" w:hint="default"/>
      <w:sz w:val="15"/>
      <w:szCs w:val="15"/>
    </w:rPr>
  </w:style>
  <w:style w:type="paragraph" w:customStyle="1" w:styleId="contenidos">
    <w:name w:val="contenidos"/>
    <w:basedOn w:val="Normal"/>
    <w:rsid w:val="00350F69"/>
    <w:pPr>
      <w:spacing w:before="100" w:beforeAutospacing="1" w:after="100" w:afterAutospacing="1" w:line="240" w:lineRule="auto"/>
      <w:jc w:val="both"/>
    </w:pPr>
    <w:rPr>
      <w:rFonts w:ascii="Verdana" w:eastAsia="Times New Roman" w:hAnsi="Verdana"/>
      <w:color w:val="000000"/>
      <w:sz w:val="18"/>
      <w:szCs w:val="18"/>
      <w:lang w:eastAsia="es-ES"/>
    </w:rPr>
  </w:style>
  <w:style w:type="character" w:customStyle="1" w:styleId="titsecciones1">
    <w:name w:val="titsecciones1"/>
    <w:rsid w:val="00350F69"/>
    <w:rPr>
      <w:rFonts w:ascii="Arial" w:hAnsi="Arial" w:cs="Arial" w:hint="default"/>
      <w:b/>
      <w:bCs/>
      <w:strike w:val="0"/>
      <w:dstrike w:val="0"/>
      <w:color w:val="8F840D"/>
      <w:sz w:val="24"/>
      <w:szCs w:val="24"/>
      <w:u w:val="none"/>
      <w:effect w:val="none"/>
    </w:rPr>
  </w:style>
  <w:style w:type="character" w:customStyle="1" w:styleId="contenidos1">
    <w:name w:val="contenidos1"/>
    <w:rsid w:val="00350F69"/>
    <w:rPr>
      <w:rFonts w:ascii="Verdana" w:hAnsi="Verdana" w:hint="default"/>
      <w:color w:val="000000"/>
      <w:sz w:val="18"/>
      <w:szCs w:val="18"/>
    </w:rPr>
  </w:style>
  <w:style w:type="character" w:customStyle="1" w:styleId="linkconta1">
    <w:name w:val="linkconta1"/>
    <w:rsid w:val="00350F69"/>
    <w:rPr>
      <w:rFonts w:ascii="Verdana" w:hAnsi="Verdana" w:hint="default"/>
      <w:sz w:val="18"/>
      <w:szCs w:val="18"/>
    </w:rPr>
  </w:style>
  <w:style w:type="character" w:styleId="Textoennegrita">
    <w:name w:val="Strong"/>
    <w:qFormat/>
    <w:rsid w:val="00350F69"/>
    <w:rPr>
      <w:b/>
      <w:bCs/>
    </w:rPr>
  </w:style>
  <w:style w:type="paragraph" w:styleId="Textodebloque">
    <w:name w:val="Block Text"/>
    <w:basedOn w:val="Normal"/>
    <w:rsid w:val="00350F69"/>
    <w:pPr>
      <w:spacing w:after="0" w:line="240" w:lineRule="auto"/>
      <w:ind w:left="1134" w:right="1134"/>
      <w:jc w:val="both"/>
    </w:pPr>
    <w:rPr>
      <w:rFonts w:ascii="Arial" w:eastAsia="Times New Roman" w:hAnsi="Arial" w:cs="Arial"/>
      <w:sz w:val="20"/>
      <w:szCs w:val="24"/>
      <w:lang w:eastAsia="es-ES"/>
    </w:rPr>
  </w:style>
  <w:style w:type="character" w:styleId="Hipervnculovisitado">
    <w:name w:val="FollowedHyperlink"/>
    <w:uiPriority w:val="99"/>
    <w:rsid w:val="00350F69"/>
    <w:rPr>
      <w:color w:val="800080"/>
      <w:u w:val="single"/>
    </w:rPr>
  </w:style>
  <w:style w:type="paragraph" w:styleId="Asuntodelcomentario">
    <w:name w:val="annotation subject"/>
    <w:basedOn w:val="Textocomentario"/>
    <w:next w:val="Textocomentario"/>
    <w:link w:val="AsuntodelcomentarioCar"/>
    <w:uiPriority w:val="99"/>
    <w:unhideWhenUsed/>
    <w:rsid w:val="00350F69"/>
    <w:rPr>
      <w:b/>
      <w:bCs/>
    </w:rPr>
  </w:style>
  <w:style w:type="character" w:customStyle="1" w:styleId="AsuntodelcomentarioCar">
    <w:name w:val="Asunto del comentario Car"/>
    <w:basedOn w:val="TextocomentarioCar"/>
    <w:link w:val="Asuntodelcomentario"/>
    <w:uiPriority w:val="99"/>
    <w:rsid w:val="00350F69"/>
    <w:rPr>
      <w:rFonts w:ascii="Times New Roman" w:eastAsia="Times New Roman" w:hAnsi="Times New Roman" w:cs="Times New Roman"/>
      <w:b/>
      <w:bCs/>
      <w:sz w:val="20"/>
      <w:szCs w:val="20"/>
      <w:lang w:val="es-ES" w:eastAsia="es-ES"/>
    </w:rPr>
  </w:style>
  <w:style w:type="paragraph" w:styleId="Lista3">
    <w:name w:val="List 3"/>
    <w:basedOn w:val="Normal"/>
    <w:rsid w:val="00350F69"/>
    <w:pPr>
      <w:spacing w:after="0" w:line="240" w:lineRule="auto"/>
      <w:ind w:left="849" w:hanging="283"/>
    </w:pPr>
    <w:rPr>
      <w:rFonts w:ascii="Times New Roman" w:eastAsia="Times New Roman" w:hAnsi="Times New Roman"/>
      <w:sz w:val="24"/>
      <w:szCs w:val="24"/>
      <w:lang w:eastAsia="es-ES"/>
    </w:rPr>
  </w:style>
  <w:style w:type="paragraph" w:styleId="Encabezadodemensaje">
    <w:name w:val="Message Header"/>
    <w:basedOn w:val="Normal"/>
    <w:link w:val="EncabezadodemensajeCar"/>
    <w:rsid w:val="00350F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s-ES"/>
    </w:rPr>
  </w:style>
  <w:style w:type="character" w:customStyle="1" w:styleId="EncabezadodemensajeCar">
    <w:name w:val="Encabezado de mensaje Car"/>
    <w:basedOn w:val="Fuentedeprrafopredeter"/>
    <w:link w:val="Encabezadodemensaje"/>
    <w:rsid w:val="00350F69"/>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350F69"/>
    <w:pPr>
      <w:spacing w:after="0" w:line="240" w:lineRule="auto"/>
    </w:pPr>
    <w:rPr>
      <w:rFonts w:ascii="Times New Roman" w:eastAsia="Times New Roman" w:hAnsi="Times New Roman"/>
      <w:sz w:val="24"/>
      <w:szCs w:val="24"/>
      <w:lang w:eastAsia="es-ES"/>
    </w:rPr>
  </w:style>
  <w:style w:type="character" w:customStyle="1" w:styleId="SaludoCar">
    <w:name w:val="Saludo Car"/>
    <w:basedOn w:val="Fuentedeprrafopredeter"/>
    <w:link w:val="Saludo"/>
    <w:rsid w:val="00350F69"/>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350F69"/>
    <w:pPr>
      <w:numPr>
        <w:numId w:val="4"/>
      </w:numPr>
      <w:spacing w:after="0" w:line="240" w:lineRule="auto"/>
    </w:pPr>
    <w:rPr>
      <w:rFonts w:ascii="Times New Roman" w:eastAsia="Times New Roman" w:hAnsi="Times New Roman"/>
      <w:sz w:val="24"/>
      <w:szCs w:val="24"/>
      <w:lang w:eastAsia="es-ES"/>
    </w:rPr>
  </w:style>
  <w:style w:type="paragraph" w:styleId="Continuarlista">
    <w:name w:val="List Continue"/>
    <w:basedOn w:val="Normal"/>
    <w:rsid w:val="00350F69"/>
    <w:pPr>
      <w:spacing w:after="120" w:line="240" w:lineRule="auto"/>
      <w:ind w:left="283"/>
    </w:pPr>
    <w:rPr>
      <w:rFonts w:ascii="Times New Roman" w:eastAsia="Times New Roman" w:hAnsi="Times New Roman"/>
      <w:sz w:val="24"/>
      <w:szCs w:val="24"/>
      <w:lang w:eastAsia="es-ES"/>
    </w:rPr>
  </w:style>
  <w:style w:type="paragraph" w:customStyle="1" w:styleId="Direccininterior">
    <w:name w:val="Dirección interior"/>
    <w:basedOn w:val="Normal"/>
    <w:rsid w:val="00350F69"/>
    <w:pPr>
      <w:spacing w:after="0" w:line="240" w:lineRule="auto"/>
    </w:pPr>
    <w:rPr>
      <w:rFonts w:ascii="Times New Roman" w:eastAsia="Times New Roman" w:hAnsi="Times New Roman"/>
      <w:sz w:val="24"/>
      <w:szCs w:val="24"/>
      <w:lang w:eastAsia="es-ES"/>
    </w:rPr>
  </w:style>
  <w:style w:type="paragraph" w:customStyle="1" w:styleId="Lneadeasunto">
    <w:name w:val="Línea de asunto"/>
    <w:basedOn w:val="Normal"/>
    <w:rsid w:val="00350F69"/>
    <w:pPr>
      <w:spacing w:after="0" w:line="240" w:lineRule="auto"/>
    </w:pPr>
    <w:rPr>
      <w:rFonts w:ascii="Times New Roman" w:eastAsia="Times New Roman" w:hAnsi="Times New Roman"/>
      <w:sz w:val="24"/>
      <w:szCs w:val="24"/>
      <w:lang w:eastAsia="es-ES"/>
    </w:rPr>
  </w:style>
  <w:style w:type="paragraph" w:customStyle="1" w:styleId="Lneadereferencia">
    <w:name w:val="Línea de referencia"/>
    <w:basedOn w:val="Textoindependiente"/>
    <w:rsid w:val="00350F69"/>
    <w:pPr>
      <w:spacing w:after="0" w:line="240" w:lineRule="auto"/>
      <w:jc w:val="both"/>
    </w:pPr>
    <w:rPr>
      <w:rFonts w:ascii="Arial" w:eastAsia="Times New Roman" w:hAnsi="Arial"/>
      <w:sz w:val="24"/>
      <w:szCs w:val="24"/>
      <w:lang w:eastAsia="es-MX"/>
    </w:rPr>
  </w:style>
  <w:style w:type="paragraph" w:styleId="Textoindependienteprimerasangra">
    <w:name w:val="Body Text First Indent"/>
    <w:basedOn w:val="Textoindependiente"/>
    <w:link w:val="TextoindependienteprimerasangraCar"/>
    <w:rsid w:val="00350F69"/>
    <w:pPr>
      <w:spacing w:line="240" w:lineRule="auto"/>
      <w:ind w:firstLine="210"/>
    </w:pPr>
    <w:rPr>
      <w:rFonts w:ascii="Times New Roman" w:eastAsia="Times New Roman"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rsid w:val="00350F69"/>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rsid w:val="00350F69"/>
    <w:pPr>
      <w:shd w:val="clear" w:color="auto" w:fill="000080"/>
      <w:spacing w:after="0" w:line="240" w:lineRule="auto"/>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rsid w:val="00350F69"/>
    <w:rPr>
      <w:rFonts w:ascii="Tahoma" w:eastAsia="Times New Roman" w:hAnsi="Tahoma" w:cs="Tahoma"/>
      <w:sz w:val="20"/>
      <w:szCs w:val="20"/>
      <w:shd w:val="clear" w:color="auto" w:fill="000080"/>
      <w:lang w:val="es-ES" w:eastAsia="es-ES"/>
    </w:rPr>
  </w:style>
  <w:style w:type="paragraph" w:customStyle="1" w:styleId="ANOTACION">
    <w:name w:val="ANOTACION"/>
    <w:basedOn w:val="Normal"/>
    <w:link w:val="ANOTACIONCar"/>
    <w:rsid w:val="00350F69"/>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350F69"/>
    <w:rPr>
      <w:rFonts w:ascii="EUAlbertina" w:eastAsia="Times New Roman" w:hAnsi="EUAlbertina" w:cs="Times New Roman"/>
      <w:color w:val="auto"/>
      <w:lang w:val="es-ES" w:eastAsia="es-ES"/>
    </w:rPr>
  </w:style>
  <w:style w:type="character" w:customStyle="1" w:styleId="eacep1">
    <w:name w:val="eacep1"/>
    <w:rsid w:val="00350F69"/>
    <w:rPr>
      <w:color w:val="000000"/>
    </w:rPr>
  </w:style>
  <w:style w:type="paragraph" w:styleId="Listaconvietas">
    <w:name w:val="List Bullet"/>
    <w:aliases w:val="Bullets texto"/>
    <w:basedOn w:val="Normal"/>
    <w:uiPriority w:val="99"/>
    <w:qFormat/>
    <w:rsid w:val="00350F69"/>
    <w:pPr>
      <w:numPr>
        <w:numId w:val="5"/>
      </w:numPr>
      <w:spacing w:after="0" w:line="240" w:lineRule="auto"/>
      <w:contextualSpacing/>
      <w:jc w:val="both"/>
    </w:pPr>
    <w:rPr>
      <w:rFonts w:ascii="Arial" w:eastAsia="Times New Roman" w:hAnsi="Arial"/>
      <w:szCs w:val="24"/>
      <w:lang w:val="es-MX" w:eastAsia="es-ES"/>
    </w:rPr>
  </w:style>
  <w:style w:type="paragraph" w:customStyle="1" w:styleId="Captionsmall">
    <w:name w:val="Caption: small"/>
    <w:basedOn w:val="Descripcin"/>
    <w:next w:val="Normal"/>
    <w:qFormat/>
    <w:rsid w:val="00350F69"/>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350F69"/>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350F69"/>
    <w:pPr>
      <w:numPr>
        <w:numId w:val="3"/>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350F69"/>
    <w:pPr>
      <w:spacing w:after="0" w:line="240" w:lineRule="auto"/>
      <w:jc w:val="both"/>
    </w:pPr>
    <w:rPr>
      <w:rFonts w:ascii="Arial" w:eastAsia="Times New Roman" w:hAnsi="Arial"/>
      <w:b/>
      <w:bCs/>
      <w:sz w:val="20"/>
      <w:szCs w:val="20"/>
      <w:lang w:val="es-MX" w:eastAsia="es-ES"/>
    </w:rPr>
  </w:style>
  <w:style w:type="paragraph" w:customStyle="1" w:styleId="I1">
    <w:name w:val="I1"/>
    <w:basedOn w:val="Listaconvietas"/>
    <w:link w:val="I1Char1"/>
    <w:qFormat/>
    <w:rsid w:val="00350F69"/>
    <w:pPr>
      <w:numPr>
        <w:numId w:val="6"/>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350F69"/>
    <w:rPr>
      <w:rFonts w:ascii="Times New Roman" w:eastAsia="Calibri" w:hAnsi="Times New Roman" w:cs="Times New Roman"/>
      <w:sz w:val="20"/>
      <w:szCs w:val="20"/>
      <w:lang w:val="es-ES" w:eastAsia="es-ES"/>
    </w:rPr>
  </w:style>
  <w:style w:type="paragraph" w:customStyle="1" w:styleId="Tablecells">
    <w:name w:val="Table: cells"/>
    <w:qFormat/>
    <w:rsid w:val="00350F69"/>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350F69"/>
    <w:pPr>
      <w:keepNext/>
    </w:pPr>
    <w:rPr>
      <w:b/>
      <w:color w:val="FFFFFF"/>
    </w:rPr>
  </w:style>
  <w:style w:type="paragraph" w:styleId="Listaconnmeros">
    <w:name w:val="List Number"/>
    <w:basedOn w:val="Normal"/>
    <w:uiPriority w:val="99"/>
    <w:rsid w:val="00350F69"/>
    <w:pPr>
      <w:tabs>
        <w:tab w:val="num" w:pos="360"/>
      </w:tabs>
      <w:spacing w:after="240" w:line="320" w:lineRule="atLeast"/>
      <w:ind w:left="360" w:hanging="360"/>
      <w:contextualSpacing/>
      <w:jc w:val="both"/>
    </w:pPr>
    <w:rPr>
      <w:rFonts w:ascii="Times New Roman" w:hAnsi="Times New Roman"/>
    </w:rPr>
  </w:style>
  <w:style w:type="paragraph" w:customStyle="1" w:styleId="B1">
    <w:name w:val="B1"/>
    <w:basedOn w:val="Normal"/>
    <w:qFormat/>
    <w:rsid w:val="00350F69"/>
    <w:pPr>
      <w:keepLines/>
      <w:pBdr>
        <w:top w:val="single" w:sz="2" w:space="2" w:color="auto"/>
        <w:bottom w:val="single" w:sz="2" w:space="5" w:color="auto"/>
      </w:pBdr>
      <w:spacing w:after="240" w:line="320" w:lineRule="atLeast"/>
      <w:ind w:left="284" w:right="284"/>
      <w:jc w:val="both"/>
    </w:pPr>
    <w:rPr>
      <w:rFonts w:ascii="Times New Roman" w:hAnsi="Times New Roman"/>
    </w:rPr>
  </w:style>
  <w:style w:type="paragraph" w:customStyle="1" w:styleId="Border">
    <w:name w:val="Border"/>
    <w:next w:val="Descripcin"/>
    <w:qFormat/>
    <w:rsid w:val="00350F69"/>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350F69"/>
    <w:pPr>
      <w:keepLines/>
      <w:numPr>
        <w:numId w:val="2"/>
      </w:numPr>
      <w:spacing w:line="320" w:lineRule="atLeast"/>
      <w:ind w:left="1077" w:hanging="720"/>
      <w:jc w:val="both"/>
    </w:pPr>
    <w:rPr>
      <w:rFonts w:eastAsia="Calibri"/>
      <w:sz w:val="22"/>
      <w:szCs w:val="22"/>
      <w:lang w:eastAsia="en-US"/>
    </w:rPr>
  </w:style>
  <w:style w:type="paragraph" w:customStyle="1" w:styleId="II">
    <w:name w:val="II"/>
    <w:basedOn w:val="Listaconvietas2"/>
    <w:link w:val="IIChar"/>
    <w:qFormat/>
    <w:rsid w:val="00350F69"/>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350F69"/>
    <w:rPr>
      <w:rFonts w:ascii="Times New Roman" w:eastAsia="Calibri" w:hAnsi="Times New Roman" w:cs="Times New Roman"/>
      <w:lang w:val="es-ES"/>
    </w:rPr>
  </w:style>
  <w:style w:type="paragraph" w:customStyle="1" w:styleId="SBSheader">
    <w:name w:val="SBS: header"/>
    <w:basedOn w:val="Normal"/>
    <w:qFormat/>
    <w:rsid w:val="00350F69"/>
    <w:pPr>
      <w:spacing w:after="240" w:line="320" w:lineRule="atLeast"/>
    </w:pPr>
    <w:rPr>
      <w:rFonts w:ascii="Times New Roman" w:hAnsi="Times New Roman"/>
      <w:i/>
    </w:rPr>
  </w:style>
  <w:style w:type="paragraph" w:customStyle="1" w:styleId="L1">
    <w:name w:val="L1"/>
    <w:basedOn w:val="ListBulletCompact"/>
    <w:link w:val="L1Char"/>
    <w:qFormat/>
    <w:rsid w:val="00350F69"/>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350F69"/>
    <w:rPr>
      <w:rFonts w:ascii="Times New Roman" w:eastAsia="Calibri" w:hAnsi="Times New Roman" w:cs="Times New Roman"/>
      <w:sz w:val="20"/>
      <w:szCs w:val="20"/>
      <w:lang w:val="es-ES" w:eastAsia="es-ES"/>
    </w:rPr>
  </w:style>
  <w:style w:type="table" w:customStyle="1" w:styleId="Sombreadomedio2-nfasis11">
    <w:name w:val="Sombreado medio 2 - Énfasis 11"/>
    <w:basedOn w:val="Tablanormal"/>
    <w:uiPriority w:val="64"/>
    <w:rsid w:val="00350F6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350F69"/>
    <w:pPr>
      <w:keepLines/>
      <w:pBdr>
        <w:top w:val="single" w:sz="2" w:space="2" w:color="auto"/>
        <w:bottom w:val="single" w:sz="2" w:space="5" w:color="auto"/>
      </w:pBdr>
      <w:spacing w:after="240" w:line="320" w:lineRule="atLeast"/>
      <w:ind w:left="284" w:right="284"/>
      <w:jc w:val="both"/>
    </w:pPr>
    <w:rPr>
      <w:rFonts w:ascii="Times New Roman" w:hAnsi="Times New Roman"/>
    </w:rPr>
  </w:style>
  <w:style w:type="character" w:customStyle="1" w:styleId="HeaderChar">
    <w:name w:val="Header Char"/>
    <w:uiPriority w:val="99"/>
    <w:semiHidden/>
    <w:rsid w:val="00350F69"/>
    <w:rPr>
      <w:rFonts w:ascii="Arial" w:hAnsi="Arial"/>
      <w:sz w:val="16"/>
    </w:rPr>
  </w:style>
  <w:style w:type="character" w:customStyle="1" w:styleId="Listaconvietas2Car">
    <w:name w:val="Lista con viñetas 2 Car"/>
    <w:link w:val="Listaconvietas2"/>
    <w:uiPriority w:val="99"/>
    <w:rsid w:val="00350F69"/>
    <w:rPr>
      <w:rFonts w:ascii="Times New Roman" w:eastAsia="Times New Roman" w:hAnsi="Times New Roman" w:cs="Times New Roman"/>
      <w:sz w:val="24"/>
      <w:szCs w:val="24"/>
      <w:lang w:val="es-ES" w:eastAsia="es-ES"/>
    </w:rPr>
  </w:style>
  <w:style w:type="character" w:customStyle="1" w:styleId="FooterChar">
    <w:name w:val="Footer Char"/>
    <w:uiPriority w:val="99"/>
    <w:rsid w:val="00350F69"/>
    <w:rPr>
      <w:rFonts w:ascii="Arial" w:hAnsi="Arial"/>
      <w:sz w:val="16"/>
    </w:rPr>
  </w:style>
  <w:style w:type="paragraph" w:customStyle="1" w:styleId="Annex1">
    <w:name w:val="Annex 1"/>
    <w:next w:val="Normal"/>
    <w:qFormat/>
    <w:rsid w:val="00350F69"/>
    <w:pPr>
      <w:keepNext/>
      <w:pageBreakBefore/>
      <w:numPr>
        <w:numId w:val="10"/>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350F69"/>
  </w:style>
  <w:style w:type="paragraph" w:customStyle="1" w:styleId="LL">
    <w:name w:val="LL"/>
    <w:basedOn w:val="ListBullet2Compact"/>
    <w:rsid w:val="00350F69"/>
    <w:pPr>
      <w:numPr>
        <w:numId w:val="9"/>
      </w:numPr>
      <w:ind w:left="714" w:hanging="357"/>
    </w:pPr>
  </w:style>
  <w:style w:type="paragraph" w:customStyle="1" w:styleId="Tablenote">
    <w:name w:val="Table: note"/>
    <w:basedOn w:val="Tablecells"/>
    <w:qFormat/>
    <w:rsid w:val="00350F69"/>
    <w:pPr>
      <w:pBdr>
        <w:bottom w:val="single" w:sz="4" w:space="9" w:color="auto"/>
      </w:pBdr>
      <w:spacing w:before="100" w:after="0"/>
      <w:ind w:left="357" w:right="0" w:hanging="357"/>
    </w:pPr>
  </w:style>
  <w:style w:type="paragraph" w:customStyle="1" w:styleId="Tablebullet">
    <w:name w:val="Table: bullet"/>
    <w:basedOn w:val="Tablecells"/>
    <w:qFormat/>
    <w:rsid w:val="00350F69"/>
    <w:pPr>
      <w:numPr>
        <w:numId w:val="12"/>
      </w:numPr>
      <w:tabs>
        <w:tab w:val="num" w:pos="567"/>
      </w:tabs>
      <w:ind w:left="227" w:hanging="227"/>
    </w:pPr>
  </w:style>
  <w:style w:type="paragraph" w:styleId="TDC2">
    <w:name w:val="toc 2"/>
    <w:basedOn w:val="TDC1"/>
    <w:next w:val="Normal"/>
    <w:autoRedefine/>
    <w:uiPriority w:val="39"/>
    <w:unhideWhenUsed/>
    <w:rsid w:val="00350F69"/>
    <w:pPr>
      <w:keepNext w:val="0"/>
      <w:spacing w:before="0"/>
    </w:pPr>
    <w:rPr>
      <w:b w:val="0"/>
      <w:noProof/>
    </w:rPr>
  </w:style>
  <w:style w:type="character" w:customStyle="1" w:styleId="ConfidentialFooter">
    <w:name w:val="ConfidentialFooter"/>
    <w:rsid w:val="00350F69"/>
    <w:rPr>
      <w:color w:val="FFFFFF"/>
      <w:sz w:val="2"/>
    </w:rPr>
  </w:style>
  <w:style w:type="paragraph" w:customStyle="1" w:styleId="ConfidentialFront">
    <w:name w:val="ConfidentialFront"/>
    <w:basedOn w:val="Normal"/>
    <w:qFormat/>
    <w:rsid w:val="00350F69"/>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350F69"/>
    <w:pPr>
      <w:keepNext/>
      <w:numPr>
        <w:numId w:val="13"/>
      </w:numPr>
      <w:spacing w:line="320" w:lineRule="atLeast"/>
      <w:ind w:left="357" w:hanging="357"/>
      <w:jc w:val="both"/>
    </w:pPr>
    <w:rPr>
      <w:rFonts w:ascii="Times New Roman" w:hAnsi="Times New Roman"/>
      <w:i/>
    </w:rPr>
  </w:style>
  <w:style w:type="character" w:customStyle="1" w:styleId="H5Char">
    <w:name w:val="H5 Char"/>
    <w:link w:val="H5"/>
    <w:rsid w:val="00350F69"/>
    <w:rPr>
      <w:rFonts w:ascii="Times New Roman" w:eastAsia="Calibri" w:hAnsi="Times New Roman" w:cs="Times New Roman"/>
      <w:i/>
      <w:lang w:val="es-ES"/>
    </w:rPr>
  </w:style>
  <w:style w:type="paragraph" w:styleId="TDC1">
    <w:name w:val="toc 1"/>
    <w:basedOn w:val="Normal"/>
    <w:next w:val="Normal"/>
    <w:autoRedefine/>
    <w:uiPriority w:val="39"/>
    <w:unhideWhenUsed/>
    <w:rsid w:val="00350F69"/>
    <w:pPr>
      <w:keepNext/>
      <w:tabs>
        <w:tab w:val="left" w:pos="635"/>
        <w:tab w:val="right" w:pos="8789"/>
      </w:tabs>
      <w:spacing w:before="240" w:after="0" w:line="320" w:lineRule="atLeast"/>
      <w:jc w:val="both"/>
    </w:pPr>
    <w:rPr>
      <w:rFonts w:ascii="Times New Roman" w:hAnsi="Times New Roman"/>
      <w:b/>
    </w:rPr>
  </w:style>
  <w:style w:type="paragraph" w:styleId="TDC3">
    <w:name w:val="toc 3"/>
    <w:basedOn w:val="TDC2"/>
    <w:next w:val="Normal"/>
    <w:autoRedefine/>
    <w:uiPriority w:val="39"/>
    <w:unhideWhenUsed/>
    <w:rsid w:val="00350F69"/>
    <w:rPr>
      <w:sz w:val="20"/>
    </w:rPr>
  </w:style>
  <w:style w:type="paragraph" w:styleId="TDC4">
    <w:name w:val="toc 4"/>
    <w:basedOn w:val="TDC3"/>
    <w:next w:val="Normal"/>
    <w:autoRedefine/>
    <w:uiPriority w:val="39"/>
    <w:unhideWhenUsed/>
    <w:rsid w:val="00350F69"/>
  </w:style>
  <w:style w:type="paragraph" w:customStyle="1" w:styleId="Annex2">
    <w:name w:val="Annex 2"/>
    <w:next w:val="Normal"/>
    <w:qFormat/>
    <w:rsid w:val="00350F69"/>
    <w:pPr>
      <w:keepNext/>
      <w:numPr>
        <w:ilvl w:val="1"/>
        <w:numId w:val="10"/>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350F69"/>
    <w:pPr>
      <w:keepNext/>
      <w:numPr>
        <w:ilvl w:val="2"/>
        <w:numId w:val="10"/>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350F69"/>
    <w:pPr>
      <w:keepNext/>
      <w:numPr>
        <w:ilvl w:val="3"/>
        <w:numId w:val="10"/>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350F69"/>
    <w:pPr>
      <w:spacing w:before="300" w:after="240" w:line="240" w:lineRule="exact"/>
      <w:ind w:left="-499" w:right="-499"/>
    </w:pPr>
    <w:rPr>
      <w:rFonts w:ascii="Times New Roman" w:hAnsi="Times New Roman"/>
      <w:b/>
      <w:sz w:val="18"/>
    </w:rPr>
  </w:style>
  <w:style w:type="paragraph" w:customStyle="1" w:styleId="Titletype">
    <w:name w:val="Title: type"/>
    <w:next w:val="Titlemain"/>
    <w:qFormat/>
    <w:rsid w:val="00350F69"/>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350F69"/>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350F69"/>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350F69"/>
    <w:pPr>
      <w:spacing w:after="160"/>
    </w:pPr>
    <w:rPr>
      <w:i/>
      <w:color w:val="003352"/>
      <w:sz w:val="24"/>
      <w:szCs w:val="24"/>
    </w:rPr>
  </w:style>
  <w:style w:type="paragraph" w:customStyle="1" w:styleId="TitleRefNo">
    <w:name w:val="Title: RefNo"/>
    <w:basedOn w:val="Titledate"/>
    <w:next w:val="Normal"/>
    <w:qFormat/>
    <w:rsid w:val="00350F69"/>
    <w:rPr>
      <w:i w:val="0"/>
      <w:sz w:val="22"/>
    </w:rPr>
  </w:style>
  <w:style w:type="paragraph" w:customStyle="1" w:styleId="Contentsheading">
    <w:name w:val="Contents: heading"/>
    <w:basedOn w:val="Normal"/>
    <w:next w:val="TDC1"/>
    <w:qFormat/>
    <w:rsid w:val="00350F69"/>
    <w:pPr>
      <w:spacing w:after="560" w:line="720" w:lineRule="exact"/>
      <w:jc w:val="both"/>
    </w:pPr>
    <w:rPr>
      <w:rFonts w:ascii="Times New Roman" w:hAnsi="Times New Roman"/>
      <w:sz w:val="40"/>
    </w:rPr>
  </w:style>
  <w:style w:type="paragraph" w:customStyle="1" w:styleId="Contentssubsection">
    <w:name w:val="Contents: subsection"/>
    <w:basedOn w:val="Normal"/>
    <w:next w:val="TDC1"/>
    <w:qFormat/>
    <w:rsid w:val="00350F69"/>
    <w:pPr>
      <w:spacing w:before="360" w:after="0" w:line="320" w:lineRule="atLeast"/>
      <w:jc w:val="both"/>
    </w:pPr>
    <w:rPr>
      <w:rFonts w:ascii="Times New Roman" w:hAnsi="Times New Roman"/>
      <w:b/>
      <w:sz w:val="26"/>
    </w:rPr>
  </w:style>
  <w:style w:type="paragraph" w:customStyle="1" w:styleId="cvhead">
    <w:name w:val="cvhead"/>
    <w:basedOn w:val="Normal"/>
    <w:next w:val="Normal"/>
    <w:qFormat/>
    <w:rsid w:val="00350F69"/>
    <w:pPr>
      <w:keepNext/>
      <w:spacing w:after="400" w:line="400" w:lineRule="exact"/>
      <w:ind w:left="-499"/>
      <w:jc w:val="both"/>
    </w:pPr>
    <w:rPr>
      <w:rFonts w:ascii="Times New Roman" w:hAnsi="Times New Roman"/>
      <w:b/>
      <w:sz w:val="30"/>
    </w:rPr>
  </w:style>
  <w:style w:type="paragraph" w:customStyle="1" w:styleId="cvsec">
    <w:name w:val="cvsec"/>
    <w:basedOn w:val="Normal"/>
    <w:next w:val="Normal"/>
    <w:qFormat/>
    <w:rsid w:val="00350F69"/>
    <w:pPr>
      <w:keepNext/>
      <w:spacing w:before="240" w:after="240" w:line="320" w:lineRule="atLeast"/>
      <w:ind w:left="-499"/>
      <w:jc w:val="both"/>
    </w:pPr>
    <w:rPr>
      <w:rFonts w:ascii="Times New Roman" w:hAnsi="Times New Roman"/>
      <w:b/>
    </w:rPr>
  </w:style>
  <w:style w:type="paragraph" w:customStyle="1" w:styleId="01">
    <w:name w:val="01"/>
    <w:basedOn w:val="Normal"/>
    <w:qFormat/>
    <w:rsid w:val="00350F69"/>
    <w:pPr>
      <w:spacing w:after="0" w:line="320" w:lineRule="atLeast"/>
      <w:jc w:val="both"/>
    </w:pPr>
    <w:rPr>
      <w:rFonts w:ascii="Times New Roman" w:hAnsi="Times New Roman"/>
    </w:rPr>
  </w:style>
  <w:style w:type="paragraph" w:customStyle="1" w:styleId="Titleaddress">
    <w:name w:val="Title: address"/>
    <w:basedOn w:val="01"/>
    <w:qFormat/>
    <w:rsid w:val="00350F69"/>
    <w:pPr>
      <w:ind w:left="567"/>
    </w:pPr>
  </w:style>
  <w:style w:type="paragraph" w:customStyle="1" w:styleId="Titleversion">
    <w:name w:val="Title: version"/>
    <w:basedOn w:val="Normal"/>
    <w:rsid w:val="00350F69"/>
    <w:pPr>
      <w:spacing w:after="240" w:line="320" w:lineRule="atLeast"/>
      <w:jc w:val="center"/>
    </w:pPr>
    <w:rPr>
      <w:rFonts w:ascii="Times New Roman" w:eastAsia="Times New Roman" w:hAnsi="Times New Roman"/>
      <w:szCs w:val="20"/>
    </w:rPr>
  </w:style>
  <w:style w:type="paragraph" w:customStyle="1" w:styleId="01-reference">
    <w:name w:val="01-reference"/>
    <w:basedOn w:val="TitleRefNo"/>
    <w:rsid w:val="00350F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350F69"/>
  </w:style>
  <w:style w:type="table" w:styleId="Tablaclsica2">
    <w:name w:val="Table Classic 2"/>
    <w:basedOn w:val="Tablanormal"/>
    <w:rsid w:val="00350F69"/>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350F69"/>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350F6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val="es-MX" w:eastAsia="es-MX"/>
    </w:rPr>
  </w:style>
  <w:style w:type="paragraph" w:customStyle="1" w:styleId="xl2928">
    <w:name w:val="xl2928"/>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29">
    <w:name w:val="xl2929"/>
    <w:basedOn w:val="Normal"/>
    <w:rsid w:val="00350F6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1">
    <w:name w:val="xl2931"/>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2">
    <w:name w:val="xl2932"/>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3">
    <w:name w:val="xl2933"/>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4">
    <w:name w:val="xl2934"/>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5">
    <w:name w:val="xl2935"/>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6">
    <w:name w:val="xl2936"/>
    <w:basedOn w:val="Normal"/>
    <w:rsid w:val="00350F69"/>
    <w:pPr>
      <w:spacing w:before="100" w:beforeAutospacing="1" w:after="100" w:afterAutospacing="1" w:line="240" w:lineRule="auto"/>
      <w:textAlignment w:val="bottom"/>
    </w:pPr>
    <w:rPr>
      <w:rFonts w:ascii="Times New Roman" w:eastAsia="Times New Roman" w:hAnsi="Times New Roman"/>
      <w:sz w:val="20"/>
      <w:szCs w:val="20"/>
      <w:lang w:val="es-MX" w:eastAsia="es-MX"/>
    </w:rPr>
  </w:style>
  <w:style w:type="paragraph" w:customStyle="1" w:styleId="xl2937">
    <w:name w:val="xl2937"/>
    <w:basedOn w:val="Normal"/>
    <w:rsid w:val="00350F6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8">
    <w:name w:val="xl2938"/>
    <w:basedOn w:val="Normal"/>
    <w:rsid w:val="00350F6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val="es-MX" w:eastAsia="es-MX"/>
    </w:rPr>
  </w:style>
  <w:style w:type="paragraph" w:customStyle="1" w:styleId="xl2939">
    <w:name w:val="xl2939"/>
    <w:basedOn w:val="Normal"/>
    <w:rsid w:val="00350F69"/>
    <w:pPr>
      <w:spacing w:before="100" w:beforeAutospacing="1" w:after="100" w:afterAutospacing="1" w:line="240" w:lineRule="auto"/>
      <w:textAlignment w:val="bottom"/>
    </w:pPr>
    <w:rPr>
      <w:rFonts w:ascii="Times New Roman" w:eastAsia="Times New Roman" w:hAnsi="Times New Roman"/>
      <w:sz w:val="24"/>
      <w:szCs w:val="24"/>
      <w:lang w:val="es-MX" w:eastAsia="es-MX"/>
    </w:rPr>
  </w:style>
  <w:style w:type="paragraph" w:customStyle="1" w:styleId="xl2940">
    <w:name w:val="xl2940"/>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val="es-MX" w:eastAsia="es-MX"/>
    </w:rPr>
  </w:style>
  <w:style w:type="table" w:styleId="Tablaclsica3">
    <w:name w:val="Table Classic 3"/>
    <w:basedOn w:val="Tablanormal"/>
    <w:rsid w:val="00350F69"/>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19">
    <w:name w:val="xl1119"/>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0">
    <w:name w:val="xl1120"/>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1">
    <w:name w:val="xl1121"/>
    <w:basedOn w:val="Normal"/>
    <w:rsid w:val="00350F6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2">
    <w:name w:val="xl1122"/>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3">
    <w:name w:val="xl1123"/>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5">
    <w:name w:val="xl1125"/>
    <w:basedOn w:val="Normal"/>
    <w:rsid w:val="00350F6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6">
    <w:name w:val="xl1126"/>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7">
    <w:name w:val="xl1127"/>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8">
    <w:name w:val="xl1128"/>
    <w:basedOn w:val="Normal"/>
    <w:rsid w:val="00350F69"/>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Listavistosa-nfasis11">
    <w:name w:val="Lista vistosa - Énfasis 11"/>
    <w:basedOn w:val="Normal"/>
    <w:qFormat/>
    <w:rsid w:val="00350F69"/>
    <w:pPr>
      <w:spacing w:after="0" w:line="240" w:lineRule="auto"/>
      <w:ind w:left="708"/>
    </w:pPr>
    <w:rPr>
      <w:rFonts w:ascii="Times New Roman" w:eastAsia="Times New Roman" w:hAnsi="Times New Roman"/>
      <w:sz w:val="20"/>
      <w:szCs w:val="20"/>
      <w:lang w:eastAsia="es-ES"/>
    </w:rPr>
  </w:style>
  <w:style w:type="paragraph" w:customStyle="1" w:styleId="CM15">
    <w:name w:val="CM15"/>
    <w:basedOn w:val="Default"/>
    <w:next w:val="Default"/>
    <w:rsid w:val="00350F69"/>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350F69"/>
  </w:style>
  <w:style w:type="numbering" w:customStyle="1" w:styleId="Sinlista11">
    <w:name w:val="Sin lista11"/>
    <w:next w:val="Sinlista"/>
    <w:semiHidden/>
    <w:unhideWhenUsed/>
    <w:rsid w:val="00350F69"/>
  </w:style>
  <w:style w:type="numbering" w:customStyle="1" w:styleId="Sinlista2">
    <w:name w:val="Sin lista2"/>
    <w:next w:val="Sinlista"/>
    <w:semiHidden/>
    <w:rsid w:val="00350F69"/>
  </w:style>
  <w:style w:type="numbering" w:customStyle="1" w:styleId="Sinlista3">
    <w:name w:val="Sin lista3"/>
    <w:next w:val="Sinlista"/>
    <w:uiPriority w:val="99"/>
    <w:semiHidden/>
    <w:unhideWhenUsed/>
    <w:rsid w:val="00350F69"/>
  </w:style>
  <w:style w:type="numbering" w:customStyle="1" w:styleId="Sinlista4">
    <w:name w:val="Sin lista4"/>
    <w:next w:val="Sinlista"/>
    <w:uiPriority w:val="99"/>
    <w:semiHidden/>
    <w:unhideWhenUsed/>
    <w:rsid w:val="00350F69"/>
  </w:style>
  <w:style w:type="numbering" w:customStyle="1" w:styleId="1ai1">
    <w:name w:val="1 / a / i1"/>
    <w:basedOn w:val="Sinlista"/>
    <w:next w:val="1ai"/>
    <w:uiPriority w:val="99"/>
    <w:unhideWhenUsed/>
    <w:rsid w:val="00350F69"/>
  </w:style>
  <w:style w:type="paragraph" w:customStyle="1" w:styleId="xl69">
    <w:name w:val="xl69"/>
    <w:basedOn w:val="Normal"/>
    <w:rsid w:val="00350F6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70">
    <w:name w:val="xl70"/>
    <w:basedOn w:val="Normal"/>
    <w:rsid w:val="00350F6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71">
    <w:name w:val="xl71"/>
    <w:basedOn w:val="Normal"/>
    <w:rsid w:val="00350F6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72">
    <w:name w:val="xl72"/>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73">
    <w:name w:val="xl73"/>
    <w:basedOn w:val="Normal"/>
    <w:rsid w:val="00350F6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4">
    <w:name w:val="xl74"/>
    <w:basedOn w:val="Normal"/>
    <w:rsid w:val="00350F69"/>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5">
    <w:name w:val="xl75"/>
    <w:basedOn w:val="Normal"/>
    <w:rsid w:val="00350F69"/>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6">
    <w:name w:val="xl76"/>
    <w:basedOn w:val="Normal"/>
    <w:rsid w:val="00350F69"/>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7">
    <w:name w:val="xl77"/>
    <w:basedOn w:val="Normal"/>
    <w:rsid w:val="00350F6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8">
    <w:name w:val="xl78"/>
    <w:basedOn w:val="Normal"/>
    <w:rsid w:val="00350F69"/>
    <w:pPr>
      <w:pBdr>
        <w:bottom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9">
    <w:name w:val="xl79"/>
    <w:basedOn w:val="Normal"/>
    <w:rsid w:val="00350F6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80">
    <w:name w:val="xl80"/>
    <w:basedOn w:val="Normal"/>
    <w:rsid w:val="00350F6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numbering" w:customStyle="1" w:styleId="Sinlista5">
    <w:name w:val="Sin lista5"/>
    <w:next w:val="Sinlista"/>
    <w:semiHidden/>
    <w:rsid w:val="00350F69"/>
  </w:style>
  <w:style w:type="numbering" w:customStyle="1" w:styleId="Sinlista111">
    <w:name w:val="Sin lista111"/>
    <w:next w:val="Sinlista"/>
    <w:semiHidden/>
    <w:unhideWhenUsed/>
    <w:rsid w:val="00350F69"/>
  </w:style>
  <w:style w:type="table" w:customStyle="1" w:styleId="Tablaconcuadrcula1">
    <w:name w:val="Tabla con cuadrícula1"/>
    <w:basedOn w:val="Tablanormal"/>
    <w:next w:val="Tablaconcuadrcula"/>
    <w:uiPriority w:val="59"/>
    <w:rsid w:val="00350F6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350F69"/>
  </w:style>
  <w:style w:type="numbering" w:customStyle="1" w:styleId="Sinlista31">
    <w:name w:val="Sin lista31"/>
    <w:next w:val="Sinlista"/>
    <w:uiPriority w:val="99"/>
    <w:semiHidden/>
    <w:unhideWhenUsed/>
    <w:rsid w:val="00350F69"/>
  </w:style>
  <w:style w:type="numbering" w:customStyle="1" w:styleId="Sinlista41">
    <w:name w:val="Sin lista41"/>
    <w:next w:val="Sinlista"/>
    <w:uiPriority w:val="99"/>
    <w:semiHidden/>
    <w:unhideWhenUsed/>
    <w:rsid w:val="00350F69"/>
  </w:style>
  <w:style w:type="paragraph" w:customStyle="1" w:styleId="Titulo1">
    <w:name w:val="Titulo 1"/>
    <w:basedOn w:val="Texto0"/>
    <w:qFormat/>
    <w:rsid w:val="00350F69"/>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350F69"/>
    <w:pPr>
      <w:ind w:left="426"/>
      <w:jc w:val="both"/>
    </w:pPr>
    <w:rPr>
      <w:rFonts w:ascii="ITC Avant Garde" w:eastAsia="Times New Roman" w:hAnsi="ITC Avant Garde"/>
      <w:iCs/>
      <w:lang w:eastAsia="es-MX"/>
    </w:rPr>
  </w:style>
  <w:style w:type="paragraph" w:customStyle="1" w:styleId="corte4fondo">
    <w:name w:val="corte4 fondo"/>
    <w:basedOn w:val="Normal"/>
    <w:link w:val="corte4fondoCar"/>
    <w:qFormat/>
    <w:rsid w:val="00350F69"/>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350F69"/>
    <w:rPr>
      <w:rFonts w:ascii="Arial" w:eastAsia="Times New Roman" w:hAnsi="Arial" w:cs="Times New Roman"/>
      <w:sz w:val="30"/>
      <w:szCs w:val="30"/>
      <w:lang w:val="es-ES_tradnl" w:eastAsia="es-ES"/>
    </w:rPr>
  </w:style>
  <w:style w:type="paragraph" w:customStyle="1" w:styleId="xl3157">
    <w:name w:val="xl3157"/>
    <w:basedOn w:val="Normal"/>
    <w:rsid w:val="00350F69"/>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val="es-MX" w:eastAsia="es-MX"/>
    </w:rPr>
  </w:style>
  <w:style w:type="paragraph" w:customStyle="1" w:styleId="xl3158">
    <w:name w:val="xl3158"/>
    <w:basedOn w:val="Normal"/>
    <w:rsid w:val="00350F69"/>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3159">
    <w:name w:val="xl3159"/>
    <w:basedOn w:val="Normal"/>
    <w:rsid w:val="00350F69"/>
    <w:pPr>
      <w:shd w:val="clear" w:color="000000" w:fill="BFBFBF"/>
      <w:spacing w:before="100" w:beforeAutospacing="1" w:after="100" w:afterAutospacing="1" w:line="240" w:lineRule="auto"/>
      <w:textAlignment w:val="center"/>
    </w:pPr>
    <w:rPr>
      <w:rFonts w:ascii="Arial" w:eastAsia="Times New Roman" w:hAnsi="Arial" w:cs="Arial"/>
      <w:b/>
      <w:bCs/>
      <w:sz w:val="18"/>
      <w:szCs w:val="18"/>
      <w:lang w:val="es-MX" w:eastAsia="es-MX"/>
    </w:rPr>
  </w:style>
  <w:style w:type="paragraph" w:customStyle="1" w:styleId="xl3160">
    <w:name w:val="xl3160"/>
    <w:basedOn w:val="Normal"/>
    <w:rsid w:val="00350F69"/>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val="es-MX" w:eastAsia="es-MX"/>
    </w:rPr>
  </w:style>
  <w:style w:type="paragraph" w:customStyle="1" w:styleId="xl3161">
    <w:name w:val="xl3161"/>
    <w:basedOn w:val="Normal"/>
    <w:rsid w:val="00350F69"/>
    <w:pP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3162">
    <w:name w:val="xl3162"/>
    <w:basedOn w:val="Normal"/>
    <w:rsid w:val="00350F69"/>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styleId="Revisin">
    <w:name w:val="Revision"/>
    <w:hidden/>
    <w:uiPriority w:val="99"/>
    <w:semiHidden/>
    <w:rsid w:val="00350F69"/>
    <w:pPr>
      <w:spacing w:after="0" w:line="240" w:lineRule="auto"/>
    </w:pPr>
    <w:rPr>
      <w:rFonts w:ascii="Calibri" w:eastAsia="Calibri" w:hAnsi="Calibri" w:cs="Times New Roman"/>
    </w:rPr>
  </w:style>
  <w:style w:type="character" w:customStyle="1" w:styleId="ROMANOSCar">
    <w:name w:val="ROMANOS Car"/>
    <w:link w:val="ROMANOS"/>
    <w:locked/>
    <w:rsid w:val="00350F69"/>
    <w:rPr>
      <w:rFonts w:ascii="Arial" w:eastAsia="Times New Roman" w:hAnsi="Arial" w:cs="Times New Roman"/>
      <w:sz w:val="18"/>
      <w:szCs w:val="20"/>
      <w:lang w:val="es-ES_tradnl" w:eastAsia="es-ES"/>
    </w:rPr>
  </w:style>
  <w:style w:type="character" w:customStyle="1" w:styleId="ANOTACIONCar">
    <w:name w:val="ANOTACION Car"/>
    <w:link w:val="ANOTACION"/>
    <w:locked/>
    <w:rsid w:val="00350F69"/>
    <w:rPr>
      <w:rFonts w:ascii="CG Palacio (WN)" w:eastAsia="Times New Roman" w:hAnsi="CG Palacio (WN)" w:cs="CG Palacio (WN)"/>
      <w:b/>
      <w:sz w:val="18"/>
      <w:szCs w:val="20"/>
      <w:lang w:val="es-ES_tradnl" w:eastAsia="es-MX"/>
    </w:rPr>
  </w:style>
  <w:style w:type="paragraph" w:customStyle="1" w:styleId="IFT1">
    <w:name w:val="IFT 1"/>
    <w:basedOn w:val="Normal"/>
    <w:link w:val="IFT1Car"/>
    <w:qFormat/>
    <w:rsid w:val="00350F69"/>
    <w:pPr>
      <w:jc w:val="both"/>
    </w:pPr>
    <w:rPr>
      <w:rFonts w:ascii="ITC Avant Garde" w:hAnsi="ITC Avant Garde"/>
      <w:spacing w:val="-4"/>
      <w:lang w:val="es-MX"/>
    </w:rPr>
  </w:style>
  <w:style w:type="character" w:customStyle="1" w:styleId="IFT1Car">
    <w:name w:val="IFT 1 Car"/>
    <w:basedOn w:val="Fuentedeprrafopredeter"/>
    <w:link w:val="IFT1"/>
    <w:rsid w:val="00350F69"/>
    <w:rPr>
      <w:rFonts w:ascii="ITC Avant Garde" w:eastAsia="Calibri" w:hAnsi="ITC Avant Garde" w:cs="Times New Roman"/>
      <w:spacing w:val="-4"/>
    </w:rPr>
  </w:style>
  <w:style w:type="paragraph" w:customStyle="1" w:styleId="Normal2">
    <w:name w:val="Normal2"/>
    <w:rsid w:val="00350F69"/>
    <w:pPr>
      <w:spacing w:after="0" w:line="276" w:lineRule="auto"/>
    </w:pPr>
    <w:rPr>
      <w:rFonts w:ascii="Arial" w:eastAsia="Arial" w:hAnsi="Arial" w:cs="Arial"/>
      <w:color w:val="000000"/>
      <w:szCs w:val="20"/>
      <w:lang w:val="en-US"/>
    </w:rPr>
  </w:style>
  <w:style w:type="paragraph" w:customStyle="1" w:styleId="Titulo2">
    <w:name w:val="Titulo 2"/>
    <w:basedOn w:val="Texto0"/>
    <w:uiPriority w:val="99"/>
    <w:rsid w:val="00350F69"/>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0"/>
    <w:uiPriority w:val="99"/>
    <w:rsid w:val="00350F69"/>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350F69"/>
    <w:pPr>
      <w:spacing w:before="100" w:beforeAutospacing="1" w:after="100" w:afterAutospacing="1" w:line="240" w:lineRule="auto"/>
    </w:pPr>
    <w:rPr>
      <w:rFonts w:ascii="Times New Roman" w:eastAsia="Times New Roman" w:hAnsi="Times New Roman"/>
      <w:sz w:val="24"/>
      <w:szCs w:val="24"/>
      <w:lang w:val="es-MX" w:eastAsia="es-MX"/>
    </w:rPr>
  </w:style>
  <w:style w:type="paragraph" w:styleId="TtuloTDC">
    <w:name w:val="TOC Heading"/>
    <w:basedOn w:val="Ttulo1"/>
    <w:next w:val="Normal"/>
    <w:uiPriority w:val="39"/>
    <w:qFormat/>
    <w:rsid w:val="00350F69"/>
    <w:pPr>
      <w:spacing w:before="480"/>
      <w:outlineLvl w:val="9"/>
    </w:pPr>
    <w:rPr>
      <w:rFonts w:ascii="Calibri Light" w:eastAsia="Times New Roman" w:hAnsi="Calibri Light" w:cs="Times New Roman"/>
      <w:b/>
      <w:bCs/>
      <w:color w:val="2E74B5"/>
      <w:sz w:val="28"/>
      <w:szCs w:val="28"/>
      <w:lang w:val="es-MX" w:eastAsia="es-MX"/>
    </w:rPr>
  </w:style>
  <w:style w:type="character" w:styleId="nfasis">
    <w:name w:val="Emphasis"/>
    <w:aliases w:val="Título 4 (1.1.1)"/>
    <w:basedOn w:val="Fuentedeprrafopredeter"/>
    <w:uiPriority w:val="20"/>
    <w:qFormat/>
    <w:rsid w:val="00350F69"/>
    <w:rPr>
      <w:rFonts w:cs="Times New Roman"/>
      <w:i/>
      <w:iCs/>
      <w:color w:val="auto"/>
    </w:rPr>
  </w:style>
  <w:style w:type="paragraph" w:styleId="Cita">
    <w:name w:val="Quote"/>
    <w:aliases w:val="Bullets cita"/>
    <w:basedOn w:val="Normal"/>
    <w:next w:val="Normal"/>
    <w:link w:val="CitaCar"/>
    <w:uiPriority w:val="29"/>
    <w:qFormat/>
    <w:rsid w:val="00350F69"/>
    <w:pPr>
      <w:spacing w:before="160" w:after="160" w:line="259" w:lineRule="auto"/>
      <w:ind w:left="720" w:right="720"/>
    </w:pPr>
    <w:rPr>
      <w:rFonts w:eastAsia="Times New Roman"/>
      <w:i/>
      <w:iCs/>
      <w:color w:val="000000"/>
      <w:lang w:val="es-MX"/>
    </w:rPr>
  </w:style>
  <w:style w:type="character" w:customStyle="1" w:styleId="CitaCar">
    <w:name w:val="Cita Car"/>
    <w:aliases w:val="Bullets cita Car"/>
    <w:basedOn w:val="Fuentedeprrafopredeter"/>
    <w:link w:val="Cita"/>
    <w:uiPriority w:val="29"/>
    <w:rsid w:val="00350F69"/>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350F69"/>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lang w:val="es-MX"/>
    </w:rPr>
  </w:style>
  <w:style w:type="character" w:customStyle="1" w:styleId="CitadestacadaCar">
    <w:name w:val="Cita destacada Car"/>
    <w:basedOn w:val="Fuentedeprrafopredeter"/>
    <w:link w:val="Citadestacada"/>
    <w:uiPriority w:val="99"/>
    <w:rsid w:val="00350F69"/>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350F69"/>
    <w:rPr>
      <w:rFonts w:cs="Times New Roman"/>
      <w:i/>
      <w:iCs/>
      <w:color w:val="404040"/>
    </w:rPr>
  </w:style>
  <w:style w:type="character" w:styleId="nfasisintenso">
    <w:name w:val="Intense Emphasis"/>
    <w:basedOn w:val="Fuentedeprrafopredeter"/>
    <w:uiPriority w:val="99"/>
    <w:qFormat/>
    <w:rsid w:val="00350F69"/>
    <w:rPr>
      <w:rFonts w:cs="Times New Roman"/>
      <w:b/>
      <w:bCs/>
      <w:i/>
      <w:iCs/>
      <w:caps/>
    </w:rPr>
  </w:style>
  <w:style w:type="character" w:styleId="Referenciasutil">
    <w:name w:val="Subtle Reference"/>
    <w:basedOn w:val="Fuentedeprrafopredeter"/>
    <w:uiPriority w:val="99"/>
    <w:qFormat/>
    <w:rsid w:val="00350F69"/>
    <w:rPr>
      <w:rFonts w:cs="Times New Roman"/>
      <w:smallCaps/>
      <w:color w:val="404040"/>
      <w:u w:val="single" w:color="7F7F7F"/>
    </w:rPr>
  </w:style>
  <w:style w:type="character" w:styleId="Referenciaintensa">
    <w:name w:val="Intense Reference"/>
    <w:basedOn w:val="Fuentedeprrafopredeter"/>
    <w:uiPriority w:val="99"/>
    <w:qFormat/>
    <w:rsid w:val="00350F69"/>
    <w:rPr>
      <w:rFonts w:cs="Times New Roman"/>
      <w:b/>
      <w:bCs/>
      <w:smallCaps/>
      <w:u w:val="single"/>
    </w:rPr>
  </w:style>
  <w:style w:type="character" w:styleId="Ttulodellibro">
    <w:name w:val="Book Title"/>
    <w:basedOn w:val="Fuentedeprrafopredeter"/>
    <w:uiPriority w:val="99"/>
    <w:qFormat/>
    <w:rsid w:val="00350F69"/>
    <w:rPr>
      <w:rFonts w:cs="Times New Roman"/>
      <w:smallCaps/>
      <w:spacing w:val="5"/>
    </w:rPr>
  </w:style>
  <w:style w:type="character" w:customStyle="1" w:styleId="notranslate">
    <w:name w:val="notranslate"/>
    <w:basedOn w:val="Fuentedeprrafopredeter"/>
    <w:uiPriority w:val="99"/>
    <w:rsid w:val="00350F69"/>
    <w:rPr>
      <w:rFonts w:cs="Times New Roman"/>
    </w:rPr>
  </w:style>
  <w:style w:type="character" w:customStyle="1" w:styleId="HTMLconformatoprevioCar">
    <w:name w:val="HTML con formato previo Car"/>
    <w:basedOn w:val="Fuentedeprrafopredeter"/>
    <w:link w:val="HTMLconformatoprevio"/>
    <w:uiPriority w:val="99"/>
    <w:semiHidden/>
    <w:locked/>
    <w:rsid w:val="00350F69"/>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35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s-MX" w:eastAsia="es-MX"/>
    </w:rPr>
  </w:style>
  <w:style w:type="character" w:customStyle="1" w:styleId="HTMLconformatoprevioCar1">
    <w:name w:val="HTML con formato previo Car1"/>
    <w:basedOn w:val="Fuentedeprrafopredeter"/>
    <w:uiPriority w:val="99"/>
    <w:semiHidden/>
    <w:rsid w:val="00350F69"/>
    <w:rPr>
      <w:rFonts w:ascii="Consolas" w:eastAsia="Calibri" w:hAnsi="Consolas" w:cs="Times New Roman"/>
      <w:sz w:val="20"/>
      <w:szCs w:val="20"/>
      <w:lang w:val="es-ES"/>
    </w:rPr>
  </w:style>
  <w:style w:type="character" w:customStyle="1" w:styleId="HTMLPreformattedChar1">
    <w:name w:val="HTML Preformatted Char1"/>
    <w:basedOn w:val="Fuentedeprrafopredeter"/>
    <w:uiPriority w:val="99"/>
    <w:semiHidden/>
    <w:rsid w:val="00350F69"/>
    <w:rPr>
      <w:rFonts w:ascii="Courier New" w:hAnsi="Courier New" w:cs="Courier New"/>
      <w:sz w:val="20"/>
      <w:szCs w:val="20"/>
      <w:lang w:eastAsia="en-US"/>
    </w:rPr>
  </w:style>
  <w:style w:type="paragraph" w:customStyle="1" w:styleId="TAL">
    <w:name w:val="TAL"/>
    <w:basedOn w:val="Normal"/>
    <w:link w:val="TALChar"/>
    <w:uiPriority w:val="99"/>
    <w:rsid w:val="00350F69"/>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350F69"/>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350F69"/>
    <w:pPr>
      <w:spacing w:before="240" w:after="240"/>
      <w:jc w:val="center"/>
    </w:pPr>
    <w:rPr>
      <w:rFonts w:ascii="ITC Avant Garde" w:eastAsia="Times New Roman" w:hAnsi="ITC Avant Garde" w:cs="Arial"/>
      <w:lang w:val="es-MX" w:eastAsia="es-MX"/>
    </w:rPr>
  </w:style>
  <w:style w:type="character" w:customStyle="1" w:styleId="EjemploChar">
    <w:name w:val="Ejemplo Char"/>
    <w:basedOn w:val="Fuentedeprrafopredeter"/>
    <w:link w:val="Ejemplo"/>
    <w:uiPriority w:val="99"/>
    <w:locked/>
    <w:rsid w:val="00350F69"/>
    <w:rPr>
      <w:rFonts w:ascii="ITC Avant Garde" w:eastAsia="Times New Roman" w:hAnsi="ITC Avant Garde" w:cs="Arial"/>
      <w:lang w:eastAsia="es-MX"/>
    </w:rPr>
  </w:style>
  <w:style w:type="paragraph" w:customStyle="1" w:styleId="Style1">
    <w:name w:val="Style1"/>
    <w:basedOn w:val="Prrafodelista"/>
    <w:link w:val="Style1Char"/>
    <w:uiPriority w:val="99"/>
    <w:rsid w:val="00350F69"/>
    <w:pPr>
      <w:keepNext/>
      <w:spacing w:before="240" w:after="240" w:line="276" w:lineRule="auto"/>
      <w:ind w:left="0"/>
      <w:contextualSpacing/>
      <w:jc w:val="both"/>
      <w:outlineLvl w:val="0"/>
    </w:pPr>
    <w:rPr>
      <w:rFonts w:ascii="ITC Avant Garde" w:hAnsi="ITC Avant Garde" w:cs="Arial"/>
      <w:b/>
      <w:sz w:val="22"/>
      <w:szCs w:val="24"/>
    </w:rPr>
  </w:style>
  <w:style w:type="character" w:customStyle="1" w:styleId="Style1Char">
    <w:name w:val="Style1 Char"/>
    <w:basedOn w:val="Fuentedeprrafopredeter"/>
    <w:link w:val="Style1"/>
    <w:uiPriority w:val="99"/>
    <w:locked/>
    <w:rsid w:val="00350F69"/>
    <w:rPr>
      <w:rFonts w:ascii="ITC Avant Garde" w:eastAsia="Times New Roman" w:hAnsi="ITC Avant Garde" w:cs="Arial"/>
      <w:b/>
      <w:szCs w:val="24"/>
      <w:lang w:val="es-ES" w:eastAsia="es-ES"/>
    </w:rPr>
  </w:style>
  <w:style w:type="paragraph" w:customStyle="1" w:styleId="Style2">
    <w:name w:val="Style2"/>
    <w:basedOn w:val="Prrafodelista"/>
    <w:uiPriority w:val="99"/>
    <w:rsid w:val="00350F69"/>
    <w:pPr>
      <w:keepNext/>
      <w:spacing w:before="240" w:after="240" w:line="276" w:lineRule="auto"/>
      <w:ind w:left="0"/>
      <w:contextualSpacing/>
      <w:jc w:val="both"/>
      <w:outlineLvl w:val="0"/>
    </w:pPr>
    <w:rPr>
      <w:rFonts w:ascii="ITC Avant Garde" w:hAnsi="ITC Avant Garde" w:cs="Arial"/>
      <w:b/>
      <w:sz w:val="22"/>
      <w:szCs w:val="22"/>
      <w:lang w:val="es-MX" w:eastAsia="es-MX"/>
    </w:rPr>
  </w:style>
  <w:style w:type="paragraph" w:customStyle="1" w:styleId="Style3">
    <w:name w:val="Style3"/>
    <w:basedOn w:val="Prrafodelista"/>
    <w:link w:val="Style3Char"/>
    <w:uiPriority w:val="99"/>
    <w:rsid w:val="00350F69"/>
    <w:pPr>
      <w:keepNext/>
      <w:numPr>
        <w:ilvl w:val="1"/>
        <w:numId w:val="24"/>
      </w:numPr>
      <w:spacing w:before="120" w:after="360" w:line="276" w:lineRule="auto"/>
      <w:ind w:left="357" w:hanging="357"/>
      <w:contextualSpacing/>
      <w:jc w:val="both"/>
      <w:outlineLvl w:val="0"/>
    </w:pPr>
    <w:rPr>
      <w:rFonts w:ascii="ITC Avant Garde" w:hAnsi="ITC Avant Garde" w:cs="Arial"/>
      <w:b/>
      <w:sz w:val="30"/>
      <w:szCs w:val="24"/>
      <w:lang w:val="es-MX" w:eastAsia="es-MX"/>
    </w:rPr>
  </w:style>
  <w:style w:type="character" w:customStyle="1" w:styleId="Style3Char">
    <w:name w:val="Style3 Char"/>
    <w:basedOn w:val="Fuentedeprrafopredeter"/>
    <w:link w:val="Style3"/>
    <w:uiPriority w:val="99"/>
    <w:locked/>
    <w:rsid w:val="00350F69"/>
    <w:rPr>
      <w:rFonts w:ascii="ITC Avant Garde" w:eastAsia="Times New Roman" w:hAnsi="ITC Avant Garde" w:cs="Arial"/>
      <w:b/>
      <w:sz w:val="30"/>
      <w:szCs w:val="24"/>
      <w:lang w:eastAsia="es-MX"/>
    </w:rPr>
  </w:style>
  <w:style w:type="paragraph" w:customStyle="1" w:styleId="TAH">
    <w:name w:val="TAH"/>
    <w:basedOn w:val="Normal"/>
    <w:uiPriority w:val="99"/>
    <w:rsid w:val="00350F69"/>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350F69"/>
    <w:pPr>
      <w:numPr>
        <w:numId w:val="25"/>
      </w:numPr>
      <w:spacing w:after="200" w:line="276" w:lineRule="auto"/>
      <w:ind w:left="0" w:firstLine="0"/>
      <w:contextualSpacing/>
      <w:jc w:val="both"/>
    </w:pPr>
    <w:rPr>
      <w:rFonts w:ascii="ITC Avant Garde" w:hAnsi="ITC Avant Garde"/>
      <w:b/>
      <w:sz w:val="20"/>
      <w:lang w:val="es-MX" w:eastAsia="en-US"/>
    </w:rPr>
  </w:style>
  <w:style w:type="paragraph" w:styleId="Textonotaalfinal">
    <w:name w:val="endnote text"/>
    <w:basedOn w:val="Normal"/>
    <w:link w:val="TextonotaalfinalCar"/>
    <w:uiPriority w:val="99"/>
    <w:semiHidden/>
    <w:unhideWhenUsed/>
    <w:rsid w:val="00350F69"/>
    <w:pPr>
      <w:spacing w:after="0" w:line="240" w:lineRule="auto"/>
    </w:pPr>
    <w:rPr>
      <w:sz w:val="20"/>
      <w:szCs w:val="20"/>
      <w:lang w:val="es-MX"/>
    </w:rPr>
  </w:style>
  <w:style w:type="character" w:customStyle="1" w:styleId="TextonotaalfinalCar">
    <w:name w:val="Texto nota al final Car"/>
    <w:basedOn w:val="Fuentedeprrafopredeter"/>
    <w:link w:val="Textonotaalfinal"/>
    <w:uiPriority w:val="99"/>
    <w:semiHidden/>
    <w:rsid w:val="00350F69"/>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350F69"/>
    <w:rPr>
      <w:vertAlign w:val="superscript"/>
    </w:rPr>
  </w:style>
  <w:style w:type="table" w:styleId="Sombreadomedio2-nfasis1">
    <w:name w:val="Medium Shading 2 Accent 1"/>
    <w:basedOn w:val="Tablanormal"/>
    <w:uiPriority w:val="64"/>
    <w:unhideWhenUsed/>
    <w:rsid w:val="00350F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350F69"/>
    <w:pPr>
      <w:keepNext w:val="0"/>
      <w:keepLines w:val="0"/>
      <w:spacing w:before="0"/>
      <w:ind w:left="567" w:right="49"/>
      <w:jc w:val="both"/>
      <w:outlineLvl w:val="9"/>
    </w:pPr>
    <w:rPr>
      <w:rFonts w:ascii="ITC Avant Garde" w:eastAsia="Calibri" w:hAnsi="ITC Avant Garde" w:cs="Arial"/>
      <w:color w:val="auto"/>
      <w:sz w:val="22"/>
      <w:szCs w:val="22"/>
      <w:lang w:val="es-ES_tradnl" w:eastAsia="es-ES"/>
    </w:rPr>
  </w:style>
  <w:style w:type="character" w:customStyle="1" w:styleId="1TitPrinCar">
    <w:name w:val="1TitPrin Car"/>
    <w:link w:val="1TitPrin"/>
    <w:rsid w:val="00350F69"/>
    <w:rPr>
      <w:rFonts w:ascii="ITC Avant Garde" w:eastAsia="Calibri" w:hAnsi="ITC Avant Garde" w:cs="Arial"/>
      <w:lang w:val="es-ES_tradnl" w:eastAsia="es-ES"/>
    </w:rPr>
  </w:style>
  <w:style w:type="paragraph" w:customStyle="1" w:styleId="Citaift">
    <w:name w:val="Cita ift"/>
    <w:basedOn w:val="Normal"/>
    <w:link w:val="CitaiftCar"/>
    <w:qFormat/>
    <w:rsid w:val="00350F69"/>
    <w:pPr>
      <w:adjustRightInd w:val="0"/>
      <w:ind w:left="851" w:right="760"/>
      <w:jc w:val="both"/>
    </w:pPr>
    <w:rPr>
      <w:rFonts w:ascii="ITC Avant Garde" w:eastAsia="Times New Roman" w:hAnsi="ITC Avant Garde" w:cs="Arial"/>
      <w:i/>
      <w:color w:val="000000"/>
      <w:sz w:val="18"/>
      <w:szCs w:val="18"/>
      <w:lang w:val="es-MX" w:eastAsia="es-ES"/>
    </w:rPr>
  </w:style>
  <w:style w:type="character" w:customStyle="1" w:styleId="CitaiftCar">
    <w:name w:val="Cita ift Car"/>
    <w:link w:val="Citaift"/>
    <w:rsid w:val="00350F6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350F69"/>
    <w:pPr>
      <w:tabs>
        <w:tab w:val="left" w:pos="1134"/>
      </w:tabs>
      <w:adjustRightInd w:val="0"/>
      <w:ind w:left="1134" w:hanging="992"/>
      <w:jc w:val="both"/>
    </w:pPr>
    <w:rPr>
      <w:rFonts w:ascii="ITC Avant Garde" w:hAnsi="ITC Avant Garde" w:cs="Arial"/>
      <w:bCs/>
      <w:lang w:val="es-MX" w:eastAsia="es-ES"/>
    </w:rPr>
  </w:style>
  <w:style w:type="character" w:customStyle="1" w:styleId="NumeracinIFTCar">
    <w:name w:val="Numeración IFT Car"/>
    <w:link w:val="NumeracinIFT"/>
    <w:rsid w:val="00350F69"/>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350F69"/>
    <w:pPr>
      <w:ind w:left="720"/>
      <w:contextualSpacing/>
    </w:pPr>
    <w:rPr>
      <w:lang w:val="es-MX"/>
    </w:rPr>
  </w:style>
  <w:style w:type="character" w:customStyle="1" w:styleId="Listamulticolor-nfasis1Car">
    <w:name w:val="Lista multicolor - Énfasis 1 Car"/>
    <w:link w:val="Listamulticolor-nfasis11"/>
    <w:uiPriority w:val="34"/>
    <w:rsid w:val="00350F69"/>
    <w:rPr>
      <w:rFonts w:ascii="Calibri" w:eastAsia="Calibri" w:hAnsi="Calibri" w:cs="Times New Roman"/>
    </w:rPr>
  </w:style>
  <w:style w:type="paragraph" w:customStyle="1" w:styleId="Cuadrculamediana21">
    <w:name w:val="Cuadrícula mediana 21"/>
    <w:uiPriority w:val="1"/>
    <w:rsid w:val="00350F69"/>
    <w:pPr>
      <w:spacing w:after="0" w:line="240" w:lineRule="auto"/>
    </w:pPr>
    <w:rPr>
      <w:rFonts w:ascii="Calibri" w:eastAsia="Calibri" w:hAnsi="Calibri" w:cs="Times New Roman"/>
    </w:rPr>
  </w:style>
  <w:style w:type="character" w:styleId="CitaHTML">
    <w:name w:val="HTML Cite"/>
    <w:uiPriority w:val="99"/>
    <w:semiHidden/>
    <w:unhideWhenUsed/>
    <w:rsid w:val="00350F69"/>
    <w:rPr>
      <w:i/>
      <w:iCs/>
    </w:rPr>
  </w:style>
  <w:style w:type="paragraph" w:customStyle="1" w:styleId="Sombreadomulticolor-nfasis11">
    <w:name w:val="Sombreado multicolor - Énfasis 11"/>
    <w:hidden/>
    <w:uiPriority w:val="99"/>
    <w:semiHidden/>
    <w:rsid w:val="00350F69"/>
    <w:pPr>
      <w:spacing w:after="0" w:line="240" w:lineRule="auto"/>
    </w:pPr>
    <w:rPr>
      <w:rFonts w:ascii="Calibri" w:eastAsia="Calibri" w:hAnsi="Calibri" w:cs="Times New Roman"/>
    </w:rPr>
  </w:style>
  <w:style w:type="table" w:styleId="Cuadrculamedia3-nfasis1">
    <w:name w:val="Medium Grid 3 Accent 1"/>
    <w:basedOn w:val="Tablanormal"/>
    <w:uiPriority w:val="64"/>
    <w:rsid w:val="00350F6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350F69"/>
    <w:pPr>
      <w:ind w:left="716" w:hanging="432"/>
      <w:jc w:val="both"/>
    </w:pPr>
    <w:rPr>
      <w:rFonts w:ascii="ITC Avant Garde" w:eastAsia="Times New Roman" w:hAnsi="ITC Avant Garde" w:cs="Arial"/>
      <w:b/>
      <w:iCs/>
      <w:lang w:val="es-MX"/>
    </w:rPr>
  </w:style>
  <w:style w:type="paragraph" w:customStyle="1" w:styleId="Niv2Bullets">
    <w:name w:val="Niv2Bullets"/>
    <w:basedOn w:val="IFTnormal"/>
    <w:next w:val="IFTnormal"/>
    <w:autoRedefine/>
    <w:qFormat/>
    <w:rsid w:val="00350F69"/>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350F69"/>
    <w:pPr>
      <w:jc w:val="both"/>
    </w:pPr>
    <w:rPr>
      <w:rFonts w:ascii="ITC Avant Garde" w:hAnsi="ITC Avant Garde"/>
      <w:u w:val="single"/>
      <w:lang w:val="es-MX"/>
    </w:rPr>
  </w:style>
  <w:style w:type="paragraph" w:customStyle="1" w:styleId="ListaCitaOtras">
    <w:name w:val="ListaCitaOtras"/>
    <w:basedOn w:val="Citaift"/>
    <w:link w:val="ListaCitaOtrasCar"/>
    <w:qFormat/>
    <w:rsid w:val="00350F69"/>
    <w:pPr>
      <w:numPr>
        <w:numId w:val="50"/>
      </w:numPr>
      <w:ind w:left="1570" w:hanging="357"/>
    </w:pPr>
  </w:style>
  <w:style w:type="character" w:customStyle="1" w:styleId="ListaCitaOtrasCar">
    <w:name w:val="ListaCitaOtras Car"/>
    <w:basedOn w:val="CitaiftCar"/>
    <w:link w:val="ListaCitaOtras"/>
    <w:rsid w:val="00350F69"/>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350F69"/>
    <w:rPr>
      <w:sz w:val="22"/>
      <w:szCs w:val="22"/>
      <w:lang w:eastAsia="en-US"/>
    </w:rPr>
  </w:style>
  <w:style w:type="table" w:styleId="Listavistosa-nfasis1">
    <w:name w:val="Colorful List Accent 1"/>
    <w:basedOn w:val="Tablanormal"/>
    <w:link w:val="Listavistosa-nfasis1Car"/>
    <w:uiPriority w:val="34"/>
    <w:semiHidden/>
    <w:unhideWhenUsed/>
    <w:rsid w:val="00350F69"/>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350F69"/>
    <w:pPr>
      <w:ind w:left="792"/>
    </w:pPr>
  </w:style>
  <w:style w:type="paragraph" w:customStyle="1" w:styleId="Niv2C4">
    <w:name w:val="Niv2C4"/>
    <w:basedOn w:val="Subttulo"/>
    <w:link w:val="Niv2C4Car"/>
    <w:qFormat/>
    <w:rsid w:val="00350F69"/>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350F69"/>
    <w:rPr>
      <w:rFonts w:ascii="ITC Avant Garde" w:eastAsia="Times New Roman" w:hAnsi="ITC Avant Garde" w:cs="Arial"/>
      <w:b/>
      <w:iCs/>
    </w:rPr>
  </w:style>
  <w:style w:type="character" w:customStyle="1" w:styleId="PuntosC5Car">
    <w:name w:val="PuntosC5 Car"/>
    <w:basedOn w:val="PuntosC4Car"/>
    <w:link w:val="PuntosC5"/>
    <w:rsid w:val="00350F69"/>
    <w:rPr>
      <w:rFonts w:ascii="ITC Avant Garde" w:eastAsia="Times New Roman" w:hAnsi="ITC Avant Garde" w:cs="Arial"/>
      <w:b/>
      <w:iCs/>
    </w:rPr>
  </w:style>
  <w:style w:type="paragraph" w:customStyle="1" w:styleId="Niv3C4">
    <w:name w:val="Niv3C4"/>
    <w:basedOn w:val="Subttulo"/>
    <w:link w:val="Niv3C4Car"/>
    <w:qFormat/>
    <w:rsid w:val="00350F69"/>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350F69"/>
    <w:rPr>
      <w:rFonts w:ascii="ITC Avant Garde" w:hAnsi="ITC Avant Garde"/>
      <w:sz w:val="20"/>
      <w:szCs w:val="20"/>
      <w:lang w:val="es-MX" w:eastAsia="es-ES"/>
    </w:rPr>
  </w:style>
  <w:style w:type="paragraph" w:customStyle="1" w:styleId="z">
    <w:name w:val="z"/>
    <w:basedOn w:val="Normal"/>
    <w:link w:val="zCar"/>
    <w:qFormat/>
    <w:rsid w:val="00350F69"/>
    <w:pPr>
      <w:jc w:val="both"/>
    </w:pPr>
    <w:rPr>
      <w:rFonts w:ascii="ITC Avant Garde" w:eastAsia="Times New Roman" w:hAnsi="ITC Avant Garde"/>
      <w:iCs/>
      <w:lang w:val="es-MX"/>
    </w:rPr>
  </w:style>
  <w:style w:type="character" w:customStyle="1" w:styleId="zCar">
    <w:name w:val="z Car"/>
    <w:link w:val="z"/>
    <w:rsid w:val="00350F69"/>
    <w:rPr>
      <w:rFonts w:ascii="ITC Avant Garde" w:eastAsia="Times New Roman" w:hAnsi="ITC Avant Garde" w:cs="Times New Roman"/>
      <w:iCs/>
    </w:rPr>
  </w:style>
  <w:style w:type="paragraph" w:customStyle="1" w:styleId="CondicionesFinales">
    <w:name w:val="CondicionesFinales"/>
    <w:basedOn w:val="Citaift"/>
    <w:qFormat/>
    <w:rsid w:val="00350F69"/>
    <w:rPr>
      <w:bCs/>
      <w:i w:val="0"/>
      <w:sz w:val="22"/>
      <w:szCs w:val="22"/>
      <w:lang w:val="es-ES_tradnl"/>
    </w:rPr>
  </w:style>
  <w:style w:type="paragraph" w:customStyle="1" w:styleId="ecxmsonormal">
    <w:name w:val="ecxmsonormal"/>
    <w:basedOn w:val="Normal"/>
    <w:uiPriority w:val="99"/>
    <w:rsid w:val="00350F69"/>
    <w:pPr>
      <w:spacing w:after="324"/>
      <w:jc w:val="both"/>
    </w:pPr>
    <w:rPr>
      <w:rFonts w:ascii="Arial" w:hAnsi="Arial" w:cs="Arial"/>
      <w:lang w:val="es-MX"/>
    </w:rPr>
  </w:style>
  <w:style w:type="character" w:customStyle="1" w:styleId="IFTnormalCar">
    <w:name w:val="IFT normal Car"/>
    <w:basedOn w:val="Fuentedeprrafopredeter"/>
    <w:link w:val="IFTnormal"/>
    <w:qFormat/>
    <w:rsid w:val="00350F69"/>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350F69"/>
    <w:pPr>
      <w:tabs>
        <w:tab w:val="left" w:pos="992"/>
        <w:tab w:val="left" w:pos="1276"/>
      </w:tabs>
      <w:spacing w:before="120"/>
      <w:ind w:left="648"/>
      <w:jc w:val="left"/>
    </w:pPr>
  </w:style>
  <w:style w:type="paragraph" w:customStyle="1" w:styleId="LosOdioAtodos">
    <w:name w:val="LosOdioAtodos"/>
    <w:basedOn w:val="Niv3C4"/>
    <w:link w:val="LosOdioAtodosCar"/>
    <w:qFormat/>
    <w:rsid w:val="00350F69"/>
    <w:pPr>
      <w:tabs>
        <w:tab w:val="left" w:pos="851"/>
        <w:tab w:val="left" w:pos="1276"/>
      </w:tabs>
      <w:outlineLvl w:val="2"/>
    </w:pPr>
  </w:style>
  <w:style w:type="character" w:customStyle="1" w:styleId="Niv3C4Car">
    <w:name w:val="Niv3C4 Car"/>
    <w:basedOn w:val="SubttuloCar"/>
    <w:link w:val="Niv3C4"/>
    <w:rsid w:val="00350F69"/>
    <w:rPr>
      <w:rFonts w:ascii="ITC Avant Garde" w:eastAsia="Calibri" w:hAnsi="ITC Avant Garde" w:cs="Times New Roman"/>
      <w:b/>
      <w:szCs w:val="24"/>
      <w:lang w:eastAsia="es-ES"/>
    </w:rPr>
  </w:style>
  <w:style w:type="character" w:customStyle="1" w:styleId="03TitPrinCar">
    <w:name w:val="03TitPrin Car"/>
    <w:basedOn w:val="Niv3C4Car"/>
    <w:link w:val="03TitPrin"/>
    <w:rsid w:val="00350F69"/>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350F69"/>
    <w:pPr>
      <w:numPr>
        <w:numId w:val="52"/>
      </w:numPr>
      <w:tabs>
        <w:tab w:val="left" w:pos="709"/>
        <w:tab w:val="left" w:pos="1134"/>
      </w:tabs>
      <w:outlineLvl w:val="3"/>
    </w:pPr>
    <w:rPr>
      <w:b w:val="0"/>
    </w:rPr>
  </w:style>
  <w:style w:type="paragraph" w:customStyle="1" w:styleId="RIFT">
    <w:name w:val="R_IFT"/>
    <w:basedOn w:val="Ttulo2"/>
    <w:link w:val="RIFTCar"/>
    <w:qFormat/>
    <w:rsid w:val="00350F69"/>
    <w:pPr>
      <w:numPr>
        <w:numId w:val="0"/>
      </w:numPr>
      <w:spacing w:before="0" w:after="200"/>
    </w:pPr>
    <w:rPr>
      <w:rFonts w:cs="Arial"/>
      <w:bCs/>
      <w:szCs w:val="20"/>
      <w:lang w:val="es-MX"/>
    </w:rPr>
  </w:style>
  <w:style w:type="character" w:customStyle="1" w:styleId="LosOdioAtodosCar">
    <w:name w:val="LosOdioAtodos Car"/>
    <w:basedOn w:val="Niv3C4Car"/>
    <w:link w:val="LosOdioAtodos"/>
    <w:rsid w:val="00350F69"/>
    <w:rPr>
      <w:rFonts w:ascii="ITC Avant Garde" w:eastAsia="Calibri" w:hAnsi="ITC Avant Garde" w:cs="Times New Roman"/>
      <w:b/>
      <w:szCs w:val="24"/>
      <w:lang w:eastAsia="es-ES"/>
    </w:rPr>
  </w:style>
  <w:style w:type="character" w:customStyle="1" w:styleId="5TitCinCar">
    <w:name w:val="5TitCin Car"/>
    <w:basedOn w:val="LosOdioAtodosCar"/>
    <w:link w:val="5TitCin"/>
    <w:rsid w:val="00350F69"/>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350F69"/>
    <w:pPr>
      <w:numPr>
        <w:ilvl w:val="3"/>
        <w:numId w:val="51"/>
      </w:numPr>
      <w:tabs>
        <w:tab w:val="left" w:pos="709"/>
        <w:tab w:val="left" w:leader="underscore" w:pos="1134"/>
      </w:tabs>
      <w:outlineLvl w:val="2"/>
    </w:pPr>
    <w:rPr>
      <w:b w:val="0"/>
    </w:rPr>
  </w:style>
  <w:style w:type="character" w:customStyle="1" w:styleId="RIFTCar">
    <w:name w:val="R_IFT Car"/>
    <w:basedOn w:val="Ttulo2Car"/>
    <w:link w:val="RIFT"/>
    <w:rsid w:val="00350F69"/>
    <w:rPr>
      <w:rFonts w:ascii="ITC Avant Garde" w:eastAsia="Times New Roman" w:hAnsi="ITC Avant Garde" w:cs="Arial"/>
      <w:b/>
      <w:bCs/>
      <w:color w:val="000000"/>
      <w:szCs w:val="20"/>
      <w:lang w:val="es-ES" w:eastAsia="es-MX"/>
    </w:rPr>
  </w:style>
  <w:style w:type="paragraph" w:customStyle="1" w:styleId="R2N4C4">
    <w:name w:val="R2N4C4"/>
    <w:basedOn w:val="4TitCuar"/>
    <w:link w:val="R2N4C4Car"/>
    <w:rsid w:val="00350F69"/>
    <w:pPr>
      <w:outlineLvl w:val="3"/>
    </w:pPr>
  </w:style>
  <w:style w:type="character" w:customStyle="1" w:styleId="4TitCuarCar">
    <w:name w:val="4TitCuar Car"/>
    <w:basedOn w:val="Niv3C4Car"/>
    <w:link w:val="4TitCuar"/>
    <w:rsid w:val="00350F69"/>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350F69"/>
    <w:pPr>
      <w:ind w:left="0" w:firstLine="0"/>
      <w:outlineLvl w:val="1"/>
    </w:pPr>
  </w:style>
  <w:style w:type="character" w:customStyle="1" w:styleId="R2N4C4Car">
    <w:name w:val="R2N4C4 Car"/>
    <w:basedOn w:val="4TitCuarCar"/>
    <w:link w:val="R2N4C4"/>
    <w:rsid w:val="00350F69"/>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350F69"/>
    <w:pPr>
      <w:keepNext w:val="0"/>
      <w:keepLines w:val="0"/>
      <w:spacing w:before="0" w:after="200"/>
      <w:jc w:val="both"/>
    </w:pPr>
    <w:rPr>
      <w:rFonts w:ascii="ITC Avant Garde" w:eastAsia="Calibri" w:hAnsi="ITC Avant Garde" w:cs="Arial"/>
      <w:b/>
      <w:color w:val="000000"/>
      <w:sz w:val="22"/>
      <w:szCs w:val="22"/>
      <w:lang w:eastAsia="es-ES"/>
    </w:rPr>
  </w:style>
  <w:style w:type="character" w:customStyle="1" w:styleId="Niv2C4Car">
    <w:name w:val="Niv2C4 Car"/>
    <w:basedOn w:val="SubttuloCar"/>
    <w:link w:val="Niv2C4"/>
    <w:rsid w:val="00350F69"/>
    <w:rPr>
      <w:rFonts w:ascii="ITC Avant Garde" w:eastAsia="Calibri" w:hAnsi="ITC Avant Garde" w:cs="Times New Roman"/>
      <w:b/>
      <w:szCs w:val="24"/>
      <w:lang w:eastAsia="es-ES"/>
    </w:rPr>
  </w:style>
  <w:style w:type="character" w:customStyle="1" w:styleId="3TitTerCar">
    <w:name w:val="3TitTer Car"/>
    <w:basedOn w:val="Niv2C4Car"/>
    <w:link w:val="3TitTer"/>
    <w:rsid w:val="00350F69"/>
    <w:rPr>
      <w:rFonts w:ascii="ITC Avant Garde" w:eastAsia="Calibri" w:hAnsi="ITC Avant Garde" w:cs="Times New Roman"/>
      <w:b/>
      <w:szCs w:val="24"/>
      <w:lang w:eastAsia="es-ES"/>
    </w:rPr>
  </w:style>
  <w:style w:type="character" w:customStyle="1" w:styleId="01TitPrinCar">
    <w:name w:val="01TitPrin Car"/>
    <w:link w:val="01TitPrin"/>
    <w:rsid w:val="00350F69"/>
    <w:rPr>
      <w:rFonts w:ascii="ITC Avant Garde" w:eastAsia="Calibri" w:hAnsi="ITC Avant Garde" w:cs="Arial"/>
      <w:b/>
      <w:color w:val="000000"/>
      <w:lang w:val="es-ES" w:eastAsia="es-ES"/>
    </w:rPr>
  </w:style>
  <w:style w:type="paragraph" w:customStyle="1" w:styleId="T2IFT">
    <w:name w:val="T2 IFT"/>
    <w:basedOn w:val="Niv2C4"/>
    <w:autoRedefine/>
    <w:qFormat/>
    <w:rsid w:val="00350F69"/>
    <w:pPr>
      <w:jc w:val="left"/>
      <w:outlineLvl w:val="1"/>
    </w:pPr>
  </w:style>
  <w:style w:type="paragraph" w:styleId="TDC5">
    <w:name w:val="toc 5"/>
    <w:basedOn w:val="Normal"/>
    <w:next w:val="Normal"/>
    <w:autoRedefine/>
    <w:uiPriority w:val="39"/>
    <w:unhideWhenUsed/>
    <w:rsid w:val="00350F69"/>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350F69"/>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350F69"/>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350F69"/>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350F69"/>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350F69"/>
    <w:pPr>
      <w:adjustRightInd w:val="0"/>
      <w:ind w:left="851" w:right="760"/>
    </w:pPr>
    <w:rPr>
      <w:rFonts w:eastAsia="Times New Roman"/>
      <w:bCs/>
      <w:i/>
      <w:sz w:val="18"/>
      <w:szCs w:val="18"/>
    </w:rPr>
  </w:style>
  <w:style w:type="character" w:customStyle="1" w:styleId="CitaIFTCar0">
    <w:name w:val="Cita IFT Car"/>
    <w:link w:val="CitaIFT0"/>
    <w:rsid w:val="00350F69"/>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350F6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350F69"/>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350F6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50F69"/>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350F69"/>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350F69"/>
    <w:rPr>
      <w:color w:val="808080"/>
    </w:rPr>
  </w:style>
  <w:style w:type="paragraph" w:customStyle="1" w:styleId="Prrafodelista11">
    <w:name w:val="Párrafo de lista11"/>
    <w:basedOn w:val="Normal"/>
    <w:uiPriority w:val="99"/>
    <w:rsid w:val="00350F69"/>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eastAsia="es-ES"/>
    </w:rPr>
  </w:style>
  <w:style w:type="paragraph" w:customStyle="1" w:styleId="Titulo">
    <w:name w:val="Titulo"/>
    <w:basedOn w:val="Normal"/>
    <w:uiPriority w:val="99"/>
    <w:rsid w:val="00350F69"/>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350F69"/>
    <w:rPr>
      <w:rFonts w:cs="Times New Roman"/>
      <w:b/>
    </w:rPr>
  </w:style>
  <w:style w:type="paragraph" w:customStyle="1" w:styleId="Sub-titulo">
    <w:name w:val="Sub-titulo"/>
    <w:basedOn w:val="Normal"/>
    <w:uiPriority w:val="99"/>
    <w:rsid w:val="00350F69"/>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350F69"/>
    <w:pPr>
      <w:spacing w:after="0" w:line="240" w:lineRule="auto"/>
      <w:ind w:left="720"/>
      <w:contextualSpacing/>
    </w:pPr>
    <w:rPr>
      <w:rFonts w:ascii="Times New Roman" w:eastAsia="Times New Roman" w:hAnsi="Times New Roman"/>
      <w:sz w:val="24"/>
      <w:szCs w:val="24"/>
      <w:lang w:eastAsia="es-ES"/>
    </w:rPr>
  </w:style>
  <w:style w:type="paragraph" w:styleId="Sangranormal">
    <w:name w:val="Normal Indent"/>
    <w:basedOn w:val="Normal"/>
    <w:uiPriority w:val="99"/>
    <w:rsid w:val="00350F69"/>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350F69"/>
    <w:pPr>
      <w:overflowPunct w:val="0"/>
      <w:autoSpaceDE w:val="0"/>
      <w:autoSpaceDN w:val="0"/>
      <w:adjustRightInd w:val="0"/>
      <w:spacing w:after="0" w:line="240" w:lineRule="atLeast"/>
      <w:ind w:right="657" w:firstLine="1"/>
      <w:jc w:val="center"/>
      <w:textAlignment w:val="baseline"/>
    </w:pPr>
    <w:rPr>
      <w:rFonts w:ascii="Arial" w:eastAsia="Times New Roman" w:hAnsi="Arial"/>
      <w:sz w:val="20"/>
      <w:szCs w:val="20"/>
      <w:lang w:val="es-ES_tradnl" w:eastAsia="ja-JP"/>
    </w:rPr>
  </w:style>
  <w:style w:type="paragraph" w:customStyle="1" w:styleId="TEXTOCONNUMERO">
    <w:name w:val="TEXTO CON NUMERO"/>
    <w:basedOn w:val="Normal"/>
    <w:qFormat/>
    <w:rsid w:val="00350F69"/>
    <w:pPr>
      <w:numPr>
        <w:numId w:val="53"/>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350F69"/>
    <w:pPr>
      <w:widowControl w:val="0"/>
      <w:numPr>
        <w:numId w:val="54"/>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350F69"/>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350F69"/>
    <w:pPr>
      <w:numPr>
        <w:ilvl w:val="1"/>
        <w:numId w:val="55"/>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350F69"/>
    <w:pPr>
      <w:numPr>
        <w:ilvl w:val="2"/>
        <w:numId w:val="55"/>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350F69"/>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350F69"/>
    <w:pPr>
      <w:numPr>
        <w:ilvl w:val="3"/>
      </w:numPr>
    </w:pPr>
  </w:style>
  <w:style w:type="character" w:customStyle="1" w:styleId="SUBCAP2Car">
    <w:name w:val="SUBCAP2 Car"/>
    <w:link w:val="SUBCAP2"/>
    <w:rsid w:val="00350F69"/>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350F69"/>
  </w:style>
  <w:style w:type="character" w:customStyle="1" w:styleId="SUBCAP3Car">
    <w:name w:val="SUBCAP3 Car"/>
    <w:basedOn w:val="SUBCAP2Car"/>
    <w:link w:val="SUBCAP3"/>
    <w:rsid w:val="00350F69"/>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350F69"/>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350F69"/>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350F69"/>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350F69"/>
    <w:pPr>
      <w:spacing w:after="0" w:line="240" w:lineRule="auto"/>
      <w:jc w:val="both"/>
    </w:pPr>
    <w:rPr>
      <w:rFonts w:ascii="Arial" w:eastAsia="Times New Roman" w:hAnsi="Arial"/>
      <w:sz w:val="20"/>
      <w:szCs w:val="20"/>
      <w:lang w:val="es-ES_tradnl"/>
    </w:rPr>
  </w:style>
  <w:style w:type="numbering" w:customStyle="1" w:styleId="Sinlista6">
    <w:name w:val="Sin lista6"/>
    <w:next w:val="Sinlista"/>
    <w:uiPriority w:val="99"/>
    <w:semiHidden/>
    <w:unhideWhenUsed/>
    <w:rsid w:val="00350F69"/>
  </w:style>
  <w:style w:type="numbering" w:customStyle="1" w:styleId="Sinlista12">
    <w:name w:val="Sin lista12"/>
    <w:next w:val="Sinlista"/>
    <w:semiHidden/>
    <w:unhideWhenUsed/>
    <w:rsid w:val="00350F69"/>
  </w:style>
  <w:style w:type="table" w:customStyle="1" w:styleId="Tablaconcuadrcula2">
    <w:name w:val="Tabla con cuadrícula2"/>
    <w:basedOn w:val="Tablanormal"/>
    <w:next w:val="Tablaconcuadrcula"/>
    <w:uiPriority w:val="59"/>
    <w:rsid w:val="00350F6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350F69"/>
    <w:pPr>
      <w:numPr>
        <w:numId w:val="11"/>
      </w:numPr>
    </w:pPr>
  </w:style>
  <w:style w:type="numbering" w:customStyle="1" w:styleId="Sinlista112">
    <w:name w:val="Sin lista112"/>
    <w:next w:val="Sinlista"/>
    <w:semiHidden/>
    <w:unhideWhenUsed/>
    <w:rsid w:val="00350F69"/>
  </w:style>
  <w:style w:type="numbering" w:customStyle="1" w:styleId="Sinlista22">
    <w:name w:val="Sin lista22"/>
    <w:next w:val="Sinlista"/>
    <w:semiHidden/>
    <w:rsid w:val="00350F69"/>
  </w:style>
  <w:style w:type="numbering" w:customStyle="1" w:styleId="Sinlista32">
    <w:name w:val="Sin lista32"/>
    <w:next w:val="Sinlista"/>
    <w:uiPriority w:val="99"/>
    <w:semiHidden/>
    <w:unhideWhenUsed/>
    <w:rsid w:val="00350F69"/>
  </w:style>
  <w:style w:type="numbering" w:customStyle="1" w:styleId="Sinlista42">
    <w:name w:val="Sin lista42"/>
    <w:next w:val="Sinlista"/>
    <w:semiHidden/>
    <w:unhideWhenUsed/>
    <w:rsid w:val="00350F69"/>
  </w:style>
  <w:style w:type="numbering" w:customStyle="1" w:styleId="1ai11">
    <w:name w:val="1 / a / i11"/>
    <w:basedOn w:val="Sinlista"/>
    <w:next w:val="1ai"/>
    <w:uiPriority w:val="99"/>
    <w:unhideWhenUsed/>
    <w:rsid w:val="00350F69"/>
    <w:pPr>
      <w:numPr>
        <w:numId w:val="8"/>
      </w:numPr>
    </w:pPr>
  </w:style>
  <w:style w:type="numbering" w:customStyle="1" w:styleId="Sinlista51">
    <w:name w:val="Sin lista51"/>
    <w:next w:val="Sinlista"/>
    <w:semiHidden/>
    <w:rsid w:val="00350F69"/>
  </w:style>
  <w:style w:type="numbering" w:customStyle="1" w:styleId="Sinlista1111">
    <w:name w:val="Sin lista1111"/>
    <w:next w:val="Sinlista"/>
    <w:semiHidden/>
    <w:unhideWhenUsed/>
    <w:rsid w:val="00350F69"/>
  </w:style>
  <w:style w:type="numbering" w:customStyle="1" w:styleId="Sinlista211">
    <w:name w:val="Sin lista211"/>
    <w:next w:val="Sinlista"/>
    <w:semiHidden/>
    <w:rsid w:val="00350F69"/>
  </w:style>
  <w:style w:type="numbering" w:customStyle="1" w:styleId="Sinlista311">
    <w:name w:val="Sin lista311"/>
    <w:next w:val="Sinlista"/>
    <w:uiPriority w:val="99"/>
    <w:semiHidden/>
    <w:unhideWhenUsed/>
    <w:rsid w:val="00350F69"/>
  </w:style>
  <w:style w:type="numbering" w:customStyle="1" w:styleId="Sinlista411">
    <w:name w:val="Sin lista411"/>
    <w:next w:val="Sinlista"/>
    <w:uiPriority w:val="99"/>
    <w:semiHidden/>
    <w:unhideWhenUsed/>
    <w:rsid w:val="00350F69"/>
  </w:style>
  <w:style w:type="table" w:customStyle="1" w:styleId="Listavistosa-nfasis12">
    <w:name w:val="Lista vistosa - Énfasis 12"/>
    <w:basedOn w:val="Tablanormal"/>
    <w:next w:val="Listavistosa-nfasis1"/>
    <w:uiPriority w:val="34"/>
    <w:semiHidden/>
    <w:unhideWhenUsed/>
    <w:rsid w:val="00350F69"/>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350F69"/>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350F69"/>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350F69"/>
    <w:rPr>
      <w:rFonts w:ascii="ITC Avant Garde" w:eastAsia="Times New Roman" w:hAnsi="ITC Avant Garde" w:cs="Arial"/>
      <w:bCs/>
      <w:i/>
      <w:color w:val="000000"/>
      <w:sz w:val="18"/>
      <w:lang w:val="en-GB" w:eastAsia="es-ES"/>
    </w:rPr>
  </w:style>
  <w:style w:type="paragraph" w:customStyle="1" w:styleId="Level2">
    <w:name w:val="Level 2"/>
    <w:basedOn w:val="Normal"/>
    <w:rsid w:val="00350F69"/>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350F69"/>
    <w:pPr>
      <w:spacing w:after="0" w:line="240" w:lineRule="auto"/>
      <w:ind w:left="720"/>
      <w:contextualSpacing/>
    </w:pPr>
    <w:rPr>
      <w:rFonts w:ascii="Times New Roman" w:eastAsia="Times New Roman" w:hAnsi="Times New Roman"/>
      <w:sz w:val="24"/>
      <w:szCs w:val="24"/>
      <w:lang w:val="es-MX" w:eastAsia="es-MX"/>
    </w:rPr>
  </w:style>
  <w:style w:type="paragraph" w:customStyle="1" w:styleId="Estilo">
    <w:name w:val="Estilo"/>
    <w:rsid w:val="00350F6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350F69"/>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350F69"/>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350F69"/>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350F69"/>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350F69"/>
    <w:rPr>
      <w:rFonts w:ascii="Helvetica" w:hAnsi="Helvetica" w:hint="default"/>
      <w:sz w:val="15"/>
      <w:szCs w:val="15"/>
    </w:rPr>
  </w:style>
  <w:style w:type="character" w:customStyle="1" w:styleId="s2">
    <w:name w:val="s2"/>
    <w:basedOn w:val="Fuentedeprrafopredeter"/>
    <w:rsid w:val="00350F69"/>
    <w:rPr>
      <w:rFonts w:ascii="Helvetica" w:hAnsi="Helvetica" w:hint="default"/>
      <w:sz w:val="17"/>
      <w:szCs w:val="17"/>
    </w:rPr>
  </w:style>
  <w:style w:type="character" w:customStyle="1" w:styleId="s3">
    <w:name w:val="s3"/>
    <w:basedOn w:val="Fuentedeprrafopredeter"/>
    <w:rsid w:val="00350F69"/>
    <w:rPr>
      <w:rFonts w:ascii="Helvetica" w:hAnsi="Helvetica" w:hint="default"/>
      <w:sz w:val="27"/>
      <w:szCs w:val="27"/>
    </w:rPr>
  </w:style>
  <w:style w:type="character" w:customStyle="1" w:styleId="s4">
    <w:name w:val="s4"/>
    <w:basedOn w:val="Fuentedeprrafopredeter"/>
    <w:rsid w:val="00350F69"/>
    <w:rPr>
      <w:rFonts w:ascii="Helvetica" w:hAnsi="Helvetica" w:hint="default"/>
      <w:sz w:val="23"/>
      <w:szCs w:val="23"/>
    </w:rPr>
  </w:style>
  <w:style w:type="character" w:customStyle="1" w:styleId="s5">
    <w:name w:val="s5"/>
    <w:basedOn w:val="Fuentedeprrafopredeter"/>
    <w:rsid w:val="00350F69"/>
    <w:rPr>
      <w:rFonts w:ascii="Helvetica" w:hAnsi="Helvetica" w:hint="default"/>
      <w:sz w:val="18"/>
      <w:szCs w:val="18"/>
    </w:rPr>
  </w:style>
  <w:style w:type="character" w:customStyle="1" w:styleId="s6">
    <w:name w:val="s6"/>
    <w:basedOn w:val="Fuentedeprrafopredeter"/>
    <w:rsid w:val="00350F69"/>
    <w:rPr>
      <w:rFonts w:ascii="Helvetica" w:hAnsi="Helvetica" w:hint="default"/>
      <w:sz w:val="26"/>
      <w:szCs w:val="26"/>
    </w:rPr>
  </w:style>
  <w:style w:type="character" w:customStyle="1" w:styleId="s7">
    <w:name w:val="s7"/>
    <w:basedOn w:val="Fuentedeprrafopredeter"/>
    <w:rsid w:val="00350F69"/>
    <w:rPr>
      <w:rFonts w:ascii="Helvetica" w:hAnsi="Helvetica" w:hint="default"/>
      <w:sz w:val="20"/>
      <w:szCs w:val="20"/>
    </w:rPr>
  </w:style>
  <w:style w:type="character" w:customStyle="1" w:styleId="s8">
    <w:name w:val="s8"/>
    <w:basedOn w:val="Fuentedeprrafopredeter"/>
    <w:rsid w:val="00350F69"/>
    <w:rPr>
      <w:rFonts w:ascii="Helvetica" w:hAnsi="Helvetica" w:hint="default"/>
      <w:sz w:val="20"/>
      <w:szCs w:val="20"/>
    </w:rPr>
  </w:style>
  <w:style w:type="character" w:customStyle="1" w:styleId="s9">
    <w:name w:val="s9"/>
    <w:basedOn w:val="Fuentedeprrafopredeter"/>
    <w:rsid w:val="00350F69"/>
    <w:rPr>
      <w:rFonts w:ascii="Helvetica" w:hAnsi="Helvetica" w:hint="default"/>
      <w:sz w:val="19"/>
      <w:szCs w:val="19"/>
    </w:rPr>
  </w:style>
  <w:style w:type="character" w:customStyle="1" w:styleId="s10">
    <w:name w:val="s10"/>
    <w:basedOn w:val="Fuentedeprrafopredeter"/>
    <w:rsid w:val="00350F69"/>
    <w:rPr>
      <w:rFonts w:ascii="Helvetica" w:hAnsi="Helvetica" w:hint="default"/>
      <w:sz w:val="23"/>
      <w:szCs w:val="23"/>
    </w:rPr>
  </w:style>
  <w:style w:type="character" w:customStyle="1" w:styleId="s11">
    <w:name w:val="s11"/>
    <w:basedOn w:val="Fuentedeprrafopredeter"/>
    <w:rsid w:val="00350F69"/>
    <w:rPr>
      <w:rFonts w:ascii="Helvetica" w:hAnsi="Helvetica" w:hint="default"/>
      <w:sz w:val="21"/>
      <w:szCs w:val="21"/>
    </w:rPr>
  </w:style>
  <w:style w:type="character" w:customStyle="1" w:styleId="s12">
    <w:name w:val="s12"/>
    <w:basedOn w:val="Fuentedeprrafopredeter"/>
    <w:rsid w:val="00350F69"/>
    <w:rPr>
      <w:rFonts w:ascii="Helvetica" w:hAnsi="Helvetica" w:hint="default"/>
      <w:sz w:val="14"/>
      <w:szCs w:val="14"/>
    </w:rPr>
  </w:style>
  <w:style w:type="character" w:customStyle="1" w:styleId="s13">
    <w:name w:val="s13"/>
    <w:basedOn w:val="Fuentedeprrafopredeter"/>
    <w:rsid w:val="00350F69"/>
    <w:rPr>
      <w:rFonts w:ascii="Helvetica" w:hAnsi="Helvetica" w:hint="default"/>
      <w:sz w:val="23"/>
      <w:szCs w:val="23"/>
    </w:rPr>
  </w:style>
  <w:style w:type="character" w:customStyle="1" w:styleId="s14">
    <w:name w:val="s14"/>
    <w:basedOn w:val="Fuentedeprrafopredeter"/>
    <w:rsid w:val="00350F69"/>
    <w:rPr>
      <w:rFonts w:ascii="Helvetica" w:hAnsi="Helvetica" w:hint="default"/>
      <w:sz w:val="23"/>
      <w:szCs w:val="23"/>
    </w:rPr>
  </w:style>
  <w:style w:type="character" w:customStyle="1" w:styleId="s15">
    <w:name w:val="s15"/>
    <w:basedOn w:val="Fuentedeprrafopredeter"/>
    <w:rsid w:val="00350F69"/>
    <w:rPr>
      <w:rFonts w:ascii="Helvetica" w:hAnsi="Helvetica" w:hint="default"/>
      <w:sz w:val="25"/>
      <w:szCs w:val="25"/>
    </w:rPr>
  </w:style>
  <w:style w:type="character" w:customStyle="1" w:styleId="s16">
    <w:name w:val="s16"/>
    <w:basedOn w:val="Fuentedeprrafopredeter"/>
    <w:rsid w:val="00350F69"/>
    <w:rPr>
      <w:rFonts w:ascii="Helvetica" w:hAnsi="Helvetica" w:hint="default"/>
      <w:sz w:val="27"/>
      <w:szCs w:val="27"/>
    </w:rPr>
  </w:style>
  <w:style w:type="character" w:customStyle="1" w:styleId="apple-tab-span">
    <w:name w:val="apple-tab-span"/>
    <w:basedOn w:val="Fuentedeprrafopredeter"/>
    <w:rsid w:val="00350F69"/>
  </w:style>
  <w:style w:type="table" w:customStyle="1" w:styleId="Sombreadomedio2-nfasis12">
    <w:name w:val="Sombreado medio 2 - Énfasis 12"/>
    <w:basedOn w:val="Tablanormal"/>
    <w:next w:val="Sombreadomedio2-nfasis1"/>
    <w:uiPriority w:val="64"/>
    <w:unhideWhenUsed/>
    <w:rsid w:val="00350F69"/>
    <w:pPr>
      <w:spacing w:after="0" w:line="240" w:lineRule="auto"/>
    </w:pPr>
    <w:rPr>
      <w:rFonts w:ascii="Franklin Gothic Book" w:hAnsi="Franklin Gothic Book"/>
      <w:sz w:val="20"/>
      <w:lang w:val="en-GB"/>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sid w:val="00350F6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sid w:val="00350F69"/>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sid w:val="00350F69"/>
    <w:pPr>
      <w:ind w:left="0"/>
    </w:pPr>
    <w:rPr>
      <w:sz w:val="18"/>
    </w:rPr>
  </w:style>
  <w:style w:type="character" w:customStyle="1" w:styleId="comentariosCar">
    <w:name w:val="comentarios Car"/>
    <w:basedOn w:val="IFTnormalCar"/>
    <w:link w:val="comentarios"/>
    <w:rsid w:val="00350F69"/>
    <w:rPr>
      <w:rFonts w:ascii="ITC Avant Garde" w:eastAsia="Times New Roman" w:hAnsi="ITC Avant Garde" w:cs="Times New Roman"/>
      <w:iCs/>
      <w:sz w:val="18"/>
      <w:lang w:val="es-ES" w:eastAsia="es-MX"/>
    </w:rPr>
  </w:style>
  <w:style w:type="numbering" w:customStyle="1" w:styleId="1ai21">
    <w:name w:val="1 / a / i21"/>
    <w:basedOn w:val="Sinlista"/>
    <w:next w:val="1ai"/>
    <w:uiPriority w:val="99"/>
    <w:unhideWhenUsed/>
    <w:rsid w:val="006172B4"/>
  </w:style>
  <w:style w:type="numbering" w:customStyle="1" w:styleId="1ai111">
    <w:name w:val="1 / a / i111"/>
    <w:basedOn w:val="Sinlista"/>
    <w:next w:val="1ai"/>
    <w:uiPriority w:val="99"/>
    <w:unhideWhenUsed/>
    <w:rsid w:val="006172B4"/>
  </w:style>
  <w:style w:type="table" w:styleId="Tabladecuadrcula4">
    <w:name w:val="Grid Table 4"/>
    <w:basedOn w:val="Tablanormal"/>
    <w:uiPriority w:val="49"/>
    <w:rsid w:val="003C5A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D75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3">
    <w:name w:val="List Table 3"/>
    <w:basedOn w:val="Tablanormal"/>
    <w:uiPriority w:val="48"/>
    <w:rsid w:val="006C0C7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f01">
    <w:name w:val="cf01"/>
    <w:basedOn w:val="Fuentedeprrafopredeter"/>
    <w:rsid w:val="00E410C9"/>
    <w:rPr>
      <w:rFonts w:ascii="Segoe UI" w:hAnsi="Segoe UI" w:cs="Segoe UI" w:hint="default"/>
      <w:sz w:val="18"/>
      <w:szCs w:val="18"/>
    </w:rPr>
  </w:style>
  <w:style w:type="paragraph" w:customStyle="1" w:styleId="pf0">
    <w:name w:val="pf0"/>
    <w:basedOn w:val="Normal"/>
    <w:rsid w:val="00E410C9"/>
    <w:pPr>
      <w:spacing w:before="100" w:beforeAutospacing="1" w:after="100" w:afterAutospacing="1" w:line="240" w:lineRule="auto"/>
    </w:pPr>
    <w:rPr>
      <w:rFonts w:ascii="Times New Roman" w:eastAsia="Times New Roman" w:hAnsi="Times New Roman"/>
      <w:sz w:val="24"/>
      <w:szCs w:val="24"/>
      <w:lang w:val="es-MX" w:eastAsia="es-MX"/>
    </w:rPr>
  </w:style>
  <w:style w:type="character" w:styleId="Mencinsinresolver">
    <w:name w:val="Unresolved Mention"/>
    <w:basedOn w:val="Fuentedeprrafopredeter"/>
    <w:uiPriority w:val="99"/>
    <w:semiHidden/>
    <w:unhideWhenUsed/>
    <w:rsid w:val="00C30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32325">
      <w:bodyDiv w:val="1"/>
      <w:marLeft w:val="0"/>
      <w:marRight w:val="0"/>
      <w:marTop w:val="0"/>
      <w:marBottom w:val="0"/>
      <w:divBdr>
        <w:top w:val="none" w:sz="0" w:space="0" w:color="auto"/>
        <w:left w:val="none" w:sz="0" w:space="0" w:color="auto"/>
        <w:bottom w:val="none" w:sz="0" w:space="0" w:color="auto"/>
        <w:right w:val="none" w:sz="0" w:space="0" w:color="auto"/>
      </w:divBdr>
    </w:div>
    <w:div w:id="342053830">
      <w:bodyDiv w:val="1"/>
      <w:marLeft w:val="0"/>
      <w:marRight w:val="0"/>
      <w:marTop w:val="0"/>
      <w:marBottom w:val="0"/>
      <w:divBdr>
        <w:top w:val="none" w:sz="0" w:space="0" w:color="auto"/>
        <w:left w:val="none" w:sz="0" w:space="0" w:color="auto"/>
        <w:bottom w:val="none" w:sz="0" w:space="0" w:color="auto"/>
        <w:right w:val="none" w:sz="0" w:space="0" w:color="auto"/>
      </w:divBdr>
    </w:div>
    <w:div w:id="383262644">
      <w:bodyDiv w:val="1"/>
      <w:marLeft w:val="0"/>
      <w:marRight w:val="0"/>
      <w:marTop w:val="0"/>
      <w:marBottom w:val="0"/>
      <w:divBdr>
        <w:top w:val="none" w:sz="0" w:space="0" w:color="auto"/>
        <w:left w:val="none" w:sz="0" w:space="0" w:color="auto"/>
        <w:bottom w:val="none" w:sz="0" w:space="0" w:color="auto"/>
        <w:right w:val="none" w:sz="0" w:space="0" w:color="auto"/>
      </w:divBdr>
    </w:div>
    <w:div w:id="817919926">
      <w:bodyDiv w:val="1"/>
      <w:marLeft w:val="0"/>
      <w:marRight w:val="0"/>
      <w:marTop w:val="0"/>
      <w:marBottom w:val="0"/>
      <w:divBdr>
        <w:top w:val="none" w:sz="0" w:space="0" w:color="auto"/>
        <w:left w:val="none" w:sz="0" w:space="0" w:color="auto"/>
        <w:bottom w:val="none" w:sz="0" w:space="0" w:color="auto"/>
        <w:right w:val="none" w:sz="0" w:space="0" w:color="auto"/>
      </w:divBdr>
    </w:div>
    <w:div w:id="1156337745">
      <w:bodyDiv w:val="1"/>
      <w:marLeft w:val="0"/>
      <w:marRight w:val="0"/>
      <w:marTop w:val="0"/>
      <w:marBottom w:val="0"/>
      <w:divBdr>
        <w:top w:val="none" w:sz="0" w:space="0" w:color="auto"/>
        <w:left w:val="none" w:sz="0" w:space="0" w:color="auto"/>
        <w:bottom w:val="none" w:sz="0" w:space="0" w:color="auto"/>
        <w:right w:val="none" w:sz="0" w:space="0" w:color="auto"/>
      </w:divBdr>
    </w:div>
    <w:div w:id="1173641767">
      <w:bodyDiv w:val="1"/>
      <w:marLeft w:val="0"/>
      <w:marRight w:val="0"/>
      <w:marTop w:val="0"/>
      <w:marBottom w:val="0"/>
      <w:divBdr>
        <w:top w:val="none" w:sz="0" w:space="0" w:color="auto"/>
        <w:left w:val="none" w:sz="0" w:space="0" w:color="auto"/>
        <w:bottom w:val="none" w:sz="0" w:space="0" w:color="auto"/>
        <w:right w:val="none" w:sz="0" w:space="0" w:color="auto"/>
      </w:divBdr>
    </w:div>
    <w:div w:id="1274939514">
      <w:bodyDiv w:val="1"/>
      <w:marLeft w:val="0"/>
      <w:marRight w:val="0"/>
      <w:marTop w:val="0"/>
      <w:marBottom w:val="0"/>
      <w:divBdr>
        <w:top w:val="none" w:sz="0" w:space="0" w:color="auto"/>
        <w:left w:val="none" w:sz="0" w:space="0" w:color="auto"/>
        <w:bottom w:val="none" w:sz="0" w:space="0" w:color="auto"/>
        <w:right w:val="none" w:sz="0" w:space="0" w:color="auto"/>
      </w:divBdr>
    </w:div>
    <w:div w:id="1284265399">
      <w:bodyDiv w:val="1"/>
      <w:marLeft w:val="0"/>
      <w:marRight w:val="0"/>
      <w:marTop w:val="0"/>
      <w:marBottom w:val="0"/>
      <w:divBdr>
        <w:top w:val="none" w:sz="0" w:space="0" w:color="auto"/>
        <w:left w:val="none" w:sz="0" w:space="0" w:color="auto"/>
        <w:bottom w:val="none" w:sz="0" w:space="0" w:color="auto"/>
        <w:right w:val="none" w:sz="0" w:space="0" w:color="auto"/>
      </w:divBdr>
    </w:div>
    <w:div w:id="1520467774">
      <w:bodyDiv w:val="1"/>
      <w:marLeft w:val="0"/>
      <w:marRight w:val="0"/>
      <w:marTop w:val="0"/>
      <w:marBottom w:val="0"/>
      <w:divBdr>
        <w:top w:val="none" w:sz="0" w:space="0" w:color="auto"/>
        <w:left w:val="none" w:sz="0" w:space="0" w:color="auto"/>
        <w:bottom w:val="none" w:sz="0" w:space="0" w:color="auto"/>
        <w:right w:val="none" w:sz="0" w:space="0" w:color="auto"/>
      </w:divBdr>
    </w:div>
    <w:div w:id="1577087480">
      <w:bodyDiv w:val="1"/>
      <w:marLeft w:val="0"/>
      <w:marRight w:val="0"/>
      <w:marTop w:val="0"/>
      <w:marBottom w:val="0"/>
      <w:divBdr>
        <w:top w:val="none" w:sz="0" w:space="0" w:color="auto"/>
        <w:left w:val="none" w:sz="0" w:space="0" w:color="auto"/>
        <w:bottom w:val="none" w:sz="0" w:space="0" w:color="auto"/>
        <w:right w:val="none" w:sz="0" w:space="0" w:color="auto"/>
      </w:divBdr>
    </w:div>
    <w:div w:id="1593398107">
      <w:bodyDiv w:val="1"/>
      <w:marLeft w:val="0"/>
      <w:marRight w:val="0"/>
      <w:marTop w:val="0"/>
      <w:marBottom w:val="0"/>
      <w:divBdr>
        <w:top w:val="none" w:sz="0" w:space="0" w:color="auto"/>
        <w:left w:val="none" w:sz="0" w:space="0" w:color="auto"/>
        <w:bottom w:val="none" w:sz="0" w:space="0" w:color="auto"/>
        <w:right w:val="none" w:sz="0" w:space="0" w:color="auto"/>
      </w:divBdr>
    </w:div>
    <w:div w:id="1754618526">
      <w:bodyDiv w:val="1"/>
      <w:marLeft w:val="0"/>
      <w:marRight w:val="0"/>
      <w:marTop w:val="0"/>
      <w:marBottom w:val="0"/>
      <w:divBdr>
        <w:top w:val="none" w:sz="0" w:space="0" w:color="auto"/>
        <w:left w:val="none" w:sz="0" w:space="0" w:color="auto"/>
        <w:bottom w:val="none" w:sz="0" w:space="0" w:color="auto"/>
        <w:right w:val="none" w:sz="0" w:space="0" w:color="auto"/>
      </w:divBdr>
    </w:div>
    <w:div w:id="1903635047">
      <w:bodyDiv w:val="1"/>
      <w:marLeft w:val="0"/>
      <w:marRight w:val="0"/>
      <w:marTop w:val="0"/>
      <w:marBottom w:val="0"/>
      <w:divBdr>
        <w:top w:val="none" w:sz="0" w:space="0" w:color="auto"/>
        <w:left w:val="none" w:sz="0" w:space="0" w:color="auto"/>
        <w:bottom w:val="none" w:sz="0" w:space="0" w:color="auto"/>
        <w:right w:val="none" w:sz="0" w:space="0" w:color="auto"/>
      </w:divBdr>
    </w:div>
    <w:div w:id="191346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emf"/><Relationship Id="rId39" Type="http://schemas.microsoft.com/office/2007/relationships/hdphoto" Target="media/hdphoto1.wdp"/><Relationship Id="rId21" Type="http://schemas.openxmlformats.org/officeDocument/2006/relationships/image" Target="media/image11.emf"/><Relationship Id="rId34" Type="http://schemas.openxmlformats.org/officeDocument/2006/relationships/image" Target="media/image24.wmf"/><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hyperlink" Target="mailto:5550154000@operador.mx%20o%20direcci&#243;n%20IP%3e;user=phone" TargetMode="External"/><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wmf"/><Relationship Id="rId24" Type="http://schemas.openxmlformats.org/officeDocument/2006/relationships/image" Target="media/image14.e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hyperlink" Target="mailto:+NN@operador.mx" TargetMode="External"/><Relationship Id="rId58"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9.emf"/><Relationship Id="rId14" Type="http://schemas.openxmlformats.org/officeDocument/2006/relationships/image" Target="media/image4.w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wmf"/><Relationship Id="rId43" Type="http://schemas.microsoft.com/office/2007/relationships/hdphoto" Target="media/hdphoto3.wdp"/><Relationship Id="rId48" Type="http://schemas.openxmlformats.org/officeDocument/2006/relationships/hyperlink" Target="sip:%3c5512345678@operador.mx" TargetMode="External"/><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unknown@unknown.invalid" TargetMode="Externa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emf"/><Relationship Id="rId33" Type="http://schemas.openxmlformats.org/officeDocument/2006/relationships/image" Target="media/image23.wmf"/><Relationship Id="rId38" Type="http://schemas.openxmlformats.org/officeDocument/2006/relationships/image" Target="media/image28.png"/><Relationship Id="rId46" Type="http://schemas.microsoft.com/office/2007/relationships/hdphoto" Target="media/hdphoto4.wdp"/><Relationship Id="rId59" Type="http://schemas.openxmlformats.org/officeDocument/2006/relationships/header" Target="header1.xml"/><Relationship Id="rId20" Type="http://schemas.openxmlformats.org/officeDocument/2006/relationships/image" Target="media/image10.emf"/><Relationship Id="rId41" Type="http://schemas.microsoft.com/office/2007/relationships/hdphoto" Target="media/hdphoto2.wdp"/><Relationship Id="rId54" Type="http://schemas.openxmlformats.org/officeDocument/2006/relationships/image" Target="media/image34.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wmf"/><Relationship Id="rId49" Type="http://schemas.openxmlformats.org/officeDocument/2006/relationships/hyperlink" Target="mailto:5550154000@%3coperador.mx" TargetMode="External"/><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1.emf"/><Relationship Id="rId52" Type="http://schemas.openxmlformats.org/officeDocument/2006/relationships/hyperlink" Target="mailto:unavailable@unavailable.invalid"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F0AB6F1CE501E4BAC4D279A45DF7E88" ma:contentTypeVersion="0" ma:contentTypeDescription="Crear nuevo documento." ma:contentTypeScope="" ma:versionID="695d387a0976efde24b911009a65b503">
  <xsd:schema xmlns:xsd="http://www.w3.org/2001/XMLSchema" xmlns:xs="http://www.w3.org/2001/XMLSchema" xmlns:p="http://schemas.microsoft.com/office/2006/metadata/properties" targetNamespace="http://schemas.microsoft.com/office/2006/metadata/properties" ma:root="true" ma:fieldsID="7d596c04390d23a0599344eec4ab65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CCF75-61EC-4C73-8D7D-55F52DFE2C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FC7BA0-0097-4254-B331-8570B4254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D744F8A-B301-49E6-A4C0-C2EEC66D2A94}">
  <ds:schemaRefs>
    <ds:schemaRef ds:uri="http://schemas.microsoft.com/sharepoint/v3/contenttype/forms"/>
  </ds:schemaRefs>
</ds:datastoreItem>
</file>

<file path=customXml/itemProps4.xml><?xml version="1.0" encoding="utf-8"?>
<ds:datastoreItem xmlns:ds="http://schemas.openxmlformats.org/officeDocument/2006/customXml" ds:itemID="{6F110F5A-A3C3-458C-BE7F-EDDC77F9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Pages>
  <Words>40240</Words>
  <Characters>221320</Characters>
  <Application>Microsoft Office Word</Application>
  <DocSecurity>0</DocSecurity>
  <Lines>1844</Lines>
  <Paragraphs>522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261038</CharactersWithSpaces>
  <SharedDoc>false</SharedDoc>
  <HLinks>
    <vt:vector size="36" baseType="variant">
      <vt:variant>
        <vt:i4>7667741</vt:i4>
      </vt:variant>
      <vt:variant>
        <vt:i4>15</vt:i4>
      </vt:variant>
      <vt:variant>
        <vt:i4>0</vt:i4>
      </vt:variant>
      <vt:variant>
        <vt:i4>5</vt:i4>
      </vt:variant>
      <vt:variant>
        <vt:lpwstr>mailto:+NN@operador.mx</vt:lpwstr>
      </vt:variant>
      <vt:variant>
        <vt:lpwstr/>
      </vt:variant>
      <vt:variant>
        <vt:i4>7667778</vt:i4>
      </vt:variant>
      <vt:variant>
        <vt:i4>12</vt:i4>
      </vt:variant>
      <vt:variant>
        <vt:i4>0</vt:i4>
      </vt:variant>
      <vt:variant>
        <vt:i4>5</vt:i4>
      </vt:variant>
      <vt:variant>
        <vt:lpwstr>mailto:unavailable@unavailable.invalid</vt:lpwstr>
      </vt:variant>
      <vt:variant>
        <vt:lpwstr/>
      </vt:variant>
      <vt:variant>
        <vt:i4>7667778</vt:i4>
      </vt:variant>
      <vt:variant>
        <vt:i4>9</vt:i4>
      </vt:variant>
      <vt:variant>
        <vt:i4>0</vt:i4>
      </vt:variant>
      <vt:variant>
        <vt:i4>5</vt:i4>
      </vt:variant>
      <vt:variant>
        <vt:lpwstr>mailto:unknown@unknown.invalid</vt:lpwstr>
      </vt:variant>
      <vt:variant>
        <vt:lpwstr/>
      </vt:variant>
      <vt:variant>
        <vt:i4>14942213</vt:i4>
      </vt:variant>
      <vt:variant>
        <vt:i4>6</vt:i4>
      </vt:variant>
      <vt:variant>
        <vt:i4>0</vt:i4>
      </vt:variant>
      <vt:variant>
        <vt:i4>5</vt:i4>
      </vt:variant>
      <vt:variant>
        <vt:lpwstr>mailto:5550154000@operador.mx%20o%20dirección%20IP%3e;user=phone</vt:lpwstr>
      </vt:variant>
      <vt:variant>
        <vt:lpwstr/>
      </vt:variant>
      <vt:variant>
        <vt:i4>7733317</vt:i4>
      </vt:variant>
      <vt:variant>
        <vt:i4>3</vt:i4>
      </vt:variant>
      <vt:variant>
        <vt:i4>0</vt:i4>
      </vt:variant>
      <vt:variant>
        <vt:i4>5</vt:i4>
      </vt:variant>
      <vt:variant>
        <vt:lpwstr>mailto:5550154000@%3coperador.mx</vt:lpwstr>
      </vt:variant>
      <vt:variant>
        <vt:lpwstr/>
      </vt:variant>
      <vt:variant>
        <vt:i4>7077970</vt:i4>
      </vt:variant>
      <vt:variant>
        <vt:i4>0</vt:i4>
      </vt:variant>
      <vt:variant>
        <vt:i4>0</vt:i4>
      </vt:variant>
      <vt:variant>
        <vt:i4>5</vt:i4>
      </vt:variant>
      <vt:variant>
        <vt:lpwstr>sip:%3c5512345678@operador.mx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Ignacio Reyes Sanchez</dc:creator>
  <cp:keywords/>
  <dc:description/>
  <cp:lastModifiedBy>Josue Teoyotl Calderon</cp:lastModifiedBy>
  <cp:revision>268</cp:revision>
  <cp:lastPrinted>2024-10-02T17:00:00Z</cp:lastPrinted>
  <dcterms:created xsi:type="dcterms:W3CDTF">2024-09-10T02:26:00Z</dcterms:created>
  <dcterms:modified xsi:type="dcterms:W3CDTF">2024-10-02T17:00:00Z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0x0101006F0AB6F1CE501E4BAC4D279A45DF7E88</vt:lpwstr>
  </property>
</Properties>
</file>